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9CDC5">
      <w:pPr>
        <w:spacing w:line="360" w:lineRule="auto"/>
        <w:jc w:val="center"/>
        <w:rPr>
          <w:rFonts w:hint="eastAsia" w:ascii="华文新魏" w:eastAsia="华文新魏"/>
          <w:sz w:val="84"/>
          <w:szCs w:val="84"/>
        </w:rPr>
      </w:pPr>
      <w:r>
        <w:rPr>
          <w:rFonts w:hint="eastAsia" w:ascii="华文新魏" w:eastAsia="华文新魏"/>
          <w:sz w:val="84"/>
          <w:szCs w:val="84"/>
        </w:rPr>
        <w:t>广西国力招标有限公司</w:t>
      </w:r>
    </w:p>
    <w:p w14:paraId="4183B58C">
      <w:pPr>
        <w:spacing w:beforeLines="50"/>
        <w:jc w:val="center"/>
        <w:rPr>
          <w:rFonts w:hint="eastAsia" w:ascii="楷体" w:eastAsia="楷体"/>
          <w:sz w:val="48"/>
          <w:szCs w:val="48"/>
        </w:rPr>
      </w:pPr>
    </w:p>
    <w:p w14:paraId="34AAD8E4">
      <w:pPr>
        <w:spacing w:beforeLines="50"/>
        <w:jc w:val="center"/>
        <w:rPr>
          <w:rFonts w:hint="eastAsia" w:ascii="楷体" w:eastAsia="楷体"/>
          <w:sz w:val="72"/>
          <w:szCs w:val="72"/>
        </w:rPr>
      </w:pPr>
      <w:r>
        <w:rPr>
          <w:rFonts w:hint="eastAsia" w:ascii="楷体" w:eastAsia="楷体"/>
          <w:sz w:val="72"/>
          <w:szCs w:val="72"/>
        </w:rPr>
        <w:t>公开招标采购文件</w:t>
      </w:r>
    </w:p>
    <w:p w14:paraId="30D940CC">
      <w:pPr>
        <w:pStyle w:val="26"/>
        <w:snapToGrid w:val="0"/>
        <w:spacing w:before="120" w:after="120" w:line="360" w:lineRule="auto"/>
        <w:rPr>
          <w:rFonts w:hint="eastAsia" w:ascii="仿宋_GB2312" w:eastAsia="仿宋_GB2312"/>
          <w:b/>
          <w:bCs/>
          <w:sz w:val="30"/>
          <w:szCs w:val="30"/>
        </w:rPr>
      </w:pPr>
    </w:p>
    <w:p w14:paraId="1965C642">
      <w:pPr>
        <w:pStyle w:val="26"/>
        <w:snapToGrid w:val="0"/>
        <w:spacing w:before="120" w:after="120" w:line="360" w:lineRule="auto"/>
        <w:jc w:val="center"/>
        <w:rPr>
          <w:rFonts w:hint="eastAsia" w:ascii="仿宋_GB2312" w:eastAsia="仿宋_GB2312"/>
          <w:b/>
          <w:bCs/>
          <w:sz w:val="30"/>
          <w:szCs w:val="30"/>
        </w:rPr>
      </w:pPr>
      <w:r>
        <w:rPr>
          <w:rFonts w:ascii="仿宋_GB2312" w:eastAsia="仿宋_GB2312"/>
          <w:b/>
          <w:bCs/>
          <w:sz w:val="30"/>
          <w:szCs w:val="30"/>
        </w:rPr>
        <w:drawing>
          <wp:inline distT="0" distB="0" distL="0" distR="0">
            <wp:extent cx="2286000" cy="1626870"/>
            <wp:effectExtent l="19050" t="0" r="0" b="0"/>
            <wp:docPr id="1" name="图片 1" descr="947058041150345087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470580411503450878247"/>
                    <pic:cNvPicPr>
                      <a:picLocks noChangeAspect="1" noChangeArrowheads="1"/>
                    </pic:cNvPicPr>
                  </pic:nvPicPr>
                  <pic:blipFill>
                    <a:blip r:embed="rId9"/>
                    <a:srcRect/>
                    <a:stretch>
                      <a:fillRect/>
                    </a:stretch>
                  </pic:blipFill>
                  <pic:spPr>
                    <a:xfrm>
                      <a:off x="0" y="0"/>
                      <a:ext cx="2286000" cy="1626870"/>
                    </a:xfrm>
                    <a:prstGeom prst="rect">
                      <a:avLst/>
                    </a:prstGeom>
                    <a:noFill/>
                    <a:ln w="9525" cmpd="sng">
                      <a:noFill/>
                      <a:miter lim="800000"/>
                      <a:headEnd/>
                      <a:tailEnd/>
                    </a:ln>
                    <a:effectLst/>
                  </pic:spPr>
                </pic:pic>
              </a:graphicData>
            </a:graphic>
          </wp:inline>
        </w:drawing>
      </w:r>
    </w:p>
    <w:p w14:paraId="4A0446CC">
      <w:pPr>
        <w:pStyle w:val="26"/>
        <w:snapToGrid w:val="0"/>
        <w:spacing w:before="120" w:after="120" w:line="800" w:lineRule="exact"/>
        <w:ind w:firstLine="1785" w:firstLineChars="496"/>
        <w:rPr>
          <w:rFonts w:hint="eastAsia"/>
          <w:b/>
          <w:bCs/>
          <w:sz w:val="36"/>
          <w:szCs w:val="36"/>
        </w:rPr>
      </w:pPr>
    </w:p>
    <w:p w14:paraId="0ECEA9F5">
      <w:pPr>
        <w:pStyle w:val="26"/>
        <w:snapToGrid w:val="0"/>
        <w:spacing w:before="120" w:after="120" w:line="800" w:lineRule="exact"/>
        <w:ind w:firstLine="720" w:firstLineChars="200"/>
        <w:rPr>
          <w:rFonts w:hint="eastAsia" w:eastAsia="宋体"/>
          <w:b/>
          <w:bCs/>
          <w:sz w:val="36"/>
          <w:szCs w:val="36"/>
          <w:lang w:eastAsia="zh-CN"/>
        </w:rPr>
      </w:pPr>
      <w:r>
        <w:rPr>
          <w:rFonts w:hint="eastAsia"/>
          <w:b/>
          <w:bCs/>
          <w:sz w:val="36"/>
          <w:szCs w:val="36"/>
        </w:rPr>
        <w:t>采购项目编号：</w:t>
      </w:r>
      <w:r>
        <w:rPr>
          <w:rFonts w:hint="eastAsia"/>
          <w:b/>
          <w:bCs/>
          <w:sz w:val="36"/>
          <w:szCs w:val="36"/>
          <w:lang w:eastAsia="zh-CN"/>
        </w:rPr>
        <w:t>GXZC2026-G3-000154-GLZB</w:t>
      </w:r>
    </w:p>
    <w:p w14:paraId="51C68D21">
      <w:pPr>
        <w:pBdr>
          <w:bottom w:val="thickThinSmallGap" w:color="auto" w:sz="24" w:space="1"/>
        </w:pBdr>
        <w:snapToGrid w:val="0"/>
        <w:spacing w:beforeLines="50" w:line="800" w:lineRule="exact"/>
        <w:ind w:firstLine="720" w:firstLineChars="200"/>
        <w:rPr>
          <w:rFonts w:hint="eastAsia" w:ascii="宋体" w:eastAsia="宋体"/>
          <w:b/>
          <w:sz w:val="36"/>
          <w:szCs w:val="36"/>
          <w:lang w:eastAsia="zh-CN"/>
        </w:rPr>
      </w:pPr>
      <w:r>
        <w:rPr>
          <w:rFonts w:hint="eastAsia" w:ascii="宋体"/>
          <w:b/>
          <w:sz w:val="36"/>
          <w:szCs w:val="36"/>
        </w:rPr>
        <w:t>采购项目名称：</w:t>
      </w:r>
      <w:r>
        <w:rPr>
          <w:rFonts w:hint="eastAsia" w:ascii="宋体"/>
          <w:b/>
          <w:sz w:val="36"/>
          <w:szCs w:val="36"/>
          <w:lang w:eastAsia="zh-CN"/>
        </w:rPr>
        <w:t>309项目配套AI算力租赁项目</w:t>
      </w:r>
    </w:p>
    <w:p w14:paraId="7F5C8F7A">
      <w:pPr>
        <w:pBdr>
          <w:bottom w:val="thickThinSmallGap" w:color="auto" w:sz="24" w:space="1"/>
        </w:pBdr>
        <w:snapToGrid w:val="0"/>
        <w:spacing w:beforeLines="50" w:line="600" w:lineRule="exact"/>
        <w:ind w:firstLine="3041" w:firstLineChars="845"/>
        <w:rPr>
          <w:rFonts w:hint="eastAsia" w:ascii="宋体"/>
          <w:b/>
          <w:sz w:val="36"/>
          <w:szCs w:val="36"/>
        </w:rPr>
      </w:pPr>
    </w:p>
    <w:p w14:paraId="59D03C5D">
      <w:pPr>
        <w:pBdr>
          <w:bottom w:val="thickThinSmallGap" w:color="auto" w:sz="24" w:space="1"/>
        </w:pBdr>
        <w:snapToGrid w:val="0"/>
        <w:spacing w:beforeLines="50" w:line="600" w:lineRule="exact"/>
        <w:jc w:val="center"/>
        <w:rPr>
          <w:rFonts w:hint="eastAsia" w:ascii="宋体"/>
          <w:b/>
          <w:sz w:val="36"/>
          <w:szCs w:val="36"/>
        </w:rPr>
      </w:pPr>
      <w:r>
        <w:rPr>
          <w:rFonts w:hint="eastAsia"/>
          <w:b/>
          <w:bCs/>
          <w:sz w:val="36"/>
          <w:szCs w:val="36"/>
        </w:rPr>
        <w:t>（GXGL2026S-G049-Z）</w:t>
      </w:r>
    </w:p>
    <w:p w14:paraId="5B75D44B">
      <w:pPr>
        <w:snapToGrid w:val="0"/>
        <w:spacing w:beforeLines="50" w:line="600" w:lineRule="exact"/>
        <w:ind w:firstLine="2100" w:firstLineChars="700"/>
        <w:rPr>
          <w:rFonts w:hint="eastAsia" w:ascii="宋体"/>
          <w:b/>
          <w:sz w:val="30"/>
          <w:szCs w:val="72"/>
        </w:rPr>
      </w:pPr>
      <w:r>
        <w:rPr>
          <w:rFonts w:hint="eastAsia" w:ascii="宋体"/>
          <w:b/>
          <w:sz w:val="30"/>
          <w:szCs w:val="72"/>
        </w:rPr>
        <w:t xml:space="preserve">采   购   人：广西壮族自治区公安厅  </w:t>
      </w:r>
    </w:p>
    <w:p w14:paraId="4A4112D1">
      <w:pPr>
        <w:snapToGrid w:val="0"/>
        <w:spacing w:beforeLines="50" w:line="600" w:lineRule="exact"/>
        <w:ind w:firstLine="2100" w:firstLineChars="700"/>
        <w:jc w:val="left"/>
        <w:rPr>
          <w:rFonts w:hint="eastAsia" w:ascii="宋体"/>
          <w:b/>
          <w:sz w:val="30"/>
          <w:szCs w:val="72"/>
        </w:rPr>
      </w:pPr>
      <w:r>
        <w:rPr>
          <w:rFonts w:hint="eastAsia" w:ascii="宋体"/>
          <w:b/>
          <w:sz w:val="30"/>
          <w:szCs w:val="72"/>
        </w:rPr>
        <w:t>采购代理机构：广西国力招标有限公司</w:t>
      </w:r>
    </w:p>
    <w:p w14:paraId="6F8DBB4E">
      <w:pPr>
        <w:snapToGrid w:val="0"/>
        <w:spacing w:beforeLines="50" w:line="600" w:lineRule="exact"/>
        <w:jc w:val="center"/>
        <w:rPr>
          <w:rFonts w:hint="eastAsia" w:ascii="宋体"/>
          <w:b/>
          <w:sz w:val="30"/>
          <w:szCs w:val="72"/>
        </w:rPr>
        <w:sectPr>
          <w:footerReference r:id="rId5" w:type="first"/>
          <w:headerReference r:id="rId3" w:type="default"/>
          <w:footerReference r:id="rId4" w:type="even"/>
          <w:pgSz w:w="11906" w:h="16838"/>
          <w:pgMar w:top="1134" w:right="1134" w:bottom="1134" w:left="1134" w:header="851" w:footer="992" w:gutter="0"/>
          <w:cols w:space="720" w:num="1"/>
          <w:docGrid w:type="linesAndChars" w:linePitch="312" w:charSpace="0"/>
        </w:sectPr>
      </w:pPr>
      <w:r>
        <w:rPr>
          <w:rFonts w:hint="eastAsia" w:ascii="宋体"/>
          <w:b/>
          <w:sz w:val="30"/>
          <w:szCs w:val="72"/>
        </w:rPr>
        <w:t>2026年</w:t>
      </w:r>
      <w:r>
        <w:rPr>
          <w:rFonts w:hint="eastAsia" w:ascii="宋体"/>
          <w:b/>
          <w:sz w:val="30"/>
          <w:szCs w:val="72"/>
          <w:lang w:val="en-US" w:eastAsia="zh-CN"/>
        </w:rPr>
        <w:t>2</w:t>
      </w:r>
      <w:r>
        <w:rPr>
          <w:rFonts w:hint="eastAsia" w:ascii="宋体"/>
          <w:b/>
          <w:sz w:val="30"/>
          <w:szCs w:val="72"/>
        </w:rPr>
        <w:t>月</w:t>
      </w:r>
    </w:p>
    <w:p w14:paraId="5822003A">
      <w:pPr>
        <w:jc w:val="center"/>
        <w:rPr>
          <w:rFonts w:hint="eastAsia"/>
          <w:sz w:val="44"/>
          <w:szCs w:val="44"/>
        </w:rPr>
      </w:pPr>
    </w:p>
    <w:p w14:paraId="76680F75">
      <w:pPr>
        <w:jc w:val="center"/>
        <w:rPr>
          <w:rFonts w:hint="eastAsia"/>
          <w:b/>
          <w:sz w:val="44"/>
          <w:szCs w:val="44"/>
        </w:rPr>
      </w:pPr>
      <w:r>
        <w:rPr>
          <w:rFonts w:hint="eastAsia"/>
          <w:b/>
          <w:sz w:val="44"/>
          <w:szCs w:val="44"/>
        </w:rPr>
        <w:t>目  录</w:t>
      </w:r>
    </w:p>
    <w:p w14:paraId="4233C8FB">
      <w:pPr>
        <w:rPr>
          <w:rFonts w:hint="eastAsia"/>
        </w:rPr>
      </w:pPr>
    </w:p>
    <w:p w14:paraId="5FBF0048">
      <w:pPr>
        <w:pStyle w:val="34"/>
        <w:tabs>
          <w:tab w:val="right" w:leader="dot" w:pos="9639"/>
          <w:tab w:val="clear" w:pos="8296"/>
          <w:tab w:val="clear" w:pos="8398"/>
        </w:tabs>
        <w:spacing w:line="600" w:lineRule="exact"/>
        <w:ind w:firstLine="0" w:firstLineChars="0"/>
        <w:rPr>
          <w:rFonts w:hint="eastAsia" w:ascii="宋体" w:eastAsia="宋体" w:cs="Times New Roman"/>
          <w:bCs w:val="0"/>
          <w:sz w:val="28"/>
          <w:szCs w:val="28"/>
          <w:lang w:val="en-US" w:eastAsia="zh-CN"/>
        </w:rPr>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"_Toc476436431" </w:instrText>
      </w:r>
      <w:r>
        <w:fldChar w:fldCharType="separate"/>
      </w:r>
      <w:r>
        <w:rPr>
          <w:rFonts w:hint="eastAsia" w:ascii="宋体" w:eastAsia="宋体"/>
          <w:sz w:val="28"/>
          <w:szCs w:val="28"/>
          <w:lang w:val="en-US" w:eastAsia="zh-CN"/>
        </w:rPr>
        <w:t>第一章  公开招标公告</w:t>
      </w:r>
      <w:r>
        <w:rPr>
          <w:rFonts w:hint="eastAsia" w:ascii="宋体" w:eastAsia="宋体"/>
          <w:sz w:val="28"/>
          <w:szCs w:val="28"/>
          <w:lang w:val="en-US" w:eastAsia="zh-CN"/>
        </w:rPr>
        <w:tab/>
      </w:r>
      <w:r>
        <w:rPr>
          <w:rFonts w:hint="eastAsia" w:ascii="宋体" w:eastAsia="宋体"/>
          <w:sz w:val="28"/>
          <w:szCs w:val="28"/>
          <w:lang w:val="en-US" w:eastAsia="zh-CN"/>
        </w:rPr>
        <w:fldChar w:fldCharType="begin"/>
      </w:r>
      <w:r>
        <w:rPr>
          <w:rFonts w:hint="eastAsia" w:ascii="宋体" w:eastAsia="宋体"/>
          <w:sz w:val="28"/>
          <w:szCs w:val="28"/>
          <w:lang w:val="en-US" w:eastAsia="zh-CN"/>
        </w:rPr>
        <w:instrText xml:space="preserve"> PAGEREF _Toc476436431 \h </w:instrText>
      </w:r>
      <w:r>
        <w:rPr>
          <w:rFonts w:hint="eastAsia" w:ascii="宋体" w:eastAsia="宋体"/>
          <w:sz w:val="28"/>
          <w:szCs w:val="28"/>
          <w:lang w:val="en-US" w:eastAsia="zh-CN"/>
        </w:rPr>
        <w:fldChar w:fldCharType="separate"/>
      </w:r>
      <w:r>
        <w:rPr>
          <w:rFonts w:hint="eastAsia" w:ascii="宋体" w:eastAsia="宋体"/>
          <w:sz w:val="28"/>
          <w:szCs w:val="28"/>
          <w:lang w:val="en-US" w:eastAsia="zh-CN"/>
        </w:rPr>
        <w:t>3</w:t>
      </w:r>
      <w:r>
        <w:rPr>
          <w:rFonts w:hint="eastAsia" w:ascii="宋体" w:eastAsia="宋体"/>
          <w:sz w:val="28"/>
          <w:szCs w:val="28"/>
          <w:lang w:val="en-US" w:eastAsia="zh-CN"/>
        </w:rPr>
        <w:fldChar w:fldCharType="end"/>
      </w:r>
      <w:r>
        <w:rPr>
          <w:rFonts w:hint="eastAsia" w:ascii="宋体" w:eastAsia="宋体"/>
          <w:sz w:val="28"/>
          <w:szCs w:val="28"/>
          <w:lang w:val="en-US" w:eastAsia="zh-CN"/>
        </w:rPr>
        <w:fldChar w:fldCharType="end"/>
      </w:r>
    </w:p>
    <w:p w14:paraId="29E1E1FE">
      <w:pPr>
        <w:pStyle w:val="34"/>
        <w:tabs>
          <w:tab w:val="right" w:leader="dot" w:pos="9639"/>
          <w:tab w:val="clear" w:pos="8296"/>
          <w:tab w:val="clear" w:pos="8398"/>
        </w:tabs>
        <w:spacing w:line="600" w:lineRule="exact"/>
        <w:ind w:firstLine="0" w:firstLineChars="0"/>
        <w:rPr>
          <w:rFonts w:hint="eastAsia" w:ascii="宋体" w:eastAsia="宋体" w:cs="Times New Roman"/>
          <w:bCs w:val="0"/>
          <w:sz w:val="28"/>
          <w:szCs w:val="28"/>
          <w:lang w:val="en-US" w:eastAsia="zh-CN"/>
        </w:rPr>
      </w:pPr>
      <w:r>
        <w:fldChar w:fldCharType="begin"/>
      </w:r>
      <w:r>
        <w:instrText xml:space="preserve"> HYPERLINK \l "_Toc476436432" </w:instrText>
      </w:r>
      <w:r>
        <w:fldChar w:fldCharType="separate"/>
      </w:r>
      <w:r>
        <w:rPr>
          <w:rFonts w:hint="eastAsia" w:ascii="宋体" w:eastAsia="宋体"/>
          <w:sz w:val="28"/>
          <w:szCs w:val="28"/>
          <w:lang w:val="en-US" w:eastAsia="zh-CN"/>
        </w:rPr>
        <w:t>第二章  招标项目采购需求</w:t>
      </w:r>
      <w:r>
        <w:rPr>
          <w:rFonts w:hint="eastAsia" w:ascii="宋体" w:eastAsia="宋体"/>
          <w:sz w:val="28"/>
          <w:szCs w:val="28"/>
          <w:lang w:val="en-US" w:eastAsia="zh-CN"/>
        </w:rPr>
        <w:tab/>
      </w:r>
      <w:r>
        <w:rPr>
          <w:rFonts w:hint="eastAsia" w:ascii="宋体" w:eastAsia="宋体"/>
          <w:sz w:val="28"/>
          <w:szCs w:val="28"/>
          <w:lang w:val="en-US" w:eastAsia="zh-CN"/>
        </w:rPr>
        <w:fldChar w:fldCharType="begin"/>
      </w:r>
      <w:r>
        <w:rPr>
          <w:rFonts w:hint="eastAsia" w:ascii="宋体" w:eastAsia="宋体"/>
          <w:sz w:val="28"/>
          <w:szCs w:val="28"/>
          <w:lang w:val="en-US" w:eastAsia="zh-CN"/>
        </w:rPr>
        <w:instrText xml:space="preserve"> PAGEREF _Toc476436432 \h </w:instrText>
      </w:r>
      <w:r>
        <w:rPr>
          <w:rFonts w:hint="eastAsia" w:ascii="宋体" w:eastAsia="宋体"/>
          <w:sz w:val="28"/>
          <w:szCs w:val="28"/>
          <w:lang w:val="en-US" w:eastAsia="zh-CN"/>
        </w:rPr>
        <w:fldChar w:fldCharType="separate"/>
      </w:r>
      <w:r>
        <w:rPr>
          <w:rFonts w:hint="eastAsia" w:ascii="宋体" w:eastAsia="宋体"/>
          <w:sz w:val="28"/>
          <w:szCs w:val="28"/>
          <w:lang w:val="en-US" w:eastAsia="zh-CN"/>
        </w:rPr>
        <w:t>8</w:t>
      </w:r>
      <w:r>
        <w:rPr>
          <w:rFonts w:hint="eastAsia" w:ascii="宋体" w:eastAsia="宋体"/>
          <w:sz w:val="28"/>
          <w:szCs w:val="28"/>
          <w:lang w:val="en-US" w:eastAsia="zh-CN"/>
        </w:rPr>
        <w:fldChar w:fldCharType="end"/>
      </w:r>
      <w:r>
        <w:rPr>
          <w:rFonts w:hint="eastAsia" w:ascii="宋体" w:eastAsia="宋体"/>
          <w:sz w:val="28"/>
          <w:szCs w:val="28"/>
          <w:lang w:val="en-US" w:eastAsia="zh-CN"/>
        </w:rPr>
        <w:fldChar w:fldCharType="end"/>
      </w:r>
    </w:p>
    <w:p w14:paraId="78391D7D">
      <w:pPr>
        <w:pStyle w:val="34"/>
        <w:tabs>
          <w:tab w:val="right" w:leader="dot" w:pos="9639"/>
          <w:tab w:val="clear" w:pos="8296"/>
          <w:tab w:val="clear" w:pos="8398"/>
        </w:tabs>
        <w:spacing w:line="600" w:lineRule="exact"/>
        <w:ind w:firstLine="0" w:firstLineChars="0"/>
        <w:rPr>
          <w:rFonts w:hint="eastAsia" w:ascii="宋体" w:eastAsia="宋体" w:cs="Times New Roman"/>
          <w:bCs w:val="0"/>
          <w:sz w:val="28"/>
          <w:szCs w:val="28"/>
          <w:lang w:val="en-US" w:eastAsia="zh-CN"/>
        </w:rPr>
      </w:pPr>
      <w:r>
        <w:fldChar w:fldCharType="begin"/>
      </w:r>
      <w:r>
        <w:instrText xml:space="preserve"> HYPERLINK \l "_Toc476436433" </w:instrText>
      </w:r>
      <w:r>
        <w:fldChar w:fldCharType="separate"/>
      </w:r>
      <w:r>
        <w:rPr>
          <w:rFonts w:hint="eastAsia" w:ascii="宋体" w:eastAsia="宋体"/>
          <w:sz w:val="28"/>
          <w:szCs w:val="28"/>
          <w:lang w:val="en-US" w:eastAsia="zh-CN"/>
        </w:rPr>
        <w:t>第三章  投标</w:t>
      </w:r>
      <w:bookmarkStart w:id="0" w:name="_Hlt489368815"/>
      <w:bookmarkStart w:id="1" w:name="_Hlt489368816"/>
      <w:bookmarkStart w:id="2" w:name="_Hlt482277892"/>
      <w:r>
        <w:rPr>
          <w:rFonts w:hint="eastAsia" w:ascii="宋体" w:eastAsia="宋体"/>
          <w:sz w:val="28"/>
          <w:szCs w:val="28"/>
          <w:lang w:val="en-US" w:eastAsia="zh-CN"/>
        </w:rPr>
        <w:t>人</w:t>
      </w:r>
      <w:bookmarkEnd w:id="0"/>
      <w:bookmarkEnd w:id="1"/>
      <w:bookmarkEnd w:id="2"/>
      <w:r>
        <w:rPr>
          <w:rFonts w:hint="eastAsia" w:ascii="宋体" w:eastAsia="宋体"/>
          <w:sz w:val="28"/>
          <w:szCs w:val="28"/>
          <w:lang w:val="en-US" w:eastAsia="zh-CN"/>
        </w:rPr>
        <w:t>须知</w:t>
      </w:r>
      <w:bookmarkStart w:id="3" w:name="_Hlt16003907"/>
      <w:bookmarkStart w:id="4" w:name="_Hlt16003906"/>
      <w:r>
        <w:rPr>
          <w:rFonts w:hint="eastAsia" w:ascii="宋体" w:eastAsia="宋体"/>
          <w:sz w:val="28"/>
          <w:szCs w:val="28"/>
          <w:lang w:val="en-US" w:eastAsia="zh-CN"/>
        </w:rPr>
        <w:tab/>
      </w:r>
      <w:bookmarkEnd w:id="3"/>
      <w:bookmarkEnd w:id="4"/>
      <w:r>
        <w:rPr>
          <w:rFonts w:hint="eastAsia" w:ascii="宋体" w:eastAsia="宋体"/>
          <w:sz w:val="28"/>
          <w:szCs w:val="28"/>
          <w:lang w:val="en-US" w:eastAsia="zh-CN"/>
        </w:rPr>
        <w:fldChar w:fldCharType="begin"/>
      </w:r>
      <w:r>
        <w:rPr>
          <w:rFonts w:hint="eastAsia" w:ascii="宋体" w:eastAsia="宋体"/>
          <w:sz w:val="28"/>
          <w:szCs w:val="28"/>
          <w:lang w:val="en-US" w:eastAsia="zh-CN"/>
        </w:rPr>
        <w:instrText xml:space="preserve"> PAGEREF _Toc476436433 \h </w:instrText>
      </w:r>
      <w:r>
        <w:rPr>
          <w:rFonts w:hint="eastAsia" w:ascii="宋体" w:eastAsia="宋体"/>
          <w:sz w:val="28"/>
          <w:szCs w:val="28"/>
          <w:lang w:val="en-US" w:eastAsia="zh-CN"/>
        </w:rPr>
        <w:fldChar w:fldCharType="separate"/>
      </w:r>
      <w:r>
        <w:rPr>
          <w:rFonts w:hint="eastAsia" w:ascii="宋体" w:eastAsia="宋体"/>
          <w:sz w:val="28"/>
          <w:szCs w:val="28"/>
          <w:lang w:val="en-US" w:eastAsia="zh-CN"/>
        </w:rPr>
        <w:t>60</w:t>
      </w:r>
      <w:r>
        <w:rPr>
          <w:rFonts w:hint="eastAsia" w:ascii="宋体" w:eastAsia="宋体"/>
          <w:sz w:val="28"/>
          <w:szCs w:val="28"/>
          <w:lang w:val="en-US" w:eastAsia="zh-CN"/>
        </w:rPr>
        <w:fldChar w:fldCharType="end"/>
      </w:r>
      <w:r>
        <w:rPr>
          <w:rFonts w:hint="eastAsia" w:ascii="宋体" w:eastAsia="宋体"/>
          <w:sz w:val="28"/>
          <w:szCs w:val="28"/>
          <w:lang w:val="en-US" w:eastAsia="zh-CN"/>
        </w:rPr>
        <w:fldChar w:fldCharType="end"/>
      </w:r>
    </w:p>
    <w:p w14:paraId="7F69DF5E">
      <w:pPr>
        <w:pStyle w:val="34"/>
        <w:tabs>
          <w:tab w:val="right" w:leader="dot" w:pos="9639"/>
          <w:tab w:val="clear" w:pos="8296"/>
          <w:tab w:val="clear" w:pos="8398"/>
        </w:tabs>
        <w:spacing w:line="600" w:lineRule="exact"/>
        <w:ind w:firstLine="0" w:firstLineChars="0"/>
        <w:rPr>
          <w:rFonts w:hint="eastAsia" w:ascii="宋体" w:eastAsia="宋体" w:cs="Times New Roman"/>
          <w:bCs w:val="0"/>
          <w:sz w:val="28"/>
          <w:szCs w:val="28"/>
          <w:lang w:val="en-US" w:eastAsia="zh-CN"/>
        </w:rPr>
      </w:pPr>
      <w:r>
        <w:fldChar w:fldCharType="begin"/>
      </w:r>
      <w:r>
        <w:instrText xml:space="preserve"> HYPERLINK \l "_Toc476436434" </w:instrText>
      </w:r>
      <w:r>
        <w:fldChar w:fldCharType="separate"/>
      </w:r>
      <w:r>
        <w:rPr>
          <w:rFonts w:hint="eastAsia" w:ascii="宋体" w:eastAsia="宋体"/>
          <w:sz w:val="28"/>
          <w:szCs w:val="28"/>
          <w:lang w:val="en-US" w:eastAsia="zh-CN"/>
        </w:rPr>
        <w:t>第四章  评标方法及</w:t>
      </w:r>
      <w:bookmarkStart w:id="5" w:name="_Hlt476529841"/>
      <w:bookmarkStart w:id="6" w:name="_Hlt476529840"/>
      <w:r>
        <w:rPr>
          <w:rFonts w:hint="eastAsia" w:ascii="宋体" w:eastAsia="宋体"/>
          <w:sz w:val="28"/>
          <w:szCs w:val="28"/>
          <w:lang w:val="en-US" w:eastAsia="zh-CN"/>
        </w:rPr>
        <w:t>评</w:t>
      </w:r>
      <w:bookmarkEnd w:id="5"/>
      <w:bookmarkEnd w:id="6"/>
      <w:r>
        <w:rPr>
          <w:rFonts w:hint="eastAsia" w:ascii="宋体" w:eastAsia="宋体"/>
          <w:sz w:val="28"/>
          <w:szCs w:val="28"/>
          <w:lang w:val="en-US" w:eastAsia="zh-CN"/>
        </w:rPr>
        <w:t>分标准</w:t>
      </w:r>
      <w:r>
        <w:rPr>
          <w:rFonts w:hint="eastAsia" w:ascii="宋体" w:eastAsia="宋体"/>
          <w:sz w:val="28"/>
          <w:szCs w:val="28"/>
          <w:lang w:val="en-US" w:eastAsia="zh-CN"/>
        </w:rPr>
        <w:tab/>
      </w:r>
      <w:r>
        <w:rPr>
          <w:rFonts w:hint="eastAsia" w:ascii="宋体" w:eastAsia="宋体"/>
          <w:sz w:val="28"/>
          <w:szCs w:val="28"/>
          <w:lang w:val="en-US" w:eastAsia="zh-CN"/>
        </w:rPr>
        <w:fldChar w:fldCharType="begin"/>
      </w:r>
      <w:r>
        <w:rPr>
          <w:rFonts w:hint="eastAsia" w:ascii="宋体" w:eastAsia="宋体"/>
          <w:sz w:val="28"/>
          <w:szCs w:val="28"/>
          <w:lang w:val="en-US" w:eastAsia="zh-CN"/>
        </w:rPr>
        <w:instrText xml:space="preserve"> PAGEREF _Toc476436434 \h </w:instrText>
      </w:r>
      <w:r>
        <w:rPr>
          <w:rFonts w:hint="eastAsia" w:ascii="宋体" w:eastAsia="宋体"/>
          <w:sz w:val="28"/>
          <w:szCs w:val="28"/>
          <w:lang w:val="en-US" w:eastAsia="zh-CN"/>
        </w:rPr>
        <w:fldChar w:fldCharType="separate"/>
      </w:r>
      <w:r>
        <w:rPr>
          <w:rFonts w:hint="eastAsia" w:ascii="宋体" w:eastAsia="宋体"/>
          <w:sz w:val="28"/>
          <w:szCs w:val="28"/>
          <w:lang w:val="en-US" w:eastAsia="zh-CN"/>
        </w:rPr>
        <w:t>80</w:t>
      </w:r>
      <w:r>
        <w:rPr>
          <w:rFonts w:hint="eastAsia" w:ascii="宋体" w:eastAsia="宋体"/>
          <w:sz w:val="28"/>
          <w:szCs w:val="28"/>
          <w:lang w:val="en-US" w:eastAsia="zh-CN"/>
        </w:rPr>
        <w:fldChar w:fldCharType="end"/>
      </w:r>
      <w:r>
        <w:rPr>
          <w:rFonts w:hint="eastAsia" w:ascii="宋体" w:eastAsia="宋体"/>
          <w:sz w:val="28"/>
          <w:szCs w:val="28"/>
          <w:lang w:val="en-US" w:eastAsia="zh-CN"/>
        </w:rPr>
        <w:fldChar w:fldCharType="end"/>
      </w:r>
    </w:p>
    <w:p w14:paraId="33B10D02">
      <w:pPr>
        <w:pStyle w:val="34"/>
        <w:tabs>
          <w:tab w:val="right" w:leader="dot" w:pos="9639"/>
          <w:tab w:val="clear" w:pos="8296"/>
          <w:tab w:val="clear" w:pos="8398"/>
        </w:tabs>
        <w:spacing w:line="600" w:lineRule="exact"/>
        <w:ind w:firstLine="0" w:firstLineChars="0"/>
        <w:rPr>
          <w:rFonts w:hint="eastAsia" w:ascii="宋体" w:eastAsia="宋体" w:cs="Times New Roman"/>
          <w:bCs w:val="0"/>
          <w:sz w:val="28"/>
          <w:szCs w:val="28"/>
          <w:lang w:val="en-US" w:eastAsia="zh-CN"/>
        </w:rPr>
      </w:pPr>
      <w:r>
        <w:fldChar w:fldCharType="begin"/>
      </w:r>
      <w:r>
        <w:instrText xml:space="preserve"> HYPERLINK \l "_Toc476436435" </w:instrText>
      </w:r>
      <w:r>
        <w:fldChar w:fldCharType="separate"/>
      </w:r>
      <w:r>
        <w:rPr>
          <w:rFonts w:hint="eastAsia" w:ascii="宋体" w:eastAsia="宋体"/>
          <w:sz w:val="28"/>
          <w:szCs w:val="28"/>
          <w:lang w:val="en-US" w:eastAsia="zh-CN"/>
        </w:rPr>
        <w:t>第五章  政府采购合同主要条款</w:t>
      </w:r>
      <w:r>
        <w:rPr>
          <w:rFonts w:hint="eastAsia" w:ascii="宋体" w:eastAsia="宋体"/>
          <w:sz w:val="28"/>
          <w:szCs w:val="28"/>
          <w:lang w:val="en-US" w:eastAsia="zh-CN"/>
        </w:rPr>
        <w:tab/>
      </w:r>
      <w:r>
        <w:rPr>
          <w:rFonts w:hint="eastAsia" w:ascii="宋体" w:eastAsia="宋体"/>
          <w:sz w:val="28"/>
          <w:szCs w:val="28"/>
          <w:lang w:val="en-US" w:eastAsia="zh-CN"/>
        </w:rPr>
        <w:fldChar w:fldCharType="begin"/>
      </w:r>
      <w:r>
        <w:rPr>
          <w:rFonts w:hint="eastAsia" w:ascii="宋体" w:eastAsia="宋体"/>
          <w:sz w:val="28"/>
          <w:szCs w:val="28"/>
          <w:lang w:val="en-US" w:eastAsia="zh-CN"/>
        </w:rPr>
        <w:instrText xml:space="preserve"> PAGEREF _Toc476436435 \h </w:instrText>
      </w:r>
      <w:r>
        <w:rPr>
          <w:rFonts w:hint="eastAsia" w:ascii="宋体" w:eastAsia="宋体"/>
          <w:sz w:val="28"/>
          <w:szCs w:val="28"/>
          <w:lang w:val="en-US" w:eastAsia="zh-CN"/>
        </w:rPr>
        <w:fldChar w:fldCharType="separate"/>
      </w:r>
      <w:r>
        <w:rPr>
          <w:rFonts w:hint="eastAsia" w:ascii="宋体" w:eastAsia="宋体"/>
          <w:sz w:val="28"/>
          <w:szCs w:val="28"/>
          <w:lang w:val="en-US" w:eastAsia="zh-CN"/>
        </w:rPr>
        <w:t>85</w:t>
      </w:r>
      <w:r>
        <w:rPr>
          <w:rFonts w:hint="eastAsia" w:ascii="宋体" w:eastAsia="宋体"/>
          <w:sz w:val="28"/>
          <w:szCs w:val="28"/>
          <w:lang w:val="en-US" w:eastAsia="zh-CN"/>
        </w:rPr>
        <w:fldChar w:fldCharType="end"/>
      </w:r>
      <w:r>
        <w:rPr>
          <w:rFonts w:hint="eastAsia" w:ascii="宋体" w:eastAsia="宋体"/>
          <w:sz w:val="28"/>
          <w:szCs w:val="28"/>
          <w:lang w:val="en-US" w:eastAsia="zh-CN"/>
        </w:rPr>
        <w:fldChar w:fldCharType="end"/>
      </w:r>
    </w:p>
    <w:p w14:paraId="28D1CDA2">
      <w:pPr>
        <w:pStyle w:val="34"/>
        <w:tabs>
          <w:tab w:val="right" w:leader="dot" w:pos="9639"/>
          <w:tab w:val="clear" w:pos="8296"/>
          <w:tab w:val="clear" w:pos="8398"/>
        </w:tabs>
        <w:spacing w:line="600" w:lineRule="exact"/>
        <w:ind w:firstLine="0" w:firstLineChars="0"/>
        <w:rPr>
          <w:rFonts w:hint="eastAsia" w:ascii="宋体" w:eastAsia="宋体" w:cs="Times New Roman"/>
          <w:bCs w:val="0"/>
          <w:sz w:val="28"/>
          <w:szCs w:val="28"/>
          <w:lang w:val="en-US" w:eastAsia="zh-CN"/>
        </w:rPr>
      </w:pPr>
      <w:r>
        <w:fldChar w:fldCharType="begin"/>
      </w:r>
      <w:r>
        <w:instrText xml:space="preserve"> HYPERLINK \l "_Toc476436436" </w:instrText>
      </w:r>
      <w:r>
        <w:fldChar w:fldCharType="separate"/>
      </w:r>
      <w:r>
        <w:rPr>
          <w:rFonts w:hint="eastAsia" w:ascii="宋体" w:eastAsia="宋体"/>
          <w:sz w:val="28"/>
          <w:szCs w:val="28"/>
          <w:lang w:val="en-US" w:eastAsia="zh-CN"/>
        </w:rPr>
        <w:t>第六章　投标文件格式</w:t>
      </w:r>
      <w:r>
        <w:rPr>
          <w:rFonts w:hint="eastAsia" w:ascii="宋体" w:eastAsia="宋体"/>
          <w:sz w:val="28"/>
          <w:szCs w:val="28"/>
          <w:lang w:val="en-US" w:eastAsia="zh-CN"/>
        </w:rPr>
        <w:tab/>
      </w:r>
      <w:r>
        <w:rPr>
          <w:rFonts w:hint="eastAsia" w:ascii="宋体" w:eastAsia="宋体"/>
          <w:sz w:val="28"/>
          <w:szCs w:val="28"/>
          <w:lang w:val="en-US" w:eastAsia="zh-CN"/>
        </w:rPr>
        <w:fldChar w:fldCharType="begin"/>
      </w:r>
      <w:r>
        <w:rPr>
          <w:rFonts w:hint="eastAsia" w:ascii="宋体" w:eastAsia="宋体"/>
          <w:sz w:val="28"/>
          <w:szCs w:val="28"/>
          <w:lang w:val="en-US" w:eastAsia="zh-CN"/>
        </w:rPr>
        <w:instrText xml:space="preserve"> PAGEREF _Toc476436436 \h </w:instrText>
      </w:r>
      <w:r>
        <w:rPr>
          <w:rFonts w:hint="eastAsia" w:ascii="宋体" w:eastAsia="宋体"/>
          <w:sz w:val="28"/>
          <w:szCs w:val="28"/>
          <w:lang w:val="en-US" w:eastAsia="zh-CN"/>
        </w:rPr>
        <w:fldChar w:fldCharType="separate"/>
      </w:r>
      <w:r>
        <w:rPr>
          <w:rFonts w:hint="eastAsia" w:ascii="宋体" w:eastAsia="宋体"/>
          <w:sz w:val="28"/>
          <w:szCs w:val="28"/>
          <w:lang w:val="en-US" w:eastAsia="zh-CN"/>
        </w:rPr>
        <w:t>90</w:t>
      </w:r>
      <w:r>
        <w:rPr>
          <w:rFonts w:hint="eastAsia" w:ascii="宋体" w:eastAsia="宋体"/>
          <w:sz w:val="28"/>
          <w:szCs w:val="28"/>
          <w:lang w:val="en-US" w:eastAsia="zh-CN"/>
        </w:rPr>
        <w:fldChar w:fldCharType="end"/>
      </w:r>
      <w:r>
        <w:rPr>
          <w:rFonts w:hint="eastAsia" w:ascii="宋体" w:eastAsia="宋体"/>
          <w:sz w:val="28"/>
          <w:szCs w:val="28"/>
          <w:lang w:val="en-US" w:eastAsia="zh-CN"/>
        </w:rPr>
        <w:fldChar w:fldCharType="end"/>
      </w:r>
    </w:p>
    <w:p w14:paraId="46E329A6">
      <w:pPr>
        <w:spacing w:line="600" w:lineRule="exact"/>
        <w:rPr>
          <w:rFonts w:hint="eastAsia"/>
        </w:rPr>
      </w:pPr>
      <w:r>
        <w:fldChar w:fldCharType="end"/>
      </w:r>
    </w:p>
    <w:p w14:paraId="33800BAA">
      <w:pPr>
        <w:rPr>
          <w:rFonts w:hint="eastAsia"/>
        </w:rPr>
      </w:pPr>
    </w:p>
    <w:p w14:paraId="430ADA19">
      <w:pPr>
        <w:rPr>
          <w:rFonts w:hint="eastAsia"/>
        </w:rPr>
      </w:pPr>
    </w:p>
    <w:p w14:paraId="412669CD">
      <w:pPr>
        <w:spacing w:line="400" w:lineRule="exact"/>
        <w:jc w:val="center"/>
        <w:rPr>
          <w:rFonts w:hint="eastAsia" w:ascii="宋体"/>
          <w:sz w:val="32"/>
          <w:szCs w:val="32"/>
        </w:rPr>
      </w:pPr>
      <w:r>
        <w:rPr>
          <w:rFonts w:hint="eastAsia" w:ascii="宋体"/>
          <w:sz w:val="32"/>
          <w:szCs w:val="32"/>
        </w:rPr>
        <w:br w:type="page"/>
      </w:r>
    </w:p>
    <w:p w14:paraId="4900097E">
      <w:pPr>
        <w:spacing w:line="400" w:lineRule="exact"/>
        <w:jc w:val="center"/>
        <w:rPr>
          <w:rFonts w:hint="eastAsia" w:ascii="宋体"/>
          <w:sz w:val="32"/>
          <w:szCs w:val="32"/>
        </w:rPr>
      </w:pPr>
    </w:p>
    <w:p w14:paraId="1D889678">
      <w:pPr>
        <w:spacing w:line="400" w:lineRule="exact"/>
        <w:jc w:val="center"/>
        <w:rPr>
          <w:rFonts w:hint="eastAsia" w:ascii="宋体"/>
          <w:sz w:val="32"/>
          <w:szCs w:val="32"/>
        </w:rPr>
      </w:pPr>
    </w:p>
    <w:p w14:paraId="66705111">
      <w:pPr>
        <w:spacing w:line="400" w:lineRule="exact"/>
        <w:jc w:val="center"/>
        <w:rPr>
          <w:rFonts w:hint="eastAsia" w:ascii="宋体"/>
          <w:sz w:val="32"/>
          <w:szCs w:val="32"/>
        </w:rPr>
      </w:pPr>
    </w:p>
    <w:p w14:paraId="1CB8A751">
      <w:pPr>
        <w:spacing w:line="400" w:lineRule="exact"/>
        <w:jc w:val="center"/>
        <w:rPr>
          <w:rFonts w:hint="eastAsia" w:ascii="宋体"/>
          <w:sz w:val="32"/>
          <w:szCs w:val="32"/>
        </w:rPr>
      </w:pPr>
    </w:p>
    <w:p w14:paraId="5004E912">
      <w:pPr>
        <w:spacing w:line="400" w:lineRule="exact"/>
        <w:jc w:val="center"/>
        <w:rPr>
          <w:rFonts w:hint="eastAsia" w:ascii="宋体"/>
          <w:sz w:val="32"/>
          <w:szCs w:val="32"/>
        </w:rPr>
      </w:pPr>
    </w:p>
    <w:p w14:paraId="090459DB">
      <w:pPr>
        <w:spacing w:line="400" w:lineRule="exact"/>
        <w:jc w:val="center"/>
        <w:rPr>
          <w:rFonts w:hint="eastAsia" w:ascii="宋体"/>
          <w:sz w:val="32"/>
          <w:szCs w:val="32"/>
        </w:rPr>
      </w:pPr>
    </w:p>
    <w:p w14:paraId="439190B0">
      <w:pPr>
        <w:spacing w:line="400" w:lineRule="exact"/>
        <w:jc w:val="center"/>
        <w:rPr>
          <w:rFonts w:hint="eastAsia" w:ascii="宋体"/>
          <w:sz w:val="32"/>
          <w:szCs w:val="32"/>
        </w:rPr>
      </w:pPr>
    </w:p>
    <w:p w14:paraId="0469FBDF">
      <w:pPr>
        <w:spacing w:line="400" w:lineRule="exact"/>
        <w:jc w:val="center"/>
        <w:rPr>
          <w:rFonts w:hint="eastAsia" w:ascii="宋体"/>
          <w:sz w:val="32"/>
          <w:szCs w:val="32"/>
        </w:rPr>
      </w:pPr>
    </w:p>
    <w:p w14:paraId="296EB280">
      <w:pPr>
        <w:spacing w:line="400" w:lineRule="exact"/>
        <w:jc w:val="center"/>
        <w:rPr>
          <w:rFonts w:hint="eastAsia" w:ascii="宋体"/>
          <w:sz w:val="32"/>
          <w:szCs w:val="32"/>
        </w:rPr>
      </w:pPr>
    </w:p>
    <w:p w14:paraId="4622F182">
      <w:pPr>
        <w:spacing w:line="400" w:lineRule="exact"/>
        <w:jc w:val="center"/>
        <w:rPr>
          <w:rFonts w:hint="eastAsia" w:ascii="宋体"/>
          <w:sz w:val="32"/>
          <w:szCs w:val="32"/>
        </w:rPr>
      </w:pPr>
    </w:p>
    <w:p w14:paraId="751268B9">
      <w:pPr>
        <w:spacing w:line="400" w:lineRule="exact"/>
        <w:jc w:val="center"/>
        <w:rPr>
          <w:rFonts w:hint="eastAsia" w:ascii="宋体"/>
          <w:sz w:val="32"/>
          <w:szCs w:val="32"/>
        </w:rPr>
      </w:pPr>
    </w:p>
    <w:p w14:paraId="189FBE76">
      <w:pPr>
        <w:spacing w:line="400" w:lineRule="exact"/>
        <w:jc w:val="center"/>
        <w:rPr>
          <w:rFonts w:hint="eastAsia" w:ascii="宋体"/>
          <w:sz w:val="32"/>
          <w:szCs w:val="32"/>
        </w:rPr>
      </w:pPr>
    </w:p>
    <w:p w14:paraId="73D3C19B">
      <w:pPr>
        <w:spacing w:line="400" w:lineRule="exact"/>
        <w:jc w:val="center"/>
        <w:rPr>
          <w:rFonts w:hint="eastAsia" w:ascii="宋体"/>
          <w:sz w:val="32"/>
          <w:szCs w:val="32"/>
        </w:rPr>
      </w:pPr>
    </w:p>
    <w:p w14:paraId="67AB4C87">
      <w:pPr>
        <w:spacing w:line="400" w:lineRule="exact"/>
        <w:jc w:val="center"/>
        <w:rPr>
          <w:rFonts w:hint="eastAsia" w:ascii="宋体"/>
          <w:sz w:val="32"/>
          <w:szCs w:val="32"/>
        </w:rPr>
      </w:pPr>
    </w:p>
    <w:p w14:paraId="6CD67452">
      <w:pPr>
        <w:pStyle w:val="46"/>
        <w:rPr>
          <w:rFonts w:hint="eastAsia"/>
          <w:sz w:val="44"/>
          <w:szCs w:val="44"/>
        </w:rPr>
      </w:pPr>
      <w:bookmarkStart w:id="7" w:name="_Toc476436172"/>
      <w:bookmarkStart w:id="8" w:name="_Toc476436431"/>
      <w:r>
        <w:rPr>
          <w:rFonts w:hint="eastAsia"/>
          <w:sz w:val="44"/>
          <w:szCs w:val="44"/>
        </w:rPr>
        <w:t>第一章  公开招标公告</w:t>
      </w:r>
      <w:bookmarkEnd w:id="7"/>
      <w:bookmarkEnd w:id="8"/>
    </w:p>
    <w:p w14:paraId="7AA5D5EB">
      <w:pPr>
        <w:rPr>
          <w:rFonts w:hint="eastAsia"/>
        </w:rPr>
      </w:pPr>
    </w:p>
    <w:p w14:paraId="48D46047">
      <w:pPr>
        <w:rPr>
          <w:rFonts w:hint="eastAsia"/>
        </w:rPr>
      </w:pPr>
    </w:p>
    <w:p w14:paraId="16B4B4C0">
      <w:pPr>
        <w:jc w:val="center"/>
        <w:rPr>
          <w:rFonts w:hint="eastAsia"/>
        </w:rPr>
      </w:pPr>
      <w:r>
        <w:br w:type="page"/>
      </w:r>
    </w:p>
    <w:p w14:paraId="250F019A">
      <w:pPr>
        <w:jc w:val="center"/>
        <w:outlineLvl w:val="1"/>
        <w:rPr>
          <w:rFonts w:hint="eastAsia" w:ascii="华文新魏" w:eastAsia="华文新魏"/>
          <w:sz w:val="44"/>
          <w:szCs w:val="44"/>
        </w:rPr>
      </w:pPr>
      <w:r>
        <w:rPr>
          <w:rFonts w:hint="eastAsia" w:ascii="华文新魏" w:eastAsia="华文新魏"/>
          <w:sz w:val="44"/>
          <w:szCs w:val="44"/>
        </w:rPr>
        <w:t>广西国力招标有限公司</w:t>
      </w:r>
    </w:p>
    <w:p w14:paraId="4168B97F">
      <w:pPr>
        <w:jc w:val="center"/>
        <w:outlineLvl w:val="1"/>
        <w:rPr>
          <w:rFonts w:hint="eastAsia" w:ascii="华文新魏" w:eastAsia="华文新魏"/>
          <w:sz w:val="44"/>
          <w:szCs w:val="44"/>
        </w:rPr>
      </w:pPr>
      <w:r>
        <w:rPr>
          <w:rFonts w:hint="eastAsia" w:ascii="华文新魏" w:eastAsia="华文新魏"/>
          <w:sz w:val="44"/>
          <w:szCs w:val="44"/>
        </w:rPr>
        <w:t>公开招标公告</w:t>
      </w:r>
    </w:p>
    <w:p w14:paraId="54CE0090">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szCs w:val="21"/>
        </w:rPr>
      </w:pPr>
      <w:r>
        <w:rPr>
          <w:rFonts w:hint="eastAsia" w:ascii="宋体" w:hAnsi="宋体"/>
          <w:szCs w:val="21"/>
        </w:rPr>
        <w:t>项目概况</w:t>
      </w:r>
    </w:p>
    <w:p w14:paraId="7615DA5E">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szCs w:val="21"/>
        </w:rPr>
      </w:pPr>
      <w:r>
        <w:rPr>
          <w:rFonts w:hint="eastAsia" w:ascii="宋体" w:hAnsi="宋体"/>
          <w:szCs w:val="21"/>
          <w:u w:val="single"/>
          <w:lang w:eastAsia="zh-CN"/>
        </w:rPr>
        <w:t>309项目配套AI算力租赁项目</w:t>
      </w:r>
      <w:r>
        <w:rPr>
          <w:rFonts w:hint="eastAsia" w:ascii="宋体" w:hAnsi="宋体"/>
          <w:szCs w:val="21"/>
        </w:rPr>
        <w:t>招标项目的潜在投标人应在</w:t>
      </w:r>
      <w:r>
        <w:rPr>
          <w:rFonts w:hint="eastAsia" w:ascii="宋体" w:hAnsi="宋体"/>
          <w:szCs w:val="21"/>
          <w:u w:val="single"/>
        </w:rPr>
        <w:t>广西政府采购云平台（https://www.gcy.zfcg.gxzf.gov.cn/）</w:t>
      </w:r>
      <w:r>
        <w:rPr>
          <w:rFonts w:hint="eastAsia" w:ascii="宋体" w:hAnsi="宋体"/>
          <w:szCs w:val="21"/>
        </w:rPr>
        <w:t>获取招标文件，并于</w:t>
      </w:r>
      <w:r>
        <w:rPr>
          <w:rFonts w:ascii="宋体" w:hAnsi="宋体"/>
          <w:szCs w:val="21"/>
          <w:u w:val="single"/>
        </w:rPr>
        <w:t>202</w:t>
      </w:r>
      <w:r>
        <w:rPr>
          <w:rFonts w:hint="eastAsia" w:ascii="宋体" w:hAnsi="宋体"/>
          <w:szCs w:val="21"/>
          <w:u w:val="single"/>
        </w:rPr>
        <w:t>6</w:t>
      </w:r>
      <w:r>
        <w:rPr>
          <w:rFonts w:ascii="宋体" w:hAnsi="宋体"/>
          <w:szCs w:val="21"/>
          <w:u w:val="single"/>
        </w:rPr>
        <w:t>年</w:t>
      </w:r>
      <w:r>
        <w:rPr>
          <w:rFonts w:hint="eastAsia" w:ascii="宋体" w:hAnsi="宋体"/>
          <w:bCs/>
          <w:szCs w:val="21"/>
          <w:u w:val="single"/>
          <w:lang w:val="en-US" w:eastAsia="zh-CN"/>
        </w:rPr>
        <w:t>3</w:t>
      </w:r>
      <w:r>
        <w:rPr>
          <w:rFonts w:hint="eastAsia" w:ascii="宋体" w:hAnsi="宋体"/>
          <w:bCs/>
          <w:szCs w:val="21"/>
          <w:u w:val="single"/>
        </w:rPr>
        <w:t>月</w:t>
      </w:r>
      <w:r>
        <w:rPr>
          <w:rFonts w:hint="eastAsia" w:ascii="宋体" w:hAnsi="宋体"/>
          <w:bCs/>
          <w:szCs w:val="21"/>
          <w:u w:val="single"/>
          <w:lang w:val="en-US" w:eastAsia="zh-CN"/>
        </w:rPr>
        <w:t>3</w:t>
      </w:r>
      <w:r>
        <w:rPr>
          <w:rFonts w:hint="eastAsia" w:ascii="宋体" w:hAnsi="宋体"/>
          <w:bCs/>
          <w:szCs w:val="21"/>
          <w:u w:val="single"/>
        </w:rPr>
        <w:t>日</w:t>
      </w:r>
      <w:r>
        <w:rPr>
          <w:rFonts w:hint="eastAsia" w:ascii="宋体" w:hAnsi="宋体"/>
          <w:bCs/>
          <w:szCs w:val="21"/>
          <w:u w:val="single"/>
          <w:lang w:val="en-US" w:eastAsia="zh-CN"/>
        </w:rPr>
        <w:t>9</w:t>
      </w:r>
      <w:r>
        <w:rPr>
          <w:rFonts w:hint="eastAsia" w:ascii="宋体" w:hAnsi="宋体"/>
          <w:bCs/>
          <w:szCs w:val="21"/>
          <w:u w:val="single"/>
        </w:rPr>
        <w:t>点</w:t>
      </w:r>
      <w:r>
        <w:rPr>
          <w:rFonts w:hint="eastAsia" w:ascii="宋体" w:hAnsi="宋体"/>
          <w:bCs/>
          <w:szCs w:val="21"/>
          <w:u w:val="single"/>
          <w:lang w:val="en-US" w:eastAsia="zh-CN"/>
        </w:rPr>
        <w:t>30</w:t>
      </w:r>
      <w:r>
        <w:rPr>
          <w:rFonts w:hint="eastAsia" w:ascii="宋体" w:hAnsi="宋体"/>
          <w:bCs/>
          <w:szCs w:val="21"/>
          <w:u w:val="single"/>
        </w:rPr>
        <w:t>分（</w:t>
      </w:r>
      <w:r>
        <w:rPr>
          <w:rFonts w:hint="eastAsia" w:ascii="宋体" w:hAnsi="宋体"/>
          <w:bCs/>
          <w:szCs w:val="21"/>
        </w:rPr>
        <w:t>北京时间）前递交投标</w:t>
      </w:r>
      <w:r>
        <w:rPr>
          <w:rFonts w:ascii="宋体" w:hAnsi="宋体"/>
          <w:bCs/>
          <w:szCs w:val="21"/>
        </w:rPr>
        <w:t>文件</w:t>
      </w:r>
      <w:r>
        <w:rPr>
          <w:rFonts w:hint="eastAsia" w:ascii="宋体" w:hAnsi="宋体"/>
          <w:szCs w:val="21"/>
        </w:rPr>
        <w:t>。</w:t>
      </w:r>
    </w:p>
    <w:p w14:paraId="1942D10C">
      <w:pPr>
        <w:spacing w:line="380" w:lineRule="exact"/>
        <w:rPr>
          <w:rFonts w:ascii="宋体" w:hAnsi="宋体"/>
          <w:szCs w:val="21"/>
        </w:rPr>
      </w:pPr>
    </w:p>
    <w:p w14:paraId="59F2FD1F">
      <w:pPr>
        <w:spacing w:line="380" w:lineRule="exact"/>
        <w:outlineLvl w:val="1"/>
        <w:rPr>
          <w:rFonts w:ascii="宋体" w:hAnsi="宋体"/>
          <w:b/>
        </w:rPr>
      </w:pPr>
      <w:bookmarkStart w:id="9" w:name="_Toc35393621"/>
      <w:bookmarkStart w:id="10" w:name="_Toc35393790"/>
      <w:bookmarkStart w:id="11" w:name="_Toc28359079"/>
      <w:bookmarkStart w:id="12" w:name="_Toc28359002"/>
      <w:bookmarkStart w:id="13" w:name="_Hlk24379207"/>
      <w:r>
        <w:rPr>
          <w:rFonts w:hint="eastAsia" w:ascii="宋体" w:hAnsi="宋体"/>
          <w:b/>
        </w:rPr>
        <w:t>一、项目基本情况</w:t>
      </w:r>
      <w:bookmarkEnd w:id="9"/>
      <w:bookmarkEnd w:id="10"/>
      <w:bookmarkEnd w:id="11"/>
      <w:bookmarkEnd w:id="12"/>
    </w:p>
    <w:bookmarkEnd w:id="13"/>
    <w:p w14:paraId="0C7D9756">
      <w:pPr>
        <w:widowControl/>
        <w:adjustRightInd w:val="0"/>
        <w:snapToGrid w:val="0"/>
        <w:spacing w:line="400" w:lineRule="exact"/>
        <w:jc w:val="left"/>
        <w:rPr>
          <w:rFonts w:hint="eastAsia" w:ascii="宋体" w:hAnsi="宋体" w:eastAsia="宋体" w:cs="宋体"/>
          <w:kern w:val="0"/>
          <w:szCs w:val="21"/>
          <w:lang w:eastAsia="zh-CN"/>
        </w:rPr>
      </w:pPr>
      <w:bookmarkStart w:id="14" w:name="_Toc28359004"/>
      <w:bookmarkStart w:id="15" w:name="_Toc28359081"/>
      <w:r>
        <w:rPr>
          <w:rFonts w:ascii="宋体" w:hAnsi="宋体" w:cs="宋体"/>
          <w:kern w:val="0"/>
          <w:szCs w:val="21"/>
        </w:rPr>
        <w:t>    项目编号：</w:t>
      </w:r>
      <w:r>
        <w:rPr>
          <w:rFonts w:hint="eastAsia" w:ascii="宋体" w:hAnsi="宋体" w:cs="宋体"/>
          <w:kern w:val="0"/>
          <w:szCs w:val="21"/>
          <w:lang w:eastAsia="zh-CN"/>
        </w:rPr>
        <w:t>GXZC2026-G3-000154-GLZB</w:t>
      </w:r>
    </w:p>
    <w:p w14:paraId="65F7CBA2">
      <w:pPr>
        <w:widowControl/>
        <w:adjustRightInd w:val="0"/>
        <w:snapToGrid w:val="0"/>
        <w:spacing w:line="400" w:lineRule="exact"/>
        <w:jc w:val="left"/>
        <w:rPr>
          <w:rFonts w:hint="eastAsia" w:ascii="宋体" w:hAnsi="宋体" w:eastAsia="宋体" w:cs="宋体"/>
          <w:kern w:val="0"/>
          <w:szCs w:val="21"/>
          <w:lang w:eastAsia="zh-CN"/>
        </w:rPr>
      </w:pPr>
      <w:r>
        <w:rPr>
          <w:rFonts w:ascii="宋体" w:hAnsi="宋体" w:cs="宋体"/>
          <w:kern w:val="0"/>
          <w:szCs w:val="21"/>
        </w:rPr>
        <w:t>    项目名称：</w:t>
      </w:r>
      <w:r>
        <w:rPr>
          <w:rFonts w:hint="eastAsia" w:ascii="宋体" w:hAnsi="宋体" w:cs="宋体"/>
          <w:kern w:val="0"/>
          <w:szCs w:val="21"/>
          <w:lang w:eastAsia="zh-CN"/>
        </w:rPr>
        <w:t>309项目配套AI算力租赁项目</w:t>
      </w:r>
    </w:p>
    <w:p w14:paraId="3287B811">
      <w:pPr>
        <w:widowControl/>
        <w:adjustRightInd w:val="0"/>
        <w:snapToGrid w:val="0"/>
        <w:spacing w:line="400" w:lineRule="exact"/>
        <w:jc w:val="left"/>
        <w:rPr>
          <w:rFonts w:hint="default" w:ascii="宋体" w:hAnsi="宋体" w:eastAsia="宋体" w:cs="宋体"/>
          <w:kern w:val="0"/>
          <w:szCs w:val="21"/>
          <w:lang w:val="en-US" w:eastAsia="zh-CN"/>
        </w:rPr>
      </w:pPr>
      <w:r>
        <w:rPr>
          <w:rFonts w:ascii="宋体" w:hAnsi="宋体" w:cs="宋体"/>
          <w:kern w:val="0"/>
          <w:szCs w:val="21"/>
        </w:rPr>
        <w:t>    预算总金额（元）：</w:t>
      </w:r>
      <w:r>
        <w:rPr>
          <w:rFonts w:hint="eastAsia" w:ascii="宋体" w:hAnsi="宋体" w:cs="宋体"/>
          <w:kern w:val="0"/>
          <w:szCs w:val="21"/>
        </w:rPr>
        <w:t>368817</w:t>
      </w:r>
      <w:r>
        <w:rPr>
          <w:rFonts w:hint="eastAsia" w:ascii="宋体" w:hAnsi="宋体" w:cs="宋体"/>
          <w:kern w:val="0"/>
          <w:szCs w:val="21"/>
          <w:lang w:val="en-US" w:eastAsia="zh-CN"/>
        </w:rPr>
        <w:t>00.00</w:t>
      </w:r>
    </w:p>
    <w:p w14:paraId="52FA6650">
      <w:pPr>
        <w:widowControl/>
        <w:adjustRightInd w:val="0"/>
        <w:snapToGrid w:val="0"/>
        <w:spacing w:line="400" w:lineRule="exact"/>
        <w:ind w:firstLine="615"/>
        <w:jc w:val="left"/>
        <w:rPr>
          <w:rFonts w:ascii="宋体" w:hAnsi="宋体" w:cs="宋体"/>
          <w:kern w:val="0"/>
          <w:szCs w:val="21"/>
        </w:rPr>
      </w:pPr>
      <w:r>
        <w:rPr>
          <w:rFonts w:ascii="宋体" w:hAnsi="宋体" w:cs="宋体"/>
          <w:kern w:val="0"/>
          <w:szCs w:val="21"/>
        </w:rPr>
        <w:t>采购需求：</w:t>
      </w:r>
    </w:p>
    <w:p w14:paraId="00DB65D6">
      <w:pPr>
        <w:spacing w:line="380" w:lineRule="exact"/>
        <w:ind w:left="420" w:leftChars="200"/>
        <w:rPr>
          <w:rFonts w:ascii="宋体" w:hAnsi="宋体" w:cs="宋体"/>
          <w:kern w:val="0"/>
          <w:szCs w:val="21"/>
        </w:rPr>
      </w:pPr>
    </w:p>
    <w:p w14:paraId="668C59DF">
      <w:pPr>
        <w:spacing w:line="380" w:lineRule="exact"/>
        <w:ind w:left="420" w:leftChars="200"/>
        <w:rPr>
          <w:rFonts w:hint="eastAsia" w:ascii="宋体" w:hAnsi="宋体"/>
        </w:rPr>
      </w:pPr>
      <w:r>
        <w:rPr>
          <w:rFonts w:ascii="宋体" w:hAnsi="宋体" w:cs="宋体"/>
          <w:kern w:val="0"/>
          <w:szCs w:val="21"/>
        </w:rPr>
        <w:t>标项一</w:t>
      </w:r>
    </w:p>
    <w:p w14:paraId="3352FE46">
      <w:pPr>
        <w:spacing w:line="380" w:lineRule="exact"/>
        <w:ind w:left="420" w:leftChars="200"/>
        <w:rPr>
          <w:rFonts w:ascii="宋体" w:hAnsi="宋体"/>
        </w:rPr>
      </w:pPr>
      <w:r>
        <w:rPr>
          <w:rFonts w:hint="eastAsia" w:ascii="宋体" w:hAnsi="宋体"/>
        </w:rPr>
        <w:t>标项名称：</w:t>
      </w:r>
      <w:r>
        <w:rPr>
          <w:rFonts w:hint="eastAsia" w:ascii="宋体" w:hAnsi="宋体"/>
          <w:lang w:eastAsia="zh-CN"/>
        </w:rPr>
        <w:t>309项目配套AI算力租赁项目</w:t>
      </w:r>
      <w:r>
        <w:rPr>
          <w:rFonts w:hint="eastAsia" w:ascii="宋体" w:hAnsi="宋体"/>
        </w:rPr>
        <w:t>标项一</w:t>
      </w:r>
    </w:p>
    <w:p w14:paraId="425CDC94">
      <w:pPr>
        <w:spacing w:line="380" w:lineRule="exact"/>
        <w:ind w:firstLine="420" w:firstLineChars="200"/>
        <w:rPr>
          <w:rFonts w:hint="eastAsia" w:ascii="宋体" w:hAnsi="宋体"/>
        </w:rPr>
      </w:pPr>
      <w:r>
        <w:rPr>
          <w:rFonts w:hint="eastAsia" w:ascii="宋体" w:hAnsi="宋体"/>
        </w:rPr>
        <w:t>数量：1</w:t>
      </w:r>
    </w:p>
    <w:p w14:paraId="539D83F2">
      <w:pPr>
        <w:spacing w:line="380" w:lineRule="exact"/>
        <w:ind w:firstLine="420" w:firstLineChars="200"/>
        <w:rPr>
          <w:rFonts w:hint="default" w:ascii="宋体" w:hAnsi="宋体" w:eastAsia="宋体"/>
          <w:lang w:val="en-US" w:eastAsia="zh-CN"/>
        </w:rPr>
      </w:pPr>
      <w:r>
        <w:rPr>
          <w:rFonts w:hint="eastAsia" w:ascii="宋体" w:hAnsi="宋体"/>
        </w:rPr>
        <w:t>预算金额（元）：</w:t>
      </w:r>
      <w:r>
        <w:rPr>
          <w:rFonts w:hint="eastAsia" w:ascii="宋体" w:hAnsi="宋体"/>
          <w:lang w:val="en-US" w:eastAsia="zh-CN"/>
        </w:rPr>
        <w:t>15179500.00</w:t>
      </w:r>
    </w:p>
    <w:p w14:paraId="3AD903CC">
      <w:pPr>
        <w:widowControl/>
        <w:spacing w:line="400" w:lineRule="exact"/>
        <w:ind w:firstLine="420" w:firstLineChars="200"/>
        <w:rPr>
          <w:rFonts w:ascii="宋体" w:hAnsi="宋体" w:cs="宋体"/>
          <w:bCs/>
          <w:kern w:val="0"/>
          <w:szCs w:val="21"/>
        </w:rPr>
      </w:pPr>
      <w:r>
        <w:rPr>
          <w:rFonts w:hint="eastAsia" w:ascii="宋体" w:hAnsi="宋体"/>
        </w:rPr>
        <w:t>简要规格描述或项目基本概况介绍、用途：</w:t>
      </w:r>
      <w:r>
        <w:rPr>
          <w:rFonts w:hint="eastAsia" w:ascii="宋体" w:hAnsi="宋体" w:cs="宋体"/>
          <w:bCs/>
          <w:kern w:val="0"/>
          <w:szCs w:val="21"/>
        </w:rPr>
        <w:t>本项目租赁309项目所需的AI算力资源池A，构建灵活的算力资源池，为大模型系统提供推理算力，有助于大模型在实战中的快速迭代。</w:t>
      </w:r>
    </w:p>
    <w:p w14:paraId="2ED88B10">
      <w:pPr>
        <w:spacing w:line="380" w:lineRule="exact"/>
        <w:ind w:firstLine="420" w:firstLineChars="200"/>
        <w:rPr>
          <w:rFonts w:hint="eastAsia" w:ascii="宋体" w:hAnsi="宋体"/>
        </w:rPr>
      </w:pPr>
      <w:r>
        <w:rPr>
          <w:rFonts w:hint="eastAsia" w:ascii="宋体" w:cs="Arial"/>
          <w:szCs w:val="21"/>
        </w:rPr>
        <w:t>如需进一步了解详细内容，详见招标文件。</w:t>
      </w:r>
    </w:p>
    <w:p w14:paraId="6A7D2EED">
      <w:pPr>
        <w:spacing w:line="380" w:lineRule="exact"/>
        <w:ind w:firstLine="420" w:firstLineChars="200"/>
        <w:rPr>
          <w:rFonts w:hint="eastAsia" w:ascii="宋体" w:hAnsi="宋体" w:eastAsia="宋体"/>
          <w:lang w:eastAsia="zh-CN"/>
        </w:rPr>
      </w:pPr>
      <w:r>
        <w:rPr>
          <w:rFonts w:hint="eastAsia" w:ascii="宋体" w:hAnsi="宋体"/>
        </w:rPr>
        <w:t>最高限价（如有）：</w:t>
      </w:r>
      <w:r>
        <w:rPr>
          <w:rFonts w:hint="eastAsia" w:ascii="宋体" w:hAnsi="宋体"/>
          <w:lang w:val="en-US" w:eastAsia="zh-CN"/>
        </w:rPr>
        <w:t>/</w:t>
      </w:r>
    </w:p>
    <w:p w14:paraId="34144B7A">
      <w:pPr>
        <w:spacing w:line="380" w:lineRule="exact"/>
        <w:ind w:firstLine="420" w:firstLineChars="200"/>
        <w:rPr>
          <w:rFonts w:ascii="宋体" w:hAnsi="宋体"/>
        </w:rPr>
      </w:pPr>
      <w:r>
        <w:rPr>
          <w:rFonts w:hint="eastAsia" w:ascii="宋体" w:hAnsi="宋体"/>
        </w:rPr>
        <w:t>合同履约期限：详见</w:t>
      </w:r>
      <w:r>
        <w:rPr>
          <w:rFonts w:hint="eastAsia" w:ascii="宋体" w:hAnsi="宋体" w:cs="宋体"/>
          <w:szCs w:val="21"/>
        </w:rPr>
        <w:t>招标文件</w:t>
      </w:r>
      <w:r>
        <w:rPr>
          <w:rFonts w:hint="eastAsia" w:ascii="宋体" w:hAnsi="宋体"/>
        </w:rPr>
        <w:t>采购需求</w:t>
      </w:r>
    </w:p>
    <w:p w14:paraId="7C1C8A89">
      <w:pPr>
        <w:spacing w:line="380" w:lineRule="exact"/>
        <w:ind w:firstLine="420" w:firstLineChars="200"/>
        <w:rPr>
          <w:rFonts w:hint="eastAsia" w:ascii="宋体" w:hAnsi="宋体"/>
        </w:rPr>
      </w:pPr>
      <w:r>
        <w:rPr>
          <w:rFonts w:hint="eastAsia" w:ascii="宋体" w:hAnsi="宋体"/>
        </w:rPr>
        <w:t>本标项（否）接受联合体投标</w:t>
      </w:r>
    </w:p>
    <w:p w14:paraId="08F35F0F">
      <w:pPr>
        <w:spacing w:line="380" w:lineRule="exact"/>
        <w:ind w:firstLine="420" w:firstLineChars="200"/>
        <w:rPr>
          <w:rFonts w:hint="eastAsia" w:ascii="宋体" w:hAnsi="宋体"/>
        </w:rPr>
      </w:pPr>
      <w:r>
        <w:rPr>
          <w:rFonts w:hint="eastAsia" w:ascii="宋体" w:hAnsi="宋体"/>
        </w:rPr>
        <w:t>备注：本项目为线上电子招标项目，有意向参与本项目的供应商应当做好参与全流程电子招投标交易的充分准备。</w:t>
      </w:r>
    </w:p>
    <w:p w14:paraId="05A3DB0A">
      <w:pPr>
        <w:spacing w:line="380" w:lineRule="exact"/>
        <w:ind w:firstLine="420" w:firstLineChars="200"/>
        <w:rPr>
          <w:rFonts w:hint="eastAsia" w:ascii="宋体" w:hAnsi="宋体"/>
        </w:rPr>
      </w:pPr>
    </w:p>
    <w:p w14:paraId="58D093E6">
      <w:pPr>
        <w:spacing w:line="380" w:lineRule="exact"/>
        <w:ind w:left="420" w:leftChars="200"/>
        <w:rPr>
          <w:rFonts w:hint="eastAsia" w:ascii="宋体" w:hAnsi="宋体"/>
        </w:rPr>
      </w:pPr>
      <w:r>
        <w:rPr>
          <w:rFonts w:ascii="宋体" w:hAnsi="宋体" w:cs="宋体"/>
          <w:kern w:val="0"/>
          <w:szCs w:val="21"/>
        </w:rPr>
        <w:t>标项</w:t>
      </w:r>
      <w:r>
        <w:rPr>
          <w:rFonts w:hint="eastAsia" w:ascii="宋体" w:hAnsi="宋体" w:cs="宋体"/>
          <w:kern w:val="0"/>
          <w:szCs w:val="21"/>
        </w:rPr>
        <w:t>二</w:t>
      </w:r>
    </w:p>
    <w:p w14:paraId="7D83A351">
      <w:pPr>
        <w:spacing w:line="380" w:lineRule="exact"/>
        <w:ind w:left="420" w:leftChars="200"/>
        <w:rPr>
          <w:rFonts w:ascii="宋体" w:hAnsi="宋体"/>
        </w:rPr>
      </w:pPr>
      <w:r>
        <w:rPr>
          <w:rFonts w:hint="eastAsia" w:ascii="宋体" w:hAnsi="宋体"/>
        </w:rPr>
        <w:t>标项名称：</w:t>
      </w:r>
      <w:r>
        <w:rPr>
          <w:rFonts w:hint="eastAsia" w:ascii="宋体" w:hAnsi="宋体"/>
          <w:lang w:eastAsia="zh-CN"/>
        </w:rPr>
        <w:t>309项目配套AI算力租赁项目</w:t>
      </w:r>
      <w:r>
        <w:rPr>
          <w:rFonts w:hint="eastAsia" w:ascii="宋体" w:hAnsi="宋体"/>
        </w:rPr>
        <w:t>标项二</w:t>
      </w:r>
    </w:p>
    <w:p w14:paraId="7D808E66">
      <w:pPr>
        <w:spacing w:line="380" w:lineRule="exact"/>
        <w:ind w:firstLine="420" w:firstLineChars="200"/>
        <w:rPr>
          <w:rFonts w:hint="eastAsia" w:ascii="宋体" w:hAnsi="宋体"/>
        </w:rPr>
      </w:pPr>
      <w:r>
        <w:rPr>
          <w:rFonts w:hint="eastAsia" w:ascii="宋体" w:hAnsi="宋体"/>
        </w:rPr>
        <w:t>数量：1</w:t>
      </w:r>
    </w:p>
    <w:p w14:paraId="52D8ED86">
      <w:pPr>
        <w:spacing w:line="380" w:lineRule="exact"/>
        <w:ind w:firstLine="420" w:firstLineChars="200"/>
        <w:rPr>
          <w:rFonts w:hint="eastAsia" w:ascii="宋体" w:hAnsi="宋体"/>
        </w:rPr>
      </w:pPr>
      <w:r>
        <w:rPr>
          <w:rFonts w:hint="eastAsia" w:ascii="宋体" w:hAnsi="宋体"/>
        </w:rPr>
        <w:t>预算金额（元）：10851100.00</w:t>
      </w:r>
    </w:p>
    <w:p w14:paraId="128DD712">
      <w:pPr>
        <w:spacing w:line="380" w:lineRule="exact"/>
        <w:ind w:firstLine="420" w:firstLineChars="200"/>
        <w:rPr>
          <w:rFonts w:hint="eastAsia" w:ascii="宋体" w:hAnsi="宋体"/>
        </w:rPr>
      </w:pPr>
      <w:r>
        <w:rPr>
          <w:rFonts w:hint="eastAsia" w:ascii="宋体" w:hAnsi="宋体"/>
        </w:rPr>
        <w:t>简要规格描述或项目基本概况介绍、用途：</w:t>
      </w:r>
      <w:r>
        <w:rPr>
          <w:rFonts w:hint="eastAsia" w:ascii="宋体" w:hAnsi="宋体" w:cs="宋体"/>
          <w:bCs/>
          <w:kern w:val="0"/>
          <w:szCs w:val="21"/>
        </w:rPr>
        <w:t>本项目租赁309项目所需的AI算力资源池B，构建灵活的算力资源池，为大模型系统提供推理算力，有助于大模型在实战中的快速迭代。</w:t>
      </w:r>
    </w:p>
    <w:p w14:paraId="5D0A27E3">
      <w:pPr>
        <w:spacing w:line="380" w:lineRule="exact"/>
        <w:ind w:firstLine="420" w:firstLineChars="200"/>
        <w:rPr>
          <w:rFonts w:hint="eastAsia" w:ascii="宋体" w:hAnsi="宋体" w:eastAsia="宋体"/>
          <w:lang w:eastAsia="zh-CN"/>
        </w:rPr>
      </w:pPr>
      <w:r>
        <w:rPr>
          <w:rFonts w:hint="eastAsia" w:ascii="宋体" w:hAnsi="宋体"/>
        </w:rPr>
        <w:t>最高限价（如有）：</w:t>
      </w:r>
      <w:r>
        <w:rPr>
          <w:rFonts w:hint="eastAsia" w:ascii="宋体" w:hAnsi="宋体"/>
          <w:lang w:val="en-US" w:eastAsia="zh-CN"/>
        </w:rPr>
        <w:t>/</w:t>
      </w:r>
    </w:p>
    <w:p w14:paraId="5EB85BE7">
      <w:pPr>
        <w:spacing w:line="380" w:lineRule="exact"/>
        <w:ind w:firstLine="420" w:firstLineChars="200"/>
        <w:rPr>
          <w:rFonts w:ascii="宋体" w:hAnsi="宋体"/>
        </w:rPr>
      </w:pPr>
      <w:r>
        <w:rPr>
          <w:rFonts w:hint="eastAsia" w:ascii="宋体" w:hAnsi="宋体"/>
        </w:rPr>
        <w:t>合同履约期限：详见</w:t>
      </w:r>
      <w:r>
        <w:rPr>
          <w:rFonts w:hint="eastAsia" w:ascii="宋体" w:hAnsi="宋体" w:cs="宋体"/>
          <w:szCs w:val="21"/>
        </w:rPr>
        <w:t>招标文件</w:t>
      </w:r>
      <w:r>
        <w:rPr>
          <w:rFonts w:hint="eastAsia" w:ascii="宋体" w:hAnsi="宋体"/>
        </w:rPr>
        <w:t>采购需求</w:t>
      </w:r>
    </w:p>
    <w:p w14:paraId="28E0B644">
      <w:pPr>
        <w:spacing w:line="380" w:lineRule="exact"/>
        <w:ind w:firstLine="420" w:firstLineChars="200"/>
        <w:rPr>
          <w:rFonts w:hint="eastAsia" w:ascii="宋体" w:hAnsi="宋体"/>
        </w:rPr>
      </w:pPr>
      <w:r>
        <w:rPr>
          <w:rFonts w:hint="eastAsia" w:ascii="宋体" w:hAnsi="宋体"/>
        </w:rPr>
        <w:t>本标项（否）接受联合体投标</w:t>
      </w:r>
    </w:p>
    <w:p w14:paraId="6588C9C8">
      <w:pPr>
        <w:spacing w:line="380" w:lineRule="exact"/>
        <w:ind w:firstLine="420" w:firstLineChars="200"/>
        <w:rPr>
          <w:rFonts w:hint="eastAsia" w:ascii="宋体" w:hAnsi="宋体"/>
        </w:rPr>
      </w:pPr>
      <w:r>
        <w:rPr>
          <w:rFonts w:hint="eastAsia" w:ascii="宋体" w:hAnsi="宋体"/>
        </w:rPr>
        <w:t>备注：本项目为线上电子招标项目，有意向参与本项目的供应商应当做好参与全流程电子招投标交易的充分准备。</w:t>
      </w:r>
    </w:p>
    <w:p w14:paraId="557C96E7">
      <w:pPr>
        <w:spacing w:line="380" w:lineRule="exact"/>
        <w:ind w:firstLine="420" w:firstLineChars="200"/>
        <w:rPr>
          <w:rFonts w:hint="eastAsia" w:ascii="宋体" w:hAnsi="宋体"/>
        </w:rPr>
      </w:pPr>
    </w:p>
    <w:p w14:paraId="72F8827E">
      <w:pPr>
        <w:spacing w:line="380" w:lineRule="exact"/>
        <w:ind w:left="420" w:leftChars="200"/>
        <w:rPr>
          <w:rFonts w:hint="eastAsia" w:ascii="宋体" w:hAnsi="宋体"/>
        </w:rPr>
      </w:pPr>
      <w:r>
        <w:rPr>
          <w:rFonts w:ascii="宋体" w:hAnsi="宋体" w:cs="宋体"/>
          <w:kern w:val="0"/>
          <w:szCs w:val="21"/>
        </w:rPr>
        <w:t>标项</w:t>
      </w:r>
      <w:r>
        <w:rPr>
          <w:rFonts w:hint="eastAsia" w:ascii="宋体" w:hAnsi="宋体" w:cs="宋体"/>
          <w:kern w:val="0"/>
          <w:szCs w:val="21"/>
        </w:rPr>
        <w:t>三</w:t>
      </w:r>
    </w:p>
    <w:p w14:paraId="4EDC80A2">
      <w:pPr>
        <w:spacing w:line="380" w:lineRule="exact"/>
        <w:ind w:left="420" w:leftChars="200"/>
        <w:rPr>
          <w:rFonts w:ascii="宋体" w:hAnsi="宋体"/>
        </w:rPr>
      </w:pPr>
      <w:r>
        <w:rPr>
          <w:rFonts w:hint="eastAsia" w:ascii="宋体" w:hAnsi="宋体"/>
        </w:rPr>
        <w:t>标项名称：</w:t>
      </w:r>
      <w:r>
        <w:rPr>
          <w:rFonts w:hint="eastAsia" w:ascii="宋体" w:hAnsi="宋体"/>
          <w:lang w:eastAsia="zh-CN"/>
        </w:rPr>
        <w:t>309项目配套AI算力租赁项目</w:t>
      </w:r>
      <w:r>
        <w:rPr>
          <w:rFonts w:hint="eastAsia" w:ascii="宋体" w:hAnsi="宋体"/>
        </w:rPr>
        <w:t>标项三</w:t>
      </w:r>
    </w:p>
    <w:p w14:paraId="24DF6501">
      <w:pPr>
        <w:spacing w:line="380" w:lineRule="exact"/>
        <w:ind w:firstLine="420" w:firstLineChars="200"/>
        <w:rPr>
          <w:rFonts w:hint="eastAsia" w:ascii="宋体" w:hAnsi="宋体"/>
        </w:rPr>
      </w:pPr>
      <w:r>
        <w:rPr>
          <w:rFonts w:hint="eastAsia" w:ascii="宋体" w:hAnsi="宋体"/>
        </w:rPr>
        <w:t>数量：1</w:t>
      </w:r>
    </w:p>
    <w:p w14:paraId="11639BCF">
      <w:pPr>
        <w:spacing w:line="380" w:lineRule="exact"/>
        <w:ind w:firstLine="420" w:firstLineChars="200"/>
        <w:rPr>
          <w:rFonts w:hint="eastAsia" w:ascii="宋体" w:hAnsi="宋体"/>
        </w:rPr>
      </w:pPr>
      <w:r>
        <w:rPr>
          <w:rFonts w:hint="eastAsia" w:ascii="宋体" w:hAnsi="宋体"/>
        </w:rPr>
        <w:t>预算金额（元）：10851100.00</w:t>
      </w:r>
    </w:p>
    <w:p w14:paraId="1E38B8E2">
      <w:pPr>
        <w:spacing w:line="380" w:lineRule="exact"/>
        <w:ind w:firstLine="420" w:firstLineChars="200"/>
        <w:rPr>
          <w:rFonts w:hint="eastAsia" w:ascii="宋体" w:hAnsi="宋体" w:cs="宋体"/>
          <w:bCs/>
          <w:kern w:val="0"/>
          <w:szCs w:val="21"/>
        </w:rPr>
      </w:pPr>
      <w:r>
        <w:rPr>
          <w:rFonts w:hint="eastAsia" w:ascii="宋体" w:hAnsi="宋体"/>
        </w:rPr>
        <w:t>简要规格描述或项目基本概况介绍、用途：</w:t>
      </w:r>
      <w:r>
        <w:rPr>
          <w:rFonts w:hint="eastAsia" w:ascii="宋体" w:hAnsi="宋体" w:cs="宋体"/>
          <w:bCs/>
          <w:kern w:val="0"/>
          <w:szCs w:val="21"/>
        </w:rPr>
        <w:t>本项目租赁309项目所需的AI算力资源池C，构建灵活的算力资源池，为大模型系统提供推理算力，有助于大模型在实战中的快速迭代。</w:t>
      </w:r>
    </w:p>
    <w:p w14:paraId="4F63EE70">
      <w:pPr>
        <w:spacing w:line="380" w:lineRule="exact"/>
        <w:ind w:firstLine="420" w:firstLineChars="200"/>
        <w:rPr>
          <w:rFonts w:hint="eastAsia" w:ascii="宋体" w:hAnsi="宋体"/>
        </w:rPr>
      </w:pPr>
      <w:r>
        <w:rPr>
          <w:rFonts w:hint="eastAsia" w:ascii="宋体" w:cs="Arial"/>
          <w:szCs w:val="21"/>
        </w:rPr>
        <w:t>如需进一步了解详细内容，详见招标文件。</w:t>
      </w:r>
    </w:p>
    <w:p w14:paraId="38390B9C">
      <w:pPr>
        <w:spacing w:line="380" w:lineRule="exact"/>
        <w:ind w:firstLine="420" w:firstLineChars="200"/>
        <w:rPr>
          <w:rFonts w:hint="eastAsia" w:ascii="宋体" w:hAnsi="宋体" w:eastAsia="宋体"/>
          <w:lang w:eastAsia="zh-CN"/>
        </w:rPr>
      </w:pPr>
      <w:r>
        <w:rPr>
          <w:rFonts w:hint="eastAsia" w:ascii="宋体" w:hAnsi="宋体"/>
        </w:rPr>
        <w:t>最高限价（如有）：</w:t>
      </w:r>
      <w:r>
        <w:rPr>
          <w:rFonts w:hint="eastAsia" w:ascii="宋体" w:hAnsi="宋体"/>
          <w:lang w:val="en-US" w:eastAsia="zh-CN"/>
        </w:rPr>
        <w:t>/</w:t>
      </w:r>
    </w:p>
    <w:p w14:paraId="24F15874">
      <w:pPr>
        <w:spacing w:line="380" w:lineRule="exact"/>
        <w:ind w:firstLine="420" w:firstLineChars="200"/>
        <w:rPr>
          <w:rFonts w:ascii="宋体" w:hAnsi="宋体"/>
        </w:rPr>
      </w:pPr>
      <w:r>
        <w:rPr>
          <w:rFonts w:hint="eastAsia" w:ascii="宋体" w:hAnsi="宋体"/>
        </w:rPr>
        <w:t>合同履约期限：详见</w:t>
      </w:r>
      <w:r>
        <w:rPr>
          <w:rFonts w:hint="eastAsia" w:ascii="宋体" w:hAnsi="宋体" w:cs="宋体"/>
          <w:szCs w:val="21"/>
        </w:rPr>
        <w:t>招标文件</w:t>
      </w:r>
      <w:r>
        <w:rPr>
          <w:rFonts w:hint="eastAsia" w:ascii="宋体" w:hAnsi="宋体"/>
        </w:rPr>
        <w:t>采购需求</w:t>
      </w:r>
    </w:p>
    <w:p w14:paraId="29C4D84A">
      <w:pPr>
        <w:spacing w:line="380" w:lineRule="exact"/>
        <w:ind w:firstLine="420" w:firstLineChars="200"/>
        <w:rPr>
          <w:rFonts w:hint="eastAsia" w:ascii="宋体" w:hAnsi="宋体"/>
        </w:rPr>
      </w:pPr>
      <w:r>
        <w:rPr>
          <w:rFonts w:hint="eastAsia" w:ascii="宋体" w:hAnsi="宋体"/>
        </w:rPr>
        <w:t>本标项（否）接受联合体投标</w:t>
      </w:r>
    </w:p>
    <w:p w14:paraId="7B28A9DC">
      <w:pPr>
        <w:spacing w:line="380" w:lineRule="exact"/>
        <w:ind w:firstLine="420" w:firstLineChars="200"/>
        <w:rPr>
          <w:rFonts w:hint="eastAsia" w:ascii="宋体" w:hAnsi="宋体"/>
        </w:rPr>
      </w:pPr>
      <w:r>
        <w:rPr>
          <w:rFonts w:hint="eastAsia" w:ascii="宋体" w:hAnsi="宋体"/>
        </w:rPr>
        <w:t>备注：本项目为线上电子招标项目，有意向参与本项目的供应商应当做好参与全流程电子招投标交易的充分准备。</w:t>
      </w:r>
    </w:p>
    <w:p w14:paraId="00D6B952">
      <w:pPr>
        <w:spacing w:line="380" w:lineRule="exact"/>
        <w:outlineLvl w:val="1"/>
        <w:rPr>
          <w:rFonts w:ascii="宋体" w:hAnsi="宋体"/>
          <w:b/>
        </w:rPr>
      </w:pPr>
      <w:bookmarkStart w:id="16" w:name="_Toc28359003"/>
      <w:bookmarkStart w:id="17" w:name="_Toc35393622"/>
      <w:bookmarkStart w:id="18" w:name="_Toc28359080"/>
      <w:bookmarkStart w:id="19" w:name="_Toc35393791"/>
      <w:r>
        <w:rPr>
          <w:rFonts w:hint="eastAsia" w:ascii="宋体" w:hAnsi="宋体"/>
          <w:b/>
        </w:rPr>
        <w:t>二、申请人的资格要求：</w:t>
      </w:r>
      <w:bookmarkEnd w:id="16"/>
      <w:bookmarkEnd w:id="17"/>
      <w:bookmarkEnd w:id="18"/>
      <w:bookmarkEnd w:id="19"/>
    </w:p>
    <w:p w14:paraId="7C0E1080">
      <w:pPr>
        <w:spacing w:line="380" w:lineRule="exact"/>
        <w:ind w:firstLine="420" w:firstLineChars="200"/>
        <w:rPr>
          <w:rFonts w:ascii="宋体" w:hAnsi="宋体"/>
        </w:rPr>
      </w:pPr>
      <w:r>
        <w:rPr>
          <w:rFonts w:hint="eastAsia" w:ascii="宋体" w:hAnsi="宋体"/>
        </w:rPr>
        <w:t>1.满足《中华人民共和国政府采购法》第二十二条规定；</w:t>
      </w:r>
    </w:p>
    <w:p w14:paraId="2A72C3B1">
      <w:pPr>
        <w:spacing w:line="380" w:lineRule="exact"/>
        <w:ind w:firstLine="420" w:firstLineChars="200"/>
        <w:rPr>
          <w:rFonts w:ascii="宋体" w:hAnsi="宋体"/>
        </w:rPr>
      </w:pPr>
      <w:r>
        <w:rPr>
          <w:rFonts w:ascii="宋体" w:hAnsi="宋体"/>
        </w:rPr>
        <w:t>2</w:t>
      </w:r>
      <w:r>
        <w:rPr>
          <w:rFonts w:hint="eastAsia" w:ascii="宋体" w:hAnsi="宋体"/>
        </w:rPr>
        <w:t>.落实政府采购政策需满足的资格要求：非专门面向中小企业采购的项目；</w:t>
      </w:r>
    </w:p>
    <w:p w14:paraId="6115C177">
      <w:pPr>
        <w:spacing w:line="380" w:lineRule="exact"/>
        <w:ind w:firstLine="420" w:firstLineChars="200"/>
        <w:rPr>
          <w:rFonts w:ascii="宋体" w:hAnsi="宋体"/>
          <w:i/>
          <w:iCs/>
          <w:u w:val="single"/>
        </w:rPr>
      </w:pPr>
      <w:r>
        <w:rPr>
          <w:rFonts w:hint="eastAsia" w:ascii="宋体" w:hAnsi="宋体"/>
        </w:rPr>
        <w:t>3.本项目的特定资格要求：无。</w:t>
      </w:r>
    </w:p>
    <w:p w14:paraId="2357AA82">
      <w:pPr>
        <w:spacing w:line="380" w:lineRule="exact"/>
        <w:outlineLvl w:val="1"/>
        <w:rPr>
          <w:rFonts w:ascii="宋体" w:hAnsi="宋体"/>
          <w:b/>
        </w:rPr>
      </w:pPr>
      <w:bookmarkStart w:id="20" w:name="_Toc35393792"/>
      <w:bookmarkStart w:id="21" w:name="_Toc35393623"/>
      <w:r>
        <w:rPr>
          <w:rFonts w:hint="eastAsia" w:ascii="宋体" w:hAnsi="宋体"/>
          <w:b/>
        </w:rPr>
        <w:t>三、获取招标文件</w:t>
      </w:r>
      <w:bookmarkEnd w:id="14"/>
      <w:bookmarkEnd w:id="15"/>
      <w:bookmarkEnd w:id="20"/>
      <w:bookmarkEnd w:id="21"/>
    </w:p>
    <w:p w14:paraId="36D9E076">
      <w:pPr>
        <w:spacing w:line="380" w:lineRule="exact"/>
        <w:ind w:firstLine="420" w:firstLineChars="200"/>
        <w:rPr>
          <w:rFonts w:ascii="宋体" w:hAnsi="宋体"/>
        </w:rPr>
      </w:pPr>
      <w:r>
        <w:rPr>
          <w:rFonts w:hint="eastAsia" w:ascii="宋体" w:hAnsi="宋体"/>
        </w:rPr>
        <w:t>时间：</w:t>
      </w:r>
      <w:r>
        <w:rPr>
          <w:rFonts w:hint="eastAsia" w:ascii="宋体" w:hAnsi="宋体"/>
          <w:u w:val="single"/>
        </w:rPr>
        <w:t>2026年</w:t>
      </w:r>
      <w:r>
        <w:rPr>
          <w:rFonts w:hint="eastAsia" w:ascii="宋体" w:hAnsi="宋体"/>
          <w:u w:val="single"/>
          <w:lang w:val="en-US" w:eastAsia="zh-CN"/>
        </w:rPr>
        <w:t>2</w:t>
      </w:r>
      <w:r>
        <w:rPr>
          <w:rFonts w:hint="eastAsia" w:ascii="宋体" w:hAnsi="宋体"/>
          <w:u w:val="single"/>
        </w:rPr>
        <w:t>月</w:t>
      </w:r>
      <w:r>
        <w:rPr>
          <w:rFonts w:hint="eastAsia" w:ascii="宋体" w:hAnsi="宋体"/>
          <w:u w:val="single"/>
          <w:lang w:val="en-US" w:eastAsia="zh-CN"/>
        </w:rPr>
        <w:t>10</w:t>
      </w:r>
      <w:r>
        <w:rPr>
          <w:rFonts w:hint="eastAsia" w:ascii="宋体" w:hAnsi="宋体"/>
          <w:u w:val="single"/>
        </w:rPr>
        <w:t>日</w:t>
      </w:r>
      <w:r>
        <w:rPr>
          <w:rFonts w:hint="eastAsia" w:ascii="宋体" w:hAnsi="宋体"/>
        </w:rPr>
        <w:t>至</w:t>
      </w:r>
      <w:r>
        <w:rPr>
          <w:rFonts w:hint="eastAsia" w:ascii="宋体" w:hAnsi="宋体"/>
          <w:u w:val="single"/>
        </w:rPr>
        <w:t>2026年</w:t>
      </w:r>
      <w:r>
        <w:rPr>
          <w:rFonts w:hint="eastAsia" w:ascii="宋体" w:hAnsi="宋体"/>
          <w:u w:val="single"/>
          <w:lang w:val="en-US" w:eastAsia="zh-CN"/>
        </w:rPr>
        <w:t>2</w:t>
      </w:r>
      <w:r>
        <w:rPr>
          <w:rFonts w:hint="eastAsia" w:ascii="宋体" w:hAnsi="宋体"/>
          <w:u w:val="single"/>
        </w:rPr>
        <w:t>月</w:t>
      </w:r>
      <w:r>
        <w:rPr>
          <w:rFonts w:hint="eastAsia" w:ascii="宋体" w:hAnsi="宋体"/>
          <w:u w:val="single"/>
          <w:lang w:val="en-US" w:eastAsia="zh-CN"/>
        </w:rPr>
        <w:t>24</w:t>
      </w:r>
      <w:r>
        <w:rPr>
          <w:rFonts w:hint="eastAsia" w:ascii="宋体" w:hAnsi="宋体"/>
          <w:u w:val="single"/>
        </w:rPr>
        <w:t>日</w:t>
      </w:r>
      <w:r>
        <w:rPr>
          <w:rFonts w:hint="eastAsia" w:ascii="宋体" w:hAnsi="宋体"/>
        </w:rPr>
        <w:t>，每天上午</w:t>
      </w:r>
      <w:r>
        <w:rPr>
          <w:rFonts w:hint="eastAsia" w:ascii="宋体" w:hAnsi="宋体"/>
          <w:u w:val="single"/>
        </w:rPr>
        <w:t>8时30分</w:t>
      </w:r>
      <w:r>
        <w:rPr>
          <w:rFonts w:hint="eastAsia" w:ascii="宋体" w:hAnsi="宋体"/>
        </w:rPr>
        <w:t>至</w:t>
      </w:r>
      <w:r>
        <w:rPr>
          <w:rFonts w:hint="eastAsia" w:ascii="宋体" w:hAnsi="宋体"/>
          <w:u w:val="single"/>
        </w:rPr>
        <w:t>11时59分</w:t>
      </w:r>
      <w:r>
        <w:rPr>
          <w:rFonts w:hint="eastAsia" w:ascii="宋体" w:hAnsi="宋体"/>
        </w:rPr>
        <w:t>，下午</w:t>
      </w:r>
      <w:r>
        <w:rPr>
          <w:rFonts w:hint="eastAsia" w:ascii="宋体" w:hAnsi="宋体"/>
          <w:u w:val="single"/>
        </w:rPr>
        <w:t>12时00分</w:t>
      </w:r>
      <w:r>
        <w:rPr>
          <w:rFonts w:hint="eastAsia" w:ascii="宋体" w:hAnsi="宋体"/>
        </w:rPr>
        <w:t>至</w:t>
      </w:r>
      <w:r>
        <w:rPr>
          <w:rFonts w:hint="eastAsia" w:ascii="宋体" w:hAnsi="宋体"/>
          <w:u w:val="single"/>
        </w:rPr>
        <w:t>18时00分</w:t>
      </w:r>
      <w:r>
        <w:rPr>
          <w:rFonts w:hint="eastAsia" w:ascii="宋体" w:hAnsi="宋体"/>
        </w:rPr>
        <w:t>（北京时间，</w:t>
      </w:r>
      <w:r>
        <w:rPr>
          <w:rFonts w:ascii="宋体" w:hAnsi="宋体"/>
        </w:rPr>
        <w:t>法定节假日</w:t>
      </w:r>
      <w:r>
        <w:rPr>
          <w:rFonts w:hint="eastAsia" w:ascii="宋体" w:hAnsi="宋体"/>
        </w:rPr>
        <w:t>除外）</w:t>
      </w:r>
    </w:p>
    <w:p w14:paraId="4C509C0E">
      <w:pPr>
        <w:spacing w:line="380" w:lineRule="exact"/>
        <w:ind w:firstLine="420" w:firstLineChars="200"/>
        <w:rPr>
          <w:rFonts w:hint="eastAsia" w:ascii="宋体" w:hAnsi="宋体"/>
        </w:rPr>
      </w:pPr>
      <w:r>
        <w:rPr>
          <w:rFonts w:hint="eastAsia" w:ascii="宋体" w:hAnsi="宋体"/>
        </w:rPr>
        <w:t>地点（网址）：广西政府采购云平台（https://www.gcy.zfcg.gxzf.gov.cn/）</w:t>
      </w:r>
    </w:p>
    <w:p w14:paraId="4D820F4E">
      <w:pPr>
        <w:spacing w:line="380" w:lineRule="exact"/>
        <w:ind w:firstLine="420" w:firstLineChars="200"/>
        <w:rPr>
          <w:rFonts w:hint="eastAsia" w:ascii="宋体" w:hAnsi="宋体"/>
        </w:rPr>
      </w:pPr>
      <w:r>
        <w:rPr>
          <w:rFonts w:hint="eastAsia" w:ascii="宋体" w:hAnsi="宋体"/>
        </w:rPr>
        <w:t>方式：请登录广西政府采购云平台（https://www.gcy.zfcg.gxzf.gov.cn/）进行报名并获取采购文件；未注册的供应商可在广西政府采购云平台完成注册后再行报名。如在操作过程中遇到问题或需技术支持，请致电广西政府采购云平台客服热线：95763。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178654E1">
      <w:pPr>
        <w:spacing w:line="380" w:lineRule="exact"/>
        <w:ind w:firstLine="420" w:firstLineChars="200"/>
        <w:rPr>
          <w:rFonts w:hint="eastAsia" w:ascii="宋体" w:hAnsi="宋体"/>
        </w:rPr>
      </w:pPr>
      <w:r>
        <w:rPr>
          <w:rFonts w:ascii="宋体" w:hAnsi="宋体" w:cs="宋体"/>
          <w:kern w:val="0"/>
          <w:szCs w:val="21"/>
        </w:rPr>
        <w:t>售价（元）：</w:t>
      </w:r>
      <w:r>
        <w:rPr>
          <w:rFonts w:hint="eastAsia" w:ascii="宋体" w:hAnsi="宋体" w:cs="宋体"/>
          <w:kern w:val="0"/>
          <w:szCs w:val="21"/>
        </w:rPr>
        <w:t>0</w:t>
      </w:r>
    </w:p>
    <w:p w14:paraId="0074627A">
      <w:pPr>
        <w:spacing w:line="380" w:lineRule="exact"/>
        <w:outlineLvl w:val="1"/>
        <w:rPr>
          <w:rFonts w:ascii="宋体" w:hAnsi="宋体"/>
          <w:b/>
        </w:rPr>
      </w:pPr>
      <w:bookmarkStart w:id="22" w:name="_Toc28359082"/>
      <w:bookmarkStart w:id="23" w:name="_Toc28359005"/>
      <w:bookmarkStart w:id="24" w:name="_Toc35393624"/>
      <w:bookmarkStart w:id="25" w:name="_Toc35393793"/>
      <w:r>
        <w:rPr>
          <w:rFonts w:hint="eastAsia" w:ascii="宋体" w:hAnsi="宋体"/>
          <w:b/>
        </w:rPr>
        <w:t>四、提交投标文件</w:t>
      </w:r>
      <w:bookmarkEnd w:id="22"/>
      <w:bookmarkEnd w:id="23"/>
      <w:r>
        <w:rPr>
          <w:rFonts w:hint="eastAsia" w:ascii="宋体" w:hAnsi="宋体"/>
          <w:b/>
        </w:rPr>
        <w:t>截止时间、开标时间和地点</w:t>
      </w:r>
      <w:bookmarkEnd w:id="24"/>
      <w:bookmarkEnd w:id="25"/>
    </w:p>
    <w:p w14:paraId="1ADEFE85">
      <w:pPr>
        <w:spacing w:line="380" w:lineRule="exact"/>
        <w:ind w:firstLine="420" w:firstLineChars="200"/>
        <w:rPr>
          <w:rFonts w:hint="eastAsia" w:ascii="宋体" w:hAnsi="宋体"/>
          <w:bCs/>
        </w:rPr>
      </w:pPr>
      <w:r>
        <w:rPr>
          <w:rFonts w:hint="eastAsia" w:ascii="宋体" w:hAnsi="宋体"/>
          <w:bCs/>
        </w:rPr>
        <w:t>提交投标文件截止时间：2026年</w:t>
      </w:r>
      <w:r>
        <w:rPr>
          <w:rFonts w:hint="eastAsia" w:ascii="宋体" w:hAnsi="宋体"/>
          <w:bCs/>
          <w:lang w:val="en-US" w:eastAsia="zh-CN"/>
        </w:rPr>
        <w:t>3</w:t>
      </w:r>
      <w:r>
        <w:rPr>
          <w:rFonts w:hint="eastAsia" w:ascii="宋体" w:hAnsi="宋体"/>
          <w:bCs/>
        </w:rPr>
        <w:t>月</w:t>
      </w:r>
      <w:r>
        <w:rPr>
          <w:rFonts w:hint="eastAsia" w:ascii="宋体" w:hAnsi="宋体"/>
          <w:bCs/>
          <w:lang w:val="en-US" w:eastAsia="zh-CN"/>
        </w:rPr>
        <w:t>3</w:t>
      </w:r>
      <w:r>
        <w:rPr>
          <w:rFonts w:hint="eastAsia" w:ascii="宋体" w:hAnsi="宋体"/>
          <w:bCs/>
        </w:rPr>
        <w:t>日 09:30（北京时间）</w:t>
      </w:r>
    </w:p>
    <w:p w14:paraId="232C0639">
      <w:pPr>
        <w:spacing w:line="380" w:lineRule="exact"/>
        <w:ind w:firstLine="420" w:firstLineChars="200"/>
        <w:rPr>
          <w:rFonts w:hint="eastAsia" w:ascii="宋体" w:hAnsi="宋体"/>
          <w:bCs/>
        </w:rPr>
      </w:pPr>
      <w:r>
        <w:rPr>
          <w:rFonts w:hint="eastAsia" w:ascii="宋体" w:hAnsi="宋体"/>
          <w:bCs/>
        </w:rPr>
        <w:t>投标地点（网址）：广西政府采购云平台（https://www.gcy.zfcg.gxzf.gov.cn/）（</w:t>
      </w:r>
      <w:r>
        <w:rPr>
          <w:rFonts w:hint="eastAsia" w:ascii="宋体" w:hAnsi="宋体"/>
          <w:szCs w:val="21"/>
        </w:rPr>
        <w:t>本项目为全流程电子化项目，供应商应派法定代表人或委托代理人准时在线出席电子评审会议，随时关注评审进度，如在评审过程中有电子询标，应在规定的时间内对电子询标函进行澄清回复。</w:t>
      </w:r>
      <w:r>
        <w:rPr>
          <w:rFonts w:hint="eastAsia" w:ascii="宋体" w:hAnsi="宋体"/>
          <w:bCs/>
        </w:rPr>
        <w:t>）</w:t>
      </w:r>
    </w:p>
    <w:p w14:paraId="0BCC472F">
      <w:pPr>
        <w:spacing w:line="380" w:lineRule="exact"/>
        <w:ind w:firstLine="420" w:firstLineChars="200"/>
        <w:rPr>
          <w:rFonts w:hint="eastAsia" w:ascii="宋体" w:hAnsi="宋体"/>
          <w:bCs/>
        </w:rPr>
      </w:pPr>
      <w:r>
        <w:rPr>
          <w:rFonts w:hint="eastAsia" w:ascii="宋体" w:hAnsi="宋体"/>
          <w:bCs/>
        </w:rPr>
        <w:t>开标时间：2026年</w:t>
      </w:r>
      <w:r>
        <w:rPr>
          <w:rFonts w:hint="eastAsia" w:ascii="宋体" w:hAnsi="宋体"/>
          <w:bCs/>
          <w:lang w:val="en-US" w:eastAsia="zh-CN"/>
        </w:rPr>
        <w:t>3</w:t>
      </w:r>
      <w:r>
        <w:rPr>
          <w:rFonts w:hint="eastAsia" w:ascii="宋体" w:hAnsi="宋体"/>
          <w:bCs/>
        </w:rPr>
        <w:t>月</w:t>
      </w:r>
      <w:r>
        <w:rPr>
          <w:rFonts w:hint="eastAsia" w:ascii="宋体" w:hAnsi="宋体"/>
          <w:bCs/>
          <w:lang w:val="en-US" w:eastAsia="zh-CN"/>
        </w:rPr>
        <w:t>3</w:t>
      </w:r>
      <w:r>
        <w:rPr>
          <w:rFonts w:hint="eastAsia" w:ascii="宋体" w:hAnsi="宋体"/>
          <w:bCs/>
        </w:rPr>
        <w:t>日 09:30（北京时间）</w:t>
      </w:r>
    </w:p>
    <w:p w14:paraId="3609F4C4">
      <w:pPr>
        <w:spacing w:line="380" w:lineRule="exact"/>
        <w:ind w:firstLine="420" w:firstLineChars="200"/>
        <w:rPr>
          <w:rFonts w:hint="eastAsia" w:ascii="宋体" w:hAnsi="宋体"/>
        </w:rPr>
      </w:pPr>
      <w:r>
        <w:rPr>
          <w:rFonts w:hint="eastAsia" w:ascii="宋体" w:hAnsi="宋体"/>
          <w:bCs/>
        </w:rPr>
        <w:t>开标地点：广西政府采购云平台电子开标大厅</w:t>
      </w:r>
    </w:p>
    <w:p w14:paraId="652A3794">
      <w:pPr>
        <w:spacing w:line="380" w:lineRule="exact"/>
        <w:outlineLvl w:val="1"/>
        <w:rPr>
          <w:rFonts w:ascii="宋体" w:hAnsi="宋体"/>
          <w:b/>
        </w:rPr>
      </w:pPr>
      <w:bookmarkStart w:id="26" w:name="_Toc28359084"/>
      <w:bookmarkStart w:id="27" w:name="_Toc35393794"/>
      <w:bookmarkStart w:id="28" w:name="_Toc28359007"/>
      <w:bookmarkStart w:id="29" w:name="_Toc35393625"/>
      <w:r>
        <w:rPr>
          <w:rFonts w:hint="eastAsia" w:ascii="宋体" w:hAnsi="宋体"/>
          <w:b/>
        </w:rPr>
        <w:t>五、公告期限</w:t>
      </w:r>
      <w:bookmarkEnd w:id="26"/>
      <w:bookmarkEnd w:id="27"/>
      <w:bookmarkEnd w:id="28"/>
      <w:bookmarkEnd w:id="29"/>
    </w:p>
    <w:p w14:paraId="213DFB03">
      <w:pPr>
        <w:spacing w:line="380" w:lineRule="exact"/>
        <w:ind w:firstLine="420" w:firstLineChars="200"/>
        <w:rPr>
          <w:rFonts w:ascii="宋体" w:hAnsi="宋体"/>
          <w:kern w:val="0"/>
        </w:rPr>
      </w:pPr>
      <w:r>
        <w:rPr>
          <w:rFonts w:hint="eastAsia" w:ascii="宋体" w:hAnsi="宋体"/>
          <w:kern w:val="0"/>
        </w:rPr>
        <w:t>自本公告发布之日起5个工作日。</w:t>
      </w:r>
    </w:p>
    <w:p w14:paraId="599214E1">
      <w:pPr>
        <w:spacing w:line="380" w:lineRule="exact"/>
        <w:outlineLvl w:val="1"/>
        <w:rPr>
          <w:rFonts w:ascii="宋体" w:hAnsi="宋体"/>
          <w:b/>
        </w:rPr>
      </w:pPr>
      <w:bookmarkStart w:id="30" w:name="_Toc35393626"/>
      <w:bookmarkStart w:id="31" w:name="_Toc35393795"/>
      <w:r>
        <w:rPr>
          <w:rFonts w:hint="eastAsia" w:ascii="宋体" w:hAnsi="宋体"/>
          <w:b/>
        </w:rPr>
        <w:t>六、其他补充事宜</w:t>
      </w:r>
      <w:bookmarkEnd w:id="30"/>
      <w:bookmarkEnd w:id="31"/>
    </w:p>
    <w:p w14:paraId="7C4E6DC1">
      <w:pPr>
        <w:spacing w:line="380" w:lineRule="exact"/>
        <w:ind w:firstLine="420" w:firstLineChars="200"/>
        <w:rPr>
          <w:rFonts w:hint="eastAsia" w:ascii="宋体" w:hAnsi="宋体"/>
        </w:rPr>
      </w:pPr>
      <w:bookmarkStart w:id="32" w:name="OLE_LINK1"/>
      <w:r>
        <w:rPr>
          <w:rFonts w:hint="eastAsia" w:ascii="宋体" w:hAnsi="宋体"/>
        </w:rPr>
        <w:t>1.</w:t>
      </w:r>
      <w:r>
        <w:rPr>
          <w:rFonts w:hint="eastAsia" w:ascii="宋体" w:hAnsi="宋体"/>
          <w:bCs/>
        </w:rPr>
        <w:t xml:space="preserve"> 投标保证金</w:t>
      </w:r>
      <w:r>
        <w:rPr>
          <w:rFonts w:hint="eastAsia" w:ascii="宋体" w:hAnsi="宋体"/>
        </w:rPr>
        <w:t>（人民币）：标项一：</w:t>
      </w:r>
      <w:r>
        <w:rPr>
          <w:rFonts w:hint="eastAsia" w:ascii="宋体" w:hAnsi="宋体"/>
          <w:bCs/>
          <w:u w:val="single"/>
        </w:rPr>
        <w:t xml:space="preserve"> 150,000.00 </w:t>
      </w:r>
      <w:r>
        <w:rPr>
          <w:rFonts w:hint="eastAsia" w:ascii="宋体" w:hAnsi="宋体"/>
          <w:bCs/>
        </w:rPr>
        <w:t>元；</w:t>
      </w:r>
      <w:r>
        <w:rPr>
          <w:rFonts w:hint="eastAsia" w:ascii="宋体" w:hAnsi="宋体"/>
        </w:rPr>
        <w:t>标项二：</w:t>
      </w:r>
      <w:r>
        <w:rPr>
          <w:rFonts w:hint="eastAsia" w:ascii="宋体" w:hAnsi="宋体"/>
          <w:bCs/>
          <w:u w:val="single"/>
        </w:rPr>
        <w:t>100,000.00</w:t>
      </w:r>
      <w:r>
        <w:rPr>
          <w:rFonts w:hint="eastAsia" w:ascii="宋体" w:hAnsi="宋体"/>
          <w:bCs/>
        </w:rPr>
        <w:t>元；</w:t>
      </w:r>
      <w:r>
        <w:rPr>
          <w:rFonts w:hint="eastAsia" w:ascii="宋体" w:hAnsi="宋体"/>
        </w:rPr>
        <w:t>标项三：</w:t>
      </w:r>
      <w:r>
        <w:rPr>
          <w:rFonts w:hint="eastAsia" w:ascii="宋体" w:hAnsi="宋体"/>
          <w:u w:val="single"/>
        </w:rPr>
        <w:t>9</w:t>
      </w:r>
      <w:r>
        <w:rPr>
          <w:rFonts w:hint="eastAsia" w:ascii="宋体" w:hAnsi="宋体"/>
          <w:bCs/>
          <w:u w:val="single"/>
        </w:rPr>
        <w:t>0,000.00</w:t>
      </w:r>
      <w:r>
        <w:rPr>
          <w:rFonts w:hint="eastAsia" w:ascii="宋体" w:hAnsi="宋体"/>
          <w:bCs/>
        </w:rPr>
        <w:t>元</w:t>
      </w:r>
      <w:r>
        <w:rPr>
          <w:rFonts w:hint="eastAsia" w:ascii="宋体" w:hAnsi="宋体"/>
        </w:rPr>
        <w:t>。（必须足额交纳）</w:t>
      </w:r>
    </w:p>
    <w:bookmarkEnd w:id="32"/>
    <w:p w14:paraId="2D1F32A3">
      <w:pPr>
        <w:spacing w:line="380" w:lineRule="exact"/>
        <w:ind w:firstLine="420" w:firstLineChars="200"/>
        <w:rPr>
          <w:rFonts w:hint="eastAsia" w:ascii="宋体" w:hAnsi="宋体"/>
        </w:rPr>
      </w:pPr>
      <w:r>
        <w:rPr>
          <w:rFonts w:hint="eastAsia" w:ascii="宋体" w:hAnsi="宋体"/>
        </w:rPr>
        <w:t>（1）投标保证金的交纳方式：支票、汇票、本票、网上银行或者银行、保险机构出具的保函等非现金形式。</w:t>
      </w:r>
    </w:p>
    <w:p w14:paraId="34E40A01">
      <w:pPr>
        <w:spacing w:line="380" w:lineRule="exact"/>
        <w:ind w:firstLine="420" w:firstLineChars="200"/>
        <w:rPr>
          <w:rFonts w:hint="eastAsia" w:ascii="宋体" w:hAnsi="宋体"/>
        </w:rPr>
      </w:pPr>
      <w:r>
        <w:rPr>
          <w:rFonts w:hint="eastAsia" w:ascii="宋体" w:hAnsi="宋体"/>
        </w:rPr>
        <w:t>（2）采用银行转账方式的，投标人应于提交投标文件截止时间前将投标保证金交至以下账户：</w:t>
      </w:r>
    </w:p>
    <w:p w14:paraId="2BB48694">
      <w:pPr>
        <w:spacing w:line="380" w:lineRule="exact"/>
        <w:ind w:firstLine="420" w:firstLineChars="200"/>
        <w:rPr>
          <w:rFonts w:hint="eastAsia" w:ascii="宋体" w:hAnsi="宋体"/>
        </w:rPr>
      </w:pPr>
      <w:r>
        <w:rPr>
          <w:rFonts w:hint="eastAsia" w:ascii="宋体" w:hAnsi="宋体"/>
        </w:rPr>
        <w:t>开户名称：广西国力招标有限公司</w:t>
      </w:r>
    </w:p>
    <w:p w14:paraId="36776FD1">
      <w:pPr>
        <w:spacing w:line="380" w:lineRule="exact"/>
        <w:ind w:firstLine="420" w:firstLineChars="200"/>
        <w:rPr>
          <w:rFonts w:hint="eastAsia" w:ascii="宋体" w:hAnsi="宋体"/>
        </w:rPr>
      </w:pPr>
      <w:r>
        <w:rPr>
          <w:rFonts w:hint="eastAsia" w:ascii="宋体" w:hAnsi="宋体"/>
        </w:rPr>
        <w:t>开户银行：广西北部湾银行金凯支行（网银支付可选广西北部湾银行江南支行）</w:t>
      </w:r>
    </w:p>
    <w:p w14:paraId="648A63DE">
      <w:pPr>
        <w:spacing w:line="380" w:lineRule="exact"/>
        <w:ind w:firstLine="420" w:firstLineChars="200"/>
        <w:rPr>
          <w:rFonts w:hint="eastAsia" w:ascii="宋体" w:hAnsi="宋体"/>
        </w:rPr>
      </w:pPr>
      <w:r>
        <w:rPr>
          <w:rFonts w:hint="eastAsia" w:ascii="宋体" w:hAnsi="宋体"/>
        </w:rPr>
        <w:t>银行账号：800109057455558</w:t>
      </w:r>
    </w:p>
    <w:p w14:paraId="59FBB69E">
      <w:pPr>
        <w:spacing w:line="380" w:lineRule="exact"/>
        <w:ind w:firstLine="420" w:firstLineChars="200"/>
        <w:rPr>
          <w:rFonts w:hint="eastAsia" w:ascii="宋体" w:hAnsi="宋体"/>
        </w:rPr>
      </w:pPr>
      <w:r>
        <w:rPr>
          <w:rFonts w:hint="eastAsia" w:ascii="宋体" w:hAnsi="宋体"/>
        </w:rPr>
        <w:t>银行行号：313611002043</w:t>
      </w:r>
    </w:p>
    <w:p w14:paraId="61DA1CA3">
      <w:pPr>
        <w:spacing w:line="380" w:lineRule="exact"/>
        <w:ind w:firstLine="420" w:firstLineChars="200"/>
        <w:rPr>
          <w:rFonts w:hint="eastAsia" w:ascii="宋体" w:hAnsi="宋体"/>
        </w:rPr>
      </w:pPr>
      <w:r>
        <w:rPr>
          <w:rFonts w:hint="eastAsia" w:ascii="宋体" w:hAnsi="宋体"/>
        </w:rPr>
        <w:t>（3）采用支票、汇票、本票或者保函等形式的，投标人应于提交投标文件截止时间前递交单独密封的支票、汇票、本票或者保函原件（电子保函除外）至我公司财务部。（财务部联系方式：地址：广西南宁市白沙大道53号松宇时代13楼；电话：0771-4915100、4915200）</w:t>
      </w:r>
    </w:p>
    <w:p w14:paraId="3DC04E13">
      <w:pPr>
        <w:spacing w:line="380" w:lineRule="exact"/>
        <w:ind w:firstLine="420" w:firstLineChars="200"/>
        <w:rPr>
          <w:rFonts w:hint="eastAsia" w:ascii="宋体" w:hAnsi="宋体"/>
        </w:rPr>
      </w:pPr>
      <w:r>
        <w:rPr>
          <w:rFonts w:hint="eastAsia" w:ascii="宋体" w:hAnsi="宋体"/>
        </w:rPr>
        <w:t>2.本项目需要落实的政府采购政策</w:t>
      </w:r>
    </w:p>
    <w:p w14:paraId="52BD671A">
      <w:pPr>
        <w:spacing w:line="370" w:lineRule="exact"/>
        <w:ind w:firstLine="420" w:firstLineChars="200"/>
        <w:rPr>
          <w:rFonts w:hint="eastAsia" w:ascii="宋体" w:hAnsi="宋体" w:cs="Arial"/>
        </w:rPr>
      </w:pPr>
      <w:r>
        <w:rPr>
          <w:rFonts w:hint="eastAsia" w:ascii="宋体" w:hAnsi="宋体" w:cs="Arial"/>
          <w:szCs w:val="21"/>
        </w:rPr>
        <w:t>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3F70A01C">
      <w:pPr>
        <w:spacing w:line="380" w:lineRule="exact"/>
        <w:ind w:firstLine="420" w:firstLineChars="200"/>
        <w:rPr>
          <w:rFonts w:hint="eastAsia" w:ascii="宋体" w:hAnsi="宋体"/>
        </w:rPr>
      </w:pPr>
      <w:r>
        <w:rPr>
          <w:rFonts w:hint="eastAsia" w:ascii="宋体" w:hAnsi="宋体"/>
        </w:rPr>
        <w:t>3.网上公告媒体查询</w:t>
      </w:r>
    </w:p>
    <w:p w14:paraId="7E960F18">
      <w:pPr>
        <w:spacing w:line="380" w:lineRule="exact"/>
        <w:ind w:firstLine="420" w:firstLineChars="200"/>
        <w:rPr>
          <w:rFonts w:hint="eastAsia" w:ascii="宋体" w:hAnsi="宋体"/>
        </w:rPr>
      </w:pPr>
      <w:r>
        <w:rPr>
          <w:rFonts w:hint="eastAsia" w:ascii="宋体" w:hAnsi="宋体"/>
        </w:rPr>
        <w:t>中国政府采购网（www.ccgp.gov.cn）、广西壮族自治区政府采购网（zfcg.gxzf.gov.cn）、广西壮族自治区公共资源交易中心网（gxggzy.gxzf.gov.cn）。</w:t>
      </w:r>
    </w:p>
    <w:p w14:paraId="16B2755E">
      <w:pPr>
        <w:spacing w:line="380" w:lineRule="exact"/>
        <w:ind w:firstLine="420" w:firstLineChars="200"/>
        <w:rPr>
          <w:rFonts w:hint="eastAsia" w:ascii="宋体" w:hAnsi="宋体"/>
        </w:rPr>
      </w:pPr>
      <w:r>
        <w:rPr>
          <w:rFonts w:hint="eastAsia" w:ascii="宋体" w:hAnsi="宋体"/>
        </w:rPr>
        <w:t>4.其他注意事项</w:t>
      </w:r>
    </w:p>
    <w:p w14:paraId="4959ADA1">
      <w:pPr>
        <w:spacing w:line="380" w:lineRule="exact"/>
        <w:ind w:firstLine="420" w:firstLineChars="200"/>
        <w:rPr>
          <w:rFonts w:hint="eastAsia" w:ascii="宋体" w:hAnsi="宋体"/>
        </w:rPr>
      </w:pPr>
      <w:r>
        <w:rPr>
          <w:rFonts w:hint="eastAsia" w:ascii="宋体" w:hAnsi="宋体"/>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w:t>
      </w:r>
      <w:r>
        <w:rPr>
          <w:rFonts w:ascii="宋体" w:hAnsi="宋体"/>
        </w:rPr>
        <w:t>95763</w:t>
      </w:r>
      <w:r>
        <w:rPr>
          <w:rFonts w:hint="eastAsia" w:ascii="宋体" w:hAnsi="宋体"/>
        </w:rPr>
        <w:t xml:space="preserve">。 </w:t>
      </w:r>
    </w:p>
    <w:p w14:paraId="5CDD90F1">
      <w:pPr>
        <w:spacing w:line="380" w:lineRule="exact"/>
        <w:ind w:firstLine="420" w:firstLineChars="200"/>
        <w:rPr>
          <w:rFonts w:hint="eastAsia" w:ascii="宋体" w:hAnsi="宋体"/>
        </w:rPr>
      </w:pPr>
      <w:r>
        <w:rPr>
          <w:rFonts w:hint="eastAsia" w:ascii="宋体" w:hAnsi="宋体"/>
        </w:rPr>
        <w:t xml:space="preserve">（2）供应商应及时熟悉掌握电子标系统操作指南（见广西政府采购云平台电子卖场首页右上角—服务中心—帮助中心—项目采购）。 </w:t>
      </w:r>
    </w:p>
    <w:p w14:paraId="4D6D1445">
      <w:pPr>
        <w:spacing w:line="380" w:lineRule="exact"/>
        <w:ind w:firstLine="420" w:firstLineChars="200"/>
        <w:rPr>
          <w:rFonts w:hint="eastAsia" w:ascii="宋体" w:hAnsi="宋体"/>
        </w:rPr>
      </w:pPr>
      <w:r>
        <w:rPr>
          <w:rFonts w:hint="eastAsia" w:ascii="宋体" w:hAnsi="宋体"/>
        </w:rPr>
        <w:t xml:space="preserve">（3）供应商应及时完成CA申领和绑定（见广西壮族自治区政府采购网—办事服务—下载专区-政采云CA证书办理操作指南） </w:t>
      </w:r>
    </w:p>
    <w:p w14:paraId="650ADDB3">
      <w:pPr>
        <w:spacing w:line="380" w:lineRule="exact"/>
        <w:ind w:firstLine="420" w:firstLineChars="200"/>
        <w:rPr>
          <w:rFonts w:hint="eastAsia" w:ascii="宋体" w:hAnsi="宋体"/>
        </w:rPr>
      </w:pPr>
      <w:r>
        <w:rPr>
          <w:rFonts w:hint="eastAsia" w:ascii="宋体" w:hAnsi="宋体"/>
        </w:rPr>
        <w:t xml:space="preserve">（4）供应商通过广西政府采购云平台投标客户端软件制作投标文件，广西政府采购云平台投标客户端软件请供应商自行前往下载并安装（见广西壮族自治区政府采购网—办事服务—下载专区-广西壮族自治区全流程电子招投标项目管理系统--供应商客户端）。 </w:t>
      </w:r>
    </w:p>
    <w:p w14:paraId="61BA99A9">
      <w:pPr>
        <w:spacing w:line="380" w:lineRule="exact"/>
        <w:ind w:firstLine="420" w:firstLineChars="200"/>
        <w:rPr>
          <w:rFonts w:hint="eastAsia" w:ascii="宋体" w:hAnsi="宋体"/>
        </w:rPr>
      </w:pPr>
      <w:r>
        <w:rPr>
          <w:rFonts w:hint="eastAsia" w:ascii="宋体" w:hAnsi="宋体"/>
        </w:rPr>
        <w:t xml:space="preserve">（5）因未注册入库、未办理CA数字证书、CA证书故障、操作不当等原因造成无法投标或投标失败等后果由供应商自行承担。 </w:t>
      </w:r>
    </w:p>
    <w:p w14:paraId="5EA923A2">
      <w:pPr>
        <w:spacing w:line="380" w:lineRule="exact"/>
        <w:ind w:firstLine="420" w:firstLineChars="200"/>
        <w:rPr>
          <w:rFonts w:hint="eastAsia" w:ascii="宋体" w:hAnsi="宋体"/>
        </w:rPr>
      </w:pPr>
      <w:r>
        <w:rPr>
          <w:rFonts w:hint="eastAsia" w:ascii="宋体" w:hAnsi="宋体"/>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公司开启投标文件；供应商超过解密时限的，系统默认自动放弃。</w:t>
      </w:r>
    </w:p>
    <w:p w14:paraId="283C8AB2">
      <w:pPr>
        <w:spacing w:line="380" w:lineRule="exact"/>
        <w:ind w:firstLine="420" w:firstLineChars="200"/>
        <w:rPr>
          <w:rFonts w:ascii="宋体" w:hAnsi="宋体"/>
        </w:rPr>
      </w:pPr>
      <w:r>
        <w:rPr>
          <w:rFonts w:hint="eastAsia" w:ascii="宋体" w:hAnsi="宋体"/>
          <w:color w:val="000000" w:themeColor="text1"/>
          <w14:textFill>
            <w14:solidFill>
              <w14:schemeClr w14:val="tx1"/>
            </w14:solidFill>
          </w14:textFill>
        </w:rPr>
        <w:t>（7）根据《中华人民共和国政府采购法实施条例》以及释义，供应商属于银行、保险、石油石化、电力、电信等行业特殊情况的，取得营业执照的分支机构可以以分公司名义参与本项目投标，分支机构应提供总公司出具的参与竞标授权委托书或承诺函，但总公司和分支机构不能参加同一合同项下的采购活动，采购文件中涉及的“法定代表人”在前述特殊行业中即对应为“分支机构负责人”。</w:t>
      </w:r>
    </w:p>
    <w:p w14:paraId="601BAC8F">
      <w:pPr>
        <w:spacing w:line="380" w:lineRule="exact"/>
        <w:outlineLvl w:val="1"/>
        <w:rPr>
          <w:rFonts w:ascii="宋体" w:hAnsi="宋体"/>
          <w:b/>
        </w:rPr>
      </w:pPr>
      <w:bookmarkStart w:id="33" w:name="_Toc28359008"/>
      <w:bookmarkStart w:id="34" w:name="_Toc35393627"/>
      <w:bookmarkStart w:id="35" w:name="_Toc28359085"/>
      <w:bookmarkStart w:id="36" w:name="_Toc35393796"/>
      <w:r>
        <w:rPr>
          <w:rFonts w:hint="eastAsia" w:ascii="宋体" w:hAnsi="宋体"/>
          <w:b/>
        </w:rPr>
        <w:t>七、对本次招标提出询问，请按</w:t>
      </w:r>
      <w:r>
        <w:rPr>
          <w:rFonts w:ascii="宋体" w:hAnsi="宋体"/>
          <w:b/>
        </w:rPr>
        <w:t>以下方式</w:t>
      </w:r>
      <w:r>
        <w:rPr>
          <w:rFonts w:hint="eastAsia" w:ascii="宋体" w:hAnsi="宋体"/>
          <w:b/>
        </w:rPr>
        <w:t>联系</w:t>
      </w:r>
      <w:bookmarkEnd w:id="33"/>
      <w:bookmarkEnd w:id="34"/>
      <w:bookmarkEnd w:id="35"/>
      <w:bookmarkEnd w:id="36"/>
    </w:p>
    <w:p w14:paraId="48CB8D85">
      <w:pPr>
        <w:spacing w:line="380" w:lineRule="exact"/>
        <w:ind w:firstLine="420" w:firstLineChars="200"/>
        <w:outlineLvl w:val="2"/>
        <w:rPr>
          <w:rFonts w:hint="eastAsia" w:ascii="宋体" w:hAnsi="宋体"/>
        </w:rPr>
      </w:pPr>
      <w:r>
        <w:rPr>
          <w:rFonts w:hint="eastAsia" w:ascii="宋体" w:hAnsi="宋体"/>
        </w:rPr>
        <w:t>1.采购人信息</w:t>
      </w:r>
    </w:p>
    <w:p w14:paraId="10692D8E">
      <w:pPr>
        <w:spacing w:line="380" w:lineRule="exact"/>
        <w:ind w:firstLine="420" w:firstLineChars="200"/>
        <w:rPr>
          <w:rFonts w:hint="eastAsia" w:ascii="宋体" w:hAnsi="宋体"/>
        </w:rPr>
      </w:pPr>
      <w:r>
        <w:rPr>
          <w:rFonts w:hint="eastAsia" w:ascii="宋体" w:hAnsi="宋体"/>
        </w:rPr>
        <w:t>名    称：广西壮族自治区公安厅</w:t>
      </w:r>
    </w:p>
    <w:p w14:paraId="7063FA1F">
      <w:pPr>
        <w:spacing w:line="380" w:lineRule="exact"/>
        <w:ind w:firstLine="420" w:firstLineChars="200"/>
        <w:rPr>
          <w:rFonts w:ascii="宋体" w:hAnsi="宋体"/>
        </w:rPr>
      </w:pPr>
      <w:r>
        <w:rPr>
          <w:rFonts w:hint="eastAsia" w:ascii="宋体" w:hAnsi="宋体"/>
        </w:rPr>
        <w:t>地    址：广西南宁市佛子岭路1号</w:t>
      </w:r>
    </w:p>
    <w:p w14:paraId="65B08996">
      <w:pPr>
        <w:spacing w:line="380" w:lineRule="exact"/>
        <w:ind w:firstLine="420" w:firstLineChars="200"/>
        <w:rPr>
          <w:rFonts w:ascii="宋体" w:hAnsi="宋体" w:cs="宋体"/>
          <w:kern w:val="0"/>
          <w:szCs w:val="21"/>
        </w:rPr>
      </w:pPr>
      <w:r>
        <w:rPr>
          <w:rFonts w:ascii="宋体" w:hAnsi="宋体" w:cs="宋体"/>
          <w:kern w:val="0"/>
          <w:szCs w:val="21"/>
        </w:rPr>
        <w:t>项目联系人：</w:t>
      </w:r>
      <w:r>
        <w:rPr>
          <w:rFonts w:hint="eastAsia" w:ascii="宋体" w:hAnsi="宋体" w:cs="宋体"/>
          <w:kern w:val="0"/>
          <w:szCs w:val="21"/>
        </w:rPr>
        <w:t>黄工</w:t>
      </w:r>
    </w:p>
    <w:p w14:paraId="1592A1A8">
      <w:pPr>
        <w:spacing w:line="380" w:lineRule="exact"/>
        <w:ind w:firstLine="420" w:firstLineChars="200"/>
        <w:rPr>
          <w:rFonts w:hint="eastAsia" w:ascii="宋体" w:hAnsi="宋体" w:cs="宋体"/>
          <w:kern w:val="0"/>
          <w:szCs w:val="21"/>
        </w:rPr>
      </w:pPr>
      <w:r>
        <w:rPr>
          <w:rFonts w:ascii="宋体" w:hAnsi="宋体" w:cs="宋体"/>
          <w:kern w:val="0"/>
          <w:szCs w:val="21"/>
        </w:rPr>
        <w:t>项目联系方式：</w:t>
      </w:r>
      <w:r>
        <w:rPr>
          <w:rFonts w:hint="eastAsia" w:ascii="宋体" w:hAnsi="宋体" w:cs="宋体"/>
        </w:rPr>
        <w:t>0771-2893046</w:t>
      </w:r>
    </w:p>
    <w:p w14:paraId="13DACFE8">
      <w:pPr>
        <w:spacing w:line="380" w:lineRule="exact"/>
        <w:ind w:firstLine="420" w:firstLineChars="200"/>
        <w:rPr>
          <w:rFonts w:hint="eastAsia" w:ascii="宋体" w:hAnsi="宋体"/>
        </w:rPr>
      </w:pPr>
    </w:p>
    <w:p w14:paraId="5AC47D08">
      <w:pPr>
        <w:spacing w:line="380" w:lineRule="exact"/>
        <w:ind w:firstLine="420" w:firstLineChars="200"/>
        <w:outlineLvl w:val="2"/>
        <w:rPr>
          <w:rFonts w:hint="eastAsia" w:ascii="宋体" w:hAnsi="宋体"/>
        </w:rPr>
      </w:pPr>
      <w:r>
        <w:rPr>
          <w:rFonts w:hint="eastAsia" w:ascii="宋体" w:hAnsi="宋体"/>
        </w:rPr>
        <w:t>2.采购代理机构信息</w:t>
      </w:r>
    </w:p>
    <w:p w14:paraId="465E566D">
      <w:pPr>
        <w:spacing w:line="380" w:lineRule="exact"/>
        <w:ind w:firstLine="420" w:firstLineChars="200"/>
        <w:rPr>
          <w:rFonts w:hint="eastAsia" w:ascii="宋体" w:hAnsi="宋体"/>
        </w:rPr>
      </w:pPr>
      <w:r>
        <w:rPr>
          <w:rFonts w:hint="eastAsia" w:ascii="宋体" w:hAnsi="宋体"/>
        </w:rPr>
        <w:t>名    称：广西国力招标有限公司</w:t>
      </w:r>
    </w:p>
    <w:p w14:paraId="2F7E400C">
      <w:pPr>
        <w:spacing w:line="380" w:lineRule="exact"/>
        <w:ind w:firstLine="420" w:firstLineChars="200"/>
        <w:rPr>
          <w:rFonts w:hint="eastAsia" w:ascii="宋体" w:hAnsi="宋体"/>
        </w:rPr>
      </w:pPr>
      <w:r>
        <w:rPr>
          <w:rFonts w:hint="eastAsia" w:ascii="宋体" w:hAnsi="宋体"/>
        </w:rPr>
        <w:t>地    址：广西南宁市白沙大道53号松宇时代13楼</w:t>
      </w:r>
    </w:p>
    <w:p w14:paraId="6EFD75F0">
      <w:pPr>
        <w:spacing w:line="380" w:lineRule="exact"/>
        <w:ind w:firstLine="420" w:firstLineChars="200"/>
        <w:rPr>
          <w:rFonts w:ascii="宋体" w:hAnsi="宋体"/>
        </w:rPr>
      </w:pPr>
      <w:r>
        <w:rPr>
          <w:rFonts w:hint="eastAsia" w:ascii="宋体" w:hAnsi="宋体"/>
        </w:rPr>
        <w:t>项目联系人：覃阳、隆丽艺、覃荟茯</w:t>
      </w:r>
    </w:p>
    <w:p w14:paraId="7B60E39D">
      <w:pPr>
        <w:spacing w:line="380" w:lineRule="exact"/>
        <w:ind w:firstLine="420" w:firstLineChars="200"/>
        <w:rPr>
          <w:rFonts w:ascii="宋体" w:hAnsi="宋体"/>
          <w:u w:val="single"/>
        </w:rPr>
      </w:pPr>
      <w:r>
        <w:rPr>
          <w:rFonts w:hint="eastAsia" w:ascii="宋体" w:hAnsi="宋体"/>
        </w:rPr>
        <w:t>项目联系方式：0771-4915558</w:t>
      </w:r>
    </w:p>
    <w:p w14:paraId="299FD089">
      <w:pPr>
        <w:spacing w:line="380" w:lineRule="exact"/>
        <w:ind w:firstLine="420" w:firstLineChars="200"/>
        <w:rPr>
          <w:rFonts w:hint="eastAsia" w:ascii="宋体" w:hAnsi="宋体"/>
          <w:u w:val="single"/>
        </w:rPr>
      </w:pPr>
    </w:p>
    <w:p w14:paraId="0B696B4A">
      <w:pPr>
        <w:spacing w:line="380" w:lineRule="exact"/>
        <w:ind w:firstLine="420" w:firstLineChars="200"/>
        <w:rPr>
          <w:rFonts w:hint="eastAsia" w:ascii="宋体" w:hAnsi="宋体"/>
          <w:u w:val="single"/>
        </w:rPr>
      </w:pPr>
    </w:p>
    <w:p w14:paraId="15D32C3A">
      <w:pPr>
        <w:snapToGrid w:val="0"/>
        <w:spacing w:line="350" w:lineRule="exact"/>
        <w:ind w:left="238"/>
        <w:jc w:val="right"/>
        <w:rPr>
          <w:rFonts w:hint="eastAsia" w:ascii="宋体" w:hAnsi="宋体"/>
        </w:rPr>
      </w:pPr>
      <w:r>
        <w:rPr>
          <w:rFonts w:hint="eastAsia" w:ascii="宋体" w:hAnsi="宋体"/>
        </w:rPr>
        <w:t>广西国力招标有限公司</w:t>
      </w:r>
    </w:p>
    <w:p w14:paraId="2D482722">
      <w:pPr>
        <w:spacing w:line="380" w:lineRule="exact"/>
        <w:ind w:right="210" w:firstLine="420" w:firstLineChars="200"/>
        <w:jc w:val="right"/>
        <w:rPr>
          <w:rFonts w:ascii="宋体" w:hAnsi="宋体"/>
          <w:u w:val="single"/>
        </w:rPr>
      </w:pPr>
      <w:r>
        <w:rPr>
          <w:rFonts w:hint="eastAsia" w:ascii="宋体" w:hAnsi="宋体" w:cs="Arial"/>
        </w:rPr>
        <w:t>2026年</w:t>
      </w:r>
      <w:r>
        <w:rPr>
          <w:rFonts w:hint="eastAsia" w:ascii="宋体" w:hAnsi="宋体" w:cs="Arial"/>
          <w:lang w:val="en-US" w:eastAsia="zh-CN"/>
        </w:rPr>
        <w:t>2</w:t>
      </w:r>
      <w:r>
        <w:rPr>
          <w:rFonts w:hint="eastAsia" w:ascii="宋体" w:hAnsi="宋体" w:cs="Arial"/>
        </w:rPr>
        <w:t>月</w:t>
      </w:r>
      <w:r>
        <w:rPr>
          <w:rFonts w:hint="eastAsia" w:ascii="宋体" w:hAnsi="宋体" w:cs="Arial"/>
          <w:lang w:val="en-US" w:eastAsia="zh-CN"/>
        </w:rPr>
        <w:t>10</w:t>
      </w:r>
      <w:r>
        <w:rPr>
          <w:rFonts w:hint="eastAsia" w:ascii="宋体" w:hAnsi="宋体" w:cs="Arial"/>
        </w:rPr>
        <w:t>日</w:t>
      </w:r>
    </w:p>
    <w:p w14:paraId="3EA8C372">
      <w:pPr>
        <w:spacing w:line="400" w:lineRule="exact"/>
        <w:jc w:val="center"/>
        <w:rPr>
          <w:rFonts w:hint="eastAsia" w:ascii="宋体"/>
          <w:sz w:val="32"/>
          <w:szCs w:val="32"/>
        </w:rPr>
      </w:pPr>
      <w:r>
        <w:rPr>
          <w:rFonts w:hint="eastAsia" w:ascii="宋体"/>
          <w:sz w:val="32"/>
          <w:szCs w:val="32"/>
        </w:rPr>
        <w:br w:type="page"/>
      </w:r>
    </w:p>
    <w:p w14:paraId="29DF460D">
      <w:pPr>
        <w:spacing w:line="400" w:lineRule="exact"/>
        <w:jc w:val="center"/>
        <w:rPr>
          <w:rFonts w:hint="eastAsia" w:ascii="宋体"/>
          <w:sz w:val="32"/>
          <w:szCs w:val="32"/>
        </w:rPr>
      </w:pPr>
    </w:p>
    <w:p w14:paraId="3A40F68A">
      <w:pPr>
        <w:spacing w:line="400" w:lineRule="exact"/>
        <w:jc w:val="center"/>
        <w:rPr>
          <w:rFonts w:hint="eastAsia" w:ascii="宋体"/>
          <w:sz w:val="32"/>
          <w:szCs w:val="32"/>
        </w:rPr>
      </w:pPr>
    </w:p>
    <w:p w14:paraId="23D2166A">
      <w:pPr>
        <w:spacing w:line="400" w:lineRule="exact"/>
        <w:jc w:val="center"/>
        <w:rPr>
          <w:rFonts w:hint="eastAsia" w:ascii="宋体"/>
          <w:sz w:val="32"/>
          <w:szCs w:val="32"/>
        </w:rPr>
      </w:pPr>
    </w:p>
    <w:p w14:paraId="5AB9B3F0">
      <w:pPr>
        <w:spacing w:line="400" w:lineRule="exact"/>
        <w:jc w:val="center"/>
        <w:rPr>
          <w:rFonts w:hint="eastAsia" w:ascii="宋体"/>
          <w:sz w:val="32"/>
          <w:szCs w:val="32"/>
        </w:rPr>
      </w:pPr>
    </w:p>
    <w:p w14:paraId="03D0883B">
      <w:pPr>
        <w:spacing w:line="400" w:lineRule="exact"/>
        <w:jc w:val="center"/>
        <w:rPr>
          <w:rFonts w:hint="eastAsia" w:ascii="宋体"/>
          <w:sz w:val="32"/>
          <w:szCs w:val="32"/>
        </w:rPr>
      </w:pPr>
    </w:p>
    <w:p w14:paraId="1A465785">
      <w:pPr>
        <w:spacing w:line="400" w:lineRule="exact"/>
        <w:jc w:val="center"/>
        <w:rPr>
          <w:rFonts w:hint="eastAsia" w:ascii="宋体"/>
          <w:sz w:val="32"/>
          <w:szCs w:val="32"/>
        </w:rPr>
      </w:pPr>
    </w:p>
    <w:p w14:paraId="0D64AF1E">
      <w:pPr>
        <w:spacing w:line="400" w:lineRule="exact"/>
        <w:jc w:val="center"/>
        <w:rPr>
          <w:rFonts w:hint="eastAsia" w:ascii="宋体"/>
          <w:sz w:val="32"/>
          <w:szCs w:val="32"/>
        </w:rPr>
      </w:pPr>
    </w:p>
    <w:p w14:paraId="7FB7172B">
      <w:pPr>
        <w:spacing w:line="400" w:lineRule="exact"/>
        <w:jc w:val="center"/>
        <w:rPr>
          <w:rFonts w:hint="eastAsia" w:ascii="宋体"/>
          <w:sz w:val="32"/>
          <w:szCs w:val="32"/>
        </w:rPr>
      </w:pPr>
    </w:p>
    <w:p w14:paraId="273AE0C8">
      <w:pPr>
        <w:spacing w:line="400" w:lineRule="exact"/>
        <w:jc w:val="center"/>
        <w:rPr>
          <w:rFonts w:hint="eastAsia" w:ascii="宋体"/>
          <w:sz w:val="32"/>
          <w:szCs w:val="32"/>
        </w:rPr>
      </w:pPr>
    </w:p>
    <w:p w14:paraId="1218CBDC">
      <w:pPr>
        <w:spacing w:line="400" w:lineRule="exact"/>
        <w:jc w:val="center"/>
        <w:rPr>
          <w:rFonts w:hint="eastAsia" w:ascii="宋体"/>
          <w:sz w:val="32"/>
          <w:szCs w:val="32"/>
        </w:rPr>
      </w:pPr>
    </w:p>
    <w:p w14:paraId="49A9054B">
      <w:pPr>
        <w:spacing w:line="400" w:lineRule="exact"/>
        <w:jc w:val="center"/>
        <w:rPr>
          <w:rFonts w:hint="eastAsia" w:ascii="宋体"/>
          <w:sz w:val="32"/>
          <w:szCs w:val="32"/>
        </w:rPr>
      </w:pPr>
    </w:p>
    <w:p w14:paraId="67C970ED">
      <w:pPr>
        <w:spacing w:line="400" w:lineRule="exact"/>
        <w:jc w:val="center"/>
        <w:rPr>
          <w:rFonts w:hint="eastAsia" w:ascii="宋体"/>
          <w:sz w:val="32"/>
          <w:szCs w:val="32"/>
        </w:rPr>
      </w:pPr>
    </w:p>
    <w:p w14:paraId="27A6FC75">
      <w:pPr>
        <w:spacing w:line="400" w:lineRule="exact"/>
        <w:jc w:val="center"/>
        <w:rPr>
          <w:rFonts w:hint="eastAsia" w:ascii="宋体"/>
          <w:sz w:val="32"/>
          <w:szCs w:val="32"/>
        </w:rPr>
      </w:pPr>
    </w:p>
    <w:p w14:paraId="3BD981A6">
      <w:pPr>
        <w:spacing w:line="400" w:lineRule="exact"/>
        <w:jc w:val="center"/>
        <w:rPr>
          <w:rFonts w:hint="eastAsia" w:ascii="宋体"/>
          <w:sz w:val="32"/>
          <w:szCs w:val="32"/>
        </w:rPr>
      </w:pPr>
    </w:p>
    <w:p w14:paraId="42C86765">
      <w:pPr>
        <w:pStyle w:val="46"/>
        <w:rPr>
          <w:rFonts w:hint="eastAsia"/>
          <w:sz w:val="44"/>
          <w:szCs w:val="44"/>
        </w:rPr>
      </w:pPr>
      <w:bookmarkStart w:id="37" w:name="_Toc476436173"/>
      <w:bookmarkStart w:id="38" w:name="_Toc476436432"/>
      <w:r>
        <w:rPr>
          <w:rFonts w:hint="eastAsia"/>
          <w:sz w:val="44"/>
          <w:szCs w:val="44"/>
        </w:rPr>
        <w:t>第二章  招标项目采购需求</w:t>
      </w:r>
      <w:bookmarkEnd w:id="37"/>
      <w:bookmarkEnd w:id="38"/>
    </w:p>
    <w:p w14:paraId="449BA96C">
      <w:pPr>
        <w:snapToGrid w:val="0"/>
        <w:spacing w:beforeLines="50" w:afterLines="50"/>
        <w:ind w:left="238"/>
        <w:jc w:val="center"/>
        <w:rPr>
          <w:rFonts w:hint="eastAsia" w:ascii="黑体" w:eastAsia="黑体"/>
          <w:sz w:val="32"/>
          <w:szCs w:val="32"/>
        </w:rPr>
      </w:pPr>
    </w:p>
    <w:p w14:paraId="018E99B2">
      <w:pPr>
        <w:snapToGrid w:val="0"/>
        <w:spacing w:beforeLines="50" w:afterLines="50"/>
        <w:ind w:left="238"/>
        <w:jc w:val="center"/>
        <w:rPr>
          <w:rFonts w:hint="eastAsia" w:ascii="黑体" w:eastAsia="黑体"/>
          <w:sz w:val="32"/>
          <w:szCs w:val="32"/>
        </w:rPr>
      </w:pPr>
    </w:p>
    <w:p w14:paraId="07608003">
      <w:pPr>
        <w:snapToGrid w:val="0"/>
        <w:spacing w:beforeLines="50" w:afterLines="50"/>
        <w:ind w:left="238"/>
        <w:jc w:val="center"/>
        <w:rPr>
          <w:rFonts w:hint="eastAsia" w:ascii="黑体" w:eastAsia="黑体"/>
          <w:sz w:val="32"/>
          <w:szCs w:val="32"/>
        </w:rPr>
      </w:pPr>
    </w:p>
    <w:p w14:paraId="02E77689">
      <w:pPr>
        <w:snapToGrid w:val="0"/>
        <w:spacing w:beforeLines="50" w:afterLines="50"/>
        <w:ind w:left="238"/>
        <w:jc w:val="center"/>
        <w:rPr>
          <w:rFonts w:hint="eastAsia" w:ascii="黑体" w:eastAsia="黑体"/>
          <w:sz w:val="32"/>
          <w:szCs w:val="32"/>
        </w:rPr>
      </w:pPr>
    </w:p>
    <w:p w14:paraId="4646C398">
      <w:pPr>
        <w:snapToGrid w:val="0"/>
        <w:spacing w:beforeLines="50" w:afterLines="50"/>
        <w:ind w:left="238"/>
        <w:jc w:val="center"/>
        <w:rPr>
          <w:rFonts w:hint="eastAsia" w:ascii="黑体" w:eastAsia="黑体"/>
          <w:sz w:val="32"/>
          <w:szCs w:val="32"/>
        </w:rPr>
      </w:pPr>
    </w:p>
    <w:p w14:paraId="48C10A9A">
      <w:pPr>
        <w:snapToGrid w:val="0"/>
        <w:spacing w:beforeLines="50" w:afterLines="50"/>
        <w:ind w:left="238"/>
        <w:jc w:val="center"/>
        <w:rPr>
          <w:rFonts w:hint="eastAsia" w:ascii="黑体" w:eastAsia="黑体"/>
          <w:sz w:val="32"/>
          <w:szCs w:val="32"/>
        </w:rPr>
      </w:pPr>
    </w:p>
    <w:p w14:paraId="57830395">
      <w:pPr>
        <w:spacing w:line="720" w:lineRule="auto"/>
        <w:jc w:val="center"/>
        <w:rPr>
          <w:rFonts w:hint="eastAsia"/>
          <w:b/>
          <w:sz w:val="32"/>
          <w:szCs w:val="32"/>
        </w:rPr>
      </w:pPr>
      <w:r>
        <w:rPr>
          <w:rFonts w:hint="eastAsia" w:ascii="仿宋_GB2312" w:eastAsia="仿宋_GB2312"/>
          <w:bCs/>
        </w:rPr>
        <w:br w:type="page"/>
      </w:r>
      <w:r>
        <w:rPr>
          <w:rFonts w:hint="eastAsia"/>
          <w:b/>
          <w:sz w:val="32"/>
          <w:szCs w:val="32"/>
        </w:rPr>
        <w:t>招标项目采购需求</w:t>
      </w:r>
    </w:p>
    <w:p w14:paraId="40D144A7">
      <w:pPr>
        <w:spacing w:line="380" w:lineRule="exact"/>
        <w:rPr>
          <w:rFonts w:hint="eastAsia" w:ascii="宋体"/>
          <w:szCs w:val="21"/>
        </w:rPr>
      </w:pPr>
      <w:r>
        <w:rPr>
          <w:rFonts w:hint="eastAsia" w:ascii="宋体"/>
          <w:b/>
          <w:szCs w:val="21"/>
        </w:rPr>
        <w:t>说明：</w:t>
      </w:r>
    </w:p>
    <w:p w14:paraId="13D6FC05">
      <w:pPr>
        <w:spacing w:line="380" w:lineRule="exact"/>
        <w:ind w:firstLine="437"/>
        <w:rPr>
          <w:rFonts w:hint="eastAsia" w:ascii="宋体"/>
          <w:b/>
          <w:szCs w:val="21"/>
        </w:rPr>
      </w:pPr>
      <w:r>
        <w:rPr>
          <w:rFonts w:hint="eastAsia" w:ascii="宋体"/>
          <w:b/>
          <w:bCs/>
          <w:szCs w:val="21"/>
        </w:rPr>
        <w:t>一、本需求表</w:t>
      </w:r>
      <w:r>
        <w:rPr>
          <w:rFonts w:hint="eastAsia" w:ascii="宋体" w:hAnsi="宋体"/>
          <w:b/>
          <w:szCs w:val="21"/>
        </w:rPr>
        <w:t>中</w:t>
      </w:r>
      <w:r>
        <w:rPr>
          <w:rFonts w:hint="eastAsia" w:ascii="宋体"/>
          <w:b/>
          <w:szCs w:val="21"/>
        </w:rPr>
        <w:t>标注“▲”的条款均为实质性要求或条件，投标人必须作出满足或者优于该要求和条件的承诺</w:t>
      </w:r>
      <w:r>
        <w:rPr>
          <w:rFonts w:hint="eastAsia" w:ascii="宋体" w:hAnsi="宋体"/>
          <w:b/>
          <w:szCs w:val="21"/>
        </w:rPr>
        <w:t>（另有要求的除外）</w:t>
      </w:r>
      <w:r>
        <w:rPr>
          <w:rFonts w:hint="eastAsia" w:ascii="宋体"/>
          <w:b/>
          <w:szCs w:val="21"/>
        </w:rPr>
        <w:t>，否则投标无效。标注“</w:t>
      </w:r>
      <w:r>
        <w:rPr>
          <w:rFonts w:hint="eastAsia" w:ascii="宋体" w:hAnsi="宋体" w:cs="宋体"/>
          <w:b/>
          <w:szCs w:val="21"/>
        </w:rPr>
        <w:t>●</w:t>
      </w:r>
      <w:r>
        <w:rPr>
          <w:rFonts w:hint="eastAsia" w:ascii="宋体"/>
          <w:b/>
          <w:szCs w:val="21"/>
        </w:rPr>
        <w:t>”的条款为“评标方法及评分标准”中的评分内容。</w:t>
      </w:r>
    </w:p>
    <w:p w14:paraId="41AAD7DE">
      <w:pPr>
        <w:spacing w:line="380" w:lineRule="exact"/>
        <w:ind w:firstLine="437"/>
        <w:rPr>
          <w:rFonts w:hint="eastAsia" w:ascii="宋体"/>
          <w:b/>
          <w:bCs/>
          <w:szCs w:val="21"/>
        </w:rPr>
      </w:pPr>
      <w:r>
        <w:rPr>
          <w:rFonts w:hint="eastAsia" w:ascii="宋体"/>
          <w:b/>
          <w:szCs w:val="21"/>
        </w:rPr>
        <w:t>二、</w:t>
      </w:r>
      <w:r>
        <w:rPr>
          <w:rFonts w:hint="eastAsia" w:ascii="宋体"/>
          <w:b/>
          <w:bCs/>
          <w:szCs w:val="21"/>
        </w:rPr>
        <w:t>投标人所投标货物或服务如有国家相关标准、行业标准、地方标准或者其他标准、规范要求的按相关规定执行，若执行标准有修改或更新按最新版本执行</w:t>
      </w:r>
      <w:r>
        <w:rPr>
          <w:rFonts w:hint="eastAsia" w:ascii="宋体"/>
          <w:b/>
          <w:szCs w:val="21"/>
        </w:rPr>
        <w:t>。</w:t>
      </w:r>
    </w:p>
    <w:p w14:paraId="55C2AF4C">
      <w:pPr>
        <w:spacing w:line="380" w:lineRule="exact"/>
        <w:ind w:firstLine="424" w:firstLineChars="202"/>
        <w:jc w:val="left"/>
        <w:rPr>
          <w:rFonts w:hint="eastAsia" w:ascii="宋体" w:hAnsi="宋体" w:cs="宋体"/>
          <w:szCs w:val="21"/>
          <w:highlight w:val="yellow"/>
        </w:rPr>
      </w:pPr>
      <w:r>
        <w:rPr>
          <w:rFonts w:hint="eastAsia" w:ascii="宋体"/>
          <w:b/>
          <w:bCs/>
          <w:szCs w:val="21"/>
        </w:rPr>
        <w:t>三、</w:t>
      </w:r>
      <w:r>
        <w:rPr>
          <w:rFonts w:hint="eastAsia" w:ascii="宋体" w:hAnsi="宋体" w:cs="宋体"/>
          <w:szCs w:val="21"/>
        </w:rPr>
        <w:t>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扫描件（加盖投标人电子公章），否则投标文件作无效处理。</w:t>
      </w:r>
    </w:p>
    <w:p w14:paraId="423EDAAE">
      <w:pPr>
        <w:spacing w:line="380" w:lineRule="exact"/>
        <w:ind w:firstLine="424" w:firstLineChars="202"/>
        <w:jc w:val="left"/>
        <w:rPr>
          <w:rFonts w:ascii="宋体" w:hAnsi="宋体" w:cs="宋体"/>
          <w:szCs w:val="21"/>
        </w:rPr>
      </w:pPr>
      <w:r>
        <w:rPr>
          <w:rFonts w:hint="eastAsia" w:ascii="宋体" w:hAnsi="宋体" w:cs="宋体"/>
          <w:b/>
          <w:szCs w:val="21"/>
        </w:rPr>
        <w:t>四、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投标文件作无效处理。</w:t>
      </w:r>
    </w:p>
    <w:p w14:paraId="710EEBF6">
      <w:pPr>
        <w:spacing w:line="400" w:lineRule="exact"/>
        <w:ind w:firstLine="437"/>
        <w:rPr>
          <w:rFonts w:hint="eastAsia" w:ascii="宋体" w:hAnsi="宋体"/>
          <w:b/>
          <w:szCs w:val="21"/>
        </w:rPr>
      </w:pPr>
      <w:r>
        <w:rPr>
          <w:rFonts w:hint="eastAsia" w:ascii="宋体" w:hAnsi="宋体"/>
          <w:b/>
          <w:szCs w:val="21"/>
        </w:rPr>
        <w:t>五、</w:t>
      </w:r>
      <w:r>
        <w:rPr>
          <w:rFonts w:hint="eastAsia" w:ascii="宋体" w:hAnsi="宋体" w:cs="宋体"/>
          <w:b/>
          <w:szCs w:val="21"/>
        </w:rPr>
        <w:t>投标人可以对所有标项进行投标，也可以选择某个标项或某几个标项进行投标并报价。为保证履约质量，投标人只能中标项一、标项二、标项三其中一个标项，评标顺序为标项一、标项二、标项三，按标项一、标项二、标项三顺序推荐中标候选人。（即推荐为标项一第一中标候选人后不能再推荐为标项二第一中标候选人，以此类推）。</w:t>
      </w:r>
    </w:p>
    <w:p w14:paraId="06F79505">
      <w:pPr>
        <w:spacing w:line="380" w:lineRule="exact"/>
        <w:ind w:firstLine="437"/>
        <w:rPr>
          <w:b/>
        </w:rPr>
      </w:pPr>
      <w:r>
        <w:rPr>
          <w:rFonts w:hint="eastAsia" w:ascii="宋体" w:hAnsi="宋体"/>
          <w:b/>
          <w:szCs w:val="21"/>
        </w:rPr>
        <w:t>六、采购标的对应的中小企业划分标准所属行业：根据《关于印发中小企业划型标准规定的通知》（工信部联企业〔2011〕300号），本次采购标的属于租赁和商务服务业。</w:t>
      </w:r>
    </w:p>
    <w:p w14:paraId="6BC04A00">
      <w:pPr>
        <w:spacing w:line="360" w:lineRule="exact"/>
        <w:ind w:firstLine="424" w:firstLineChars="202"/>
        <w:jc w:val="left"/>
        <w:rPr>
          <w:rFonts w:hint="eastAsia"/>
        </w:rPr>
      </w:pPr>
    </w:p>
    <w:p w14:paraId="36A3891A">
      <w:pPr>
        <w:spacing w:line="400" w:lineRule="exact"/>
        <w:ind w:firstLine="435"/>
        <w:rPr>
          <w:rFonts w:hint="default" w:ascii="宋体" w:eastAsia="宋体"/>
          <w:b/>
          <w:bCs/>
          <w:color w:val="auto"/>
          <w:sz w:val="28"/>
          <w:szCs w:val="28"/>
          <w:lang w:val="en-US" w:eastAsia="zh-CN"/>
        </w:rPr>
      </w:pPr>
      <w:r>
        <w:rPr>
          <w:rFonts w:hint="eastAsia" w:ascii="宋体"/>
          <w:b/>
          <w:bCs/>
          <w:sz w:val="28"/>
          <w:szCs w:val="28"/>
        </w:rPr>
        <w:t>标项一采购预算：1517</w:t>
      </w:r>
      <w:r>
        <w:rPr>
          <w:rFonts w:hint="eastAsia" w:ascii="宋体"/>
          <w:b/>
          <w:bCs/>
          <w:sz w:val="28"/>
          <w:szCs w:val="28"/>
          <w:lang w:val="en-US" w:eastAsia="zh-CN"/>
        </w:rPr>
        <w:t>.</w:t>
      </w:r>
      <w:r>
        <w:rPr>
          <w:rFonts w:hint="eastAsia" w:ascii="宋体"/>
          <w:b/>
          <w:bCs/>
          <w:sz w:val="28"/>
          <w:szCs w:val="28"/>
        </w:rPr>
        <w:t>9500万元</w:t>
      </w:r>
    </w:p>
    <w:tbl>
      <w:tblPr>
        <w:tblStyle w:val="49"/>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977"/>
        <w:gridCol w:w="225"/>
        <w:gridCol w:w="8076"/>
      </w:tblGrid>
      <w:tr w14:paraId="7563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Borders>
              <w:top w:val="single" w:color="auto" w:sz="4" w:space="0"/>
              <w:left w:val="single" w:color="auto" w:sz="4" w:space="0"/>
              <w:bottom w:val="single" w:color="auto" w:sz="4" w:space="0"/>
              <w:right w:val="single" w:color="auto" w:sz="4" w:space="0"/>
            </w:tcBorders>
            <w:vAlign w:val="center"/>
          </w:tcPr>
          <w:p w14:paraId="4A9C321A">
            <w:pPr>
              <w:spacing w:line="380" w:lineRule="exact"/>
              <w:jc w:val="center"/>
              <w:rPr>
                <w:rFonts w:hint="eastAsia" w:ascii="宋体" w:hAnsi="宋体" w:cs="宋体"/>
                <w:b/>
                <w:szCs w:val="21"/>
              </w:rPr>
            </w:pPr>
            <w:r>
              <w:rPr>
                <w:rFonts w:hint="eastAsia" w:ascii="宋体" w:hAnsi="宋体" w:cs="宋体"/>
                <w:b/>
                <w:szCs w:val="21"/>
              </w:rPr>
              <w:t>项号</w:t>
            </w:r>
          </w:p>
        </w:tc>
        <w:tc>
          <w:tcPr>
            <w:tcW w:w="1202" w:type="dxa"/>
            <w:gridSpan w:val="2"/>
            <w:tcBorders>
              <w:top w:val="single" w:color="auto" w:sz="4" w:space="0"/>
              <w:left w:val="single" w:color="auto" w:sz="4" w:space="0"/>
              <w:bottom w:val="single" w:color="auto" w:sz="4" w:space="0"/>
              <w:right w:val="single" w:color="auto" w:sz="4" w:space="0"/>
            </w:tcBorders>
            <w:vAlign w:val="center"/>
          </w:tcPr>
          <w:p w14:paraId="2B3589C1">
            <w:pPr>
              <w:spacing w:line="380" w:lineRule="exact"/>
              <w:jc w:val="center"/>
              <w:rPr>
                <w:rFonts w:hint="eastAsia" w:ascii="宋体" w:hAnsi="宋体" w:cs="宋体"/>
                <w:b/>
                <w:szCs w:val="21"/>
              </w:rPr>
            </w:pPr>
            <w:r>
              <w:rPr>
                <w:rFonts w:hint="eastAsia" w:ascii="宋体" w:hAnsi="宋体" w:cs="宋体"/>
                <w:b/>
                <w:szCs w:val="21"/>
              </w:rPr>
              <w:t>服务</w:t>
            </w:r>
          </w:p>
          <w:p w14:paraId="59E5991C">
            <w:pPr>
              <w:spacing w:line="380" w:lineRule="exact"/>
              <w:jc w:val="center"/>
              <w:rPr>
                <w:rFonts w:hint="eastAsia" w:ascii="宋体" w:hAnsi="宋体" w:cs="宋体"/>
                <w:b/>
                <w:szCs w:val="21"/>
              </w:rPr>
            </w:pPr>
            <w:r>
              <w:rPr>
                <w:rFonts w:hint="eastAsia" w:ascii="宋体" w:hAnsi="宋体" w:cs="宋体"/>
                <w:b/>
                <w:szCs w:val="21"/>
              </w:rPr>
              <w:t>名称</w:t>
            </w:r>
          </w:p>
        </w:tc>
        <w:tc>
          <w:tcPr>
            <w:tcW w:w="8076" w:type="dxa"/>
            <w:tcBorders>
              <w:top w:val="single" w:color="auto" w:sz="4" w:space="0"/>
              <w:left w:val="single" w:color="auto" w:sz="4" w:space="0"/>
              <w:bottom w:val="single" w:color="auto" w:sz="4" w:space="0"/>
              <w:right w:val="single" w:color="auto" w:sz="4" w:space="0"/>
            </w:tcBorders>
            <w:vAlign w:val="center"/>
          </w:tcPr>
          <w:p w14:paraId="7E7F9BF8">
            <w:pPr>
              <w:spacing w:line="380" w:lineRule="exact"/>
              <w:jc w:val="center"/>
              <w:rPr>
                <w:rFonts w:hint="eastAsia" w:ascii="宋体" w:hAnsi="宋体" w:cs="宋体"/>
                <w:b/>
                <w:szCs w:val="21"/>
              </w:rPr>
            </w:pPr>
            <w:r>
              <w:rPr>
                <w:rFonts w:hint="eastAsia" w:ascii="宋体" w:hAnsi="宋体" w:cs="宋体"/>
                <w:b/>
                <w:szCs w:val="21"/>
              </w:rPr>
              <w:t>服务内容和要求</w:t>
            </w:r>
          </w:p>
        </w:tc>
      </w:tr>
      <w:tr w14:paraId="0BCC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Borders>
              <w:top w:val="single" w:color="auto" w:sz="4" w:space="0"/>
              <w:left w:val="single" w:color="auto" w:sz="4" w:space="0"/>
              <w:bottom w:val="single" w:color="auto" w:sz="4" w:space="0"/>
              <w:right w:val="single" w:color="auto" w:sz="4" w:space="0"/>
            </w:tcBorders>
            <w:vAlign w:val="center"/>
          </w:tcPr>
          <w:p w14:paraId="6E208031">
            <w:pPr>
              <w:spacing w:line="380" w:lineRule="exact"/>
              <w:ind w:firstLine="105" w:firstLineChars="50"/>
              <w:rPr>
                <w:rFonts w:hint="eastAsia" w:ascii="宋体" w:hAnsi="宋体" w:cs="宋体"/>
                <w:szCs w:val="21"/>
              </w:rPr>
            </w:pPr>
            <w:r>
              <w:rPr>
                <w:rFonts w:hint="eastAsia" w:ascii="宋体" w:hAnsi="宋体" w:cs="宋体"/>
                <w:szCs w:val="21"/>
              </w:rPr>
              <w:t>1</w:t>
            </w:r>
          </w:p>
        </w:tc>
        <w:tc>
          <w:tcPr>
            <w:tcW w:w="1202" w:type="dxa"/>
            <w:gridSpan w:val="2"/>
            <w:tcBorders>
              <w:top w:val="single" w:color="auto" w:sz="4" w:space="0"/>
              <w:left w:val="single" w:color="auto" w:sz="4" w:space="0"/>
              <w:bottom w:val="single" w:color="auto" w:sz="4" w:space="0"/>
              <w:right w:val="single" w:color="auto" w:sz="4" w:space="0"/>
            </w:tcBorders>
            <w:vAlign w:val="center"/>
          </w:tcPr>
          <w:p w14:paraId="2234DDA9">
            <w:pPr>
              <w:spacing w:line="380" w:lineRule="exact"/>
              <w:jc w:val="center"/>
              <w:rPr>
                <w:rFonts w:hint="eastAsia" w:ascii="宋体" w:hAnsi="宋体" w:cs="宋体"/>
                <w:szCs w:val="21"/>
              </w:rPr>
            </w:pPr>
            <w:r>
              <w:rPr>
                <w:rFonts w:hint="eastAsia" w:ascii="宋体" w:hAnsi="宋体" w:cs="宋体"/>
                <w:kern w:val="0"/>
                <w:szCs w:val="21"/>
                <w:lang w:eastAsia="zh-CN"/>
              </w:rPr>
              <w:t>309项目配套AI算力租赁项目</w:t>
            </w:r>
            <w:r>
              <w:rPr>
                <w:rFonts w:hint="eastAsia" w:ascii="宋体" w:hAnsi="宋体" w:cs="宋体"/>
                <w:kern w:val="0"/>
                <w:szCs w:val="21"/>
              </w:rPr>
              <w:t>（</w:t>
            </w:r>
            <w:r>
              <w:rPr>
                <w:rFonts w:hint="eastAsia" w:ascii="宋体" w:hAnsi="宋体" w:cs="宋体"/>
                <w:szCs w:val="21"/>
              </w:rPr>
              <w:t>A</w:t>
            </w:r>
            <w:r>
              <w:rPr>
                <w:rFonts w:hint="eastAsia" w:ascii="宋体" w:hAnsi="宋体" w:cs="宋体"/>
                <w:kern w:val="0"/>
                <w:szCs w:val="21"/>
              </w:rPr>
              <w:t>）1项</w:t>
            </w:r>
          </w:p>
        </w:tc>
        <w:tc>
          <w:tcPr>
            <w:tcW w:w="8076" w:type="dxa"/>
            <w:tcBorders>
              <w:top w:val="single" w:color="auto" w:sz="4" w:space="0"/>
              <w:left w:val="single" w:color="auto" w:sz="4" w:space="0"/>
              <w:bottom w:val="single" w:color="auto" w:sz="4" w:space="0"/>
              <w:right w:val="single" w:color="auto" w:sz="4" w:space="0"/>
            </w:tcBorders>
          </w:tcPr>
          <w:p w14:paraId="08A85D14">
            <w:pPr>
              <w:spacing w:line="380" w:lineRule="exact"/>
              <w:outlineLvl w:val="0"/>
              <w:rPr>
                <w:rFonts w:hint="eastAsia" w:ascii="宋体" w:hAnsi="宋体" w:cs="宋体"/>
                <w:b/>
                <w:bCs/>
                <w:szCs w:val="21"/>
              </w:rPr>
            </w:pPr>
            <w:r>
              <w:rPr>
                <w:rFonts w:hint="eastAsia" w:ascii="宋体" w:hAnsi="宋体" w:cs="宋体"/>
                <w:b/>
                <w:bCs/>
                <w:szCs w:val="21"/>
              </w:rPr>
              <w:t>一、本项目采购的主要服务内容包括：</w:t>
            </w:r>
          </w:p>
          <w:p w14:paraId="721F4D38">
            <w:pPr>
              <w:pStyle w:val="8"/>
              <w:spacing w:line="380" w:lineRule="exact"/>
              <w:ind w:firstLine="0"/>
              <w:outlineLvl w:val="1"/>
              <w:rPr>
                <w:rFonts w:hint="eastAsia" w:ascii="宋体" w:hAnsi="宋体" w:cs="宋体"/>
                <w:szCs w:val="21"/>
              </w:rPr>
            </w:pPr>
            <w:r>
              <w:rPr>
                <w:rFonts w:hint="eastAsia" w:ascii="宋体" w:hAnsi="宋体" w:cs="宋体"/>
                <w:szCs w:val="21"/>
              </w:rPr>
              <w:t>租赁算力资源包括AI算力服务器、网络交换机、AI推理服务存储等内容，部署在采购人指定的公安信息网机房中。</w:t>
            </w:r>
          </w:p>
          <w:p w14:paraId="71FC1A76">
            <w:pPr>
              <w:pStyle w:val="8"/>
              <w:spacing w:line="380" w:lineRule="exact"/>
              <w:ind w:firstLine="0"/>
              <w:outlineLvl w:val="1"/>
              <w:rPr>
                <w:rFonts w:hint="eastAsia" w:ascii="宋体" w:hAnsi="宋体" w:cs="宋体"/>
                <w:b/>
                <w:bCs/>
                <w:szCs w:val="21"/>
              </w:rPr>
            </w:pPr>
            <w:r>
              <w:rPr>
                <w:rFonts w:hint="eastAsia" w:ascii="宋体" w:hAnsi="宋体" w:cs="宋体"/>
                <w:b/>
                <w:bCs/>
                <w:szCs w:val="21"/>
              </w:rPr>
              <w:t>（一）AI算力服务器总体性能及配置要求（可由一台或多台服务器硬件设备满足）：</w:t>
            </w:r>
          </w:p>
          <w:p w14:paraId="0F7CD789">
            <w:pPr>
              <w:pStyle w:val="8"/>
              <w:spacing w:line="380" w:lineRule="exact"/>
              <w:ind w:firstLine="0"/>
              <w:outlineLvl w:val="1"/>
              <w:rPr>
                <w:rFonts w:hint="eastAsia" w:ascii="宋体" w:hAnsi="宋体" w:cs="宋体"/>
                <w:szCs w:val="21"/>
              </w:rPr>
            </w:pPr>
            <w:r>
              <w:rPr>
                <w:rFonts w:hint="eastAsia" w:ascii="宋体" w:hAnsi="宋体" w:cs="宋体"/>
                <w:szCs w:val="21"/>
              </w:rPr>
              <w:t>▲1、所有服务器均须配置相同规格的AI算力卡，且单卡FP16算力≥310 TFLOPS，单卡提供≥64GB HBM，单卡速度≥1600GB/S，算力卡支持直出200G 网口；</w:t>
            </w:r>
          </w:p>
          <w:p w14:paraId="634240C4">
            <w:pPr>
              <w:pStyle w:val="8"/>
              <w:spacing w:line="380" w:lineRule="exact"/>
              <w:ind w:firstLine="0"/>
              <w:outlineLvl w:val="1"/>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、共配置AI算力：≥39.68 PFLOPS FP16；共配置总显存≥8192GB HBM；</w:t>
            </w:r>
          </w:p>
          <w:p w14:paraId="09A70DC1">
            <w:pPr>
              <w:pStyle w:val="8"/>
              <w:spacing w:line="380" w:lineRule="exact"/>
              <w:ind w:firstLine="0"/>
              <w:outlineLvl w:val="1"/>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、共配置≥64个符合国家安全可靠测评要求的CPU处理器，单个CPU处理器核数≥48核（物理核），频率≥2.6 GHz，单台服务器提供≥4颗CPU处理器；</w:t>
            </w:r>
          </w:p>
          <w:p w14:paraId="063C1C7F">
            <w:pPr>
              <w:pStyle w:val="8"/>
              <w:spacing w:line="380" w:lineRule="exact"/>
              <w:ind w:firstLine="0"/>
              <w:outlineLvl w:val="1"/>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、内存配置总容量≥16384GB DDR4，单条内存≥32GB ECC，频率≥3200MHz；</w:t>
            </w:r>
          </w:p>
          <w:p w14:paraId="22D5D29D">
            <w:pPr>
              <w:pStyle w:val="8"/>
              <w:spacing w:line="380" w:lineRule="exact"/>
              <w:ind w:firstLine="0"/>
              <w:outlineLvl w:val="1"/>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、共配置≥32*480GB SATA SSD，顺序读写@128KB速率≥400MB/s，共配置≥32*3.84TB NVMe SSD，顺序读写@128KB速率≥4500MB/S；</w:t>
            </w:r>
          </w:p>
          <w:p w14:paraId="513571EA">
            <w:pPr>
              <w:pStyle w:val="8"/>
              <w:spacing w:line="380" w:lineRule="exact"/>
              <w:ind w:firstLine="0"/>
              <w:outlineLvl w:val="1"/>
              <w:rPr>
                <w:rFonts w:hint="eastAsia" w:ascii="宋体" w:hAnsi="宋体" w:cs="宋体"/>
                <w:szCs w:val="21"/>
              </w:rPr>
            </w:pPr>
            <w:r>
              <w:rPr>
                <w:rFonts w:hint="eastAsia" w:ascii="宋体" w:hAnsi="宋体" w:cs="宋体"/>
                <w:szCs w:val="21"/>
              </w:rPr>
              <w:t>▲6、每台服务器配置≥2个25GE网口（含模块），≥2个100G网口（含模块），≥8个200GE RoCE网口（含光模块）；</w:t>
            </w:r>
          </w:p>
          <w:p w14:paraId="17830753">
            <w:pPr>
              <w:pStyle w:val="8"/>
              <w:spacing w:line="380" w:lineRule="exact"/>
              <w:ind w:firstLine="0"/>
              <w:outlineLvl w:val="1"/>
              <w:rPr>
                <w:rFonts w:hint="eastAsia" w:ascii="宋体" w:hAnsi="宋体" w:cs="宋体"/>
                <w:szCs w:val="21"/>
              </w:rPr>
            </w:pPr>
            <w:r>
              <w:rPr>
                <w:rFonts w:hint="eastAsia" w:ascii="宋体" w:hAnsi="宋体" w:cs="宋体"/>
                <w:szCs w:val="21"/>
              </w:rPr>
              <w:t>●7、承载服务的服务器产品AI处理器芯片满足GM/T 0008《安全芯片密码检测准则》第一级要求的产品标准和技术要求，具备商用密码产品认证材料；（投标时提供商用密码检测认证中心发布的认证证书扫描件或复印件，并加盖公章）</w:t>
            </w:r>
          </w:p>
          <w:p w14:paraId="6549CEB2">
            <w:pPr>
              <w:pStyle w:val="8"/>
              <w:spacing w:line="380" w:lineRule="exact"/>
              <w:ind w:firstLine="0"/>
              <w:outlineLvl w:val="1"/>
              <w:rPr>
                <w:rFonts w:hint="eastAsia" w:ascii="宋体" w:hAnsi="宋体" w:cs="宋体"/>
                <w:szCs w:val="21"/>
              </w:rPr>
            </w:pPr>
            <w:r>
              <w:rPr>
                <w:rFonts w:hint="eastAsia" w:ascii="宋体" w:hAnsi="宋体" w:cs="宋体"/>
                <w:szCs w:val="21"/>
              </w:rPr>
              <w:t>8、每台服务器配置≥4块2600W交流电源，支持2+2冗余；</w:t>
            </w:r>
          </w:p>
          <w:p w14:paraId="6C1C7FA4">
            <w:pPr>
              <w:pStyle w:val="8"/>
              <w:spacing w:line="380" w:lineRule="exact"/>
              <w:ind w:firstLine="0"/>
              <w:outlineLvl w:val="1"/>
              <w:rPr>
                <w:rFonts w:hint="eastAsia" w:ascii="宋体" w:hAnsi="宋体" w:cs="宋体"/>
                <w:szCs w:val="21"/>
              </w:rPr>
            </w:pPr>
            <w:r>
              <w:rPr>
                <w:rFonts w:hint="eastAsia" w:ascii="宋体" w:hAnsi="宋体" w:cs="宋体"/>
                <w:szCs w:val="21"/>
              </w:rPr>
              <w:t>9、配置AI算力管理平台，需满足以下功能：</w:t>
            </w:r>
          </w:p>
          <w:p w14:paraId="7AB26895">
            <w:pPr>
              <w:pStyle w:val="8"/>
              <w:spacing w:line="380" w:lineRule="exact"/>
              <w:ind w:firstLine="0"/>
              <w:outlineLvl w:val="1"/>
              <w:rPr>
                <w:rFonts w:hint="eastAsia" w:ascii="宋体" w:hAnsi="宋体" w:cs="宋体"/>
                <w:szCs w:val="21"/>
              </w:rPr>
            </w:pPr>
            <w:r>
              <w:rPr>
                <w:rFonts w:hint="eastAsia" w:ascii="宋体" w:hAnsi="宋体" w:cs="宋体"/>
                <w:szCs w:val="21"/>
              </w:rPr>
              <w:t>（1）资源管理：</w:t>
            </w:r>
          </w:p>
          <w:p w14:paraId="4BB1FC82">
            <w:pPr>
              <w:pStyle w:val="8"/>
              <w:spacing w:line="380" w:lineRule="exact"/>
              <w:ind w:firstLine="0"/>
              <w:outlineLvl w:val="1"/>
              <w:rPr>
                <w:rFonts w:hint="eastAsia" w:ascii="宋体" w:hAnsi="宋体" w:cs="宋体"/>
                <w:szCs w:val="21"/>
              </w:rPr>
            </w:pPr>
            <w:r>
              <w:rPr>
                <w:rFonts w:hint="eastAsia" w:ascii="宋体" w:hAnsi="宋体" w:cs="宋体"/>
                <w:szCs w:val="21"/>
              </w:rPr>
              <w:t>①算力资源池：支持创建资源池，开启NPU或GPU虚拟化；支持在一个资源池里灵活增加节点或者删除节点。</w:t>
            </w:r>
          </w:p>
          <w:p w14:paraId="4CA44AE8">
            <w:pPr>
              <w:pStyle w:val="8"/>
              <w:spacing w:line="380" w:lineRule="exact"/>
              <w:ind w:firstLine="0"/>
              <w:outlineLvl w:val="1"/>
              <w:rPr>
                <w:rFonts w:hint="eastAsia" w:ascii="宋体" w:hAnsi="宋体" w:cs="宋体"/>
                <w:szCs w:val="21"/>
              </w:rPr>
            </w:pPr>
            <w:r>
              <w:rPr>
                <w:rFonts w:hint="eastAsia" w:ascii="宋体" w:hAnsi="宋体" w:cs="宋体"/>
                <w:szCs w:val="21"/>
              </w:rPr>
              <w:t>●②算力资源调度中心：创建智能化的算力资源调度中枢，支持主站点与分站点的算力资源监测与管理，包括算力机数量、型号、算力卡使用量监测、CPU使用量监测、内存、显存、运行状态的监测与管理。(投标时提供软件系统功能截图，并加盖公章)</w:t>
            </w:r>
          </w:p>
          <w:p w14:paraId="54FFDAE7">
            <w:pPr>
              <w:pStyle w:val="8"/>
              <w:spacing w:line="380" w:lineRule="exact"/>
              <w:ind w:firstLine="0"/>
              <w:outlineLvl w:val="1"/>
              <w:rPr>
                <w:rFonts w:hint="eastAsia" w:ascii="宋体" w:hAnsi="宋体" w:cs="宋体"/>
                <w:szCs w:val="21"/>
              </w:rPr>
            </w:pPr>
            <w:r>
              <w:rPr>
                <w:rFonts w:hint="eastAsia" w:ascii="宋体" w:hAnsi="宋体" w:cs="宋体"/>
                <w:szCs w:val="21"/>
              </w:rPr>
              <w:t>③支持多种大语言模型、多模态模型、向量模型、语音模型的集成，如Qwen、QWQ、Deepseek、GLM。提供模型管理功能，包括模型的添加、删除及配置。</w:t>
            </w:r>
          </w:p>
          <w:p w14:paraId="650FD33B">
            <w:pPr>
              <w:pStyle w:val="8"/>
              <w:spacing w:line="380" w:lineRule="exact"/>
              <w:ind w:firstLine="0"/>
              <w:outlineLvl w:val="1"/>
              <w:rPr>
                <w:rFonts w:hint="eastAsia" w:ascii="宋体" w:hAnsi="宋体" w:cs="宋体"/>
                <w:szCs w:val="21"/>
              </w:rPr>
            </w:pPr>
            <w:r>
              <w:rPr>
                <w:rFonts w:hint="eastAsia" w:ascii="宋体" w:hAnsi="宋体" w:cs="宋体"/>
                <w:szCs w:val="21"/>
              </w:rPr>
              <w:t>④模型状态监测：平台总揽包括目前接入站点数、算力机数、算力显卡数、本地模型数以及树型分级展示各级节点接入情况深色表示在线；列表形式展示各几点配置情况包括算力机数、算力显卡数、本地模型数；统计平台系统负载、活跃模型排行、API以及Token使用量。</w:t>
            </w:r>
          </w:p>
          <w:p w14:paraId="27D2FB6A">
            <w:pPr>
              <w:pStyle w:val="8"/>
              <w:spacing w:line="380" w:lineRule="exact"/>
              <w:ind w:firstLine="0"/>
              <w:outlineLvl w:val="1"/>
              <w:rPr>
                <w:rFonts w:hint="eastAsia" w:ascii="宋体" w:hAnsi="宋体" w:cs="宋体"/>
                <w:szCs w:val="21"/>
              </w:rPr>
            </w:pPr>
            <w:r>
              <w:rPr>
                <w:rFonts w:hint="eastAsia" w:ascii="宋体" w:hAnsi="宋体" w:cs="宋体"/>
                <w:szCs w:val="21"/>
              </w:rPr>
              <w:t>⑤多模态试验场：支持对问答、生图、语音转换、文本嵌入、重排序模型进行实时调用验证、模型对比。</w:t>
            </w:r>
          </w:p>
          <w:p w14:paraId="5B0F6A9E">
            <w:pPr>
              <w:pStyle w:val="8"/>
              <w:spacing w:line="380" w:lineRule="exact"/>
              <w:ind w:firstLine="0"/>
              <w:outlineLvl w:val="1"/>
              <w:rPr>
                <w:rFonts w:hint="eastAsia" w:ascii="宋体" w:hAnsi="宋体" w:cs="宋体"/>
                <w:szCs w:val="21"/>
              </w:rPr>
            </w:pPr>
            <w:r>
              <w:rPr>
                <w:rFonts w:hint="eastAsia" w:ascii="宋体" w:hAnsi="宋体" w:cs="宋体"/>
                <w:szCs w:val="21"/>
              </w:rPr>
              <w:t>（2）模型训练：</w:t>
            </w:r>
          </w:p>
          <w:p w14:paraId="0E4884B6">
            <w:pPr>
              <w:pStyle w:val="8"/>
              <w:spacing w:line="380" w:lineRule="exact"/>
              <w:ind w:firstLine="0"/>
              <w:outlineLvl w:val="1"/>
              <w:rPr>
                <w:rFonts w:hint="eastAsia" w:ascii="宋体" w:hAnsi="宋体" w:cs="宋体"/>
                <w:szCs w:val="21"/>
              </w:rPr>
            </w:pPr>
            <w:r>
              <w:rPr>
                <w:rFonts w:hint="eastAsia" w:ascii="宋体" w:hAnsi="宋体" w:cs="宋体"/>
                <w:szCs w:val="21"/>
              </w:rPr>
              <w:t>①支持基于K8S容器的模型训练；支持结构化和非结构化数据存储；支持查看训练任务情况。</w:t>
            </w:r>
          </w:p>
          <w:p w14:paraId="1CF27289">
            <w:pPr>
              <w:pStyle w:val="8"/>
              <w:spacing w:line="380" w:lineRule="exact"/>
              <w:ind w:firstLine="0"/>
              <w:outlineLvl w:val="1"/>
              <w:rPr>
                <w:rFonts w:hint="eastAsia" w:ascii="宋体" w:hAnsi="宋体" w:cs="宋体"/>
                <w:szCs w:val="21"/>
              </w:rPr>
            </w:pPr>
            <w:r>
              <w:rPr>
                <w:rFonts w:hint="eastAsia" w:ascii="宋体" w:hAnsi="宋体" w:cs="宋体"/>
                <w:szCs w:val="21"/>
              </w:rPr>
              <w:t>②模型训练：训练数据选择、训练方式选择、训练参数配置。</w:t>
            </w:r>
          </w:p>
          <w:p w14:paraId="5725408E">
            <w:pPr>
              <w:pStyle w:val="8"/>
              <w:spacing w:line="380" w:lineRule="exact"/>
              <w:ind w:firstLine="0"/>
              <w:outlineLvl w:val="1"/>
              <w:rPr>
                <w:rFonts w:hint="eastAsia" w:ascii="宋体" w:hAnsi="宋体" w:cs="宋体"/>
                <w:szCs w:val="21"/>
              </w:rPr>
            </w:pPr>
            <w:r>
              <w:rPr>
                <w:rFonts w:hint="eastAsia" w:ascii="宋体" w:hAnsi="宋体" w:cs="宋体"/>
                <w:szCs w:val="21"/>
              </w:rPr>
              <w:t>③模型评估：训练参数配置，包括算力卡批处理大小、截断长度、最大样本数等参数配置。</w:t>
            </w:r>
          </w:p>
          <w:p w14:paraId="3D7D3B30">
            <w:pPr>
              <w:pStyle w:val="8"/>
              <w:spacing w:line="380" w:lineRule="exact"/>
              <w:ind w:firstLine="0"/>
              <w:outlineLvl w:val="1"/>
              <w:rPr>
                <w:rFonts w:hint="eastAsia" w:ascii="宋体" w:hAnsi="宋体" w:cs="宋体"/>
                <w:szCs w:val="21"/>
              </w:rPr>
            </w:pPr>
            <w:r>
              <w:rPr>
                <w:rFonts w:hint="eastAsia" w:ascii="宋体" w:hAnsi="宋体" w:cs="宋体"/>
                <w:szCs w:val="21"/>
              </w:rPr>
              <w:t>④数据资产：本地数据集管理包括数据集名称、数据集大小、数据集路径、数据集简介等参数</w:t>
            </w:r>
          </w:p>
          <w:p w14:paraId="59403A5F">
            <w:pPr>
              <w:pStyle w:val="8"/>
              <w:spacing w:line="380" w:lineRule="exact"/>
              <w:ind w:firstLine="0"/>
              <w:outlineLvl w:val="1"/>
              <w:rPr>
                <w:rFonts w:hint="eastAsia" w:ascii="宋体" w:hAnsi="宋体" w:cs="宋体"/>
                <w:szCs w:val="21"/>
              </w:rPr>
            </w:pPr>
            <w:r>
              <w:rPr>
                <w:rFonts w:hint="eastAsia" w:ascii="宋体" w:hAnsi="宋体" w:cs="宋体"/>
                <w:szCs w:val="21"/>
              </w:rPr>
              <w:t>（3）模型推理：</w:t>
            </w:r>
          </w:p>
          <w:p w14:paraId="01680D5B">
            <w:pPr>
              <w:pStyle w:val="8"/>
              <w:spacing w:line="380" w:lineRule="exact"/>
              <w:ind w:firstLine="0"/>
              <w:outlineLvl w:val="1"/>
              <w:rPr>
                <w:rFonts w:hint="eastAsia" w:ascii="宋体" w:hAnsi="宋体" w:cs="宋体"/>
                <w:szCs w:val="21"/>
              </w:rPr>
            </w:pPr>
            <w:r>
              <w:rPr>
                <w:rFonts w:hint="eastAsia" w:ascii="宋体" w:hAnsi="宋体" w:cs="宋体"/>
                <w:szCs w:val="21"/>
              </w:rPr>
              <w:t>①支持基于K8S容器化的模型推理；支持训练日志归集和下载；支持推理部署在不同的节点，防止节点故障影响业务。</w:t>
            </w:r>
          </w:p>
          <w:p w14:paraId="41173A37">
            <w:pPr>
              <w:pStyle w:val="8"/>
              <w:spacing w:line="380" w:lineRule="exact"/>
              <w:ind w:firstLine="0"/>
              <w:outlineLvl w:val="1"/>
              <w:rPr>
                <w:rFonts w:hint="eastAsia" w:ascii="宋体" w:hAnsi="宋体" w:cs="宋体"/>
                <w:szCs w:val="21"/>
              </w:rPr>
            </w:pPr>
            <w:r>
              <w:rPr>
                <w:rFonts w:hint="eastAsia" w:ascii="宋体" w:hAnsi="宋体" w:cs="宋体"/>
                <w:szCs w:val="21"/>
              </w:rPr>
              <w:t>●②构建简易模型：基于通过提示词工程直接调用大模型构建简易模型，其中支持添加大模型本地支持库调用、语音识别组件调用。（投标时提供国家认可具有相应检测资质的第三方检测机构出具的关于该功能检测报告扫描件或复印件，并加盖公章）</w:t>
            </w:r>
          </w:p>
          <w:p w14:paraId="48845D66">
            <w:pPr>
              <w:pStyle w:val="8"/>
              <w:spacing w:line="380" w:lineRule="exact"/>
              <w:ind w:firstLine="0"/>
              <w:outlineLvl w:val="1"/>
              <w:rPr>
                <w:rFonts w:hint="eastAsia" w:ascii="宋体" w:hAnsi="宋体" w:cs="宋体"/>
                <w:szCs w:val="21"/>
              </w:rPr>
            </w:pPr>
            <w:r>
              <w:rPr>
                <w:rFonts w:hint="eastAsia" w:ascii="宋体" w:hAnsi="宋体" w:cs="宋体"/>
                <w:szCs w:val="21"/>
              </w:rPr>
              <w:t>●③构建工作流模型，通过可视化拖拉拽方式，创建复杂的工作流推理模型，形成公安智能模型的快速孵化与全生命周期管理生态。提供可视化的开发环境。（投标时提供国家认可具有相应检测资质的第三方检测机构出具的关于该功能检测报告扫描件或复印件，并加盖公章）</w:t>
            </w:r>
          </w:p>
          <w:p w14:paraId="4831E729">
            <w:pPr>
              <w:pStyle w:val="8"/>
              <w:spacing w:line="380" w:lineRule="exact"/>
              <w:ind w:firstLine="0"/>
              <w:outlineLvl w:val="1"/>
              <w:rPr>
                <w:rFonts w:hint="eastAsia" w:ascii="宋体" w:hAnsi="宋体" w:cs="宋体"/>
                <w:szCs w:val="21"/>
              </w:rPr>
            </w:pPr>
            <w:r>
              <w:rPr>
                <w:rFonts w:hint="eastAsia" w:ascii="宋体" w:hAnsi="宋体" w:cs="宋体"/>
                <w:szCs w:val="21"/>
              </w:rPr>
              <w:t>④丰富的模型创建工具：集成丰富的行业算法模型库、业务组件模板，包括AI对话、知识库搜索、问题分类、文本内容提取、工具调用、HTTP请求、判断器、关系图、思维导图、MCP数据总线插件资源。</w:t>
            </w:r>
          </w:p>
          <w:p w14:paraId="52704C84">
            <w:pPr>
              <w:pStyle w:val="8"/>
              <w:spacing w:line="380" w:lineRule="exact"/>
              <w:ind w:firstLine="0"/>
              <w:outlineLvl w:val="1"/>
              <w:rPr>
                <w:rFonts w:hint="eastAsia" w:ascii="宋体" w:hAnsi="宋体" w:cs="宋体"/>
                <w:szCs w:val="21"/>
              </w:rPr>
            </w:pPr>
            <w:r>
              <w:rPr>
                <w:rFonts w:hint="eastAsia" w:ascii="宋体" w:hAnsi="宋体" w:cs="宋体"/>
                <w:szCs w:val="21"/>
              </w:rPr>
              <w:t>●⑤MCP数据总线：MCP数据总线的创建、调用以及管理控制。（投标时提供国家认可具有相应检测资质的第三方检测机构出具的关于该功能检测报告扫描件或复印件，并加盖公章）</w:t>
            </w:r>
          </w:p>
          <w:p w14:paraId="09463758">
            <w:pPr>
              <w:pStyle w:val="8"/>
              <w:spacing w:line="380" w:lineRule="exact"/>
              <w:ind w:firstLine="0"/>
              <w:outlineLvl w:val="1"/>
              <w:rPr>
                <w:rFonts w:hint="eastAsia" w:ascii="宋体" w:hAnsi="宋体" w:cs="宋体"/>
                <w:szCs w:val="21"/>
              </w:rPr>
            </w:pPr>
            <w:r>
              <w:rPr>
                <w:rFonts w:hint="eastAsia" w:ascii="宋体" w:hAnsi="宋体" w:cs="宋体"/>
                <w:szCs w:val="21"/>
              </w:rPr>
              <w:t>⑥支持本地模型分享，可将创建好的模型设计分享给其他用户。</w:t>
            </w:r>
          </w:p>
          <w:p w14:paraId="37358536">
            <w:pPr>
              <w:pStyle w:val="8"/>
              <w:spacing w:line="380" w:lineRule="exact"/>
              <w:ind w:firstLine="0"/>
              <w:outlineLvl w:val="1"/>
              <w:rPr>
                <w:rFonts w:hint="eastAsia" w:ascii="宋体" w:hAnsi="宋体" w:cs="宋体"/>
                <w:szCs w:val="21"/>
              </w:rPr>
            </w:pPr>
            <w:r>
              <w:rPr>
                <w:rFonts w:hint="eastAsia" w:ascii="宋体" w:hAnsi="宋体" w:cs="宋体"/>
                <w:szCs w:val="21"/>
              </w:rPr>
              <w:t>⑦大模型知识库：支持大模型知识库的创建与管理工作，能够有力支持快速创建大模型知识库，文档导入兼容多种格式，如PDF、DOCX、TXT等，编辑环节支持可视化界面，搜索结果支持依据相关性、热度等要素进行智能排序。</w:t>
            </w:r>
          </w:p>
          <w:p w14:paraId="5FD3E493">
            <w:pPr>
              <w:pStyle w:val="8"/>
              <w:spacing w:line="380" w:lineRule="exact"/>
              <w:ind w:firstLine="0"/>
              <w:outlineLvl w:val="1"/>
              <w:rPr>
                <w:rFonts w:hint="eastAsia" w:ascii="宋体" w:hAnsi="宋体" w:cs="宋体"/>
                <w:szCs w:val="21"/>
              </w:rPr>
            </w:pPr>
            <w:r>
              <w:rPr>
                <w:rFonts w:hint="eastAsia" w:ascii="宋体" w:hAnsi="宋体" w:cs="宋体"/>
                <w:szCs w:val="21"/>
              </w:rPr>
              <w:t>●⑧支持根据需求接入已有数据服务器作为MCP能力服务，支持本地构建特有MCP服务，将本地服务能力作为MCP服务发布，支持按需申请MCP服务调用权限，提供可视化申请界面。(投标时需提供软件系统截图，并加盖公章)</w:t>
            </w:r>
          </w:p>
          <w:p w14:paraId="55F55DF7">
            <w:pPr>
              <w:pStyle w:val="8"/>
              <w:spacing w:line="380" w:lineRule="exact"/>
              <w:ind w:firstLine="0"/>
              <w:outlineLvl w:val="1"/>
              <w:rPr>
                <w:rFonts w:hint="eastAsia" w:ascii="宋体" w:hAnsi="宋体" w:cs="宋体"/>
                <w:szCs w:val="21"/>
              </w:rPr>
            </w:pPr>
            <w:r>
              <w:rPr>
                <w:rFonts w:hint="eastAsia" w:ascii="宋体" w:hAnsi="宋体" w:cs="宋体"/>
                <w:szCs w:val="21"/>
              </w:rPr>
              <w:t>（4）集群运维：</w:t>
            </w:r>
          </w:p>
          <w:p w14:paraId="1FC69F7D">
            <w:pPr>
              <w:pStyle w:val="8"/>
              <w:spacing w:line="380" w:lineRule="exact"/>
              <w:ind w:firstLine="0"/>
              <w:outlineLvl w:val="1"/>
              <w:rPr>
                <w:rFonts w:hint="eastAsia" w:ascii="宋体" w:hAnsi="宋体" w:cs="宋体"/>
                <w:szCs w:val="21"/>
              </w:rPr>
            </w:pPr>
            <w:r>
              <w:rPr>
                <w:rFonts w:hint="eastAsia" w:ascii="宋体" w:hAnsi="宋体" w:cs="宋体"/>
                <w:szCs w:val="21"/>
              </w:rPr>
              <w:t>①支持K8S容器的部署和扩缩容；</w:t>
            </w:r>
          </w:p>
          <w:p w14:paraId="312A3823">
            <w:pPr>
              <w:pStyle w:val="8"/>
              <w:spacing w:line="380" w:lineRule="exact"/>
              <w:ind w:firstLine="0"/>
              <w:outlineLvl w:val="1"/>
              <w:rPr>
                <w:rFonts w:hint="eastAsia" w:ascii="宋体" w:hAnsi="宋体" w:cs="宋体"/>
                <w:szCs w:val="21"/>
              </w:rPr>
            </w:pPr>
            <w:r>
              <w:rPr>
                <w:rFonts w:hint="eastAsia" w:ascii="宋体" w:hAnsi="宋体" w:cs="宋体"/>
                <w:szCs w:val="21"/>
              </w:rPr>
              <w:t>②支持管控角色HA部署；</w:t>
            </w:r>
          </w:p>
          <w:p w14:paraId="0774CA54">
            <w:pPr>
              <w:pStyle w:val="8"/>
              <w:spacing w:line="380" w:lineRule="exact"/>
              <w:ind w:firstLine="0"/>
              <w:outlineLvl w:val="1"/>
              <w:rPr>
                <w:rFonts w:hint="eastAsia" w:ascii="宋体" w:hAnsi="宋体" w:cs="宋体"/>
                <w:szCs w:val="21"/>
              </w:rPr>
            </w:pPr>
            <w:r>
              <w:rPr>
                <w:rFonts w:hint="eastAsia" w:ascii="宋体" w:hAnsi="宋体" w:cs="宋体"/>
                <w:szCs w:val="21"/>
              </w:rPr>
              <w:t>③支持集群服务的健康检查、集群服务的故障和亚健康时告警；</w:t>
            </w:r>
          </w:p>
          <w:p w14:paraId="4DC0132C">
            <w:pPr>
              <w:pStyle w:val="8"/>
              <w:spacing w:line="380" w:lineRule="exact"/>
              <w:ind w:firstLine="0"/>
              <w:outlineLvl w:val="1"/>
              <w:rPr>
                <w:rFonts w:hint="eastAsia" w:ascii="宋体" w:hAnsi="宋体" w:cs="宋体"/>
                <w:szCs w:val="21"/>
              </w:rPr>
            </w:pPr>
            <w:r>
              <w:rPr>
                <w:rFonts w:hint="eastAsia" w:ascii="宋体" w:hAnsi="宋体" w:cs="宋体"/>
                <w:szCs w:val="21"/>
              </w:rPr>
              <w:t>④支持故障节点替换后恢复实例。</w:t>
            </w:r>
          </w:p>
          <w:p w14:paraId="0B3EC2C4">
            <w:pPr>
              <w:pStyle w:val="8"/>
              <w:spacing w:line="380" w:lineRule="exact"/>
              <w:ind w:firstLine="0"/>
              <w:outlineLvl w:val="1"/>
              <w:rPr>
                <w:rFonts w:hint="eastAsia" w:ascii="宋体" w:hAnsi="宋体" w:cs="宋体"/>
                <w:szCs w:val="21"/>
              </w:rPr>
            </w:pPr>
            <w:r>
              <w:rPr>
                <w:rFonts w:hint="eastAsia" w:ascii="宋体" w:hAnsi="宋体" w:cs="宋体"/>
                <w:szCs w:val="21"/>
              </w:rPr>
              <w:t>10、本项目服务期内，提供三年原厂上门软硬件技术支持与售后服务（包括硬件保修、软件升级和介质保留），服务期满后存储盘留存给采购人。</w:t>
            </w:r>
          </w:p>
          <w:p w14:paraId="3765CBB4">
            <w:pPr>
              <w:pStyle w:val="8"/>
              <w:spacing w:line="380" w:lineRule="exact"/>
              <w:ind w:firstLine="0"/>
              <w:outlineLvl w:val="1"/>
              <w:rPr>
                <w:rFonts w:hint="eastAsia" w:ascii="宋体" w:hAnsi="宋体" w:cs="宋体"/>
                <w:b/>
                <w:bCs/>
                <w:szCs w:val="21"/>
              </w:rPr>
            </w:pPr>
          </w:p>
          <w:p w14:paraId="6DCE7E10">
            <w:pPr>
              <w:pStyle w:val="8"/>
              <w:spacing w:line="380" w:lineRule="exact"/>
              <w:ind w:firstLine="0"/>
              <w:outlineLvl w:val="1"/>
              <w:rPr>
                <w:rFonts w:hint="eastAsia" w:ascii="宋体" w:hAnsi="宋体" w:cs="宋体"/>
                <w:b/>
                <w:bCs/>
                <w:szCs w:val="21"/>
              </w:rPr>
            </w:pPr>
            <w:r>
              <w:rPr>
                <w:rFonts w:hint="eastAsia" w:ascii="宋体" w:hAnsi="宋体" w:cs="宋体"/>
                <w:b/>
                <w:bCs/>
                <w:szCs w:val="21"/>
              </w:rPr>
              <w:t>（二）网络交换机性能及配置要求：</w:t>
            </w:r>
          </w:p>
          <w:p w14:paraId="2639A4EE">
            <w:pPr>
              <w:pStyle w:val="8"/>
              <w:spacing w:line="380" w:lineRule="exact"/>
              <w:ind w:firstLine="0"/>
              <w:outlineLvl w:val="1"/>
              <w:rPr>
                <w:rFonts w:hint="eastAsia" w:ascii="宋体" w:hAnsi="宋体" w:cs="宋体"/>
                <w:szCs w:val="21"/>
              </w:rPr>
            </w:pPr>
            <w:r>
              <w:rPr>
                <w:rFonts w:hint="eastAsia" w:ascii="宋体" w:hAnsi="宋体" w:cs="宋体"/>
                <w:szCs w:val="21"/>
              </w:rPr>
              <w:t>1、参数面交换机（≥1台）：</w:t>
            </w:r>
          </w:p>
          <w:p w14:paraId="2329D3DA">
            <w:pPr>
              <w:pStyle w:val="8"/>
              <w:spacing w:line="380" w:lineRule="exact"/>
              <w:ind w:firstLine="0"/>
              <w:outlineLvl w:val="1"/>
              <w:rPr>
                <w:rFonts w:hint="eastAsia" w:ascii="宋体" w:hAnsi="宋体" w:cs="宋体"/>
                <w:szCs w:val="21"/>
              </w:rPr>
            </w:pPr>
            <w:r>
              <w:rPr>
                <w:rFonts w:hint="eastAsia" w:ascii="宋体" w:hAnsi="宋体" w:cs="宋体"/>
                <w:szCs w:val="21"/>
              </w:rPr>
              <w:t>▲（1）单台交换容量≥100Tbps，包转发率≥20000Mpps，单台提供≥128个200GE端口接入能力，并配置≥128个200G光模块，端口数量需满足算力池集群组网要求，单台提供可插拔交流电源模块≥4个，提供可插拔风扇模块≥6个；</w:t>
            </w:r>
          </w:p>
          <w:p w14:paraId="51CDA91A">
            <w:pPr>
              <w:pStyle w:val="8"/>
              <w:spacing w:line="380" w:lineRule="exact"/>
              <w:ind w:firstLine="0"/>
              <w:outlineLvl w:val="1"/>
              <w:rPr>
                <w:rFonts w:hint="eastAsia" w:ascii="宋体" w:hAnsi="宋体" w:cs="宋体"/>
                <w:szCs w:val="21"/>
              </w:rPr>
            </w:pPr>
            <w:r>
              <w:rPr>
                <w:rFonts w:hint="eastAsia" w:ascii="宋体" w:hAnsi="宋体" w:cs="宋体"/>
                <w:szCs w:val="21"/>
              </w:rPr>
              <w:t>●（2）支持AI ECN，支持网络级负载技术；（投标时提供国家认可具有相应检测资质的第三方检测机构出具的关于该功能检测报告扫描件或复印件，并加盖公章）</w:t>
            </w:r>
          </w:p>
          <w:p w14:paraId="41F3C0AC">
            <w:pPr>
              <w:pStyle w:val="8"/>
              <w:spacing w:line="380" w:lineRule="exact"/>
              <w:ind w:firstLine="0"/>
              <w:outlineLvl w:val="1"/>
              <w:rPr>
                <w:rFonts w:hint="eastAsia" w:ascii="宋体" w:hAnsi="宋体" w:cs="宋体"/>
                <w:szCs w:val="21"/>
              </w:rPr>
            </w:pPr>
            <w:r>
              <w:rPr>
                <w:rFonts w:hint="eastAsia" w:ascii="宋体" w:hAnsi="宋体" w:cs="宋体"/>
                <w:szCs w:val="21"/>
              </w:rPr>
              <w:t>（3）支持PFC死锁预防，通过识别易造成 PFC 死锁的业务流，修改队列优先级，从而预防 PFC死锁的发生；</w:t>
            </w:r>
          </w:p>
          <w:p w14:paraId="78DFF557">
            <w:pPr>
              <w:pStyle w:val="8"/>
              <w:spacing w:line="380" w:lineRule="exact"/>
              <w:ind w:firstLine="0"/>
              <w:outlineLvl w:val="1"/>
              <w:rPr>
                <w:rFonts w:hint="eastAsia" w:ascii="宋体" w:hAnsi="宋体" w:cs="宋体"/>
                <w:szCs w:val="21"/>
              </w:rPr>
            </w:pPr>
            <w:r>
              <w:rPr>
                <w:rFonts w:hint="eastAsia" w:ascii="宋体" w:hAnsi="宋体" w:cs="宋体"/>
                <w:szCs w:val="21"/>
              </w:rPr>
              <w:t>●（4）支持Packet Event，丢包可视、超长时延可视；（投标时提供国家认可具有相应检测资质的第三方检测机构出具的关于该功能检测报告扫描件或复印件，并加盖公章）</w:t>
            </w:r>
          </w:p>
          <w:p w14:paraId="3C6BD44E">
            <w:pPr>
              <w:pStyle w:val="8"/>
              <w:spacing w:line="380" w:lineRule="exact"/>
              <w:ind w:firstLine="0"/>
              <w:outlineLvl w:val="1"/>
              <w:rPr>
                <w:rFonts w:hint="eastAsia" w:ascii="宋体" w:hAnsi="宋体" w:cs="宋体"/>
                <w:szCs w:val="21"/>
              </w:rPr>
            </w:pPr>
            <w:r>
              <w:rPr>
                <w:rFonts w:hint="eastAsia" w:ascii="宋体" w:hAnsi="宋体" w:cs="宋体"/>
                <w:szCs w:val="21"/>
              </w:rPr>
              <w:t>●（5）支持 Netstream 满足10GE 1:1采样；（投标时提供国家认可具有相应检测资质的第三方检测机构出具的关于该功能检测报告扫描件或复印件，并加盖公章）</w:t>
            </w:r>
          </w:p>
          <w:p w14:paraId="55023E5F">
            <w:pPr>
              <w:pStyle w:val="8"/>
              <w:spacing w:line="380" w:lineRule="exact"/>
              <w:ind w:firstLine="0"/>
              <w:outlineLvl w:val="1"/>
              <w:rPr>
                <w:rFonts w:hint="eastAsia" w:ascii="宋体" w:hAnsi="宋体" w:cs="宋体"/>
                <w:szCs w:val="21"/>
              </w:rPr>
            </w:pPr>
            <w:r>
              <w:rPr>
                <w:rFonts w:hint="eastAsia" w:ascii="宋体" w:hAnsi="宋体" w:cs="宋体"/>
                <w:szCs w:val="21"/>
              </w:rPr>
              <w:t>（6）支持 RDMA 和 RoCE（RoCE v1 和 RoCE v2）；</w:t>
            </w:r>
          </w:p>
          <w:p w14:paraId="7F5B938F">
            <w:pPr>
              <w:pStyle w:val="8"/>
              <w:spacing w:line="380" w:lineRule="exact"/>
              <w:ind w:firstLine="0"/>
              <w:outlineLvl w:val="1"/>
              <w:rPr>
                <w:rFonts w:hint="eastAsia" w:ascii="宋体" w:hAnsi="宋体" w:cs="宋体"/>
                <w:szCs w:val="21"/>
              </w:rPr>
            </w:pPr>
            <w:r>
              <w:rPr>
                <w:rFonts w:hint="eastAsia" w:ascii="宋体" w:hAnsi="宋体" w:cs="宋体"/>
                <w:szCs w:val="21"/>
              </w:rPr>
              <w:t>（7）支持硬件 BFD，最小 3.3ms 发包间隔；</w:t>
            </w:r>
          </w:p>
          <w:p w14:paraId="1F10F366">
            <w:pPr>
              <w:pStyle w:val="8"/>
              <w:spacing w:line="380" w:lineRule="exact"/>
              <w:ind w:firstLine="0"/>
              <w:outlineLvl w:val="1"/>
              <w:rPr>
                <w:rFonts w:hint="eastAsia" w:ascii="宋体" w:hAnsi="宋体" w:cs="宋体"/>
                <w:szCs w:val="21"/>
              </w:rPr>
            </w:pPr>
            <w:r>
              <w:rPr>
                <w:rFonts w:hint="eastAsia" w:ascii="宋体" w:hAnsi="宋体" w:cs="宋体"/>
                <w:szCs w:val="21"/>
              </w:rPr>
              <w:t>（8）支持 WRED、尾丢弃等拥塞避免机制；</w:t>
            </w:r>
          </w:p>
          <w:p w14:paraId="05B803BA">
            <w:pPr>
              <w:pStyle w:val="8"/>
              <w:spacing w:line="380" w:lineRule="exact"/>
              <w:ind w:firstLine="0"/>
              <w:outlineLvl w:val="1"/>
              <w:rPr>
                <w:rFonts w:hint="eastAsia" w:ascii="宋体" w:hAnsi="宋体" w:cs="宋体"/>
                <w:szCs w:val="21"/>
              </w:rPr>
            </w:pPr>
            <w:r>
              <w:rPr>
                <w:rFonts w:hint="eastAsia" w:ascii="宋体" w:hAnsi="宋体" w:cs="宋体"/>
                <w:szCs w:val="21"/>
              </w:rPr>
              <w:t>●（9）为算力资源池的后续持续扩容预留接入能力，端口支持从200GE切换至400G速率、支持拆分为2*200G，最大可提供≥256个200GE的接入能力。（投标时提供交换机端口支持切换至400G速率，支持拆分为2*200G的证明材料，投标时提供国家认可具有相应检测资质的第三方检测机构出具的关于该功能检测报告扫描件或复印件，并加盖公章）</w:t>
            </w:r>
          </w:p>
          <w:p w14:paraId="08D39EC0">
            <w:pPr>
              <w:pStyle w:val="8"/>
              <w:spacing w:line="380" w:lineRule="exact"/>
              <w:ind w:firstLine="0"/>
              <w:outlineLvl w:val="1"/>
              <w:rPr>
                <w:rFonts w:hint="eastAsia" w:ascii="宋体" w:hAnsi="宋体" w:cs="宋体"/>
                <w:szCs w:val="21"/>
              </w:rPr>
            </w:pPr>
            <w:r>
              <w:rPr>
                <w:rFonts w:hint="eastAsia" w:ascii="宋体" w:hAnsi="宋体" w:cs="宋体"/>
                <w:szCs w:val="21"/>
              </w:rPr>
              <w:t>2、业务面交换机（≥2台）：</w:t>
            </w:r>
          </w:p>
          <w:p w14:paraId="4692CFE8">
            <w:pPr>
              <w:pStyle w:val="8"/>
              <w:spacing w:line="380" w:lineRule="exact"/>
              <w:ind w:firstLine="0"/>
              <w:outlineLvl w:val="1"/>
              <w:rPr>
                <w:rFonts w:hint="eastAsia" w:ascii="宋体" w:hAnsi="宋体" w:cs="宋体"/>
                <w:szCs w:val="21"/>
              </w:rPr>
            </w:pPr>
            <w:r>
              <w:rPr>
                <w:rFonts w:hint="eastAsia" w:ascii="宋体" w:hAnsi="宋体" w:cs="宋体"/>
                <w:szCs w:val="21"/>
              </w:rPr>
              <w:t>▲（1）单台交换容量≥8Tbps，包转发率≥2400Mpps，提供≥48个25GE端口接入能力，并配置≥48个25G多模光模块，端口数量需满足算力池集群组网要求，单台提供可插拔电源模块≥2个，可插拔风扇模块≥4个；</w:t>
            </w:r>
          </w:p>
          <w:p w14:paraId="5407CA17">
            <w:pPr>
              <w:pStyle w:val="8"/>
              <w:spacing w:line="380" w:lineRule="exact"/>
              <w:ind w:firstLine="0"/>
              <w:outlineLvl w:val="1"/>
              <w:rPr>
                <w:rFonts w:hint="eastAsia" w:ascii="宋体" w:hAnsi="宋体" w:cs="宋体"/>
                <w:szCs w:val="21"/>
              </w:rPr>
            </w:pPr>
            <w:r>
              <w:rPr>
                <w:rFonts w:hint="eastAsia" w:ascii="宋体" w:hAnsi="宋体" w:cs="宋体"/>
                <w:szCs w:val="21"/>
              </w:rPr>
              <w:t>●（2）支持AI ECN；（投标时提供国家认可具有相应检测资质的第三方检测机构出具的关于该功能检测报告扫描件或复印件，并加盖公章）</w:t>
            </w:r>
          </w:p>
          <w:p w14:paraId="369AFF62">
            <w:pPr>
              <w:pStyle w:val="8"/>
              <w:spacing w:line="380" w:lineRule="exact"/>
              <w:ind w:firstLine="0"/>
              <w:outlineLvl w:val="1"/>
              <w:rPr>
                <w:rFonts w:hint="eastAsia" w:ascii="宋体" w:hAnsi="宋体" w:cs="宋体"/>
                <w:szCs w:val="21"/>
              </w:rPr>
            </w:pPr>
            <w:r>
              <w:rPr>
                <w:rFonts w:hint="eastAsia" w:ascii="宋体" w:hAnsi="宋体" w:cs="宋体"/>
                <w:szCs w:val="21"/>
              </w:rPr>
              <w:t>（3）支持PFC死锁预防；</w:t>
            </w:r>
          </w:p>
          <w:p w14:paraId="5F7B41FF">
            <w:pPr>
              <w:pStyle w:val="8"/>
              <w:spacing w:line="380" w:lineRule="exact"/>
              <w:ind w:firstLine="0"/>
              <w:outlineLvl w:val="1"/>
              <w:rPr>
                <w:rFonts w:hint="eastAsia" w:ascii="宋体" w:hAnsi="宋体" w:cs="宋体"/>
                <w:szCs w:val="21"/>
              </w:rPr>
            </w:pPr>
            <w:r>
              <w:rPr>
                <w:rFonts w:hint="eastAsia" w:ascii="宋体" w:hAnsi="宋体" w:cs="宋体"/>
                <w:szCs w:val="21"/>
              </w:rPr>
              <w:t>●（4）支持Packet Event，丢包可视、超长时延可视；（投标时提供国家认可具有相应检测资质的第三方检测机构出具的关于该功能检测报告扫描件或复印件，并加盖公章）</w:t>
            </w:r>
          </w:p>
          <w:p w14:paraId="7FAC4896">
            <w:pPr>
              <w:pStyle w:val="8"/>
              <w:spacing w:line="380" w:lineRule="exact"/>
              <w:ind w:firstLine="0"/>
              <w:outlineLvl w:val="1"/>
              <w:rPr>
                <w:rFonts w:hint="eastAsia" w:ascii="宋体" w:hAnsi="宋体" w:cs="宋体"/>
                <w:szCs w:val="21"/>
              </w:rPr>
            </w:pPr>
            <w:r>
              <w:rPr>
                <w:rFonts w:hint="eastAsia" w:ascii="宋体" w:hAnsi="宋体" w:cs="宋体"/>
                <w:szCs w:val="21"/>
              </w:rPr>
              <w:t>●（5）支持 Netstream 满足10GE 1:1采样；（投标时提供国家认可具有相应检测资质的第三方检测机构出具的关于该功能检测报告扫描件或复印件，并加盖公章）</w:t>
            </w:r>
          </w:p>
          <w:p w14:paraId="319C6B7F">
            <w:pPr>
              <w:pStyle w:val="8"/>
              <w:spacing w:line="380" w:lineRule="exact"/>
              <w:ind w:firstLine="0"/>
              <w:outlineLvl w:val="1"/>
              <w:rPr>
                <w:rFonts w:hint="eastAsia" w:ascii="宋体" w:hAnsi="宋体" w:cs="宋体"/>
                <w:szCs w:val="21"/>
              </w:rPr>
            </w:pPr>
            <w:r>
              <w:rPr>
                <w:rFonts w:hint="eastAsia" w:ascii="宋体" w:hAnsi="宋体" w:cs="宋体"/>
                <w:szCs w:val="21"/>
              </w:rPr>
              <w:t>（6）支持RDMA和RoCE（RoCE v1 和 RoCE v2）；</w:t>
            </w:r>
          </w:p>
          <w:p w14:paraId="7553D59C">
            <w:pPr>
              <w:pStyle w:val="8"/>
              <w:spacing w:line="380" w:lineRule="exact"/>
              <w:ind w:firstLine="0"/>
              <w:outlineLvl w:val="1"/>
              <w:rPr>
                <w:rFonts w:hint="eastAsia" w:ascii="宋体" w:hAnsi="宋体" w:cs="宋体"/>
                <w:szCs w:val="21"/>
              </w:rPr>
            </w:pPr>
            <w:r>
              <w:rPr>
                <w:rFonts w:hint="eastAsia" w:ascii="宋体" w:hAnsi="宋体" w:cs="宋体"/>
                <w:szCs w:val="21"/>
              </w:rPr>
              <w:t>（7）支持硬件BFD，最小3.3ms发包间隔；</w:t>
            </w:r>
          </w:p>
          <w:p w14:paraId="10823012">
            <w:pPr>
              <w:pStyle w:val="8"/>
              <w:spacing w:line="380" w:lineRule="exact"/>
              <w:ind w:firstLine="0"/>
              <w:outlineLvl w:val="1"/>
              <w:rPr>
                <w:rFonts w:hint="eastAsia" w:ascii="宋体" w:hAnsi="宋体" w:cs="宋体"/>
                <w:szCs w:val="21"/>
              </w:rPr>
            </w:pPr>
            <w:r>
              <w:rPr>
                <w:rFonts w:hint="eastAsia" w:ascii="宋体" w:hAnsi="宋体" w:cs="宋体"/>
                <w:szCs w:val="21"/>
              </w:rPr>
              <w:t>3、样本面交换机（≥2台）：</w:t>
            </w:r>
          </w:p>
          <w:p w14:paraId="742BB284">
            <w:pPr>
              <w:pStyle w:val="8"/>
              <w:spacing w:line="380" w:lineRule="exact"/>
              <w:ind w:firstLine="0"/>
              <w:outlineLvl w:val="1"/>
              <w:rPr>
                <w:rFonts w:hint="eastAsia" w:ascii="宋体" w:hAnsi="宋体" w:cs="宋体"/>
                <w:szCs w:val="21"/>
              </w:rPr>
            </w:pPr>
            <w:r>
              <w:rPr>
                <w:rFonts w:hint="eastAsia" w:ascii="宋体" w:hAnsi="宋体" w:cs="宋体"/>
                <w:szCs w:val="21"/>
              </w:rPr>
              <w:t>▲（1）单台交换容量≥16Tbps，包转发率≥4800Mpps，提供≥30个100GE端口接入能力，并配置≥26个100G光模块，端口数量需满足算力池集群组网要求，单台提供电源模块≥2个，风扇模块≥5个；</w:t>
            </w:r>
          </w:p>
          <w:p w14:paraId="61B5B418">
            <w:pPr>
              <w:pStyle w:val="8"/>
              <w:spacing w:line="380" w:lineRule="exact"/>
              <w:ind w:firstLine="0"/>
              <w:outlineLvl w:val="1"/>
              <w:rPr>
                <w:rFonts w:hint="eastAsia" w:ascii="宋体" w:hAnsi="宋体" w:cs="宋体"/>
                <w:szCs w:val="21"/>
              </w:rPr>
            </w:pPr>
            <w:r>
              <w:rPr>
                <w:rFonts w:hint="eastAsia" w:ascii="宋体" w:hAnsi="宋体" w:cs="宋体"/>
                <w:szCs w:val="21"/>
              </w:rPr>
              <w:t>●（2）支持AI ECN；（投标时提供国家认可具有相应检测资质的第三方检测机构出具的关于该功能检测报告扫描件或复印件，并加盖公章）</w:t>
            </w:r>
          </w:p>
          <w:p w14:paraId="2612DDC1">
            <w:pPr>
              <w:pStyle w:val="8"/>
              <w:spacing w:line="380" w:lineRule="exact"/>
              <w:ind w:firstLine="0"/>
              <w:outlineLvl w:val="1"/>
              <w:rPr>
                <w:rFonts w:hint="eastAsia" w:ascii="宋体" w:hAnsi="宋体" w:cs="宋体"/>
                <w:szCs w:val="21"/>
              </w:rPr>
            </w:pPr>
            <w:r>
              <w:rPr>
                <w:rFonts w:hint="eastAsia" w:ascii="宋体" w:hAnsi="宋体" w:cs="宋体"/>
                <w:szCs w:val="21"/>
              </w:rPr>
              <w:t>（3）支持PFC死锁预防；</w:t>
            </w:r>
          </w:p>
          <w:p w14:paraId="6DE7D758">
            <w:pPr>
              <w:pStyle w:val="8"/>
              <w:spacing w:line="380" w:lineRule="exact"/>
              <w:ind w:firstLine="0"/>
              <w:outlineLvl w:val="1"/>
              <w:rPr>
                <w:rFonts w:hint="eastAsia" w:ascii="宋体" w:hAnsi="宋体" w:cs="宋体"/>
                <w:szCs w:val="21"/>
              </w:rPr>
            </w:pPr>
            <w:r>
              <w:rPr>
                <w:rFonts w:hint="eastAsia" w:ascii="宋体" w:hAnsi="宋体" w:cs="宋体"/>
                <w:szCs w:val="21"/>
              </w:rPr>
              <w:t>●（4）支持Packet Event，丢包可视、超长时延可视；（投标时提供国家认可具有相应检测资质的第三方检测机构出具的关于该功能检测报告扫描件或复印件，并加盖公章）</w:t>
            </w:r>
          </w:p>
          <w:p w14:paraId="59E269B2">
            <w:pPr>
              <w:pStyle w:val="8"/>
              <w:spacing w:line="380" w:lineRule="exact"/>
              <w:ind w:firstLine="0"/>
              <w:outlineLvl w:val="1"/>
              <w:rPr>
                <w:rFonts w:hint="eastAsia" w:ascii="宋体" w:hAnsi="宋体" w:cs="宋体"/>
                <w:szCs w:val="21"/>
              </w:rPr>
            </w:pPr>
            <w:r>
              <w:rPr>
                <w:rFonts w:hint="eastAsia" w:ascii="宋体" w:hAnsi="宋体" w:cs="宋体"/>
                <w:szCs w:val="21"/>
              </w:rPr>
              <w:t>●（5）MACsec国密加密功能；（投标时提供国家认可具有相应检测资质的第三方检测机构出具的关于该功能检测报告扫描件或复印件，并加盖公章）</w:t>
            </w:r>
          </w:p>
          <w:p w14:paraId="4D773695">
            <w:pPr>
              <w:pStyle w:val="8"/>
              <w:spacing w:line="380" w:lineRule="exact"/>
              <w:ind w:firstLine="0"/>
              <w:outlineLvl w:val="1"/>
              <w:rPr>
                <w:rFonts w:hint="eastAsia" w:ascii="宋体" w:hAnsi="宋体" w:cs="宋体"/>
                <w:szCs w:val="21"/>
              </w:rPr>
            </w:pPr>
            <w:r>
              <w:rPr>
                <w:rFonts w:hint="eastAsia" w:ascii="宋体" w:hAnsi="宋体" w:cs="宋体"/>
                <w:szCs w:val="21"/>
              </w:rPr>
              <w:t>（6）支持 RDMA 和 RoCE（RoCE v1 和 RoCE v2）；</w:t>
            </w:r>
          </w:p>
          <w:p w14:paraId="6081C267">
            <w:pPr>
              <w:pStyle w:val="8"/>
              <w:spacing w:line="380" w:lineRule="exact"/>
              <w:ind w:firstLine="0"/>
              <w:outlineLvl w:val="1"/>
              <w:rPr>
                <w:rFonts w:hint="eastAsia" w:ascii="宋体" w:hAnsi="宋体" w:cs="宋体"/>
                <w:szCs w:val="21"/>
              </w:rPr>
            </w:pPr>
            <w:r>
              <w:rPr>
                <w:rFonts w:hint="eastAsia" w:ascii="宋体" w:hAnsi="宋体" w:cs="宋体"/>
                <w:szCs w:val="21"/>
              </w:rPr>
              <w:t>（7）支持硬件 BFD，最小 3.3ms 发包间隔；</w:t>
            </w:r>
          </w:p>
          <w:p w14:paraId="33E3FA57">
            <w:pPr>
              <w:pStyle w:val="8"/>
              <w:spacing w:line="380" w:lineRule="exact"/>
              <w:ind w:firstLine="0"/>
              <w:outlineLvl w:val="1"/>
              <w:rPr>
                <w:rFonts w:hint="eastAsia" w:ascii="宋体" w:hAnsi="宋体" w:cs="宋体"/>
                <w:szCs w:val="21"/>
              </w:rPr>
            </w:pPr>
            <w:r>
              <w:rPr>
                <w:rFonts w:hint="eastAsia" w:ascii="宋体" w:hAnsi="宋体" w:cs="宋体"/>
                <w:szCs w:val="21"/>
              </w:rPr>
              <w:t>4、带外管理接入交换机（≥1台）：</w:t>
            </w:r>
          </w:p>
          <w:p w14:paraId="63304141">
            <w:pPr>
              <w:pStyle w:val="8"/>
              <w:spacing w:line="380" w:lineRule="exact"/>
              <w:ind w:firstLine="0"/>
              <w:outlineLvl w:val="1"/>
              <w:rPr>
                <w:rFonts w:hint="eastAsia" w:ascii="宋体" w:hAnsi="宋体" w:cs="宋体"/>
                <w:szCs w:val="21"/>
              </w:rPr>
            </w:pPr>
            <w:r>
              <w:rPr>
                <w:rFonts w:hint="eastAsia" w:ascii="宋体" w:hAnsi="宋体" w:cs="宋体"/>
                <w:szCs w:val="21"/>
              </w:rPr>
              <w:t>▲（1）单台交换容量≥670Gbps，包转发率≥200Mpps，提供≥48个千兆电口接入能力，端口数量需满足算力池集群要求，单台提供电源模块≥2个，内置风扇；</w:t>
            </w:r>
          </w:p>
          <w:p w14:paraId="7A94F8D4">
            <w:pPr>
              <w:pStyle w:val="8"/>
              <w:spacing w:line="380" w:lineRule="exact"/>
              <w:ind w:firstLine="0"/>
              <w:outlineLvl w:val="1"/>
              <w:rPr>
                <w:rFonts w:hint="eastAsia" w:ascii="宋体" w:hAnsi="宋体" w:cs="宋体"/>
                <w:szCs w:val="21"/>
              </w:rPr>
            </w:pPr>
            <w:r>
              <w:rPr>
                <w:rFonts w:hint="eastAsia" w:ascii="宋体" w:hAnsi="宋体" w:cs="宋体"/>
                <w:szCs w:val="21"/>
              </w:rPr>
              <w:t>（2）支持以太网环网保护协议ERPS；</w:t>
            </w:r>
          </w:p>
          <w:p w14:paraId="7FDE9EAB">
            <w:pPr>
              <w:pStyle w:val="8"/>
              <w:spacing w:line="380" w:lineRule="exact"/>
              <w:ind w:firstLine="0"/>
              <w:outlineLvl w:val="1"/>
              <w:rPr>
                <w:rFonts w:hint="eastAsia" w:ascii="宋体" w:hAnsi="宋体" w:cs="宋体"/>
                <w:szCs w:val="21"/>
              </w:rPr>
            </w:pPr>
            <w:r>
              <w:rPr>
                <w:rFonts w:hint="eastAsia" w:ascii="宋体" w:hAnsi="宋体" w:cs="宋体"/>
                <w:szCs w:val="21"/>
              </w:rPr>
              <w:t>5、提供原厂三年免费上门软硬件技术支持与售后服务（包括硬件保修和软件升级）。</w:t>
            </w:r>
          </w:p>
          <w:p w14:paraId="149A3829">
            <w:pPr>
              <w:pStyle w:val="8"/>
              <w:spacing w:line="380" w:lineRule="exact"/>
              <w:ind w:firstLine="0"/>
              <w:outlineLvl w:val="1"/>
              <w:rPr>
                <w:rFonts w:hint="eastAsia" w:ascii="宋体" w:hAnsi="宋体" w:cs="宋体"/>
                <w:b/>
                <w:bCs/>
                <w:szCs w:val="21"/>
              </w:rPr>
            </w:pPr>
          </w:p>
          <w:p w14:paraId="6710253F">
            <w:pPr>
              <w:pStyle w:val="8"/>
              <w:spacing w:line="380" w:lineRule="exact"/>
              <w:ind w:firstLine="0"/>
              <w:outlineLvl w:val="1"/>
              <w:rPr>
                <w:rFonts w:hint="eastAsia" w:ascii="宋体" w:hAnsi="宋体" w:cs="宋体"/>
                <w:b/>
                <w:bCs/>
                <w:szCs w:val="21"/>
              </w:rPr>
            </w:pPr>
            <w:r>
              <w:rPr>
                <w:rFonts w:hint="eastAsia" w:ascii="宋体" w:hAnsi="宋体" w:cs="宋体"/>
                <w:b/>
                <w:bCs/>
                <w:szCs w:val="21"/>
              </w:rPr>
              <w:t>（三）AI推理服务存储资源性能及配置要求：</w:t>
            </w:r>
          </w:p>
          <w:p w14:paraId="2EE3C25C">
            <w:pPr>
              <w:pStyle w:val="8"/>
              <w:spacing w:line="380" w:lineRule="exact"/>
              <w:ind w:firstLine="0"/>
              <w:outlineLvl w:val="1"/>
              <w:rPr>
                <w:rFonts w:hint="eastAsia" w:ascii="宋体" w:hAnsi="宋体" w:cs="宋体"/>
                <w:szCs w:val="21"/>
              </w:rPr>
            </w:pPr>
            <w:r>
              <w:rPr>
                <w:rFonts w:hint="eastAsia" w:ascii="宋体" w:hAnsi="宋体" w:cs="宋体"/>
                <w:szCs w:val="21"/>
              </w:rPr>
              <w:t>1、存储设备控制器之间支持AA架构，具备冗余能力，任一控制器故障时业务不中断、数据不丢失，控制器数量需满足算力池集群要求；</w:t>
            </w:r>
          </w:p>
          <w:p w14:paraId="6B9A421E">
            <w:pPr>
              <w:pStyle w:val="8"/>
              <w:spacing w:line="380" w:lineRule="exact"/>
              <w:ind w:firstLine="0"/>
              <w:outlineLvl w:val="1"/>
              <w:rPr>
                <w:rFonts w:hint="eastAsia" w:ascii="宋体" w:hAnsi="宋体" w:cs="宋体"/>
                <w:szCs w:val="21"/>
              </w:rPr>
            </w:pPr>
            <w:r>
              <w:rPr>
                <w:rFonts w:hint="eastAsia" w:ascii="宋体" w:hAnsi="宋体" w:cs="宋体"/>
                <w:szCs w:val="21"/>
              </w:rPr>
              <w:t>▲2、处理器采用符合国家安全可靠测评要求的CPU，单控制器CPU数量≥2，单控CPU总核心数≥96核，CPU主频率≥2.0GHz；</w:t>
            </w:r>
          </w:p>
          <w:p w14:paraId="7F43D839">
            <w:pPr>
              <w:pStyle w:val="8"/>
              <w:spacing w:line="380" w:lineRule="exact"/>
              <w:ind w:firstLine="0"/>
              <w:outlineLvl w:val="1"/>
              <w:rPr>
                <w:rFonts w:hint="eastAsia" w:ascii="宋体" w:hAnsi="宋体" w:cs="宋体"/>
                <w:szCs w:val="21"/>
              </w:rPr>
            </w:pPr>
            <w:r>
              <w:rPr>
                <w:rFonts w:hint="eastAsia" w:ascii="宋体" w:hAnsi="宋体" w:cs="宋体"/>
                <w:szCs w:val="21"/>
              </w:rPr>
              <w:t>▲3、系统内总一级内存容量配置≥1024GB DDR4 ECC，且任意控制器一级内存容量≥512GB ECC；</w:t>
            </w:r>
          </w:p>
          <w:p w14:paraId="0FD0F74B">
            <w:pPr>
              <w:pStyle w:val="8"/>
              <w:spacing w:line="380" w:lineRule="exact"/>
              <w:ind w:firstLine="0"/>
              <w:outlineLvl w:val="1"/>
              <w:rPr>
                <w:rFonts w:hint="eastAsia" w:ascii="宋体" w:hAnsi="宋体" w:cs="宋体"/>
                <w:szCs w:val="21"/>
              </w:rPr>
            </w:pPr>
            <w:r>
              <w:rPr>
                <w:rFonts w:hint="eastAsia" w:ascii="宋体" w:hAnsi="宋体" w:cs="宋体"/>
                <w:szCs w:val="21"/>
              </w:rPr>
              <w:t>▲4、配置≥76.8TB NVMe SSD，顺序读写@128KB速率≥4700MB/S，支持可用容量≥40TB；单控制框支持最大插入SSD硬盘数量≥36块；</w:t>
            </w:r>
          </w:p>
          <w:p w14:paraId="7C86A543">
            <w:pPr>
              <w:pStyle w:val="8"/>
              <w:spacing w:line="380" w:lineRule="exact"/>
              <w:ind w:firstLine="0"/>
              <w:outlineLvl w:val="1"/>
              <w:rPr>
                <w:rFonts w:hint="eastAsia" w:ascii="宋体" w:hAnsi="宋体" w:cs="宋体"/>
                <w:szCs w:val="21"/>
              </w:rPr>
            </w:pPr>
            <w:r>
              <w:rPr>
                <w:rFonts w:hint="eastAsia" w:ascii="宋体" w:hAnsi="宋体" w:cs="宋体"/>
                <w:szCs w:val="21"/>
              </w:rPr>
              <w:t>▲5、配置≥8*25 GE TCP端口，≥12*100 GE RoCE端口，配置≥2*1GE管理端口；</w:t>
            </w:r>
          </w:p>
          <w:p w14:paraId="744FC5FC">
            <w:pPr>
              <w:pStyle w:val="8"/>
              <w:spacing w:line="380" w:lineRule="exact"/>
              <w:ind w:firstLine="0"/>
              <w:outlineLvl w:val="1"/>
              <w:rPr>
                <w:rFonts w:hint="eastAsia" w:ascii="宋体" w:hAnsi="宋体" w:cs="宋体"/>
                <w:szCs w:val="21"/>
              </w:rPr>
            </w:pPr>
            <w:r>
              <w:rPr>
                <w:rFonts w:hint="eastAsia" w:ascii="宋体" w:hAnsi="宋体" w:cs="宋体"/>
                <w:szCs w:val="21"/>
              </w:rPr>
              <w:t>6、提供NAS使用许可，支持存储资源管理、文件系统、配额管理、智能服务质量等功能；</w:t>
            </w:r>
          </w:p>
          <w:p w14:paraId="5E1E43FA">
            <w:pPr>
              <w:pStyle w:val="8"/>
              <w:spacing w:line="380" w:lineRule="exact"/>
              <w:ind w:firstLine="0"/>
              <w:outlineLvl w:val="1"/>
              <w:rPr>
                <w:rFonts w:hint="eastAsia" w:ascii="宋体" w:hAnsi="宋体" w:cs="宋体"/>
                <w:szCs w:val="21"/>
              </w:rPr>
            </w:pPr>
            <w:r>
              <w:rPr>
                <w:rFonts w:hint="eastAsia" w:ascii="宋体" w:hAnsi="宋体" w:cs="宋体"/>
                <w:szCs w:val="21"/>
              </w:rPr>
              <w:t>7、具备大规模横向扩展能力，单集群规模最大可扩展至≥32节点；</w:t>
            </w:r>
          </w:p>
          <w:p w14:paraId="7A3B6773">
            <w:pPr>
              <w:pStyle w:val="8"/>
              <w:spacing w:line="380" w:lineRule="exact"/>
              <w:ind w:firstLine="0"/>
              <w:outlineLvl w:val="1"/>
              <w:rPr>
                <w:rFonts w:hint="eastAsia" w:ascii="宋体" w:hAnsi="宋体" w:cs="宋体"/>
                <w:szCs w:val="21"/>
              </w:rPr>
            </w:pPr>
            <w:r>
              <w:rPr>
                <w:rFonts w:hint="eastAsia" w:ascii="宋体" w:hAnsi="宋体" w:cs="宋体"/>
                <w:szCs w:val="21"/>
              </w:rPr>
              <w:t>8、提供AI推理服务存储资源统一运维软件，支持存储设备容量、性能监控、资源分发等能力；</w:t>
            </w:r>
          </w:p>
          <w:p w14:paraId="67E14433">
            <w:pPr>
              <w:pStyle w:val="8"/>
              <w:spacing w:line="380" w:lineRule="exact"/>
              <w:ind w:firstLine="0"/>
              <w:outlineLvl w:val="1"/>
              <w:rPr>
                <w:rFonts w:hint="eastAsia" w:ascii="宋体" w:hAnsi="宋体" w:cs="宋体"/>
                <w:szCs w:val="21"/>
              </w:rPr>
            </w:pPr>
            <w:r>
              <w:rPr>
                <w:rFonts w:hint="eastAsia" w:ascii="宋体" w:hAnsi="宋体" w:cs="宋体"/>
                <w:szCs w:val="21"/>
              </w:rPr>
              <w:t>●9、硬件设备包括保电内存、BBU，文件数据在断电后数据能够继续保存；（投标时提供产品技术白皮书或彩页等证明，并加盖公章）</w:t>
            </w:r>
          </w:p>
          <w:p w14:paraId="27FB28A3">
            <w:pPr>
              <w:pStyle w:val="8"/>
              <w:spacing w:line="380" w:lineRule="exact"/>
              <w:ind w:firstLine="0"/>
              <w:outlineLvl w:val="1"/>
              <w:rPr>
                <w:rFonts w:hint="eastAsia" w:ascii="宋体" w:hAnsi="宋体" w:cs="宋体"/>
                <w:szCs w:val="21"/>
              </w:rPr>
            </w:pPr>
            <w:r>
              <w:rPr>
                <w:rFonts w:hint="eastAsia" w:ascii="宋体" w:hAnsi="宋体" w:cs="宋体"/>
                <w:szCs w:val="21"/>
              </w:rPr>
              <w:t>●10、支持大模型推理加速能力，通过将推理过程中token生成的KVCache持久化至存储，在后续的推理任务中以查代算，减少重复计算，加速推理过程，可降低首token响应时延（TTFT）和Token间时延（TBT），提升推理吞吐性能（Token/s）；（投标时提供国家认可具有相应检测资质的第三方检测机构出具的关于该功能检测报告扫描件或复印件，并加盖公章）</w:t>
            </w:r>
          </w:p>
          <w:p w14:paraId="182EF0EC">
            <w:pPr>
              <w:pStyle w:val="8"/>
              <w:spacing w:line="380" w:lineRule="exact"/>
              <w:ind w:firstLine="0"/>
              <w:outlineLvl w:val="1"/>
              <w:rPr>
                <w:rFonts w:hint="eastAsia" w:ascii="宋体" w:hAnsi="宋体" w:cs="宋体"/>
                <w:szCs w:val="21"/>
              </w:rPr>
            </w:pPr>
            <w:r>
              <w:rPr>
                <w:rFonts w:hint="eastAsia" w:ascii="宋体" w:hAnsi="宋体" w:cs="宋体"/>
                <w:szCs w:val="21"/>
              </w:rPr>
              <w:t>●11、支持推理上下文窗口扩展，突破推理上下文窗口限制，超过窗口长度的内容可正常推理；（投标时提供国家认可具有相应检测资质的第三方检测机构出具的关于该功能检测报告扫描件，并加盖公章）</w:t>
            </w:r>
          </w:p>
          <w:p w14:paraId="217B06BC">
            <w:pPr>
              <w:pStyle w:val="8"/>
              <w:spacing w:line="380" w:lineRule="exact"/>
              <w:ind w:firstLine="0"/>
              <w:outlineLvl w:val="1"/>
              <w:rPr>
                <w:rFonts w:hint="eastAsia" w:ascii="宋体" w:hAnsi="宋体" w:cs="宋体"/>
                <w:szCs w:val="21"/>
              </w:rPr>
            </w:pPr>
            <w:r>
              <w:rPr>
                <w:rFonts w:hint="eastAsia" w:ascii="宋体" w:hAnsi="宋体" w:cs="宋体"/>
                <w:szCs w:val="21"/>
              </w:rPr>
              <w:t>●12、单台设备读带宽不低于160 GB/s。单节点（控）读带宽不低于80GB/s，写带宽不低于25GB/s；（投标时提供国家认可具有相应检测资质的第三方检测机构出具的关于该功能检测报告扫描件，并加盖公章）</w:t>
            </w:r>
          </w:p>
          <w:p w14:paraId="416D7A60">
            <w:pPr>
              <w:pStyle w:val="8"/>
              <w:spacing w:line="380" w:lineRule="exact"/>
              <w:ind w:firstLine="0"/>
              <w:outlineLvl w:val="1"/>
              <w:rPr>
                <w:rFonts w:hint="eastAsia" w:ascii="宋体" w:hAnsi="宋体" w:cs="宋体"/>
                <w:szCs w:val="21"/>
              </w:rPr>
            </w:pPr>
            <w:r>
              <w:rPr>
                <w:rFonts w:hint="eastAsia" w:ascii="宋体" w:hAnsi="宋体" w:cs="宋体"/>
                <w:szCs w:val="21"/>
              </w:rPr>
              <w:t>13、提供原厂安装实施服务和三年免费上门软硬件技术支持与售后服务（包括硬件保修、软件升级和介质保留），服务期满后存储盘留存给采购人。</w:t>
            </w:r>
          </w:p>
          <w:p w14:paraId="3B09AEBD">
            <w:pPr>
              <w:pStyle w:val="8"/>
              <w:spacing w:line="380" w:lineRule="exact"/>
              <w:ind w:firstLine="0"/>
              <w:outlineLvl w:val="1"/>
              <w:rPr>
                <w:rFonts w:hint="eastAsia" w:ascii="宋体" w:hAnsi="宋体" w:cs="宋体"/>
                <w:b/>
                <w:bCs/>
                <w:szCs w:val="21"/>
              </w:rPr>
            </w:pPr>
            <w:r>
              <w:rPr>
                <w:rFonts w:hint="eastAsia" w:ascii="宋体" w:hAnsi="宋体" w:cs="宋体"/>
                <w:b/>
                <w:bCs/>
                <w:szCs w:val="21"/>
              </w:rPr>
              <w:t>（四）算力网络集成调测及性能优化服务要求：</w:t>
            </w:r>
          </w:p>
          <w:p w14:paraId="6827556D">
            <w:pPr>
              <w:pStyle w:val="8"/>
              <w:spacing w:line="380" w:lineRule="exact"/>
              <w:ind w:firstLine="0"/>
              <w:rPr>
                <w:rFonts w:hint="eastAsia" w:ascii="宋体" w:hAnsi="宋体" w:cs="宋体"/>
                <w:szCs w:val="21"/>
              </w:rPr>
            </w:pPr>
            <w:r>
              <w:rPr>
                <w:rFonts w:hint="eastAsia" w:ascii="宋体" w:hAnsi="宋体" w:cs="宋体"/>
                <w:szCs w:val="21"/>
              </w:rPr>
              <w:t>1、提供原厂算力网络集成调测服务，包括交换机、计算、存储等算力网络配置与调测，包含构成算力网络各组件对接及联合调测、服务实例配置、计算节点对接与调测、集群服务配置与启动等内容；</w:t>
            </w:r>
          </w:p>
          <w:p w14:paraId="1B5B25B8">
            <w:pPr>
              <w:pStyle w:val="8"/>
              <w:spacing w:line="380" w:lineRule="exact"/>
              <w:ind w:firstLine="0"/>
              <w:rPr>
                <w:rFonts w:hint="eastAsia" w:ascii="宋体" w:hAnsi="宋体" w:cs="宋体"/>
                <w:szCs w:val="21"/>
              </w:rPr>
            </w:pPr>
            <w:r>
              <w:rPr>
                <w:rFonts w:hint="eastAsia" w:ascii="宋体" w:hAnsi="宋体" w:cs="宋体"/>
                <w:szCs w:val="21"/>
              </w:rPr>
              <w:t>2、提供针对应用国产化改造的适配的技术支持服务，提供适配迁移工具协助应用厂家，应用迁移上云；</w:t>
            </w:r>
          </w:p>
          <w:p w14:paraId="618512D3">
            <w:pPr>
              <w:pStyle w:val="8"/>
              <w:spacing w:line="380" w:lineRule="exact"/>
              <w:ind w:firstLine="0"/>
              <w:rPr>
                <w:rFonts w:hint="eastAsia" w:ascii="宋体" w:hAnsi="宋体" w:cs="宋体"/>
                <w:szCs w:val="21"/>
              </w:rPr>
            </w:pPr>
            <w:r>
              <w:rPr>
                <w:rFonts w:hint="eastAsia" w:ascii="宋体" w:hAnsi="宋体" w:cs="宋体"/>
                <w:szCs w:val="21"/>
              </w:rPr>
              <w:t>3、提供开发环境构建支持、开发技术栈支持、模型开发调测支持、样例演示等AI使能服务；</w:t>
            </w:r>
          </w:p>
          <w:p w14:paraId="4EBCBA29">
            <w:pPr>
              <w:pStyle w:val="8"/>
              <w:spacing w:line="380" w:lineRule="exact"/>
              <w:ind w:firstLine="0"/>
              <w:rPr>
                <w:rFonts w:hint="eastAsia" w:ascii="宋体" w:hAnsi="宋体" w:cs="宋体"/>
                <w:szCs w:val="21"/>
              </w:rPr>
            </w:pPr>
            <w:r>
              <w:rPr>
                <w:rFonts w:hint="eastAsia" w:ascii="宋体" w:hAnsi="宋体" w:cs="宋体"/>
                <w:szCs w:val="21"/>
              </w:rPr>
              <w:t>4、提供集群性能优化服务，通过优化系统和模型框架参数，以及规模集群化部署等手段提升性能。</w:t>
            </w:r>
          </w:p>
          <w:p w14:paraId="492F7167">
            <w:pPr>
              <w:pStyle w:val="8"/>
              <w:spacing w:line="380" w:lineRule="exact"/>
              <w:ind w:firstLine="0"/>
              <w:rPr>
                <w:rFonts w:hint="eastAsia" w:ascii="宋体" w:hAnsi="宋体" w:cs="宋体"/>
                <w:szCs w:val="21"/>
              </w:rPr>
            </w:pPr>
            <w:r>
              <w:rPr>
                <w:rFonts w:hint="eastAsia" w:ascii="宋体" w:hAnsi="宋体" w:cs="宋体"/>
                <w:szCs w:val="21"/>
              </w:rPr>
              <w:t>5、配合采购人开展等保测评及商密应用等相关工作。</w:t>
            </w:r>
          </w:p>
          <w:p w14:paraId="6E760629">
            <w:pPr>
              <w:pStyle w:val="3"/>
              <w:numPr>
                <w:ilvl w:val="1"/>
                <w:numId w:val="0"/>
              </w:numPr>
              <w:spacing w:before="0" w:after="0" w:line="380" w:lineRule="exact"/>
              <w:jc w:val="left"/>
              <w:rPr>
                <w:rFonts w:hint="eastAsia" w:ascii="宋体" w:hAnsi="宋体" w:eastAsia="宋体" w:cs="宋体"/>
                <w:sz w:val="21"/>
                <w:szCs w:val="21"/>
              </w:rPr>
            </w:pPr>
            <w:r>
              <w:rPr>
                <w:rFonts w:hint="eastAsia" w:ascii="宋体" w:hAnsi="宋体" w:eastAsia="宋体" w:cs="宋体"/>
                <w:b/>
                <w:bCs/>
                <w:sz w:val="21"/>
                <w:szCs w:val="21"/>
              </w:rPr>
              <w:t>（五）故障（事件）响应和解决时限要求</w:t>
            </w:r>
          </w:p>
          <w:p w14:paraId="1638DF7F">
            <w:pPr>
              <w:pStyle w:val="4"/>
              <w:numPr>
                <w:ilvl w:val="2"/>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1、故障（事件）等级定义</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3272"/>
              <w:gridCol w:w="2605"/>
            </w:tblGrid>
            <w:tr w14:paraId="5C60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56" w:type="pct"/>
                  <w:vAlign w:val="center"/>
                </w:tcPr>
                <w:p w14:paraId="3A6DAB35">
                  <w:pPr>
                    <w:pStyle w:val="162"/>
                    <w:spacing w:line="380" w:lineRule="exact"/>
                    <w:rPr>
                      <w:rFonts w:hint="eastAsia" w:cs="宋体"/>
                      <w:color w:val="auto"/>
                    </w:rPr>
                  </w:pPr>
                  <w:r>
                    <w:rPr>
                      <w:rFonts w:hint="eastAsia" w:cs="宋体"/>
                      <w:color w:val="auto"/>
                    </w:rPr>
                    <w:t>故障（事件）级别</w:t>
                  </w:r>
                </w:p>
              </w:tc>
              <w:tc>
                <w:tcPr>
                  <w:tcW w:w="2084" w:type="pct"/>
                  <w:vAlign w:val="center"/>
                </w:tcPr>
                <w:p w14:paraId="1510E142">
                  <w:pPr>
                    <w:pStyle w:val="162"/>
                    <w:spacing w:line="380" w:lineRule="exact"/>
                    <w:rPr>
                      <w:rFonts w:hint="eastAsia" w:cs="宋体"/>
                      <w:color w:val="auto"/>
                    </w:rPr>
                  </w:pPr>
                  <w:r>
                    <w:rPr>
                      <w:rFonts w:hint="eastAsia" w:cs="宋体"/>
                      <w:color w:val="auto"/>
                    </w:rPr>
                    <w:t>故障（事件）定义</w:t>
                  </w:r>
                </w:p>
              </w:tc>
              <w:tc>
                <w:tcPr>
                  <w:tcW w:w="1659" w:type="pct"/>
                  <w:vAlign w:val="center"/>
                </w:tcPr>
                <w:p w14:paraId="7026C646">
                  <w:pPr>
                    <w:pStyle w:val="162"/>
                    <w:spacing w:line="380" w:lineRule="exact"/>
                    <w:rPr>
                      <w:rFonts w:hint="eastAsia" w:cs="宋体"/>
                      <w:color w:val="auto"/>
                    </w:rPr>
                  </w:pPr>
                  <w:r>
                    <w:rPr>
                      <w:rFonts w:hint="eastAsia" w:cs="宋体"/>
                      <w:color w:val="auto"/>
                    </w:rPr>
                    <w:t>故障（事件）特征</w:t>
                  </w:r>
                </w:p>
              </w:tc>
            </w:tr>
            <w:tr w14:paraId="3B68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56" w:type="pct"/>
                  <w:vAlign w:val="center"/>
                </w:tcPr>
                <w:p w14:paraId="212B8DAB">
                  <w:pPr>
                    <w:pStyle w:val="162"/>
                    <w:spacing w:line="380" w:lineRule="exact"/>
                    <w:rPr>
                      <w:rFonts w:hint="eastAsia" w:cs="宋体"/>
                      <w:color w:val="auto"/>
                    </w:rPr>
                  </w:pPr>
                  <w:r>
                    <w:rPr>
                      <w:rFonts w:hint="eastAsia" w:cs="宋体"/>
                      <w:color w:val="auto"/>
                    </w:rPr>
                    <w:t>一级</w:t>
                  </w:r>
                </w:p>
              </w:tc>
              <w:tc>
                <w:tcPr>
                  <w:tcW w:w="2084" w:type="pct"/>
                  <w:vAlign w:val="center"/>
                </w:tcPr>
                <w:p w14:paraId="2E234614">
                  <w:pPr>
                    <w:pStyle w:val="162"/>
                    <w:spacing w:line="380" w:lineRule="exact"/>
                    <w:jc w:val="left"/>
                    <w:rPr>
                      <w:rFonts w:hint="eastAsia" w:cs="宋体"/>
                      <w:color w:val="auto"/>
                    </w:rPr>
                  </w:pPr>
                  <w:r>
                    <w:rPr>
                      <w:rFonts w:hint="eastAsia" w:cs="宋体"/>
                      <w:color w:val="auto"/>
                    </w:rPr>
                    <w:t>因设备软硬件故障造成网络中断或业务系统不能正常运转。</w:t>
                  </w:r>
                </w:p>
              </w:tc>
              <w:tc>
                <w:tcPr>
                  <w:tcW w:w="1659" w:type="pct"/>
                  <w:vAlign w:val="center"/>
                </w:tcPr>
                <w:p w14:paraId="66AC61EC">
                  <w:pPr>
                    <w:pStyle w:val="162"/>
                    <w:spacing w:line="380" w:lineRule="exact"/>
                    <w:jc w:val="left"/>
                    <w:rPr>
                      <w:rFonts w:hint="eastAsia" w:cs="宋体"/>
                      <w:color w:val="auto"/>
                    </w:rPr>
                  </w:pPr>
                  <w:r>
                    <w:rPr>
                      <w:rFonts w:hint="eastAsia" w:cs="宋体"/>
                      <w:color w:val="auto"/>
                    </w:rPr>
                    <w:t>业务中断1小时以上</w:t>
                  </w:r>
                </w:p>
              </w:tc>
            </w:tr>
            <w:tr w14:paraId="187B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56" w:type="pct"/>
                  <w:vAlign w:val="center"/>
                </w:tcPr>
                <w:p w14:paraId="612D03AF">
                  <w:pPr>
                    <w:pStyle w:val="162"/>
                    <w:spacing w:line="380" w:lineRule="exact"/>
                    <w:rPr>
                      <w:rFonts w:hint="eastAsia" w:cs="宋体"/>
                      <w:color w:val="auto"/>
                    </w:rPr>
                  </w:pPr>
                  <w:r>
                    <w:rPr>
                      <w:rFonts w:hint="eastAsia" w:cs="宋体"/>
                      <w:color w:val="auto"/>
                    </w:rPr>
                    <w:t>二级</w:t>
                  </w:r>
                </w:p>
              </w:tc>
              <w:tc>
                <w:tcPr>
                  <w:tcW w:w="2084" w:type="pct"/>
                  <w:vAlign w:val="center"/>
                </w:tcPr>
                <w:p w14:paraId="3C1BB1FA">
                  <w:pPr>
                    <w:pStyle w:val="162"/>
                    <w:spacing w:line="380" w:lineRule="exact"/>
                    <w:jc w:val="left"/>
                    <w:rPr>
                      <w:rFonts w:hint="eastAsia" w:cs="宋体"/>
                      <w:color w:val="auto"/>
                    </w:rPr>
                  </w:pPr>
                  <w:r>
                    <w:rPr>
                      <w:rFonts w:hint="eastAsia" w:cs="宋体"/>
                      <w:color w:val="auto"/>
                    </w:rPr>
                    <w:t>因设备软硬件故障造成业务系统性能下降。</w:t>
                  </w:r>
                </w:p>
              </w:tc>
              <w:tc>
                <w:tcPr>
                  <w:tcW w:w="1659" w:type="pct"/>
                  <w:vAlign w:val="center"/>
                </w:tcPr>
                <w:p w14:paraId="0F580E4D">
                  <w:pPr>
                    <w:pStyle w:val="162"/>
                    <w:spacing w:line="380" w:lineRule="exact"/>
                    <w:jc w:val="left"/>
                    <w:rPr>
                      <w:rFonts w:hint="eastAsia" w:cs="宋体"/>
                      <w:color w:val="auto"/>
                    </w:rPr>
                  </w:pPr>
                  <w:r>
                    <w:rPr>
                      <w:rFonts w:hint="eastAsia" w:cs="宋体"/>
                      <w:color w:val="auto"/>
                    </w:rPr>
                    <w:t>业务未中断，但性能下降</w:t>
                  </w:r>
                </w:p>
              </w:tc>
            </w:tr>
            <w:tr w14:paraId="5FED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256" w:type="pct"/>
                  <w:vAlign w:val="center"/>
                </w:tcPr>
                <w:p w14:paraId="0E35154F">
                  <w:pPr>
                    <w:pStyle w:val="162"/>
                    <w:spacing w:line="380" w:lineRule="exact"/>
                    <w:rPr>
                      <w:rFonts w:hint="eastAsia" w:cs="宋体"/>
                      <w:color w:val="auto"/>
                    </w:rPr>
                  </w:pPr>
                  <w:r>
                    <w:rPr>
                      <w:rFonts w:hint="eastAsia" w:cs="宋体"/>
                      <w:color w:val="auto"/>
                    </w:rPr>
                    <w:t>三级</w:t>
                  </w:r>
                </w:p>
              </w:tc>
              <w:tc>
                <w:tcPr>
                  <w:tcW w:w="2084" w:type="pct"/>
                  <w:vAlign w:val="center"/>
                </w:tcPr>
                <w:p w14:paraId="77750F69">
                  <w:pPr>
                    <w:pStyle w:val="162"/>
                    <w:spacing w:line="380" w:lineRule="exact"/>
                    <w:jc w:val="left"/>
                    <w:rPr>
                      <w:rFonts w:hint="eastAsia" w:cs="宋体"/>
                      <w:color w:val="auto"/>
                    </w:rPr>
                  </w:pPr>
                  <w:r>
                    <w:rPr>
                      <w:rFonts w:hint="eastAsia" w:cs="宋体"/>
                      <w:color w:val="auto"/>
                    </w:rPr>
                    <w:t>设备软硬件出现故障，但业务系统能正常运转。</w:t>
                  </w:r>
                </w:p>
              </w:tc>
              <w:tc>
                <w:tcPr>
                  <w:tcW w:w="1659" w:type="pct"/>
                  <w:vAlign w:val="center"/>
                </w:tcPr>
                <w:p w14:paraId="3252CFFF">
                  <w:pPr>
                    <w:pStyle w:val="162"/>
                    <w:spacing w:line="380" w:lineRule="exact"/>
                    <w:jc w:val="left"/>
                    <w:rPr>
                      <w:rFonts w:hint="eastAsia" w:cs="宋体"/>
                      <w:color w:val="auto"/>
                    </w:rPr>
                  </w:pPr>
                  <w:r>
                    <w:rPr>
                      <w:rFonts w:hint="eastAsia" w:cs="宋体"/>
                      <w:color w:val="auto"/>
                    </w:rPr>
                    <w:t>设备软硬件出现故障，不能正常工作，但业务系统运行不受故障影响。</w:t>
                  </w:r>
                </w:p>
              </w:tc>
            </w:tr>
            <w:tr w14:paraId="65A8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256" w:type="pct"/>
                  <w:vAlign w:val="center"/>
                </w:tcPr>
                <w:p w14:paraId="0F15BE48">
                  <w:pPr>
                    <w:pStyle w:val="162"/>
                    <w:spacing w:line="380" w:lineRule="exact"/>
                    <w:rPr>
                      <w:rFonts w:hint="eastAsia" w:cs="宋体"/>
                      <w:color w:val="auto"/>
                    </w:rPr>
                  </w:pPr>
                  <w:r>
                    <w:rPr>
                      <w:rFonts w:hint="eastAsia" w:cs="宋体"/>
                      <w:color w:val="auto"/>
                    </w:rPr>
                    <w:t>四级</w:t>
                  </w:r>
                </w:p>
              </w:tc>
              <w:tc>
                <w:tcPr>
                  <w:tcW w:w="2084" w:type="pct"/>
                  <w:vAlign w:val="center"/>
                </w:tcPr>
                <w:p w14:paraId="60CFE0DE">
                  <w:pPr>
                    <w:pStyle w:val="162"/>
                    <w:spacing w:line="380" w:lineRule="exact"/>
                    <w:jc w:val="left"/>
                    <w:rPr>
                      <w:rFonts w:hint="eastAsia" w:cs="宋体"/>
                      <w:color w:val="auto"/>
                    </w:rPr>
                  </w:pPr>
                  <w:r>
                    <w:rPr>
                      <w:rFonts w:hint="eastAsia" w:cs="宋体"/>
                      <w:color w:val="auto"/>
                    </w:rPr>
                    <w:t>设备软硬件出现告警，业务系统仍能正常运转。</w:t>
                  </w:r>
                </w:p>
              </w:tc>
              <w:tc>
                <w:tcPr>
                  <w:tcW w:w="1659" w:type="pct"/>
                  <w:vAlign w:val="center"/>
                </w:tcPr>
                <w:p w14:paraId="552F9F50">
                  <w:pPr>
                    <w:pStyle w:val="162"/>
                    <w:spacing w:line="380" w:lineRule="exact"/>
                    <w:jc w:val="left"/>
                    <w:rPr>
                      <w:rFonts w:hint="eastAsia" w:cs="宋体"/>
                      <w:color w:val="auto"/>
                    </w:rPr>
                  </w:pPr>
                  <w:r>
                    <w:rPr>
                      <w:rFonts w:hint="eastAsia" w:cs="宋体"/>
                      <w:color w:val="auto"/>
                    </w:rPr>
                    <w:t>设备软硬件出现告警，但仍然能正常工作，业务系统运行不受故障影响。</w:t>
                  </w:r>
                </w:p>
              </w:tc>
            </w:tr>
          </w:tbl>
          <w:p w14:paraId="12FBE3DC">
            <w:pPr>
              <w:pStyle w:val="4"/>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2、故障（事件）响应和解决时限要求</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851"/>
              <w:gridCol w:w="1975"/>
              <w:gridCol w:w="2176"/>
            </w:tblGrid>
            <w:tr w14:paraId="6148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77" w:type="pct"/>
                </w:tcPr>
                <w:p w14:paraId="321FAA71">
                  <w:pPr>
                    <w:pStyle w:val="162"/>
                    <w:spacing w:line="380" w:lineRule="exact"/>
                    <w:rPr>
                      <w:rFonts w:hint="eastAsia" w:cs="宋体"/>
                      <w:color w:val="auto"/>
                    </w:rPr>
                  </w:pPr>
                  <w:r>
                    <w:rPr>
                      <w:rFonts w:hint="eastAsia" w:cs="宋体"/>
                      <w:color w:val="auto"/>
                    </w:rPr>
                    <w:t>故障（事件）级别</w:t>
                  </w:r>
                </w:p>
              </w:tc>
              <w:tc>
                <w:tcPr>
                  <w:tcW w:w="1179" w:type="pct"/>
                </w:tcPr>
                <w:p w14:paraId="442E5D41">
                  <w:pPr>
                    <w:pStyle w:val="162"/>
                    <w:spacing w:line="380" w:lineRule="exact"/>
                    <w:rPr>
                      <w:rFonts w:hint="eastAsia" w:cs="宋体"/>
                      <w:color w:val="auto"/>
                    </w:rPr>
                  </w:pPr>
                  <w:r>
                    <w:rPr>
                      <w:rFonts w:hint="eastAsia" w:cs="宋体"/>
                      <w:color w:val="auto"/>
                    </w:rPr>
                    <w:t>电话响应</w:t>
                  </w:r>
                </w:p>
              </w:tc>
              <w:tc>
                <w:tcPr>
                  <w:tcW w:w="1258" w:type="pct"/>
                </w:tcPr>
                <w:p w14:paraId="160DFD13">
                  <w:pPr>
                    <w:pStyle w:val="162"/>
                    <w:spacing w:line="380" w:lineRule="exact"/>
                    <w:rPr>
                      <w:rFonts w:hint="eastAsia" w:cs="宋体"/>
                      <w:color w:val="auto"/>
                    </w:rPr>
                  </w:pPr>
                  <w:r>
                    <w:rPr>
                      <w:rFonts w:hint="eastAsia" w:cs="宋体"/>
                      <w:color w:val="auto"/>
                    </w:rPr>
                    <w:t>到达现场时间</w:t>
                  </w:r>
                </w:p>
              </w:tc>
              <w:tc>
                <w:tcPr>
                  <w:tcW w:w="1386" w:type="pct"/>
                </w:tcPr>
                <w:p w14:paraId="274D9965">
                  <w:pPr>
                    <w:pStyle w:val="162"/>
                    <w:spacing w:line="380" w:lineRule="exact"/>
                    <w:rPr>
                      <w:rFonts w:hint="eastAsia" w:cs="宋体"/>
                      <w:color w:val="auto"/>
                    </w:rPr>
                  </w:pPr>
                  <w:r>
                    <w:rPr>
                      <w:rFonts w:hint="eastAsia" w:cs="宋体"/>
                      <w:color w:val="auto"/>
                    </w:rPr>
                    <w:t>解决时间</w:t>
                  </w:r>
                </w:p>
              </w:tc>
            </w:tr>
            <w:tr w14:paraId="774E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77" w:type="pct"/>
                </w:tcPr>
                <w:p w14:paraId="2B736E61">
                  <w:pPr>
                    <w:pStyle w:val="162"/>
                    <w:spacing w:line="380" w:lineRule="exact"/>
                    <w:rPr>
                      <w:rFonts w:hint="eastAsia" w:cs="宋体"/>
                      <w:color w:val="auto"/>
                    </w:rPr>
                  </w:pPr>
                  <w:r>
                    <w:rPr>
                      <w:rFonts w:hint="eastAsia" w:cs="宋体"/>
                      <w:color w:val="auto"/>
                    </w:rPr>
                    <w:t>一级</w:t>
                  </w:r>
                </w:p>
              </w:tc>
              <w:tc>
                <w:tcPr>
                  <w:tcW w:w="1179" w:type="pct"/>
                </w:tcPr>
                <w:p w14:paraId="72A07E4B">
                  <w:pPr>
                    <w:pStyle w:val="162"/>
                    <w:spacing w:line="380" w:lineRule="exact"/>
                    <w:rPr>
                      <w:rFonts w:hint="eastAsia" w:cs="宋体"/>
                      <w:color w:val="auto"/>
                    </w:rPr>
                  </w:pPr>
                  <w:r>
                    <w:rPr>
                      <w:rFonts w:hint="eastAsia" w:cs="宋体"/>
                      <w:color w:val="auto"/>
                    </w:rPr>
                    <w:t>5分钟</w:t>
                  </w:r>
                </w:p>
              </w:tc>
              <w:tc>
                <w:tcPr>
                  <w:tcW w:w="1258" w:type="pct"/>
                </w:tcPr>
                <w:p w14:paraId="038F485A">
                  <w:pPr>
                    <w:pStyle w:val="162"/>
                    <w:spacing w:line="380" w:lineRule="exact"/>
                    <w:rPr>
                      <w:rFonts w:hint="eastAsia" w:cs="宋体"/>
                      <w:color w:val="auto"/>
                    </w:rPr>
                  </w:pPr>
                  <w:r>
                    <w:rPr>
                      <w:rFonts w:hint="eastAsia" w:cs="宋体"/>
                      <w:color w:val="auto"/>
                    </w:rPr>
                    <w:t>报修后1小时内</w:t>
                  </w:r>
                </w:p>
              </w:tc>
              <w:tc>
                <w:tcPr>
                  <w:tcW w:w="1386" w:type="pct"/>
                </w:tcPr>
                <w:p w14:paraId="66086893">
                  <w:pPr>
                    <w:pStyle w:val="162"/>
                    <w:spacing w:line="380" w:lineRule="exact"/>
                    <w:rPr>
                      <w:rFonts w:hint="eastAsia" w:cs="宋体"/>
                      <w:color w:val="auto"/>
                    </w:rPr>
                  </w:pPr>
                  <w:r>
                    <w:rPr>
                      <w:rFonts w:hint="eastAsia" w:cs="宋体"/>
                      <w:color w:val="auto"/>
                    </w:rPr>
                    <w:t>报修后2小时内</w:t>
                  </w:r>
                </w:p>
              </w:tc>
            </w:tr>
            <w:tr w14:paraId="71D7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77" w:type="pct"/>
                </w:tcPr>
                <w:p w14:paraId="2B51CFC7">
                  <w:pPr>
                    <w:pStyle w:val="162"/>
                    <w:spacing w:line="380" w:lineRule="exact"/>
                    <w:rPr>
                      <w:rFonts w:hint="eastAsia" w:cs="宋体"/>
                      <w:color w:val="auto"/>
                    </w:rPr>
                  </w:pPr>
                  <w:r>
                    <w:rPr>
                      <w:rFonts w:hint="eastAsia" w:cs="宋体"/>
                      <w:color w:val="auto"/>
                    </w:rPr>
                    <w:t>二级</w:t>
                  </w:r>
                </w:p>
              </w:tc>
              <w:tc>
                <w:tcPr>
                  <w:tcW w:w="1179" w:type="pct"/>
                </w:tcPr>
                <w:p w14:paraId="58DEB261">
                  <w:pPr>
                    <w:pStyle w:val="162"/>
                    <w:spacing w:line="380" w:lineRule="exact"/>
                    <w:rPr>
                      <w:rFonts w:hint="eastAsia" w:cs="宋体"/>
                      <w:color w:val="auto"/>
                    </w:rPr>
                  </w:pPr>
                  <w:r>
                    <w:rPr>
                      <w:rFonts w:hint="eastAsia" w:cs="宋体"/>
                      <w:color w:val="auto"/>
                    </w:rPr>
                    <w:t>5分钟</w:t>
                  </w:r>
                </w:p>
              </w:tc>
              <w:tc>
                <w:tcPr>
                  <w:tcW w:w="1258" w:type="pct"/>
                </w:tcPr>
                <w:p w14:paraId="74F3F585">
                  <w:pPr>
                    <w:pStyle w:val="162"/>
                    <w:spacing w:line="380" w:lineRule="exact"/>
                    <w:rPr>
                      <w:rFonts w:hint="eastAsia" w:cs="宋体"/>
                      <w:color w:val="auto"/>
                    </w:rPr>
                  </w:pPr>
                  <w:r>
                    <w:rPr>
                      <w:rFonts w:hint="eastAsia" w:cs="宋体"/>
                      <w:color w:val="auto"/>
                    </w:rPr>
                    <w:t>报修后2小时内</w:t>
                  </w:r>
                </w:p>
              </w:tc>
              <w:tc>
                <w:tcPr>
                  <w:tcW w:w="1386" w:type="pct"/>
                </w:tcPr>
                <w:p w14:paraId="73844AD1">
                  <w:pPr>
                    <w:pStyle w:val="162"/>
                    <w:spacing w:line="380" w:lineRule="exact"/>
                    <w:rPr>
                      <w:rFonts w:hint="eastAsia" w:cs="宋体"/>
                      <w:color w:val="auto"/>
                    </w:rPr>
                  </w:pPr>
                  <w:r>
                    <w:rPr>
                      <w:rFonts w:hint="eastAsia" w:cs="宋体"/>
                      <w:color w:val="auto"/>
                    </w:rPr>
                    <w:t>报修后8小时内</w:t>
                  </w:r>
                </w:p>
              </w:tc>
            </w:tr>
            <w:tr w14:paraId="5C36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177" w:type="pct"/>
                </w:tcPr>
                <w:p w14:paraId="5B4227D9">
                  <w:pPr>
                    <w:pStyle w:val="162"/>
                    <w:spacing w:line="380" w:lineRule="exact"/>
                    <w:rPr>
                      <w:rFonts w:hint="eastAsia" w:cs="宋体"/>
                      <w:color w:val="auto"/>
                    </w:rPr>
                  </w:pPr>
                  <w:r>
                    <w:rPr>
                      <w:rFonts w:hint="eastAsia" w:cs="宋体"/>
                      <w:color w:val="auto"/>
                    </w:rPr>
                    <w:t>三级</w:t>
                  </w:r>
                </w:p>
              </w:tc>
              <w:tc>
                <w:tcPr>
                  <w:tcW w:w="1179" w:type="pct"/>
                </w:tcPr>
                <w:p w14:paraId="7C8BB766">
                  <w:pPr>
                    <w:pStyle w:val="162"/>
                    <w:spacing w:line="380" w:lineRule="exact"/>
                    <w:rPr>
                      <w:rFonts w:hint="eastAsia" w:cs="宋体"/>
                      <w:color w:val="auto"/>
                    </w:rPr>
                  </w:pPr>
                  <w:r>
                    <w:rPr>
                      <w:rFonts w:hint="eastAsia" w:cs="宋体"/>
                      <w:color w:val="auto"/>
                    </w:rPr>
                    <w:t>15分钟</w:t>
                  </w:r>
                </w:p>
              </w:tc>
              <w:tc>
                <w:tcPr>
                  <w:tcW w:w="1258" w:type="pct"/>
                </w:tcPr>
                <w:p w14:paraId="38667307">
                  <w:pPr>
                    <w:pStyle w:val="162"/>
                    <w:spacing w:line="380" w:lineRule="exact"/>
                    <w:rPr>
                      <w:rFonts w:hint="eastAsia" w:cs="宋体"/>
                      <w:color w:val="auto"/>
                    </w:rPr>
                  </w:pPr>
                  <w:r>
                    <w:rPr>
                      <w:rFonts w:hint="eastAsia" w:cs="宋体"/>
                      <w:color w:val="auto"/>
                    </w:rPr>
                    <w:t>报修后3小时内</w:t>
                  </w:r>
                </w:p>
              </w:tc>
              <w:tc>
                <w:tcPr>
                  <w:tcW w:w="1386" w:type="pct"/>
                </w:tcPr>
                <w:p w14:paraId="7C840667">
                  <w:pPr>
                    <w:pStyle w:val="162"/>
                    <w:spacing w:line="380" w:lineRule="exact"/>
                    <w:rPr>
                      <w:rFonts w:hint="eastAsia" w:cs="宋体"/>
                      <w:color w:val="auto"/>
                    </w:rPr>
                  </w:pPr>
                  <w:r>
                    <w:rPr>
                      <w:rFonts w:hint="eastAsia" w:cs="宋体"/>
                      <w:color w:val="auto"/>
                    </w:rPr>
                    <w:t>报修后12小时内</w:t>
                  </w:r>
                </w:p>
              </w:tc>
            </w:tr>
            <w:tr w14:paraId="2B48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77" w:type="pct"/>
                </w:tcPr>
                <w:p w14:paraId="4EC7A504">
                  <w:pPr>
                    <w:pStyle w:val="162"/>
                    <w:spacing w:line="380" w:lineRule="exact"/>
                    <w:rPr>
                      <w:rFonts w:hint="eastAsia" w:cs="宋体"/>
                      <w:color w:val="auto"/>
                    </w:rPr>
                  </w:pPr>
                  <w:r>
                    <w:rPr>
                      <w:rFonts w:hint="eastAsia" w:cs="宋体"/>
                      <w:color w:val="auto"/>
                    </w:rPr>
                    <w:t>四级</w:t>
                  </w:r>
                </w:p>
              </w:tc>
              <w:tc>
                <w:tcPr>
                  <w:tcW w:w="1179" w:type="pct"/>
                </w:tcPr>
                <w:p w14:paraId="5672279F">
                  <w:pPr>
                    <w:pStyle w:val="162"/>
                    <w:spacing w:line="380" w:lineRule="exact"/>
                    <w:rPr>
                      <w:rFonts w:hint="eastAsia" w:cs="宋体"/>
                      <w:color w:val="auto"/>
                    </w:rPr>
                  </w:pPr>
                  <w:r>
                    <w:rPr>
                      <w:rFonts w:hint="eastAsia" w:cs="宋体"/>
                      <w:color w:val="auto"/>
                    </w:rPr>
                    <w:t>15分钟</w:t>
                  </w:r>
                </w:p>
              </w:tc>
              <w:tc>
                <w:tcPr>
                  <w:tcW w:w="1258" w:type="pct"/>
                </w:tcPr>
                <w:p w14:paraId="0AC36DD8">
                  <w:pPr>
                    <w:pStyle w:val="162"/>
                    <w:spacing w:line="380" w:lineRule="exact"/>
                    <w:rPr>
                      <w:rFonts w:hint="eastAsia" w:cs="宋体"/>
                      <w:color w:val="auto"/>
                    </w:rPr>
                  </w:pPr>
                  <w:r>
                    <w:rPr>
                      <w:rFonts w:hint="eastAsia" w:cs="宋体"/>
                      <w:color w:val="auto"/>
                    </w:rPr>
                    <w:t>报修后4小时内</w:t>
                  </w:r>
                </w:p>
              </w:tc>
              <w:tc>
                <w:tcPr>
                  <w:tcW w:w="1386" w:type="pct"/>
                </w:tcPr>
                <w:p w14:paraId="4906CA77">
                  <w:pPr>
                    <w:pStyle w:val="162"/>
                    <w:spacing w:line="380" w:lineRule="exact"/>
                    <w:rPr>
                      <w:rFonts w:hint="eastAsia" w:cs="宋体"/>
                      <w:color w:val="auto"/>
                    </w:rPr>
                  </w:pPr>
                  <w:r>
                    <w:rPr>
                      <w:rFonts w:hint="eastAsia" w:cs="宋体"/>
                      <w:color w:val="auto"/>
                    </w:rPr>
                    <w:t>报修后24小时内</w:t>
                  </w:r>
                </w:p>
              </w:tc>
            </w:tr>
          </w:tbl>
          <w:p w14:paraId="7112A955">
            <w:pPr>
              <w:pStyle w:val="3"/>
              <w:numPr>
                <w:ilvl w:val="1"/>
                <w:numId w:val="0"/>
              </w:numPr>
              <w:spacing w:before="0" w:after="0" w:line="380" w:lineRule="exact"/>
              <w:jc w:val="left"/>
              <w:rPr>
                <w:rFonts w:hint="eastAsia" w:ascii="宋体" w:hAnsi="宋体" w:eastAsia="宋体" w:cs="宋体"/>
                <w:b/>
                <w:bCs/>
                <w:sz w:val="21"/>
                <w:szCs w:val="21"/>
              </w:rPr>
            </w:pPr>
            <w:r>
              <w:rPr>
                <w:rFonts w:hint="eastAsia" w:ascii="宋体" w:hAnsi="宋体" w:eastAsia="宋体" w:cs="宋体"/>
                <w:b/>
                <w:bCs/>
                <w:sz w:val="21"/>
                <w:szCs w:val="21"/>
              </w:rPr>
              <w:t>（六）运维服务要求</w:t>
            </w:r>
          </w:p>
          <w:p w14:paraId="3F183DC4">
            <w:pPr>
              <w:pStyle w:val="4"/>
              <w:numPr>
                <w:ilvl w:val="3"/>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1.、AI算力资源运维服务</w:t>
            </w:r>
          </w:p>
          <w:p w14:paraId="3322B1F2">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（1）AI算力资源规划与部署  </w:t>
            </w:r>
          </w:p>
          <w:p w14:paraId="346428D4">
            <w:pPr>
              <w:spacing w:line="380" w:lineRule="exact"/>
              <w:ind w:firstLine="560"/>
              <w:jc w:val="left"/>
              <w:rPr>
                <w:rFonts w:hint="eastAsia" w:ascii="宋体" w:hAnsi="宋体" w:cs="宋体"/>
                <w:szCs w:val="21"/>
              </w:rPr>
            </w:pPr>
            <w:r>
              <w:rPr>
                <w:rFonts w:hint="eastAsia" w:ascii="宋体" w:hAnsi="宋体" w:cs="宋体"/>
                <w:szCs w:val="21"/>
              </w:rPr>
              <w:t>提供灵活的算力资源规划方案，根据业务需求选择合适的GPU/TPU/NPU等加速硬件，支持按需扩展和弹性伸缩。</w:t>
            </w:r>
          </w:p>
          <w:p w14:paraId="32043E7F">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（2）智能调度与资源优化  </w:t>
            </w:r>
          </w:p>
          <w:p w14:paraId="5FAD322B">
            <w:pPr>
              <w:spacing w:line="380" w:lineRule="exact"/>
              <w:ind w:firstLine="560"/>
              <w:jc w:val="left"/>
              <w:rPr>
                <w:rFonts w:hint="eastAsia" w:ascii="宋体" w:hAnsi="宋体" w:cs="宋体"/>
                <w:szCs w:val="21"/>
              </w:rPr>
            </w:pPr>
            <w:r>
              <w:rPr>
                <w:rFonts w:hint="eastAsia" w:ascii="宋体" w:hAnsi="宋体" w:cs="宋体"/>
                <w:szCs w:val="21"/>
              </w:rPr>
              <w:t>通过AI算法优化任务调度，提升算力利用率，减少空闲资源浪费。支持多任务并行处理和优先级管理。</w:t>
            </w:r>
          </w:p>
          <w:p w14:paraId="7A32EC37">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（3）监控与告警  </w:t>
            </w:r>
          </w:p>
          <w:p w14:paraId="6B2BE1E8">
            <w:pPr>
              <w:spacing w:line="380" w:lineRule="exact"/>
              <w:ind w:firstLine="560"/>
              <w:jc w:val="left"/>
              <w:rPr>
                <w:rFonts w:hint="eastAsia" w:ascii="宋体" w:hAnsi="宋体" w:cs="宋体"/>
                <w:szCs w:val="21"/>
              </w:rPr>
            </w:pPr>
            <w:r>
              <w:rPr>
                <w:rFonts w:hint="eastAsia" w:ascii="宋体" w:hAnsi="宋体" w:cs="宋体"/>
                <w:szCs w:val="21"/>
              </w:rPr>
              <w:t>实时监控算力资源的使用情况（如GPU/TPU/NPU利用率、内存占用等），提供可视化仪表盘和自定义告警规则，帮助运维人员快速响应问题。</w:t>
            </w:r>
          </w:p>
          <w:p w14:paraId="0D4EED3F">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（4）自动化运维  </w:t>
            </w:r>
          </w:p>
          <w:p w14:paraId="41D299F3">
            <w:pPr>
              <w:spacing w:line="380" w:lineRule="exact"/>
              <w:ind w:firstLine="560"/>
              <w:jc w:val="left"/>
              <w:rPr>
                <w:rFonts w:hint="eastAsia" w:ascii="宋体" w:hAnsi="宋体" w:cs="宋体"/>
                <w:szCs w:val="21"/>
              </w:rPr>
            </w:pPr>
            <w:r>
              <w:rPr>
                <w:rFonts w:hint="eastAsia" w:ascii="宋体" w:hAnsi="宋体" w:cs="宋体"/>
                <w:szCs w:val="21"/>
              </w:rPr>
              <w:t>支持自动化故障检测与恢复、自动扩缩容、版本升级等功能，降低人工运维成本，提升系统稳定性。</w:t>
            </w:r>
          </w:p>
          <w:p w14:paraId="0098C1A8">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（5）安全与合规  </w:t>
            </w:r>
          </w:p>
          <w:p w14:paraId="0A0D9FC9">
            <w:pPr>
              <w:spacing w:line="380" w:lineRule="exact"/>
              <w:ind w:firstLine="560"/>
              <w:jc w:val="left"/>
              <w:rPr>
                <w:rFonts w:hint="eastAsia" w:ascii="宋体" w:hAnsi="宋体" w:cs="宋体"/>
                <w:szCs w:val="21"/>
              </w:rPr>
            </w:pPr>
            <w:r>
              <w:rPr>
                <w:rFonts w:hint="eastAsia" w:ascii="宋体" w:hAnsi="宋体" w:cs="宋体"/>
                <w:szCs w:val="21"/>
              </w:rPr>
              <w:t>提供多层次的安全防护，包括数据加密、访问控制、网络安全等，确保AI训练和推理过程中的数据安全和合规性。</w:t>
            </w:r>
          </w:p>
          <w:p w14:paraId="75264BB1">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（6）AI训练与推理服务  </w:t>
            </w:r>
          </w:p>
          <w:p w14:paraId="24833DA8">
            <w:pPr>
              <w:spacing w:line="380" w:lineRule="exact"/>
              <w:ind w:firstLine="560"/>
              <w:jc w:val="left"/>
              <w:rPr>
                <w:rFonts w:hint="eastAsia" w:ascii="宋体" w:hAnsi="宋体" w:cs="宋体"/>
                <w:szCs w:val="21"/>
              </w:rPr>
            </w:pPr>
            <w:r>
              <w:rPr>
                <w:rFonts w:hint="eastAsia" w:ascii="宋体" w:hAnsi="宋体" w:cs="宋体"/>
                <w:szCs w:val="21"/>
              </w:rPr>
              <w:t>提供一站式的AI训练和推理能力，集成主流深度学习框架（如TensorFlow、PyTorch），支持分布式训练和模型优化。</w:t>
            </w:r>
          </w:p>
          <w:p w14:paraId="37AA6848">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（7）成本管理  </w:t>
            </w:r>
          </w:p>
          <w:p w14:paraId="5232E6AD">
            <w:pPr>
              <w:spacing w:line="380" w:lineRule="exact"/>
              <w:ind w:firstLine="560"/>
              <w:jc w:val="left"/>
              <w:rPr>
                <w:rFonts w:hint="eastAsia" w:ascii="宋体" w:hAnsi="宋体" w:cs="宋体"/>
                <w:szCs w:val="21"/>
              </w:rPr>
            </w:pPr>
            <w:r>
              <w:rPr>
                <w:rFonts w:hint="eastAsia" w:ascii="宋体" w:hAnsi="宋体" w:cs="宋体"/>
                <w:szCs w:val="21"/>
              </w:rPr>
              <w:t>通过资源使用分析和成本预测，帮助用户优化预算，提供详细的账单分析和计费建议。</w:t>
            </w:r>
          </w:p>
          <w:p w14:paraId="460FAA44">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（8）故障恢复</w:t>
            </w:r>
          </w:p>
          <w:p w14:paraId="253C1FEB">
            <w:pPr>
              <w:spacing w:line="380" w:lineRule="exact"/>
              <w:ind w:firstLine="560"/>
              <w:jc w:val="left"/>
              <w:rPr>
                <w:rFonts w:hint="eastAsia" w:ascii="宋体" w:hAnsi="宋体" w:cs="宋体"/>
                <w:szCs w:val="21"/>
              </w:rPr>
            </w:pPr>
            <w:r>
              <w:rPr>
                <w:rFonts w:hint="eastAsia" w:ascii="宋体" w:hAnsi="宋体" w:cs="宋体"/>
                <w:szCs w:val="21"/>
              </w:rPr>
              <w:t>硬件故障处理：针对网络设备出现的硬件故障依据产品故障恢复手册定位并恢复，或进行设备更换或端口更换等操作。</w:t>
            </w:r>
          </w:p>
          <w:p w14:paraId="27CEB4CC">
            <w:pPr>
              <w:spacing w:line="380" w:lineRule="exact"/>
              <w:ind w:firstLine="560"/>
              <w:jc w:val="left"/>
              <w:rPr>
                <w:rFonts w:hint="eastAsia" w:ascii="宋体" w:hAnsi="宋体" w:cs="宋体"/>
                <w:szCs w:val="21"/>
              </w:rPr>
            </w:pPr>
            <w:r>
              <w:rPr>
                <w:rFonts w:hint="eastAsia" w:ascii="宋体" w:hAnsi="宋体" w:cs="宋体"/>
                <w:szCs w:val="21"/>
              </w:rPr>
              <w:t>网络连通故障处理：当出现网络无法连通时进行故障处理和修复。</w:t>
            </w:r>
          </w:p>
          <w:p w14:paraId="3C40177C">
            <w:pPr>
              <w:spacing w:line="380" w:lineRule="exact"/>
              <w:ind w:firstLine="560"/>
              <w:jc w:val="left"/>
              <w:rPr>
                <w:rFonts w:hint="eastAsia" w:ascii="宋体" w:hAnsi="宋体" w:cs="宋体"/>
                <w:szCs w:val="21"/>
              </w:rPr>
            </w:pPr>
            <w:r>
              <w:rPr>
                <w:rFonts w:hint="eastAsia" w:ascii="宋体" w:hAnsi="宋体" w:cs="宋体"/>
                <w:szCs w:val="21"/>
              </w:rPr>
              <w:t>网络性能故障处理：当出现网络访问慢、高ping或丢包时进行故障处理和修复。</w:t>
            </w:r>
          </w:p>
          <w:p w14:paraId="1DD1AD5A">
            <w:pPr>
              <w:spacing w:line="380" w:lineRule="exact"/>
              <w:ind w:firstLine="560"/>
              <w:jc w:val="left"/>
              <w:rPr>
                <w:rFonts w:hint="eastAsia" w:ascii="宋体" w:hAnsi="宋体" w:cs="宋体"/>
                <w:szCs w:val="21"/>
              </w:rPr>
            </w:pPr>
            <w:r>
              <w:rPr>
                <w:rFonts w:hint="eastAsia" w:ascii="宋体" w:hAnsi="宋体" w:cs="宋体"/>
                <w:szCs w:val="21"/>
              </w:rPr>
              <w:t>网络风暴故障处理：针对由于网络拓扑的设计或连接问题或其他原因使广播在网段内大量复制、传播数据帧导致网络性能下降，甚至网络瘫痪的故障进行处理，通过逐层查询异常流量，确定异常流量来源，进行屏蔽以快速结束网络风暴并进行根因分析。</w:t>
            </w:r>
          </w:p>
          <w:p w14:paraId="30F9951B">
            <w:pPr>
              <w:spacing w:line="380" w:lineRule="exact"/>
              <w:ind w:firstLine="560"/>
              <w:jc w:val="left"/>
              <w:rPr>
                <w:rFonts w:hint="eastAsia" w:ascii="宋体" w:hAnsi="宋体" w:cs="宋体"/>
                <w:szCs w:val="21"/>
              </w:rPr>
            </w:pPr>
            <w:r>
              <w:rPr>
                <w:rFonts w:hint="eastAsia" w:ascii="宋体" w:hAnsi="宋体" w:cs="宋体"/>
                <w:szCs w:val="21"/>
              </w:rPr>
              <w:t>硬件故障处理：当智算力集群产品出现计算模块、内存、硬盘、电源、光模块、以太网控制器等硬件故障时依据产品手册的故障码进行分析定位处理和修复。</w:t>
            </w:r>
          </w:p>
          <w:p w14:paraId="3A773682">
            <w:pPr>
              <w:spacing w:line="380" w:lineRule="exact"/>
              <w:ind w:firstLine="560"/>
              <w:jc w:val="left"/>
              <w:rPr>
                <w:rFonts w:hint="eastAsia" w:ascii="宋体" w:hAnsi="宋体" w:cs="宋体"/>
                <w:szCs w:val="21"/>
              </w:rPr>
            </w:pPr>
            <w:r>
              <w:rPr>
                <w:rFonts w:hint="eastAsia" w:ascii="宋体" w:hAnsi="宋体" w:cs="宋体"/>
                <w:szCs w:val="21"/>
              </w:rPr>
              <w:t>操作系统故障处理：当出现OS操作系统故障时进行排查处理和修复。</w:t>
            </w:r>
          </w:p>
          <w:p w14:paraId="77899657">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（9）变更协助</w:t>
            </w:r>
          </w:p>
          <w:p w14:paraId="1E895211">
            <w:pPr>
              <w:spacing w:line="380" w:lineRule="exact"/>
              <w:ind w:firstLine="560"/>
              <w:jc w:val="left"/>
              <w:rPr>
                <w:rFonts w:hint="eastAsia" w:ascii="宋体" w:hAnsi="宋体" w:cs="宋体"/>
                <w:szCs w:val="21"/>
              </w:rPr>
            </w:pPr>
            <w:r>
              <w:rPr>
                <w:rFonts w:hint="eastAsia" w:ascii="宋体" w:hAnsi="宋体" w:cs="宋体"/>
                <w:szCs w:val="21"/>
              </w:rPr>
              <w:t>网络调整：依据业务需求对网络设备或系统网络协助进行符合整体网络规划的调整或设备配置变更操作。</w:t>
            </w:r>
          </w:p>
          <w:p w14:paraId="035F3AF6">
            <w:pPr>
              <w:spacing w:line="380" w:lineRule="exact"/>
              <w:ind w:firstLine="560"/>
              <w:jc w:val="left"/>
              <w:rPr>
                <w:rFonts w:hint="eastAsia" w:ascii="宋体" w:hAnsi="宋体" w:cs="宋体"/>
                <w:szCs w:val="21"/>
              </w:rPr>
            </w:pPr>
            <w:r>
              <w:rPr>
                <w:rFonts w:hint="eastAsia" w:ascii="宋体" w:hAnsi="宋体" w:cs="宋体"/>
                <w:szCs w:val="21"/>
              </w:rPr>
              <w:t>固件升级：依据产品官网发布的补丁公告需要修复产品bug或提升产品性能时，通过变更对在保内的设备进行固件升级操作。</w:t>
            </w:r>
          </w:p>
          <w:p w14:paraId="1E90EEC7">
            <w:pPr>
              <w:spacing w:line="380" w:lineRule="exact"/>
              <w:ind w:firstLine="560"/>
              <w:jc w:val="left"/>
              <w:rPr>
                <w:rFonts w:hint="eastAsia" w:ascii="宋体" w:hAnsi="宋体" w:cs="宋体"/>
                <w:szCs w:val="21"/>
              </w:rPr>
            </w:pPr>
            <w:r>
              <w:rPr>
                <w:rFonts w:hint="eastAsia" w:ascii="宋体" w:hAnsi="宋体" w:cs="宋体"/>
                <w:szCs w:val="21"/>
              </w:rPr>
              <w:t>扩缩容：依据业务规划或服务请求或故障恢复需要协助进行硬盘、硬盘框、控制器、前端链路、整机等的扩容或缩容操作。</w:t>
            </w:r>
          </w:p>
          <w:p w14:paraId="24DD72B0">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（10）系统备份</w:t>
            </w:r>
          </w:p>
          <w:p w14:paraId="1FEC1DCF">
            <w:pPr>
              <w:spacing w:line="380" w:lineRule="exact"/>
              <w:ind w:firstLine="560"/>
              <w:jc w:val="left"/>
              <w:rPr>
                <w:rFonts w:hint="eastAsia" w:ascii="宋体" w:hAnsi="宋体" w:cs="宋体"/>
                <w:szCs w:val="21"/>
              </w:rPr>
            </w:pPr>
            <w:r>
              <w:rPr>
                <w:rFonts w:hint="eastAsia" w:ascii="宋体" w:hAnsi="宋体" w:cs="宋体"/>
                <w:szCs w:val="21"/>
              </w:rPr>
              <w:t>网络配置备份：在规定的时间周期内对AI算力资源租赁设备的配置参数进行备份，以确保出现因配置参数错误导致的故障时能快速恢复至故障前的状态。</w:t>
            </w:r>
          </w:p>
          <w:p w14:paraId="35D5E3DC">
            <w:pPr>
              <w:spacing w:line="380" w:lineRule="exact"/>
              <w:ind w:firstLine="560"/>
              <w:jc w:val="left"/>
              <w:rPr>
                <w:rFonts w:hint="eastAsia" w:ascii="宋体" w:hAnsi="宋体" w:cs="宋体"/>
                <w:szCs w:val="21"/>
              </w:rPr>
            </w:pPr>
            <w:r>
              <w:rPr>
                <w:rFonts w:hint="eastAsia" w:ascii="宋体" w:hAnsi="宋体" w:cs="宋体"/>
                <w:szCs w:val="21"/>
              </w:rPr>
              <w:t>系统数据备份：根据相关规定按要求定期备份系统数据。</w:t>
            </w:r>
          </w:p>
          <w:p w14:paraId="1F00E470">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（11）日常巡检</w:t>
            </w:r>
          </w:p>
          <w:p w14:paraId="41AE3BE3">
            <w:pPr>
              <w:spacing w:line="380" w:lineRule="exact"/>
              <w:ind w:firstLine="560"/>
              <w:jc w:val="left"/>
              <w:rPr>
                <w:rFonts w:hint="eastAsia" w:ascii="宋体" w:hAnsi="宋体" w:cs="宋体"/>
                <w:szCs w:val="21"/>
              </w:rPr>
            </w:pPr>
            <w:r>
              <w:rPr>
                <w:rFonts w:hint="eastAsia" w:ascii="宋体" w:hAnsi="宋体" w:cs="宋体"/>
                <w:szCs w:val="21"/>
              </w:rPr>
              <w:t>日常运行指标巡检：设备操作系统版本、CPU利用率、设备内存利用状况、设备模块运行状况、设备模块温度、连通性指标、VLAN状态等。</w:t>
            </w:r>
          </w:p>
          <w:p w14:paraId="64F9899A">
            <w:pPr>
              <w:spacing w:line="380" w:lineRule="exact"/>
              <w:ind w:firstLine="560"/>
              <w:jc w:val="left"/>
              <w:rPr>
                <w:rFonts w:hint="eastAsia" w:ascii="宋体" w:hAnsi="宋体" w:cs="宋体"/>
                <w:szCs w:val="21"/>
              </w:rPr>
            </w:pPr>
            <w:r>
              <w:rPr>
                <w:rFonts w:hint="eastAsia" w:ascii="宋体" w:hAnsi="宋体" w:cs="宋体"/>
                <w:szCs w:val="21"/>
              </w:rPr>
              <w:t>错误日志检查：检查Log日志，逐条分析错误日志，对监控的异常告警进行分析处置。</w:t>
            </w:r>
          </w:p>
          <w:p w14:paraId="43737702">
            <w:pPr>
              <w:spacing w:line="380" w:lineRule="exact"/>
              <w:ind w:firstLine="560"/>
              <w:jc w:val="left"/>
              <w:rPr>
                <w:rFonts w:hint="eastAsia" w:ascii="宋体" w:hAnsi="宋体" w:cs="宋体"/>
                <w:szCs w:val="21"/>
              </w:rPr>
            </w:pPr>
            <w:r>
              <w:rPr>
                <w:rFonts w:hint="eastAsia" w:ascii="宋体" w:hAnsi="宋体" w:cs="宋体"/>
                <w:szCs w:val="21"/>
              </w:rPr>
              <w:t>网络性能指标巡检，网络运行质量监控，网络安全隐患检查，链路主备冗余检查。</w:t>
            </w:r>
          </w:p>
          <w:p w14:paraId="3301BB3A">
            <w:pPr>
              <w:spacing w:line="380" w:lineRule="exact"/>
              <w:jc w:val="left"/>
              <w:rPr>
                <w:rFonts w:hint="eastAsia" w:ascii="宋体" w:hAnsi="宋体" w:cs="宋体"/>
                <w:szCs w:val="21"/>
              </w:rPr>
            </w:pPr>
          </w:p>
          <w:p w14:paraId="395C39AF">
            <w:pPr>
              <w:pStyle w:val="8"/>
              <w:spacing w:line="380" w:lineRule="exact"/>
              <w:ind w:firstLine="0"/>
              <w:outlineLvl w:val="1"/>
              <w:rPr>
                <w:rFonts w:hint="eastAsia" w:ascii="宋体" w:hAnsi="宋体" w:cs="宋体"/>
                <w:b/>
                <w:bCs/>
                <w:szCs w:val="21"/>
              </w:rPr>
            </w:pPr>
            <w:r>
              <w:rPr>
                <w:rFonts w:hint="eastAsia" w:ascii="宋体" w:hAnsi="宋体" w:cs="宋体"/>
                <w:b/>
                <w:bCs/>
                <w:szCs w:val="21"/>
              </w:rPr>
              <w:t>（六）技术支持与售后</w:t>
            </w:r>
          </w:p>
          <w:p w14:paraId="35C27679">
            <w:pPr>
              <w:spacing w:line="380" w:lineRule="exact"/>
              <w:ind w:firstLine="420" w:firstLineChars="200"/>
              <w:jc w:val="left"/>
              <w:outlineLvl w:val="1"/>
              <w:rPr>
                <w:rFonts w:hint="eastAsia" w:ascii="宋体" w:hAnsi="宋体" w:cs="宋体"/>
                <w:b/>
                <w:bCs/>
                <w:szCs w:val="21"/>
              </w:rPr>
            </w:pPr>
            <w:r>
              <w:rPr>
                <w:rFonts w:hint="eastAsia" w:ascii="宋体" w:hAnsi="宋体" w:cs="宋体"/>
                <w:b/>
                <w:bCs/>
                <w:szCs w:val="21"/>
              </w:rPr>
              <w:t>（1）服务人员配置要求</w:t>
            </w:r>
          </w:p>
          <w:p w14:paraId="69FA01E2">
            <w:pPr>
              <w:spacing w:line="380" w:lineRule="exact"/>
              <w:ind w:firstLine="560"/>
              <w:jc w:val="left"/>
              <w:rPr>
                <w:rFonts w:hint="eastAsia" w:ascii="宋体" w:hAnsi="宋体" w:cs="宋体"/>
                <w:szCs w:val="21"/>
              </w:rPr>
            </w:pPr>
            <w:r>
              <w:rPr>
                <w:rFonts w:hint="eastAsia" w:ascii="宋体" w:hAnsi="宋体" w:cs="宋体"/>
                <w:szCs w:val="21"/>
              </w:rPr>
              <w:t>提供3年5天/周*8小时/天，至少1人的运维驻场服务，投标人拥有不少于</w:t>
            </w:r>
            <w:r>
              <w:rPr>
                <w:rFonts w:hint="eastAsia" w:ascii="宋体" w:hAnsi="宋体" w:cs="宋体"/>
                <w:szCs w:val="21"/>
                <w:u w:val="single"/>
              </w:rPr>
              <w:t>8</w:t>
            </w:r>
            <w:r>
              <w:rPr>
                <w:rFonts w:hint="eastAsia" w:ascii="宋体" w:hAnsi="宋体" w:cs="宋体"/>
                <w:szCs w:val="21"/>
              </w:rPr>
              <w:t>人专职技术售后服务人员，能及时为采购人提供技术服务、技术支持、故障维修，设备维护等全方面服务。在质保期内，负责为采购人免费更换或维修设备，负责安装和调试，妥善做好相关设备数据保密工作。</w:t>
            </w:r>
          </w:p>
          <w:p w14:paraId="23FA5E7C">
            <w:pPr>
              <w:spacing w:line="380" w:lineRule="exact"/>
              <w:ind w:firstLine="560"/>
              <w:jc w:val="left"/>
              <w:rPr>
                <w:rFonts w:hint="eastAsia" w:ascii="宋体" w:hAnsi="宋体" w:cs="宋体"/>
                <w:szCs w:val="21"/>
              </w:rPr>
            </w:pPr>
            <w:r>
              <w:rPr>
                <w:rFonts w:hint="eastAsia" w:ascii="宋体" w:hAnsi="宋体" w:cs="宋体"/>
                <w:szCs w:val="21"/>
              </w:rPr>
              <w:t>运维驻场服务可以灵活地使用中标服务商的技术资源进行个性化的、持续的运维支持服务，满足采购人的运维需求。</w:t>
            </w:r>
          </w:p>
          <w:p w14:paraId="36BD1B4A">
            <w:pPr>
              <w:spacing w:line="380" w:lineRule="exact"/>
              <w:ind w:firstLine="560"/>
              <w:jc w:val="left"/>
              <w:rPr>
                <w:rFonts w:hint="eastAsia" w:ascii="宋体" w:hAnsi="宋体" w:cs="宋体"/>
                <w:szCs w:val="21"/>
              </w:rPr>
            </w:pPr>
            <w:r>
              <w:rPr>
                <w:rFonts w:hint="eastAsia" w:ascii="宋体" w:hAnsi="宋体" w:cs="宋体"/>
                <w:szCs w:val="21"/>
              </w:rPr>
              <w:t>运维驻场服务是指派合格的工程师在采购人指定的工作地点为采购人提供持续的运维支持服务。运维驻场工程师长期和采购人工程师一起在采购人现场工作，严格遵守采购人的工作管理要求，熟悉采购人的内部流程和需求，熟悉采购人的网络状况，长期专注于采购人现网产品和技术，可以协助采购人预防重大故障的发生，或者在发生故障时可以快速解决故障。</w:t>
            </w:r>
          </w:p>
          <w:p w14:paraId="5955A9BA">
            <w:pPr>
              <w:spacing w:line="380" w:lineRule="exact"/>
              <w:ind w:firstLine="560"/>
              <w:jc w:val="left"/>
              <w:rPr>
                <w:rFonts w:hint="eastAsia" w:ascii="宋体" w:hAnsi="宋体" w:cs="宋体"/>
                <w:szCs w:val="21"/>
              </w:rPr>
            </w:pPr>
            <w:r>
              <w:rPr>
                <w:rFonts w:hint="eastAsia" w:ascii="宋体" w:hAnsi="宋体" w:cs="宋体"/>
                <w:szCs w:val="21"/>
              </w:rPr>
              <w:t>驻场工程师的驻场时间为正常工作日，每天八小时，享有当地国家规定的法定假期。</w:t>
            </w:r>
          </w:p>
          <w:p w14:paraId="2412D4C8">
            <w:pPr>
              <w:numPr>
                <w:ilvl w:val="0"/>
                <w:numId w:val="1"/>
              </w:numPr>
              <w:spacing w:line="380" w:lineRule="exact"/>
              <w:ind w:firstLine="420" w:firstLineChars="200"/>
              <w:outlineLvl w:val="1"/>
              <w:rPr>
                <w:rFonts w:hint="eastAsia" w:ascii="宋体" w:hAnsi="宋体" w:cs="宋体"/>
                <w:b/>
                <w:bCs/>
                <w:szCs w:val="21"/>
              </w:rPr>
            </w:pPr>
            <w:r>
              <w:rPr>
                <w:rFonts w:hint="eastAsia" w:ascii="宋体" w:hAnsi="宋体" w:cs="宋体"/>
                <w:szCs w:val="21"/>
              </w:rPr>
              <w:t>其他技术服务人员要求（3人，其中项目经理1人、网络工程师1人、AI算力工程师1人）</w:t>
            </w:r>
          </w:p>
          <w:p w14:paraId="5ABF74F4">
            <w:pPr>
              <w:spacing w:line="380" w:lineRule="exact"/>
              <w:ind w:firstLine="630" w:firstLineChars="300"/>
              <w:outlineLvl w:val="1"/>
              <w:rPr>
                <w:rFonts w:hint="eastAsia" w:ascii="宋体" w:hAnsi="宋体" w:cs="宋体"/>
                <w:szCs w:val="21"/>
                <w:lang w:val="zh-CN"/>
              </w:rPr>
            </w:pPr>
            <w:r>
              <w:rPr>
                <w:rFonts w:hint="eastAsia" w:ascii="宋体" w:hAnsi="宋体" w:cs="宋体"/>
                <w:szCs w:val="21"/>
              </w:rPr>
              <w:t>项目经理：</w:t>
            </w:r>
            <w:r>
              <w:rPr>
                <w:rFonts w:hint="eastAsia" w:ascii="宋体" w:hAnsi="宋体" w:cs="宋体"/>
                <w:szCs w:val="21"/>
                <w:lang w:val="zh-CN"/>
              </w:rPr>
              <w:t>有</w:t>
            </w:r>
            <w:r>
              <w:rPr>
                <w:rFonts w:hint="eastAsia" w:ascii="宋体" w:hAnsi="宋体" w:cs="宋体"/>
                <w:szCs w:val="21"/>
              </w:rPr>
              <w:t>不少于三年</w:t>
            </w:r>
            <w:r>
              <w:rPr>
                <w:rFonts w:hint="eastAsia" w:ascii="宋体" w:hAnsi="宋体" w:cs="宋体"/>
                <w:szCs w:val="21"/>
                <w:lang w:val="zh-CN"/>
              </w:rPr>
              <w:t>的</w:t>
            </w:r>
            <w:r>
              <w:rPr>
                <w:rFonts w:hint="eastAsia" w:ascii="宋体" w:hAnsi="宋体" w:cs="宋体"/>
                <w:szCs w:val="21"/>
              </w:rPr>
              <w:t>信息化项目管理经验，</w:t>
            </w:r>
            <w:r>
              <w:rPr>
                <w:rFonts w:hint="eastAsia" w:ascii="宋体" w:hAnsi="宋体" w:cs="宋体"/>
                <w:szCs w:val="21"/>
                <w:lang w:val="zh-CN"/>
              </w:rPr>
              <w:t>负责项目全流程统筹、团队管理与风险控制。</w:t>
            </w:r>
          </w:p>
          <w:p w14:paraId="3BD014B5">
            <w:pPr>
              <w:spacing w:line="380" w:lineRule="exact"/>
              <w:ind w:firstLine="560"/>
              <w:jc w:val="left"/>
              <w:rPr>
                <w:rFonts w:hint="eastAsia" w:ascii="宋体" w:hAnsi="宋体" w:cs="宋体"/>
                <w:szCs w:val="21"/>
                <w:lang w:val="zh-CN"/>
              </w:rPr>
            </w:pPr>
            <w:r>
              <w:rPr>
                <w:rFonts w:hint="eastAsia" w:ascii="宋体" w:hAnsi="宋体" w:cs="宋体"/>
                <w:szCs w:val="21"/>
                <w:lang w:val="zh-CN"/>
              </w:rPr>
              <w:t>网络工程师：有</w:t>
            </w:r>
            <w:r>
              <w:rPr>
                <w:rFonts w:hint="eastAsia" w:ascii="宋体" w:hAnsi="宋体" w:cs="宋体"/>
                <w:szCs w:val="21"/>
              </w:rPr>
              <w:t>不少于三年</w:t>
            </w:r>
            <w:r>
              <w:rPr>
                <w:rFonts w:hint="eastAsia" w:ascii="宋体" w:hAnsi="宋体" w:cs="宋体"/>
                <w:szCs w:val="21"/>
                <w:lang w:val="zh-CN"/>
              </w:rPr>
              <w:t>的网络工程与运营维护经验、负责网络设备调试、网络规划设计、方案实施及日常维护、现场故障处理等经验。</w:t>
            </w:r>
          </w:p>
          <w:p w14:paraId="5D216940">
            <w:pPr>
              <w:spacing w:line="380" w:lineRule="exact"/>
              <w:ind w:firstLine="560"/>
              <w:jc w:val="left"/>
              <w:rPr>
                <w:rFonts w:hint="eastAsia" w:ascii="宋体" w:hAnsi="宋体" w:cs="宋体"/>
                <w:szCs w:val="21"/>
              </w:rPr>
            </w:pPr>
            <w:r>
              <w:rPr>
                <w:rFonts w:hint="eastAsia" w:ascii="宋体" w:hAnsi="宋体" w:cs="宋体"/>
                <w:szCs w:val="21"/>
              </w:rPr>
              <w:t>AI算力工程师：熟悉并掌握推理服务器、机架服务器、高密服务器系列产品特性、系统结构以及典型应用场景。能够独立安装、维护推理服务器、机架服务器、高密服务器系列产品，并进行简单的故障排除和部件更换，管理配置各系列服务器特性，部署常用操作系统。</w:t>
            </w:r>
          </w:p>
          <w:p w14:paraId="779E9630">
            <w:pPr>
              <w:spacing w:line="380" w:lineRule="exact"/>
              <w:ind w:firstLine="560"/>
              <w:jc w:val="left"/>
              <w:rPr>
                <w:rFonts w:hint="eastAsia" w:ascii="宋体" w:hAnsi="宋体" w:cs="宋体"/>
                <w:szCs w:val="21"/>
              </w:rPr>
            </w:pPr>
            <w:r>
              <w:rPr>
                <w:rFonts w:hint="eastAsia" w:ascii="宋体" w:hAnsi="宋体" w:cs="宋体"/>
                <w:szCs w:val="21"/>
              </w:rPr>
              <w:t>掌握评估优化工具和巡检工具的部署和使用，能使用工具对服务器、存储和云计算产品进行数据收集。熟练掌握事件分析工具的原理、安装调测、日常监控和分析等使用，以及工具维护；及时处理工具发现的异常；能够输出事件分析报告。</w:t>
            </w:r>
          </w:p>
          <w:p w14:paraId="20AA3C76">
            <w:pPr>
              <w:spacing w:line="380" w:lineRule="exact"/>
              <w:ind w:firstLine="560"/>
              <w:jc w:val="left"/>
              <w:rPr>
                <w:rFonts w:hint="eastAsia" w:ascii="宋体" w:hAnsi="宋体" w:cs="宋体"/>
                <w:szCs w:val="21"/>
              </w:rPr>
            </w:pPr>
            <w:r>
              <w:rPr>
                <w:rFonts w:hint="eastAsia" w:ascii="宋体" w:hAnsi="宋体" w:cs="宋体"/>
                <w:szCs w:val="21"/>
              </w:rPr>
              <w:t>熟练掌握事件分析工具的原理、安装调测、日常监控和分析等使用，以及工具维护；及时处理工具发现的异常；能够输出事件分析报告。</w:t>
            </w:r>
          </w:p>
          <w:p w14:paraId="561B8856">
            <w:pPr>
              <w:pStyle w:val="8"/>
              <w:spacing w:line="380" w:lineRule="exact"/>
              <w:ind w:firstLineChars="200"/>
              <w:outlineLvl w:val="2"/>
              <w:rPr>
                <w:rFonts w:hint="eastAsia" w:ascii="宋体" w:hAnsi="宋体" w:cs="宋体"/>
                <w:szCs w:val="21"/>
              </w:rPr>
            </w:pPr>
            <w:r>
              <w:rPr>
                <w:rFonts w:hint="eastAsia" w:ascii="宋体" w:hAnsi="宋体" w:cs="宋体"/>
                <w:szCs w:val="21"/>
              </w:rPr>
              <w:t>（3）现场技术支持</w:t>
            </w:r>
          </w:p>
          <w:p w14:paraId="7DD86AA4">
            <w:pPr>
              <w:pStyle w:val="8"/>
              <w:spacing w:line="380" w:lineRule="exact"/>
              <w:ind w:firstLineChars="200"/>
              <w:rPr>
                <w:rFonts w:hint="eastAsia" w:ascii="宋体" w:hAnsi="宋体" w:cs="宋体"/>
                <w:szCs w:val="21"/>
              </w:rPr>
            </w:pPr>
            <w:r>
              <w:rPr>
                <w:rFonts w:hint="eastAsia" w:ascii="宋体" w:hAnsi="宋体" w:cs="宋体"/>
                <w:szCs w:val="21"/>
              </w:rPr>
              <w:t>由中标服务商提供安装部署、设备调试、定期巡检、技术培训等现场技术支持服务。</w:t>
            </w:r>
          </w:p>
          <w:p w14:paraId="7A555D3B">
            <w:pPr>
              <w:pStyle w:val="8"/>
              <w:spacing w:line="380" w:lineRule="exact"/>
              <w:ind w:firstLineChars="200"/>
              <w:outlineLvl w:val="2"/>
              <w:rPr>
                <w:rFonts w:hint="eastAsia" w:ascii="宋体" w:hAnsi="宋体" w:cs="宋体"/>
                <w:szCs w:val="21"/>
              </w:rPr>
            </w:pPr>
            <w:r>
              <w:rPr>
                <w:rFonts w:hint="eastAsia" w:ascii="宋体" w:hAnsi="宋体" w:cs="宋体"/>
                <w:szCs w:val="21"/>
              </w:rPr>
              <w:t>（4）服务期内维护服务</w:t>
            </w:r>
          </w:p>
          <w:p w14:paraId="6B1B2DC8">
            <w:pPr>
              <w:pStyle w:val="8"/>
              <w:spacing w:line="380" w:lineRule="exact"/>
              <w:ind w:firstLine="630" w:firstLineChars="300"/>
              <w:rPr>
                <w:rFonts w:hint="eastAsia" w:ascii="宋体" w:hAnsi="宋体" w:cs="宋体"/>
                <w:szCs w:val="21"/>
              </w:rPr>
            </w:pPr>
            <w:r>
              <w:rPr>
                <w:rFonts w:hint="eastAsia" w:ascii="宋体" w:hAnsi="宋体" w:cs="宋体"/>
                <w:szCs w:val="21"/>
              </w:rPr>
              <w:t>提供设备原厂三年上门软硬件技术支持与售后服务，在服务期内提供备品备件支持、存储介质保留、现场问题处理、软件升级、热线服务、远程问题处理、在线技术支持、重大事件保障。服务期内不收取任何费用，服务期满后存储盘留存给采购人。</w:t>
            </w:r>
          </w:p>
          <w:p w14:paraId="7C124A2C">
            <w:pPr>
              <w:pStyle w:val="8"/>
              <w:spacing w:line="380" w:lineRule="exact"/>
              <w:ind w:firstLine="630" w:firstLineChars="300"/>
              <w:outlineLvl w:val="2"/>
              <w:rPr>
                <w:rFonts w:hint="eastAsia" w:ascii="宋体" w:hAnsi="宋体" w:cs="宋体"/>
                <w:szCs w:val="21"/>
              </w:rPr>
            </w:pPr>
            <w:r>
              <w:rPr>
                <w:rFonts w:hint="eastAsia" w:ascii="宋体" w:hAnsi="宋体" w:cs="宋体"/>
                <w:szCs w:val="21"/>
              </w:rPr>
              <w:t>（4）服务期满数据迁移的技术支持</w:t>
            </w:r>
          </w:p>
          <w:p w14:paraId="29796B98">
            <w:pPr>
              <w:pStyle w:val="8"/>
              <w:spacing w:line="380" w:lineRule="exact"/>
              <w:ind w:firstLine="630" w:firstLineChars="300"/>
              <w:rPr>
                <w:rFonts w:hint="eastAsia" w:ascii="宋体" w:hAnsi="宋体" w:cs="宋体"/>
                <w:szCs w:val="21"/>
              </w:rPr>
            </w:pPr>
            <w:r>
              <w:rPr>
                <w:rFonts w:hint="eastAsia" w:ascii="宋体" w:hAnsi="宋体" w:cs="宋体"/>
                <w:szCs w:val="21"/>
              </w:rPr>
              <w:t>AI算力资源租赁使用到期后，如用户需要迁移AI算力资源，中标服务商须提供技术支持服务，服务期内不收取任何费用。包括准备迁移数据、迁移方式选择、挂载存储到AI算力实例、验证数据完整性等。</w:t>
            </w:r>
          </w:p>
          <w:p w14:paraId="4ED38ECB">
            <w:pPr>
              <w:pStyle w:val="8"/>
              <w:spacing w:line="380" w:lineRule="exact"/>
              <w:ind w:firstLineChars="200"/>
              <w:outlineLvl w:val="2"/>
              <w:rPr>
                <w:rFonts w:hint="eastAsia" w:ascii="宋体" w:hAnsi="宋体" w:cs="宋体"/>
                <w:szCs w:val="21"/>
              </w:rPr>
            </w:pPr>
            <w:r>
              <w:rPr>
                <w:rFonts w:hint="eastAsia" w:ascii="宋体" w:hAnsi="宋体" w:cs="宋体"/>
                <w:szCs w:val="21"/>
              </w:rPr>
              <w:t>（5）服务中断扣款及服务期满延续</w:t>
            </w:r>
          </w:p>
          <w:p w14:paraId="7E890AB3">
            <w:pPr>
              <w:pStyle w:val="8"/>
              <w:spacing w:line="380" w:lineRule="exact"/>
              <w:ind w:firstLineChars="200"/>
              <w:rPr>
                <w:rFonts w:hint="eastAsia" w:ascii="宋体" w:hAnsi="宋体" w:cs="宋体"/>
                <w:szCs w:val="21"/>
              </w:rPr>
            </w:pPr>
            <w:r>
              <w:rPr>
                <w:rFonts w:hint="eastAsia" w:ascii="宋体" w:hAnsi="宋体" w:cs="宋体"/>
                <w:szCs w:val="21"/>
              </w:rPr>
              <w:t>①用户主动中断：用户主动停止或删除正在运行的算力资源，按照实际使用时间计费，并扣除相应费用或顺延时长。</w:t>
            </w:r>
          </w:p>
          <w:p w14:paraId="294F29DA">
            <w:pPr>
              <w:pStyle w:val="8"/>
              <w:spacing w:line="380" w:lineRule="exact"/>
              <w:ind w:firstLineChars="200"/>
              <w:rPr>
                <w:rFonts w:hint="eastAsia" w:ascii="宋体" w:hAnsi="宋体" w:cs="宋体"/>
                <w:szCs w:val="21"/>
              </w:rPr>
            </w:pPr>
            <w:r>
              <w:rPr>
                <w:rFonts w:hint="eastAsia" w:ascii="宋体" w:hAnsi="宋体" w:cs="宋体"/>
                <w:szCs w:val="21"/>
              </w:rPr>
              <w:t>②系统故障导致中断：由于服务商平台或设备本身的故障导致服务中断，服务商根据协议扣款或顺延时长。</w:t>
            </w:r>
          </w:p>
          <w:p w14:paraId="21984646">
            <w:pPr>
              <w:pStyle w:val="5"/>
              <w:numPr>
                <w:ilvl w:val="4"/>
                <w:numId w:val="0"/>
              </w:numPr>
              <w:tabs>
                <w:tab w:val="left" w:pos="420"/>
              </w:tabs>
              <w:spacing w:before="0" w:after="0" w:line="3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（6）主要工作内容和范围</w:t>
            </w:r>
          </w:p>
          <w:p w14:paraId="36E60802">
            <w:pPr>
              <w:spacing w:line="380" w:lineRule="exact"/>
              <w:ind w:firstLine="560"/>
              <w:jc w:val="left"/>
              <w:rPr>
                <w:rFonts w:hint="eastAsia" w:ascii="宋体" w:hAnsi="宋体" w:cs="宋体"/>
                <w:szCs w:val="21"/>
              </w:rPr>
            </w:pPr>
            <w:r>
              <w:rPr>
                <w:rFonts w:hint="eastAsia" w:ascii="宋体" w:hAnsi="宋体" w:cs="宋体"/>
                <w:szCs w:val="21"/>
              </w:rPr>
              <w:t>日常故障处理及运营周报/月报：负责针对采购人所购买原厂服务的设备及产品提供技术服务支持，并输出运营周报/月报。</w:t>
            </w:r>
          </w:p>
          <w:p w14:paraId="14CEEBB1">
            <w:pPr>
              <w:spacing w:line="380" w:lineRule="exact"/>
              <w:ind w:firstLine="560"/>
              <w:jc w:val="left"/>
              <w:rPr>
                <w:rFonts w:hint="eastAsia" w:ascii="宋体" w:hAnsi="宋体" w:cs="宋体"/>
                <w:szCs w:val="21"/>
              </w:rPr>
            </w:pPr>
            <w:r>
              <w:rPr>
                <w:rFonts w:hint="eastAsia" w:ascii="宋体" w:hAnsi="宋体" w:cs="宋体"/>
                <w:szCs w:val="21"/>
              </w:rPr>
              <w:t>问题跟踪和升级及配合中标服务商的技术支持中心处理故障：按照相关服务条款，负责在第一时间尽快处理采购人设备重大故障及疑难故障；负责重大故障处理时的问题单升级、问题单跟踪及收集问题单相关信息，并配合中标服务商的技术支持中心处理故障。</w:t>
            </w:r>
          </w:p>
          <w:p w14:paraId="03B299D6">
            <w:pPr>
              <w:spacing w:line="380" w:lineRule="exact"/>
              <w:ind w:firstLine="560"/>
              <w:jc w:val="left"/>
              <w:rPr>
                <w:rFonts w:hint="eastAsia" w:ascii="宋体" w:hAnsi="宋体" w:cs="宋体"/>
                <w:szCs w:val="21"/>
              </w:rPr>
            </w:pPr>
            <w:r>
              <w:rPr>
                <w:rFonts w:hint="eastAsia" w:ascii="宋体" w:hAnsi="宋体" w:cs="宋体"/>
                <w:szCs w:val="21"/>
              </w:rPr>
              <w:t>例行检查及报告：负责采购人所有原厂服务的设备的例行检查服务及报告输出。</w:t>
            </w:r>
          </w:p>
          <w:p w14:paraId="22E0E867">
            <w:pPr>
              <w:spacing w:line="380" w:lineRule="exact"/>
              <w:ind w:firstLine="560"/>
              <w:jc w:val="left"/>
              <w:rPr>
                <w:rFonts w:hint="eastAsia" w:ascii="宋体" w:hAnsi="宋体" w:cs="宋体"/>
                <w:szCs w:val="21"/>
              </w:rPr>
            </w:pPr>
            <w:r>
              <w:rPr>
                <w:rFonts w:hint="eastAsia" w:ascii="宋体" w:hAnsi="宋体" w:cs="宋体"/>
                <w:szCs w:val="21"/>
              </w:rPr>
              <w:t>文档管理：负责维护采购人所有原厂服务的设备及产品的配置信息的维护。</w:t>
            </w:r>
          </w:p>
          <w:p w14:paraId="3BF83331">
            <w:pPr>
              <w:spacing w:line="380" w:lineRule="exact"/>
              <w:ind w:firstLine="560"/>
              <w:jc w:val="left"/>
              <w:rPr>
                <w:rFonts w:hint="eastAsia" w:ascii="宋体" w:hAnsi="宋体" w:cs="宋体"/>
                <w:szCs w:val="21"/>
              </w:rPr>
            </w:pPr>
            <w:r>
              <w:rPr>
                <w:rFonts w:hint="eastAsia" w:ascii="宋体" w:hAnsi="宋体" w:cs="宋体"/>
                <w:szCs w:val="21"/>
              </w:rPr>
              <w:t>服务接口：作为采购人产品相关服务的统一接口人。</w:t>
            </w:r>
          </w:p>
          <w:p w14:paraId="6EFD9676">
            <w:pPr>
              <w:spacing w:line="380" w:lineRule="exact"/>
              <w:ind w:firstLine="560"/>
              <w:jc w:val="left"/>
              <w:rPr>
                <w:rFonts w:hint="eastAsia" w:ascii="宋体" w:hAnsi="宋体" w:cs="宋体"/>
                <w:szCs w:val="21"/>
              </w:rPr>
            </w:pPr>
            <w:r>
              <w:rPr>
                <w:rFonts w:hint="eastAsia" w:ascii="宋体" w:hAnsi="宋体" w:cs="宋体"/>
                <w:szCs w:val="21"/>
              </w:rPr>
              <w:t>有限产品知识支持：负责提供相关产品运维的技术解答，技术资料及咨询；参与部分重要的运维会议并提供专家建议。</w:t>
            </w:r>
          </w:p>
          <w:p w14:paraId="63B13C00">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（8）服务环境要求</w:t>
            </w:r>
          </w:p>
          <w:p w14:paraId="5E9FF336">
            <w:pPr>
              <w:spacing w:line="380" w:lineRule="exact"/>
              <w:ind w:firstLine="560"/>
              <w:jc w:val="left"/>
              <w:rPr>
                <w:rFonts w:hint="eastAsia" w:ascii="宋体" w:hAnsi="宋体" w:cs="宋体"/>
                <w:szCs w:val="21"/>
              </w:rPr>
            </w:pPr>
            <w:r>
              <w:rPr>
                <w:rFonts w:hint="eastAsia" w:ascii="宋体" w:hAnsi="宋体" w:cs="宋体"/>
                <w:szCs w:val="21"/>
              </w:rPr>
              <w:t>遵循广西壮族自治区公安厅机房管理等要求。</w:t>
            </w:r>
          </w:p>
          <w:p w14:paraId="67A48B70">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（9）服务管理要求</w:t>
            </w:r>
          </w:p>
          <w:p w14:paraId="7F24AEA6">
            <w:pPr>
              <w:spacing w:line="380" w:lineRule="exact"/>
              <w:ind w:firstLine="560"/>
              <w:jc w:val="left"/>
              <w:rPr>
                <w:rFonts w:hint="eastAsia" w:ascii="宋体" w:hAnsi="宋体" w:cs="宋体"/>
                <w:szCs w:val="21"/>
              </w:rPr>
            </w:pPr>
            <w:r>
              <w:rPr>
                <w:rFonts w:hint="eastAsia" w:ascii="宋体" w:hAnsi="宋体" w:cs="宋体"/>
                <w:szCs w:val="21"/>
              </w:rPr>
              <w:t>遵循广西壮族自治区公安厅信息化项目管理相关工作要求。</w:t>
            </w:r>
          </w:p>
          <w:p w14:paraId="4BC04A30">
            <w:pPr>
              <w:spacing w:line="380" w:lineRule="exact"/>
              <w:rPr>
                <w:rFonts w:hint="eastAsia" w:ascii="宋体" w:hAnsi="宋体" w:cs="宋体"/>
                <w:szCs w:val="21"/>
              </w:rPr>
            </w:pPr>
            <w:r>
              <w:rPr>
                <w:rFonts w:hint="eastAsia" w:ascii="宋体" w:hAnsi="宋体" w:cs="宋体"/>
                <w:szCs w:val="21"/>
              </w:rPr>
              <w:t>（10）备品备件支持</w:t>
            </w:r>
          </w:p>
          <w:p w14:paraId="71C0D12D">
            <w:pPr>
              <w:spacing w:line="380" w:lineRule="exact"/>
              <w:ind w:firstLine="560"/>
              <w:jc w:val="left"/>
              <w:rPr>
                <w:rFonts w:hint="eastAsia" w:ascii="宋体" w:hAnsi="宋体" w:cs="宋体"/>
                <w:szCs w:val="21"/>
              </w:rPr>
            </w:pPr>
            <w:r>
              <w:rPr>
                <w:rFonts w:hint="eastAsia" w:ascii="宋体" w:hAnsi="宋体" w:cs="宋体"/>
                <w:szCs w:val="21"/>
              </w:rPr>
              <w:t>备件先行服务是在通过备件服务申请后，提前提供更换件，并提供故障件提取服务。备件先行服务旨在满足紧急要求，提高响应速度，提供更快速服务。</w:t>
            </w:r>
          </w:p>
          <w:p w14:paraId="60B2B3BE">
            <w:pPr>
              <w:spacing w:line="380" w:lineRule="exact"/>
              <w:ind w:firstLine="560"/>
              <w:jc w:val="left"/>
              <w:rPr>
                <w:rFonts w:hint="eastAsia" w:ascii="宋体" w:hAnsi="宋体" w:eastAsia="宋体" w:cs="宋体"/>
                <w:szCs w:val="21"/>
                <w:lang w:eastAsia="zh-CN"/>
              </w:rPr>
            </w:pPr>
            <w:r>
              <w:rPr>
                <w:rFonts w:hint="eastAsia" w:ascii="宋体" w:hAnsi="宋体" w:cs="宋体"/>
                <w:szCs w:val="21"/>
                <w:lang w:eastAsia="zh-CN"/>
              </w:rPr>
              <w:t>与故障部件型号、规格、技术参数完全一致的原厂备件</w:t>
            </w:r>
            <w:r>
              <w:rPr>
                <w:rFonts w:hint="eastAsia" w:ascii="宋体" w:hAnsi="宋体" w:cs="宋体"/>
                <w:szCs w:val="21"/>
              </w:rPr>
              <w:t>；若故障部件型号已停产且无库存，需提供性能不低于原部件的替代设备/单板，替代件需同时满足：核心性能指标（如算力、存储容量、接口速率、兼容性）不低于原部件。</w:t>
            </w:r>
            <w:r>
              <w:rPr>
                <w:rFonts w:hint="eastAsia" w:ascii="宋体" w:hAnsi="宋体" w:cs="宋体"/>
                <w:szCs w:val="21"/>
                <w:lang w:eastAsia="zh-CN"/>
              </w:rPr>
              <w:t>由于数据安全、保密等原因，不返还故障的带数据存储介质的部件。</w:t>
            </w:r>
          </w:p>
          <w:p w14:paraId="47BAE65C">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（11）定期巡检</w:t>
            </w:r>
          </w:p>
          <w:p w14:paraId="21E37962">
            <w:pPr>
              <w:spacing w:line="380" w:lineRule="exact"/>
              <w:jc w:val="left"/>
              <w:rPr>
                <w:rFonts w:hint="eastAsia" w:ascii="宋体" w:hAnsi="宋体" w:cs="宋体"/>
                <w:szCs w:val="21"/>
              </w:rPr>
            </w:pPr>
            <w:r>
              <w:rPr>
                <w:rFonts w:hint="eastAsia" w:ascii="宋体" w:hAnsi="宋体" w:cs="宋体"/>
                <w:szCs w:val="21"/>
              </w:rPr>
              <w:t>AI算力资源租赁服务期内，提供每季度一次巡检服务。通过对所投产品的数据配置、运行状态、性能等各项内容进行检查和分析，发现设备运行中存在的问题和潜在风险，并对检查结果进行总结报告并提出相应的措施，保障用户的网络安全、高效运行。设备健康检查结束后，提交《设备健康检查报告》（格式自拟）。</w:t>
            </w:r>
          </w:p>
          <w:p w14:paraId="144DB5D4">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（12）技术培训</w:t>
            </w:r>
          </w:p>
          <w:p w14:paraId="0623B22B">
            <w:pPr>
              <w:spacing w:line="380" w:lineRule="exact"/>
              <w:ind w:firstLine="560"/>
              <w:jc w:val="left"/>
              <w:rPr>
                <w:rFonts w:hint="eastAsia" w:ascii="宋体" w:hAnsi="宋体" w:cs="宋体"/>
                <w:szCs w:val="21"/>
              </w:rPr>
            </w:pPr>
            <w:r>
              <w:rPr>
                <w:rFonts w:hint="eastAsia" w:ascii="宋体" w:hAnsi="宋体" w:cs="宋体"/>
                <w:szCs w:val="21"/>
              </w:rPr>
              <w:t>为了使软硬件能够正常使用，投标人免费为采购人提供必要的使用培训，提供100/人天以上的免费培训。培训内容包含但不限于AI算力资源的运行管理维护、备份恢复、性能优化、故障处理等，必须提供相关的培训计划、培训地点、课程内容和时间安排，并在合同签订后征得采购人同意后实施。培训教师必须具有相关资质，提供培训环境和相关实验环境。所有培训课程在租赁使用期限内有效。</w:t>
            </w:r>
          </w:p>
          <w:p w14:paraId="7BA6F183">
            <w:pPr>
              <w:pStyle w:val="8"/>
              <w:spacing w:line="380" w:lineRule="exact"/>
              <w:ind w:firstLine="0"/>
              <w:rPr>
                <w:rFonts w:hint="eastAsia" w:ascii="宋体" w:hAnsi="宋体" w:cs="宋体"/>
                <w:szCs w:val="21"/>
              </w:rPr>
            </w:pPr>
          </w:p>
          <w:p w14:paraId="5B26E426">
            <w:pPr>
              <w:pStyle w:val="8"/>
              <w:spacing w:line="380" w:lineRule="exact"/>
              <w:ind w:firstLine="0"/>
              <w:outlineLvl w:val="0"/>
              <w:rPr>
                <w:rFonts w:hint="eastAsia" w:ascii="宋体" w:hAnsi="宋体" w:cs="宋体"/>
                <w:b/>
                <w:bCs/>
                <w:szCs w:val="21"/>
              </w:rPr>
            </w:pPr>
            <w:r>
              <w:rPr>
                <w:rFonts w:hint="eastAsia" w:ascii="宋体" w:hAnsi="宋体" w:cs="宋体"/>
                <w:b/>
                <w:bCs/>
                <w:szCs w:val="21"/>
              </w:rPr>
              <w:t>三、技术实施要求</w:t>
            </w:r>
          </w:p>
          <w:p w14:paraId="67029944">
            <w:pPr>
              <w:pStyle w:val="8"/>
              <w:spacing w:line="380" w:lineRule="exact"/>
              <w:ind w:firstLine="0"/>
              <w:outlineLvl w:val="1"/>
              <w:rPr>
                <w:rFonts w:hint="eastAsia" w:ascii="宋体" w:hAnsi="宋体" w:cs="宋体"/>
                <w:b/>
                <w:bCs/>
                <w:szCs w:val="21"/>
              </w:rPr>
            </w:pPr>
            <w:r>
              <w:rPr>
                <w:rFonts w:hint="eastAsia" w:ascii="宋体" w:hAnsi="宋体" w:cs="宋体"/>
                <w:b/>
                <w:bCs/>
                <w:szCs w:val="21"/>
              </w:rPr>
              <w:t>（一）组网方式</w:t>
            </w:r>
          </w:p>
          <w:p w14:paraId="6B6CC1E1">
            <w:pPr>
              <w:pStyle w:val="8"/>
              <w:spacing w:line="380" w:lineRule="exact"/>
              <w:ind w:firstLine="0"/>
              <w:rPr>
                <w:rFonts w:hint="eastAsia" w:ascii="宋体" w:hAnsi="宋体" w:cs="宋体"/>
                <w:szCs w:val="21"/>
              </w:rPr>
            </w:pPr>
            <w:r>
              <w:rPr>
                <w:rFonts w:hint="eastAsia" w:ascii="宋体" w:hAnsi="宋体" w:cs="宋体"/>
                <w:szCs w:val="21"/>
              </w:rPr>
              <w:t>由中标服务商负责将所租赁硬件设备上架和安装部署到采购人指定的A机房机柜中，利用采购人提供的网络环境，按照采购人技术和管理等要求配合完成组网，同时配合完成软件系统的安装和联调直至可完全正常使用。</w:t>
            </w:r>
          </w:p>
          <w:p w14:paraId="314DAEAE">
            <w:pPr>
              <w:pStyle w:val="8"/>
              <w:spacing w:line="380" w:lineRule="exact"/>
              <w:ind w:firstLine="0"/>
              <w:outlineLvl w:val="1"/>
              <w:rPr>
                <w:rFonts w:hint="eastAsia" w:ascii="宋体" w:hAnsi="宋体" w:cs="宋体"/>
                <w:b/>
                <w:bCs/>
                <w:szCs w:val="21"/>
              </w:rPr>
            </w:pPr>
            <w:r>
              <w:rPr>
                <w:rFonts w:hint="eastAsia" w:ascii="宋体" w:hAnsi="宋体" w:cs="宋体"/>
                <w:b/>
                <w:bCs/>
                <w:szCs w:val="21"/>
              </w:rPr>
              <w:t>（二）算力提供方式</w:t>
            </w:r>
          </w:p>
          <w:p w14:paraId="01A482E3">
            <w:pPr>
              <w:pStyle w:val="8"/>
              <w:spacing w:line="380" w:lineRule="exact"/>
              <w:ind w:firstLine="0"/>
              <w:rPr>
                <w:rFonts w:hint="eastAsia" w:ascii="宋体" w:hAnsi="宋体" w:cs="宋体"/>
                <w:szCs w:val="21"/>
              </w:rPr>
            </w:pPr>
            <w:r>
              <w:rPr>
                <w:rFonts w:hint="eastAsia" w:ascii="宋体" w:hAnsi="宋体" w:cs="宋体"/>
                <w:szCs w:val="21"/>
              </w:rPr>
              <w:t>部署相应的软件系统到算力服务器上，由算力服务器直接提供算力资源。</w:t>
            </w:r>
          </w:p>
          <w:p w14:paraId="29289463">
            <w:pPr>
              <w:pStyle w:val="8"/>
              <w:spacing w:line="380" w:lineRule="exact"/>
              <w:ind w:firstLine="0"/>
              <w:outlineLvl w:val="1"/>
              <w:rPr>
                <w:rFonts w:hint="eastAsia" w:ascii="宋体" w:hAnsi="宋体" w:cs="宋体"/>
                <w:b/>
                <w:bCs/>
                <w:szCs w:val="21"/>
              </w:rPr>
            </w:pPr>
            <w:r>
              <w:rPr>
                <w:rFonts w:hint="eastAsia" w:ascii="宋体" w:hAnsi="宋体" w:cs="宋体"/>
                <w:b/>
                <w:bCs/>
                <w:szCs w:val="21"/>
              </w:rPr>
              <w:t>（三）机房管理方式</w:t>
            </w:r>
          </w:p>
          <w:p w14:paraId="6FAE9AF9">
            <w:pPr>
              <w:pStyle w:val="8"/>
              <w:spacing w:line="380" w:lineRule="exact"/>
              <w:ind w:firstLine="0"/>
              <w:rPr>
                <w:rFonts w:hint="eastAsia" w:ascii="宋体" w:hAnsi="宋体" w:cs="宋体"/>
                <w:szCs w:val="21"/>
              </w:rPr>
            </w:pPr>
            <w:r>
              <w:rPr>
                <w:rFonts w:hint="eastAsia" w:ascii="宋体" w:hAnsi="宋体" w:cs="宋体"/>
                <w:szCs w:val="21"/>
              </w:rPr>
              <w:t>本分标租赁的设备均部署到采购人指定的机房中，中标服务商在技术服务过程中需严格遵守采购人的机房管理规定，按规范、制度、流程等要求进行机房内软硬件的运维和管理。</w:t>
            </w:r>
          </w:p>
          <w:p w14:paraId="2B6EB509">
            <w:pPr>
              <w:pStyle w:val="8"/>
              <w:spacing w:line="380" w:lineRule="exact"/>
              <w:ind w:firstLine="0"/>
              <w:outlineLvl w:val="1"/>
              <w:rPr>
                <w:rFonts w:hint="eastAsia" w:ascii="宋体" w:hAnsi="宋体" w:cs="宋体"/>
                <w:b/>
                <w:bCs/>
                <w:szCs w:val="21"/>
              </w:rPr>
            </w:pPr>
            <w:r>
              <w:rPr>
                <w:rFonts w:hint="eastAsia" w:ascii="宋体" w:hAnsi="宋体" w:cs="宋体"/>
                <w:b/>
                <w:bCs/>
                <w:szCs w:val="21"/>
              </w:rPr>
              <w:t>（四）机房安全保障措施</w:t>
            </w:r>
          </w:p>
          <w:p w14:paraId="462FCEF6">
            <w:pPr>
              <w:pStyle w:val="8"/>
              <w:spacing w:line="380" w:lineRule="exact"/>
              <w:ind w:firstLine="0"/>
              <w:rPr>
                <w:rFonts w:hint="eastAsia" w:ascii="宋体" w:hAnsi="宋体" w:cs="宋体"/>
                <w:szCs w:val="21"/>
              </w:rPr>
            </w:pPr>
            <w:r>
              <w:rPr>
                <w:rFonts w:hint="eastAsia" w:ascii="宋体" w:hAnsi="宋体" w:cs="宋体"/>
                <w:szCs w:val="21"/>
              </w:rPr>
              <w:t>中标服务商实施人员必须严格遵守机房安全管理与保障要求，包括人身安全管理、消防安全管理、用电安全管理、设施设备安全管理、信息安全管理等。</w:t>
            </w:r>
          </w:p>
          <w:p w14:paraId="01A53B16">
            <w:pPr>
              <w:pStyle w:val="8"/>
              <w:spacing w:line="380" w:lineRule="exact"/>
              <w:ind w:firstLine="0"/>
              <w:outlineLvl w:val="1"/>
              <w:rPr>
                <w:rFonts w:hint="eastAsia" w:ascii="宋体" w:hAnsi="宋体" w:cs="宋体"/>
                <w:b/>
                <w:bCs/>
                <w:szCs w:val="21"/>
              </w:rPr>
            </w:pPr>
            <w:r>
              <w:rPr>
                <w:rFonts w:hint="eastAsia" w:ascii="宋体" w:hAnsi="宋体" w:cs="宋体"/>
                <w:b/>
                <w:bCs/>
                <w:szCs w:val="21"/>
              </w:rPr>
              <w:t>（五）运维流程</w:t>
            </w:r>
          </w:p>
          <w:p w14:paraId="6644D015">
            <w:pPr>
              <w:pStyle w:val="8"/>
              <w:spacing w:line="380" w:lineRule="exact"/>
              <w:ind w:firstLine="0"/>
              <w:rPr>
                <w:rFonts w:hint="eastAsia" w:ascii="宋体" w:hAnsi="宋体" w:cs="宋体"/>
                <w:szCs w:val="21"/>
              </w:rPr>
            </w:pPr>
            <w:r>
              <w:rPr>
                <w:rFonts w:hint="eastAsia" w:ascii="宋体" w:hAnsi="宋体" w:cs="宋体"/>
                <w:szCs w:val="21"/>
              </w:rPr>
              <w:t>中标服务商实施人员必须严格遵守运维流程开展相关工作。主要包括事件管理流程、问题管理流程、变更管理流程、应急处理流程、出入机房管理流程、来访参观管理流程、设备提前报废流程、设备提前报废流程、工程验收流程及资源管理流程等。</w:t>
            </w:r>
          </w:p>
          <w:p w14:paraId="36DC37D1">
            <w:pPr>
              <w:pStyle w:val="8"/>
              <w:spacing w:line="380" w:lineRule="exact"/>
              <w:ind w:firstLine="0"/>
              <w:rPr>
                <w:rFonts w:hint="eastAsia" w:ascii="宋体" w:hAnsi="宋体" w:cs="宋体"/>
                <w:szCs w:val="21"/>
              </w:rPr>
            </w:pPr>
          </w:p>
          <w:p w14:paraId="1F15DD3C">
            <w:pPr>
              <w:pStyle w:val="8"/>
              <w:spacing w:line="380" w:lineRule="exact"/>
              <w:ind w:firstLine="0"/>
              <w:jc w:val="left"/>
              <w:outlineLvl w:val="0"/>
              <w:rPr>
                <w:rFonts w:hint="eastAsia" w:ascii="宋体" w:hAnsi="宋体" w:cs="宋体"/>
                <w:b/>
                <w:bCs/>
                <w:szCs w:val="21"/>
              </w:rPr>
            </w:pPr>
            <w:r>
              <w:rPr>
                <w:rFonts w:hint="eastAsia" w:ascii="宋体" w:hAnsi="宋体" w:cs="宋体"/>
                <w:b/>
                <w:bCs/>
                <w:szCs w:val="21"/>
              </w:rPr>
              <w:t>四、安全与合规需求</w:t>
            </w:r>
          </w:p>
          <w:p w14:paraId="3D5101B8">
            <w:pPr>
              <w:pStyle w:val="8"/>
              <w:spacing w:line="380" w:lineRule="exact"/>
              <w:ind w:firstLine="0"/>
              <w:jc w:val="left"/>
              <w:outlineLvl w:val="1"/>
              <w:rPr>
                <w:rFonts w:hint="eastAsia" w:ascii="宋体" w:hAnsi="宋体" w:cs="宋体"/>
                <w:b/>
                <w:bCs/>
                <w:szCs w:val="21"/>
              </w:rPr>
            </w:pPr>
            <w:r>
              <w:rPr>
                <w:rFonts w:hint="eastAsia" w:ascii="宋体" w:hAnsi="宋体" w:cs="宋体"/>
                <w:b/>
                <w:bCs/>
                <w:szCs w:val="21"/>
              </w:rPr>
              <w:t>（一）安全等级保护需求</w:t>
            </w:r>
          </w:p>
          <w:p w14:paraId="3673B2F3">
            <w:pPr>
              <w:pStyle w:val="8"/>
              <w:spacing w:line="380" w:lineRule="exact"/>
              <w:ind w:firstLine="0"/>
              <w:rPr>
                <w:rFonts w:hint="eastAsia" w:ascii="宋体" w:hAnsi="宋体" w:cs="宋体"/>
                <w:szCs w:val="21"/>
              </w:rPr>
            </w:pPr>
            <w:r>
              <w:rPr>
                <w:rFonts w:hint="eastAsia" w:ascii="宋体" w:hAnsi="宋体" w:cs="宋体"/>
                <w:szCs w:val="21"/>
              </w:rPr>
              <w:t>本项目租赁的AI算力资源，需要配合相应系统按三级等保要求开展相应防护工作。</w:t>
            </w:r>
          </w:p>
          <w:p w14:paraId="5D897389">
            <w:pPr>
              <w:pStyle w:val="8"/>
              <w:spacing w:line="380" w:lineRule="exact"/>
              <w:ind w:firstLine="0"/>
              <w:outlineLvl w:val="1"/>
              <w:rPr>
                <w:rFonts w:hint="eastAsia" w:ascii="宋体" w:hAnsi="宋体" w:cs="宋体"/>
                <w:b/>
                <w:bCs/>
                <w:szCs w:val="21"/>
              </w:rPr>
            </w:pPr>
            <w:r>
              <w:rPr>
                <w:rFonts w:hint="eastAsia" w:ascii="宋体" w:hAnsi="宋体" w:cs="宋体"/>
                <w:b/>
                <w:bCs/>
                <w:szCs w:val="21"/>
              </w:rPr>
              <w:t>（二）密码应用需求</w:t>
            </w:r>
          </w:p>
          <w:p w14:paraId="69DF0F4B">
            <w:pPr>
              <w:pStyle w:val="8"/>
              <w:spacing w:line="380" w:lineRule="exact"/>
              <w:ind w:firstLine="0"/>
              <w:rPr>
                <w:rFonts w:hint="eastAsia" w:ascii="宋体" w:hAnsi="宋体" w:cs="宋体"/>
                <w:szCs w:val="21"/>
              </w:rPr>
            </w:pPr>
            <w:r>
              <w:rPr>
                <w:rFonts w:hint="eastAsia" w:ascii="宋体" w:hAnsi="宋体" w:cs="宋体"/>
                <w:szCs w:val="21"/>
              </w:rPr>
              <w:t>本项目租赁的AI算力资源，需要配合相应系统开展商密相关的应用及测评工作。</w:t>
            </w:r>
          </w:p>
          <w:p w14:paraId="597D2CE5">
            <w:pPr>
              <w:pStyle w:val="8"/>
              <w:spacing w:line="380" w:lineRule="exact"/>
              <w:ind w:firstLine="0"/>
              <w:outlineLvl w:val="1"/>
              <w:rPr>
                <w:rFonts w:hint="eastAsia" w:ascii="宋体" w:hAnsi="宋体" w:cs="宋体"/>
                <w:b/>
                <w:bCs/>
                <w:szCs w:val="21"/>
              </w:rPr>
            </w:pPr>
            <w:r>
              <w:rPr>
                <w:rFonts w:hint="eastAsia" w:ascii="宋体" w:hAnsi="宋体" w:cs="宋体"/>
                <w:b/>
                <w:bCs/>
                <w:szCs w:val="21"/>
              </w:rPr>
              <w:t>（三）安全可靠测评合规性需求</w:t>
            </w:r>
          </w:p>
          <w:p w14:paraId="0EF4374D">
            <w:pPr>
              <w:pStyle w:val="8"/>
              <w:spacing w:line="380" w:lineRule="exact"/>
              <w:ind w:firstLine="0"/>
              <w:rPr>
                <w:rFonts w:hint="eastAsia" w:ascii="宋体" w:hAnsi="宋体" w:cs="宋体"/>
                <w:szCs w:val="21"/>
              </w:rPr>
            </w:pPr>
            <w:r>
              <w:rPr>
                <w:rFonts w:hint="eastAsia" w:ascii="宋体" w:hAnsi="宋体" w:cs="宋体"/>
                <w:szCs w:val="21"/>
              </w:rPr>
              <w:t>本项目租赁的软硬件资源须符合国家与广西壮族自治区安全可靠测评相关的要求，服务期内，中标服务商须根据国家或广西壮族自治区要求配合开展适配等相关工作。</w:t>
            </w:r>
          </w:p>
          <w:p w14:paraId="21FE07CA">
            <w:pPr>
              <w:pStyle w:val="8"/>
              <w:spacing w:line="380" w:lineRule="exact"/>
              <w:ind w:firstLine="0"/>
              <w:rPr>
                <w:rFonts w:hint="eastAsia" w:ascii="宋体" w:hAnsi="宋体" w:cs="宋体"/>
                <w:szCs w:val="21"/>
              </w:rPr>
            </w:pPr>
          </w:p>
          <w:p w14:paraId="70CB4923">
            <w:pPr>
              <w:pStyle w:val="8"/>
              <w:spacing w:line="380" w:lineRule="exact"/>
              <w:ind w:firstLine="0"/>
              <w:outlineLvl w:val="0"/>
              <w:rPr>
                <w:rFonts w:hint="eastAsia" w:ascii="宋体" w:hAnsi="宋体" w:cs="宋体"/>
                <w:b/>
                <w:bCs/>
                <w:szCs w:val="21"/>
              </w:rPr>
            </w:pPr>
            <w:r>
              <w:rPr>
                <w:rFonts w:hint="eastAsia" w:ascii="宋体" w:hAnsi="宋体" w:cs="宋体"/>
                <w:b/>
                <w:bCs/>
                <w:szCs w:val="21"/>
              </w:rPr>
              <w:t>五、服务评价打分及扣款</w:t>
            </w:r>
          </w:p>
          <w:p w14:paraId="0B48281E">
            <w:pPr>
              <w:spacing w:line="380" w:lineRule="exact"/>
              <w:rPr>
                <w:rFonts w:hint="eastAsia" w:ascii="宋体" w:hAnsi="宋体" w:cs="宋体"/>
                <w:szCs w:val="21"/>
              </w:rPr>
            </w:pPr>
            <w:r>
              <w:rPr>
                <w:rFonts w:hint="eastAsia" w:ascii="宋体" w:hAnsi="宋体" w:cs="宋体"/>
                <w:szCs w:val="21"/>
              </w:rPr>
              <w:t>服务评价指标及扣分规则如下表：</w:t>
            </w:r>
          </w:p>
          <w:p w14:paraId="3F162687">
            <w:pPr>
              <w:spacing w:line="380" w:lineRule="exact"/>
              <w:rPr>
                <w:rFonts w:hint="eastAsia" w:ascii="宋体" w:hAnsi="宋体" w:eastAsia="宋体" w:cs="宋体"/>
                <w:szCs w:val="21"/>
              </w:rPr>
            </w:pPr>
            <w:r>
              <w:rPr>
                <w:rFonts w:hint="eastAsia" w:ascii="宋体" w:hAnsi="宋体" w:eastAsia="宋体" w:cs="宋体"/>
                <w:szCs w:val="21"/>
              </w:rPr>
              <w:t>本项目考核分为四次实施，具体节点如下：</w:t>
            </w:r>
          </w:p>
          <w:p w14:paraId="3C12E9CC">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算力服务正式交付使用时；服务期满12个月后；服务期满24个月后；服务期满后。</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97"/>
              <w:gridCol w:w="649"/>
              <w:gridCol w:w="587"/>
              <w:gridCol w:w="1823"/>
              <w:gridCol w:w="849"/>
              <w:gridCol w:w="355"/>
              <w:gridCol w:w="597"/>
              <w:gridCol w:w="1664"/>
            </w:tblGrid>
            <w:tr w14:paraId="4258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shd w:val="clear" w:color="auto" w:fill="D7D7D7"/>
                  <w:vAlign w:val="center"/>
                </w:tcPr>
                <w:p w14:paraId="6B82DFBA">
                  <w:pPr>
                    <w:pStyle w:val="162"/>
                    <w:spacing w:line="380" w:lineRule="exact"/>
                    <w:rPr>
                      <w:rFonts w:hint="eastAsia" w:cs="宋体"/>
                      <w:b/>
                      <w:bCs/>
                      <w:color w:val="auto"/>
                    </w:rPr>
                  </w:pPr>
                  <w:r>
                    <w:rPr>
                      <w:rFonts w:hint="eastAsia" w:cs="宋体"/>
                      <w:b/>
                      <w:bCs/>
                      <w:color w:val="auto"/>
                    </w:rPr>
                    <w:t>一级指标</w:t>
                  </w:r>
                </w:p>
              </w:tc>
              <w:tc>
                <w:tcPr>
                  <w:tcW w:w="597" w:type="dxa"/>
                  <w:shd w:val="clear" w:color="auto" w:fill="D7D7D7"/>
                  <w:vAlign w:val="center"/>
                </w:tcPr>
                <w:p w14:paraId="2266BEA1">
                  <w:pPr>
                    <w:pStyle w:val="162"/>
                    <w:spacing w:line="380" w:lineRule="exact"/>
                    <w:rPr>
                      <w:rFonts w:hint="eastAsia" w:cs="宋体"/>
                      <w:b/>
                      <w:bCs/>
                      <w:color w:val="auto"/>
                    </w:rPr>
                  </w:pPr>
                  <w:r>
                    <w:rPr>
                      <w:rFonts w:hint="eastAsia" w:cs="宋体"/>
                      <w:b/>
                      <w:bCs/>
                      <w:color w:val="auto"/>
                    </w:rPr>
                    <w:t>标准分</w:t>
                  </w:r>
                </w:p>
              </w:tc>
              <w:tc>
                <w:tcPr>
                  <w:tcW w:w="649" w:type="dxa"/>
                  <w:shd w:val="clear" w:color="auto" w:fill="D7D7D7"/>
                  <w:vAlign w:val="center"/>
                </w:tcPr>
                <w:p w14:paraId="4ABF6E23">
                  <w:pPr>
                    <w:pStyle w:val="162"/>
                    <w:spacing w:line="380" w:lineRule="exact"/>
                    <w:rPr>
                      <w:rFonts w:hint="eastAsia" w:cs="宋体"/>
                      <w:b/>
                      <w:bCs/>
                      <w:color w:val="auto"/>
                    </w:rPr>
                  </w:pPr>
                  <w:r>
                    <w:rPr>
                      <w:rFonts w:hint="eastAsia" w:cs="宋体"/>
                      <w:b/>
                      <w:bCs/>
                      <w:color w:val="auto"/>
                    </w:rPr>
                    <w:t>二级指标</w:t>
                  </w:r>
                </w:p>
              </w:tc>
              <w:tc>
                <w:tcPr>
                  <w:tcW w:w="587" w:type="dxa"/>
                  <w:shd w:val="clear" w:color="auto" w:fill="D7D7D7"/>
                  <w:vAlign w:val="center"/>
                </w:tcPr>
                <w:p w14:paraId="0A164174">
                  <w:pPr>
                    <w:pStyle w:val="162"/>
                    <w:spacing w:line="380" w:lineRule="exact"/>
                    <w:rPr>
                      <w:rFonts w:hint="eastAsia" w:cs="宋体"/>
                      <w:b/>
                      <w:bCs/>
                      <w:color w:val="auto"/>
                    </w:rPr>
                  </w:pPr>
                  <w:r>
                    <w:rPr>
                      <w:rFonts w:hint="eastAsia" w:cs="宋体"/>
                      <w:b/>
                      <w:bCs/>
                      <w:color w:val="auto"/>
                    </w:rPr>
                    <w:t>标准分</w:t>
                  </w:r>
                </w:p>
              </w:tc>
              <w:tc>
                <w:tcPr>
                  <w:tcW w:w="1823" w:type="dxa"/>
                  <w:shd w:val="clear" w:color="auto" w:fill="D7D7D7"/>
                  <w:vAlign w:val="center"/>
                </w:tcPr>
                <w:p w14:paraId="2FA3C5F1">
                  <w:pPr>
                    <w:pStyle w:val="162"/>
                    <w:spacing w:line="380" w:lineRule="exact"/>
                    <w:rPr>
                      <w:rFonts w:hint="eastAsia" w:cs="宋体"/>
                      <w:b/>
                      <w:bCs/>
                      <w:color w:val="auto"/>
                    </w:rPr>
                  </w:pPr>
                  <w:r>
                    <w:rPr>
                      <w:rFonts w:hint="eastAsia" w:cs="宋体"/>
                      <w:b/>
                      <w:bCs/>
                      <w:color w:val="auto"/>
                    </w:rPr>
                    <w:t>指标说明</w:t>
                  </w:r>
                </w:p>
              </w:tc>
              <w:tc>
                <w:tcPr>
                  <w:tcW w:w="849" w:type="dxa"/>
                  <w:shd w:val="clear" w:color="auto" w:fill="D7D7D7"/>
                  <w:vAlign w:val="center"/>
                </w:tcPr>
                <w:p w14:paraId="5658C5EA">
                  <w:pPr>
                    <w:pStyle w:val="162"/>
                    <w:spacing w:line="380" w:lineRule="exact"/>
                    <w:rPr>
                      <w:rFonts w:hint="eastAsia" w:cs="宋体"/>
                      <w:b/>
                      <w:bCs/>
                      <w:color w:val="auto"/>
                    </w:rPr>
                  </w:pPr>
                  <w:r>
                    <w:rPr>
                      <w:rFonts w:hint="eastAsia" w:cs="宋体"/>
                      <w:b/>
                      <w:bCs/>
                      <w:color w:val="auto"/>
                    </w:rPr>
                    <w:t>考核方式</w:t>
                  </w:r>
                </w:p>
              </w:tc>
              <w:tc>
                <w:tcPr>
                  <w:tcW w:w="355" w:type="dxa"/>
                  <w:shd w:val="clear" w:color="auto" w:fill="D7D7D7"/>
                  <w:vAlign w:val="center"/>
                </w:tcPr>
                <w:p w14:paraId="0C9718C4">
                  <w:pPr>
                    <w:pStyle w:val="162"/>
                    <w:spacing w:line="380" w:lineRule="exact"/>
                    <w:rPr>
                      <w:rFonts w:hint="eastAsia" w:cs="宋体"/>
                      <w:b/>
                      <w:bCs/>
                      <w:color w:val="auto"/>
                    </w:rPr>
                  </w:pPr>
                  <w:r>
                    <w:rPr>
                      <w:rFonts w:hint="eastAsia" w:cs="宋体"/>
                      <w:b/>
                      <w:bCs/>
                      <w:color w:val="auto"/>
                    </w:rPr>
                    <w:t>得分</w:t>
                  </w:r>
                </w:p>
              </w:tc>
              <w:tc>
                <w:tcPr>
                  <w:tcW w:w="597" w:type="dxa"/>
                  <w:shd w:val="clear" w:color="auto" w:fill="D7D7D7"/>
                  <w:vAlign w:val="center"/>
                </w:tcPr>
                <w:p w14:paraId="65462DF2">
                  <w:pPr>
                    <w:pStyle w:val="162"/>
                    <w:spacing w:line="380" w:lineRule="exact"/>
                    <w:rPr>
                      <w:rFonts w:hint="eastAsia" w:cs="宋体"/>
                      <w:b/>
                      <w:bCs/>
                      <w:color w:val="auto"/>
                    </w:rPr>
                  </w:pPr>
                  <w:r>
                    <w:rPr>
                      <w:rFonts w:hint="eastAsia" w:cs="宋体"/>
                      <w:b/>
                      <w:bCs/>
                      <w:color w:val="auto"/>
                    </w:rPr>
                    <w:t>扣分说明</w:t>
                  </w:r>
                </w:p>
              </w:tc>
              <w:tc>
                <w:tcPr>
                  <w:tcW w:w="1664" w:type="dxa"/>
                  <w:shd w:val="clear" w:color="auto" w:fill="D7D7D7"/>
                  <w:vAlign w:val="center"/>
                </w:tcPr>
                <w:p w14:paraId="5B3C2013">
                  <w:pPr>
                    <w:pStyle w:val="162"/>
                    <w:spacing w:line="380" w:lineRule="exact"/>
                    <w:rPr>
                      <w:rFonts w:hint="eastAsia" w:cs="宋体"/>
                      <w:b/>
                      <w:bCs/>
                      <w:color w:val="auto"/>
                    </w:rPr>
                  </w:pPr>
                  <w:r>
                    <w:rPr>
                      <w:rFonts w:hint="eastAsia" w:cs="宋体"/>
                      <w:b/>
                      <w:bCs/>
                      <w:color w:val="auto"/>
                    </w:rPr>
                    <w:t>备注</w:t>
                  </w:r>
                </w:p>
              </w:tc>
            </w:tr>
            <w:tr w14:paraId="2D34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restart"/>
                  <w:vAlign w:val="center"/>
                </w:tcPr>
                <w:p w14:paraId="45A03D93">
                  <w:pPr>
                    <w:pStyle w:val="162"/>
                    <w:spacing w:line="380" w:lineRule="exact"/>
                    <w:rPr>
                      <w:rFonts w:hint="eastAsia" w:cs="宋体"/>
                      <w:color w:val="auto"/>
                    </w:rPr>
                  </w:pPr>
                  <w:r>
                    <w:rPr>
                      <w:rFonts w:hint="eastAsia" w:cs="宋体"/>
                      <w:color w:val="auto"/>
                    </w:rPr>
                    <w:t>履约材料质量</w:t>
                  </w:r>
                </w:p>
              </w:tc>
              <w:tc>
                <w:tcPr>
                  <w:tcW w:w="597" w:type="dxa"/>
                  <w:vMerge w:val="restart"/>
                  <w:vAlign w:val="center"/>
                </w:tcPr>
                <w:p w14:paraId="2AB09A81">
                  <w:pPr>
                    <w:pStyle w:val="162"/>
                    <w:spacing w:line="380" w:lineRule="exact"/>
                    <w:rPr>
                      <w:rFonts w:hint="eastAsia" w:cs="宋体"/>
                      <w:color w:val="auto"/>
                    </w:rPr>
                  </w:pPr>
                  <w:r>
                    <w:rPr>
                      <w:rFonts w:hint="eastAsia" w:cs="宋体"/>
                      <w:color w:val="auto"/>
                    </w:rPr>
                    <w:t>100</w:t>
                  </w:r>
                </w:p>
              </w:tc>
              <w:tc>
                <w:tcPr>
                  <w:tcW w:w="649" w:type="dxa"/>
                  <w:vMerge w:val="restart"/>
                  <w:vAlign w:val="center"/>
                </w:tcPr>
                <w:p w14:paraId="63BFD9F2">
                  <w:pPr>
                    <w:pStyle w:val="162"/>
                    <w:spacing w:line="380" w:lineRule="exact"/>
                    <w:rPr>
                      <w:rFonts w:hint="eastAsia" w:cs="宋体"/>
                      <w:color w:val="auto"/>
                    </w:rPr>
                  </w:pPr>
                  <w:r>
                    <w:rPr>
                      <w:rFonts w:hint="eastAsia" w:cs="宋体"/>
                      <w:color w:val="auto"/>
                    </w:rPr>
                    <w:t>履约清单材料</w:t>
                  </w:r>
                </w:p>
                <w:p w14:paraId="30A5D702">
                  <w:pPr>
                    <w:pStyle w:val="162"/>
                    <w:spacing w:line="380" w:lineRule="exact"/>
                    <w:rPr>
                      <w:rFonts w:hint="eastAsia" w:cs="宋体"/>
                      <w:color w:val="auto"/>
                    </w:rPr>
                  </w:pPr>
                </w:p>
              </w:tc>
              <w:tc>
                <w:tcPr>
                  <w:tcW w:w="587" w:type="dxa"/>
                  <w:vAlign w:val="center"/>
                </w:tcPr>
                <w:p w14:paraId="3228E8D0">
                  <w:pPr>
                    <w:pStyle w:val="162"/>
                    <w:spacing w:line="380" w:lineRule="exact"/>
                    <w:rPr>
                      <w:rFonts w:hint="eastAsia" w:cs="宋体"/>
                      <w:color w:val="auto"/>
                    </w:rPr>
                  </w:pPr>
                  <w:r>
                    <w:rPr>
                      <w:rFonts w:hint="eastAsia" w:cs="宋体"/>
                      <w:color w:val="auto"/>
                    </w:rPr>
                    <w:t>5</w:t>
                  </w:r>
                </w:p>
              </w:tc>
              <w:tc>
                <w:tcPr>
                  <w:tcW w:w="1823" w:type="dxa"/>
                  <w:vAlign w:val="center"/>
                </w:tcPr>
                <w:p w14:paraId="1C35CABB">
                  <w:pPr>
                    <w:pStyle w:val="162"/>
                    <w:spacing w:line="380" w:lineRule="exact"/>
                    <w:jc w:val="left"/>
                    <w:rPr>
                      <w:rFonts w:hint="eastAsia" w:cs="宋体"/>
                      <w:color w:val="auto"/>
                    </w:rPr>
                  </w:pPr>
                  <w:r>
                    <w:rPr>
                      <w:rFonts w:hint="eastAsia" w:cs="宋体"/>
                      <w:color w:val="auto"/>
                    </w:rPr>
                    <w:t>中标人须根据合同要求在合同签订后10日内提交履约清单并由监理单位审核通过，若未按时交付，每逾期1天扣0.1分，扣完即止。</w:t>
                  </w:r>
                </w:p>
              </w:tc>
              <w:tc>
                <w:tcPr>
                  <w:tcW w:w="849" w:type="dxa"/>
                  <w:vAlign w:val="center"/>
                </w:tcPr>
                <w:p w14:paraId="58DB5534">
                  <w:pPr>
                    <w:pStyle w:val="162"/>
                    <w:spacing w:line="380" w:lineRule="exact"/>
                    <w:rPr>
                      <w:rFonts w:hint="eastAsia" w:cs="宋体"/>
                      <w:color w:val="auto"/>
                    </w:rPr>
                  </w:pPr>
                  <w:r>
                    <w:rPr>
                      <w:rFonts w:hint="eastAsia" w:cs="宋体"/>
                      <w:color w:val="auto"/>
                    </w:rPr>
                    <w:t>以监理单位审核通过为准</w:t>
                  </w:r>
                </w:p>
              </w:tc>
              <w:tc>
                <w:tcPr>
                  <w:tcW w:w="355" w:type="dxa"/>
                  <w:vAlign w:val="center"/>
                </w:tcPr>
                <w:p w14:paraId="19B7F98D">
                  <w:pPr>
                    <w:pStyle w:val="162"/>
                    <w:spacing w:line="380" w:lineRule="exact"/>
                    <w:rPr>
                      <w:rFonts w:hint="eastAsia" w:cs="宋体"/>
                      <w:color w:val="auto"/>
                    </w:rPr>
                  </w:pPr>
                </w:p>
              </w:tc>
              <w:tc>
                <w:tcPr>
                  <w:tcW w:w="597" w:type="dxa"/>
                  <w:vAlign w:val="center"/>
                </w:tcPr>
                <w:p w14:paraId="431C6AFE">
                  <w:pPr>
                    <w:pStyle w:val="162"/>
                    <w:spacing w:line="380" w:lineRule="exact"/>
                    <w:rPr>
                      <w:rFonts w:hint="eastAsia" w:cs="宋体"/>
                      <w:color w:val="auto"/>
                    </w:rPr>
                  </w:pPr>
                </w:p>
              </w:tc>
              <w:tc>
                <w:tcPr>
                  <w:tcW w:w="1664" w:type="dxa"/>
                  <w:vAlign w:val="center"/>
                </w:tcPr>
                <w:p w14:paraId="7BB9B5E1">
                  <w:pPr>
                    <w:pStyle w:val="162"/>
                    <w:spacing w:line="380" w:lineRule="exact"/>
                    <w:jc w:val="left"/>
                    <w:rPr>
                      <w:rFonts w:hint="eastAsia" w:cs="宋体"/>
                      <w:color w:val="auto"/>
                    </w:rPr>
                  </w:pPr>
                </w:p>
              </w:tc>
            </w:tr>
            <w:tr w14:paraId="1649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5" w:type="dxa"/>
                  <w:vMerge w:val="continue"/>
                  <w:vAlign w:val="center"/>
                </w:tcPr>
                <w:p w14:paraId="00B16674">
                  <w:pPr>
                    <w:pStyle w:val="162"/>
                    <w:spacing w:line="380" w:lineRule="exact"/>
                    <w:rPr>
                      <w:rFonts w:hint="eastAsia" w:cs="宋体"/>
                      <w:color w:val="auto"/>
                    </w:rPr>
                  </w:pPr>
                </w:p>
              </w:tc>
              <w:tc>
                <w:tcPr>
                  <w:tcW w:w="597" w:type="dxa"/>
                  <w:vMerge w:val="continue"/>
                  <w:vAlign w:val="center"/>
                </w:tcPr>
                <w:p w14:paraId="6F425742">
                  <w:pPr>
                    <w:pStyle w:val="162"/>
                    <w:spacing w:line="380" w:lineRule="exact"/>
                    <w:rPr>
                      <w:rFonts w:hint="eastAsia" w:cs="宋体"/>
                      <w:color w:val="auto"/>
                    </w:rPr>
                  </w:pPr>
                </w:p>
              </w:tc>
              <w:tc>
                <w:tcPr>
                  <w:tcW w:w="649" w:type="dxa"/>
                  <w:vMerge w:val="continue"/>
                  <w:vAlign w:val="center"/>
                </w:tcPr>
                <w:p w14:paraId="33C4BD95">
                  <w:pPr>
                    <w:pStyle w:val="162"/>
                    <w:spacing w:line="380" w:lineRule="exact"/>
                    <w:rPr>
                      <w:rFonts w:hint="eastAsia" w:cs="宋体"/>
                      <w:color w:val="auto"/>
                    </w:rPr>
                  </w:pPr>
                </w:p>
              </w:tc>
              <w:tc>
                <w:tcPr>
                  <w:tcW w:w="587" w:type="dxa"/>
                  <w:vAlign w:val="center"/>
                </w:tcPr>
                <w:p w14:paraId="59014C7E">
                  <w:pPr>
                    <w:pStyle w:val="162"/>
                    <w:spacing w:line="380" w:lineRule="exact"/>
                    <w:rPr>
                      <w:rFonts w:hint="eastAsia" w:cs="宋体"/>
                      <w:color w:val="auto"/>
                    </w:rPr>
                  </w:pPr>
                  <w:r>
                    <w:rPr>
                      <w:rFonts w:hint="eastAsia" w:cs="宋体"/>
                      <w:color w:val="auto"/>
                    </w:rPr>
                    <w:t>5</w:t>
                  </w:r>
                </w:p>
              </w:tc>
              <w:tc>
                <w:tcPr>
                  <w:tcW w:w="1823" w:type="dxa"/>
                  <w:vAlign w:val="center"/>
                </w:tcPr>
                <w:p w14:paraId="3FD45261">
                  <w:pPr>
                    <w:pStyle w:val="162"/>
                    <w:spacing w:line="380" w:lineRule="exact"/>
                    <w:jc w:val="left"/>
                    <w:rPr>
                      <w:rFonts w:hint="eastAsia" w:cs="宋体"/>
                      <w:color w:val="auto"/>
                    </w:rPr>
                  </w:pPr>
                  <w:r>
                    <w:rPr>
                      <w:rFonts w:hint="eastAsia" w:cs="宋体"/>
                      <w:color w:val="auto"/>
                    </w:rPr>
                    <w:t>中标人须根据履约清单要求按时提交履约材料，若未按时交付，每逾期1天扣0.1分，扣完即止。</w:t>
                  </w:r>
                </w:p>
              </w:tc>
              <w:tc>
                <w:tcPr>
                  <w:tcW w:w="849" w:type="dxa"/>
                  <w:vAlign w:val="center"/>
                </w:tcPr>
                <w:p w14:paraId="4FC62174">
                  <w:pPr>
                    <w:pStyle w:val="162"/>
                    <w:spacing w:line="380" w:lineRule="exact"/>
                    <w:rPr>
                      <w:rFonts w:hint="eastAsia" w:cs="宋体"/>
                      <w:color w:val="auto"/>
                    </w:rPr>
                  </w:pPr>
                  <w:r>
                    <w:rPr>
                      <w:rFonts w:hint="eastAsia" w:cs="宋体"/>
                      <w:color w:val="auto"/>
                    </w:rPr>
                    <w:t>以监理单位审核确认</w:t>
                  </w:r>
                </w:p>
              </w:tc>
              <w:tc>
                <w:tcPr>
                  <w:tcW w:w="355" w:type="dxa"/>
                  <w:vAlign w:val="center"/>
                </w:tcPr>
                <w:p w14:paraId="74C7A6B5">
                  <w:pPr>
                    <w:pStyle w:val="162"/>
                    <w:spacing w:line="380" w:lineRule="exact"/>
                    <w:rPr>
                      <w:rFonts w:hint="eastAsia" w:cs="宋体"/>
                      <w:color w:val="auto"/>
                    </w:rPr>
                  </w:pPr>
                </w:p>
              </w:tc>
              <w:tc>
                <w:tcPr>
                  <w:tcW w:w="597" w:type="dxa"/>
                  <w:vAlign w:val="center"/>
                </w:tcPr>
                <w:p w14:paraId="10EACF5E">
                  <w:pPr>
                    <w:pStyle w:val="162"/>
                    <w:spacing w:line="380" w:lineRule="exact"/>
                    <w:rPr>
                      <w:rFonts w:hint="eastAsia" w:cs="宋体"/>
                      <w:color w:val="auto"/>
                    </w:rPr>
                  </w:pPr>
                </w:p>
              </w:tc>
              <w:tc>
                <w:tcPr>
                  <w:tcW w:w="1664" w:type="dxa"/>
                  <w:vAlign w:val="center"/>
                </w:tcPr>
                <w:p w14:paraId="1E43EA8D">
                  <w:pPr>
                    <w:pStyle w:val="162"/>
                    <w:spacing w:line="380" w:lineRule="exact"/>
                    <w:jc w:val="left"/>
                    <w:rPr>
                      <w:rFonts w:hint="eastAsia" w:cs="宋体"/>
                      <w:color w:val="auto"/>
                    </w:rPr>
                  </w:pPr>
                </w:p>
              </w:tc>
            </w:tr>
            <w:tr w14:paraId="3B2E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6D605052">
                  <w:pPr>
                    <w:pStyle w:val="162"/>
                    <w:spacing w:line="380" w:lineRule="exact"/>
                    <w:rPr>
                      <w:rFonts w:hint="eastAsia" w:cs="宋体"/>
                      <w:color w:val="auto"/>
                    </w:rPr>
                  </w:pPr>
                </w:p>
              </w:tc>
              <w:tc>
                <w:tcPr>
                  <w:tcW w:w="597" w:type="dxa"/>
                  <w:vMerge w:val="continue"/>
                  <w:vAlign w:val="center"/>
                </w:tcPr>
                <w:p w14:paraId="526141E8">
                  <w:pPr>
                    <w:pStyle w:val="162"/>
                    <w:spacing w:line="380" w:lineRule="exact"/>
                    <w:rPr>
                      <w:rFonts w:hint="eastAsia" w:cs="宋体"/>
                      <w:color w:val="auto"/>
                    </w:rPr>
                  </w:pPr>
                </w:p>
              </w:tc>
              <w:tc>
                <w:tcPr>
                  <w:tcW w:w="649" w:type="dxa"/>
                  <w:vMerge w:val="continue"/>
                  <w:vAlign w:val="center"/>
                </w:tcPr>
                <w:p w14:paraId="6B6D9580">
                  <w:pPr>
                    <w:pStyle w:val="162"/>
                    <w:spacing w:line="380" w:lineRule="exact"/>
                    <w:rPr>
                      <w:rFonts w:hint="eastAsia" w:cs="宋体"/>
                      <w:color w:val="auto"/>
                    </w:rPr>
                  </w:pPr>
                </w:p>
              </w:tc>
              <w:tc>
                <w:tcPr>
                  <w:tcW w:w="587" w:type="dxa"/>
                  <w:vAlign w:val="center"/>
                </w:tcPr>
                <w:p w14:paraId="37880FB1">
                  <w:pPr>
                    <w:pStyle w:val="162"/>
                    <w:spacing w:line="380" w:lineRule="exact"/>
                    <w:rPr>
                      <w:rFonts w:hint="eastAsia" w:cs="宋体"/>
                      <w:color w:val="auto"/>
                    </w:rPr>
                  </w:pPr>
                  <w:r>
                    <w:rPr>
                      <w:rFonts w:hint="eastAsia" w:cs="宋体"/>
                      <w:color w:val="auto"/>
                    </w:rPr>
                    <w:t>5</w:t>
                  </w:r>
                </w:p>
              </w:tc>
              <w:tc>
                <w:tcPr>
                  <w:tcW w:w="1823" w:type="dxa"/>
                  <w:vAlign w:val="center"/>
                </w:tcPr>
                <w:p w14:paraId="280E3A67">
                  <w:pPr>
                    <w:pStyle w:val="162"/>
                    <w:spacing w:line="380" w:lineRule="exact"/>
                    <w:jc w:val="left"/>
                    <w:rPr>
                      <w:rFonts w:hint="eastAsia" w:cs="宋体"/>
                      <w:color w:val="auto"/>
                    </w:rPr>
                  </w:pPr>
                  <w:r>
                    <w:rPr>
                      <w:rFonts w:hint="eastAsia" w:cs="宋体"/>
                      <w:color w:val="auto"/>
                    </w:rPr>
                    <w:t>中标人提交的履约材料须满足采购人的规范性要求，若文档材料未按模板要求（内容、字体、章节等）进行编制，每发现1处扣0.1分。</w:t>
                  </w:r>
                </w:p>
              </w:tc>
              <w:tc>
                <w:tcPr>
                  <w:tcW w:w="849" w:type="dxa"/>
                  <w:vAlign w:val="center"/>
                </w:tcPr>
                <w:p w14:paraId="5815BACF">
                  <w:pPr>
                    <w:pStyle w:val="162"/>
                    <w:spacing w:line="380" w:lineRule="exact"/>
                    <w:rPr>
                      <w:rFonts w:hint="eastAsia" w:cs="宋体"/>
                      <w:color w:val="auto"/>
                    </w:rPr>
                  </w:pPr>
                  <w:r>
                    <w:rPr>
                      <w:rFonts w:hint="eastAsia" w:cs="宋体"/>
                      <w:color w:val="auto"/>
                    </w:rPr>
                    <w:t>以监理单位审核确认</w:t>
                  </w:r>
                </w:p>
              </w:tc>
              <w:tc>
                <w:tcPr>
                  <w:tcW w:w="355" w:type="dxa"/>
                  <w:vAlign w:val="center"/>
                </w:tcPr>
                <w:p w14:paraId="3FC0FD0E">
                  <w:pPr>
                    <w:pStyle w:val="162"/>
                    <w:spacing w:line="380" w:lineRule="exact"/>
                    <w:rPr>
                      <w:rFonts w:hint="eastAsia" w:cs="宋体"/>
                      <w:color w:val="auto"/>
                    </w:rPr>
                  </w:pPr>
                </w:p>
              </w:tc>
              <w:tc>
                <w:tcPr>
                  <w:tcW w:w="597" w:type="dxa"/>
                  <w:vAlign w:val="center"/>
                </w:tcPr>
                <w:p w14:paraId="09E6113B">
                  <w:pPr>
                    <w:pStyle w:val="162"/>
                    <w:spacing w:line="380" w:lineRule="exact"/>
                    <w:rPr>
                      <w:rFonts w:hint="eastAsia" w:cs="宋体"/>
                      <w:color w:val="auto"/>
                    </w:rPr>
                  </w:pPr>
                </w:p>
              </w:tc>
              <w:tc>
                <w:tcPr>
                  <w:tcW w:w="1664" w:type="dxa"/>
                  <w:vAlign w:val="center"/>
                </w:tcPr>
                <w:p w14:paraId="0667C4B7">
                  <w:pPr>
                    <w:pStyle w:val="162"/>
                    <w:spacing w:line="380" w:lineRule="exact"/>
                    <w:jc w:val="left"/>
                    <w:rPr>
                      <w:rFonts w:hint="eastAsia" w:cs="宋体"/>
                      <w:color w:val="auto"/>
                    </w:rPr>
                  </w:pPr>
                </w:p>
              </w:tc>
            </w:tr>
            <w:tr w14:paraId="0444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13896D31">
                  <w:pPr>
                    <w:pStyle w:val="162"/>
                    <w:spacing w:line="380" w:lineRule="exact"/>
                    <w:rPr>
                      <w:rFonts w:hint="eastAsia" w:cs="宋体"/>
                      <w:color w:val="auto"/>
                    </w:rPr>
                  </w:pPr>
                </w:p>
              </w:tc>
              <w:tc>
                <w:tcPr>
                  <w:tcW w:w="597" w:type="dxa"/>
                  <w:vMerge w:val="continue"/>
                  <w:vAlign w:val="center"/>
                </w:tcPr>
                <w:p w14:paraId="108B7C3B">
                  <w:pPr>
                    <w:pStyle w:val="162"/>
                    <w:spacing w:line="380" w:lineRule="exact"/>
                    <w:rPr>
                      <w:rFonts w:hint="eastAsia" w:cs="宋体"/>
                      <w:color w:val="auto"/>
                    </w:rPr>
                  </w:pPr>
                </w:p>
              </w:tc>
              <w:tc>
                <w:tcPr>
                  <w:tcW w:w="649" w:type="dxa"/>
                  <w:vMerge w:val="continue"/>
                  <w:vAlign w:val="center"/>
                </w:tcPr>
                <w:p w14:paraId="0EC9B930">
                  <w:pPr>
                    <w:pStyle w:val="162"/>
                    <w:spacing w:line="380" w:lineRule="exact"/>
                    <w:rPr>
                      <w:rFonts w:hint="eastAsia" w:cs="宋体"/>
                      <w:color w:val="auto"/>
                    </w:rPr>
                  </w:pPr>
                </w:p>
              </w:tc>
              <w:tc>
                <w:tcPr>
                  <w:tcW w:w="587" w:type="dxa"/>
                  <w:vAlign w:val="center"/>
                </w:tcPr>
                <w:p w14:paraId="1FBAC25B">
                  <w:pPr>
                    <w:pStyle w:val="162"/>
                    <w:spacing w:line="380" w:lineRule="exact"/>
                    <w:rPr>
                      <w:rFonts w:hint="eastAsia" w:cs="宋体"/>
                      <w:color w:val="auto"/>
                    </w:rPr>
                  </w:pPr>
                  <w:r>
                    <w:rPr>
                      <w:rFonts w:hint="eastAsia" w:cs="宋体"/>
                      <w:color w:val="auto"/>
                    </w:rPr>
                    <w:t>5</w:t>
                  </w:r>
                </w:p>
              </w:tc>
              <w:tc>
                <w:tcPr>
                  <w:tcW w:w="1823" w:type="dxa"/>
                  <w:vAlign w:val="center"/>
                </w:tcPr>
                <w:p w14:paraId="42509F52">
                  <w:pPr>
                    <w:pStyle w:val="162"/>
                    <w:spacing w:line="380" w:lineRule="exact"/>
                    <w:jc w:val="left"/>
                    <w:rPr>
                      <w:rFonts w:hint="eastAsia" w:cs="宋体"/>
                      <w:color w:val="auto"/>
                    </w:rPr>
                  </w:pPr>
                  <w:r>
                    <w:rPr>
                      <w:rFonts w:hint="eastAsia" w:cs="宋体"/>
                      <w:color w:val="auto"/>
                    </w:rPr>
                    <w:t>中标人提交的履约材料须满足采购人的质量要求，若交付物质量未达到要求，因以下情形每退回修改一次扣0.1分：</w:t>
                  </w:r>
                </w:p>
                <w:p w14:paraId="74D50E09">
                  <w:pPr>
                    <w:pStyle w:val="162"/>
                    <w:spacing w:line="380" w:lineRule="exact"/>
                    <w:jc w:val="left"/>
                    <w:rPr>
                      <w:rFonts w:hint="eastAsia" w:cs="宋体"/>
                      <w:color w:val="auto"/>
                    </w:rPr>
                  </w:pPr>
                  <w:r>
                    <w:rPr>
                      <w:rFonts w:hint="eastAsia" w:cs="宋体"/>
                      <w:color w:val="auto"/>
                    </w:rPr>
                    <w:t>1、文档（日期、内容等）有明显伪造嫌疑；</w:t>
                  </w:r>
                </w:p>
                <w:p w14:paraId="0214C218">
                  <w:pPr>
                    <w:pStyle w:val="162"/>
                    <w:spacing w:line="380" w:lineRule="exact"/>
                    <w:jc w:val="left"/>
                    <w:rPr>
                      <w:rFonts w:hint="eastAsia" w:cs="宋体"/>
                      <w:color w:val="auto"/>
                    </w:rPr>
                  </w:pPr>
                  <w:r>
                    <w:rPr>
                      <w:rFonts w:hint="eastAsia" w:cs="宋体"/>
                      <w:color w:val="auto"/>
                    </w:rPr>
                    <w:t>2、文档有明显逻辑错误；</w:t>
                  </w:r>
                </w:p>
                <w:p w14:paraId="3F27AF59">
                  <w:pPr>
                    <w:pStyle w:val="162"/>
                    <w:spacing w:line="380" w:lineRule="exact"/>
                    <w:jc w:val="left"/>
                    <w:rPr>
                      <w:rFonts w:hint="eastAsia" w:cs="宋体"/>
                      <w:color w:val="auto"/>
                    </w:rPr>
                  </w:pPr>
                  <w:r>
                    <w:rPr>
                      <w:rFonts w:hint="eastAsia" w:cs="宋体"/>
                      <w:color w:val="auto"/>
                    </w:rPr>
                    <w:t>3、图文明显不符；</w:t>
                  </w:r>
                </w:p>
                <w:p w14:paraId="2DCCE58C">
                  <w:pPr>
                    <w:pStyle w:val="162"/>
                    <w:spacing w:line="380" w:lineRule="exact"/>
                    <w:jc w:val="left"/>
                    <w:rPr>
                      <w:rFonts w:hint="eastAsia" w:cs="宋体"/>
                      <w:color w:val="auto"/>
                    </w:rPr>
                  </w:pPr>
                  <w:r>
                    <w:rPr>
                      <w:rFonts w:hint="eastAsia" w:cs="宋体"/>
                      <w:color w:val="auto"/>
                    </w:rPr>
                    <w:t>4、文档中未按要求提供佐证数据或截图；</w:t>
                  </w:r>
                </w:p>
                <w:p w14:paraId="0675A91F">
                  <w:pPr>
                    <w:pStyle w:val="162"/>
                    <w:spacing w:line="380" w:lineRule="exact"/>
                    <w:jc w:val="left"/>
                    <w:rPr>
                      <w:rFonts w:hint="eastAsia" w:cs="宋体"/>
                      <w:color w:val="auto"/>
                    </w:rPr>
                  </w:pPr>
                  <w:r>
                    <w:rPr>
                      <w:rFonts w:hint="eastAsia" w:cs="宋体"/>
                      <w:color w:val="auto"/>
                    </w:rPr>
                    <w:t>5、采购人对文档质量的其他相关要求；</w:t>
                  </w:r>
                </w:p>
                <w:p w14:paraId="00C4A132">
                  <w:pPr>
                    <w:pStyle w:val="162"/>
                    <w:spacing w:line="380" w:lineRule="exact"/>
                    <w:jc w:val="left"/>
                    <w:rPr>
                      <w:rFonts w:hint="eastAsia" w:cs="宋体"/>
                      <w:color w:val="auto"/>
                    </w:rPr>
                  </w:pPr>
                  <w:r>
                    <w:rPr>
                      <w:rFonts w:hint="eastAsia" w:cs="宋体"/>
                      <w:color w:val="auto"/>
                    </w:rPr>
                    <w:t>6、需要业务部门确认的交付物未按要求确认。</w:t>
                  </w:r>
                </w:p>
              </w:tc>
              <w:tc>
                <w:tcPr>
                  <w:tcW w:w="849" w:type="dxa"/>
                  <w:vAlign w:val="center"/>
                </w:tcPr>
                <w:p w14:paraId="5ED4E248">
                  <w:pPr>
                    <w:pStyle w:val="162"/>
                    <w:spacing w:line="380" w:lineRule="exact"/>
                    <w:rPr>
                      <w:rFonts w:hint="eastAsia" w:cs="宋体"/>
                      <w:color w:val="auto"/>
                    </w:rPr>
                  </w:pPr>
                  <w:r>
                    <w:rPr>
                      <w:rFonts w:hint="eastAsia" w:cs="宋体"/>
                      <w:color w:val="auto"/>
                    </w:rPr>
                    <w:t>以监理单位审核确认</w:t>
                  </w:r>
                </w:p>
              </w:tc>
              <w:tc>
                <w:tcPr>
                  <w:tcW w:w="355" w:type="dxa"/>
                  <w:vAlign w:val="center"/>
                </w:tcPr>
                <w:p w14:paraId="5B748DC0">
                  <w:pPr>
                    <w:pStyle w:val="162"/>
                    <w:spacing w:line="380" w:lineRule="exact"/>
                    <w:rPr>
                      <w:rFonts w:hint="eastAsia" w:cs="宋体"/>
                      <w:color w:val="auto"/>
                    </w:rPr>
                  </w:pPr>
                </w:p>
              </w:tc>
              <w:tc>
                <w:tcPr>
                  <w:tcW w:w="597" w:type="dxa"/>
                  <w:vAlign w:val="center"/>
                </w:tcPr>
                <w:p w14:paraId="260238F4">
                  <w:pPr>
                    <w:pStyle w:val="162"/>
                    <w:spacing w:line="380" w:lineRule="exact"/>
                    <w:rPr>
                      <w:rFonts w:hint="eastAsia" w:cs="宋体"/>
                      <w:color w:val="auto"/>
                    </w:rPr>
                  </w:pPr>
                </w:p>
              </w:tc>
              <w:tc>
                <w:tcPr>
                  <w:tcW w:w="1664" w:type="dxa"/>
                  <w:vAlign w:val="center"/>
                </w:tcPr>
                <w:p w14:paraId="521F769F">
                  <w:pPr>
                    <w:pStyle w:val="162"/>
                    <w:spacing w:line="380" w:lineRule="exact"/>
                    <w:jc w:val="left"/>
                    <w:rPr>
                      <w:rFonts w:hint="eastAsia" w:cs="宋体"/>
                      <w:color w:val="auto"/>
                    </w:rPr>
                  </w:pPr>
                </w:p>
              </w:tc>
            </w:tr>
            <w:tr w14:paraId="6E0D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0A0C2A34">
                  <w:pPr>
                    <w:pStyle w:val="162"/>
                    <w:spacing w:line="380" w:lineRule="exact"/>
                    <w:rPr>
                      <w:rFonts w:hint="eastAsia" w:cs="宋体"/>
                      <w:color w:val="auto"/>
                    </w:rPr>
                  </w:pPr>
                </w:p>
              </w:tc>
              <w:tc>
                <w:tcPr>
                  <w:tcW w:w="597" w:type="dxa"/>
                  <w:vMerge w:val="continue"/>
                  <w:vAlign w:val="center"/>
                </w:tcPr>
                <w:p w14:paraId="4493D8D0">
                  <w:pPr>
                    <w:pStyle w:val="162"/>
                    <w:spacing w:line="380" w:lineRule="exact"/>
                    <w:rPr>
                      <w:rFonts w:hint="eastAsia" w:cs="宋体"/>
                      <w:color w:val="auto"/>
                    </w:rPr>
                  </w:pPr>
                </w:p>
              </w:tc>
              <w:tc>
                <w:tcPr>
                  <w:tcW w:w="649" w:type="dxa"/>
                  <w:vMerge w:val="continue"/>
                  <w:vAlign w:val="center"/>
                </w:tcPr>
                <w:p w14:paraId="7045A324">
                  <w:pPr>
                    <w:pStyle w:val="162"/>
                    <w:spacing w:line="380" w:lineRule="exact"/>
                    <w:rPr>
                      <w:rFonts w:hint="eastAsia" w:cs="宋体"/>
                      <w:color w:val="auto"/>
                    </w:rPr>
                  </w:pPr>
                </w:p>
              </w:tc>
              <w:tc>
                <w:tcPr>
                  <w:tcW w:w="587" w:type="dxa"/>
                  <w:vAlign w:val="center"/>
                </w:tcPr>
                <w:p w14:paraId="4E4FF8A6">
                  <w:pPr>
                    <w:pStyle w:val="162"/>
                    <w:spacing w:line="380" w:lineRule="exact"/>
                    <w:rPr>
                      <w:rFonts w:cs="宋体"/>
                      <w:color w:val="auto"/>
                    </w:rPr>
                  </w:pPr>
                  <w:r>
                    <w:rPr>
                      <w:rFonts w:hint="eastAsia" w:cs="宋体"/>
                      <w:color w:val="auto"/>
                    </w:rPr>
                    <w:t>20</w:t>
                  </w:r>
                </w:p>
              </w:tc>
              <w:tc>
                <w:tcPr>
                  <w:tcW w:w="1823" w:type="dxa"/>
                  <w:vAlign w:val="center"/>
                </w:tcPr>
                <w:p w14:paraId="45A81E4A">
                  <w:pPr>
                    <w:pStyle w:val="162"/>
                    <w:spacing w:line="380" w:lineRule="exact"/>
                    <w:jc w:val="left"/>
                    <w:rPr>
                      <w:rFonts w:hint="eastAsia" w:cs="宋体"/>
                      <w:color w:val="auto"/>
                    </w:rPr>
                  </w:pPr>
                  <w:r>
                    <w:rPr>
                      <w:rFonts w:hint="eastAsia" w:cs="宋体"/>
                      <w:color w:val="auto"/>
                    </w:rPr>
                    <w:t>1、按以下情况进行扣分，扣分不设下限。</w:t>
                  </w:r>
                </w:p>
                <w:p w14:paraId="18785EA1">
                  <w:pPr>
                    <w:pStyle w:val="162"/>
                    <w:spacing w:line="380" w:lineRule="exact"/>
                    <w:jc w:val="left"/>
                    <w:rPr>
                      <w:rFonts w:hint="eastAsia" w:cs="宋体"/>
                      <w:color w:val="auto"/>
                    </w:rPr>
                  </w:pPr>
                  <w:r>
                    <w:rPr>
                      <w:rFonts w:hint="eastAsia" w:cs="宋体"/>
                      <w:color w:val="auto"/>
                    </w:rPr>
                    <w:t>2、拒不服从安全管理要求响应安全加固，每发生一次，扣5分。          3、有证据证明是因中标人原因（包括机房人员进出安全检查）导致的安全运行事件，每发生一次，扣5-20分（根据事件严重程度判定）。</w:t>
                  </w:r>
                </w:p>
              </w:tc>
              <w:tc>
                <w:tcPr>
                  <w:tcW w:w="849" w:type="dxa"/>
                  <w:vAlign w:val="center"/>
                </w:tcPr>
                <w:p w14:paraId="3BA004E0">
                  <w:pPr>
                    <w:pStyle w:val="162"/>
                    <w:spacing w:line="380" w:lineRule="exact"/>
                    <w:rPr>
                      <w:rFonts w:hint="eastAsia" w:cs="宋体"/>
                      <w:color w:val="auto"/>
                    </w:rPr>
                  </w:pPr>
                  <w:r>
                    <w:rPr>
                      <w:rFonts w:hint="eastAsia" w:cs="宋体"/>
                      <w:color w:val="auto"/>
                    </w:rPr>
                    <w:t>以采购人及监理单位在事件后出具的事故报告为准。</w:t>
                  </w:r>
                </w:p>
              </w:tc>
              <w:tc>
                <w:tcPr>
                  <w:tcW w:w="355" w:type="dxa"/>
                  <w:vAlign w:val="center"/>
                </w:tcPr>
                <w:p w14:paraId="6178995C">
                  <w:pPr>
                    <w:pStyle w:val="162"/>
                    <w:spacing w:line="380" w:lineRule="exact"/>
                    <w:rPr>
                      <w:rFonts w:hint="eastAsia" w:cs="宋体"/>
                      <w:color w:val="auto"/>
                    </w:rPr>
                  </w:pPr>
                </w:p>
              </w:tc>
              <w:tc>
                <w:tcPr>
                  <w:tcW w:w="597" w:type="dxa"/>
                  <w:vAlign w:val="center"/>
                </w:tcPr>
                <w:p w14:paraId="6A7F9E54">
                  <w:pPr>
                    <w:pStyle w:val="162"/>
                    <w:spacing w:line="380" w:lineRule="exact"/>
                    <w:rPr>
                      <w:rFonts w:hint="eastAsia" w:cs="宋体"/>
                      <w:color w:val="auto"/>
                    </w:rPr>
                  </w:pPr>
                </w:p>
              </w:tc>
              <w:tc>
                <w:tcPr>
                  <w:tcW w:w="1664" w:type="dxa"/>
                  <w:vAlign w:val="center"/>
                </w:tcPr>
                <w:p w14:paraId="3DD908C9">
                  <w:pPr>
                    <w:pStyle w:val="162"/>
                    <w:spacing w:line="380" w:lineRule="exact"/>
                    <w:jc w:val="left"/>
                    <w:rPr>
                      <w:rFonts w:hint="eastAsia" w:cs="宋体"/>
                      <w:color w:val="auto"/>
                    </w:rPr>
                  </w:pPr>
                  <w:r>
                    <w:rPr>
                      <w:rFonts w:hint="eastAsia" w:cs="宋体"/>
                      <w:color w:val="auto"/>
                    </w:rPr>
                    <w:t>安全运行事件类别包括：系统故障事件、有害程序事件、网络攻击事件、信息破坏事件、信息内容安全事件、灾害性事件、失泄密事件、拒不响应安全加固事件和其他安全运行事件；</w:t>
                  </w:r>
                </w:p>
                <w:p w14:paraId="57F11ADE">
                  <w:pPr>
                    <w:pStyle w:val="162"/>
                    <w:spacing w:line="380" w:lineRule="exact"/>
                    <w:jc w:val="left"/>
                    <w:rPr>
                      <w:rFonts w:hint="eastAsia" w:cs="宋体"/>
                      <w:color w:val="auto"/>
                    </w:rPr>
                  </w:pPr>
                  <w:r>
                    <w:rPr>
                      <w:rFonts w:hint="eastAsia" w:cs="宋体"/>
                      <w:color w:val="auto"/>
                    </w:rPr>
                    <w:t>因采购人或第三方导致的延迟或质量问题，或不可抗力（如封网、机房环境等）不参与评价。</w:t>
                  </w:r>
                </w:p>
              </w:tc>
            </w:tr>
            <w:tr w14:paraId="26C3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restart"/>
                  <w:vAlign w:val="center"/>
                </w:tcPr>
                <w:p w14:paraId="1B505E29">
                  <w:pPr>
                    <w:pStyle w:val="162"/>
                    <w:spacing w:line="380" w:lineRule="exact"/>
                    <w:rPr>
                      <w:rFonts w:hint="eastAsia" w:cs="宋体"/>
                      <w:color w:val="auto"/>
                    </w:rPr>
                  </w:pPr>
                  <w:r>
                    <w:rPr>
                      <w:rFonts w:hint="eastAsia" w:cs="宋体"/>
                      <w:color w:val="auto"/>
                    </w:rPr>
                    <w:t>维护服务支持度</w:t>
                  </w:r>
                </w:p>
              </w:tc>
              <w:tc>
                <w:tcPr>
                  <w:tcW w:w="597" w:type="dxa"/>
                  <w:vMerge w:val="continue"/>
                  <w:vAlign w:val="center"/>
                </w:tcPr>
                <w:p w14:paraId="753F68EA">
                  <w:pPr>
                    <w:pStyle w:val="162"/>
                    <w:spacing w:line="380" w:lineRule="exact"/>
                    <w:rPr>
                      <w:rFonts w:hint="eastAsia" w:cs="宋体"/>
                      <w:color w:val="auto"/>
                    </w:rPr>
                  </w:pPr>
                </w:p>
              </w:tc>
              <w:tc>
                <w:tcPr>
                  <w:tcW w:w="649" w:type="dxa"/>
                  <w:vAlign w:val="center"/>
                </w:tcPr>
                <w:p w14:paraId="42E243B5">
                  <w:pPr>
                    <w:pStyle w:val="162"/>
                    <w:spacing w:line="380" w:lineRule="exact"/>
                    <w:rPr>
                      <w:rFonts w:hint="eastAsia" w:cs="宋体"/>
                      <w:color w:val="auto"/>
                    </w:rPr>
                  </w:pPr>
                  <w:r>
                    <w:rPr>
                      <w:rFonts w:hint="eastAsia" w:cs="宋体"/>
                      <w:color w:val="auto"/>
                    </w:rPr>
                    <w:t>故障响应</w:t>
                  </w:r>
                </w:p>
              </w:tc>
              <w:tc>
                <w:tcPr>
                  <w:tcW w:w="587" w:type="dxa"/>
                  <w:vAlign w:val="center"/>
                </w:tcPr>
                <w:p w14:paraId="38AE0FCD">
                  <w:pPr>
                    <w:pStyle w:val="162"/>
                    <w:spacing w:line="380" w:lineRule="exact"/>
                    <w:rPr>
                      <w:rFonts w:hint="eastAsia" w:cs="宋体"/>
                      <w:color w:val="auto"/>
                    </w:rPr>
                  </w:pPr>
                  <w:r>
                    <w:rPr>
                      <w:rFonts w:hint="eastAsia" w:cs="宋体"/>
                      <w:color w:val="auto"/>
                    </w:rPr>
                    <w:t>40</w:t>
                  </w:r>
                </w:p>
              </w:tc>
              <w:tc>
                <w:tcPr>
                  <w:tcW w:w="1823" w:type="dxa"/>
                  <w:vAlign w:val="center"/>
                </w:tcPr>
                <w:p w14:paraId="4220469A">
                  <w:pPr>
                    <w:pStyle w:val="162"/>
                    <w:numPr>
                      <w:ilvl w:val="0"/>
                      <w:numId w:val="2"/>
                    </w:numPr>
                    <w:spacing w:line="380" w:lineRule="exact"/>
                    <w:jc w:val="left"/>
                    <w:rPr>
                      <w:rFonts w:hint="eastAsia" w:cs="宋体"/>
                      <w:color w:val="auto"/>
                    </w:rPr>
                  </w:pPr>
                  <w:r>
                    <w:rPr>
                      <w:rFonts w:hint="eastAsia" w:cs="宋体"/>
                      <w:color w:val="auto"/>
                    </w:rPr>
                    <w:t>按以下情况进行扣分，扣完即止。</w:t>
                  </w:r>
                </w:p>
                <w:p w14:paraId="0C793E44">
                  <w:pPr>
                    <w:pStyle w:val="162"/>
                    <w:spacing w:line="380" w:lineRule="exact"/>
                    <w:jc w:val="left"/>
                    <w:rPr>
                      <w:rFonts w:hint="eastAsia" w:cs="宋体"/>
                      <w:color w:val="auto"/>
                    </w:rPr>
                  </w:pPr>
                  <w:r>
                    <w:rPr>
                      <w:rFonts w:hint="eastAsia" w:cs="宋体"/>
                      <w:color w:val="auto"/>
                    </w:rPr>
                    <w:t>2、扣分情况包括：</w:t>
                  </w:r>
                </w:p>
                <w:p w14:paraId="3E2E8CF0">
                  <w:pPr>
                    <w:pStyle w:val="162"/>
                    <w:spacing w:line="380" w:lineRule="exact"/>
                    <w:jc w:val="left"/>
                    <w:rPr>
                      <w:rFonts w:hint="eastAsia" w:cs="宋体"/>
                      <w:color w:val="auto"/>
                    </w:rPr>
                  </w:pPr>
                  <w:r>
                    <w:rPr>
                      <w:rFonts w:hint="eastAsia" w:cs="宋体"/>
                      <w:color w:val="auto"/>
                    </w:rPr>
                    <w:t>发生系统运行故障时，不能根据技术服务要求及承诺及时提供电话应急支持或现场技术支持，每发生一次，扣1分；</w:t>
                  </w:r>
                </w:p>
                <w:p w14:paraId="49FEEF0A">
                  <w:pPr>
                    <w:pStyle w:val="162"/>
                    <w:spacing w:line="380" w:lineRule="exact"/>
                    <w:jc w:val="left"/>
                    <w:rPr>
                      <w:rFonts w:hint="eastAsia" w:cs="宋体"/>
                      <w:color w:val="auto"/>
                    </w:rPr>
                  </w:pPr>
                  <w:r>
                    <w:rPr>
                      <w:rFonts w:hint="eastAsia" w:cs="宋体"/>
                      <w:color w:val="auto"/>
                    </w:rPr>
                    <w:t>发生系统运行故障时，不能在规定时间内恢复正常运行，每发生一次，扣2分；</w:t>
                  </w:r>
                </w:p>
                <w:p w14:paraId="2DDC8ECF">
                  <w:pPr>
                    <w:pStyle w:val="162"/>
                    <w:spacing w:line="380" w:lineRule="exact"/>
                    <w:jc w:val="left"/>
                    <w:rPr>
                      <w:rFonts w:hint="eastAsia" w:cs="宋体"/>
                      <w:color w:val="auto"/>
                    </w:rPr>
                  </w:pPr>
                  <w:r>
                    <w:rPr>
                      <w:rFonts w:hint="eastAsia" w:cs="宋体"/>
                      <w:color w:val="auto"/>
                    </w:rPr>
                    <w:t>须在故障排除后3天内提交《故障处理及分析报告》，每逾期1天扣0.5分。</w:t>
                  </w:r>
                </w:p>
              </w:tc>
              <w:tc>
                <w:tcPr>
                  <w:tcW w:w="849" w:type="dxa"/>
                  <w:vAlign w:val="center"/>
                </w:tcPr>
                <w:p w14:paraId="00A5E47B">
                  <w:pPr>
                    <w:pStyle w:val="162"/>
                    <w:spacing w:line="380" w:lineRule="exact"/>
                    <w:rPr>
                      <w:rFonts w:hint="eastAsia" w:cs="宋体"/>
                      <w:color w:val="auto"/>
                    </w:rPr>
                  </w:pPr>
                  <w:r>
                    <w:rPr>
                      <w:rFonts w:hint="eastAsia" w:cs="宋体"/>
                      <w:color w:val="auto"/>
                    </w:rPr>
                    <w:t>以采购人及监理单位在事件后出具的故障报告为准。</w:t>
                  </w:r>
                </w:p>
              </w:tc>
              <w:tc>
                <w:tcPr>
                  <w:tcW w:w="355" w:type="dxa"/>
                  <w:vAlign w:val="center"/>
                </w:tcPr>
                <w:p w14:paraId="0E2B6FA8">
                  <w:pPr>
                    <w:pStyle w:val="162"/>
                    <w:spacing w:line="380" w:lineRule="exact"/>
                    <w:rPr>
                      <w:rFonts w:hint="eastAsia" w:cs="宋体"/>
                      <w:color w:val="auto"/>
                    </w:rPr>
                  </w:pPr>
                </w:p>
              </w:tc>
              <w:tc>
                <w:tcPr>
                  <w:tcW w:w="597" w:type="dxa"/>
                  <w:vAlign w:val="center"/>
                </w:tcPr>
                <w:p w14:paraId="59491117">
                  <w:pPr>
                    <w:pStyle w:val="162"/>
                    <w:spacing w:line="380" w:lineRule="exact"/>
                    <w:rPr>
                      <w:rFonts w:hint="eastAsia" w:cs="宋体"/>
                      <w:color w:val="auto"/>
                    </w:rPr>
                  </w:pPr>
                </w:p>
              </w:tc>
              <w:tc>
                <w:tcPr>
                  <w:tcW w:w="1664" w:type="dxa"/>
                  <w:vAlign w:val="center"/>
                </w:tcPr>
                <w:p w14:paraId="4CB4ABAA">
                  <w:pPr>
                    <w:pStyle w:val="162"/>
                    <w:spacing w:line="380" w:lineRule="exact"/>
                    <w:jc w:val="left"/>
                    <w:rPr>
                      <w:rFonts w:hint="eastAsia" w:cs="宋体"/>
                      <w:color w:val="auto"/>
                    </w:rPr>
                  </w:pPr>
                  <w:r>
                    <w:rPr>
                      <w:rFonts w:hint="eastAsia" w:cs="宋体"/>
                      <w:color w:val="auto"/>
                    </w:rPr>
                    <w:t>因采购人或第三方导致的延迟或质量问题，或不可抗力（如封网、机房环境等）不参与评价；</w:t>
                  </w:r>
                </w:p>
              </w:tc>
            </w:tr>
            <w:tr w14:paraId="2A68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3D9B5055">
                  <w:pPr>
                    <w:pStyle w:val="162"/>
                    <w:spacing w:line="380" w:lineRule="exact"/>
                    <w:rPr>
                      <w:rFonts w:hint="eastAsia" w:cs="宋体"/>
                      <w:color w:val="auto"/>
                    </w:rPr>
                  </w:pPr>
                </w:p>
              </w:tc>
              <w:tc>
                <w:tcPr>
                  <w:tcW w:w="597" w:type="dxa"/>
                  <w:vMerge w:val="continue"/>
                  <w:vAlign w:val="center"/>
                </w:tcPr>
                <w:p w14:paraId="68C4B026">
                  <w:pPr>
                    <w:pStyle w:val="162"/>
                    <w:spacing w:line="380" w:lineRule="exact"/>
                    <w:rPr>
                      <w:rFonts w:hint="eastAsia" w:cs="宋体"/>
                      <w:color w:val="auto"/>
                    </w:rPr>
                  </w:pPr>
                </w:p>
              </w:tc>
              <w:tc>
                <w:tcPr>
                  <w:tcW w:w="649" w:type="dxa"/>
                  <w:vAlign w:val="center"/>
                </w:tcPr>
                <w:p w14:paraId="5A098316">
                  <w:pPr>
                    <w:pStyle w:val="162"/>
                    <w:spacing w:line="380" w:lineRule="exact"/>
                    <w:rPr>
                      <w:rFonts w:hint="eastAsia" w:cs="宋体"/>
                      <w:color w:val="auto"/>
                    </w:rPr>
                  </w:pPr>
                  <w:r>
                    <w:rPr>
                      <w:rFonts w:hint="eastAsia" w:cs="宋体"/>
                      <w:color w:val="auto"/>
                    </w:rPr>
                    <w:t>重大节假日及重大事件保障</w:t>
                  </w:r>
                </w:p>
              </w:tc>
              <w:tc>
                <w:tcPr>
                  <w:tcW w:w="587" w:type="dxa"/>
                  <w:vAlign w:val="center"/>
                </w:tcPr>
                <w:p w14:paraId="6BEDAA64">
                  <w:pPr>
                    <w:pStyle w:val="162"/>
                    <w:spacing w:line="380" w:lineRule="exact"/>
                    <w:rPr>
                      <w:rFonts w:hint="eastAsia" w:cs="宋体"/>
                      <w:color w:val="auto"/>
                    </w:rPr>
                  </w:pPr>
                  <w:r>
                    <w:rPr>
                      <w:rFonts w:hint="eastAsia" w:cs="宋体"/>
                      <w:color w:val="auto"/>
                    </w:rPr>
                    <w:t>10</w:t>
                  </w:r>
                </w:p>
              </w:tc>
              <w:tc>
                <w:tcPr>
                  <w:tcW w:w="1823" w:type="dxa"/>
                  <w:vAlign w:val="center"/>
                </w:tcPr>
                <w:p w14:paraId="3DE19D90">
                  <w:pPr>
                    <w:pStyle w:val="162"/>
                    <w:spacing w:line="380" w:lineRule="exact"/>
                    <w:jc w:val="left"/>
                    <w:rPr>
                      <w:rFonts w:hint="eastAsia" w:cs="宋体"/>
                      <w:color w:val="auto"/>
                    </w:rPr>
                  </w:pPr>
                  <w:r>
                    <w:rPr>
                      <w:rFonts w:hint="eastAsia" w:cs="宋体"/>
                      <w:color w:val="auto"/>
                    </w:rPr>
                    <w:t>1、按以下情况进行扣分，扣完即止。</w:t>
                  </w:r>
                </w:p>
                <w:p w14:paraId="765B871A">
                  <w:pPr>
                    <w:pStyle w:val="162"/>
                    <w:spacing w:line="380" w:lineRule="exact"/>
                    <w:jc w:val="left"/>
                    <w:rPr>
                      <w:rFonts w:hint="eastAsia" w:cs="宋体"/>
                      <w:color w:val="auto"/>
                    </w:rPr>
                  </w:pPr>
                  <w:r>
                    <w:rPr>
                      <w:rFonts w:hint="eastAsia" w:cs="宋体"/>
                      <w:color w:val="auto"/>
                    </w:rPr>
                    <w:t>2、扣分情况包括：</w:t>
                  </w:r>
                </w:p>
                <w:p w14:paraId="4D96D736">
                  <w:pPr>
                    <w:pStyle w:val="162"/>
                    <w:spacing w:line="380" w:lineRule="exact"/>
                    <w:jc w:val="left"/>
                    <w:rPr>
                      <w:rFonts w:hint="eastAsia" w:cs="宋体"/>
                      <w:color w:val="auto"/>
                    </w:rPr>
                  </w:pPr>
                  <w:r>
                    <w:rPr>
                      <w:rFonts w:hint="eastAsia" w:cs="宋体"/>
                      <w:color w:val="auto"/>
                    </w:rPr>
                    <w:t>在采购人要求的节假日或重大事件不能根据技术服务要求及承诺及时提供现场技术支持，每发生一次，扣2分；</w:t>
                  </w:r>
                </w:p>
              </w:tc>
              <w:tc>
                <w:tcPr>
                  <w:tcW w:w="849" w:type="dxa"/>
                  <w:vAlign w:val="center"/>
                </w:tcPr>
                <w:p w14:paraId="2B0ACD24">
                  <w:pPr>
                    <w:pStyle w:val="162"/>
                    <w:spacing w:line="380" w:lineRule="exact"/>
                    <w:rPr>
                      <w:rFonts w:hint="eastAsia" w:cs="宋体"/>
                      <w:color w:val="auto"/>
                    </w:rPr>
                  </w:pPr>
                  <w:r>
                    <w:rPr>
                      <w:rFonts w:hint="eastAsia" w:cs="宋体"/>
                      <w:color w:val="auto"/>
                    </w:rPr>
                    <w:t>以采购人及监理单位在节假日及重大事件的报告为准。</w:t>
                  </w:r>
                </w:p>
              </w:tc>
              <w:tc>
                <w:tcPr>
                  <w:tcW w:w="355" w:type="dxa"/>
                  <w:vAlign w:val="center"/>
                </w:tcPr>
                <w:p w14:paraId="48B08038">
                  <w:pPr>
                    <w:pStyle w:val="162"/>
                    <w:spacing w:line="380" w:lineRule="exact"/>
                    <w:rPr>
                      <w:rFonts w:hint="eastAsia" w:cs="宋体"/>
                      <w:color w:val="auto"/>
                    </w:rPr>
                  </w:pPr>
                </w:p>
              </w:tc>
              <w:tc>
                <w:tcPr>
                  <w:tcW w:w="597" w:type="dxa"/>
                  <w:vAlign w:val="center"/>
                </w:tcPr>
                <w:p w14:paraId="51F9B6B6">
                  <w:pPr>
                    <w:pStyle w:val="162"/>
                    <w:spacing w:line="380" w:lineRule="exact"/>
                    <w:rPr>
                      <w:rFonts w:hint="eastAsia" w:cs="宋体"/>
                      <w:color w:val="auto"/>
                    </w:rPr>
                  </w:pPr>
                </w:p>
              </w:tc>
              <w:tc>
                <w:tcPr>
                  <w:tcW w:w="1664" w:type="dxa"/>
                  <w:vAlign w:val="center"/>
                </w:tcPr>
                <w:p w14:paraId="1C98CB9F">
                  <w:pPr>
                    <w:pStyle w:val="162"/>
                    <w:spacing w:line="380" w:lineRule="exact"/>
                    <w:jc w:val="left"/>
                    <w:rPr>
                      <w:rFonts w:hint="eastAsia" w:cs="宋体"/>
                      <w:color w:val="auto"/>
                    </w:rPr>
                  </w:pPr>
                </w:p>
              </w:tc>
            </w:tr>
            <w:tr w14:paraId="74ED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7E14F420">
                  <w:pPr>
                    <w:pStyle w:val="162"/>
                    <w:spacing w:line="380" w:lineRule="exact"/>
                    <w:rPr>
                      <w:rFonts w:hint="eastAsia" w:cs="宋体"/>
                      <w:color w:val="auto"/>
                    </w:rPr>
                  </w:pPr>
                </w:p>
              </w:tc>
              <w:tc>
                <w:tcPr>
                  <w:tcW w:w="597" w:type="dxa"/>
                  <w:vMerge w:val="continue"/>
                  <w:vAlign w:val="center"/>
                </w:tcPr>
                <w:p w14:paraId="3AF07EF1">
                  <w:pPr>
                    <w:pStyle w:val="162"/>
                    <w:spacing w:line="380" w:lineRule="exact"/>
                    <w:rPr>
                      <w:rFonts w:hint="eastAsia" w:cs="宋体"/>
                      <w:color w:val="auto"/>
                    </w:rPr>
                  </w:pPr>
                </w:p>
              </w:tc>
              <w:tc>
                <w:tcPr>
                  <w:tcW w:w="649" w:type="dxa"/>
                  <w:vAlign w:val="center"/>
                </w:tcPr>
                <w:p w14:paraId="39F77A2A">
                  <w:pPr>
                    <w:pStyle w:val="162"/>
                    <w:spacing w:line="380" w:lineRule="exact"/>
                    <w:rPr>
                      <w:rFonts w:hint="eastAsia" w:cs="宋体"/>
                      <w:color w:val="auto"/>
                    </w:rPr>
                  </w:pPr>
                  <w:r>
                    <w:rPr>
                      <w:rFonts w:hint="eastAsia" w:cs="宋体"/>
                      <w:color w:val="auto"/>
                    </w:rPr>
                    <w:t>定期巡检服务</w:t>
                  </w:r>
                </w:p>
              </w:tc>
              <w:tc>
                <w:tcPr>
                  <w:tcW w:w="587" w:type="dxa"/>
                  <w:vAlign w:val="center"/>
                </w:tcPr>
                <w:p w14:paraId="1EB181D9">
                  <w:pPr>
                    <w:pStyle w:val="162"/>
                    <w:spacing w:line="380" w:lineRule="exact"/>
                    <w:rPr>
                      <w:rFonts w:hint="eastAsia" w:cs="宋体"/>
                      <w:color w:val="auto"/>
                    </w:rPr>
                  </w:pPr>
                  <w:r>
                    <w:rPr>
                      <w:rFonts w:hint="eastAsia" w:cs="宋体"/>
                      <w:color w:val="auto"/>
                    </w:rPr>
                    <w:t>8</w:t>
                  </w:r>
                </w:p>
              </w:tc>
              <w:tc>
                <w:tcPr>
                  <w:tcW w:w="1823" w:type="dxa"/>
                  <w:vAlign w:val="center"/>
                </w:tcPr>
                <w:p w14:paraId="3AA257D3">
                  <w:pPr>
                    <w:pStyle w:val="162"/>
                    <w:spacing w:line="380" w:lineRule="exact"/>
                    <w:jc w:val="left"/>
                    <w:rPr>
                      <w:rFonts w:hint="eastAsia" w:cs="宋体"/>
                      <w:color w:val="auto"/>
                    </w:rPr>
                  </w:pPr>
                  <w:r>
                    <w:rPr>
                      <w:rFonts w:hint="eastAsia" w:cs="宋体"/>
                      <w:color w:val="auto"/>
                    </w:rPr>
                    <w:t>1、按以下情况进行扣分，扣完即止。</w:t>
                  </w:r>
                </w:p>
                <w:p w14:paraId="570C63D6">
                  <w:pPr>
                    <w:pStyle w:val="162"/>
                    <w:spacing w:line="380" w:lineRule="exact"/>
                    <w:jc w:val="left"/>
                    <w:rPr>
                      <w:rFonts w:hint="eastAsia" w:cs="宋体"/>
                      <w:color w:val="auto"/>
                    </w:rPr>
                  </w:pPr>
                  <w:r>
                    <w:rPr>
                      <w:rFonts w:hint="eastAsia" w:cs="宋体"/>
                      <w:color w:val="auto"/>
                    </w:rPr>
                    <w:t>2、扣分情况包括：</w:t>
                  </w:r>
                </w:p>
                <w:p w14:paraId="596D6226">
                  <w:pPr>
                    <w:pStyle w:val="162"/>
                    <w:spacing w:line="380" w:lineRule="exact"/>
                    <w:jc w:val="left"/>
                    <w:rPr>
                      <w:rFonts w:hint="eastAsia" w:cs="宋体"/>
                      <w:color w:val="auto"/>
                    </w:rPr>
                  </w:pPr>
                  <w:r>
                    <w:rPr>
                      <w:rFonts w:hint="eastAsia" w:cs="宋体"/>
                      <w:color w:val="auto"/>
                    </w:rPr>
                    <w:t>有证据证明中标人无故未在约定时间开展巡检服务，每发生一次，扣0.5分；</w:t>
                  </w:r>
                </w:p>
                <w:p w14:paraId="7E4FD4A4">
                  <w:pPr>
                    <w:pStyle w:val="162"/>
                    <w:spacing w:line="380" w:lineRule="exact"/>
                    <w:jc w:val="left"/>
                    <w:rPr>
                      <w:rFonts w:hint="eastAsia" w:cs="宋体"/>
                      <w:color w:val="auto"/>
                    </w:rPr>
                  </w:pPr>
                  <w:r>
                    <w:rPr>
                      <w:rFonts w:hint="eastAsia" w:cs="宋体"/>
                      <w:color w:val="auto"/>
                    </w:rPr>
                    <w:t>2）有证据证明中标人巡检工作疏漏，导致系统运行异常，每发生一次，扣0.5分。</w:t>
                  </w:r>
                </w:p>
              </w:tc>
              <w:tc>
                <w:tcPr>
                  <w:tcW w:w="849" w:type="dxa"/>
                  <w:vAlign w:val="center"/>
                </w:tcPr>
                <w:p w14:paraId="013FDB75">
                  <w:pPr>
                    <w:pStyle w:val="162"/>
                    <w:spacing w:line="380" w:lineRule="exact"/>
                    <w:rPr>
                      <w:rFonts w:hint="eastAsia" w:cs="宋体"/>
                      <w:color w:val="auto"/>
                    </w:rPr>
                  </w:pPr>
                  <w:r>
                    <w:rPr>
                      <w:rFonts w:hint="eastAsia" w:cs="宋体"/>
                      <w:color w:val="auto"/>
                    </w:rPr>
                    <w:t>以监理单位提交的报告为准</w:t>
                  </w:r>
                </w:p>
              </w:tc>
              <w:tc>
                <w:tcPr>
                  <w:tcW w:w="355" w:type="dxa"/>
                  <w:vAlign w:val="center"/>
                </w:tcPr>
                <w:p w14:paraId="65DDE274">
                  <w:pPr>
                    <w:pStyle w:val="162"/>
                    <w:spacing w:line="380" w:lineRule="exact"/>
                    <w:rPr>
                      <w:rFonts w:hint="eastAsia" w:cs="宋体"/>
                      <w:color w:val="auto"/>
                    </w:rPr>
                  </w:pPr>
                </w:p>
              </w:tc>
              <w:tc>
                <w:tcPr>
                  <w:tcW w:w="597" w:type="dxa"/>
                  <w:vAlign w:val="center"/>
                </w:tcPr>
                <w:p w14:paraId="52227D65">
                  <w:pPr>
                    <w:pStyle w:val="162"/>
                    <w:spacing w:line="380" w:lineRule="exact"/>
                    <w:rPr>
                      <w:rFonts w:hint="eastAsia" w:cs="宋体"/>
                      <w:color w:val="auto"/>
                    </w:rPr>
                  </w:pPr>
                </w:p>
              </w:tc>
              <w:tc>
                <w:tcPr>
                  <w:tcW w:w="1664" w:type="dxa"/>
                  <w:vAlign w:val="center"/>
                </w:tcPr>
                <w:p w14:paraId="58ADD416">
                  <w:pPr>
                    <w:pStyle w:val="162"/>
                    <w:spacing w:line="380" w:lineRule="exact"/>
                    <w:jc w:val="left"/>
                    <w:rPr>
                      <w:rFonts w:hint="eastAsia" w:cs="宋体"/>
                      <w:color w:val="auto"/>
                    </w:rPr>
                  </w:pPr>
                </w:p>
              </w:tc>
            </w:tr>
            <w:tr w14:paraId="0A8B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5" w:type="dxa"/>
                  <w:vMerge w:val="continue"/>
                  <w:vAlign w:val="center"/>
                </w:tcPr>
                <w:p w14:paraId="1EFE8C43">
                  <w:pPr>
                    <w:pStyle w:val="162"/>
                    <w:spacing w:line="380" w:lineRule="exact"/>
                    <w:rPr>
                      <w:rFonts w:hint="eastAsia" w:cs="宋体"/>
                      <w:color w:val="auto"/>
                    </w:rPr>
                  </w:pPr>
                </w:p>
              </w:tc>
              <w:tc>
                <w:tcPr>
                  <w:tcW w:w="597" w:type="dxa"/>
                  <w:vMerge w:val="continue"/>
                  <w:vAlign w:val="center"/>
                </w:tcPr>
                <w:p w14:paraId="0C723D8A">
                  <w:pPr>
                    <w:pStyle w:val="162"/>
                    <w:spacing w:line="380" w:lineRule="exact"/>
                    <w:rPr>
                      <w:rFonts w:hint="eastAsia" w:cs="宋体"/>
                      <w:color w:val="auto"/>
                    </w:rPr>
                  </w:pPr>
                </w:p>
              </w:tc>
              <w:tc>
                <w:tcPr>
                  <w:tcW w:w="649" w:type="dxa"/>
                  <w:vAlign w:val="center"/>
                </w:tcPr>
                <w:p w14:paraId="0F96ADDE">
                  <w:pPr>
                    <w:pStyle w:val="162"/>
                    <w:spacing w:line="380" w:lineRule="exact"/>
                    <w:rPr>
                      <w:rFonts w:hint="eastAsia" w:cs="宋体"/>
                      <w:color w:val="auto"/>
                    </w:rPr>
                  </w:pPr>
                  <w:r>
                    <w:rPr>
                      <w:rFonts w:hint="eastAsia" w:cs="宋体"/>
                      <w:color w:val="auto"/>
                    </w:rPr>
                    <w:t>培训</w:t>
                  </w:r>
                </w:p>
              </w:tc>
              <w:tc>
                <w:tcPr>
                  <w:tcW w:w="587" w:type="dxa"/>
                  <w:vAlign w:val="center"/>
                </w:tcPr>
                <w:p w14:paraId="3E94E512">
                  <w:pPr>
                    <w:pStyle w:val="162"/>
                    <w:spacing w:line="380" w:lineRule="exact"/>
                    <w:rPr>
                      <w:rFonts w:hint="eastAsia" w:cs="宋体"/>
                      <w:color w:val="auto"/>
                    </w:rPr>
                  </w:pPr>
                  <w:r>
                    <w:rPr>
                      <w:rFonts w:hint="eastAsia" w:cs="宋体"/>
                      <w:color w:val="auto"/>
                    </w:rPr>
                    <w:t>2</w:t>
                  </w:r>
                </w:p>
              </w:tc>
              <w:tc>
                <w:tcPr>
                  <w:tcW w:w="1823" w:type="dxa"/>
                  <w:vAlign w:val="center"/>
                </w:tcPr>
                <w:p w14:paraId="6DB210FD">
                  <w:pPr>
                    <w:pStyle w:val="16"/>
                    <w:spacing w:line="380" w:lineRule="exact"/>
                    <w:rPr>
                      <w:rFonts w:hint="eastAsia" w:ascii="宋体" w:hAnsi="宋体" w:cs="宋体"/>
                      <w:sz w:val="21"/>
                      <w:szCs w:val="21"/>
                    </w:rPr>
                  </w:pPr>
                  <w:r>
                    <w:rPr>
                      <w:rFonts w:hint="eastAsia" w:ascii="宋体" w:hAnsi="宋体" w:cs="宋体"/>
                      <w:sz w:val="21"/>
                      <w:szCs w:val="21"/>
                    </w:rPr>
                    <w:t>定期开展培训（每半年1次，培训内容包含但不限于AI算力资源的运行管理维护、备份恢复、性能优化、故障处理等）；每逾期1天扣0.5分。</w:t>
                  </w:r>
                </w:p>
              </w:tc>
              <w:tc>
                <w:tcPr>
                  <w:tcW w:w="849" w:type="dxa"/>
                  <w:vAlign w:val="center"/>
                </w:tcPr>
                <w:p w14:paraId="7972CE5C">
                  <w:pPr>
                    <w:pStyle w:val="162"/>
                    <w:spacing w:line="380" w:lineRule="exact"/>
                    <w:rPr>
                      <w:rFonts w:hint="eastAsia" w:cs="宋体"/>
                      <w:color w:val="auto"/>
                    </w:rPr>
                  </w:pPr>
                  <w:r>
                    <w:rPr>
                      <w:rFonts w:hint="eastAsia" w:cs="宋体"/>
                      <w:color w:val="auto"/>
                    </w:rPr>
                    <w:t>以监理单位提交的报告为准</w:t>
                  </w:r>
                </w:p>
              </w:tc>
              <w:tc>
                <w:tcPr>
                  <w:tcW w:w="355" w:type="dxa"/>
                  <w:vAlign w:val="center"/>
                </w:tcPr>
                <w:p w14:paraId="79F21405">
                  <w:pPr>
                    <w:pStyle w:val="162"/>
                    <w:spacing w:line="380" w:lineRule="exact"/>
                    <w:rPr>
                      <w:rFonts w:hint="eastAsia" w:cs="宋体"/>
                      <w:color w:val="auto"/>
                    </w:rPr>
                  </w:pPr>
                </w:p>
              </w:tc>
              <w:tc>
                <w:tcPr>
                  <w:tcW w:w="597" w:type="dxa"/>
                  <w:vAlign w:val="center"/>
                </w:tcPr>
                <w:p w14:paraId="3503C04A">
                  <w:pPr>
                    <w:pStyle w:val="162"/>
                    <w:spacing w:line="380" w:lineRule="exact"/>
                    <w:rPr>
                      <w:rFonts w:hint="eastAsia" w:cs="宋体"/>
                      <w:color w:val="auto"/>
                    </w:rPr>
                  </w:pPr>
                </w:p>
              </w:tc>
              <w:tc>
                <w:tcPr>
                  <w:tcW w:w="1664" w:type="dxa"/>
                  <w:vAlign w:val="center"/>
                </w:tcPr>
                <w:p w14:paraId="35633BA9">
                  <w:pPr>
                    <w:pStyle w:val="162"/>
                    <w:spacing w:line="380" w:lineRule="exact"/>
                    <w:jc w:val="left"/>
                    <w:rPr>
                      <w:rFonts w:hint="eastAsia" w:cs="宋体"/>
                      <w:color w:val="auto"/>
                    </w:rPr>
                  </w:pPr>
                </w:p>
              </w:tc>
            </w:tr>
          </w:tbl>
          <w:p w14:paraId="6306D26E">
            <w:pPr>
              <w:spacing w:line="380" w:lineRule="exact"/>
              <w:rPr>
                <w:rFonts w:hint="eastAsia" w:ascii="宋体" w:hAnsi="宋体" w:cs="宋体"/>
                <w:szCs w:val="21"/>
              </w:rPr>
            </w:pPr>
            <w:r>
              <w:rPr>
                <w:rFonts w:hint="eastAsia" w:ascii="宋体" w:hAnsi="宋体" w:cs="宋体"/>
                <w:szCs w:val="21"/>
              </w:rPr>
              <w:t>服务费扣减规则如下表：</w:t>
            </w:r>
          </w:p>
          <w:tbl>
            <w:tblPr>
              <w:tblStyle w:val="49"/>
              <w:tblW w:w="775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345"/>
              <w:gridCol w:w="1549"/>
              <w:gridCol w:w="2036"/>
            </w:tblGrid>
            <w:tr w14:paraId="5C86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trPr>
              <w:tc>
                <w:tcPr>
                  <w:tcW w:w="825" w:type="dxa"/>
                  <w:shd w:val="clear" w:color="auto" w:fill="D7D7D7"/>
                  <w:vAlign w:val="center"/>
                </w:tcPr>
                <w:p w14:paraId="0972DBFF">
                  <w:pPr>
                    <w:pStyle w:val="162"/>
                    <w:spacing w:line="380" w:lineRule="exact"/>
                    <w:rPr>
                      <w:rFonts w:hint="eastAsia" w:cs="宋体"/>
                      <w:b/>
                      <w:bCs/>
                      <w:color w:val="auto"/>
                    </w:rPr>
                  </w:pPr>
                  <w:r>
                    <w:rPr>
                      <w:rFonts w:hint="eastAsia" w:cs="宋体"/>
                      <w:b/>
                      <w:bCs/>
                      <w:color w:val="auto"/>
                    </w:rPr>
                    <w:t>序号</w:t>
                  </w:r>
                </w:p>
              </w:tc>
              <w:tc>
                <w:tcPr>
                  <w:tcW w:w="3345" w:type="dxa"/>
                  <w:shd w:val="clear" w:color="auto" w:fill="D7D7D7"/>
                  <w:vAlign w:val="center"/>
                </w:tcPr>
                <w:p w14:paraId="079A8363">
                  <w:pPr>
                    <w:pStyle w:val="162"/>
                    <w:spacing w:line="380" w:lineRule="exact"/>
                    <w:rPr>
                      <w:rFonts w:hint="eastAsia" w:cs="宋体"/>
                      <w:b/>
                      <w:bCs/>
                      <w:color w:val="auto"/>
                    </w:rPr>
                  </w:pPr>
                  <w:r>
                    <w:rPr>
                      <w:rFonts w:hint="eastAsia" w:cs="宋体"/>
                      <w:b/>
                      <w:bCs/>
                      <w:color w:val="auto"/>
                    </w:rPr>
                    <w:t>服务质量评价得分</w:t>
                  </w:r>
                </w:p>
              </w:tc>
              <w:tc>
                <w:tcPr>
                  <w:tcW w:w="1549" w:type="dxa"/>
                  <w:shd w:val="clear" w:color="auto" w:fill="D7D7D7"/>
                  <w:vAlign w:val="center"/>
                </w:tcPr>
                <w:p w14:paraId="310BB155">
                  <w:pPr>
                    <w:pStyle w:val="162"/>
                    <w:spacing w:line="380" w:lineRule="exact"/>
                    <w:rPr>
                      <w:rFonts w:hint="eastAsia" w:cs="宋体"/>
                      <w:b/>
                      <w:bCs/>
                      <w:color w:val="auto"/>
                    </w:rPr>
                  </w:pPr>
                  <w:r>
                    <w:rPr>
                      <w:rFonts w:hint="eastAsia" w:cs="宋体"/>
                      <w:b/>
                      <w:bCs/>
                      <w:color w:val="auto"/>
                    </w:rPr>
                    <w:t>扣减系数</w:t>
                  </w:r>
                </w:p>
              </w:tc>
              <w:tc>
                <w:tcPr>
                  <w:tcW w:w="2036" w:type="dxa"/>
                  <w:shd w:val="clear" w:color="auto" w:fill="D7D7D7"/>
                  <w:vAlign w:val="center"/>
                </w:tcPr>
                <w:p w14:paraId="352B035D">
                  <w:pPr>
                    <w:pStyle w:val="162"/>
                    <w:spacing w:line="380" w:lineRule="exact"/>
                    <w:rPr>
                      <w:rFonts w:hint="eastAsia" w:cs="宋体"/>
                      <w:b/>
                      <w:bCs/>
                      <w:color w:val="auto"/>
                    </w:rPr>
                  </w:pPr>
                  <w:r>
                    <w:rPr>
                      <w:rFonts w:hint="eastAsia" w:cs="宋体"/>
                      <w:b/>
                      <w:bCs/>
                      <w:color w:val="auto"/>
                    </w:rPr>
                    <w:t>扣减金额</w:t>
                  </w:r>
                </w:p>
              </w:tc>
            </w:tr>
            <w:tr w14:paraId="7938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25" w:type="dxa"/>
                  <w:vAlign w:val="center"/>
                </w:tcPr>
                <w:p w14:paraId="7A0EF78F">
                  <w:pPr>
                    <w:pStyle w:val="162"/>
                    <w:spacing w:line="380" w:lineRule="exact"/>
                    <w:rPr>
                      <w:rFonts w:hint="eastAsia" w:cs="宋体"/>
                      <w:color w:val="auto"/>
                    </w:rPr>
                  </w:pPr>
                  <w:r>
                    <w:rPr>
                      <w:rFonts w:hint="eastAsia" w:cs="宋体"/>
                      <w:color w:val="auto"/>
                    </w:rPr>
                    <w:t>1</w:t>
                  </w:r>
                </w:p>
              </w:tc>
              <w:tc>
                <w:tcPr>
                  <w:tcW w:w="3345" w:type="dxa"/>
                  <w:vAlign w:val="center"/>
                </w:tcPr>
                <w:p w14:paraId="61B3BA9B">
                  <w:pPr>
                    <w:pStyle w:val="162"/>
                    <w:spacing w:line="380" w:lineRule="exact"/>
                    <w:rPr>
                      <w:rFonts w:hint="eastAsia" w:cs="宋体"/>
                      <w:color w:val="auto"/>
                    </w:rPr>
                  </w:pPr>
                  <w:r>
                    <w:rPr>
                      <w:rFonts w:hint="eastAsia" w:cs="宋体"/>
                      <w:color w:val="auto"/>
                    </w:rPr>
                    <w:t>95≤服务质量评价得分≤100</w:t>
                  </w:r>
                </w:p>
              </w:tc>
              <w:tc>
                <w:tcPr>
                  <w:tcW w:w="1549" w:type="dxa"/>
                  <w:vAlign w:val="center"/>
                </w:tcPr>
                <w:p w14:paraId="3A568B3A">
                  <w:pPr>
                    <w:pStyle w:val="162"/>
                    <w:spacing w:line="380" w:lineRule="exact"/>
                    <w:rPr>
                      <w:rFonts w:hint="eastAsia" w:cs="宋体"/>
                      <w:color w:val="auto"/>
                    </w:rPr>
                  </w:pPr>
                  <w:r>
                    <w:rPr>
                      <w:rFonts w:hint="eastAsia" w:cs="宋体"/>
                      <w:color w:val="auto"/>
                    </w:rPr>
                    <w:t>0%</w:t>
                  </w:r>
                </w:p>
              </w:tc>
              <w:tc>
                <w:tcPr>
                  <w:tcW w:w="2036" w:type="dxa"/>
                  <w:vAlign w:val="center"/>
                </w:tcPr>
                <w:p w14:paraId="2FAE64DD">
                  <w:pPr>
                    <w:pStyle w:val="162"/>
                    <w:spacing w:line="380" w:lineRule="exact"/>
                    <w:rPr>
                      <w:rFonts w:hint="eastAsia" w:cs="宋体"/>
                      <w:color w:val="auto"/>
                    </w:rPr>
                  </w:pPr>
                  <w:r>
                    <w:rPr>
                      <w:rFonts w:hint="eastAsia" w:cs="宋体"/>
                      <w:color w:val="auto"/>
                    </w:rPr>
                    <w:t>0</w:t>
                  </w:r>
                </w:p>
              </w:tc>
            </w:tr>
            <w:tr w14:paraId="1E64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25" w:type="dxa"/>
                  <w:vAlign w:val="center"/>
                </w:tcPr>
                <w:p w14:paraId="348221A5">
                  <w:pPr>
                    <w:pStyle w:val="162"/>
                    <w:spacing w:line="380" w:lineRule="exact"/>
                    <w:rPr>
                      <w:rFonts w:hint="eastAsia" w:cs="宋体"/>
                      <w:color w:val="auto"/>
                    </w:rPr>
                  </w:pPr>
                  <w:r>
                    <w:rPr>
                      <w:rFonts w:hint="eastAsia" w:cs="宋体"/>
                      <w:color w:val="auto"/>
                    </w:rPr>
                    <w:t>2</w:t>
                  </w:r>
                </w:p>
              </w:tc>
              <w:tc>
                <w:tcPr>
                  <w:tcW w:w="3345" w:type="dxa"/>
                  <w:vAlign w:val="center"/>
                </w:tcPr>
                <w:p w14:paraId="1FE0D447">
                  <w:pPr>
                    <w:pStyle w:val="162"/>
                    <w:spacing w:line="380" w:lineRule="exact"/>
                    <w:rPr>
                      <w:rFonts w:hint="eastAsia" w:cs="宋体"/>
                      <w:color w:val="auto"/>
                    </w:rPr>
                  </w:pPr>
                  <w:r>
                    <w:rPr>
                      <w:rFonts w:hint="eastAsia" w:cs="宋体"/>
                      <w:color w:val="auto"/>
                    </w:rPr>
                    <w:t>90≤服务质量评价得分&lt;95</w:t>
                  </w:r>
                </w:p>
              </w:tc>
              <w:tc>
                <w:tcPr>
                  <w:tcW w:w="1549" w:type="dxa"/>
                  <w:vAlign w:val="center"/>
                </w:tcPr>
                <w:p w14:paraId="5DB370C6">
                  <w:pPr>
                    <w:pStyle w:val="162"/>
                    <w:spacing w:line="380" w:lineRule="exact"/>
                    <w:rPr>
                      <w:rFonts w:hint="eastAsia" w:cs="宋体"/>
                      <w:color w:val="auto"/>
                    </w:rPr>
                  </w:pPr>
                  <w:r>
                    <w:rPr>
                      <w:rFonts w:hint="eastAsia" w:cs="宋体"/>
                      <w:color w:val="auto"/>
                    </w:rPr>
                    <w:t>2%</w:t>
                  </w:r>
                </w:p>
              </w:tc>
              <w:tc>
                <w:tcPr>
                  <w:tcW w:w="2036" w:type="dxa"/>
                  <w:vAlign w:val="center"/>
                </w:tcPr>
                <w:p w14:paraId="6FFE2131">
                  <w:pPr>
                    <w:pStyle w:val="162"/>
                    <w:spacing w:line="380" w:lineRule="exact"/>
                    <w:rPr>
                      <w:rFonts w:hint="eastAsia" w:cs="宋体"/>
                      <w:color w:val="auto"/>
                    </w:rPr>
                  </w:pPr>
                  <w:r>
                    <w:rPr>
                      <w:rFonts w:hint="eastAsia" w:cs="宋体"/>
                      <w:color w:val="auto"/>
                    </w:rPr>
                    <w:t>2%×合同总价</w:t>
                  </w:r>
                </w:p>
              </w:tc>
            </w:tr>
            <w:tr w14:paraId="7ABB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25" w:type="dxa"/>
                  <w:vAlign w:val="center"/>
                </w:tcPr>
                <w:p w14:paraId="0114E521">
                  <w:pPr>
                    <w:pStyle w:val="162"/>
                    <w:spacing w:line="380" w:lineRule="exact"/>
                    <w:rPr>
                      <w:rFonts w:hint="eastAsia" w:cs="宋体"/>
                      <w:color w:val="auto"/>
                    </w:rPr>
                  </w:pPr>
                  <w:r>
                    <w:rPr>
                      <w:rFonts w:hint="eastAsia" w:cs="宋体"/>
                      <w:color w:val="auto"/>
                    </w:rPr>
                    <w:t>3</w:t>
                  </w:r>
                </w:p>
              </w:tc>
              <w:tc>
                <w:tcPr>
                  <w:tcW w:w="3345" w:type="dxa"/>
                  <w:vAlign w:val="center"/>
                </w:tcPr>
                <w:p w14:paraId="5D91CD59">
                  <w:pPr>
                    <w:pStyle w:val="162"/>
                    <w:spacing w:line="380" w:lineRule="exact"/>
                    <w:rPr>
                      <w:rFonts w:hint="eastAsia" w:cs="宋体"/>
                      <w:color w:val="auto"/>
                    </w:rPr>
                  </w:pPr>
                  <w:r>
                    <w:rPr>
                      <w:rFonts w:hint="eastAsia" w:cs="宋体"/>
                      <w:color w:val="auto"/>
                    </w:rPr>
                    <w:t>85≤服务质量评价得分&lt;90</w:t>
                  </w:r>
                </w:p>
              </w:tc>
              <w:tc>
                <w:tcPr>
                  <w:tcW w:w="1549" w:type="dxa"/>
                  <w:vAlign w:val="center"/>
                </w:tcPr>
                <w:p w14:paraId="76C1AC32">
                  <w:pPr>
                    <w:pStyle w:val="162"/>
                    <w:spacing w:line="380" w:lineRule="exact"/>
                    <w:rPr>
                      <w:rFonts w:hint="eastAsia" w:cs="宋体"/>
                      <w:color w:val="auto"/>
                    </w:rPr>
                  </w:pPr>
                  <w:r>
                    <w:rPr>
                      <w:rFonts w:hint="eastAsia" w:cs="宋体"/>
                      <w:color w:val="auto"/>
                    </w:rPr>
                    <w:t>5%</w:t>
                  </w:r>
                </w:p>
              </w:tc>
              <w:tc>
                <w:tcPr>
                  <w:tcW w:w="2036" w:type="dxa"/>
                  <w:vAlign w:val="center"/>
                </w:tcPr>
                <w:p w14:paraId="054BCC7F">
                  <w:pPr>
                    <w:pStyle w:val="162"/>
                    <w:spacing w:line="380" w:lineRule="exact"/>
                    <w:rPr>
                      <w:rFonts w:hint="eastAsia" w:cs="宋体"/>
                      <w:color w:val="auto"/>
                    </w:rPr>
                  </w:pPr>
                  <w:r>
                    <w:rPr>
                      <w:rFonts w:hint="eastAsia" w:cs="宋体"/>
                      <w:color w:val="auto"/>
                    </w:rPr>
                    <w:t>5%×合同总价</w:t>
                  </w:r>
                </w:p>
              </w:tc>
            </w:tr>
            <w:tr w14:paraId="5AB0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25" w:type="dxa"/>
                  <w:vAlign w:val="center"/>
                </w:tcPr>
                <w:p w14:paraId="33707BBB">
                  <w:pPr>
                    <w:pStyle w:val="162"/>
                    <w:spacing w:line="380" w:lineRule="exact"/>
                    <w:rPr>
                      <w:rFonts w:hint="eastAsia" w:cs="宋体"/>
                      <w:color w:val="auto"/>
                    </w:rPr>
                  </w:pPr>
                  <w:r>
                    <w:rPr>
                      <w:rFonts w:hint="eastAsia" w:cs="宋体"/>
                      <w:color w:val="auto"/>
                    </w:rPr>
                    <w:t>4</w:t>
                  </w:r>
                </w:p>
              </w:tc>
              <w:tc>
                <w:tcPr>
                  <w:tcW w:w="3345" w:type="dxa"/>
                  <w:vAlign w:val="center"/>
                </w:tcPr>
                <w:p w14:paraId="5DD3253A">
                  <w:pPr>
                    <w:pStyle w:val="162"/>
                    <w:spacing w:line="380" w:lineRule="exact"/>
                    <w:rPr>
                      <w:rFonts w:hint="eastAsia" w:cs="宋体"/>
                      <w:color w:val="auto"/>
                    </w:rPr>
                  </w:pPr>
                  <w:r>
                    <w:rPr>
                      <w:rFonts w:hint="eastAsia" w:cs="宋体"/>
                      <w:color w:val="auto"/>
                    </w:rPr>
                    <w:t>80≤服务质量评&lt;85</w:t>
                  </w:r>
                </w:p>
              </w:tc>
              <w:tc>
                <w:tcPr>
                  <w:tcW w:w="1549" w:type="dxa"/>
                  <w:vAlign w:val="center"/>
                </w:tcPr>
                <w:p w14:paraId="49D53AE8">
                  <w:pPr>
                    <w:pStyle w:val="162"/>
                    <w:spacing w:line="380" w:lineRule="exact"/>
                    <w:rPr>
                      <w:rFonts w:hint="eastAsia" w:cs="宋体"/>
                      <w:color w:val="auto"/>
                    </w:rPr>
                  </w:pPr>
                  <w:r>
                    <w:rPr>
                      <w:rFonts w:hint="eastAsia" w:cs="宋体"/>
                      <w:color w:val="auto"/>
                    </w:rPr>
                    <w:t>7%</w:t>
                  </w:r>
                </w:p>
              </w:tc>
              <w:tc>
                <w:tcPr>
                  <w:tcW w:w="2036" w:type="dxa"/>
                  <w:vAlign w:val="center"/>
                </w:tcPr>
                <w:p w14:paraId="05D9C59E">
                  <w:pPr>
                    <w:pStyle w:val="162"/>
                    <w:spacing w:line="380" w:lineRule="exact"/>
                    <w:rPr>
                      <w:rFonts w:hint="eastAsia" w:cs="宋体"/>
                      <w:color w:val="auto"/>
                    </w:rPr>
                  </w:pPr>
                  <w:r>
                    <w:rPr>
                      <w:rFonts w:hint="eastAsia" w:cs="宋体"/>
                      <w:color w:val="auto"/>
                    </w:rPr>
                    <w:t>7%×合同总价</w:t>
                  </w:r>
                </w:p>
              </w:tc>
            </w:tr>
            <w:tr w14:paraId="08B1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5" w:type="dxa"/>
                  <w:vAlign w:val="center"/>
                </w:tcPr>
                <w:p w14:paraId="5217E5BF">
                  <w:pPr>
                    <w:pStyle w:val="162"/>
                    <w:spacing w:line="380" w:lineRule="exact"/>
                    <w:rPr>
                      <w:rFonts w:hint="eastAsia" w:cs="宋体"/>
                      <w:color w:val="auto"/>
                    </w:rPr>
                  </w:pPr>
                  <w:r>
                    <w:rPr>
                      <w:rFonts w:hint="eastAsia" w:cs="宋体"/>
                      <w:color w:val="auto"/>
                    </w:rPr>
                    <w:t>5</w:t>
                  </w:r>
                </w:p>
              </w:tc>
              <w:tc>
                <w:tcPr>
                  <w:tcW w:w="3345" w:type="dxa"/>
                  <w:vAlign w:val="center"/>
                </w:tcPr>
                <w:p w14:paraId="096EC987">
                  <w:pPr>
                    <w:pStyle w:val="162"/>
                    <w:spacing w:line="380" w:lineRule="exact"/>
                    <w:rPr>
                      <w:rFonts w:hint="eastAsia" w:cs="宋体"/>
                      <w:color w:val="auto"/>
                    </w:rPr>
                  </w:pPr>
                  <w:r>
                    <w:rPr>
                      <w:rFonts w:hint="eastAsia" w:cs="宋体"/>
                      <w:color w:val="auto"/>
                    </w:rPr>
                    <w:t>维护服务质量评价得分&lt;80</w:t>
                  </w:r>
                </w:p>
              </w:tc>
              <w:tc>
                <w:tcPr>
                  <w:tcW w:w="1549" w:type="dxa"/>
                  <w:vAlign w:val="center"/>
                </w:tcPr>
                <w:p w14:paraId="39D0ADFF">
                  <w:pPr>
                    <w:pStyle w:val="162"/>
                    <w:spacing w:line="380" w:lineRule="exact"/>
                    <w:rPr>
                      <w:rFonts w:hint="eastAsia" w:cs="宋体"/>
                      <w:color w:val="auto"/>
                    </w:rPr>
                  </w:pPr>
                  <w:r>
                    <w:rPr>
                      <w:rFonts w:hint="eastAsia" w:cs="宋体"/>
                      <w:color w:val="auto"/>
                    </w:rPr>
                    <w:t>20%</w:t>
                  </w:r>
                </w:p>
              </w:tc>
              <w:tc>
                <w:tcPr>
                  <w:tcW w:w="2036" w:type="dxa"/>
                  <w:vAlign w:val="center"/>
                </w:tcPr>
                <w:p w14:paraId="5C6364DA">
                  <w:pPr>
                    <w:pStyle w:val="162"/>
                    <w:spacing w:line="380" w:lineRule="exact"/>
                    <w:rPr>
                      <w:rFonts w:hint="eastAsia" w:cs="宋体"/>
                      <w:color w:val="auto"/>
                    </w:rPr>
                  </w:pPr>
                  <w:r>
                    <w:rPr>
                      <w:rFonts w:hint="eastAsia" w:cs="宋体"/>
                      <w:color w:val="auto"/>
                    </w:rPr>
                    <w:t>20%×合同总价</w:t>
                  </w:r>
                </w:p>
              </w:tc>
            </w:tr>
          </w:tbl>
          <w:p w14:paraId="38B4EB9F">
            <w:pPr>
              <w:pStyle w:val="8"/>
              <w:spacing w:line="380" w:lineRule="exact"/>
              <w:ind w:firstLine="0"/>
              <w:rPr>
                <w:rFonts w:hint="eastAsia" w:ascii="宋体" w:hAnsi="宋体" w:cs="宋体"/>
                <w:szCs w:val="21"/>
              </w:rPr>
            </w:pPr>
          </w:p>
        </w:tc>
      </w:tr>
      <w:tr w14:paraId="6091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2" w:type="dxa"/>
            <w:gridSpan w:val="4"/>
            <w:tcBorders>
              <w:top w:val="single" w:color="auto" w:sz="4" w:space="0"/>
              <w:left w:val="single" w:color="auto" w:sz="4" w:space="0"/>
              <w:bottom w:val="single" w:color="auto" w:sz="4" w:space="0"/>
              <w:right w:val="single" w:color="auto" w:sz="4" w:space="0"/>
            </w:tcBorders>
            <w:vAlign w:val="center"/>
          </w:tcPr>
          <w:p w14:paraId="7568EE98">
            <w:pPr>
              <w:spacing w:line="380" w:lineRule="exact"/>
              <w:rPr>
                <w:rFonts w:hint="eastAsia" w:ascii="宋体" w:hAnsi="宋体" w:cs="宋体"/>
                <w:szCs w:val="21"/>
              </w:rPr>
            </w:pPr>
            <w:r>
              <w:rPr>
                <w:rFonts w:hint="eastAsia" w:ascii="宋体" w:hAnsi="宋体" w:cs="宋体"/>
                <w:b/>
                <w:szCs w:val="21"/>
              </w:rPr>
              <w:t>商务要求表</w:t>
            </w:r>
          </w:p>
        </w:tc>
      </w:tr>
      <w:tr w14:paraId="6A06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35E6B4AC">
            <w:pPr>
              <w:tabs>
                <w:tab w:val="left" w:pos="180"/>
                <w:tab w:val="left" w:pos="1620"/>
              </w:tabs>
              <w:spacing w:line="380" w:lineRule="exact"/>
              <w:jc w:val="center"/>
              <w:rPr>
                <w:rFonts w:hint="eastAsia" w:ascii="宋体" w:hAnsi="宋体" w:cs="宋体"/>
                <w:szCs w:val="21"/>
              </w:rPr>
            </w:pPr>
            <w:r>
              <w:rPr>
                <w:rFonts w:hint="eastAsia" w:ascii="宋体" w:hAnsi="宋体" w:cs="宋体"/>
                <w:szCs w:val="21"/>
              </w:rPr>
              <w:t>交付使用时间</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3759462B">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合同签订之日起15个日历日内，</w:t>
            </w:r>
            <w:bookmarkStart w:id="39" w:name="OLE_LINK3"/>
            <w:r>
              <w:rPr>
                <w:rFonts w:hint="eastAsia" w:ascii="宋体" w:hAnsi="宋体" w:cs="宋体"/>
                <w:szCs w:val="21"/>
              </w:rPr>
              <w:t>提供合格的算力服务给采购人，并通过采购人组织验收确认</w:t>
            </w:r>
            <w:bookmarkEnd w:id="39"/>
            <w:r>
              <w:rPr>
                <w:rFonts w:hint="eastAsia" w:ascii="宋体" w:hAnsi="宋体" w:cs="宋体"/>
                <w:szCs w:val="21"/>
              </w:rPr>
              <w:t>。</w:t>
            </w:r>
          </w:p>
        </w:tc>
      </w:tr>
      <w:tr w14:paraId="0246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448BAEFE">
            <w:pPr>
              <w:tabs>
                <w:tab w:val="left" w:pos="180"/>
                <w:tab w:val="left" w:pos="1620"/>
              </w:tabs>
              <w:spacing w:line="380" w:lineRule="exact"/>
              <w:jc w:val="center"/>
              <w:rPr>
                <w:rFonts w:hint="eastAsia" w:ascii="宋体" w:hAnsi="宋体" w:cs="宋体"/>
                <w:szCs w:val="21"/>
              </w:rPr>
            </w:pPr>
            <w:r>
              <w:rPr>
                <w:rFonts w:hint="eastAsia" w:ascii="宋体" w:hAnsi="宋体" w:cs="宋体"/>
                <w:szCs w:val="21"/>
              </w:rPr>
              <w:t>服务期限及地点</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505C47F8">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1.</w:t>
            </w:r>
            <w:r>
              <w:rPr>
                <w:rFonts w:hint="eastAsia" w:ascii="宋体" w:hAnsi="宋体" w:cs="宋体"/>
                <w:kern w:val="0"/>
                <w:szCs w:val="21"/>
              </w:rPr>
              <w:t>服务期限：</w:t>
            </w:r>
            <w:r>
              <w:rPr>
                <w:rFonts w:hint="eastAsia" w:ascii="宋体" w:hAnsi="宋体" w:cs="宋体"/>
                <w:szCs w:val="21"/>
              </w:rPr>
              <w:t>提供合格的算力服务给采购人，并通过采购人组织验收确认后</w:t>
            </w:r>
            <w:r>
              <w:rPr>
                <w:rFonts w:hint="eastAsia" w:ascii="宋体" w:hAnsi="宋体" w:cs="宋体"/>
                <w:kern w:val="0"/>
                <w:szCs w:val="21"/>
              </w:rPr>
              <w:t>起算，</w:t>
            </w:r>
            <w:r>
              <w:rPr>
                <w:rFonts w:hint="eastAsia" w:ascii="宋体" w:hAnsi="宋体" w:cs="宋体"/>
                <w:szCs w:val="21"/>
              </w:rPr>
              <w:t>租赁期为36个月。</w:t>
            </w:r>
          </w:p>
          <w:p w14:paraId="4299D288">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2.服务地点：广西南宁市（采购人指定地点）。</w:t>
            </w:r>
          </w:p>
        </w:tc>
      </w:tr>
      <w:tr w14:paraId="759E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0286A925">
            <w:pPr>
              <w:widowControl/>
              <w:spacing w:line="380" w:lineRule="exact"/>
              <w:textAlignment w:val="center"/>
              <w:rPr>
                <w:rFonts w:hint="eastAsia" w:ascii="宋体" w:hAnsi="宋体" w:cs="宋体"/>
                <w:szCs w:val="21"/>
              </w:rPr>
            </w:pPr>
            <w:r>
              <w:rPr>
                <w:rFonts w:hint="eastAsia" w:ascii="宋体" w:hAnsi="宋体" w:cs="宋体"/>
                <w:kern w:val="0"/>
                <w:szCs w:val="21"/>
              </w:rPr>
              <w:t>合同签订时间</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5639DE39">
            <w:pPr>
              <w:widowControl/>
              <w:spacing w:line="380" w:lineRule="exact"/>
              <w:textAlignment w:val="center"/>
              <w:rPr>
                <w:rFonts w:hint="eastAsia" w:ascii="宋体" w:hAnsi="宋体" w:cs="宋体"/>
                <w:szCs w:val="21"/>
              </w:rPr>
            </w:pPr>
            <w:r>
              <w:rPr>
                <w:rFonts w:hint="eastAsia" w:ascii="宋体" w:hAnsi="宋体" w:cs="宋体"/>
                <w:kern w:val="0"/>
                <w:szCs w:val="21"/>
              </w:rPr>
              <w:t>中标通知书发出之日起25天内。</w:t>
            </w:r>
          </w:p>
        </w:tc>
      </w:tr>
      <w:tr w14:paraId="56E7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5A935D47">
            <w:pPr>
              <w:widowControl/>
              <w:spacing w:line="380" w:lineRule="exact"/>
              <w:jc w:val="center"/>
              <w:textAlignment w:val="center"/>
              <w:rPr>
                <w:rFonts w:hint="eastAsia" w:ascii="宋体" w:hAnsi="宋体" w:cs="宋体"/>
                <w:szCs w:val="21"/>
              </w:rPr>
            </w:pPr>
            <w:r>
              <w:rPr>
                <w:rFonts w:hint="eastAsia" w:ascii="宋体" w:hAnsi="宋体" w:cs="宋体"/>
                <w:kern w:val="0"/>
                <w:szCs w:val="21"/>
              </w:rPr>
              <w:t>投标报价</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034F5598">
            <w:pPr>
              <w:widowControl/>
              <w:spacing w:line="380" w:lineRule="exact"/>
              <w:jc w:val="left"/>
              <w:textAlignment w:val="center"/>
              <w:rPr>
                <w:rFonts w:hint="eastAsia" w:ascii="宋体" w:hAnsi="宋体" w:cs="宋体"/>
                <w:kern w:val="0"/>
                <w:szCs w:val="21"/>
              </w:rPr>
            </w:pPr>
            <w:r>
              <w:rPr>
                <w:rFonts w:hint="eastAsia" w:ascii="宋体" w:hAnsi="宋体" w:cs="宋体"/>
                <w:kern w:val="0"/>
                <w:szCs w:val="21"/>
              </w:rPr>
              <w:t>投标报价是完成本项目的全部服务内容及其相关工作所需的全部费用：应包含（但不限于）所有服务有关的费用、验收、技术资料归档、培训、项目人员的交通费、住宿费、伙食补助费等各种费用和售后服务、税金及其它费用的总和。</w:t>
            </w:r>
          </w:p>
          <w:p w14:paraId="58E109C5">
            <w:pPr>
              <w:widowControl/>
              <w:spacing w:line="380" w:lineRule="exact"/>
              <w:jc w:val="left"/>
              <w:textAlignment w:val="center"/>
              <w:rPr>
                <w:rFonts w:hint="eastAsia" w:ascii="宋体" w:hAnsi="宋体" w:cs="宋体"/>
                <w:kern w:val="0"/>
                <w:szCs w:val="21"/>
              </w:rPr>
            </w:pPr>
            <w:r>
              <w:rPr>
                <w:rFonts w:hint="eastAsia" w:ascii="宋体" w:hAnsi="宋体" w:cs="宋体"/>
                <w:kern w:val="0"/>
                <w:szCs w:val="21"/>
              </w:rPr>
              <w:t>报价时需提供总报价及每小时租费价格。</w:t>
            </w:r>
          </w:p>
          <w:p w14:paraId="50BCEC39">
            <w:pPr>
              <w:widowControl/>
              <w:spacing w:line="380" w:lineRule="exact"/>
              <w:jc w:val="left"/>
              <w:textAlignment w:val="center"/>
              <w:rPr>
                <w:rFonts w:hint="eastAsia" w:ascii="宋体" w:hAnsi="宋体" w:cs="宋体"/>
                <w:szCs w:val="21"/>
              </w:rPr>
            </w:pPr>
            <w:r>
              <w:rPr>
                <w:rFonts w:hint="eastAsia" w:ascii="宋体" w:hAnsi="宋体" w:cs="宋体"/>
                <w:kern w:val="0"/>
                <w:szCs w:val="21"/>
              </w:rPr>
              <w:t>每小时租费价格=总报价/（</w:t>
            </w:r>
            <w:r>
              <w:rPr>
                <w:rFonts w:hint="eastAsia" w:ascii="宋体" w:hAnsi="宋体" w:cs="宋体"/>
                <w:kern w:val="0"/>
                <w:szCs w:val="21"/>
                <w:lang w:val="en-US" w:eastAsia="zh-CN"/>
              </w:rPr>
              <w:t>3</w:t>
            </w:r>
            <w:r>
              <w:rPr>
                <w:rFonts w:hint="eastAsia" w:ascii="宋体" w:hAnsi="宋体" w:cs="宋体"/>
                <w:kern w:val="0"/>
                <w:szCs w:val="21"/>
              </w:rPr>
              <w:t>(</w:t>
            </w:r>
            <w:r>
              <w:rPr>
                <w:rFonts w:hint="eastAsia" w:ascii="宋体" w:hAnsi="宋体" w:cs="宋体"/>
                <w:kern w:val="0"/>
                <w:szCs w:val="21"/>
                <w:lang w:val="en-US" w:eastAsia="zh-CN"/>
              </w:rPr>
              <w:t>年</w:t>
            </w:r>
            <w:r>
              <w:rPr>
                <w:rFonts w:hint="eastAsia" w:ascii="宋体" w:hAnsi="宋体" w:cs="宋体"/>
                <w:kern w:val="0"/>
                <w:szCs w:val="21"/>
              </w:rPr>
              <w:t>)*</w:t>
            </w:r>
            <w:r>
              <w:rPr>
                <w:rFonts w:hint="eastAsia" w:ascii="宋体" w:hAnsi="宋体" w:cs="宋体"/>
                <w:kern w:val="0"/>
                <w:szCs w:val="21"/>
                <w:lang w:val="en-US" w:eastAsia="zh-CN"/>
              </w:rPr>
              <w:t>365</w:t>
            </w:r>
            <w:r>
              <w:rPr>
                <w:rFonts w:hint="eastAsia" w:ascii="宋体" w:hAnsi="宋体" w:cs="宋体"/>
                <w:kern w:val="0"/>
                <w:szCs w:val="21"/>
              </w:rPr>
              <w:t>（天）*24（小时）</w:t>
            </w:r>
            <w:r>
              <w:rPr>
                <w:rFonts w:ascii="宋体" w:hAnsi="宋体" w:cs="宋体"/>
                <w:kern w:val="0"/>
                <w:szCs w:val="21"/>
              </w:rPr>
              <w:t>）</w:t>
            </w:r>
          </w:p>
        </w:tc>
      </w:tr>
      <w:tr w14:paraId="4A14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1DFA2FFA">
            <w:pPr>
              <w:spacing w:line="380" w:lineRule="exact"/>
              <w:jc w:val="center"/>
              <w:rPr>
                <w:rFonts w:hint="eastAsia" w:ascii="宋体" w:hAnsi="宋体" w:cs="宋体"/>
                <w:szCs w:val="21"/>
              </w:rPr>
            </w:pPr>
            <w:r>
              <w:rPr>
                <w:rFonts w:hint="eastAsia" w:ascii="宋体" w:hAnsi="宋体" w:cs="宋体"/>
                <w:szCs w:val="21"/>
              </w:rPr>
              <w:t>付款条件</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2C17A8E0">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1.提供合格的算力服务给采购人，并通过采购人组织验收确认，采购人支付15%合同款。</w:t>
            </w:r>
          </w:p>
          <w:p w14:paraId="75B953BF">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2.服务期满12个月后，采购人支付30%合同款。</w:t>
            </w:r>
          </w:p>
          <w:p w14:paraId="26221DEE">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3.服务期满24个月后，采购人支付30%合同款。</w:t>
            </w:r>
          </w:p>
          <w:p w14:paraId="17770198">
            <w:pPr>
              <w:tabs>
                <w:tab w:val="left" w:pos="180"/>
                <w:tab w:val="left" w:pos="1620"/>
              </w:tabs>
              <w:spacing w:line="380" w:lineRule="exact"/>
              <w:jc w:val="left"/>
              <w:rPr>
                <w:rFonts w:hint="eastAsia" w:ascii="宋体" w:hAnsi="宋体" w:cs="宋体"/>
                <w:szCs w:val="21"/>
              </w:rPr>
            </w:pPr>
            <w:bookmarkStart w:id="40" w:name="OLE_LINK2"/>
            <w:r>
              <w:rPr>
                <w:rFonts w:hint="eastAsia" w:ascii="宋体" w:hAnsi="宋体" w:cs="宋体"/>
                <w:szCs w:val="21"/>
              </w:rPr>
              <w:t>4.服务期满后并完成合同约定</w:t>
            </w:r>
            <w:r>
              <w:rPr>
                <w:rFonts w:hint="eastAsia" w:ascii="宋体" w:hAnsi="宋体" w:cs="宋体"/>
                <w:szCs w:val="21"/>
                <w:lang w:val="en-US" w:eastAsia="zh-CN"/>
              </w:rPr>
              <w:t>的</w:t>
            </w:r>
            <w:r>
              <w:rPr>
                <w:rFonts w:hint="eastAsia" w:ascii="宋体" w:hAnsi="宋体" w:cs="宋体"/>
                <w:szCs w:val="21"/>
              </w:rPr>
              <w:t>技术和售后工作以及最终验收工作后，支付剩余25%合同款。</w:t>
            </w:r>
          </w:p>
          <w:bookmarkEnd w:id="40"/>
          <w:p w14:paraId="1488C955">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5.采购人付款前，中标人应向采购人提供与支付金额相符的有效发票，且收款方、出具发票方、合同乙方均必须与中标人名称一致。采购人在收到合法有效的发票后，10个工作日内将资金支付到合同约定的乙方账户</w:t>
            </w:r>
          </w:p>
        </w:tc>
      </w:tr>
      <w:tr w14:paraId="73E0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72E0847E">
            <w:pPr>
              <w:spacing w:line="380" w:lineRule="exact"/>
              <w:jc w:val="center"/>
              <w:rPr>
                <w:rFonts w:hint="eastAsia" w:ascii="宋体" w:hAnsi="宋体" w:cs="宋体"/>
                <w:szCs w:val="21"/>
              </w:rPr>
            </w:pPr>
            <w:r>
              <w:rPr>
                <w:rFonts w:hint="eastAsia" w:ascii="宋体" w:hAnsi="宋体" w:cs="宋体"/>
                <w:szCs w:val="21"/>
              </w:rPr>
              <w:t>信息安全及保密要求</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17220DD2">
            <w:pPr>
              <w:spacing w:line="380" w:lineRule="exact"/>
              <w:ind w:firstLine="561"/>
              <w:jc w:val="left"/>
              <w:rPr>
                <w:rFonts w:hint="eastAsia" w:ascii="宋体" w:hAnsi="宋体" w:cs="宋体"/>
                <w:szCs w:val="21"/>
              </w:rPr>
            </w:pPr>
            <w:r>
              <w:rPr>
                <w:rFonts w:hint="eastAsia" w:ascii="宋体" w:hAnsi="宋体" w:cs="宋体"/>
                <w:szCs w:val="21"/>
              </w:rPr>
              <w:t>（一）中标人须与采购人签订《合作单位保密协议书》，运维人员须提交《保密承诺书》（格式自拟），遵守采购人信息安全管理规定，对非权限范围内设备不允许操作。非权限范围内信息不允许访问。未经允许，不可随意在工作环境内拍照、录音、录像等。</w:t>
            </w:r>
          </w:p>
          <w:p w14:paraId="2D85B97F">
            <w:pPr>
              <w:spacing w:line="380" w:lineRule="exact"/>
              <w:ind w:firstLine="561"/>
              <w:jc w:val="left"/>
              <w:rPr>
                <w:rFonts w:hint="eastAsia" w:ascii="宋体" w:hAnsi="宋体" w:cs="宋体"/>
                <w:szCs w:val="21"/>
              </w:rPr>
            </w:pPr>
            <w:r>
              <w:rPr>
                <w:rFonts w:hint="eastAsia" w:ascii="宋体" w:hAnsi="宋体" w:cs="宋体"/>
                <w:szCs w:val="21"/>
              </w:rPr>
              <w:t>（二）负责维护工作的中标人要保证对所有系统资料和数据负有保密的责任和义务，未经采购人许可，不允许向第三方透露。</w:t>
            </w:r>
          </w:p>
          <w:p w14:paraId="504939C4">
            <w:pPr>
              <w:spacing w:line="380" w:lineRule="exact"/>
              <w:ind w:firstLine="561"/>
              <w:jc w:val="left"/>
              <w:rPr>
                <w:rFonts w:hint="eastAsia" w:ascii="宋体" w:hAnsi="宋体" w:cs="宋体"/>
                <w:szCs w:val="21"/>
              </w:rPr>
            </w:pPr>
            <w:r>
              <w:rPr>
                <w:rFonts w:hint="eastAsia" w:ascii="宋体" w:hAnsi="宋体" w:cs="宋体"/>
                <w:szCs w:val="21"/>
              </w:rPr>
              <w:t>（三）投标人须随投标文件附上《廉洁承诺书》，做出不向建设单位工作人员行贿的承诺。未在投标文件中附上《廉洁承诺书》的，视为投标无效。</w:t>
            </w:r>
          </w:p>
          <w:p w14:paraId="4180BDC6">
            <w:pPr>
              <w:spacing w:line="380" w:lineRule="exact"/>
              <w:ind w:firstLine="561"/>
              <w:jc w:val="left"/>
              <w:rPr>
                <w:rFonts w:hint="eastAsia" w:ascii="宋体" w:hAnsi="宋体" w:cs="宋体"/>
                <w:szCs w:val="21"/>
              </w:rPr>
            </w:pPr>
            <w:r>
              <w:rPr>
                <w:rFonts w:hint="eastAsia" w:ascii="宋体" w:hAnsi="宋体" w:cs="宋体"/>
                <w:szCs w:val="21"/>
              </w:rPr>
              <w:t>（四）中标人须严格履行采购人服务规范要求，包括但不限于以下规范：采购人各项内部规定。</w:t>
            </w:r>
          </w:p>
          <w:p w14:paraId="27DF4497">
            <w:pPr>
              <w:spacing w:line="380" w:lineRule="exact"/>
              <w:ind w:firstLine="561"/>
              <w:jc w:val="left"/>
              <w:rPr>
                <w:rFonts w:hint="eastAsia" w:ascii="宋体" w:hAnsi="宋体" w:cs="宋体"/>
                <w:szCs w:val="21"/>
              </w:rPr>
            </w:pPr>
            <w:r>
              <w:rPr>
                <w:rFonts w:hint="eastAsia" w:ascii="宋体" w:hAnsi="宋体" w:cs="宋体"/>
                <w:szCs w:val="21"/>
              </w:rPr>
              <w:t>（五）中标人须无条件配合开展施工及维保人员岗前审查、保密教育、保密检查工作。必须对项目实施过程中获取的相关信息保密（相关信息包括但不限于本项目），如发生失泄密事件即终止合同。</w:t>
            </w:r>
          </w:p>
          <w:p w14:paraId="1A000C2E">
            <w:pPr>
              <w:spacing w:line="380" w:lineRule="exact"/>
              <w:ind w:firstLine="561"/>
              <w:jc w:val="left"/>
              <w:rPr>
                <w:rFonts w:hint="eastAsia" w:ascii="宋体" w:hAnsi="宋体" w:cs="宋体"/>
                <w:szCs w:val="21"/>
              </w:rPr>
            </w:pPr>
            <w:r>
              <w:rPr>
                <w:rFonts w:hint="eastAsia" w:ascii="宋体" w:hAnsi="宋体" w:cs="宋体"/>
                <w:szCs w:val="21"/>
              </w:rPr>
              <w:t>（六）合同签订后，项目建设单位负责人和中标供应商负责人应当签订《政府采购项目廉政责任承诺书》。</w:t>
            </w:r>
          </w:p>
          <w:p w14:paraId="1E28C9A9">
            <w:pPr>
              <w:spacing w:line="380" w:lineRule="exact"/>
              <w:ind w:firstLine="561"/>
              <w:jc w:val="left"/>
              <w:rPr>
                <w:rFonts w:hint="eastAsia" w:ascii="宋体" w:hAnsi="宋体" w:cs="宋体"/>
                <w:szCs w:val="21"/>
              </w:rPr>
            </w:pPr>
            <w:r>
              <w:rPr>
                <w:rFonts w:hint="eastAsia" w:ascii="宋体" w:hAnsi="宋体" w:cs="宋体"/>
                <w:szCs w:val="21"/>
              </w:rPr>
              <w:t>（七）其他要求</w:t>
            </w:r>
          </w:p>
          <w:p w14:paraId="1C1FF182">
            <w:pPr>
              <w:spacing w:line="380" w:lineRule="exact"/>
              <w:ind w:firstLine="561"/>
              <w:jc w:val="left"/>
              <w:rPr>
                <w:rFonts w:hint="eastAsia" w:ascii="宋体" w:hAnsi="宋体" w:cs="宋体"/>
                <w:szCs w:val="21"/>
              </w:rPr>
            </w:pPr>
            <w:r>
              <w:rPr>
                <w:rFonts w:hint="eastAsia" w:ascii="宋体" w:hAnsi="宋体" w:cs="宋体"/>
                <w:szCs w:val="21"/>
              </w:rPr>
              <w:t>（1）中标人应针对本项目设置安全负责人岗位，全面负责和管理本项目的网络安全相关工作。</w:t>
            </w:r>
          </w:p>
          <w:p w14:paraId="468B854E">
            <w:pPr>
              <w:spacing w:line="380" w:lineRule="exact"/>
              <w:ind w:firstLine="561"/>
              <w:jc w:val="left"/>
              <w:rPr>
                <w:rFonts w:hint="eastAsia" w:ascii="宋体" w:hAnsi="宋体" w:cs="宋体"/>
                <w:szCs w:val="21"/>
              </w:rPr>
            </w:pPr>
            <w:r>
              <w:rPr>
                <w:rFonts w:hint="eastAsia" w:ascii="宋体" w:hAnsi="宋体" w:cs="宋体"/>
                <w:szCs w:val="21"/>
              </w:rPr>
              <w:t>（2）中标人应根据采购人数据分类分级情况，采取相应的加密、备份、访问控制及安全审计等措施。</w:t>
            </w:r>
          </w:p>
          <w:p w14:paraId="5BAAB3F6">
            <w:pPr>
              <w:spacing w:line="380" w:lineRule="exact"/>
              <w:ind w:firstLine="561"/>
              <w:jc w:val="left"/>
              <w:rPr>
                <w:rFonts w:hint="eastAsia" w:ascii="宋体" w:hAnsi="宋体" w:cs="宋体"/>
                <w:szCs w:val="21"/>
              </w:rPr>
            </w:pPr>
            <w:r>
              <w:rPr>
                <w:rFonts w:hint="eastAsia" w:ascii="宋体" w:hAnsi="宋体" w:cs="宋体"/>
                <w:szCs w:val="21"/>
              </w:rPr>
              <w:t>（3）中标人应与采购人签订数据处理运维安全责任协议。</w:t>
            </w:r>
          </w:p>
          <w:p w14:paraId="74E81A79">
            <w:pPr>
              <w:spacing w:line="380" w:lineRule="exact"/>
              <w:ind w:firstLine="561"/>
              <w:jc w:val="left"/>
              <w:rPr>
                <w:rFonts w:hint="eastAsia" w:ascii="宋体" w:hAnsi="宋体" w:cs="宋体"/>
                <w:szCs w:val="21"/>
              </w:rPr>
            </w:pPr>
            <w:r>
              <w:rPr>
                <w:rFonts w:hint="eastAsia" w:ascii="宋体" w:hAnsi="宋体" w:cs="宋体"/>
                <w:szCs w:val="21"/>
              </w:rPr>
              <w:t>（4）中标人应按照《中华人民共和国网络安全法》《中华人民共和国数据安全法》《中华人民共和国个人信息保护法》《中华人民共和国密码法》《网络数据安全管理条例》《关键信息基础设施安全保护条例》《商用密码管理条例》等法律法规及规章制度的要求，履行网络和数据安全保护义务。</w:t>
            </w:r>
          </w:p>
        </w:tc>
      </w:tr>
      <w:tr w14:paraId="02B4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4DE375A1">
            <w:pPr>
              <w:spacing w:line="380" w:lineRule="exact"/>
              <w:jc w:val="center"/>
              <w:rPr>
                <w:rFonts w:hint="eastAsia" w:ascii="宋体" w:hAnsi="宋体" w:cs="宋体"/>
                <w:szCs w:val="21"/>
              </w:rPr>
            </w:pPr>
            <w:r>
              <w:rPr>
                <w:rFonts w:hint="eastAsia" w:ascii="宋体" w:hAnsi="宋体" w:cs="宋体"/>
                <w:szCs w:val="21"/>
              </w:rPr>
              <w:t>验收标准要求</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5380FEEA">
            <w:pPr>
              <w:spacing w:line="380" w:lineRule="exact"/>
              <w:ind w:firstLine="561"/>
              <w:rPr>
                <w:rFonts w:hint="eastAsia" w:ascii="宋体" w:hAnsi="宋体" w:cs="宋体"/>
                <w:szCs w:val="21"/>
              </w:rPr>
            </w:pPr>
            <w:r>
              <w:rPr>
                <w:rFonts w:hint="eastAsia" w:ascii="宋体" w:hAnsi="宋体" w:cs="宋体"/>
                <w:szCs w:val="21"/>
              </w:rPr>
              <w:t>1.验收过程必须严格按照自治区数据局及自治区公安厅信息化项目管理办法验收标准进行，由采购人组织验收。</w:t>
            </w:r>
          </w:p>
          <w:p w14:paraId="3D22ECB8">
            <w:pPr>
              <w:spacing w:line="380" w:lineRule="exact"/>
              <w:ind w:firstLine="561"/>
              <w:rPr>
                <w:rFonts w:hint="eastAsia" w:ascii="宋体" w:hAnsi="宋体" w:cs="宋体"/>
                <w:szCs w:val="21"/>
              </w:rPr>
            </w:pPr>
            <w:r>
              <w:rPr>
                <w:rFonts w:hint="eastAsia" w:ascii="宋体" w:hAnsi="宋体" w:cs="宋体"/>
                <w:szCs w:val="21"/>
              </w:rPr>
              <w:t>2.验收依据：按照政府采购项目履约验收管理办法及广西壮族自治区公安厅信息化项目管理办法、双方合同、投标文件验收。</w:t>
            </w:r>
          </w:p>
        </w:tc>
      </w:tr>
      <w:tr w14:paraId="45EE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329AAD5C">
            <w:pPr>
              <w:spacing w:line="380" w:lineRule="exact"/>
              <w:jc w:val="center"/>
              <w:rPr>
                <w:rFonts w:hint="eastAsia" w:ascii="宋体" w:hAnsi="宋体" w:cs="宋体"/>
                <w:szCs w:val="21"/>
              </w:rPr>
            </w:pPr>
            <w:r>
              <w:rPr>
                <w:rFonts w:hint="eastAsia" w:ascii="宋体" w:hAnsi="宋体" w:cs="宋体"/>
                <w:szCs w:val="21"/>
              </w:rPr>
              <w:t>服务质量保障要求</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179E657A">
            <w:pPr>
              <w:spacing w:line="380" w:lineRule="exact"/>
              <w:ind w:firstLine="561"/>
              <w:rPr>
                <w:rFonts w:hint="eastAsia" w:ascii="宋体" w:hAnsi="宋体" w:cs="宋体"/>
                <w:szCs w:val="21"/>
              </w:rPr>
            </w:pPr>
            <w:r>
              <w:rPr>
                <w:rFonts w:hint="eastAsia" w:ascii="宋体" w:hAnsi="宋体" w:cs="宋体"/>
                <w:szCs w:val="21"/>
              </w:rPr>
              <w:t>1.项目监理要求：</w:t>
            </w:r>
          </w:p>
          <w:p w14:paraId="149BC4C3">
            <w:pPr>
              <w:spacing w:line="380" w:lineRule="exact"/>
              <w:ind w:firstLine="561"/>
              <w:rPr>
                <w:rFonts w:hint="eastAsia" w:ascii="宋体" w:hAnsi="宋体" w:cs="宋体"/>
                <w:szCs w:val="21"/>
              </w:rPr>
            </w:pPr>
            <w:r>
              <w:rPr>
                <w:rFonts w:hint="eastAsia" w:ascii="宋体" w:hAnsi="宋体" w:cs="宋体"/>
                <w:szCs w:val="21"/>
              </w:rPr>
              <w:t>中标人须接受采购人指定的第三方监理单位的监督管理；中标人须在合同签订后10个工作日内，根据服务内容、文档交付、备品备件清单等招标要求以及采购人对文档的格式要求拟定合同履约清单并提交监理单位审核通过。</w:t>
            </w:r>
          </w:p>
          <w:p w14:paraId="0C6504A2">
            <w:pPr>
              <w:spacing w:line="380" w:lineRule="exact"/>
              <w:ind w:firstLine="561"/>
              <w:rPr>
                <w:rFonts w:hint="eastAsia" w:ascii="宋体" w:hAnsi="宋体" w:cs="宋体"/>
                <w:szCs w:val="21"/>
              </w:rPr>
            </w:pPr>
            <w:r>
              <w:rPr>
                <w:rFonts w:hint="eastAsia" w:ascii="宋体" w:hAnsi="宋体" w:cs="宋体"/>
                <w:szCs w:val="21"/>
              </w:rPr>
              <w:t>2.违约责任：</w:t>
            </w:r>
          </w:p>
          <w:p w14:paraId="35CA3254">
            <w:pPr>
              <w:spacing w:line="380" w:lineRule="exact"/>
              <w:ind w:firstLine="420" w:firstLineChars="200"/>
              <w:rPr>
                <w:rFonts w:hint="eastAsia" w:ascii="宋体" w:hAnsi="宋体" w:cs="宋体"/>
                <w:szCs w:val="21"/>
              </w:rPr>
            </w:pPr>
            <w:r>
              <w:rPr>
                <w:rFonts w:hint="eastAsia" w:ascii="宋体" w:hAnsi="宋体" w:cs="宋体"/>
                <w:szCs w:val="21"/>
              </w:rPr>
              <w:t>（1）中标人未按合同约定的期限提交相应服务及与其相关的服务成果，每逾期一日扣除合同总金额的0.5%作为延迟罚款，最高不超过合同总金额的10%；逾期超过30日或者经整改后再次提交的服务成果不符合采购人要求的，采购人有权解除合同并没收其履约保证金且不再支付任何费用；中标人应当于解除合同后15日内全额退还采购人已支付的费用（逾期退还的，按资金占用期间同期银行贷款利息的两倍支付利息），并且中标人应向采购人支付相当于合同金额30%的违约金，违约金不足以赔偿采购人损失的，中标人还须赔偿采购人全部损失。</w:t>
            </w:r>
          </w:p>
          <w:p w14:paraId="51CE851A">
            <w:pPr>
              <w:spacing w:line="380" w:lineRule="exact"/>
              <w:ind w:firstLine="561"/>
              <w:rPr>
                <w:rFonts w:hint="eastAsia" w:ascii="宋体" w:hAnsi="宋体" w:cs="宋体"/>
                <w:szCs w:val="21"/>
              </w:rPr>
            </w:pPr>
            <w:r>
              <w:rPr>
                <w:rFonts w:hint="eastAsia" w:ascii="宋体" w:hAnsi="宋体" w:cs="宋体"/>
                <w:szCs w:val="21"/>
              </w:rPr>
              <w:t>（2）中标人所提供的服务成果、数量、技术参数要求等不符合本项目要求的，应及时整改；中标人在采购人规定期限内不能完成整改的或无正当理由拒绝整改或经整改后仍不能达到采购人要求的，采购人有权终止合同，违约责任按照本条第1款执行。</w:t>
            </w:r>
          </w:p>
          <w:p w14:paraId="46D9391C">
            <w:pPr>
              <w:spacing w:line="380" w:lineRule="exact"/>
              <w:ind w:firstLine="561"/>
              <w:rPr>
                <w:rFonts w:hint="eastAsia" w:ascii="宋体" w:hAnsi="宋体" w:cs="宋体"/>
                <w:szCs w:val="21"/>
              </w:rPr>
            </w:pPr>
            <w:r>
              <w:rPr>
                <w:rFonts w:hint="eastAsia" w:ascii="宋体" w:hAnsi="宋体" w:cs="宋体"/>
                <w:szCs w:val="21"/>
              </w:rPr>
              <w:t>（3）中标人中标后被发现其在投标活动中提供任何虚假材料的，采购人有权解除合同，并按照本条第1款追究中标人违约责任。</w:t>
            </w:r>
          </w:p>
          <w:p w14:paraId="792CCF38">
            <w:pPr>
              <w:spacing w:line="380" w:lineRule="exact"/>
              <w:ind w:firstLine="561"/>
              <w:rPr>
                <w:rFonts w:hint="eastAsia" w:ascii="宋体" w:hAnsi="宋体" w:cs="宋体"/>
                <w:szCs w:val="21"/>
              </w:rPr>
            </w:pPr>
            <w:r>
              <w:rPr>
                <w:rFonts w:hint="eastAsia" w:ascii="宋体" w:hAnsi="宋体" w:cs="宋体"/>
                <w:szCs w:val="21"/>
              </w:rPr>
              <w:t>（4）采购人有权依据招标文件、投标文件对中标人的服务人员进行管理或要求更换，对于采购人要求更换服务人员的，中标人应无条件及时更换；中标人拒绝更换的，采购人有权终止合同，追回已付款项，并按本合同金额的10%计算违约金。</w:t>
            </w:r>
          </w:p>
          <w:p w14:paraId="227320C6">
            <w:pPr>
              <w:spacing w:line="380" w:lineRule="exact"/>
              <w:ind w:firstLine="561"/>
              <w:rPr>
                <w:rFonts w:hint="eastAsia" w:ascii="宋体" w:hAnsi="宋体" w:cs="宋体"/>
                <w:szCs w:val="21"/>
              </w:rPr>
            </w:pPr>
            <w:r>
              <w:rPr>
                <w:rFonts w:hint="eastAsia" w:ascii="宋体" w:hAnsi="宋体" w:cs="宋体"/>
                <w:szCs w:val="21"/>
              </w:rPr>
              <w:t>（5）除因采购人自身原因外，若因中标人操作造成采购人系统数据丢失、泄密的，中标人应按合同金额的30%支付违约金，违约金不足以弥补采购人损失的，中标人还应支付赔偿金。</w:t>
            </w:r>
          </w:p>
          <w:p w14:paraId="169DE5EC">
            <w:pPr>
              <w:spacing w:line="380" w:lineRule="exact"/>
              <w:ind w:firstLine="561"/>
              <w:rPr>
                <w:rFonts w:hint="eastAsia" w:ascii="宋体" w:hAnsi="宋体" w:cs="宋体"/>
                <w:szCs w:val="21"/>
              </w:rPr>
            </w:pPr>
            <w:r>
              <w:rPr>
                <w:rFonts w:hint="eastAsia" w:ascii="宋体" w:hAnsi="宋体" w:cs="宋体"/>
                <w:szCs w:val="21"/>
              </w:rPr>
              <w:t>（6）中标人未按本合同和投标文件中规定的服务承诺提供售后服务的，每出现一次，中标人应按合同金额5%支付违约金；若中标人明确拒绝或怠于提供售后服务的，采购人有权聘请第三方机构提供售后服务，因此产生的费用均由中标人承担。</w:t>
            </w:r>
          </w:p>
          <w:p w14:paraId="689153A6">
            <w:pPr>
              <w:spacing w:line="380" w:lineRule="exact"/>
              <w:ind w:firstLine="561"/>
              <w:rPr>
                <w:rFonts w:hint="eastAsia" w:ascii="宋体" w:hAnsi="宋体" w:cs="宋体"/>
                <w:szCs w:val="21"/>
              </w:rPr>
            </w:pPr>
            <w:r>
              <w:rPr>
                <w:rFonts w:hint="eastAsia" w:ascii="宋体" w:hAnsi="宋体" w:cs="宋体"/>
                <w:szCs w:val="21"/>
              </w:rPr>
              <w:t>（7）如中标人违反合同约定及采购人要求的信息安全及保密要求，每违反一次收取合同金额2%的违约金，累计不超过合同金额的30%，违约金不足以弥补采购人实际损失的，还应支付赔偿金；情节严重的移交相关部门处理。</w:t>
            </w:r>
          </w:p>
          <w:p w14:paraId="27289C7E">
            <w:pPr>
              <w:spacing w:line="380" w:lineRule="exact"/>
              <w:ind w:firstLine="561"/>
              <w:rPr>
                <w:rFonts w:hint="eastAsia" w:ascii="宋体" w:hAnsi="宋体" w:cs="宋体"/>
                <w:szCs w:val="21"/>
              </w:rPr>
            </w:pPr>
            <w:r>
              <w:rPr>
                <w:rFonts w:hint="eastAsia" w:ascii="宋体" w:hAnsi="宋体" w:cs="宋体"/>
                <w:szCs w:val="21"/>
              </w:rPr>
              <w:t>（8）本项目所指的损失是指采购人因中标人违约而遭受的全部经济损失（包括但不限于直接损失、间接损失及实现债权的费用，如诉讼费、保全费、财产保全责任险保险费、调查取证费、鉴定费、律师费、差旅费等）。</w:t>
            </w:r>
          </w:p>
          <w:p w14:paraId="070DD062">
            <w:pPr>
              <w:spacing w:line="380" w:lineRule="exact"/>
              <w:ind w:firstLine="561"/>
              <w:rPr>
                <w:rFonts w:hint="eastAsia" w:ascii="宋体" w:hAnsi="宋体" w:cs="宋体"/>
                <w:szCs w:val="21"/>
              </w:rPr>
            </w:pPr>
            <w:r>
              <w:rPr>
                <w:rFonts w:hint="eastAsia" w:ascii="宋体" w:hAnsi="宋体" w:cs="宋体"/>
                <w:szCs w:val="21"/>
              </w:rPr>
              <w:t>（9）采购人有权从未付价款、履约保证金中先行扣除中标人应支付的违约金、赔偿金，不足另补。</w:t>
            </w:r>
          </w:p>
          <w:p w14:paraId="551785E6">
            <w:pPr>
              <w:spacing w:line="380" w:lineRule="exact"/>
              <w:ind w:firstLine="561"/>
              <w:rPr>
                <w:rFonts w:hint="eastAsia" w:ascii="宋体" w:hAnsi="宋体" w:cs="宋体"/>
                <w:szCs w:val="21"/>
              </w:rPr>
            </w:pPr>
            <w:r>
              <w:rPr>
                <w:rFonts w:hint="eastAsia" w:ascii="宋体" w:hAnsi="宋体" w:cs="宋体"/>
                <w:szCs w:val="21"/>
              </w:rPr>
              <w:t>（10）中标人提供的成果如侵犯了第三方合法权益而引发的任何纠纷或诉讼，均由中标人负责交涉并承担全部责任，由此造成采购人损失的，包括但不限于应诉的律师费和诉讼费等，均由中标人全部赔偿。</w:t>
            </w:r>
          </w:p>
          <w:p w14:paraId="7CAC2F49">
            <w:pPr>
              <w:spacing w:line="380" w:lineRule="exact"/>
              <w:ind w:firstLine="561"/>
              <w:rPr>
                <w:rFonts w:hint="eastAsia" w:ascii="宋体" w:hAnsi="宋体" w:cs="宋体"/>
                <w:szCs w:val="21"/>
              </w:rPr>
            </w:pPr>
            <w:r>
              <w:rPr>
                <w:rFonts w:hint="eastAsia" w:ascii="宋体" w:hAnsi="宋体" w:cs="宋体"/>
                <w:szCs w:val="21"/>
              </w:rPr>
              <w:t>（11）由于采购人的原因造成合同不能如期履行的，双方可根据具体情况顺延合同的履行期，对中标人因此遭受的实际损失，采购人应予以合理补偿。</w:t>
            </w:r>
          </w:p>
        </w:tc>
      </w:tr>
      <w:tr w14:paraId="0373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49D84B57">
            <w:pPr>
              <w:spacing w:line="380" w:lineRule="exact"/>
              <w:jc w:val="center"/>
              <w:rPr>
                <w:rFonts w:hint="eastAsia" w:ascii="宋体" w:hAnsi="宋体" w:cs="宋体"/>
                <w:szCs w:val="21"/>
              </w:rPr>
            </w:pPr>
            <w:r>
              <w:rPr>
                <w:rFonts w:hint="eastAsia" w:ascii="宋体" w:hAnsi="宋体" w:cs="宋体"/>
                <w:szCs w:val="21"/>
              </w:rPr>
              <w:t>其他要求</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3DC4F087">
            <w:pPr>
              <w:spacing w:line="380" w:lineRule="exact"/>
              <w:ind w:firstLine="420" w:firstLineChars="200"/>
              <w:jc w:val="left"/>
              <w:rPr>
                <w:rFonts w:hint="eastAsia" w:ascii="宋体" w:hAnsi="宋体" w:cs="宋体"/>
                <w:szCs w:val="21"/>
              </w:rPr>
            </w:pPr>
            <w:r>
              <w:rPr>
                <w:rFonts w:hint="eastAsia" w:ascii="宋体" w:hAnsi="宋体" w:cs="宋体"/>
                <w:szCs w:val="21"/>
              </w:rPr>
              <w:t>1.投标人可根据自身情况编写服务及售后方案，内容可以包括但不限于：对项目的理解、实施方案、进度保证措施、服务承诺及后续服务安排、人员配备方案等。</w:t>
            </w:r>
          </w:p>
          <w:p w14:paraId="00A2DDAD">
            <w:pPr>
              <w:spacing w:line="380" w:lineRule="exact"/>
              <w:ind w:firstLine="420" w:firstLineChars="200"/>
              <w:rPr>
                <w:rFonts w:hint="eastAsia" w:ascii="宋体" w:hAnsi="宋体" w:cs="宋体"/>
                <w:szCs w:val="21"/>
              </w:rPr>
            </w:pPr>
            <w:r>
              <w:rPr>
                <w:rFonts w:hint="eastAsia" w:ascii="宋体" w:hAnsi="宋体" w:cs="宋体"/>
                <w:szCs w:val="21"/>
              </w:rPr>
              <w:t>2.投标人在投标文件中，需要提供满足本项目资源租赁需求对应提供的软硬件配置清单（包含软硬件名称、配置、数量及品牌型号），并加盖公章。</w:t>
            </w:r>
          </w:p>
          <w:p w14:paraId="204C744D">
            <w:pPr>
              <w:spacing w:line="380" w:lineRule="exact"/>
              <w:ind w:firstLine="420" w:firstLineChars="200"/>
              <w:rPr>
                <w:rFonts w:ascii="宋体" w:hAnsi="宋体" w:cs="宋体"/>
                <w:szCs w:val="21"/>
              </w:rPr>
            </w:pPr>
            <w:r>
              <w:rPr>
                <w:rFonts w:hint="eastAsia" w:ascii="宋体" w:hAnsi="宋体" w:cs="宋体"/>
                <w:szCs w:val="21"/>
              </w:rPr>
              <w:t>3.投标人承诺在本项目中租赁给采购人的算力资源（包括AI算力服务器、网络交换机、AI推理服务存储)均为全新未使用过的设备资源（所投设备整机生产日期和到货日期不超过6个月，并提供承诺函，格式自拟），在本项目要求的服务期内，该部分资源仅用于为自治区公安厅提供租赁服务。服务期满后，存储硬盘需要留存给采购人。</w:t>
            </w:r>
          </w:p>
          <w:p w14:paraId="5FC893D8">
            <w:pPr>
              <w:spacing w:line="380" w:lineRule="exact"/>
              <w:ind w:firstLine="420" w:firstLineChars="200"/>
              <w:rPr>
                <w:rFonts w:ascii="宋体" w:hAnsi="宋体" w:cs="宋体"/>
                <w:szCs w:val="21"/>
              </w:rPr>
            </w:pPr>
            <w:r>
              <w:rPr>
                <w:rFonts w:hint="eastAsia" w:ascii="宋体" w:hAnsi="宋体" w:cs="宋体"/>
                <w:szCs w:val="21"/>
              </w:rPr>
              <w:t>4.中标供应商须在正式服务期12个月内，配合采购方通过三级等保、商用密码应用安全性评估。</w:t>
            </w:r>
          </w:p>
          <w:p w14:paraId="3A2F8591">
            <w:pPr>
              <w:spacing w:line="380" w:lineRule="exact"/>
              <w:ind w:firstLine="420" w:firstLineChars="200"/>
              <w:rPr>
                <w:rFonts w:hint="eastAsia" w:ascii="宋体" w:hAnsi="宋体" w:cs="宋体"/>
                <w:szCs w:val="21"/>
              </w:rPr>
            </w:pPr>
            <w:r>
              <w:rPr>
                <w:rFonts w:hint="eastAsia" w:ascii="宋体" w:hAnsi="宋体" w:cs="宋体"/>
                <w:szCs w:val="21"/>
              </w:rPr>
              <w:t>5.若供应商在服务期内出现</w:t>
            </w:r>
            <w:r>
              <w:rPr>
                <w:rFonts w:hint="eastAsia" w:ascii="宋体" w:hAnsi="宋体" w:cs="宋体"/>
                <w:szCs w:val="21"/>
                <w:lang w:val="en-US" w:eastAsia="zh-CN"/>
              </w:rPr>
              <w:t>服务费用扣减、</w:t>
            </w:r>
            <w:r>
              <w:rPr>
                <w:rFonts w:hint="eastAsia" w:ascii="宋体" w:hAnsi="宋体" w:cs="宋体"/>
                <w:szCs w:val="21"/>
              </w:rPr>
              <w:t>未按合同约定提供算力服务</w:t>
            </w:r>
            <w:r>
              <w:rPr>
                <w:rFonts w:hint="eastAsia" w:ascii="宋体" w:hAnsi="宋体" w:cs="宋体"/>
                <w:szCs w:val="21"/>
                <w:lang w:val="en-US" w:eastAsia="zh-CN"/>
              </w:rPr>
              <w:t>等</w:t>
            </w:r>
            <w:r>
              <w:rPr>
                <w:rFonts w:hint="eastAsia" w:ascii="宋体" w:hAnsi="宋体" w:cs="宋体"/>
                <w:szCs w:val="21"/>
              </w:rPr>
              <w:t>行为，经采购人认定并下达《处罚通知书》后，处罚执行期间（包括但不限于整改期、服务暂停期等）不计入有效租赁服务时间。</w:t>
            </w:r>
          </w:p>
          <w:p w14:paraId="50B7BC2D">
            <w:pPr>
              <w:spacing w:line="380" w:lineRule="exact"/>
              <w:ind w:firstLine="420" w:firstLineChars="200"/>
              <w:rPr>
                <w:rFonts w:hint="eastAsia" w:ascii="宋体" w:hAnsi="宋体" w:cs="宋体"/>
                <w:szCs w:val="21"/>
              </w:rPr>
            </w:pPr>
            <w:r>
              <w:rPr>
                <w:rFonts w:hint="eastAsia" w:ascii="宋体" w:hAnsi="宋体" w:cs="宋体"/>
                <w:szCs w:val="21"/>
              </w:rPr>
              <w:t>处罚时间的具体时长以《处罚通知书》明确的期限为准，若涉及持续性违约需延长处罚的，双方需另行签署补充协议确认。</w:t>
            </w:r>
          </w:p>
          <w:p w14:paraId="79A37993">
            <w:pPr>
              <w:spacing w:line="380" w:lineRule="exact"/>
              <w:ind w:firstLine="420" w:firstLineChars="200"/>
              <w:rPr>
                <w:rFonts w:hint="eastAsia" w:ascii="宋体" w:hAnsi="宋体" w:cs="宋体"/>
                <w:szCs w:val="21"/>
              </w:rPr>
            </w:pPr>
            <w:r>
              <w:rPr>
                <w:rFonts w:hint="eastAsia" w:ascii="宋体" w:hAnsi="宋体" w:cs="宋体"/>
                <w:szCs w:val="21"/>
              </w:rPr>
              <w:t>服务期满的计算规则：</w:t>
            </w:r>
          </w:p>
          <w:p w14:paraId="3A0E059E">
            <w:pPr>
              <w:spacing w:line="380" w:lineRule="exact"/>
              <w:ind w:firstLine="420" w:firstLineChars="200"/>
              <w:rPr>
                <w:rFonts w:hint="eastAsia" w:ascii="宋体" w:hAnsi="宋体" w:cs="宋体"/>
                <w:szCs w:val="21"/>
              </w:rPr>
            </w:pPr>
            <w:r>
              <w:rPr>
                <w:rFonts w:hint="eastAsia" w:ascii="宋体" w:hAnsi="宋体" w:cs="宋体"/>
                <w:szCs w:val="21"/>
              </w:rPr>
              <w:t>本项目服务期满时间以有效租赁服务时长累计达到合同约定总租赁期限为准，即：</w:t>
            </w:r>
          </w:p>
          <w:p w14:paraId="4C22E19F">
            <w:pPr>
              <w:spacing w:line="380" w:lineRule="exact"/>
              <w:ind w:firstLine="420" w:firstLineChars="200"/>
              <w:rPr>
                <w:rFonts w:hint="eastAsia" w:ascii="宋体" w:hAnsi="宋体" w:eastAsia="宋体" w:cs="宋体"/>
                <w:szCs w:val="21"/>
                <w:lang w:eastAsia="zh-CN"/>
              </w:rPr>
            </w:pPr>
            <w:r>
              <w:rPr>
                <w:rFonts w:hint="eastAsia" w:ascii="宋体" w:hAnsi="宋体" w:cs="宋体"/>
                <w:szCs w:val="21"/>
                <w:lang w:eastAsia="zh-CN"/>
              </w:rPr>
              <w:t>有效租赁时长=实际服务时长-累计处罚时长</w:t>
            </w:r>
          </w:p>
          <w:p w14:paraId="48ADDCD3">
            <w:pPr>
              <w:spacing w:line="380" w:lineRule="exact"/>
              <w:ind w:firstLine="420" w:firstLineChars="200"/>
              <w:rPr>
                <w:rFonts w:hint="eastAsia" w:ascii="宋体" w:hAnsi="宋体" w:cs="宋体"/>
                <w:szCs w:val="21"/>
              </w:rPr>
            </w:pPr>
            <w:r>
              <w:rPr>
                <w:rFonts w:hint="eastAsia" w:ascii="宋体" w:hAnsi="宋体" w:cs="宋体"/>
                <w:szCs w:val="21"/>
              </w:rPr>
              <w:t>若因处罚导致有效租赁时长未满足合同约定，服务期将自动顺延，顺延期限与累计处罚时间相等，直至有效租赁时长达到合同约定的总租赁期限，双方签署《服务期满确认书》后，本项目服务正式终止。</w:t>
            </w:r>
          </w:p>
          <w:p w14:paraId="5F8EE744">
            <w:pPr>
              <w:spacing w:line="380" w:lineRule="exact"/>
              <w:ind w:firstLine="420" w:firstLineChars="200"/>
              <w:rPr>
                <w:rFonts w:hint="eastAsia" w:ascii="宋体" w:hAnsi="宋体" w:cs="宋体"/>
                <w:szCs w:val="21"/>
              </w:rPr>
            </w:pPr>
            <w:r>
              <w:rPr>
                <w:rFonts w:hint="eastAsia" w:ascii="宋体" w:hAnsi="宋体" w:cs="宋体"/>
                <w:szCs w:val="21"/>
              </w:rPr>
              <w:t>流程确认</w:t>
            </w:r>
          </w:p>
          <w:p w14:paraId="205E3C25">
            <w:pPr>
              <w:spacing w:line="380" w:lineRule="exact"/>
              <w:ind w:firstLine="420" w:firstLineChars="200"/>
              <w:rPr>
                <w:rFonts w:hint="eastAsia" w:ascii="宋体" w:hAnsi="宋体" w:cs="宋体"/>
                <w:szCs w:val="21"/>
              </w:rPr>
            </w:pPr>
            <w:r>
              <w:rPr>
                <w:rFonts w:hint="eastAsia" w:ascii="宋体" w:hAnsi="宋体" w:cs="宋体"/>
                <w:szCs w:val="21"/>
              </w:rPr>
              <w:t>每次处罚执行完毕后，供应商需向采购人提交《处罚整改完成报告》，经采购人审核通过后，双方签署《处罚时间确认单》，明确本次处罚不计入租赁时间的具体天数。</w:t>
            </w:r>
          </w:p>
          <w:p w14:paraId="3A22F000">
            <w:pPr>
              <w:spacing w:line="380" w:lineRule="exact"/>
              <w:ind w:firstLine="420" w:firstLineChars="200"/>
              <w:rPr>
                <w:rFonts w:ascii="宋体" w:hAnsi="宋体" w:cs="宋体"/>
                <w:szCs w:val="21"/>
              </w:rPr>
            </w:pPr>
            <w:r>
              <w:rPr>
                <w:rFonts w:hint="eastAsia" w:ascii="宋体" w:hAnsi="宋体" w:cs="宋体"/>
                <w:szCs w:val="21"/>
              </w:rPr>
              <w:t>项目临近服务期满前30天，双方共同核算累计有效租赁时长及处罚时间，确认最终服务期满日期，并提前15天书面通知对方。</w:t>
            </w:r>
          </w:p>
        </w:tc>
      </w:tr>
      <w:tr w14:paraId="7F7B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57B9C90E">
            <w:pPr>
              <w:tabs>
                <w:tab w:val="left" w:pos="180"/>
                <w:tab w:val="left" w:pos="1620"/>
              </w:tabs>
              <w:spacing w:line="380" w:lineRule="exact"/>
              <w:jc w:val="center"/>
              <w:rPr>
                <w:rFonts w:hint="eastAsia" w:ascii="宋体" w:hAnsi="宋体" w:cs="宋体"/>
                <w:szCs w:val="21"/>
              </w:rPr>
            </w:pPr>
            <w:r>
              <w:rPr>
                <w:rFonts w:hint="eastAsia" w:ascii="宋体" w:hAnsi="宋体" w:cs="宋体"/>
                <w:szCs w:val="21"/>
              </w:rPr>
              <w:t>履约保证金</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3B687951">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rPr>
              <w:t>履约保证金金额：本项目中标金额的5%（中小企业缴纳数额为中标金额的2%）。</w:t>
            </w:r>
          </w:p>
          <w:p w14:paraId="6B7A8B69">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rPr>
              <w:t>履约保证金提交方式：支票、汇票、本票、银行转账或者金融机构、担保机构出具的保函等非现金形式。</w:t>
            </w:r>
          </w:p>
          <w:p w14:paraId="16FA5B82">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rPr>
              <w:t>履约保证金缴纳期限: 自成交通知书发出之日起5日内。</w:t>
            </w:r>
          </w:p>
          <w:p w14:paraId="01F80615">
            <w:pPr>
              <w:autoSpaceDE w:val="0"/>
              <w:autoSpaceDN w:val="0"/>
              <w:snapToGrid w:val="0"/>
              <w:spacing w:line="380" w:lineRule="exact"/>
              <w:jc w:val="left"/>
              <w:textAlignment w:val="bottom"/>
              <w:rPr>
                <w:rFonts w:hint="eastAsia" w:ascii="宋体" w:hAnsi="宋体" w:cs="宋体"/>
                <w:szCs w:val="21"/>
              </w:rPr>
            </w:pPr>
            <w:r>
              <w:rPr>
                <w:rFonts w:hint="eastAsia" w:ascii="宋体" w:hAnsi="宋体" w:cs="宋体"/>
                <w:szCs w:val="21"/>
              </w:rPr>
              <w:t>履约保证金退付方式、时间及条件：项目完成验收合格后，且中标供应商无违约情形的，中标供应商提供《政府采购项目履约保证金退付意见书》及《政府采购项目合同验收报告》，向采购人提出书面申请退还，采购人在收到申请后十个工作日内以银行转账方式无息退还。如果中标供应商在履行合同过程中有违约情形，则采购人有权没收保证金，不予退还。</w:t>
            </w:r>
          </w:p>
          <w:p w14:paraId="0E6901EE">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rPr>
              <w:t>不予退还的情形：签订合同后，如中标供应商不按双方签订的合同规定履约，则其全部履约保证金不予退还。</w:t>
            </w:r>
          </w:p>
          <w:p w14:paraId="1398483B">
            <w:pPr>
              <w:spacing w:line="380" w:lineRule="exact"/>
              <w:ind w:firstLine="420" w:firstLineChars="200"/>
              <w:contextualSpacing/>
              <w:rPr>
                <w:rFonts w:hint="eastAsia" w:ascii="宋体" w:hAnsi="宋体" w:cs="宋体"/>
                <w:szCs w:val="21"/>
              </w:rPr>
            </w:pPr>
            <w:r>
              <w:rPr>
                <w:rFonts w:hint="eastAsia" w:ascii="宋体" w:hAnsi="宋体" w:cs="宋体"/>
                <w:szCs w:val="21"/>
              </w:rPr>
              <w:t>履约保证金指定账户：</w:t>
            </w:r>
          </w:p>
          <w:p w14:paraId="20C441F2">
            <w:pPr>
              <w:spacing w:line="380" w:lineRule="exact"/>
              <w:ind w:firstLine="420" w:firstLineChars="200"/>
              <w:contextualSpacing/>
              <w:rPr>
                <w:rFonts w:hint="eastAsia" w:ascii="宋体" w:hAnsi="宋体" w:cs="宋体"/>
                <w:szCs w:val="21"/>
              </w:rPr>
            </w:pPr>
            <w:r>
              <w:rPr>
                <w:rFonts w:hint="eastAsia" w:ascii="宋体" w:hAnsi="宋体" w:cs="宋体"/>
                <w:szCs w:val="21"/>
              </w:rPr>
              <w:t>开户名称：广西壮族自治区公安厅</w:t>
            </w:r>
            <w:r>
              <w:rPr>
                <w:rFonts w:hint="eastAsia" w:ascii="宋体" w:hAnsi="宋体" w:cs="宋体"/>
                <w:kern w:val="0"/>
                <w:szCs w:val="21"/>
              </w:rPr>
              <w:t xml:space="preserve"> </w:t>
            </w:r>
          </w:p>
          <w:p w14:paraId="3F2C3242">
            <w:pPr>
              <w:spacing w:line="380" w:lineRule="exact"/>
              <w:ind w:firstLine="420" w:firstLineChars="200"/>
              <w:contextualSpacing/>
              <w:rPr>
                <w:rFonts w:hint="eastAsia" w:ascii="宋体" w:hAnsi="宋体" w:cs="宋体"/>
                <w:szCs w:val="21"/>
              </w:rPr>
            </w:pPr>
            <w:r>
              <w:rPr>
                <w:rFonts w:hint="eastAsia" w:ascii="宋体" w:hAnsi="宋体" w:cs="宋体"/>
                <w:szCs w:val="21"/>
              </w:rPr>
              <w:t>开户银行：</w:t>
            </w:r>
            <w:r>
              <w:rPr>
                <w:rFonts w:hint="eastAsia" w:ascii="宋体" w:hAnsi="宋体" w:cs="宋体"/>
                <w:kern w:val="0"/>
                <w:szCs w:val="21"/>
              </w:rPr>
              <w:t xml:space="preserve">工行南宁市民乐分理处 </w:t>
            </w:r>
          </w:p>
          <w:p w14:paraId="61385449">
            <w:pPr>
              <w:autoSpaceDE w:val="0"/>
              <w:autoSpaceDN w:val="0"/>
              <w:snapToGrid w:val="0"/>
              <w:spacing w:line="380" w:lineRule="exact"/>
              <w:ind w:firstLine="420" w:firstLineChars="200"/>
              <w:textAlignment w:val="bottom"/>
              <w:rPr>
                <w:rFonts w:hint="eastAsia" w:ascii="宋体" w:hAnsi="宋体" w:cs="宋体"/>
                <w:szCs w:val="21"/>
              </w:rPr>
            </w:pPr>
            <w:r>
              <w:rPr>
                <w:rFonts w:hint="eastAsia" w:ascii="宋体" w:hAnsi="宋体" w:cs="宋体"/>
                <w:szCs w:val="21"/>
              </w:rPr>
              <w:t>银行账号：</w:t>
            </w:r>
            <w:r>
              <w:rPr>
                <w:rFonts w:hint="eastAsia" w:ascii="宋体" w:hAnsi="宋体" w:cs="宋体"/>
                <w:kern w:val="0"/>
                <w:szCs w:val="21"/>
              </w:rPr>
              <w:t xml:space="preserve">2102 1095 2930 0002 294  </w:t>
            </w:r>
          </w:p>
        </w:tc>
      </w:tr>
    </w:tbl>
    <w:p w14:paraId="7389C80B">
      <w:pPr>
        <w:spacing w:line="400" w:lineRule="exact"/>
        <w:ind w:firstLine="435"/>
        <w:rPr>
          <w:rFonts w:hint="eastAsia" w:ascii="宋体"/>
          <w:b/>
          <w:bCs/>
          <w:sz w:val="28"/>
          <w:szCs w:val="28"/>
        </w:rPr>
      </w:pPr>
      <w:r>
        <w:rPr>
          <w:rFonts w:hint="eastAsia" w:ascii="宋体"/>
          <w:szCs w:val="21"/>
        </w:rPr>
        <w:br w:type="page"/>
      </w:r>
      <w:r>
        <w:rPr>
          <w:rFonts w:hint="eastAsia" w:ascii="宋体"/>
          <w:b/>
          <w:bCs/>
          <w:sz w:val="28"/>
          <w:szCs w:val="28"/>
        </w:rPr>
        <w:t>标项二采购预算：1085.1100万元</w:t>
      </w:r>
    </w:p>
    <w:tbl>
      <w:tblPr>
        <w:tblStyle w:val="49"/>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977"/>
        <w:gridCol w:w="225"/>
        <w:gridCol w:w="8076"/>
      </w:tblGrid>
      <w:tr w14:paraId="1E51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Borders>
              <w:top w:val="single" w:color="auto" w:sz="4" w:space="0"/>
              <w:left w:val="single" w:color="auto" w:sz="4" w:space="0"/>
              <w:bottom w:val="single" w:color="auto" w:sz="4" w:space="0"/>
              <w:right w:val="single" w:color="auto" w:sz="4" w:space="0"/>
            </w:tcBorders>
            <w:vAlign w:val="center"/>
          </w:tcPr>
          <w:p w14:paraId="6FB121C6">
            <w:pPr>
              <w:spacing w:line="380" w:lineRule="exact"/>
              <w:jc w:val="center"/>
              <w:rPr>
                <w:rFonts w:hint="eastAsia" w:ascii="宋体" w:hAnsi="宋体" w:cs="宋体"/>
                <w:b/>
                <w:szCs w:val="21"/>
              </w:rPr>
            </w:pPr>
            <w:r>
              <w:rPr>
                <w:rFonts w:hint="eastAsia" w:ascii="宋体" w:hAnsi="宋体" w:cs="宋体"/>
                <w:b/>
                <w:szCs w:val="21"/>
              </w:rPr>
              <w:t>项号</w:t>
            </w:r>
          </w:p>
        </w:tc>
        <w:tc>
          <w:tcPr>
            <w:tcW w:w="1202" w:type="dxa"/>
            <w:gridSpan w:val="2"/>
            <w:tcBorders>
              <w:top w:val="single" w:color="auto" w:sz="4" w:space="0"/>
              <w:left w:val="single" w:color="auto" w:sz="4" w:space="0"/>
              <w:bottom w:val="single" w:color="auto" w:sz="4" w:space="0"/>
              <w:right w:val="single" w:color="auto" w:sz="4" w:space="0"/>
            </w:tcBorders>
            <w:vAlign w:val="center"/>
          </w:tcPr>
          <w:p w14:paraId="2716937D">
            <w:pPr>
              <w:spacing w:line="380" w:lineRule="exact"/>
              <w:jc w:val="center"/>
              <w:rPr>
                <w:rFonts w:hint="eastAsia" w:ascii="宋体" w:hAnsi="宋体" w:cs="宋体"/>
                <w:b/>
                <w:szCs w:val="21"/>
              </w:rPr>
            </w:pPr>
            <w:r>
              <w:rPr>
                <w:rFonts w:hint="eastAsia" w:ascii="宋体" w:hAnsi="宋体" w:cs="宋体"/>
                <w:b/>
                <w:szCs w:val="21"/>
              </w:rPr>
              <w:t>服务</w:t>
            </w:r>
          </w:p>
          <w:p w14:paraId="06306A99">
            <w:pPr>
              <w:spacing w:line="380" w:lineRule="exact"/>
              <w:jc w:val="center"/>
              <w:rPr>
                <w:rFonts w:hint="eastAsia" w:ascii="宋体" w:hAnsi="宋体" w:cs="宋体"/>
                <w:b/>
                <w:szCs w:val="21"/>
              </w:rPr>
            </w:pPr>
            <w:r>
              <w:rPr>
                <w:rFonts w:hint="eastAsia" w:ascii="宋体" w:hAnsi="宋体" w:cs="宋体"/>
                <w:b/>
                <w:szCs w:val="21"/>
              </w:rPr>
              <w:t>名称</w:t>
            </w:r>
          </w:p>
        </w:tc>
        <w:tc>
          <w:tcPr>
            <w:tcW w:w="8076" w:type="dxa"/>
            <w:tcBorders>
              <w:top w:val="single" w:color="auto" w:sz="4" w:space="0"/>
              <w:left w:val="single" w:color="auto" w:sz="4" w:space="0"/>
              <w:bottom w:val="single" w:color="auto" w:sz="4" w:space="0"/>
              <w:right w:val="single" w:color="auto" w:sz="4" w:space="0"/>
            </w:tcBorders>
            <w:vAlign w:val="center"/>
          </w:tcPr>
          <w:p w14:paraId="1EB33721">
            <w:pPr>
              <w:spacing w:line="380" w:lineRule="exact"/>
              <w:jc w:val="center"/>
              <w:rPr>
                <w:rFonts w:hint="eastAsia" w:ascii="宋体" w:hAnsi="宋体" w:cs="宋体"/>
                <w:b/>
                <w:szCs w:val="21"/>
              </w:rPr>
            </w:pPr>
            <w:r>
              <w:rPr>
                <w:rFonts w:hint="eastAsia" w:ascii="宋体" w:hAnsi="宋体" w:cs="宋体"/>
                <w:b/>
                <w:szCs w:val="21"/>
              </w:rPr>
              <w:t>服务内容和要求</w:t>
            </w:r>
          </w:p>
        </w:tc>
      </w:tr>
      <w:tr w14:paraId="1457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Borders>
              <w:top w:val="single" w:color="auto" w:sz="4" w:space="0"/>
              <w:left w:val="single" w:color="auto" w:sz="4" w:space="0"/>
              <w:bottom w:val="single" w:color="auto" w:sz="4" w:space="0"/>
              <w:right w:val="single" w:color="auto" w:sz="4" w:space="0"/>
            </w:tcBorders>
            <w:vAlign w:val="center"/>
          </w:tcPr>
          <w:p w14:paraId="55AE5F34">
            <w:pPr>
              <w:spacing w:line="380" w:lineRule="exact"/>
              <w:ind w:firstLine="105" w:firstLineChars="50"/>
              <w:rPr>
                <w:rFonts w:hint="eastAsia" w:ascii="宋体" w:hAnsi="宋体" w:cs="宋体"/>
                <w:szCs w:val="21"/>
              </w:rPr>
            </w:pPr>
            <w:r>
              <w:rPr>
                <w:rFonts w:hint="eastAsia" w:ascii="宋体" w:hAnsi="宋体" w:cs="宋体"/>
                <w:szCs w:val="21"/>
              </w:rPr>
              <w:t>1</w:t>
            </w:r>
          </w:p>
        </w:tc>
        <w:tc>
          <w:tcPr>
            <w:tcW w:w="1202" w:type="dxa"/>
            <w:gridSpan w:val="2"/>
            <w:tcBorders>
              <w:top w:val="single" w:color="auto" w:sz="4" w:space="0"/>
              <w:left w:val="single" w:color="auto" w:sz="4" w:space="0"/>
              <w:bottom w:val="single" w:color="auto" w:sz="4" w:space="0"/>
              <w:right w:val="single" w:color="auto" w:sz="4" w:space="0"/>
            </w:tcBorders>
            <w:vAlign w:val="center"/>
          </w:tcPr>
          <w:p w14:paraId="501F7BD0">
            <w:pPr>
              <w:spacing w:line="380" w:lineRule="exact"/>
              <w:jc w:val="center"/>
              <w:rPr>
                <w:rFonts w:hint="eastAsia" w:ascii="宋体" w:hAnsi="宋体" w:cs="宋体"/>
                <w:szCs w:val="21"/>
              </w:rPr>
            </w:pPr>
            <w:r>
              <w:rPr>
                <w:rFonts w:hint="eastAsia" w:ascii="宋体" w:hAnsi="宋体" w:cs="宋体"/>
                <w:kern w:val="0"/>
                <w:szCs w:val="21"/>
                <w:lang w:eastAsia="zh-CN"/>
              </w:rPr>
              <w:t>309项目配套AI算力租赁项目</w:t>
            </w:r>
            <w:r>
              <w:rPr>
                <w:rFonts w:hint="eastAsia" w:ascii="宋体" w:hAnsi="宋体" w:cs="宋体"/>
                <w:kern w:val="0"/>
                <w:szCs w:val="21"/>
              </w:rPr>
              <w:t>（B）1项</w:t>
            </w:r>
          </w:p>
        </w:tc>
        <w:tc>
          <w:tcPr>
            <w:tcW w:w="8076" w:type="dxa"/>
            <w:tcBorders>
              <w:top w:val="single" w:color="auto" w:sz="4" w:space="0"/>
              <w:left w:val="single" w:color="auto" w:sz="4" w:space="0"/>
              <w:bottom w:val="single" w:color="auto" w:sz="4" w:space="0"/>
              <w:right w:val="single" w:color="auto" w:sz="4" w:space="0"/>
            </w:tcBorders>
          </w:tcPr>
          <w:p w14:paraId="1ABA9F41">
            <w:pPr>
              <w:spacing w:line="380" w:lineRule="exact"/>
              <w:outlineLvl w:val="0"/>
              <w:rPr>
                <w:rFonts w:hint="eastAsia" w:ascii="宋体" w:hAnsi="宋体" w:cs="宋体"/>
                <w:b/>
                <w:bCs/>
                <w:szCs w:val="21"/>
              </w:rPr>
            </w:pPr>
            <w:r>
              <w:rPr>
                <w:rFonts w:hint="eastAsia" w:ascii="宋体" w:hAnsi="宋体" w:cs="宋体"/>
                <w:b/>
                <w:bCs/>
                <w:szCs w:val="21"/>
              </w:rPr>
              <w:t>一、本项目采购的主要服务内容包括：</w:t>
            </w:r>
          </w:p>
          <w:p w14:paraId="3DFB3F17">
            <w:pPr>
              <w:spacing w:line="380" w:lineRule="exact"/>
              <w:rPr>
                <w:rFonts w:hint="eastAsia" w:ascii="宋体" w:hAnsi="宋体" w:cs="宋体"/>
                <w:szCs w:val="21"/>
              </w:rPr>
            </w:pPr>
            <w:r>
              <w:rPr>
                <w:rFonts w:hint="eastAsia" w:ascii="宋体" w:hAnsi="宋体" w:cs="宋体"/>
                <w:szCs w:val="21"/>
              </w:rPr>
              <w:t>租赁算力资源包括AI算力服务器、网络交换机、AI推理服务存储、机柜等内容，部署在采购人指定的B机房中。</w:t>
            </w:r>
          </w:p>
          <w:p w14:paraId="085C3188">
            <w:pPr>
              <w:spacing w:line="380" w:lineRule="exact"/>
              <w:rPr>
                <w:rFonts w:hint="eastAsia" w:ascii="宋体" w:hAnsi="宋体" w:cs="宋体"/>
                <w:b/>
                <w:bCs/>
                <w:szCs w:val="21"/>
              </w:rPr>
            </w:pPr>
            <w:r>
              <w:rPr>
                <w:rFonts w:hint="eastAsia" w:ascii="宋体" w:hAnsi="宋体" w:cs="宋体"/>
                <w:b/>
                <w:bCs/>
                <w:szCs w:val="21"/>
              </w:rPr>
              <w:t>（一）算力资源总体性能及配置要求（可由一台或多台服务器硬件设备满足）：</w:t>
            </w:r>
          </w:p>
          <w:p w14:paraId="4BF8857F">
            <w:pPr>
              <w:spacing w:line="380" w:lineRule="exact"/>
              <w:rPr>
                <w:rFonts w:hint="eastAsia" w:ascii="宋体" w:hAnsi="宋体" w:cs="宋体"/>
                <w:szCs w:val="21"/>
              </w:rPr>
            </w:pPr>
            <w:r>
              <w:rPr>
                <w:rFonts w:hint="eastAsia" w:ascii="宋体" w:hAnsi="宋体" w:cs="宋体"/>
                <w:szCs w:val="21"/>
              </w:rPr>
              <w:t>▲1、所有服务器均须配置相同规格的算力卡，且单卡FP16算力≥310 TFLOPS，单卡提供≥64GB HBM，单卡速度≥1600GB/S，算力卡支持直出200G 网口；</w:t>
            </w:r>
          </w:p>
          <w:p w14:paraId="65E02DB2">
            <w:pPr>
              <w:spacing w:line="38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、共配置AI算力：≥24.8 PFLOPS FP16；共配置总显存≥5120GB HBM；</w:t>
            </w:r>
          </w:p>
          <w:p w14:paraId="608D4DFA">
            <w:pPr>
              <w:spacing w:line="38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、共配置≥40个符合国家安全可靠测评要求的CPU处理器，单个CPU处理器核数≥48核（物理核），频率≥2.6 GHz，单台服务器提供≥4颗CPU处理器；</w:t>
            </w:r>
          </w:p>
          <w:p w14:paraId="5A75C8A1">
            <w:pPr>
              <w:spacing w:line="38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、内存配置总容量≥10240GB DDR4 ECC，单条内存≥32GB，频率 ≥3200MHz；</w:t>
            </w:r>
          </w:p>
          <w:p w14:paraId="42E91059">
            <w:pPr>
              <w:spacing w:line="38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、共配置≥20*480GB SATA SSD，顺序读写@128KB速率≥400MB/s，共配置≥20*3.84TB NVMe SSD，顺序读写@128KB速率≥4500MB/S；</w:t>
            </w:r>
          </w:p>
          <w:p w14:paraId="1659B943">
            <w:pPr>
              <w:spacing w:line="380" w:lineRule="exact"/>
              <w:rPr>
                <w:rFonts w:hint="eastAsia" w:ascii="宋体" w:hAnsi="宋体" w:cs="宋体"/>
                <w:szCs w:val="21"/>
              </w:rPr>
            </w:pPr>
            <w:r>
              <w:rPr>
                <w:rFonts w:hint="eastAsia" w:ascii="宋体" w:hAnsi="宋体" w:cs="宋体"/>
                <w:szCs w:val="21"/>
              </w:rPr>
              <w:t>▲6、每台服务器配置≥2个25GE网口（含模块），≥2个100G网口（含模块），≥8个200GE RoCE网口（含光模块）；</w:t>
            </w:r>
          </w:p>
          <w:p w14:paraId="5BE9113E">
            <w:pPr>
              <w:spacing w:line="380" w:lineRule="exact"/>
              <w:rPr>
                <w:rFonts w:hint="eastAsia" w:ascii="宋体" w:hAnsi="宋体" w:cs="宋体"/>
                <w:szCs w:val="21"/>
              </w:rPr>
            </w:pPr>
            <w:r>
              <w:rPr>
                <w:rFonts w:hint="eastAsia" w:ascii="宋体" w:hAnsi="宋体" w:cs="宋体"/>
                <w:szCs w:val="21"/>
              </w:rPr>
              <w:t>●7、承载服务的服务器产品AI处理器芯片满足GM/T 0008《安全芯片密码检测准则》第一级要求的产品标准和技术要求，具备商用密码产品认证材料；（投标时提供商用密码检测认证中心发布的认证证书扫描件或复印件，并加盖公章）</w:t>
            </w:r>
          </w:p>
          <w:p w14:paraId="645A721A">
            <w:pPr>
              <w:spacing w:line="380" w:lineRule="exact"/>
              <w:rPr>
                <w:rFonts w:hint="eastAsia" w:ascii="宋体" w:hAnsi="宋体" w:cs="宋体"/>
                <w:szCs w:val="21"/>
              </w:rPr>
            </w:pPr>
            <w:r>
              <w:rPr>
                <w:rFonts w:hint="eastAsia" w:ascii="宋体" w:hAnsi="宋体" w:cs="宋体"/>
                <w:szCs w:val="21"/>
              </w:rPr>
              <w:t>8、每台服务器配置≥4块2600W交流电源，支持2+2冗余；</w:t>
            </w:r>
          </w:p>
          <w:p w14:paraId="0A20D4A4">
            <w:pPr>
              <w:spacing w:line="380" w:lineRule="exact"/>
              <w:rPr>
                <w:rFonts w:hint="eastAsia" w:ascii="宋体" w:hAnsi="宋体" w:cs="宋体"/>
                <w:szCs w:val="21"/>
              </w:rPr>
            </w:pPr>
            <w:r>
              <w:rPr>
                <w:rFonts w:hint="eastAsia" w:ascii="宋体" w:hAnsi="宋体" w:cs="宋体"/>
                <w:szCs w:val="21"/>
              </w:rPr>
              <w:t>9、配置AI算力管理平台，需满足以下功能：</w:t>
            </w:r>
          </w:p>
          <w:p w14:paraId="1F77285C">
            <w:pPr>
              <w:spacing w:line="380" w:lineRule="exact"/>
              <w:rPr>
                <w:rFonts w:hint="eastAsia" w:ascii="宋体" w:hAnsi="宋体" w:cs="宋体"/>
                <w:szCs w:val="21"/>
              </w:rPr>
            </w:pPr>
            <w:r>
              <w:rPr>
                <w:rFonts w:hint="eastAsia" w:ascii="宋体" w:hAnsi="宋体" w:cs="宋体"/>
                <w:szCs w:val="21"/>
              </w:rPr>
              <w:t>（1）资源管理：</w:t>
            </w:r>
          </w:p>
          <w:p w14:paraId="3081E2B1">
            <w:pPr>
              <w:spacing w:line="380" w:lineRule="exact"/>
              <w:rPr>
                <w:rFonts w:hint="eastAsia" w:ascii="宋体" w:hAnsi="宋体" w:cs="宋体"/>
                <w:szCs w:val="21"/>
              </w:rPr>
            </w:pPr>
            <w:r>
              <w:rPr>
                <w:rFonts w:hint="eastAsia" w:ascii="宋体" w:hAnsi="宋体" w:cs="宋体"/>
                <w:szCs w:val="21"/>
              </w:rPr>
              <w:t>①算力资源池：支持创建资源池，开启NPU或GPU虚拟化；支持在一个资源池里灵活增加节点或者删除节点。</w:t>
            </w:r>
          </w:p>
          <w:p w14:paraId="01E2FA14">
            <w:pPr>
              <w:spacing w:line="380" w:lineRule="exact"/>
              <w:rPr>
                <w:rFonts w:hint="eastAsia" w:ascii="宋体" w:hAnsi="宋体" w:cs="宋体"/>
                <w:szCs w:val="21"/>
              </w:rPr>
            </w:pPr>
            <w:r>
              <w:rPr>
                <w:rFonts w:hint="eastAsia" w:ascii="宋体" w:hAnsi="宋体" w:cs="宋体"/>
                <w:szCs w:val="21"/>
              </w:rPr>
              <w:t>●②算力资源调度中心：创建智能化的算力资源调度中枢，支持主站点与分站点的算力资源监测与管理，包括算力机数量、型号、算力卡使用量监测、CPU使用量监测、内存、显存、运行状态的监测与管理。(投标时提供软件系统功能截图，并加盖公章)</w:t>
            </w:r>
          </w:p>
          <w:p w14:paraId="7E56AEBD">
            <w:pPr>
              <w:spacing w:line="380" w:lineRule="exact"/>
              <w:rPr>
                <w:rFonts w:hint="eastAsia" w:ascii="宋体" w:hAnsi="宋体" w:cs="宋体"/>
                <w:szCs w:val="21"/>
              </w:rPr>
            </w:pPr>
            <w:r>
              <w:rPr>
                <w:rFonts w:hint="eastAsia" w:ascii="宋体" w:hAnsi="宋体" w:cs="宋体"/>
                <w:szCs w:val="21"/>
              </w:rPr>
              <w:t>③支持多种大语言模型、多模态模型、向量模型、语音模型的集成，如Qwen、QWQ、Deepseek、GLM。提供模型管理功能，包括模型的添加、删除及配置。</w:t>
            </w:r>
          </w:p>
          <w:p w14:paraId="018CD29D">
            <w:pPr>
              <w:spacing w:line="380" w:lineRule="exact"/>
              <w:rPr>
                <w:rFonts w:hint="eastAsia" w:ascii="宋体" w:hAnsi="宋体" w:cs="宋体"/>
                <w:szCs w:val="21"/>
              </w:rPr>
            </w:pPr>
            <w:r>
              <w:rPr>
                <w:rFonts w:hint="eastAsia" w:ascii="宋体" w:hAnsi="宋体" w:cs="宋体"/>
                <w:szCs w:val="21"/>
              </w:rPr>
              <w:t>④模型状态监测：平台总揽包括目前接入站点数、算力机数、算力显卡数、本地模型数以及树型分级展示各级节点接入情况深色表示在线；列表形式展示各几点配置情况包括算力机数、算力显卡数、本地模型数；统计平台系统负载、活跃模型排行、API以及Token使用量。</w:t>
            </w:r>
          </w:p>
          <w:p w14:paraId="7CA58033">
            <w:pPr>
              <w:spacing w:line="380" w:lineRule="exact"/>
              <w:rPr>
                <w:rFonts w:hint="eastAsia" w:ascii="宋体" w:hAnsi="宋体" w:cs="宋体"/>
                <w:szCs w:val="21"/>
              </w:rPr>
            </w:pPr>
            <w:r>
              <w:rPr>
                <w:rFonts w:hint="eastAsia" w:ascii="宋体" w:hAnsi="宋体" w:cs="宋体"/>
                <w:szCs w:val="21"/>
              </w:rPr>
              <w:t>⑤多模态试验场：支持对问答、生图、语音转换、文本嵌入、重排序模型进行实时调用验证、模型对比。</w:t>
            </w:r>
          </w:p>
          <w:p w14:paraId="01EEF08E">
            <w:pPr>
              <w:spacing w:line="380" w:lineRule="exact"/>
              <w:rPr>
                <w:rFonts w:hint="eastAsia" w:ascii="宋体" w:hAnsi="宋体" w:cs="宋体"/>
                <w:szCs w:val="21"/>
              </w:rPr>
            </w:pPr>
            <w:r>
              <w:rPr>
                <w:rFonts w:hint="eastAsia" w:ascii="宋体" w:hAnsi="宋体" w:cs="宋体"/>
                <w:szCs w:val="21"/>
              </w:rPr>
              <w:t>（2）模型训练：</w:t>
            </w:r>
          </w:p>
          <w:p w14:paraId="282C2AB7">
            <w:pPr>
              <w:spacing w:line="380" w:lineRule="exact"/>
              <w:rPr>
                <w:rFonts w:hint="eastAsia" w:ascii="宋体" w:hAnsi="宋体" w:cs="宋体"/>
                <w:szCs w:val="21"/>
              </w:rPr>
            </w:pPr>
            <w:r>
              <w:rPr>
                <w:rFonts w:hint="eastAsia" w:ascii="宋体" w:hAnsi="宋体" w:cs="宋体"/>
                <w:szCs w:val="21"/>
              </w:rPr>
              <w:t>①支持基于K8S容器的模型训练；支持结构化和非结构化数据存储；支持查看训练任务情况。</w:t>
            </w:r>
          </w:p>
          <w:p w14:paraId="220DD87E">
            <w:pPr>
              <w:spacing w:line="380" w:lineRule="exact"/>
              <w:rPr>
                <w:rFonts w:hint="eastAsia" w:ascii="宋体" w:hAnsi="宋体" w:cs="宋体"/>
                <w:szCs w:val="21"/>
              </w:rPr>
            </w:pPr>
            <w:r>
              <w:rPr>
                <w:rFonts w:hint="eastAsia" w:ascii="宋体" w:hAnsi="宋体" w:cs="宋体"/>
                <w:szCs w:val="21"/>
              </w:rPr>
              <w:t>②模型训练：训练数据选择、训练方式选择、训练参数配置。</w:t>
            </w:r>
          </w:p>
          <w:p w14:paraId="4923291F">
            <w:pPr>
              <w:spacing w:line="380" w:lineRule="exact"/>
              <w:rPr>
                <w:rFonts w:hint="eastAsia" w:ascii="宋体" w:hAnsi="宋体" w:cs="宋体"/>
                <w:szCs w:val="21"/>
              </w:rPr>
            </w:pPr>
            <w:r>
              <w:rPr>
                <w:rFonts w:hint="eastAsia" w:ascii="宋体" w:hAnsi="宋体" w:cs="宋体"/>
                <w:szCs w:val="21"/>
              </w:rPr>
              <w:t>③模型评估：训练参数配置，包括算力卡批处理大小、截断长度、最大样本数等参数配置。</w:t>
            </w:r>
          </w:p>
          <w:p w14:paraId="38A66CDA">
            <w:pPr>
              <w:spacing w:line="380" w:lineRule="exact"/>
              <w:rPr>
                <w:rFonts w:hint="eastAsia" w:ascii="宋体" w:hAnsi="宋体" w:cs="宋体"/>
                <w:szCs w:val="21"/>
              </w:rPr>
            </w:pPr>
            <w:r>
              <w:rPr>
                <w:rFonts w:hint="eastAsia" w:ascii="宋体" w:hAnsi="宋体" w:cs="宋体"/>
                <w:szCs w:val="21"/>
              </w:rPr>
              <w:t>④数据资产：本地数据集管理包括数据集名称、数据集大小、数据集路径、数据集简介等参数。</w:t>
            </w:r>
          </w:p>
          <w:p w14:paraId="68BC5DAF">
            <w:pPr>
              <w:spacing w:line="380" w:lineRule="exact"/>
              <w:rPr>
                <w:rFonts w:hint="eastAsia" w:ascii="宋体" w:hAnsi="宋体" w:cs="宋体"/>
                <w:szCs w:val="21"/>
              </w:rPr>
            </w:pPr>
            <w:r>
              <w:rPr>
                <w:rFonts w:hint="eastAsia" w:ascii="宋体" w:hAnsi="宋体" w:cs="宋体"/>
                <w:szCs w:val="21"/>
              </w:rPr>
              <w:t>（3）模型推理：</w:t>
            </w:r>
          </w:p>
          <w:p w14:paraId="37106BF6">
            <w:pPr>
              <w:spacing w:line="380" w:lineRule="exact"/>
              <w:rPr>
                <w:rFonts w:hint="eastAsia" w:ascii="宋体" w:hAnsi="宋体" w:cs="宋体"/>
                <w:szCs w:val="21"/>
              </w:rPr>
            </w:pPr>
            <w:r>
              <w:rPr>
                <w:rFonts w:hint="eastAsia" w:ascii="宋体" w:hAnsi="宋体" w:cs="宋体"/>
                <w:szCs w:val="21"/>
              </w:rPr>
              <w:t>①支持基于K8S容器化的模型推理；支持训练日志归集和下载；支持推理部署在不同的节点，防止节点故障影响业务。</w:t>
            </w:r>
          </w:p>
          <w:p w14:paraId="1BDA35D5">
            <w:pPr>
              <w:spacing w:line="380" w:lineRule="exact"/>
              <w:rPr>
                <w:rFonts w:hint="eastAsia" w:ascii="宋体" w:hAnsi="宋体" w:cs="宋体"/>
                <w:szCs w:val="21"/>
              </w:rPr>
            </w:pPr>
            <w:r>
              <w:rPr>
                <w:rFonts w:hint="eastAsia" w:ascii="宋体" w:hAnsi="宋体" w:cs="宋体"/>
                <w:szCs w:val="21"/>
              </w:rPr>
              <w:t>●②构建简易模型：基于通过提示词工程直接调用大模型构建简易模型，其中支持添加大模型本地支持库调用、语音识别组件调用。（投标时提供国家认可具有相应检测资质的第三方检测机构出具的关于该功能检测报告扫描件或复印件，并加盖公章）</w:t>
            </w:r>
          </w:p>
          <w:p w14:paraId="3CC67848">
            <w:pPr>
              <w:spacing w:line="380" w:lineRule="exact"/>
              <w:rPr>
                <w:rFonts w:hint="eastAsia" w:ascii="宋体" w:hAnsi="宋体" w:cs="宋体"/>
                <w:szCs w:val="21"/>
              </w:rPr>
            </w:pPr>
            <w:r>
              <w:rPr>
                <w:rFonts w:hint="eastAsia" w:ascii="宋体" w:hAnsi="宋体" w:cs="宋体"/>
                <w:szCs w:val="21"/>
              </w:rPr>
              <w:t>●③构建工作流模型，通过可视化拖拉拽方式，创建复杂的工作流推理模型，形成公安智能模型的快速孵化与全生命周期管理生态。提供可视化的开发环境。（投标时提供国家认可具有相应检测资质的第三方检测机构出具的关于该功能检测报告扫描件或复印件，并加盖公章）</w:t>
            </w:r>
          </w:p>
          <w:p w14:paraId="4E5FFBBB">
            <w:pPr>
              <w:spacing w:line="380" w:lineRule="exact"/>
              <w:rPr>
                <w:rFonts w:hint="eastAsia" w:ascii="宋体" w:hAnsi="宋体" w:cs="宋体"/>
                <w:szCs w:val="21"/>
              </w:rPr>
            </w:pPr>
            <w:r>
              <w:rPr>
                <w:rFonts w:hint="eastAsia" w:ascii="宋体" w:hAnsi="宋体" w:cs="宋体"/>
                <w:szCs w:val="21"/>
              </w:rPr>
              <w:t>④丰富的模型创建工具：集成丰富的行业算法模型库、业务组件模板，包括AI对话、知识库搜索、问题分类、文本内容提取、工具调用、HTTP请求、判断器、关系图、思维导图、MCP数据总线插件资源。</w:t>
            </w:r>
          </w:p>
          <w:p w14:paraId="6F7E73B2">
            <w:pPr>
              <w:spacing w:line="380" w:lineRule="exact"/>
              <w:rPr>
                <w:rFonts w:hint="eastAsia" w:ascii="宋体" w:hAnsi="宋体" w:cs="宋体"/>
                <w:szCs w:val="21"/>
              </w:rPr>
            </w:pPr>
            <w:r>
              <w:rPr>
                <w:rFonts w:hint="eastAsia" w:ascii="宋体" w:hAnsi="宋体" w:cs="宋体"/>
                <w:szCs w:val="21"/>
              </w:rPr>
              <w:t>●⑤MCP数据总线：MCP数据总线的创建、调用以及管理控制。（投标时提供国家认可具有相应检测资质的第三方检测机构出具的关于该功能检测报告扫描件或复印件，并加盖公章）</w:t>
            </w:r>
          </w:p>
          <w:p w14:paraId="0BD90F2B">
            <w:pPr>
              <w:spacing w:line="380" w:lineRule="exact"/>
              <w:rPr>
                <w:rFonts w:hint="eastAsia" w:ascii="宋体" w:hAnsi="宋体" w:cs="宋体"/>
                <w:szCs w:val="21"/>
              </w:rPr>
            </w:pPr>
            <w:r>
              <w:rPr>
                <w:rFonts w:hint="eastAsia" w:ascii="宋体" w:hAnsi="宋体" w:cs="宋体"/>
                <w:szCs w:val="21"/>
              </w:rPr>
              <w:t>⑥支持本地模型分享，可将创建好的模型设计分享给其他用户。</w:t>
            </w:r>
          </w:p>
          <w:p w14:paraId="73F7CD6F">
            <w:pPr>
              <w:spacing w:line="380" w:lineRule="exact"/>
              <w:rPr>
                <w:rFonts w:hint="eastAsia" w:ascii="宋体" w:hAnsi="宋体" w:cs="宋体"/>
                <w:szCs w:val="21"/>
              </w:rPr>
            </w:pPr>
            <w:r>
              <w:rPr>
                <w:rFonts w:hint="eastAsia" w:ascii="宋体" w:hAnsi="宋体" w:cs="宋体"/>
                <w:szCs w:val="21"/>
              </w:rPr>
              <w:t>⑦大模型知识库：支持大模型知识库的创建与管理工作，能够有力支持快速创建大模型知识库，文档导入兼容多种格式，如PDF、DOCX、TXT等，编辑环节支持可视化界面，搜索结果支持依据相关性、热度等要素进行智能排序。</w:t>
            </w:r>
          </w:p>
          <w:p w14:paraId="13067F75">
            <w:pPr>
              <w:spacing w:line="380" w:lineRule="exact"/>
              <w:rPr>
                <w:rFonts w:hint="eastAsia" w:ascii="宋体" w:hAnsi="宋体" w:cs="宋体"/>
                <w:szCs w:val="21"/>
              </w:rPr>
            </w:pPr>
            <w:r>
              <w:rPr>
                <w:rFonts w:hint="eastAsia" w:ascii="宋体" w:hAnsi="宋体" w:cs="宋体"/>
                <w:szCs w:val="21"/>
              </w:rPr>
              <w:t>●⑧支持根据需求接入已有数据服务器作为MCP能力服务，支持本地构建特有MCP服务，将本地服务能力作为MCP服务发布，支持按需申请MCP服务调用权限，提供可视化申请界面。(投标时需提供软件系统截图，并加盖公章)</w:t>
            </w:r>
          </w:p>
          <w:p w14:paraId="3B7CCBFF">
            <w:pPr>
              <w:spacing w:line="380" w:lineRule="exact"/>
              <w:rPr>
                <w:rFonts w:hint="eastAsia" w:ascii="宋体" w:hAnsi="宋体" w:cs="宋体"/>
                <w:szCs w:val="21"/>
              </w:rPr>
            </w:pPr>
            <w:r>
              <w:rPr>
                <w:rFonts w:hint="eastAsia" w:ascii="宋体" w:hAnsi="宋体" w:cs="宋体"/>
                <w:szCs w:val="21"/>
              </w:rPr>
              <w:t>（4）集群运维：</w:t>
            </w:r>
          </w:p>
          <w:p w14:paraId="5E5E2C03">
            <w:pPr>
              <w:spacing w:line="380" w:lineRule="exact"/>
              <w:rPr>
                <w:rFonts w:hint="eastAsia" w:ascii="宋体" w:hAnsi="宋体" w:cs="宋体"/>
                <w:szCs w:val="21"/>
              </w:rPr>
            </w:pPr>
            <w:r>
              <w:rPr>
                <w:rFonts w:hint="eastAsia" w:ascii="宋体" w:hAnsi="宋体" w:cs="宋体"/>
                <w:szCs w:val="21"/>
              </w:rPr>
              <w:t>①支持K8S容器的部署和扩缩容；</w:t>
            </w:r>
          </w:p>
          <w:p w14:paraId="505E3496">
            <w:pPr>
              <w:spacing w:line="380" w:lineRule="exact"/>
              <w:rPr>
                <w:rFonts w:hint="eastAsia" w:ascii="宋体" w:hAnsi="宋体" w:cs="宋体"/>
                <w:szCs w:val="21"/>
              </w:rPr>
            </w:pPr>
            <w:r>
              <w:rPr>
                <w:rFonts w:hint="eastAsia" w:ascii="宋体" w:hAnsi="宋体" w:cs="宋体"/>
                <w:szCs w:val="21"/>
              </w:rPr>
              <w:t>②支持管控角色HA部署；</w:t>
            </w:r>
          </w:p>
          <w:p w14:paraId="6954B6FD">
            <w:pPr>
              <w:spacing w:line="380" w:lineRule="exact"/>
              <w:rPr>
                <w:rFonts w:hint="eastAsia" w:ascii="宋体" w:hAnsi="宋体" w:cs="宋体"/>
                <w:szCs w:val="21"/>
              </w:rPr>
            </w:pPr>
            <w:r>
              <w:rPr>
                <w:rFonts w:hint="eastAsia" w:ascii="宋体" w:hAnsi="宋体" w:cs="宋体"/>
                <w:szCs w:val="21"/>
              </w:rPr>
              <w:t>③支持集群服务的健康检查、集群服务的故障和亚健康时告警；</w:t>
            </w:r>
          </w:p>
          <w:p w14:paraId="364C8801">
            <w:pPr>
              <w:spacing w:line="380" w:lineRule="exact"/>
              <w:rPr>
                <w:rFonts w:hint="eastAsia" w:ascii="宋体" w:hAnsi="宋体" w:cs="宋体"/>
                <w:szCs w:val="21"/>
              </w:rPr>
            </w:pPr>
            <w:r>
              <w:rPr>
                <w:rFonts w:hint="eastAsia" w:ascii="宋体" w:hAnsi="宋体" w:cs="宋体"/>
                <w:szCs w:val="21"/>
              </w:rPr>
              <w:t>④支持故障节点替换后恢复实例。</w:t>
            </w:r>
          </w:p>
          <w:p w14:paraId="577909D2">
            <w:pPr>
              <w:spacing w:line="380" w:lineRule="exact"/>
              <w:rPr>
                <w:rFonts w:hint="eastAsia" w:ascii="宋体" w:hAnsi="宋体" w:cs="宋体"/>
                <w:szCs w:val="21"/>
              </w:rPr>
            </w:pPr>
            <w:r>
              <w:rPr>
                <w:rFonts w:hint="eastAsia" w:ascii="宋体" w:hAnsi="宋体" w:cs="宋体"/>
                <w:szCs w:val="21"/>
              </w:rPr>
              <w:t>10、本项目服务期内，提供三年原厂上门软硬件技术支持与售后服务（包括硬件保修、软件升级和介质保留），服务期满后存储盘留存给采购人。</w:t>
            </w:r>
          </w:p>
          <w:p w14:paraId="24223163">
            <w:pPr>
              <w:spacing w:line="380" w:lineRule="exact"/>
              <w:rPr>
                <w:rFonts w:hint="eastAsia" w:ascii="宋体" w:hAnsi="宋体" w:cs="宋体"/>
                <w:b/>
                <w:bCs/>
                <w:szCs w:val="21"/>
              </w:rPr>
            </w:pPr>
            <w:r>
              <w:rPr>
                <w:rFonts w:hint="eastAsia" w:ascii="宋体" w:hAnsi="宋体" w:cs="宋体"/>
                <w:b/>
                <w:bCs/>
                <w:szCs w:val="21"/>
              </w:rPr>
              <w:t>（二）网络交换机性能及配置要求：</w:t>
            </w:r>
          </w:p>
          <w:p w14:paraId="33D85C6E">
            <w:pPr>
              <w:spacing w:line="380" w:lineRule="exact"/>
              <w:rPr>
                <w:rFonts w:hint="eastAsia" w:ascii="宋体" w:hAnsi="宋体" w:cs="宋体"/>
                <w:szCs w:val="21"/>
              </w:rPr>
            </w:pPr>
            <w:r>
              <w:rPr>
                <w:rFonts w:hint="eastAsia" w:ascii="宋体" w:hAnsi="宋体" w:cs="宋体"/>
                <w:szCs w:val="21"/>
              </w:rPr>
              <w:t>1、参数面交换机（≥1台）：</w:t>
            </w:r>
          </w:p>
          <w:p w14:paraId="709B329C">
            <w:pPr>
              <w:spacing w:line="380" w:lineRule="exact"/>
              <w:rPr>
                <w:rFonts w:hint="eastAsia" w:ascii="宋体" w:hAnsi="宋体" w:cs="宋体"/>
                <w:szCs w:val="21"/>
              </w:rPr>
            </w:pPr>
            <w:r>
              <w:rPr>
                <w:rFonts w:hint="eastAsia" w:ascii="宋体" w:hAnsi="宋体" w:cs="宋体"/>
                <w:szCs w:val="21"/>
              </w:rPr>
              <w:t>▲（1）单台交换容量≥100Tbps，包转发率≥20000Mpps，单台提供≥128个200GE端口接入能力，并配置≥80个200G光模块，端口数量需满足算力池集群组网要求，单台提供可插拔交流电源模块≥4个，提供可插拔风扇模块≥6个；</w:t>
            </w:r>
          </w:p>
          <w:p w14:paraId="1B804D89">
            <w:pPr>
              <w:spacing w:line="380" w:lineRule="exact"/>
              <w:rPr>
                <w:rFonts w:hint="eastAsia" w:ascii="宋体" w:hAnsi="宋体" w:cs="宋体"/>
                <w:szCs w:val="21"/>
              </w:rPr>
            </w:pPr>
            <w:r>
              <w:rPr>
                <w:rFonts w:hint="eastAsia" w:ascii="宋体" w:hAnsi="宋体" w:cs="宋体"/>
                <w:szCs w:val="21"/>
              </w:rPr>
              <w:t>●（2）支持AI ECN，支持网络级负载技术；（投标时提供国家认可具有相应检测资质的第三方检测机构出具的关于该功能检测报告扫描件或复印件，并加盖公章）</w:t>
            </w:r>
          </w:p>
          <w:p w14:paraId="5CD3E51A">
            <w:pPr>
              <w:spacing w:line="380" w:lineRule="exact"/>
              <w:rPr>
                <w:rFonts w:hint="eastAsia" w:ascii="宋体" w:hAnsi="宋体" w:cs="宋体"/>
                <w:szCs w:val="21"/>
              </w:rPr>
            </w:pPr>
            <w:r>
              <w:rPr>
                <w:rFonts w:hint="eastAsia" w:ascii="宋体" w:hAnsi="宋体" w:cs="宋体"/>
                <w:szCs w:val="21"/>
              </w:rPr>
              <w:t>（3）支持PFC死锁预防，通过识别易造成 PFC 死锁的业务流，修改队列优先级，从而预防 PFC死锁的发生；</w:t>
            </w:r>
          </w:p>
          <w:p w14:paraId="782E5740">
            <w:pPr>
              <w:spacing w:line="380" w:lineRule="exact"/>
              <w:rPr>
                <w:rFonts w:hint="eastAsia" w:ascii="宋体" w:hAnsi="宋体" w:cs="宋体"/>
                <w:szCs w:val="21"/>
              </w:rPr>
            </w:pPr>
            <w:r>
              <w:rPr>
                <w:rFonts w:hint="eastAsia" w:ascii="宋体" w:hAnsi="宋体" w:cs="宋体"/>
                <w:szCs w:val="21"/>
              </w:rPr>
              <w:t>●（4）支持Packet Event，丢包可视、超长时延可视；（投标时提供国家认可具有相应检测资质的第三方检测机构出具的关于该功能检测报告扫描件或复印件，并加盖公章）</w:t>
            </w:r>
          </w:p>
          <w:p w14:paraId="4FA5C8B0">
            <w:pPr>
              <w:spacing w:line="380" w:lineRule="exact"/>
              <w:rPr>
                <w:rFonts w:hint="eastAsia" w:ascii="宋体" w:hAnsi="宋体" w:cs="宋体"/>
                <w:szCs w:val="21"/>
              </w:rPr>
            </w:pPr>
            <w:r>
              <w:rPr>
                <w:rFonts w:hint="eastAsia" w:ascii="宋体" w:hAnsi="宋体" w:cs="宋体"/>
                <w:szCs w:val="21"/>
              </w:rPr>
              <w:t>●（5）支持 Netstream 满足10GE 1:1采样；（投标时提供国家认可具有相应检测资质的第三方检测机构出具的关于该功能检测报告扫描件或复印件，并加盖公章）</w:t>
            </w:r>
          </w:p>
          <w:p w14:paraId="30B21B1B">
            <w:pPr>
              <w:spacing w:line="380" w:lineRule="exact"/>
              <w:rPr>
                <w:rFonts w:hint="eastAsia" w:ascii="宋体" w:hAnsi="宋体" w:cs="宋体"/>
                <w:szCs w:val="21"/>
              </w:rPr>
            </w:pPr>
            <w:r>
              <w:rPr>
                <w:rFonts w:hint="eastAsia" w:ascii="宋体" w:hAnsi="宋体" w:cs="宋体"/>
                <w:szCs w:val="21"/>
              </w:rPr>
              <w:t>（6）支持 RDMA 和 RoCE（RoCE v1 和 RoCE v2）；</w:t>
            </w:r>
          </w:p>
          <w:p w14:paraId="61F62596">
            <w:pPr>
              <w:spacing w:line="380" w:lineRule="exact"/>
              <w:rPr>
                <w:rFonts w:hint="eastAsia" w:ascii="宋体" w:hAnsi="宋体" w:cs="宋体"/>
                <w:szCs w:val="21"/>
              </w:rPr>
            </w:pPr>
            <w:r>
              <w:rPr>
                <w:rFonts w:hint="eastAsia" w:ascii="宋体" w:hAnsi="宋体" w:cs="宋体"/>
                <w:szCs w:val="21"/>
              </w:rPr>
              <w:t>（7）支持硬件 BFD，最小3.3ms 发包间隔；</w:t>
            </w:r>
          </w:p>
          <w:p w14:paraId="61C0A932">
            <w:pPr>
              <w:spacing w:line="380" w:lineRule="exact"/>
              <w:rPr>
                <w:rFonts w:hint="eastAsia" w:ascii="宋体" w:hAnsi="宋体" w:cs="宋体"/>
                <w:szCs w:val="21"/>
              </w:rPr>
            </w:pPr>
            <w:r>
              <w:rPr>
                <w:rFonts w:hint="eastAsia" w:ascii="宋体" w:hAnsi="宋体" w:cs="宋体"/>
                <w:szCs w:val="21"/>
              </w:rPr>
              <w:t>（8）支持 WRED、尾丢弃等拥塞避免机制；</w:t>
            </w:r>
          </w:p>
          <w:p w14:paraId="13F99815">
            <w:pPr>
              <w:spacing w:line="380" w:lineRule="exact"/>
              <w:rPr>
                <w:rFonts w:hint="eastAsia" w:ascii="宋体" w:hAnsi="宋体" w:cs="宋体"/>
                <w:szCs w:val="21"/>
              </w:rPr>
            </w:pPr>
            <w:r>
              <w:rPr>
                <w:rFonts w:hint="eastAsia" w:ascii="宋体" w:hAnsi="宋体" w:cs="宋体"/>
                <w:szCs w:val="21"/>
              </w:rPr>
              <w:t>●（9）为算力资源池的后续持续扩容预留接入能力，端口支持从200GE切换至400G速率、支持拆分为2*200G，最大可提供≥256个200GE的接入能力。（投标时提供交换机端口支持切换至400G速率，支持拆分为2*200G的证明材料，证明材料需为投标时提供国家认可具有相应检测资质的第三方检测机构出具的关于该功能检测报告扫描件或复印件，并加盖公章）</w:t>
            </w:r>
          </w:p>
          <w:p w14:paraId="0B1FDFCF">
            <w:pPr>
              <w:spacing w:line="380" w:lineRule="exact"/>
              <w:rPr>
                <w:rFonts w:hint="eastAsia" w:ascii="宋体" w:hAnsi="宋体" w:cs="宋体"/>
                <w:szCs w:val="21"/>
              </w:rPr>
            </w:pPr>
            <w:r>
              <w:rPr>
                <w:rFonts w:hint="eastAsia" w:ascii="宋体" w:hAnsi="宋体" w:cs="宋体"/>
                <w:szCs w:val="21"/>
              </w:rPr>
              <w:t>2、业务面交换机（≥2台）：</w:t>
            </w:r>
          </w:p>
          <w:p w14:paraId="314168F2">
            <w:pPr>
              <w:spacing w:line="380" w:lineRule="exact"/>
              <w:rPr>
                <w:rFonts w:hint="eastAsia" w:ascii="宋体" w:hAnsi="宋体" w:cs="宋体"/>
                <w:szCs w:val="21"/>
              </w:rPr>
            </w:pPr>
            <w:r>
              <w:rPr>
                <w:rFonts w:hint="eastAsia" w:ascii="宋体" w:hAnsi="宋体" w:cs="宋体"/>
                <w:szCs w:val="21"/>
              </w:rPr>
              <w:t>▲（1）单台交换容量≥8Tbps，包转发率≥2400Mpps，提供≥48个25GE端口接入能力，并配置≥48个25G多模光模块，端口数量需满足算力池集群组网要求，单台提供可插拔电源模块≥2个，可插拔风扇模块≥4个；</w:t>
            </w:r>
          </w:p>
          <w:p w14:paraId="79011A66">
            <w:pPr>
              <w:spacing w:line="380" w:lineRule="exact"/>
              <w:rPr>
                <w:rFonts w:hint="eastAsia" w:ascii="宋体" w:hAnsi="宋体" w:cs="宋体"/>
                <w:szCs w:val="21"/>
              </w:rPr>
            </w:pPr>
            <w:r>
              <w:rPr>
                <w:rFonts w:hint="eastAsia" w:ascii="宋体" w:hAnsi="宋体" w:cs="宋体"/>
                <w:szCs w:val="21"/>
              </w:rPr>
              <w:t>●（2）支持AI ECN；（投标时提供国家认可具有相应检测资质的第三方检测机构出具的关于该功能检测报告扫描件或复印件，并加盖公章）</w:t>
            </w:r>
          </w:p>
          <w:p w14:paraId="5208243B">
            <w:pPr>
              <w:spacing w:line="380" w:lineRule="exact"/>
              <w:rPr>
                <w:rFonts w:hint="eastAsia" w:ascii="宋体" w:hAnsi="宋体" w:cs="宋体"/>
                <w:szCs w:val="21"/>
              </w:rPr>
            </w:pPr>
            <w:r>
              <w:rPr>
                <w:rFonts w:hint="eastAsia" w:ascii="宋体" w:hAnsi="宋体" w:cs="宋体"/>
                <w:szCs w:val="21"/>
              </w:rPr>
              <w:t>（3）支持PFC死锁预防；</w:t>
            </w:r>
          </w:p>
          <w:p w14:paraId="2FFE7BFF">
            <w:pPr>
              <w:spacing w:line="380" w:lineRule="exact"/>
              <w:rPr>
                <w:rFonts w:hint="eastAsia" w:ascii="宋体" w:hAnsi="宋体" w:cs="宋体"/>
                <w:szCs w:val="21"/>
              </w:rPr>
            </w:pPr>
            <w:r>
              <w:rPr>
                <w:rFonts w:hint="eastAsia" w:ascii="宋体" w:hAnsi="宋体" w:cs="宋体"/>
                <w:szCs w:val="21"/>
              </w:rPr>
              <w:t>●（4）支持Packet Event，丢包可视、超长时延可视；（投标时提供国家认可具有相应检测资质的第三方检测机构出具的关于该功能检测报告扫描件或复印件，并加盖公章）</w:t>
            </w:r>
          </w:p>
          <w:p w14:paraId="27D2108D">
            <w:pPr>
              <w:spacing w:line="380" w:lineRule="exact"/>
              <w:rPr>
                <w:rFonts w:hint="eastAsia" w:ascii="宋体" w:hAnsi="宋体" w:cs="宋体"/>
                <w:szCs w:val="21"/>
              </w:rPr>
            </w:pPr>
            <w:r>
              <w:rPr>
                <w:rFonts w:hint="eastAsia" w:ascii="宋体" w:hAnsi="宋体" w:cs="宋体"/>
                <w:szCs w:val="21"/>
              </w:rPr>
              <w:t>●（5）支持 Netstream 满足10GE 1:1采样；（投标时提供国家认可具有相应检测资质的第三方检测机构出具的关于该功能检测报告扫描件或复印件，并加盖公章）</w:t>
            </w:r>
          </w:p>
          <w:p w14:paraId="66DB45FD">
            <w:pPr>
              <w:spacing w:line="380" w:lineRule="exact"/>
              <w:rPr>
                <w:rFonts w:hint="eastAsia" w:ascii="宋体" w:hAnsi="宋体" w:cs="宋体"/>
                <w:szCs w:val="21"/>
              </w:rPr>
            </w:pPr>
            <w:r>
              <w:rPr>
                <w:rFonts w:hint="eastAsia" w:ascii="宋体" w:hAnsi="宋体" w:cs="宋体"/>
                <w:szCs w:val="21"/>
              </w:rPr>
              <w:t>（6）支持 RDMA 和 RoCE（RoCE v1 和 RoCE v2）；</w:t>
            </w:r>
          </w:p>
          <w:p w14:paraId="2494D7B1">
            <w:pPr>
              <w:spacing w:line="380" w:lineRule="exact"/>
              <w:rPr>
                <w:rFonts w:hint="eastAsia" w:ascii="宋体" w:hAnsi="宋体" w:cs="宋体"/>
                <w:szCs w:val="21"/>
              </w:rPr>
            </w:pPr>
            <w:r>
              <w:rPr>
                <w:rFonts w:hint="eastAsia" w:ascii="宋体" w:hAnsi="宋体" w:cs="宋体"/>
                <w:szCs w:val="21"/>
              </w:rPr>
              <w:t>（7）支持硬件 BFD，最小 3.3ms 发包间隔；</w:t>
            </w:r>
          </w:p>
          <w:p w14:paraId="5327E763">
            <w:pPr>
              <w:spacing w:line="380" w:lineRule="exact"/>
              <w:rPr>
                <w:rFonts w:hint="eastAsia" w:ascii="宋体" w:hAnsi="宋体" w:cs="宋体"/>
                <w:szCs w:val="21"/>
              </w:rPr>
            </w:pPr>
            <w:r>
              <w:rPr>
                <w:rFonts w:hint="eastAsia" w:ascii="宋体" w:hAnsi="宋体" w:cs="宋体"/>
                <w:szCs w:val="21"/>
              </w:rPr>
              <w:t>3、样本面交换机（≥2台）：</w:t>
            </w:r>
          </w:p>
          <w:p w14:paraId="0E26AE98">
            <w:pPr>
              <w:spacing w:line="380" w:lineRule="exact"/>
              <w:rPr>
                <w:rFonts w:hint="eastAsia" w:ascii="宋体" w:hAnsi="宋体" w:cs="宋体"/>
                <w:szCs w:val="21"/>
              </w:rPr>
            </w:pPr>
            <w:r>
              <w:rPr>
                <w:rFonts w:hint="eastAsia" w:ascii="宋体" w:hAnsi="宋体" w:cs="宋体"/>
                <w:szCs w:val="21"/>
              </w:rPr>
              <w:t>▲（1）单台交换容量≥16Tbps，包转发率≥4800Mpps，提供≥30个100GE端口接入能力，并配置≥26个100G光模块，端口数量需满足算力池集群组网要求，单台提供电源模块≥2个，风扇模块≥5个；</w:t>
            </w:r>
          </w:p>
          <w:p w14:paraId="6F79E530">
            <w:pPr>
              <w:spacing w:line="380" w:lineRule="exact"/>
              <w:rPr>
                <w:rFonts w:hint="eastAsia" w:ascii="宋体" w:hAnsi="宋体" w:cs="宋体"/>
                <w:szCs w:val="21"/>
              </w:rPr>
            </w:pPr>
            <w:r>
              <w:rPr>
                <w:rFonts w:hint="eastAsia" w:ascii="宋体" w:hAnsi="宋体" w:cs="宋体"/>
                <w:szCs w:val="21"/>
              </w:rPr>
              <w:t>●（2）支持AI ECN；（投标时提供国家认可具有相应检测资质的第三方检测机构出具的关于该功能检测报告扫描件或复印件，并加盖公章）</w:t>
            </w:r>
          </w:p>
          <w:p w14:paraId="49ABB0D6">
            <w:pPr>
              <w:spacing w:line="380" w:lineRule="exact"/>
              <w:rPr>
                <w:rFonts w:hint="eastAsia" w:ascii="宋体" w:hAnsi="宋体" w:cs="宋体"/>
                <w:szCs w:val="21"/>
              </w:rPr>
            </w:pPr>
            <w:r>
              <w:rPr>
                <w:rFonts w:hint="eastAsia" w:ascii="宋体" w:hAnsi="宋体" w:cs="宋体"/>
                <w:szCs w:val="21"/>
              </w:rPr>
              <w:t>（3）支持PFC死锁预防；</w:t>
            </w:r>
          </w:p>
          <w:p w14:paraId="6C2B3C8F">
            <w:pPr>
              <w:spacing w:line="380" w:lineRule="exact"/>
              <w:rPr>
                <w:rFonts w:hint="eastAsia" w:ascii="宋体" w:hAnsi="宋体" w:cs="宋体"/>
                <w:szCs w:val="21"/>
              </w:rPr>
            </w:pPr>
            <w:r>
              <w:rPr>
                <w:rFonts w:hint="eastAsia" w:ascii="宋体" w:hAnsi="宋体" w:cs="宋体"/>
                <w:szCs w:val="21"/>
              </w:rPr>
              <w:t>●（4）支持Packet Event，丢包可视、超长时延可视；（投标时提供国家认可具有相应检测资质的第三方检测机构出具的关于该功能检测报告扫描件或复印件，并加盖公章）</w:t>
            </w:r>
          </w:p>
          <w:p w14:paraId="64230355">
            <w:pPr>
              <w:spacing w:line="380" w:lineRule="exact"/>
              <w:rPr>
                <w:rFonts w:hint="eastAsia" w:ascii="宋体" w:hAnsi="宋体" w:cs="宋体"/>
                <w:szCs w:val="21"/>
              </w:rPr>
            </w:pPr>
            <w:r>
              <w:rPr>
                <w:rFonts w:hint="eastAsia" w:ascii="宋体" w:hAnsi="宋体" w:cs="宋体"/>
                <w:szCs w:val="21"/>
              </w:rPr>
              <w:t>●（5）MACsec国密加密功能；（投标时提供国家认可具有相应检测资质的第三方检测机构出具的关于该功能检测报告扫描件或复印件，并加盖公章）</w:t>
            </w:r>
          </w:p>
          <w:p w14:paraId="12CDDC33">
            <w:pPr>
              <w:spacing w:line="380" w:lineRule="exact"/>
              <w:rPr>
                <w:rFonts w:hint="eastAsia" w:ascii="宋体" w:hAnsi="宋体" w:cs="宋体"/>
                <w:szCs w:val="21"/>
              </w:rPr>
            </w:pPr>
            <w:r>
              <w:rPr>
                <w:rFonts w:hint="eastAsia" w:ascii="宋体" w:hAnsi="宋体" w:cs="宋体"/>
                <w:szCs w:val="21"/>
              </w:rPr>
              <w:t>（6）支持 RDMA 和 RoCE（RoCE v1 和 RoCE v2）；</w:t>
            </w:r>
          </w:p>
          <w:p w14:paraId="720A5588">
            <w:pPr>
              <w:spacing w:line="380" w:lineRule="exact"/>
              <w:rPr>
                <w:rFonts w:hint="eastAsia" w:ascii="宋体" w:hAnsi="宋体" w:cs="宋体"/>
                <w:szCs w:val="21"/>
              </w:rPr>
            </w:pPr>
            <w:r>
              <w:rPr>
                <w:rFonts w:hint="eastAsia" w:ascii="宋体" w:hAnsi="宋体" w:cs="宋体"/>
                <w:szCs w:val="21"/>
              </w:rPr>
              <w:t>（7）支持硬件 BFD，最小 3.3ms 发包间隔；</w:t>
            </w:r>
          </w:p>
          <w:p w14:paraId="21B9A206">
            <w:pPr>
              <w:spacing w:line="380" w:lineRule="exact"/>
              <w:rPr>
                <w:rFonts w:hint="eastAsia" w:ascii="宋体" w:hAnsi="宋体" w:cs="宋体"/>
                <w:szCs w:val="21"/>
              </w:rPr>
            </w:pPr>
            <w:r>
              <w:rPr>
                <w:rFonts w:hint="eastAsia" w:ascii="宋体" w:hAnsi="宋体" w:cs="宋体"/>
                <w:szCs w:val="21"/>
              </w:rPr>
              <w:t>4、带外管理接入交换机（≥1台）：</w:t>
            </w:r>
          </w:p>
          <w:p w14:paraId="7EB9DB1C">
            <w:pPr>
              <w:spacing w:line="380" w:lineRule="exact"/>
              <w:rPr>
                <w:rFonts w:hint="eastAsia" w:ascii="宋体" w:hAnsi="宋体" w:cs="宋体"/>
                <w:szCs w:val="21"/>
              </w:rPr>
            </w:pPr>
            <w:r>
              <w:rPr>
                <w:rFonts w:hint="eastAsia" w:ascii="宋体" w:hAnsi="宋体" w:cs="宋体"/>
                <w:szCs w:val="21"/>
              </w:rPr>
              <w:t>▲（1）单台交换容量≥670Gbps，包转发率≥200Mpps，提供≥48个千兆电口接入能力，端口数量需满足算力池集群要求，单台提供电源模块≥2个，内置风扇；</w:t>
            </w:r>
          </w:p>
          <w:p w14:paraId="42813638">
            <w:pPr>
              <w:spacing w:line="380" w:lineRule="exact"/>
              <w:rPr>
                <w:rFonts w:hint="eastAsia" w:ascii="宋体" w:hAnsi="宋体" w:cs="宋体"/>
                <w:szCs w:val="21"/>
              </w:rPr>
            </w:pPr>
            <w:r>
              <w:rPr>
                <w:rFonts w:hint="eastAsia" w:ascii="宋体" w:hAnsi="宋体" w:cs="宋体"/>
                <w:szCs w:val="21"/>
              </w:rPr>
              <w:t>（2）支持以太网环网保护协议ERPS；</w:t>
            </w:r>
          </w:p>
          <w:p w14:paraId="4FAA0BDE">
            <w:pPr>
              <w:spacing w:line="380" w:lineRule="exact"/>
              <w:rPr>
                <w:rFonts w:hint="eastAsia" w:ascii="宋体" w:hAnsi="宋体" w:cs="宋体"/>
                <w:szCs w:val="21"/>
              </w:rPr>
            </w:pPr>
            <w:r>
              <w:rPr>
                <w:rFonts w:hint="eastAsia" w:ascii="宋体" w:hAnsi="宋体" w:cs="宋体"/>
                <w:szCs w:val="21"/>
              </w:rPr>
              <w:t>5、提供原厂三年免费上门软硬件技术支持与售后服务（包括硬件保修和软件升级）。</w:t>
            </w:r>
          </w:p>
          <w:p w14:paraId="73590B29">
            <w:pPr>
              <w:spacing w:line="380" w:lineRule="exact"/>
              <w:rPr>
                <w:rFonts w:hint="eastAsia" w:ascii="宋体" w:hAnsi="宋体" w:cs="宋体"/>
                <w:szCs w:val="21"/>
              </w:rPr>
            </w:pPr>
          </w:p>
          <w:p w14:paraId="20B2EA91">
            <w:pPr>
              <w:spacing w:line="380" w:lineRule="exact"/>
              <w:rPr>
                <w:rFonts w:hint="eastAsia" w:ascii="宋体" w:hAnsi="宋体" w:cs="宋体"/>
                <w:szCs w:val="21"/>
              </w:rPr>
            </w:pPr>
            <w:r>
              <w:rPr>
                <w:rFonts w:hint="eastAsia" w:ascii="宋体" w:hAnsi="宋体" w:cs="宋体"/>
                <w:szCs w:val="21"/>
              </w:rPr>
              <w:t>（三）AI推理服务存储资源性能及配置要求：</w:t>
            </w:r>
          </w:p>
          <w:p w14:paraId="47B84364">
            <w:pPr>
              <w:spacing w:line="380" w:lineRule="exact"/>
              <w:rPr>
                <w:rFonts w:hint="eastAsia" w:ascii="宋体" w:hAnsi="宋体" w:cs="宋体"/>
                <w:szCs w:val="21"/>
              </w:rPr>
            </w:pPr>
            <w:r>
              <w:rPr>
                <w:rFonts w:hint="eastAsia" w:ascii="宋体" w:hAnsi="宋体" w:cs="宋体"/>
                <w:szCs w:val="21"/>
              </w:rPr>
              <w:t>1、存储设备控制器之间支持AA架构，具备冗余能力，故障任一控制器故障时业务不中断、数据不丢失，控制器数量需满足算力池集群要求；</w:t>
            </w:r>
          </w:p>
          <w:p w14:paraId="51BAFAA4">
            <w:pPr>
              <w:spacing w:line="380" w:lineRule="exact"/>
              <w:rPr>
                <w:rFonts w:hint="eastAsia" w:ascii="宋体" w:hAnsi="宋体" w:cs="宋体"/>
                <w:szCs w:val="21"/>
              </w:rPr>
            </w:pPr>
            <w:r>
              <w:rPr>
                <w:rFonts w:hint="eastAsia" w:ascii="宋体" w:hAnsi="宋体" w:cs="宋体"/>
                <w:szCs w:val="21"/>
              </w:rPr>
              <w:t>▲2、处理器采用符合国家安全可靠测评要求的CPU，单控制器CPU数量≥2，单控CPU总核心数≥96核，CPU主频率≥2.0GHz；</w:t>
            </w:r>
          </w:p>
          <w:p w14:paraId="01EBF583">
            <w:pPr>
              <w:spacing w:line="380" w:lineRule="exact"/>
              <w:rPr>
                <w:rFonts w:hint="eastAsia" w:ascii="宋体" w:hAnsi="宋体" w:cs="宋体"/>
                <w:szCs w:val="21"/>
              </w:rPr>
            </w:pPr>
            <w:r>
              <w:rPr>
                <w:rFonts w:hint="eastAsia" w:ascii="宋体" w:hAnsi="宋体" w:cs="宋体"/>
                <w:szCs w:val="21"/>
              </w:rPr>
              <w:t>▲3、系统内总一级内存容量配置≥1024GB DDR4 ECC，且任意控制器一级内存容量≥512GB；</w:t>
            </w:r>
          </w:p>
          <w:p w14:paraId="5FDD59B8">
            <w:pPr>
              <w:spacing w:line="380" w:lineRule="exact"/>
              <w:rPr>
                <w:rFonts w:hint="eastAsia" w:ascii="宋体" w:hAnsi="宋体" w:cs="宋体"/>
                <w:szCs w:val="21"/>
              </w:rPr>
            </w:pPr>
            <w:r>
              <w:rPr>
                <w:rFonts w:hint="eastAsia" w:ascii="宋体" w:hAnsi="宋体" w:cs="宋体"/>
                <w:szCs w:val="21"/>
              </w:rPr>
              <w:t>▲4、配置≥10块7.68TB NVMe SSD，顺序读写@128KB速率≥4700MB/S，支持可用容量≥40TB；单控制框支持最大插入SSD硬盘数量≥36块；</w:t>
            </w:r>
          </w:p>
          <w:p w14:paraId="74EA1521">
            <w:pPr>
              <w:spacing w:line="380" w:lineRule="exact"/>
              <w:rPr>
                <w:rFonts w:hint="eastAsia" w:ascii="宋体" w:hAnsi="宋体" w:cs="宋体"/>
                <w:szCs w:val="21"/>
              </w:rPr>
            </w:pPr>
            <w:r>
              <w:rPr>
                <w:rFonts w:hint="eastAsia" w:ascii="宋体" w:hAnsi="宋体" w:cs="宋体"/>
                <w:szCs w:val="21"/>
              </w:rPr>
              <w:t>▲5、配置≥8*25 GE TCP端口，≥12*100 GE RoCE端口，配置≥2*1GE管理端口；</w:t>
            </w:r>
          </w:p>
          <w:p w14:paraId="115ECC78">
            <w:pPr>
              <w:spacing w:line="380" w:lineRule="exact"/>
              <w:rPr>
                <w:rFonts w:hint="eastAsia" w:ascii="宋体" w:hAnsi="宋体" w:cs="宋体"/>
                <w:szCs w:val="21"/>
              </w:rPr>
            </w:pPr>
            <w:r>
              <w:rPr>
                <w:rFonts w:hint="eastAsia" w:ascii="宋体" w:hAnsi="宋体" w:cs="宋体"/>
                <w:szCs w:val="21"/>
              </w:rPr>
              <w:t>6、提供NAS使用许可，支持存储资源管理、文件系统、配额管理、智能服务质量等功能；</w:t>
            </w:r>
          </w:p>
          <w:p w14:paraId="2F7780FC">
            <w:pPr>
              <w:spacing w:line="380" w:lineRule="exact"/>
              <w:rPr>
                <w:rFonts w:hint="eastAsia" w:ascii="宋体" w:hAnsi="宋体" w:cs="宋体"/>
                <w:szCs w:val="21"/>
              </w:rPr>
            </w:pPr>
            <w:r>
              <w:rPr>
                <w:rFonts w:hint="eastAsia" w:ascii="宋体" w:hAnsi="宋体" w:cs="宋体"/>
                <w:szCs w:val="21"/>
              </w:rPr>
              <w:t>7、具备大规模横向扩展能力，单集群规模最大可扩展至≥32节点；</w:t>
            </w:r>
          </w:p>
          <w:p w14:paraId="1BECB25B">
            <w:pPr>
              <w:spacing w:line="380" w:lineRule="exact"/>
              <w:rPr>
                <w:rFonts w:hint="eastAsia" w:ascii="宋体" w:hAnsi="宋体" w:cs="宋体"/>
                <w:szCs w:val="21"/>
              </w:rPr>
            </w:pPr>
            <w:r>
              <w:rPr>
                <w:rFonts w:hint="eastAsia" w:ascii="宋体" w:hAnsi="宋体" w:cs="宋体"/>
                <w:szCs w:val="21"/>
              </w:rPr>
              <w:t>8、提供AI推理加速存储统一运维软件，支持存储设备容量、性能监控、资源分发等能力；</w:t>
            </w:r>
          </w:p>
          <w:p w14:paraId="7E1F3A68">
            <w:pPr>
              <w:spacing w:line="380" w:lineRule="exact"/>
              <w:rPr>
                <w:rFonts w:hint="eastAsia" w:ascii="宋体" w:hAnsi="宋体" w:cs="宋体"/>
                <w:szCs w:val="21"/>
              </w:rPr>
            </w:pPr>
            <w:r>
              <w:rPr>
                <w:rFonts w:hint="eastAsia" w:ascii="宋体" w:hAnsi="宋体" w:cs="宋体"/>
                <w:szCs w:val="21"/>
              </w:rPr>
              <w:t>●9、硬件设备包括保电内存、BBU，文件数据在断电后数据能够继续保存；（投标时提供产品技术白皮书或彩页等证明，并加盖公章）</w:t>
            </w:r>
          </w:p>
          <w:p w14:paraId="733E61C6">
            <w:pPr>
              <w:spacing w:line="380" w:lineRule="exact"/>
              <w:rPr>
                <w:rFonts w:hint="eastAsia" w:ascii="宋体" w:hAnsi="宋体" w:cs="宋体"/>
                <w:szCs w:val="21"/>
              </w:rPr>
            </w:pPr>
            <w:r>
              <w:rPr>
                <w:rFonts w:hint="eastAsia" w:ascii="宋体" w:hAnsi="宋体" w:cs="宋体"/>
                <w:szCs w:val="21"/>
              </w:rPr>
              <w:t>●10、支持大模型推理加速能力，通过将推理过程中token生成的KVCache持久化至存储，在后续的推理任务中以查代算，减少重复计算，加速推理过程，可降低首token响应时延（TTFT）和Token间时延（TBT），提升推理吞吐性能（Token/s）；（投标时提供国家认可具有相应检测资质的第三方检测机构出具的关于该功能检测报告扫描件或复印件，并加盖公章）</w:t>
            </w:r>
          </w:p>
          <w:p w14:paraId="4AFCD11E">
            <w:pPr>
              <w:spacing w:line="380" w:lineRule="exact"/>
              <w:rPr>
                <w:rFonts w:hint="eastAsia" w:ascii="宋体" w:hAnsi="宋体" w:cs="宋体"/>
                <w:szCs w:val="21"/>
              </w:rPr>
            </w:pPr>
            <w:r>
              <w:rPr>
                <w:rFonts w:hint="eastAsia" w:ascii="宋体" w:hAnsi="宋体" w:cs="宋体"/>
                <w:szCs w:val="21"/>
              </w:rPr>
              <w:t>●11、支持推理上下文窗口扩展，突破推理上下文窗口限制，超过窗口长度的内容可正常推理；（投标时提供国家认可具有相应检测资质的第三方检测机构出具的关于该功能检测报告扫描件或复印件，并加盖公章）</w:t>
            </w:r>
          </w:p>
          <w:p w14:paraId="2ED0319F">
            <w:pPr>
              <w:spacing w:line="380" w:lineRule="exact"/>
              <w:rPr>
                <w:rFonts w:hint="eastAsia" w:ascii="宋体" w:hAnsi="宋体" w:cs="宋体"/>
                <w:szCs w:val="21"/>
              </w:rPr>
            </w:pPr>
            <w:r>
              <w:rPr>
                <w:rFonts w:hint="eastAsia" w:ascii="宋体" w:hAnsi="宋体" w:cs="宋体"/>
                <w:szCs w:val="21"/>
              </w:rPr>
              <w:t>●12、支持超高性能密度, 单台设备读带宽不低于160 GB/s。单节点（控）读带宽不低于80GB/s，写带宽不低于25GB/s；（投标时提供国家认可具有相应检测资质的第三方检测机构出具的关于该功能检测报告扫描件或复印件，并加盖公章）</w:t>
            </w:r>
          </w:p>
          <w:p w14:paraId="379BE9E2">
            <w:pPr>
              <w:spacing w:line="380" w:lineRule="exact"/>
              <w:rPr>
                <w:rFonts w:hint="eastAsia" w:ascii="宋体" w:hAnsi="宋体" w:cs="宋体"/>
                <w:szCs w:val="21"/>
              </w:rPr>
            </w:pPr>
            <w:r>
              <w:rPr>
                <w:rFonts w:hint="eastAsia" w:ascii="宋体" w:hAnsi="宋体" w:cs="宋体"/>
                <w:szCs w:val="21"/>
              </w:rPr>
              <w:t>13、提供原厂安装实施服务和三年免费上门软硬件技术支持与售后服务（包括硬件保修、软件升级和介质保留），服务期满后存储盘留存给采购人。</w:t>
            </w:r>
          </w:p>
          <w:p w14:paraId="677A5B41">
            <w:pPr>
              <w:spacing w:line="380" w:lineRule="exact"/>
              <w:rPr>
                <w:rFonts w:hint="eastAsia" w:ascii="宋体" w:hAnsi="宋体" w:cs="宋体"/>
                <w:szCs w:val="21"/>
              </w:rPr>
            </w:pPr>
          </w:p>
          <w:p w14:paraId="60D7E6BC">
            <w:pPr>
              <w:spacing w:line="380" w:lineRule="exact"/>
              <w:rPr>
                <w:rFonts w:hint="eastAsia" w:ascii="宋体" w:hAnsi="宋体" w:cs="宋体"/>
                <w:szCs w:val="21"/>
              </w:rPr>
            </w:pPr>
            <w:r>
              <w:rPr>
                <w:rFonts w:hint="eastAsia" w:ascii="宋体" w:hAnsi="宋体" w:cs="宋体"/>
                <w:szCs w:val="21"/>
              </w:rPr>
              <w:t>（四）算力网络集成调测及性能优化服务</w:t>
            </w:r>
          </w:p>
          <w:p w14:paraId="70166437">
            <w:pPr>
              <w:spacing w:line="380" w:lineRule="exact"/>
              <w:rPr>
                <w:rFonts w:hint="eastAsia" w:ascii="宋体" w:hAnsi="宋体" w:cs="宋体"/>
                <w:szCs w:val="21"/>
              </w:rPr>
            </w:pPr>
            <w:r>
              <w:rPr>
                <w:rFonts w:hint="eastAsia" w:ascii="宋体" w:hAnsi="宋体" w:cs="宋体"/>
                <w:szCs w:val="21"/>
              </w:rPr>
              <w:t>1、提供原厂算力网络集成调测服务，包括交换机、计算、存储等算力网络配置与调测，包含构成算力网络各组件对接及联合调测、服务实例配置、计算节点对接与调测、集群服务配置与启动等内容；</w:t>
            </w:r>
          </w:p>
          <w:p w14:paraId="0B2EA837">
            <w:pPr>
              <w:spacing w:line="380" w:lineRule="exact"/>
              <w:rPr>
                <w:rFonts w:hint="eastAsia" w:ascii="宋体" w:hAnsi="宋体" w:cs="宋体"/>
                <w:szCs w:val="21"/>
              </w:rPr>
            </w:pPr>
            <w:r>
              <w:rPr>
                <w:rFonts w:hint="eastAsia" w:ascii="宋体" w:hAnsi="宋体" w:cs="宋体"/>
                <w:szCs w:val="21"/>
              </w:rPr>
              <w:t>2、提供针对国家安全可靠测评相关要求的适配支持等服务，提供适配迁移工具协助应用厂家；</w:t>
            </w:r>
          </w:p>
          <w:p w14:paraId="45927AD1">
            <w:pPr>
              <w:spacing w:line="380" w:lineRule="exact"/>
              <w:rPr>
                <w:rFonts w:hint="eastAsia" w:ascii="宋体" w:hAnsi="宋体" w:cs="宋体"/>
                <w:szCs w:val="21"/>
              </w:rPr>
            </w:pPr>
            <w:r>
              <w:rPr>
                <w:rFonts w:hint="eastAsia" w:ascii="宋体" w:hAnsi="宋体" w:cs="宋体"/>
                <w:szCs w:val="21"/>
              </w:rPr>
              <w:t>3、提供开发环境构建支持、开发技术栈支持、模型开发调测支持、样例演示等AI使能服务；</w:t>
            </w:r>
          </w:p>
          <w:p w14:paraId="4317728C">
            <w:pPr>
              <w:spacing w:line="380" w:lineRule="exact"/>
              <w:rPr>
                <w:rFonts w:hint="eastAsia" w:ascii="宋体" w:hAnsi="宋体" w:cs="宋体"/>
                <w:szCs w:val="21"/>
              </w:rPr>
            </w:pPr>
            <w:r>
              <w:rPr>
                <w:rFonts w:hint="eastAsia" w:ascii="宋体" w:hAnsi="宋体" w:cs="宋体"/>
                <w:szCs w:val="21"/>
              </w:rPr>
              <w:t>4、提供集群性能优化服务，通过优化系统和模型框架参数，以及规模集群化部署等手段提升性能。</w:t>
            </w:r>
          </w:p>
          <w:p w14:paraId="0A9F2306">
            <w:pPr>
              <w:spacing w:line="380" w:lineRule="exact"/>
              <w:rPr>
                <w:rFonts w:hint="eastAsia" w:ascii="宋体" w:hAnsi="宋体" w:cs="宋体"/>
                <w:szCs w:val="21"/>
              </w:rPr>
            </w:pPr>
            <w:r>
              <w:rPr>
                <w:rFonts w:hint="eastAsia" w:ascii="宋体" w:hAnsi="宋体" w:cs="宋体"/>
                <w:szCs w:val="21"/>
              </w:rPr>
              <w:t>5、配合采购人开展等保测评及商密应用等相关工作。</w:t>
            </w:r>
          </w:p>
          <w:p w14:paraId="1D8F598C">
            <w:pPr>
              <w:spacing w:line="380" w:lineRule="exact"/>
              <w:rPr>
                <w:rFonts w:hint="eastAsia" w:ascii="宋体" w:hAnsi="宋体" w:cs="宋体"/>
                <w:szCs w:val="21"/>
              </w:rPr>
            </w:pPr>
          </w:p>
          <w:p w14:paraId="51E59664">
            <w:pPr>
              <w:spacing w:line="380" w:lineRule="exact"/>
              <w:rPr>
                <w:rFonts w:hint="eastAsia" w:ascii="宋体" w:hAnsi="宋体" w:cs="宋体"/>
                <w:szCs w:val="21"/>
              </w:rPr>
            </w:pPr>
            <w:r>
              <w:rPr>
                <w:rFonts w:hint="eastAsia" w:ascii="宋体" w:hAnsi="宋体" w:cs="宋体"/>
                <w:szCs w:val="21"/>
              </w:rPr>
              <w:t>（五）提供机柜及承担电费</w:t>
            </w:r>
          </w:p>
          <w:p w14:paraId="14DB9BE5">
            <w:pPr>
              <w:spacing w:line="380" w:lineRule="exact"/>
              <w:rPr>
                <w:rFonts w:hint="eastAsia" w:ascii="宋体" w:hAnsi="宋体" w:cs="宋体"/>
                <w:szCs w:val="21"/>
              </w:rPr>
            </w:pPr>
            <w:r>
              <w:rPr>
                <w:rFonts w:hint="eastAsia" w:ascii="宋体" w:hAnsi="宋体" w:cs="宋体"/>
                <w:szCs w:val="21"/>
              </w:rPr>
              <w:t>提供单柜功率≥5KW的机柜（机柜数量需满足所租赁设备上架及安装部署的要求），并承担所租赁设备产生的电费。</w:t>
            </w:r>
          </w:p>
          <w:p w14:paraId="27621829">
            <w:pPr>
              <w:pStyle w:val="3"/>
              <w:numPr>
                <w:ilvl w:val="1"/>
                <w:numId w:val="0"/>
              </w:numPr>
              <w:spacing w:before="0" w:after="0" w:line="380" w:lineRule="exact"/>
              <w:jc w:val="left"/>
              <w:rPr>
                <w:rFonts w:hint="eastAsia" w:ascii="宋体" w:hAnsi="宋体" w:eastAsia="宋体" w:cs="宋体"/>
                <w:b/>
                <w:bCs/>
                <w:sz w:val="21"/>
                <w:szCs w:val="21"/>
              </w:rPr>
            </w:pPr>
            <w:r>
              <w:rPr>
                <w:rFonts w:hint="eastAsia" w:ascii="宋体" w:hAnsi="宋体" w:eastAsia="宋体" w:cs="宋体"/>
                <w:b/>
                <w:bCs/>
                <w:sz w:val="21"/>
                <w:szCs w:val="21"/>
              </w:rPr>
              <w:t>（六）故障（事件）响应和解决时限要求</w:t>
            </w:r>
          </w:p>
          <w:p w14:paraId="7CA7C2A4">
            <w:pPr>
              <w:pStyle w:val="4"/>
              <w:numPr>
                <w:ilvl w:val="2"/>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1. 故障（事件）等级定义</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3066"/>
              <w:gridCol w:w="2606"/>
            </w:tblGrid>
            <w:tr w14:paraId="05EF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7" w:type="pct"/>
                  <w:vAlign w:val="center"/>
                </w:tcPr>
                <w:p w14:paraId="795498CD">
                  <w:pPr>
                    <w:pStyle w:val="162"/>
                    <w:spacing w:line="380" w:lineRule="exact"/>
                    <w:jc w:val="left"/>
                    <w:rPr>
                      <w:rFonts w:hint="eastAsia" w:cs="宋体"/>
                      <w:color w:val="auto"/>
                    </w:rPr>
                  </w:pPr>
                  <w:r>
                    <w:rPr>
                      <w:rFonts w:hint="eastAsia" w:cs="宋体"/>
                      <w:color w:val="auto"/>
                    </w:rPr>
                    <w:t>故障（事件）级别</w:t>
                  </w:r>
                </w:p>
              </w:tc>
              <w:tc>
                <w:tcPr>
                  <w:tcW w:w="1953" w:type="pct"/>
                  <w:vAlign w:val="center"/>
                </w:tcPr>
                <w:p w14:paraId="0B26CEB3">
                  <w:pPr>
                    <w:pStyle w:val="162"/>
                    <w:spacing w:line="380" w:lineRule="exact"/>
                    <w:jc w:val="left"/>
                    <w:rPr>
                      <w:rFonts w:hint="eastAsia" w:cs="宋体"/>
                      <w:color w:val="auto"/>
                    </w:rPr>
                  </w:pPr>
                  <w:r>
                    <w:rPr>
                      <w:rFonts w:hint="eastAsia" w:cs="宋体"/>
                      <w:color w:val="auto"/>
                    </w:rPr>
                    <w:t>故障（事件）定义</w:t>
                  </w:r>
                </w:p>
              </w:tc>
              <w:tc>
                <w:tcPr>
                  <w:tcW w:w="1660" w:type="pct"/>
                  <w:vAlign w:val="center"/>
                </w:tcPr>
                <w:p w14:paraId="2046F8A2">
                  <w:pPr>
                    <w:pStyle w:val="162"/>
                    <w:spacing w:line="380" w:lineRule="exact"/>
                    <w:jc w:val="left"/>
                    <w:rPr>
                      <w:rFonts w:hint="eastAsia" w:cs="宋体"/>
                      <w:color w:val="auto"/>
                    </w:rPr>
                  </w:pPr>
                  <w:r>
                    <w:rPr>
                      <w:rFonts w:hint="eastAsia" w:cs="宋体"/>
                      <w:color w:val="auto"/>
                    </w:rPr>
                    <w:t>故障（事件）特征</w:t>
                  </w:r>
                </w:p>
              </w:tc>
            </w:tr>
            <w:tr w14:paraId="61E5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7" w:type="pct"/>
                  <w:vAlign w:val="center"/>
                </w:tcPr>
                <w:p w14:paraId="133E9851">
                  <w:pPr>
                    <w:pStyle w:val="162"/>
                    <w:spacing w:line="380" w:lineRule="exact"/>
                    <w:jc w:val="left"/>
                    <w:rPr>
                      <w:rFonts w:hint="eastAsia" w:cs="宋体"/>
                      <w:color w:val="auto"/>
                    </w:rPr>
                  </w:pPr>
                  <w:r>
                    <w:rPr>
                      <w:rFonts w:hint="eastAsia" w:cs="宋体"/>
                      <w:color w:val="auto"/>
                    </w:rPr>
                    <w:t>一级</w:t>
                  </w:r>
                </w:p>
              </w:tc>
              <w:tc>
                <w:tcPr>
                  <w:tcW w:w="1953" w:type="pct"/>
                  <w:vAlign w:val="center"/>
                </w:tcPr>
                <w:p w14:paraId="5D78B7A7">
                  <w:pPr>
                    <w:pStyle w:val="162"/>
                    <w:spacing w:line="380" w:lineRule="exact"/>
                    <w:jc w:val="left"/>
                    <w:rPr>
                      <w:rFonts w:hint="eastAsia" w:cs="宋体"/>
                      <w:color w:val="auto"/>
                    </w:rPr>
                  </w:pPr>
                  <w:r>
                    <w:rPr>
                      <w:rFonts w:hint="eastAsia" w:cs="宋体"/>
                      <w:color w:val="auto"/>
                    </w:rPr>
                    <w:t>因设备软硬件故障造成网络中断或业务系统不能正常运转。</w:t>
                  </w:r>
                </w:p>
              </w:tc>
              <w:tc>
                <w:tcPr>
                  <w:tcW w:w="1660" w:type="pct"/>
                  <w:vAlign w:val="center"/>
                </w:tcPr>
                <w:p w14:paraId="11142690">
                  <w:pPr>
                    <w:pStyle w:val="162"/>
                    <w:spacing w:line="380" w:lineRule="exact"/>
                    <w:jc w:val="left"/>
                    <w:rPr>
                      <w:rFonts w:hint="eastAsia" w:cs="宋体"/>
                      <w:color w:val="auto"/>
                    </w:rPr>
                  </w:pPr>
                  <w:r>
                    <w:rPr>
                      <w:rFonts w:hint="eastAsia" w:cs="宋体"/>
                      <w:color w:val="auto"/>
                    </w:rPr>
                    <w:t>业务中断1小时以上</w:t>
                  </w:r>
                </w:p>
              </w:tc>
            </w:tr>
            <w:tr w14:paraId="5B72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7" w:type="pct"/>
                  <w:vAlign w:val="center"/>
                </w:tcPr>
                <w:p w14:paraId="12984BAD">
                  <w:pPr>
                    <w:pStyle w:val="162"/>
                    <w:spacing w:line="380" w:lineRule="exact"/>
                    <w:jc w:val="left"/>
                    <w:rPr>
                      <w:rFonts w:hint="eastAsia" w:cs="宋体"/>
                      <w:color w:val="auto"/>
                    </w:rPr>
                  </w:pPr>
                  <w:r>
                    <w:rPr>
                      <w:rFonts w:hint="eastAsia" w:cs="宋体"/>
                      <w:color w:val="auto"/>
                    </w:rPr>
                    <w:t>二级</w:t>
                  </w:r>
                </w:p>
              </w:tc>
              <w:tc>
                <w:tcPr>
                  <w:tcW w:w="1953" w:type="pct"/>
                  <w:vAlign w:val="center"/>
                </w:tcPr>
                <w:p w14:paraId="5A363205">
                  <w:pPr>
                    <w:pStyle w:val="162"/>
                    <w:spacing w:line="380" w:lineRule="exact"/>
                    <w:jc w:val="left"/>
                    <w:rPr>
                      <w:rFonts w:hint="eastAsia" w:cs="宋体"/>
                      <w:color w:val="auto"/>
                    </w:rPr>
                  </w:pPr>
                  <w:r>
                    <w:rPr>
                      <w:rFonts w:hint="eastAsia" w:cs="宋体"/>
                      <w:color w:val="auto"/>
                    </w:rPr>
                    <w:t>因设备软硬件故障造成业务系统性能下降。</w:t>
                  </w:r>
                </w:p>
              </w:tc>
              <w:tc>
                <w:tcPr>
                  <w:tcW w:w="1660" w:type="pct"/>
                  <w:vAlign w:val="center"/>
                </w:tcPr>
                <w:p w14:paraId="0E17DFE4">
                  <w:pPr>
                    <w:pStyle w:val="162"/>
                    <w:spacing w:line="380" w:lineRule="exact"/>
                    <w:jc w:val="left"/>
                    <w:rPr>
                      <w:rFonts w:hint="eastAsia" w:cs="宋体"/>
                      <w:color w:val="auto"/>
                    </w:rPr>
                  </w:pPr>
                  <w:r>
                    <w:rPr>
                      <w:rFonts w:hint="eastAsia" w:cs="宋体"/>
                      <w:color w:val="auto"/>
                    </w:rPr>
                    <w:t>业务未中断，但性能下降</w:t>
                  </w:r>
                </w:p>
              </w:tc>
            </w:tr>
            <w:tr w14:paraId="13D1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387" w:type="pct"/>
                  <w:vAlign w:val="center"/>
                </w:tcPr>
                <w:p w14:paraId="6E038185">
                  <w:pPr>
                    <w:pStyle w:val="162"/>
                    <w:spacing w:line="380" w:lineRule="exact"/>
                    <w:jc w:val="left"/>
                    <w:rPr>
                      <w:rFonts w:hint="eastAsia" w:cs="宋体"/>
                      <w:color w:val="auto"/>
                    </w:rPr>
                  </w:pPr>
                  <w:r>
                    <w:rPr>
                      <w:rFonts w:hint="eastAsia" w:cs="宋体"/>
                      <w:color w:val="auto"/>
                    </w:rPr>
                    <w:t>三级</w:t>
                  </w:r>
                </w:p>
              </w:tc>
              <w:tc>
                <w:tcPr>
                  <w:tcW w:w="1953" w:type="pct"/>
                  <w:vAlign w:val="center"/>
                </w:tcPr>
                <w:p w14:paraId="50381E7D">
                  <w:pPr>
                    <w:pStyle w:val="162"/>
                    <w:spacing w:line="380" w:lineRule="exact"/>
                    <w:jc w:val="left"/>
                    <w:rPr>
                      <w:rFonts w:hint="eastAsia" w:cs="宋体"/>
                      <w:color w:val="auto"/>
                    </w:rPr>
                  </w:pPr>
                  <w:r>
                    <w:rPr>
                      <w:rFonts w:hint="eastAsia" w:cs="宋体"/>
                      <w:color w:val="auto"/>
                    </w:rPr>
                    <w:t>设备软硬件出现故障，但业务系统能正常运转。</w:t>
                  </w:r>
                </w:p>
              </w:tc>
              <w:tc>
                <w:tcPr>
                  <w:tcW w:w="1660" w:type="pct"/>
                  <w:vAlign w:val="center"/>
                </w:tcPr>
                <w:p w14:paraId="1E1F4445">
                  <w:pPr>
                    <w:pStyle w:val="162"/>
                    <w:spacing w:line="380" w:lineRule="exact"/>
                    <w:jc w:val="left"/>
                    <w:rPr>
                      <w:rFonts w:hint="eastAsia" w:cs="宋体"/>
                      <w:color w:val="auto"/>
                    </w:rPr>
                  </w:pPr>
                  <w:r>
                    <w:rPr>
                      <w:rFonts w:hint="eastAsia" w:cs="宋体"/>
                      <w:color w:val="auto"/>
                    </w:rPr>
                    <w:t>设备软硬件出现故障，不能正常工作，但业务系统运行不受故障影响。</w:t>
                  </w:r>
                </w:p>
              </w:tc>
            </w:tr>
            <w:tr w14:paraId="0A81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387" w:type="pct"/>
                  <w:vAlign w:val="center"/>
                </w:tcPr>
                <w:p w14:paraId="71C3F91D">
                  <w:pPr>
                    <w:pStyle w:val="162"/>
                    <w:spacing w:line="380" w:lineRule="exact"/>
                    <w:jc w:val="left"/>
                    <w:rPr>
                      <w:rFonts w:hint="eastAsia" w:cs="宋体"/>
                      <w:color w:val="auto"/>
                    </w:rPr>
                  </w:pPr>
                  <w:r>
                    <w:rPr>
                      <w:rFonts w:hint="eastAsia" w:cs="宋体"/>
                      <w:color w:val="auto"/>
                    </w:rPr>
                    <w:t>四级</w:t>
                  </w:r>
                </w:p>
              </w:tc>
              <w:tc>
                <w:tcPr>
                  <w:tcW w:w="1953" w:type="pct"/>
                  <w:vAlign w:val="center"/>
                </w:tcPr>
                <w:p w14:paraId="68EE5715">
                  <w:pPr>
                    <w:pStyle w:val="162"/>
                    <w:spacing w:line="380" w:lineRule="exact"/>
                    <w:jc w:val="left"/>
                    <w:rPr>
                      <w:rFonts w:hint="eastAsia" w:cs="宋体"/>
                      <w:color w:val="auto"/>
                    </w:rPr>
                  </w:pPr>
                  <w:r>
                    <w:rPr>
                      <w:rFonts w:hint="eastAsia" w:cs="宋体"/>
                      <w:color w:val="auto"/>
                    </w:rPr>
                    <w:t>设备软硬件出现告警，业务系统仍能正常运转。</w:t>
                  </w:r>
                </w:p>
              </w:tc>
              <w:tc>
                <w:tcPr>
                  <w:tcW w:w="1660" w:type="pct"/>
                  <w:vAlign w:val="center"/>
                </w:tcPr>
                <w:p w14:paraId="4B4DD27C">
                  <w:pPr>
                    <w:pStyle w:val="162"/>
                    <w:spacing w:line="380" w:lineRule="exact"/>
                    <w:jc w:val="left"/>
                    <w:rPr>
                      <w:rFonts w:hint="eastAsia" w:cs="宋体"/>
                      <w:color w:val="auto"/>
                    </w:rPr>
                  </w:pPr>
                  <w:r>
                    <w:rPr>
                      <w:rFonts w:hint="eastAsia" w:cs="宋体"/>
                      <w:color w:val="auto"/>
                    </w:rPr>
                    <w:t>设备软硬件出现告警，但仍然能正常工作，业务系统运行不受故障影响。</w:t>
                  </w:r>
                </w:p>
              </w:tc>
            </w:tr>
          </w:tbl>
          <w:p w14:paraId="304CD64C">
            <w:pPr>
              <w:pStyle w:val="4"/>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2.故障（事件）响应和解决时限要求</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851"/>
              <w:gridCol w:w="1975"/>
              <w:gridCol w:w="2176"/>
            </w:tblGrid>
            <w:tr w14:paraId="49C5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177" w:type="pct"/>
                  <w:vAlign w:val="center"/>
                </w:tcPr>
                <w:p w14:paraId="190FFDDC">
                  <w:pPr>
                    <w:pStyle w:val="162"/>
                    <w:spacing w:line="380" w:lineRule="exact"/>
                    <w:rPr>
                      <w:rFonts w:hint="eastAsia" w:cs="宋体"/>
                      <w:color w:val="auto"/>
                    </w:rPr>
                  </w:pPr>
                  <w:r>
                    <w:rPr>
                      <w:rFonts w:hint="eastAsia" w:cs="宋体"/>
                      <w:color w:val="auto"/>
                    </w:rPr>
                    <w:t>故障（事件）级别</w:t>
                  </w:r>
                </w:p>
              </w:tc>
              <w:tc>
                <w:tcPr>
                  <w:tcW w:w="1179" w:type="pct"/>
                  <w:vAlign w:val="center"/>
                </w:tcPr>
                <w:p w14:paraId="7E9684EB">
                  <w:pPr>
                    <w:pStyle w:val="162"/>
                    <w:spacing w:line="380" w:lineRule="exact"/>
                    <w:rPr>
                      <w:rFonts w:hint="eastAsia" w:cs="宋体"/>
                      <w:color w:val="auto"/>
                    </w:rPr>
                  </w:pPr>
                  <w:r>
                    <w:rPr>
                      <w:rFonts w:hint="eastAsia" w:cs="宋体"/>
                      <w:color w:val="auto"/>
                    </w:rPr>
                    <w:t>电话响应</w:t>
                  </w:r>
                </w:p>
              </w:tc>
              <w:tc>
                <w:tcPr>
                  <w:tcW w:w="1258" w:type="pct"/>
                  <w:vAlign w:val="center"/>
                </w:tcPr>
                <w:p w14:paraId="56B72FDF">
                  <w:pPr>
                    <w:pStyle w:val="162"/>
                    <w:spacing w:line="380" w:lineRule="exact"/>
                    <w:rPr>
                      <w:rFonts w:hint="eastAsia" w:cs="宋体"/>
                      <w:color w:val="auto"/>
                    </w:rPr>
                  </w:pPr>
                  <w:r>
                    <w:rPr>
                      <w:rFonts w:hint="eastAsia" w:cs="宋体"/>
                      <w:color w:val="auto"/>
                    </w:rPr>
                    <w:t>到达现场时间</w:t>
                  </w:r>
                </w:p>
              </w:tc>
              <w:tc>
                <w:tcPr>
                  <w:tcW w:w="1386" w:type="pct"/>
                  <w:vAlign w:val="center"/>
                </w:tcPr>
                <w:p w14:paraId="607E6815">
                  <w:pPr>
                    <w:pStyle w:val="162"/>
                    <w:spacing w:line="380" w:lineRule="exact"/>
                    <w:rPr>
                      <w:rFonts w:hint="eastAsia" w:cs="宋体"/>
                      <w:color w:val="auto"/>
                    </w:rPr>
                  </w:pPr>
                  <w:r>
                    <w:rPr>
                      <w:rFonts w:hint="eastAsia" w:cs="宋体"/>
                      <w:color w:val="auto"/>
                    </w:rPr>
                    <w:t>解决时间</w:t>
                  </w:r>
                </w:p>
              </w:tc>
            </w:tr>
            <w:tr w14:paraId="5766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77" w:type="pct"/>
                </w:tcPr>
                <w:p w14:paraId="2477964F">
                  <w:pPr>
                    <w:pStyle w:val="162"/>
                    <w:spacing w:line="380" w:lineRule="exact"/>
                    <w:jc w:val="left"/>
                    <w:rPr>
                      <w:rFonts w:hint="eastAsia" w:cs="宋体"/>
                      <w:color w:val="auto"/>
                    </w:rPr>
                  </w:pPr>
                  <w:r>
                    <w:rPr>
                      <w:rFonts w:hint="eastAsia" w:cs="宋体"/>
                      <w:color w:val="auto"/>
                    </w:rPr>
                    <w:t>一级</w:t>
                  </w:r>
                </w:p>
              </w:tc>
              <w:tc>
                <w:tcPr>
                  <w:tcW w:w="1851" w:type="dxa"/>
                </w:tcPr>
                <w:p w14:paraId="7D571A8F">
                  <w:pPr>
                    <w:pStyle w:val="162"/>
                    <w:spacing w:line="380" w:lineRule="exact"/>
                    <w:rPr>
                      <w:rFonts w:hint="eastAsia" w:cs="宋体"/>
                      <w:color w:val="auto"/>
                    </w:rPr>
                  </w:pPr>
                  <w:r>
                    <w:rPr>
                      <w:rFonts w:hint="eastAsia" w:cs="宋体"/>
                      <w:color w:val="auto"/>
                    </w:rPr>
                    <w:t>5分钟</w:t>
                  </w:r>
                </w:p>
              </w:tc>
              <w:tc>
                <w:tcPr>
                  <w:tcW w:w="1258" w:type="pct"/>
                </w:tcPr>
                <w:p w14:paraId="5C808D0E">
                  <w:pPr>
                    <w:pStyle w:val="162"/>
                    <w:spacing w:line="380" w:lineRule="exact"/>
                    <w:jc w:val="left"/>
                    <w:rPr>
                      <w:rFonts w:hint="eastAsia" w:cs="宋体"/>
                      <w:color w:val="auto"/>
                    </w:rPr>
                  </w:pPr>
                  <w:r>
                    <w:rPr>
                      <w:rFonts w:hint="eastAsia" w:cs="宋体"/>
                      <w:color w:val="auto"/>
                    </w:rPr>
                    <w:t>报修后1小时内</w:t>
                  </w:r>
                </w:p>
              </w:tc>
              <w:tc>
                <w:tcPr>
                  <w:tcW w:w="1386" w:type="pct"/>
                </w:tcPr>
                <w:p w14:paraId="658B9596">
                  <w:pPr>
                    <w:pStyle w:val="162"/>
                    <w:spacing w:line="380" w:lineRule="exact"/>
                    <w:jc w:val="left"/>
                    <w:rPr>
                      <w:rFonts w:hint="eastAsia" w:cs="宋体"/>
                      <w:color w:val="auto"/>
                    </w:rPr>
                  </w:pPr>
                  <w:r>
                    <w:rPr>
                      <w:rFonts w:hint="eastAsia" w:cs="宋体"/>
                      <w:color w:val="auto"/>
                    </w:rPr>
                    <w:t>报修后2小时内</w:t>
                  </w:r>
                </w:p>
              </w:tc>
            </w:tr>
            <w:tr w14:paraId="6D79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77" w:type="pct"/>
                </w:tcPr>
                <w:p w14:paraId="2016C42A">
                  <w:pPr>
                    <w:pStyle w:val="162"/>
                    <w:spacing w:line="380" w:lineRule="exact"/>
                    <w:jc w:val="left"/>
                    <w:rPr>
                      <w:rFonts w:hint="eastAsia" w:cs="宋体"/>
                      <w:color w:val="auto"/>
                    </w:rPr>
                  </w:pPr>
                  <w:r>
                    <w:rPr>
                      <w:rFonts w:hint="eastAsia" w:cs="宋体"/>
                      <w:color w:val="auto"/>
                    </w:rPr>
                    <w:t>二级</w:t>
                  </w:r>
                </w:p>
              </w:tc>
              <w:tc>
                <w:tcPr>
                  <w:tcW w:w="1851" w:type="dxa"/>
                </w:tcPr>
                <w:p w14:paraId="7AA4FD3B">
                  <w:pPr>
                    <w:pStyle w:val="162"/>
                    <w:spacing w:line="380" w:lineRule="exact"/>
                    <w:rPr>
                      <w:rFonts w:hint="eastAsia" w:cs="宋体"/>
                      <w:color w:val="auto"/>
                    </w:rPr>
                  </w:pPr>
                  <w:r>
                    <w:rPr>
                      <w:rFonts w:hint="eastAsia" w:cs="宋体"/>
                      <w:color w:val="auto"/>
                    </w:rPr>
                    <w:t>5分钟</w:t>
                  </w:r>
                </w:p>
              </w:tc>
              <w:tc>
                <w:tcPr>
                  <w:tcW w:w="1258" w:type="pct"/>
                </w:tcPr>
                <w:p w14:paraId="12A5A531">
                  <w:pPr>
                    <w:pStyle w:val="162"/>
                    <w:spacing w:line="380" w:lineRule="exact"/>
                    <w:jc w:val="left"/>
                    <w:rPr>
                      <w:rFonts w:hint="eastAsia" w:cs="宋体"/>
                      <w:color w:val="auto"/>
                    </w:rPr>
                  </w:pPr>
                  <w:r>
                    <w:rPr>
                      <w:rFonts w:hint="eastAsia" w:cs="宋体"/>
                      <w:color w:val="auto"/>
                    </w:rPr>
                    <w:t>报修后2小时内</w:t>
                  </w:r>
                </w:p>
              </w:tc>
              <w:tc>
                <w:tcPr>
                  <w:tcW w:w="1386" w:type="pct"/>
                </w:tcPr>
                <w:p w14:paraId="39D32E5A">
                  <w:pPr>
                    <w:pStyle w:val="162"/>
                    <w:spacing w:line="380" w:lineRule="exact"/>
                    <w:jc w:val="left"/>
                    <w:rPr>
                      <w:rFonts w:hint="eastAsia" w:cs="宋体"/>
                      <w:color w:val="auto"/>
                    </w:rPr>
                  </w:pPr>
                  <w:r>
                    <w:rPr>
                      <w:rFonts w:hint="eastAsia" w:cs="宋体"/>
                      <w:color w:val="auto"/>
                    </w:rPr>
                    <w:t>报修后8小时内</w:t>
                  </w:r>
                </w:p>
              </w:tc>
            </w:tr>
            <w:tr w14:paraId="0AB4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177" w:type="pct"/>
                </w:tcPr>
                <w:p w14:paraId="04ED2444">
                  <w:pPr>
                    <w:pStyle w:val="162"/>
                    <w:spacing w:line="380" w:lineRule="exact"/>
                    <w:jc w:val="left"/>
                    <w:rPr>
                      <w:rFonts w:hint="eastAsia" w:cs="宋体"/>
                      <w:color w:val="auto"/>
                    </w:rPr>
                  </w:pPr>
                  <w:r>
                    <w:rPr>
                      <w:rFonts w:hint="eastAsia" w:cs="宋体"/>
                      <w:color w:val="auto"/>
                    </w:rPr>
                    <w:t>三级</w:t>
                  </w:r>
                </w:p>
              </w:tc>
              <w:tc>
                <w:tcPr>
                  <w:tcW w:w="1851" w:type="dxa"/>
                </w:tcPr>
                <w:p w14:paraId="06289C50">
                  <w:pPr>
                    <w:pStyle w:val="162"/>
                    <w:spacing w:line="380" w:lineRule="exact"/>
                    <w:rPr>
                      <w:rFonts w:hint="eastAsia" w:cs="宋体"/>
                      <w:color w:val="auto"/>
                    </w:rPr>
                  </w:pPr>
                  <w:r>
                    <w:rPr>
                      <w:rFonts w:hint="eastAsia" w:cs="宋体"/>
                      <w:color w:val="auto"/>
                    </w:rPr>
                    <w:t>15分钟</w:t>
                  </w:r>
                </w:p>
              </w:tc>
              <w:tc>
                <w:tcPr>
                  <w:tcW w:w="1258" w:type="pct"/>
                </w:tcPr>
                <w:p w14:paraId="0A6F2857">
                  <w:pPr>
                    <w:pStyle w:val="162"/>
                    <w:spacing w:line="380" w:lineRule="exact"/>
                    <w:jc w:val="left"/>
                    <w:rPr>
                      <w:rFonts w:hint="eastAsia" w:cs="宋体"/>
                      <w:color w:val="auto"/>
                    </w:rPr>
                  </w:pPr>
                  <w:r>
                    <w:rPr>
                      <w:rFonts w:hint="eastAsia" w:cs="宋体"/>
                      <w:color w:val="auto"/>
                    </w:rPr>
                    <w:t>报修后3小时内</w:t>
                  </w:r>
                </w:p>
              </w:tc>
              <w:tc>
                <w:tcPr>
                  <w:tcW w:w="1386" w:type="pct"/>
                </w:tcPr>
                <w:p w14:paraId="4C608E6A">
                  <w:pPr>
                    <w:pStyle w:val="162"/>
                    <w:spacing w:line="380" w:lineRule="exact"/>
                    <w:jc w:val="left"/>
                    <w:rPr>
                      <w:rFonts w:hint="eastAsia" w:cs="宋体"/>
                      <w:color w:val="auto"/>
                    </w:rPr>
                  </w:pPr>
                  <w:r>
                    <w:rPr>
                      <w:rFonts w:hint="eastAsia" w:cs="宋体"/>
                      <w:color w:val="auto"/>
                    </w:rPr>
                    <w:t>报修后12小时内</w:t>
                  </w:r>
                </w:p>
              </w:tc>
            </w:tr>
            <w:tr w14:paraId="4913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77" w:type="pct"/>
                </w:tcPr>
                <w:p w14:paraId="12C3809A">
                  <w:pPr>
                    <w:pStyle w:val="162"/>
                    <w:spacing w:line="380" w:lineRule="exact"/>
                    <w:jc w:val="left"/>
                    <w:rPr>
                      <w:rFonts w:hint="eastAsia" w:cs="宋体"/>
                      <w:color w:val="auto"/>
                    </w:rPr>
                  </w:pPr>
                  <w:r>
                    <w:rPr>
                      <w:rFonts w:hint="eastAsia" w:cs="宋体"/>
                      <w:color w:val="auto"/>
                    </w:rPr>
                    <w:t>四级</w:t>
                  </w:r>
                </w:p>
              </w:tc>
              <w:tc>
                <w:tcPr>
                  <w:tcW w:w="1851" w:type="dxa"/>
                </w:tcPr>
                <w:p w14:paraId="589A7B5C">
                  <w:pPr>
                    <w:pStyle w:val="162"/>
                    <w:spacing w:line="380" w:lineRule="exact"/>
                    <w:rPr>
                      <w:rFonts w:hint="eastAsia" w:cs="宋体"/>
                      <w:color w:val="auto"/>
                    </w:rPr>
                  </w:pPr>
                  <w:r>
                    <w:rPr>
                      <w:rFonts w:hint="eastAsia" w:cs="宋体"/>
                      <w:color w:val="auto"/>
                    </w:rPr>
                    <w:t>15分钟</w:t>
                  </w:r>
                </w:p>
              </w:tc>
              <w:tc>
                <w:tcPr>
                  <w:tcW w:w="1258" w:type="pct"/>
                </w:tcPr>
                <w:p w14:paraId="314570FA">
                  <w:pPr>
                    <w:pStyle w:val="162"/>
                    <w:spacing w:line="380" w:lineRule="exact"/>
                    <w:jc w:val="left"/>
                    <w:rPr>
                      <w:rFonts w:hint="eastAsia" w:cs="宋体"/>
                      <w:color w:val="auto"/>
                    </w:rPr>
                  </w:pPr>
                  <w:r>
                    <w:rPr>
                      <w:rFonts w:hint="eastAsia" w:cs="宋体"/>
                      <w:color w:val="auto"/>
                    </w:rPr>
                    <w:t>报修后4小时内</w:t>
                  </w:r>
                </w:p>
              </w:tc>
              <w:tc>
                <w:tcPr>
                  <w:tcW w:w="1386" w:type="pct"/>
                </w:tcPr>
                <w:p w14:paraId="66D58D6C">
                  <w:pPr>
                    <w:pStyle w:val="162"/>
                    <w:spacing w:line="380" w:lineRule="exact"/>
                    <w:jc w:val="left"/>
                    <w:rPr>
                      <w:rFonts w:hint="eastAsia" w:cs="宋体"/>
                      <w:color w:val="auto"/>
                    </w:rPr>
                  </w:pPr>
                  <w:r>
                    <w:rPr>
                      <w:rFonts w:hint="eastAsia" w:cs="宋体"/>
                      <w:color w:val="auto"/>
                    </w:rPr>
                    <w:t>报修后24小时内</w:t>
                  </w:r>
                </w:p>
              </w:tc>
            </w:tr>
          </w:tbl>
          <w:p w14:paraId="67BC95CF">
            <w:pPr>
              <w:pStyle w:val="3"/>
              <w:numPr>
                <w:ilvl w:val="1"/>
                <w:numId w:val="0"/>
              </w:numPr>
              <w:spacing w:before="0" w:after="0" w:line="380" w:lineRule="exact"/>
              <w:jc w:val="left"/>
              <w:rPr>
                <w:rFonts w:hint="eastAsia" w:ascii="宋体" w:hAnsi="宋体" w:eastAsia="宋体" w:cs="宋体"/>
                <w:b/>
                <w:bCs/>
                <w:sz w:val="21"/>
                <w:szCs w:val="21"/>
              </w:rPr>
            </w:pPr>
            <w:r>
              <w:rPr>
                <w:rFonts w:hint="eastAsia" w:ascii="宋体" w:hAnsi="宋体" w:eastAsia="宋体" w:cs="宋体"/>
                <w:b/>
                <w:bCs/>
                <w:sz w:val="21"/>
                <w:szCs w:val="21"/>
              </w:rPr>
              <w:t>（七）运维服务要求</w:t>
            </w:r>
          </w:p>
          <w:p w14:paraId="3B65338F">
            <w:pPr>
              <w:pStyle w:val="4"/>
              <w:numPr>
                <w:ilvl w:val="3"/>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1. AI算力资源运维服务</w:t>
            </w:r>
          </w:p>
          <w:p w14:paraId="2707EF75">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（1）AI算力资源规划与部署  </w:t>
            </w:r>
          </w:p>
          <w:p w14:paraId="42FC8C69">
            <w:pPr>
              <w:spacing w:line="380" w:lineRule="exact"/>
              <w:ind w:firstLine="560"/>
              <w:jc w:val="left"/>
              <w:rPr>
                <w:rFonts w:hint="eastAsia" w:ascii="宋体" w:hAnsi="宋体" w:cs="宋体"/>
                <w:szCs w:val="21"/>
              </w:rPr>
            </w:pPr>
            <w:r>
              <w:rPr>
                <w:rFonts w:hint="eastAsia" w:ascii="宋体" w:hAnsi="宋体" w:cs="宋体"/>
                <w:szCs w:val="21"/>
              </w:rPr>
              <w:t>提供灵活的算力资源规划方案，根据业务需求选择合适的GPU/TPU/NPU等加速硬件，支持按需扩展和弹性伸缩。</w:t>
            </w:r>
          </w:p>
          <w:p w14:paraId="6F87765D">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（2）智能调度与资源优化  </w:t>
            </w:r>
          </w:p>
          <w:p w14:paraId="5C4895A0">
            <w:pPr>
              <w:spacing w:line="380" w:lineRule="exact"/>
              <w:ind w:firstLine="560"/>
              <w:jc w:val="left"/>
              <w:rPr>
                <w:rFonts w:hint="eastAsia" w:ascii="宋体" w:hAnsi="宋体" w:cs="宋体"/>
                <w:szCs w:val="21"/>
              </w:rPr>
            </w:pPr>
            <w:r>
              <w:rPr>
                <w:rFonts w:hint="eastAsia" w:ascii="宋体" w:hAnsi="宋体" w:cs="宋体"/>
                <w:szCs w:val="21"/>
              </w:rPr>
              <w:t>通过AI算法优化任务调度，提升算力利用率，减少空闲资源浪费。支持多任务并行处理和优先级管理。</w:t>
            </w:r>
          </w:p>
          <w:p w14:paraId="627E5178">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（3）监控与告警  </w:t>
            </w:r>
          </w:p>
          <w:p w14:paraId="0D35F5B2">
            <w:pPr>
              <w:spacing w:line="380" w:lineRule="exact"/>
              <w:ind w:firstLine="560"/>
              <w:jc w:val="left"/>
              <w:rPr>
                <w:rFonts w:hint="eastAsia" w:ascii="宋体" w:hAnsi="宋体" w:cs="宋体"/>
                <w:szCs w:val="21"/>
              </w:rPr>
            </w:pPr>
            <w:r>
              <w:rPr>
                <w:rFonts w:hint="eastAsia" w:ascii="宋体" w:hAnsi="宋体" w:cs="宋体"/>
                <w:szCs w:val="21"/>
              </w:rPr>
              <w:t>实时监控算力资源的使用情况（如GPU/TPU/NPU利用率、内存占用等），提供可视化仪表盘和自定义告警规则，帮助运维人员快速响应问题。</w:t>
            </w:r>
          </w:p>
          <w:p w14:paraId="14EE59F4">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（4）自动化运维  </w:t>
            </w:r>
          </w:p>
          <w:p w14:paraId="04952A17">
            <w:pPr>
              <w:spacing w:line="380" w:lineRule="exact"/>
              <w:ind w:firstLine="560"/>
              <w:jc w:val="left"/>
              <w:rPr>
                <w:rFonts w:hint="eastAsia" w:ascii="宋体" w:hAnsi="宋体" w:cs="宋体"/>
                <w:szCs w:val="21"/>
              </w:rPr>
            </w:pPr>
            <w:r>
              <w:rPr>
                <w:rFonts w:hint="eastAsia" w:ascii="宋体" w:hAnsi="宋体" w:cs="宋体"/>
                <w:szCs w:val="21"/>
              </w:rPr>
              <w:t>支持自动化故障检测与恢复、自动扩缩容、版本升级等功能，降低人工运维成本，提升系统稳定性。</w:t>
            </w:r>
          </w:p>
          <w:p w14:paraId="4ADD29CA">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（5）安全与合规  </w:t>
            </w:r>
          </w:p>
          <w:p w14:paraId="64C33B61">
            <w:pPr>
              <w:spacing w:line="380" w:lineRule="exact"/>
              <w:ind w:firstLine="560"/>
              <w:jc w:val="left"/>
              <w:rPr>
                <w:rFonts w:hint="eastAsia" w:ascii="宋体" w:hAnsi="宋体" w:cs="宋体"/>
                <w:szCs w:val="21"/>
              </w:rPr>
            </w:pPr>
            <w:r>
              <w:rPr>
                <w:rFonts w:hint="eastAsia" w:ascii="宋体" w:hAnsi="宋体" w:cs="宋体"/>
                <w:szCs w:val="21"/>
              </w:rPr>
              <w:t>提供多层次的安全防护，包括数据加密、访问控制、网络安全等，确保AI训练和推理过程中的数据安全和合规性。</w:t>
            </w:r>
          </w:p>
          <w:p w14:paraId="6710FD5E">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（6）AI训练与推理服务  </w:t>
            </w:r>
          </w:p>
          <w:p w14:paraId="6A89D698">
            <w:pPr>
              <w:spacing w:line="380" w:lineRule="exact"/>
              <w:ind w:firstLine="560"/>
              <w:jc w:val="left"/>
              <w:rPr>
                <w:rFonts w:hint="eastAsia" w:ascii="宋体" w:hAnsi="宋体" w:cs="宋体"/>
                <w:szCs w:val="21"/>
              </w:rPr>
            </w:pPr>
            <w:r>
              <w:rPr>
                <w:rFonts w:hint="eastAsia" w:ascii="宋体" w:hAnsi="宋体" w:cs="宋体"/>
                <w:szCs w:val="21"/>
              </w:rPr>
              <w:t>提供一站式的AI训练和推理能力，集成主流深度学习框架（如TensorFlow、PyTorch），支持分布式训练和模型优化。</w:t>
            </w:r>
          </w:p>
          <w:p w14:paraId="162E69B9">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（7）成本管理  </w:t>
            </w:r>
          </w:p>
          <w:p w14:paraId="231B620A">
            <w:pPr>
              <w:spacing w:line="380" w:lineRule="exact"/>
              <w:ind w:firstLine="560"/>
              <w:jc w:val="left"/>
              <w:rPr>
                <w:rFonts w:hint="eastAsia" w:ascii="宋体" w:hAnsi="宋体" w:cs="宋体"/>
                <w:szCs w:val="21"/>
              </w:rPr>
            </w:pPr>
            <w:r>
              <w:rPr>
                <w:rFonts w:hint="eastAsia" w:ascii="宋体" w:hAnsi="宋体" w:cs="宋体"/>
                <w:szCs w:val="21"/>
              </w:rPr>
              <w:t>通过资源使用分析和成本预测，帮助用户优化预算，提供详细的账单分析和计费建议。</w:t>
            </w:r>
          </w:p>
          <w:p w14:paraId="5916C1EA">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（8）故障恢复</w:t>
            </w:r>
          </w:p>
          <w:p w14:paraId="6AFC3631">
            <w:pPr>
              <w:spacing w:line="380" w:lineRule="exact"/>
              <w:ind w:firstLine="560"/>
              <w:jc w:val="left"/>
              <w:rPr>
                <w:rFonts w:hint="eastAsia" w:ascii="宋体" w:hAnsi="宋体" w:cs="宋体"/>
                <w:szCs w:val="21"/>
              </w:rPr>
            </w:pPr>
            <w:r>
              <w:rPr>
                <w:rFonts w:hint="eastAsia" w:ascii="宋体" w:hAnsi="宋体" w:cs="宋体"/>
                <w:szCs w:val="21"/>
              </w:rPr>
              <w:t>硬件故障处理：针对网络设备出现的硬件故障依据产品故障恢复手册定位并恢复，或进行设备更换或端口更换等操作。</w:t>
            </w:r>
          </w:p>
          <w:p w14:paraId="6D14BC9F">
            <w:pPr>
              <w:spacing w:line="380" w:lineRule="exact"/>
              <w:ind w:firstLine="560"/>
              <w:jc w:val="left"/>
              <w:rPr>
                <w:rFonts w:hint="eastAsia" w:ascii="宋体" w:hAnsi="宋体" w:cs="宋体"/>
                <w:szCs w:val="21"/>
              </w:rPr>
            </w:pPr>
            <w:r>
              <w:rPr>
                <w:rFonts w:hint="eastAsia" w:ascii="宋体" w:hAnsi="宋体" w:cs="宋体"/>
                <w:szCs w:val="21"/>
              </w:rPr>
              <w:t>网络连通故障处理：当出现网络无法连通时进行故障处理和修复。</w:t>
            </w:r>
          </w:p>
          <w:p w14:paraId="256EC218">
            <w:pPr>
              <w:spacing w:line="380" w:lineRule="exact"/>
              <w:ind w:firstLine="560"/>
              <w:jc w:val="left"/>
              <w:rPr>
                <w:rFonts w:hint="eastAsia" w:ascii="宋体" w:hAnsi="宋体" w:cs="宋体"/>
                <w:szCs w:val="21"/>
              </w:rPr>
            </w:pPr>
            <w:r>
              <w:rPr>
                <w:rFonts w:hint="eastAsia" w:ascii="宋体" w:hAnsi="宋体" w:cs="宋体"/>
                <w:szCs w:val="21"/>
              </w:rPr>
              <w:t>网络性能故障处理：当出现网络访问慢、高ping或丢包时进行故障处理和修复。</w:t>
            </w:r>
          </w:p>
          <w:p w14:paraId="0C2D2051">
            <w:pPr>
              <w:spacing w:line="380" w:lineRule="exact"/>
              <w:ind w:firstLine="560"/>
              <w:jc w:val="left"/>
              <w:rPr>
                <w:rFonts w:hint="eastAsia" w:ascii="宋体" w:hAnsi="宋体" w:cs="宋体"/>
                <w:szCs w:val="21"/>
              </w:rPr>
            </w:pPr>
            <w:r>
              <w:rPr>
                <w:rFonts w:hint="eastAsia" w:ascii="宋体" w:hAnsi="宋体" w:cs="宋体"/>
                <w:szCs w:val="21"/>
              </w:rPr>
              <w:t>网络风暴故障处理：针对由于网络拓扑的设计或连接问题或其他原因使广播在网段内大量复制、传播数据帧导致网络性能下降，甚至网络瘫痪的故障进行处理，通过逐层查询异常流量，确定异常流量来源，进行屏蔽以快速结束网络风暴并进行根因分析。</w:t>
            </w:r>
          </w:p>
          <w:p w14:paraId="28070467">
            <w:pPr>
              <w:spacing w:line="380" w:lineRule="exact"/>
              <w:ind w:firstLine="560"/>
              <w:jc w:val="left"/>
              <w:rPr>
                <w:rFonts w:hint="eastAsia" w:ascii="宋体" w:hAnsi="宋体" w:cs="宋体"/>
                <w:szCs w:val="21"/>
              </w:rPr>
            </w:pPr>
            <w:r>
              <w:rPr>
                <w:rFonts w:hint="eastAsia" w:ascii="宋体" w:hAnsi="宋体" w:cs="宋体"/>
                <w:szCs w:val="21"/>
              </w:rPr>
              <w:t>硬件故障处理：当智算力集群产品出现计算模块、内存、硬盘、电源、光模块、以太网控制器等硬件故障时依据产品手册的故障码进行分析定位处理和修复。</w:t>
            </w:r>
          </w:p>
          <w:p w14:paraId="13284110">
            <w:pPr>
              <w:spacing w:line="380" w:lineRule="exact"/>
              <w:ind w:firstLine="560"/>
              <w:jc w:val="left"/>
              <w:rPr>
                <w:rFonts w:hint="eastAsia" w:ascii="宋体" w:hAnsi="宋体" w:cs="宋体"/>
                <w:szCs w:val="21"/>
              </w:rPr>
            </w:pPr>
            <w:r>
              <w:rPr>
                <w:rFonts w:hint="eastAsia" w:ascii="宋体" w:hAnsi="宋体" w:cs="宋体"/>
                <w:szCs w:val="21"/>
              </w:rPr>
              <w:t>操作系统故障处理：当出现OS操作系统故障时进行排查处理和修复。</w:t>
            </w:r>
          </w:p>
          <w:p w14:paraId="5ABB9D64">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（9）变更协助</w:t>
            </w:r>
          </w:p>
          <w:p w14:paraId="251D1296">
            <w:pPr>
              <w:spacing w:line="380" w:lineRule="exact"/>
              <w:ind w:firstLine="560"/>
              <w:jc w:val="left"/>
              <w:rPr>
                <w:rFonts w:hint="eastAsia" w:ascii="宋体" w:hAnsi="宋体" w:cs="宋体"/>
                <w:szCs w:val="21"/>
              </w:rPr>
            </w:pPr>
            <w:r>
              <w:rPr>
                <w:rFonts w:hint="eastAsia" w:ascii="宋体" w:hAnsi="宋体" w:cs="宋体"/>
                <w:szCs w:val="21"/>
              </w:rPr>
              <w:t>网络调整：依据业务需求对网络设备或系统网络协助进行符合整体网络规划的调整或设备配置变更操作。</w:t>
            </w:r>
          </w:p>
          <w:p w14:paraId="43ECB012">
            <w:pPr>
              <w:spacing w:line="380" w:lineRule="exact"/>
              <w:ind w:firstLine="560"/>
              <w:jc w:val="left"/>
              <w:rPr>
                <w:rFonts w:hint="eastAsia" w:ascii="宋体" w:hAnsi="宋体" w:cs="宋体"/>
                <w:szCs w:val="21"/>
              </w:rPr>
            </w:pPr>
            <w:r>
              <w:rPr>
                <w:rFonts w:hint="eastAsia" w:ascii="宋体" w:hAnsi="宋体" w:cs="宋体"/>
                <w:szCs w:val="21"/>
              </w:rPr>
              <w:t>固件升级：依据产品官网发布的补丁公告需要修复产品bug或提升产品性能时，通过变更对在保内的设备进行固件升级操作。</w:t>
            </w:r>
          </w:p>
          <w:p w14:paraId="7A4A2D84">
            <w:pPr>
              <w:spacing w:line="380" w:lineRule="exact"/>
              <w:ind w:firstLine="560"/>
              <w:jc w:val="left"/>
              <w:rPr>
                <w:rFonts w:hint="eastAsia" w:ascii="宋体" w:hAnsi="宋体" w:cs="宋体"/>
                <w:szCs w:val="21"/>
              </w:rPr>
            </w:pPr>
            <w:r>
              <w:rPr>
                <w:rFonts w:hint="eastAsia" w:ascii="宋体" w:hAnsi="宋体" w:cs="宋体"/>
                <w:szCs w:val="21"/>
              </w:rPr>
              <w:t>扩缩容：依据业务规划或服务请求或故障恢复需要协助进行硬盘、硬盘框、控制器、前端链路、整机等的扩容或缩容操作。</w:t>
            </w:r>
          </w:p>
          <w:p w14:paraId="1B86C223">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（10）系统备份</w:t>
            </w:r>
          </w:p>
          <w:p w14:paraId="4F8F184A">
            <w:pPr>
              <w:spacing w:line="380" w:lineRule="exact"/>
              <w:ind w:firstLine="560"/>
              <w:jc w:val="left"/>
              <w:rPr>
                <w:rFonts w:hint="eastAsia" w:ascii="宋体" w:hAnsi="宋体" w:cs="宋体"/>
                <w:szCs w:val="21"/>
              </w:rPr>
            </w:pPr>
            <w:r>
              <w:rPr>
                <w:rFonts w:hint="eastAsia" w:ascii="宋体" w:hAnsi="宋体" w:cs="宋体"/>
                <w:szCs w:val="21"/>
              </w:rPr>
              <w:t>网络配置备份：在规定的时间周期内对AI算力资源租赁设备的配置参数进行备份，以确保出现因配置参数错误导致的故障时能快速恢复至故障前的状态。</w:t>
            </w:r>
          </w:p>
          <w:p w14:paraId="3159A985">
            <w:pPr>
              <w:spacing w:line="380" w:lineRule="exact"/>
              <w:ind w:firstLine="560"/>
              <w:jc w:val="left"/>
              <w:rPr>
                <w:rFonts w:hint="eastAsia" w:ascii="宋体" w:hAnsi="宋体" w:cs="宋体"/>
                <w:szCs w:val="21"/>
              </w:rPr>
            </w:pPr>
            <w:r>
              <w:rPr>
                <w:rFonts w:hint="eastAsia" w:ascii="宋体" w:hAnsi="宋体" w:cs="宋体"/>
                <w:szCs w:val="21"/>
              </w:rPr>
              <w:t>系统数据备份：根据相关规定按要求定期备份系统数据。</w:t>
            </w:r>
          </w:p>
          <w:p w14:paraId="54B473FA">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（11）日常巡检</w:t>
            </w:r>
          </w:p>
          <w:p w14:paraId="7EE7F8E9">
            <w:pPr>
              <w:spacing w:line="380" w:lineRule="exact"/>
              <w:ind w:firstLine="560"/>
              <w:jc w:val="left"/>
              <w:rPr>
                <w:rFonts w:hint="eastAsia" w:ascii="宋体" w:hAnsi="宋体" w:cs="宋体"/>
                <w:szCs w:val="21"/>
              </w:rPr>
            </w:pPr>
            <w:r>
              <w:rPr>
                <w:rFonts w:hint="eastAsia" w:ascii="宋体" w:hAnsi="宋体" w:cs="宋体"/>
                <w:szCs w:val="21"/>
              </w:rPr>
              <w:t>日常运行指标巡检：设备操作系统版本、CPU利用率、设备内存利用状况、设备模块运行状况、设备模块温度、连通性指标、VLAN状态等。</w:t>
            </w:r>
          </w:p>
          <w:p w14:paraId="1826E2DF">
            <w:pPr>
              <w:spacing w:line="380" w:lineRule="exact"/>
              <w:ind w:firstLine="560"/>
              <w:jc w:val="left"/>
              <w:rPr>
                <w:rFonts w:hint="eastAsia" w:ascii="宋体" w:hAnsi="宋体" w:cs="宋体"/>
                <w:szCs w:val="21"/>
              </w:rPr>
            </w:pPr>
            <w:r>
              <w:rPr>
                <w:rFonts w:hint="eastAsia" w:ascii="宋体" w:hAnsi="宋体" w:cs="宋体"/>
                <w:szCs w:val="21"/>
              </w:rPr>
              <w:t>错误日志检查：检查Log日志，逐条分析错误日志，对监控的异常告警进行分析处置。</w:t>
            </w:r>
          </w:p>
          <w:p w14:paraId="247985AB">
            <w:pPr>
              <w:spacing w:line="380" w:lineRule="exact"/>
              <w:ind w:firstLine="560"/>
              <w:jc w:val="left"/>
              <w:rPr>
                <w:rFonts w:hint="eastAsia" w:ascii="宋体" w:hAnsi="宋体" w:cs="宋体"/>
                <w:szCs w:val="21"/>
              </w:rPr>
            </w:pPr>
            <w:r>
              <w:rPr>
                <w:rFonts w:hint="eastAsia" w:ascii="宋体" w:hAnsi="宋体" w:cs="宋体"/>
                <w:szCs w:val="21"/>
              </w:rPr>
              <w:t>网络性能指标巡检，网络运行质量监控，网络安全隐患检查，链路主备冗余检查。</w:t>
            </w:r>
          </w:p>
          <w:p w14:paraId="3E86D026">
            <w:pPr>
              <w:spacing w:line="380" w:lineRule="exact"/>
              <w:ind w:firstLine="560"/>
              <w:jc w:val="left"/>
              <w:rPr>
                <w:rFonts w:hint="eastAsia" w:ascii="宋体" w:hAnsi="宋体" w:cs="宋体"/>
                <w:szCs w:val="21"/>
              </w:rPr>
            </w:pPr>
          </w:p>
          <w:p w14:paraId="42E7DCE1">
            <w:pPr>
              <w:pStyle w:val="8"/>
              <w:spacing w:line="380" w:lineRule="exact"/>
              <w:ind w:firstLine="0"/>
              <w:outlineLvl w:val="1"/>
              <w:rPr>
                <w:rFonts w:hint="eastAsia" w:ascii="宋体" w:hAnsi="宋体" w:cs="宋体"/>
                <w:b/>
                <w:bCs/>
                <w:szCs w:val="21"/>
              </w:rPr>
            </w:pPr>
            <w:r>
              <w:rPr>
                <w:rFonts w:hint="eastAsia" w:ascii="宋体" w:hAnsi="宋体" w:cs="宋体"/>
                <w:b/>
                <w:bCs/>
                <w:szCs w:val="21"/>
              </w:rPr>
              <w:t>（六）技术支持与售后</w:t>
            </w:r>
          </w:p>
          <w:p w14:paraId="516FF598">
            <w:pPr>
              <w:spacing w:line="380" w:lineRule="exact"/>
              <w:ind w:firstLine="420" w:firstLineChars="200"/>
              <w:jc w:val="left"/>
              <w:outlineLvl w:val="1"/>
              <w:rPr>
                <w:rFonts w:hint="eastAsia" w:ascii="宋体" w:hAnsi="宋体" w:cs="宋体"/>
                <w:b/>
                <w:bCs/>
                <w:szCs w:val="21"/>
              </w:rPr>
            </w:pPr>
            <w:r>
              <w:rPr>
                <w:rFonts w:hint="eastAsia" w:ascii="宋体" w:hAnsi="宋体" w:cs="宋体"/>
                <w:b/>
                <w:bCs/>
                <w:szCs w:val="21"/>
              </w:rPr>
              <w:t>（1）服务人员配置要求</w:t>
            </w:r>
          </w:p>
          <w:p w14:paraId="12A52F1B">
            <w:pPr>
              <w:spacing w:line="380" w:lineRule="exact"/>
              <w:ind w:firstLine="560"/>
              <w:jc w:val="left"/>
              <w:rPr>
                <w:rFonts w:hint="eastAsia" w:ascii="宋体" w:hAnsi="宋体" w:cs="宋体"/>
                <w:szCs w:val="21"/>
              </w:rPr>
            </w:pPr>
            <w:r>
              <w:rPr>
                <w:rFonts w:hint="eastAsia" w:ascii="宋体" w:hAnsi="宋体" w:cs="宋体"/>
                <w:szCs w:val="21"/>
              </w:rPr>
              <w:t>提供3年5天/周*8小时/天，至少1人的运维驻场服务，投标人拥有不少于</w:t>
            </w:r>
            <w:r>
              <w:rPr>
                <w:rFonts w:hint="eastAsia" w:ascii="宋体" w:hAnsi="宋体" w:cs="宋体"/>
                <w:szCs w:val="21"/>
                <w:u w:val="single"/>
              </w:rPr>
              <w:t>8</w:t>
            </w:r>
            <w:r>
              <w:rPr>
                <w:rFonts w:hint="eastAsia" w:ascii="宋体" w:hAnsi="宋体" w:cs="宋体"/>
                <w:szCs w:val="21"/>
              </w:rPr>
              <w:t>人专职技术售后服务人员，能及时为采购人提供技术服务、技术支持、故障维修，设备维护等全方面服务。在质保期内，负责为采购人免费更换或维修设备，负责安装和调试，妥善做好相关设备数据保密工作。</w:t>
            </w:r>
          </w:p>
          <w:p w14:paraId="61D9785D">
            <w:pPr>
              <w:spacing w:line="380" w:lineRule="exact"/>
              <w:ind w:firstLine="560"/>
              <w:jc w:val="left"/>
              <w:rPr>
                <w:rFonts w:hint="eastAsia" w:ascii="宋体" w:hAnsi="宋体" w:cs="宋体"/>
                <w:szCs w:val="21"/>
              </w:rPr>
            </w:pPr>
            <w:r>
              <w:rPr>
                <w:rFonts w:hint="eastAsia" w:ascii="宋体" w:hAnsi="宋体" w:cs="宋体"/>
                <w:szCs w:val="21"/>
              </w:rPr>
              <w:t>运维驻场服务可以灵活地使用中标服务商的技术资源进行个性化的、持续的运维支持服务，满足采购人的运维需求。</w:t>
            </w:r>
          </w:p>
          <w:p w14:paraId="4963392C">
            <w:pPr>
              <w:spacing w:line="380" w:lineRule="exact"/>
              <w:ind w:firstLine="560"/>
              <w:jc w:val="left"/>
              <w:rPr>
                <w:rFonts w:hint="eastAsia" w:ascii="宋体" w:hAnsi="宋体" w:cs="宋体"/>
                <w:szCs w:val="21"/>
              </w:rPr>
            </w:pPr>
            <w:r>
              <w:rPr>
                <w:rFonts w:hint="eastAsia" w:ascii="宋体" w:hAnsi="宋体" w:cs="宋体"/>
                <w:szCs w:val="21"/>
              </w:rPr>
              <w:t>运维驻场服务是指派合格的工程师在采购人指定的工作地点为采购人提供持续的运维支持服务。运维驻场工程师长期和采购人工程师一起在采购人现场工作，严格遵守采购人的工作管理要求，熟悉采购人的内部流程和需求，熟悉采购人的网络状况，长期专注于采购人现网产品和技术，可以协助采购人预防重大故障的发生，或者在发生故障时可以快速解决故障。</w:t>
            </w:r>
          </w:p>
          <w:p w14:paraId="71BD563E">
            <w:pPr>
              <w:spacing w:line="380" w:lineRule="exact"/>
              <w:ind w:firstLine="560"/>
              <w:jc w:val="left"/>
              <w:rPr>
                <w:rFonts w:hint="eastAsia" w:ascii="宋体" w:hAnsi="宋体" w:cs="宋体"/>
                <w:szCs w:val="21"/>
              </w:rPr>
            </w:pPr>
            <w:r>
              <w:rPr>
                <w:rFonts w:hint="eastAsia" w:ascii="宋体" w:hAnsi="宋体" w:cs="宋体"/>
                <w:szCs w:val="21"/>
              </w:rPr>
              <w:t>驻场工程师的驻场时间为正常工作日，每天八小时，享有当地国家规定的法定假期。</w:t>
            </w:r>
          </w:p>
          <w:p w14:paraId="40CB1120">
            <w:pPr>
              <w:spacing w:line="380" w:lineRule="exact"/>
              <w:ind w:firstLine="630" w:firstLineChars="300"/>
              <w:outlineLvl w:val="1"/>
              <w:rPr>
                <w:rFonts w:hint="eastAsia" w:ascii="宋体" w:hAnsi="宋体" w:cs="宋体"/>
                <w:szCs w:val="21"/>
                <w:lang w:val="zh-CN"/>
              </w:rPr>
            </w:pPr>
            <w:r>
              <w:rPr>
                <w:rFonts w:hint="eastAsia" w:ascii="宋体" w:hAnsi="宋体" w:cs="宋体"/>
                <w:szCs w:val="21"/>
                <w:lang w:val="zh-CN"/>
              </w:rPr>
              <w:t>其他技术服务人员要求（3人，其中项目经理1人、网络工程师1人、AI算力工程师1人）</w:t>
            </w:r>
          </w:p>
          <w:p w14:paraId="162739A8">
            <w:pPr>
              <w:spacing w:line="380" w:lineRule="exact"/>
              <w:ind w:firstLine="630" w:firstLineChars="300"/>
              <w:outlineLvl w:val="1"/>
              <w:rPr>
                <w:rFonts w:hint="eastAsia" w:ascii="宋体" w:hAnsi="宋体" w:cs="宋体"/>
                <w:szCs w:val="21"/>
                <w:lang w:val="zh-CN"/>
              </w:rPr>
            </w:pPr>
            <w:r>
              <w:rPr>
                <w:rFonts w:hint="eastAsia" w:ascii="宋体" w:hAnsi="宋体" w:cs="宋体"/>
                <w:szCs w:val="21"/>
                <w:lang w:val="zh-CN"/>
              </w:rPr>
              <w:t>项目经理：有不少于三年的信息化项目管理经验，负责项目全流程统筹、团队管理与风险控制。</w:t>
            </w:r>
          </w:p>
          <w:p w14:paraId="2120426F">
            <w:pPr>
              <w:spacing w:line="380" w:lineRule="exact"/>
              <w:ind w:firstLine="560"/>
              <w:jc w:val="left"/>
              <w:rPr>
                <w:rFonts w:hint="eastAsia" w:ascii="宋体" w:hAnsi="宋体" w:cs="宋体"/>
                <w:szCs w:val="21"/>
                <w:lang w:val="zh-CN"/>
              </w:rPr>
            </w:pPr>
            <w:r>
              <w:rPr>
                <w:rFonts w:hint="eastAsia" w:ascii="宋体" w:hAnsi="宋体" w:cs="宋体"/>
                <w:szCs w:val="21"/>
                <w:lang w:val="zh-CN"/>
              </w:rPr>
              <w:t>网络工程师：有</w:t>
            </w:r>
            <w:r>
              <w:rPr>
                <w:rFonts w:hint="eastAsia" w:ascii="宋体" w:hAnsi="宋体" w:cs="宋体"/>
                <w:szCs w:val="21"/>
              </w:rPr>
              <w:t>不少于三年</w:t>
            </w:r>
            <w:r>
              <w:rPr>
                <w:rFonts w:hint="eastAsia" w:ascii="宋体" w:hAnsi="宋体" w:cs="宋体"/>
                <w:szCs w:val="21"/>
                <w:lang w:val="zh-CN"/>
              </w:rPr>
              <w:t>的网络工程与运营维护经验、负责网络设备调试、网络规划设计、方案实施及日常维护、现场故障处理等经验。</w:t>
            </w:r>
          </w:p>
          <w:p w14:paraId="3B2EA785">
            <w:pPr>
              <w:spacing w:line="380" w:lineRule="exact"/>
              <w:ind w:firstLine="560"/>
              <w:jc w:val="left"/>
              <w:rPr>
                <w:rFonts w:hint="eastAsia" w:ascii="宋体" w:hAnsi="宋体" w:cs="宋体"/>
                <w:szCs w:val="21"/>
              </w:rPr>
            </w:pPr>
            <w:r>
              <w:rPr>
                <w:rFonts w:hint="eastAsia" w:ascii="宋体" w:hAnsi="宋体" w:cs="宋体"/>
                <w:szCs w:val="21"/>
              </w:rPr>
              <w:t>AI算力工程师：熟悉并掌握推理服务器、机架服务器、高密服务器系列产品特性、系统结构以及典型应用场景。能够独立安装、维护推理服务器、机架服务器、高密服务器系列产品，并进行简单的故障排除和部件更换，管理配置各系列服务器特性，部署常用操作系统。</w:t>
            </w:r>
          </w:p>
          <w:p w14:paraId="2285DB96">
            <w:pPr>
              <w:spacing w:line="380" w:lineRule="exact"/>
              <w:ind w:firstLine="560"/>
              <w:jc w:val="left"/>
              <w:rPr>
                <w:rFonts w:hint="eastAsia" w:ascii="宋体" w:hAnsi="宋体" w:cs="宋体"/>
                <w:szCs w:val="21"/>
              </w:rPr>
            </w:pPr>
            <w:r>
              <w:rPr>
                <w:rFonts w:hint="eastAsia" w:ascii="宋体" w:hAnsi="宋体" w:cs="宋体"/>
                <w:szCs w:val="21"/>
              </w:rPr>
              <w:t>掌握评估优化工具和巡检工具的部署和使用，能使用工具对服务器、存储和云计算产品进行数据收集。熟练掌握事件分析工具的原理、安装调测、日常监控和分析等使用，以及工具维护；及时处理工具发现的异常；能够输出事件分析报告。</w:t>
            </w:r>
          </w:p>
          <w:p w14:paraId="1FFF8F05">
            <w:pPr>
              <w:spacing w:line="380" w:lineRule="exact"/>
              <w:ind w:firstLine="560"/>
              <w:jc w:val="left"/>
              <w:rPr>
                <w:rFonts w:hint="eastAsia" w:ascii="宋体" w:hAnsi="宋体" w:cs="宋体"/>
                <w:szCs w:val="21"/>
              </w:rPr>
            </w:pPr>
            <w:r>
              <w:rPr>
                <w:rFonts w:hint="eastAsia" w:ascii="宋体" w:hAnsi="宋体" w:cs="宋体"/>
                <w:szCs w:val="21"/>
              </w:rPr>
              <w:t>熟练掌握事件分析工具的原理、安装调测、日常监控和分析等使用，以及工具维护；及时处理工具发现的异常；能够输出事件分析报告。</w:t>
            </w:r>
          </w:p>
          <w:p w14:paraId="67948C96">
            <w:pPr>
              <w:pStyle w:val="8"/>
              <w:spacing w:line="380" w:lineRule="exact"/>
              <w:ind w:firstLineChars="200"/>
              <w:outlineLvl w:val="2"/>
              <w:rPr>
                <w:rFonts w:hint="eastAsia" w:ascii="宋体" w:hAnsi="宋体" w:cs="宋体"/>
                <w:szCs w:val="21"/>
              </w:rPr>
            </w:pPr>
            <w:r>
              <w:rPr>
                <w:rFonts w:hint="eastAsia" w:ascii="宋体" w:hAnsi="宋体" w:cs="宋体"/>
                <w:szCs w:val="21"/>
              </w:rPr>
              <w:t>（3）现场技术支持</w:t>
            </w:r>
          </w:p>
          <w:p w14:paraId="6D94065D">
            <w:pPr>
              <w:pStyle w:val="8"/>
              <w:spacing w:line="380" w:lineRule="exact"/>
              <w:ind w:firstLineChars="200"/>
              <w:rPr>
                <w:rFonts w:hint="eastAsia" w:ascii="宋体" w:hAnsi="宋体" w:cs="宋体"/>
                <w:szCs w:val="21"/>
              </w:rPr>
            </w:pPr>
            <w:r>
              <w:rPr>
                <w:rFonts w:hint="eastAsia" w:ascii="宋体" w:hAnsi="宋体" w:cs="宋体"/>
                <w:szCs w:val="21"/>
              </w:rPr>
              <w:t>由中标服务商提供安装部署、设备调试、定期巡检、技术培训等现场技术支持服务。</w:t>
            </w:r>
          </w:p>
          <w:p w14:paraId="7319B030">
            <w:pPr>
              <w:pStyle w:val="8"/>
              <w:spacing w:line="380" w:lineRule="exact"/>
              <w:ind w:firstLineChars="200"/>
              <w:outlineLvl w:val="2"/>
              <w:rPr>
                <w:rFonts w:hint="eastAsia" w:ascii="宋体" w:hAnsi="宋体" w:cs="宋体"/>
                <w:szCs w:val="21"/>
              </w:rPr>
            </w:pPr>
            <w:r>
              <w:rPr>
                <w:rFonts w:hint="eastAsia" w:ascii="宋体" w:hAnsi="宋体" w:cs="宋体"/>
                <w:szCs w:val="21"/>
              </w:rPr>
              <w:t>（4）服务期内维护服务</w:t>
            </w:r>
          </w:p>
          <w:p w14:paraId="70CBF63A">
            <w:pPr>
              <w:pStyle w:val="8"/>
              <w:spacing w:line="380" w:lineRule="exact"/>
              <w:ind w:firstLine="630" w:firstLineChars="300"/>
              <w:rPr>
                <w:rFonts w:hint="eastAsia" w:ascii="宋体" w:hAnsi="宋体" w:cs="宋体"/>
                <w:szCs w:val="21"/>
              </w:rPr>
            </w:pPr>
            <w:r>
              <w:rPr>
                <w:rFonts w:hint="eastAsia" w:ascii="宋体" w:hAnsi="宋体" w:cs="宋体"/>
                <w:szCs w:val="21"/>
              </w:rPr>
              <w:t>提供设备原厂三年上门软硬件技术支持与售后服务，在服务期内提供备品备件支持、存储介质保留、现场问题处理、软件升级、热线服务、远程问题处理、在线技术支持、重大事件保障。服务期内不收取任何费用，服务期满后存储盘留存给采购人。</w:t>
            </w:r>
          </w:p>
          <w:p w14:paraId="31213C2E">
            <w:pPr>
              <w:pStyle w:val="8"/>
              <w:spacing w:line="380" w:lineRule="exact"/>
              <w:ind w:firstLine="630" w:firstLineChars="300"/>
              <w:outlineLvl w:val="2"/>
              <w:rPr>
                <w:rFonts w:hint="eastAsia" w:ascii="宋体" w:hAnsi="宋体" w:cs="宋体"/>
                <w:szCs w:val="21"/>
              </w:rPr>
            </w:pPr>
            <w:r>
              <w:rPr>
                <w:rFonts w:hint="eastAsia" w:ascii="宋体" w:hAnsi="宋体" w:cs="宋体"/>
                <w:szCs w:val="21"/>
              </w:rPr>
              <w:t>（4）服务期满数据迁移的技术支持</w:t>
            </w:r>
          </w:p>
          <w:p w14:paraId="0B9928FF">
            <w:pPr>
              <w:pStyle w:val="8"/>
              <w:spacing w:line="380" w:lineRule="exact"/>
              <w:ind w:firstLine="630" w:firstLineChars="300"/>
              <w:rPr>
                <w:rFonts w:hint="eastAsia" w:ascii="宋体" w:hAnsi="宋体" w:cs="宋体"/>
                <w:szCs w:val="21"/>
              </w:rPr>
            </w:pPr>
            <w:r>
              <w:rPr>
                <w:rFonts w:hint="eastAsia" w:ascii="宋体" w:hAnsi="宋体" w:cs="宋体"/>
                <w:szCs w:val="21"/>
              </w:rPr>
              <w:t>AI算力资源租赁使用到期后，如用户需要迁移AI算力资源，中标服务商须提供技术支持服务，服务期内不收取任何费用。包括准备迁移数据、迁移方式选择、挂载存储到AI算力实例、验证数据完整性等。</w:t>
            </w:r>
          </w:p>
          <w:p w14:paraId="1A37EE87">
            <w:pPr>
              <w:pStyle w:val="8"/>
              <w:spacing w:line="380" w:lineRule="exact"/>
              <w:ind w:firstLineChars="200"/>
              <w:outlineLvl w:val="2"/>
              <w:rPr>
                <w:rFonts w:hint="eastAsia" w:ascii="宋体" w:hAnsi="宋体" w:cs="宋体"/>
                <w:szCs w:val="21"/>
              </w:rPr>
            </w:pPr>
            <w:r>
              <w:rPr>
                <w:rFonts w:hint="eastAsia" w:ascii="宋体" w:hAnsi="宋体" w:cs="宋体"/>
                <w:szCs w:val="21"/>
              </w:rPr>
              <w:t>（5）服务中断扣款及服务期满延续</w:t>
            </w:r>
          </w:p>
          <w:p w14:paraId="46089E09">
            <w:pPr>
              <w:pStyle w:val="8"/>
              <w:spacing w:line="380" w:lineRule="exact"/>
              <w:ind w:firstLine="0"/>
              <w:rPr>
                <w:rFonts w:hint="eastAsia" w:ascii="宋体" w:hAnsi="宋体" w:cs="宋体"/>
                <w:szCs w:val="21"/>
              </w:rPr>
            </w:pPr>
            <w:r>
              <w:rPr>
                <w:rFonts w:hint="eastAsia" w:ascii="宋体" w:hAnsi="宋体" w:cs="宋体"/>
                <w:szCs w:val="21"/>
              </w:rPr>
              <w:t>①用户主动中断：用户主动停止或删除正在运行的算力资源，按照实际使用时间计费，并扣除相应费用或顺延时长。</w:t>
            </w:r>
          </w:p>
          <w:p w14:paraId="69F74151">
            <w:pPr>
              <w:pStyle w:val="8"/>
              <w:spacing w:line="380" w:lineRule="exact"/>
              <w:ind w:firstLine="0"/>
              <w:rPr>
                <w:rFonts w:hint="eastAsia" w:ascii="宋体" w:hAnsi="宋体" w:cs="宋体"/>
                <w:szCs w:val="21"/>
              </w:rPr>
            </w:pPr>
            <w:r>
              <w:rPr>
                <w:rFonts w:hint="eastAsia" w:ascii="宋体" w:hAnsi="宋体" w:cs="宋体"/>
                <w:szCs w:val="21"/>
              </w:rPr>
              <w:t>②系统故障导致中断：由于服务商平台或设备本身的故障导致服务中断，服务商根据协议扣款或顺延时长。</w:t>
            </w:r>
          </w:p>
          <w:p w14:paraId="0A1EF3FE">
            <w:pPr>
              <w:pStyle w:val="5"/>
              <w:numPr>
                <w:ilvl w:val="4"/>
                <w:numId w:val="0"/>
              </w:numPr>
              <w:tabs>
                <w:tab w:val="left" w:pos="420"/>
              </w:tabs>
              <w:spacing w:before="0" w:after="0" w:line="3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（6）主要工作内容和范围</w:t>
            </w:r>
          </w:p>
          <w:p w14:paraId="1B929EEA">
            <w:pPr>
              <w:spacing w:line="380" w:lineRule="exact"/>
              <w:ind w:firstLine="560"/>
              <w:jc w:val="left"/>
              <w:rPr>
                <w:rFonts w:hint="eastAsia" w:ascii="宋体" w:hAnsi="宋体" w:cs="宋体"/>
                <w:szCs w:val="21"/>
              </w:rPr>
            </w:pPr>
            <w:r>
              <w:rPr>
                <w:rFonts w:hint="eastAsia" w:ascii="宋体" w:hAnsi="宋体" w:cs="宋体"/>
                <w:szCs w:val="21"/>
              </w:rPr>
              <w:t>日常故障处理及运营周报/月报：负责针对采购人所购买原厂服务的设备及产品提供技术服务支持，并输出运营周报/月报。</w:t>
            </w:r>
          </w:p>
          <w:p w14:paraId="6EFCB8F0">
            <w:pPr>
              <w:spacing w:line="380" w:lineRule="exact"/>
              <w:ind w:firstLine="560"/>
              <w:jc w:val="left"/>
              <w:rPr>
                <w:rFonts w:hint="eastAsia" w:ascii="宋体" w:hAnsi="宋体" w:cs="宋体"/>
                <w:szCs w:val="21"/>
              </w:rPr>
            </w:pPr>
            <w:r>
              <w:rPr>
                <w:rFonts w:hint="eastAsia" w:ascii="宋体" w:hAnsi="宋体" w:cs="宋体"/>
                <w:szCs w:val="21"/>
              </w:rPr>
              <w:t>问题跟踪和升级及配合中标服务商的技术支持中心处理故障：按照相关服务条款，负责在第一时间尽快处理采购人设备重大故障及疑难故障；负责重大故障处理时的问题单升级、问题单跟踪及收集问题单相关信息，并配合中标服务商的技术支持中心处理故障。</w:t>
            </w:r>
          </w:p>
          <w:p w14:paraId="186DE2ED">
            <w:pPr>
              <w:spacing w:line="380" w:lineRule="exact"/>
              <w:ind w:firstLine="560"/>
              <w:jc w:val="left"/>
              <w:rPr>
                <w:rFonts w:hint="eastAsia" w:ascii="宋体" w:hAnsi="宋体" w:cs="宋体"/>
                <w:szCs w:val="21"/>
              </w:rPr>
            </w:pPr>
            <w:r>
              <w:rPr>
                <w:rFonts w:hint="eastAsia" w:ascii="宋体" w:hAnsi="宋体" w:cs="宋体"/>
                <w:szCs w:val="21"/>
              </w:rPr>
              <w:t>例行检查及报告：负责采购人所有原厂服务的设备的例行检查服务及报告输出。</w:t>
            </w:r>
          </w:p>
          <w:p w14:paraId="6F685321">
            <w:pPr>
              <w:spacing w:line="380" w:lineRule="exact"/>
              <w:ind w:firstLine="560"/>
              <w:jc w:val="left"/>
              <w:rPr>
                <w:rFonts w:hint="eastAsia" w:ascii="宋体" w:hAnsi="宋体" w:cs="宋体"/>
                <w:szCs w:val="21"/>
              </w:rPr>
            </w:pPr>
            <w:r>
              <w:rPr>
                <w:rFonts w:hint="eastAsia" w:ascii="宋体" w:hAnsi="宋体" w:cs="宋体"/>
                <w:szCs w:val="21"/>
              </w:rPr>
              <w:t>文档管理：负责维护采购人所有原厂服务的设备及产品的配置信息的维护。</w:t>
            </w:r>
          </w:p>
          <w:p w14:paraId="38CCA05C">
            <w:pPr>
              <w:spacing w:line="380" w:lineRule="exact"/>
              <w:ind w:firstLine="560"/>
              <w:jc w:val="left"/>
              <w:rPr>
                <w:rFonts w:hint="eastAsia" w:ascii="宋体" w:hAnsi="宋体" w:cs="宋体"/>
                <w:szCs w:val="21"/>
              </w:rPr>
            </w:pPr>
            <w:r>
              <w:rPr>
                <w:rFonts w:hint="eastAsia" w:ascii="宋体" w:hAnsi="宋体" w:cs="宋体"/>
                <w:szCs w:val="21"/>
              </w:rPr>
              <w:t>服务接口：作为采购人产品相关服务的统一接口人。</w:t>
            </w:r>
          </w:p>
          <w:p w14:paraId="1142C544">
            <w:pPr>
              <w:spacing w:line="380" w:lineRule="exact"/>
              <w:ind w:firstLine="560"/>
              <w:jc w:val="left"/>
              <w:rPr>
                <w:rFonts w:hint="eastAsia" w:ascii="宋体" w:hAnsi="宋体" w:cs="宋体"/>
                <w:szCs w:val="21"/>
              </w:rPr>
            </w:pPr>
            <w:r>
              <w:rPr>
                <w:rFonts w:hint="eastAsia" w:ascii="宋体" w:hAnsi="宋体" w:cs="宋体"/>
                <w:szCs w:val="21"/>
              </w:rPr>
              <w:t>有限产品知识支持：负责提供相关产品运维的技术解答，技术资料及咨询；参与部分重要的运维会议并提供专家建议。</w:t>
            </w:r>
          </w:p>
          <w:p w14:paraId="1BC85815">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（8）服务环境要求</w:t>
            </w:r>
          </w:p>
          <w:p w14:paraId="0C0E1517">
            <w:pPr>
              <w:spacing w:line="380" w:lineRule="exact"/>
              <w:ind w:firstLine="560"/>
              <w:jc w:val="left"/>
              <w:rPr>
                <w:rFonts w:hint="eastAsia" w:ascii="宋体" w:hAnsi="宋体" w:cs="宋体"/>
                <w:szCs w:val="21"/>
              </w:rPr>
            </w:pPr>
            <w:r>
              <w:rPr>
                <w:rFonts w:hint="eastAsia" w:ascii="宋体" w:hAnsi="宋体" w:cs="宋体"/>
                <w:szCs w:val="21"/>
              </w:rPr>
              <w:t>遵循广西壮族自治区公安厅机房管理等要求。</w:t>
            </w:r>
          </w:p>
          <w:p w14:paraId="4F2C3E09">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（9）服务管理要求</w:t>
            </w:r>
          </w:p>
          <w:p w14:paraId="047BE4BF">
            <w:pPr>
              <w:spacing w:line="380" w:lineRule="exact"/>
              <w:ind w:firstLine="560"/>
              <w:jc w:val="left"/>
              <w:rPr>
                <w:rFonts w:hint="eastAsia" w:ascii="宋体" w:hAnsi="宋体" w:cs="宋体"/>
                <w:szCs w:val="21"/>
              </w:rPr>
            </w:pPr>
            <w:r>
              <w:rPr>
                <w:rFonts w:hint="eastAsia" w:ascii="宋体" w:hAnsi="宋体" w:cs="宋体"/>
                <w:szCs w:val="21"/>
              </w:rPr>
              <w:t>遵循广西壮族自治区公安厅信息化项目管理相关工作要求。</w:t>
            </w:r>
          </w:p>
          <w:p w14:paraId="25B41F4A">
            <w:pPr>
              <w:spacing w:line="380" w:lineRule="exact"/>
              <w:rPr>
                <w:rFonts w:hint="eastAsia" w:ascii="宋体" w:hAnsi="宋体" w:cs="宋体"/>
                <w:szCs w:val="21"/>
              </w:rPr>
            </w:pPr>
            <w:r>
              <w:rPr>
                <w:rFonts w:hint="eastAsia" w:ascii="宋体" w:hAnsi="宋体" w:cs="宋体"/>
                <w:szCs w:val="21"/>
              </w:rPr>
              <w:t>（10）备品备件支持</w:t>
            </w:r>
          </w:p>
          <w:p w14:paraId="17E3F9CA">
            <w:pPr>
              <w:spacing w:line="380" w:lineRule="exact"/>
              <w:ind w:firstLine="560"/>
              <w:jc w:val="left"/>
              <w:rPr>
                <w:rFonts w:hint="eastAsia" w:ascii="宋体" w:hAnsi="宋体" w:cs="宋体"/>
                <w:szCs w:val="21"/>
              </w:rPr>
            </w:pPr>
            <w:r>
              <w:rPr>
                <w:rFonts w:hint="eastAsia" w:ascii="宋体" w:hAnsi="宋体" w:cs="宋体"/>
                <w:szCs w:val="21"/>
              </w:rPr>
              <w:t>备件先行服务是在通过备件服务申请后，提前提供更换件，并提供故障件提取服务。备件先行服务旨在满足紧急要求，提高响应速度，提供更快速服务。</w:t>
            </w:r>
          </w:p>
          <w:p w14:paraId="5E164782">
            <w:pPr>
              <w:spacing w:line="380" w:lineRule="exact"/>
              <w:ind w:firstLine="560"/>
              <w:jc w:val="left"/>
              <w:rPr>
                <w:rFonts w:hint="eastAsia" w:ascii="宋体" w:hAnsi="宋体" w:eastAsia="宋体" w:cs="宋体"/>
                <w:szCs w:val="21"/>
                <w:lang w:eastAsia="zh-CN"/>
              </w:rPr>
            </w:pPr>
            <w:r>
              <w:rPr>
                <w:rFonts w:hint="eastAsia" w:ascii="宋体" w:hAnsi="宋体" w:cs="宋体"/>
                <w:szCs w:val="21"/>
                <w:lang w:eastAsia="zh-CN"/>
              </w:rPr>
              <w:t>与故障部件型号、规格、技术参数完全一致的原厂备件</w:t>
            </w:r>
            <w:r>
              <w:rPr>
                <w:rFonts w:hint="eastAsia" w:ascii="宋体" w:hAnsi="宋体" w:cs="宋体"/>
                <w:szCs w:val="21"/>
              </w:rPr>
              <w:t>；若故障部件型号已停产且无库存，需提供性能不低于原部件的替代设备/单板，替代件需同时满足：核心性能指标（如算力、存储容量、接口速率、兼容性）不低于原部件。</w:t>
            </w:r>
            <w:r>
              <w:rPr>
                <w:rFonts w:hint="eastAsia" w:ascii="宋体" w:hAnsi="宋体" w:cs="宋体"/>
                <w:szCs w:val="21"/>
                <w:lang w:eastAsia="zh-CN"/>
              </w:rPr>
              <w:t>由于数据安全、保密等原因，不返还故障的带数据存储介质的部件。</w:t>
            </w:r>
          </w:p>
          <w:p w14:paraId="235390F9">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（11）定期巡检</w:t>
            </w:r>
          </w:p>
          <w:p w14:paraId="2621C8E5">
            <w:pPr>
              <w:spacing w:line="380" w:lineRule="exact"/>
              <w:jc w:val="left"/>
              <w:rPr>
                <w:rFonts w:hint="eastAsia" w:ascii="宋体" w:hAnsi="宋体" w:cs="宋体"/>
                <w:szCs w:val="21"/>
              </w:rPr>
            </w:pPr>
            <w:r>
              <w:rPr>
                <w:rFonts w:hint="eastAsia" w:ascii="宋体" w:hAnsi="宋体" w:cs="宋体"/>
                <w:szCs w:val="21"/>
              </w:rPr>
              <w:t>AI算力资源租赁服务期内，提供每季度一次巡检服务。通过对所投产品的数据配置、运行状态、性能等各项内容进行检查和分析，发现设备运行中存在的问题和潜在风险，并对检查结果进行总结报告并提出相应的措施，保障用户的网络安全、高效运行。设备健康检查结束后，提交《设备健康检查报告》（格式自拟）。</w:t>
            </w:r>
          </w:p>
          <w:p w14:paraId="7DC27DC9">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（12）技术培训</w:t>
            </w:r>
          </w:p>
          <w:p w14:paraId="3214824C">
            <w:pPr>
              <w:spacing w:line="380" w:lineRule="exact"/>
              <w:ind w:firstLine="560"/>
              <w:jc w:val="left"/>
              <w:rPr>
                <w:rFonts w:hint="eastAsia" w:ascii="宋体" w:hAnsi="宋体" w:cs="宋体"/>
                <w:szCs w:val="21"/>
              </w:rPr>
            </w:pPr>
            <w:r>
              <w:rPr>
                <w:rFonts w:hint="eastAsia" w:ascii="宋体" w:hAnsi="宋体" w:cs="宋体"/>
                <w:szCs w:val="21"/>
              </w:rPr>
              <w:t>为了使软硬件能够正常使用，投标人免费为采购人提供必要的使用培训，提供100人天以上的免费培训。培训内容包含但不限于AI算力资源的运行管理维护、备份恢复、性能优化、故障处理等，必须提供相关的培训计划、培训地点、课程内容和时间安排，并在合同签订后征得采购人同意后实施。培训教师必须具有相关资质，提供培训环境和相关实验环境。所有培训课程在租赁使用期限内有效。</w:t>
            </w:r>
          </w:p>
          <w:p w14:paraId="45D147A0">
            <w:pPr>
              <w:pStyle w:val="8"/>
              <w:spacing w:line="380" w:lineRule="exact"/>
              <w:ind w:firstLine="0"/>
              <w:rPr>
                <w:rFonts w:hint="eastAsia" w:ascii="宋体" w:hAnsi="宋体" w:cs="宋体"/>
                <w:szCs w:val="21"/>
              </w:rPr>
            </w:pPr>
          </w:p>
          <w:p w14:paraId="75E6B537">
            <w:pPr>
              <w:pStyle w:val="8"/>
              <w:spacing w:line="380" w:lineRule="exact"/>
              <w:ind w:firstLine="0"/>
              <w:outlineLvl w:val="0"/>
              <w:rPr>
                <w:rFonts w:hint="eastAsia" w:ascii="宋体" w:hAnsi="宋体" w:cs="宋体"/>
                <w:b/>
                <w:bCs/>
                <w:szCs w:val="21"/>
              </w:rPr>
            </w:pPr>
            <w:r>
              <w:rPr>
                <w:rFonts w:hint="eastAsia" w:ascii="宋体" w:hAnsi="宋体" w:cs="宋体"/>
                <w:b/>
                <w:bCs/>
                <w:szCs w:val="21"/>
              </w:rPr>
              <w:t>三、技术实施要求</w:t>
            </w:r>
          </w:p>
          <w:p w14:paraId="73CBA6C1">
            <w:pPr>
              <w:pStyle w:val="8"/>
              <w:spacing w:line="380" w:lineRule="exact"/>
              <w:ind w:firstLine="0"/>
              <w:outlineLvl w:val="1"/>
              <w:rPr>
                <w:rFonts w:hint="eastAsia" w:ascii="宋体" w:hAnsi="宋体" w:cs="宋体"/>
                <w:b/>
                <w:bCs/>
                <w:szCs w:val="21"/>
              </w:rPr>
            </w:pPr>
            <w:r>
              <w:rPr>
                <w:rFonts w:hint="eastAsia" w:ascii="宋体" w:hAnsi="宋体" w:cs="宋体"/>
                <w:b/>
                <w:bCs/>
                <w:szCs w:val="21"/>
              </w:rPr>
              <w:t>（一）组网方式</w:t>
            </w:r>
          </w:p>
          <w:p w14:paraId="20C3A91F">
            <w:pPr>
              <w:pStyle w:val="8"/>
              <w:spacing w:line="380" w:lineRule="exact"/>
              <w:ind w:firstLine="0"/>
              <w:rPr>
                <w:rFonts w:hint="eastAsia" w:ascii="宋体" w:hAnsi="宋体" w:cs="宋体"/>
                <w:szCs w:val="21"/>
              </w:rPr>
            </w:pPr>
            <w:r>
              <w:rPr>
                <w:rFonts w:hint="eastAsia" w:ascii="宋体" w:hAnsi="宋体" w:cs="宋体"/>
                <w:szCs w:val="21"/>
              </w:rPr>
              <w:t>由中标服务商负责将所租赁硬件设备上架和安装部署到采购人指定的B机房机柜中，利用采购人提供的网络环境，按照采购人技术和管理等要求配合完成组网，同时配合完成软件系统的安装和联调直至可完全正常使用。</w:t>
            </w:r>
          </w:p>
          <w:p w14:paraId="20D78AE4">
            <w:pPr>
              <w:pStyle w:val="8"/>
              <w:spacing w:line="380" w:lineRule="exact"/>
              <w:ind w:firstLine="0"/>
              <w:outlineLvl w:val="1"/>
              <w:rPr>
                <w:rFonts w:hint="eastAsia" w:ascii="宋体" w:hAnsi="宋体" w:cs="宋体"/>
                <w:b/>
                <w:bCs/>
                <w:szCs w:val="21"/>
              </w:rPr>
            </w:pPr>
            <w:r>
              <w:rPr>
                <w:rFonts w:hint="eastAsia" w:ascii="宋体" w:hAnsi="宋体" w:cs="宋体"/>
                <w:b/>
                <w:bCs/>
                <w:szCs w:val="21"/>
              </w:rPr>
              <w:t>（二）算力提供方式</w:t>
            </w:r>
          </w:p>
          <w:p w14:paraId="13276BED">
            <w:pPr>
              <w:pStyle w:val="8"/>
              <w:spacing w:line="380" w:lineRule="exact"/>
              <w:ind w:firstLine="0"/>
              <w:rPr>
                <w:rFonts w:hint="eastAsia" w:ascii="宋体" w:hAnsi="宋体" w:cs="宋体"/>
                <w:szCs w:val="21"/>
              </w:rPr>
            </w:pPr>
            <w:r>
              <w:rPr>
                <w:rFonts w:hint="eastAsia" w:ascii="宋体" w:hAnsi="宋体" w:cs="宋体"/>
                <w:szCs w:val="21"/>
              </w:rPr>
              <w:t>部署相应的软件系统到算力服务器上，由算力服务器直接提供算力资源。</w:t>
            </w:r>
          </w:p>
          <w:p w14:paraId="51627CBF">
            <w:pPr>
              <w:pStyle w:val="8"/>
              <w:spacing w:line="380" w:lineRule="exact"/>
              <w:ind w:firstLine="0"/>
              <w:outlineLvl w:val="1"/>
              <w:rPr>
                <w:rFonts w:hint="eastAsia" w:ascii="宋体" w:hAnsi="宋体" w:cs="宋体"/>
                <w:b/>
                <w:bCs/>
                <w:szCs w:val="21"/>
              </w:rPr>
            </w:pPr>
            <w:r>
              <w:rPr>
                <w:rFonts w:hint="eastAsia" w:ascii="宋体" w:hAnsi="宋体" w:cs="宋体"/>
                <w:b/>
                <w:bCs/>
                <w:szCs w:val="21"/>
              </w:rPr>
              <w:t>（三）机房管理方式</w:t>
            </w:r>
          </w:p>
          <w:p w14:paraId="6B1EBBF7">
            <w:pPr>
              <w:pStyle w:val="8"/>
              <w:spacing w:line="380" w:lineRule="exact"/>
              <w:ind w:firstLine="0"/>
              <w:rPr>
                <w:rFonts w:hint="eastAsia" w:ascii="宋体" w:hAnsi="宋体" w:cs="宋体"/>
                <w:szCs w:val="21"/>
              </w:rPr>
            </w:pPr>
            <w:r>
              <w:rPr>
                <w:rFonts w:hint="eastAsia" w:ascii="宋体" w:hAnsi="宋体" w:cs="宋体"/>
                <w:szCs w:val="21"/>
              </w:rPr>
              <w:t>本分标租赁的设备均部署到采购人指定的机房中，中标服务商在技术服务过程中需严格遵守采购人的机房管理规定，按规范、制度、流程等要求进行机房内软硬件的运维和管理。</w:t>
            </w:r>
          </w:p>
          <w:p w14:paraId="50976B21">
            <w:pPr>
              <w:pStyle w:val="8"/>
              <w:spacing w:line="380" w:lineRule="exact"/>
              <w:ind w:firstLine="0"/>
              <w:outlineLvl w:val="1"/>
              <w:rPr>
                <w:rFonts w:hint="eastAsia" w:ascii="宋体" w:hAnsi="宋体" w:cs="宋体"/>
                <w:b/>
                <w:bCs/>
                <w:szCs w:val="21"/>
              </w:rPr>
            </w:pPr>
            <w:r>
              <w:rPr>
                <w:rFonts w:hint="eastAsia" w:ascii="宋体" w:hAnsi="宋体" w:cs="宋体"/>
                <w:b/>
                <w:bCs/>
                <w:szCs w:val="21"/>
              </w:rPr>
              <w:t>（四）机房安全保障措施</w:t>
            </w:r>
          </w:p>
          <w:p w14:paraId="197430CF">
            <w:pPr>
              <w:pStyle w:val="8"/>
              <w:spacing w:line="380" w:lineRule="exact"/>
              <w:ind w:firstLine="0"/>
              <w:rPr>
                <w:rFonts w:hint="eastAsia" w:ascii="宋体" w:hAnsi="宋体" w:cs="宋体"/>
                <w:szCs w:val="21"/>
              </w:rPr>
            </w:pPr>
            <w:r>
              <w:rPr>
                <w:rFonts w:hint="eastAsia" w:ascii="宋体" w:hAnsi="宋体" w:cs="宋体"/>
                <w:szCs w:val="21"/>
              </w:rPr>
              <w:t>中标服务商实施人员必须严格遵守机房安全管理与保障要求，包括人身安全管理、消防安全管理、用电安全管理、设施设备安全管理、信息安全管理等。</w:t>
            </w:r>
          </w:p>
          <w:p w14:paraId="1D9EEB4E">
            <w:pPr>
              <w:pStyle w:val="8"/>
              <w:spacing w:line="380" w:lineRule="exact"/>
              <w:ind w:firstLine="0"/>
              <w:outlineLvl w:val="1"/>
              <w:rPr>
                <w:rFonts w:hint="eastAsia" w:ascii="宋体" w:hAnsi="宋体" w:cs="宋体"/>
                <w:b/>
                <w:bCs/>
                <w:szCs w:val="21"/>
              </w:rPr>
            </w:pPr>
            <w:r>
              <w:rPr>
                <w:rFonts w:hint="eastAsia" w:ascii="宋体" w:hAnsi="宋体" w:cs="宋体"/>
                <w:b/>
                <w:bCs/>
                <w:szCs w:val="21"/>
              </w:rPr>
              <w:t>（五）运维流程</w:t>
            </w:r>
          </w:p>
          <w:p w14:paraId="6C1BAA3D">
            <w:pPr>
              <w:pStyle w:val="8"/>
              <w:spacing w:line="380" w:lineRule="exact"/>
              <w:ind w:firstLine="0"/>
              <w:rPr>
                <w:rFonts w:hint="eastAsia" w:ascii="宋体" w:hAnsi="宋体" w:cs="宋体"/>
                <w:szCs w:val="21"/>
              </w:rPr>
            </w:pPr>
            <w:r>
              <w:rPr>
                <w:rFonts w:hint="eastAsia" w:ascii="宋体" w:hAnsi="宋体" w:cs="宋体"/>
                <w:szCs w:val="21"/>
              </w:rPr>
              <w:t>中标服务商实施人员必须严格遵守运维流程开展相关工作。主要包括事件管理流程、问题管理流程、变更管理流程、应急处理流程、出入机房管理流程、来访参观管理流程、设备提前报废流程、设备提前报废流程、工程验收流程及资源管理流程等。</w:t>
            </w:r>
          </w:p>
          <w:p w14:paraId="3DEA1E88">
            <w:pPr>
              <w:pStyle w:val="8"/>
              <w:spacing w:line="380" w:lineRule="exact"/>
              <w:ind w:firstLine="0"/>
              <w:rPr>
                <w:rFonts w:hint="eastAsia" w:ascii="宋体" w:hAnsi="宋体" w:cs="宋体"/>
                <w:szCs w:val="21"/>
              </w:rPr>
            </w:pPr>
          </w:p>
          <w:p w14:paraId="36BEA7EC">
            <w:pPr>
              <w:pStyle w:val="8"/>
              <w:spacing w:line="380" w:lineRule="exact"/>
              <w:ind w:firstLine="0"/>
              <w:jc w:val="left"/>
              <w:outlineLvl w:val="0"/>
              <w:rPr>
                <w:rFonts w:hint="eastAsia" w:ascii="宋体" w:hAnsi="宋体" w:cs="宋体"/>
                <w:b/>
                <w:bCs/>
                <w:szCs w:val="21"/>
              </w:rPr>
            </w:pPr>
            <w:r>
              <w:rPr>
                <w:rFonts w:hint="eastAsia" w:ascii="宋体" w:hAnsi="宋体" w:cs="宋体"/>
                <w:b/>
                <w:bCs/>
                <w:szCs w:val="21"/>
              </w:rPr>
              <w:t>四、安全与合规需求</w:t>
            </w:r>
          </w:p>
          <w:p w14:paraId="5C5314DC">
            <w:pPr>
              <w:pStyle w:val="8"/>
              <w:spacing w:line="380" w:lineRule="exact"/>
              <w:ind w:firstLine="0"/>
              <w:jc w:val="left"/>
              <w:outlineLvl w:val="1"/>
              <w:rPr>
                <w:rFonts w:hint="eastAsia" w:ascii="宋体" w:hAnsi="宋体" w:cs="宋体"/>
                <w:b/>
                <w:bCs/>
                <w:szCs w:val="21"/>
              </w:rPr>
            </w:pPr>
            <w:r>
              <w:rPr>
                <w:rFonts w:hint="eastAsia" w:ascii="宋体" w:hAnsi="宋体" w:cs="宋体"/>
                <w:b/>
                <w:bCs/>
                <w:szCs w:val="21"/>
              </w:rPr>
              <w:t>（一）安全等级保护需求</w:t>
            </w:r>
          </w:p>
          <w:p w14:paraId="0D34D900">
            <w:pPr>
              <w:pStyle w:val="8"/>
              <w:spacing w:line="380" w:lineRule="exact"/>
              <w:ind w:firstLine="0"/>
              <w:rPr>
                <w:rFonts w:hint="eastAsia" w:ascii="宋体" w:hAnsi="宋体" w:cs="宋体"/>
                <w:szCs w:val="21"/>
              </w:rPr>
            </w:pPr>
            <w:r>
              <w:rPr>
                <w:rFonts w:hint="eastAsia" w:ascii="宋体" w:hAnsi="宋体" w:cs="宋体"/>
                <w:szCs w:val="21"/>
              </w:rPr>
              <w:t>本项目租赁的AI算力资源，需要配合相应系统按三级等保要求开展相应防护工作。</w:t>
            </w:r>
          </w:p>
          <w:p w14:paraId="7244FCB6">
            <w:pPr>
              <w:pStyle w:val="8"/>
              <w:spacing w:line="380" w:lineRule="exact"/>
              <w:ind w:firstLine="0"/>
              <w:outlineLvl w:val="1"/>
              <w:rPr>
                <w:rFonts w:hint="eastAsia" w:ascii="宋体" w:hAnsi="宋体" w:cs="宋体"/>
                <w:b/>
                <w:bCs/>
                <w:szCs w:val="21"/>
              </w:rPr>
            </w:pPr>
            <w:r>
              <w:rPr>
                <w:rFonts w:hint="eastAsia" w:ascii="宋体" w:hAnsi="宋体" w:cs="宋体"/>
                <w:b/>
                <w:bCs/>
                <w:szCs w:val="21"/>
              </w:rPr>
              <w:t>（二）密码应用需求</w:t>
            </w:r>
          </w:p>
          <w:p w14:paraId="6F371D31">
            <w:pPr>
              <w:pStyle w:val="8"/>
              <w:spacing w:line="380" w:lineRule="exact"/>
              <w:ind w:firstLine="0"/>
              <w:rPr>
                <w:rFonts w:hint="eastAsia" w:ascii="宋体" w:hAnsi="宋体" w:cs="宋体"/>
                <w:szCs w:val="21"/>
              </w:rPr>
            </w:pPr>
            <w:r>
              <w:rPr>
                <w:rFonts w:hint="eastAsia" w:ascii="宋体" w:hAnsi="宋体" w:cs="宋体"/>
                <w:szCs w:val="21"/>
              </w:rPr>
              <w:t>本项目租赁的AI算力资源，需要配合相应系统开展商密相关的应用及测评工作。</w:t>
            </w:r>
          </w:p>
          <w:p w14:paraId="62CEFAD9">
            <w:pPr>
              <w:pStyle w:val="8"/>
              <w:spacing w:line="380" w:lineRule="exact"/>
              <w:ind w:firstLine="0"/>
              <w:outlineLvl w:val="1"/>
              <w:rPr>
                <w:rFonts w:hint="eastAsia" w:ascii="宋体" w:hAnsi="宋体" w:cs="宋体"/>
                <w:b/>
                <w:bCs/>
                <w:szCs w:val="21"/>
              </w:rPr>
            </w:pPr>
            <w:r>
              <w:rPr>
                <w:rFonts w:hint="eastAsia" w:ascii="宋体" w:hAnsi="宋体" w:cs="宋体"/>
                <w:b/>
                <w:bCs/>
                <w:szCs w:val="21"/>
              </w:rPr>
              <w:t>（三）安全可靠测评合规性需求</w:t>
            </w:r>
          </w:p>
          <w:p w14:paraId="50AACD55">
            <w:pPr>
              <w:pStyle w:val="8"/>
              <w:spacing w:line="380" w:lineRule="exact"/>
              <w:ind w:firstLine="0"/>
              <w:rPr>
                <w:rFonts w:hint="eastAsia" w:ascii="宋体" w:hAnsi="宋体" w:cs="宋体"/>
                <w:szCs w:val="21"/>
              </w:rPr>
            </w:pPr>
            <w:r>
              <w:rPr>
                <w:rFonts w:hint="eastAsia" w:ascii="宋体" w:hAnsi="宋体" w:cs="宋体"/>
                <w:szCs w:val="21"/>
              </w:rPr>
              <w:t>本项目租赁的软硬件资源须符合国家与广西壮族自治区安全可靠测评相关的要求，服务期内，中标服务商须根据国家或广西壮族自治区要求配合开展适配等相关工作。</w:t>
            </w:r>
          </w:p>
          <w:p w14:paraId="6C8206AC">
            <w:pPr>
              <w:pStyle w:val="8"/>
              <w:spacing w:line="380" w:lineRule="exact"/>
              <w:ind w:firstLine="0"/>
              <w:rPr>
                <w:rFonts w:hint="eastAsia" w:ascii="宋体" w:hAnsi="宋体" w:cs="宋体"/>
                <w:szCs w:val="21"/>
              </w:rPr>
            </w:pPr>
          </w:p>
          <w:p w14:paraId="1EF3EA0C">
            <w:pPr>
              <w:pStyle w:val="8"/>
              <w:spacing w:line="380" w:lineRule="exact"/>
              <w:ind w:firstLine="0"/>
              <w:outlineLvl w:val="0"/>
              <w:rPr>
                <w:rFonts w:hint="eastAsia" w:ascii="宋体" w:hAnsi="宋体" w:cs="宋体"/>
                <w:b/>
                <w:bCs/>
                <w:szCs w:val="21"/>
              </w:rPr>
            </w:pPr>
            <w:r>
              <w:rPr>
                <w:rFonts w:hint="eastAsia" w:ascii="宋体" w:hAnsi="宋体" w:cs="宋体"/>
                <w:b/>
                <w:bCs/>
                <w:szCs w:val="21"/>
              </w:rPr>
              <w:t>五、服务评价打分及扣款</w:t>
            </w:r>
          </w:p>
          <w:p w14:paraId="67D566F7">
            <w:pPr>
              <w:spacing w:line="380" w:lineRule="exact"/>
              <w:rPr>
                <w:rFonts w:hint="eastAsia" w:ascii="宋体" w:hAnsi="宋体" w:cs="宋体"/>
                <w:szCs w:val="21"/>
              </w:rPr>
            </w:pPr>
            <w:r>
              <w:rPr>
                <w:rFonts w:hint="eastAsia" w:ascii="宋体" w:hAnsi="宋体" w:cs="宋体"/>
                <w:szCs w:val="21"/>
              </w:rPr>
              <w:t>服务评价指标及扣分规则如下表：</w:t>
            </w:r>
          </w:p>
          <w:p w14:paraId="2E40DFCA">
            <w:pPr>
              <w:tabs>
                <w:tab w:val="left" w:pos="180"/>
                <w:tab w:val="left" w:pos="1620"/>
              </w:tabs>
              <w:spacing w:line="380" w:lineRule="exact"/>
              <w:jc w:val="left"/>
              <w:rPr>
                <w:rFonts w:hint="eastAsia" w:ascii="宋体" w:hAnsi="宋体" w:cs="宋体"/>
                <w:szCs w:val="21"/>
                <w:shd w:val="clear" w:color="auto" w:fill="FAFAFA"/>
              </w:rPr>
            </w:pPr>
            <w:r>
              <w:rPr>
                <w:rFonts w:hint="eastAsia" w:ascii="宋体" w:hAnsi="宋体" w:cs="宋体"/>
                <w:szCs w:val="21"/>
                <w:shd w:val="clear" w:color="auto" w:fill="FAFAFA"/>
              </w:rPr>
              <w:t>本项目考核分为四次实施，具体节点如下：</w:t>
            </w:r>
          </w:p>
          <w:p w14:paraId="23F86064">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算力服务正式交付使用时；服务期满12个月后；服务期满24个月后；服务期满后。</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97"/>
              <w:gridCol w:w="649"/>
              <w:gridCol w:w="587"/>
              <w:gridCol w:w="1823"/>
              <w:gridCol w:w="849"/>
              <w:gridCol w:w="355"/>
              <w:gridCol w:w="597"/>
              <w:gridCol w:w="1664"/>
            </w:tblGrid>
            <w:tr w14:paraId="4560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shd w:val="clear" w:color="auto" w:fill="D7D7D7"/>
                  <w:vAlign w:val="center"/>
                </w:tcPr>
                <w:p w14:paraId="6863C6B4">
                  <w:pPr>
                    <w:pStyle w:val="162"/>
                    <w:spacing w:line="380" w:lineRule="exact"/>
                    <w:rPr>
                      <w:rFonts w:hint="eastAsia" w:cs="宋体"/>
                      <w:b/>
                      <w:bCs/>
                      <w:color w:val="auto"/>
                    </w:rPr>
                  </w:pPr>
                  <w:r>
                    <w:rPr>
                      <w:rFonts w:hint="eastAsia" w:cs="宋体"/>
                      <w:b/>
                      <w:bCs/>
                      <w:color w:val="auto"/>
                    </w:rPr>
                    <w:t>一级指标</w:t>
                  </w:r>
                </w:p>
              </w:tc>
              <w:tc>
                <w:tcPr>
                  <w:tcW w:w="597" w:type="dxa"/>
                  <w:shd w:val="clear" w:color="auto" w:fill="D7D7D7"/>
                  <w:vAlign w:val="center"/>
                </w:tcPr>
                <w:p w14:paraId="698E358D">
                  <w:pPr>
                    <w:pStyle w:val="162"/>
                    <w:spacing w:line="380" w:lineRule="exact"/>
                    <w:rPr>
                      <w:rFonts w:hint="eastAsia" w:cs="宋体"/>
                      <w:b/>
                      <w:bCs/>
                      <w:color w:val="auto"/>
                    </w:rPr>
                  </w:pPr>
                  <w:r>
                    <w:rPr>
                      <w:rFonts w:hint="eastAsia" w:cs="宋体"/>
                      <w:b/>
                      <w:bCs/>
                      <w:color w:val="auto"/>
                    </w:rPr>
                    <w:t>标准分</w:t>
                  </w:r>
                </w:p>
              </w:tc>
              <w:tc>
                <w:tcPr>
                  <w:tcW w:w="649" w:type="dxa"/>
                  <w:shd w:val="clear" w:color="auto" w:fill="D7D7D7"/>
                  <w:vAlign w:val="center"/>
                </w:tcPr>
                <w:p w14:paraId="55F9F660">
                  <w:pPr>
                    <w:pStyle w:val="162"/>
                    <w:spacing w:line="380" w:lineRule="exact"/>
                    <w:rPr>
                      <w:rFonts w:hint="eastAsia" w:cs="宋体"/>
                      <w:b/>
                      <w:bCs/>
                      <w:color w:val="auto"/>
                    </w:rPr>
                  </w:pPr>
                  <w:r>
                    <w:rPr>
                      <w:rFonts w:hint="eastAsia" w:cs="宋体"/>
                      <w:b/>
                      <w:bCs/>
                      <w:color w:val="auto"/>
                    </w:rPr>
                    <w:t>二级指标</w:t>
                  </w:r>
                </w:p>
              </w:tc>
              <w:tc>
                <w:tcPr>
                  <w:tcW w:w="587" w:type="dxa"/>
                  <w:shd w:val="clear" w:color="auto" w:fill="D7D7D7"/>
                  <w:vAlign w:val="center"/>
                </w:tcPr>
                <w:p w14:paraId="410DE52A">
                  <w:pPr>
                    <w:pStyle w:val="162"/>
                    <w:spacing w:line="380" w:lineRule="exact"/>
                    <w:rPr>
                      <w:rFonts w:hint="eastAsia" w:cs="宋体"/>
                      <w:b/>
                      <w:bCs/>
                      <w:color w:val="auto"/>
                    </w:rPr>
                  </w:pPr>
                  <w:r>
                    <w:rPr>
                      <w:rFonts w:hint="eastAsia" w:cs="宋体"/>
                      <w:b/>
                      <w:bCs/>
                      <w:color w:val="auto"/>
                    </w:rPr>
                    <w:t>标准分</w:t>
                  </w:r>
                </w:p>
              </w:tc>
              <w:tc>
                <w:tcPr>
                  <w:tcW w:w="1823" w:type="dxa"/>
                  <w:shd w:val="clear" w:color="auto" w:fill="D7D7D7"/>
                  <w:vAlign w:val="center"/>
                </w:tcPr>
                <w:p w14:paraId="50D50399">
                  <w:pPr>
                    <w:pStyle w:val="162"/>
                    <w:spacing w:line="380" w:lineRule="exact"/>
                    <w:rPr>
                      <w:rFonts w:hint="eastAsia" w:cs="宋体"/>
                      <w:b/>
                      <w:bCs/>
                      <w:color w:val="auto"/>
                    </w:rPr>
                  </w:pPr>
                  <w:r>
                    <w:rPr>
                      <w:rFonts w:hint="eastAsia" w:cs="宋体"/>
                      <w:b/>
                      <w:bCs/>
                      <w:color w:val="auto"/>
                    </w:rPr>
                    <w:t>指标说明</w:t>
                  </w:r>
                </w:p>
              </w:tc>
              <w:tc>
                <w:tcPr>
                  <w:tcW w:w="849" w:type="dxa"/>
                  <w:shd w:val="clear" w:color="auto" w:fill="D7D7D7"/>
                  <w:vAlign w:val="center"/>
                </w:tcPr>
                <w:p w14:paraId="60E2FD25">
                  <w:pPr>
                    <w:pStyle w:val="162"/>
                    <w:spacing w:line="380" w:lineRule="exact"/>
                    <w:rPr>
                      <w:rFonts w:hint="eastAsia" w:cs="宋体"/>
                      <w:b/>
                      <w:bCs/>
                      <w:color w:val="auto"/>
                    </w:rPr>
                  </w:pPr>
                  <w:r>
                    <w:rPr>
                      <w:rFonts w:hint="eastAsia" w:cs="宋体"/>
                      <w:b/>
                      <w:bCs/>
                      <w:color w:val="auto"/>
                    </w:rPr>
                    <w:t>考核方式</w:t>
                  </w:r>
                </w:p>
              </w:tc>
              <w:tc>
                <w:tcPr>
                  <w:tcW w:w="355" w:type="dxa"/>
                  <w:shd w:val="clear" w:color="auto" w:fill="D7D7D7"/>
                  <w:vAlign w:val="center"/>
                </w:tcPr>
                <w:p w14:paraId="33DA5D25">
                  <w:pPr>
                    <w:pStyle w:val="162"/>
                    <w:spacing w:line="380" w:lineRule="exact"/>
                    <w:rPr>
                      <w:rFonts w:hint="eastAsia" w:cs="宋体"/>
                      <w:b/>
                      <w:bCs/>
                      <w:color w:val="auto"/>
                    </w:rPr>
                  </w:pPr>
                  <w:r>
                    <w:rPr>
                      <w:rFonts w:hint="eastAsia" w:cs="宋体"/>
                      <w:b/>
                      <w:bCs/>
                      <w:color w:val="auto"/>
                    </w:rPr>
                    <w:t>得分</w:t>
                  </w:r>
                </w:p>
              </w:tc>
              <w:tc>
                <w:tcPr>
                  <w:tcW w:w="597" w:type="dxa"/>
                  <w:shd w:val="clear" w:color="auto" w:fill="D7D7D7"/>
                  <w:vAlign w:val="center"/>
                </w:tcPr>
                <w:p w14:paraId="4E2CA3E3">
                  <w:pPr>
                    <w:pStyle w:val="162"/>
                    <w:spacing w:line="380" w:lineRule="exact"/>
                    <w:rPr>
                      <w:rFonts w:hint="eastAsia" w:cs="宋体"/>
                      <w:b/>
                      <w:bCs/>
                      <w:color w:val="auto"/>
                    </w:rPr>
                  </w:pPr>
                  <w:r>
                    <w:rPr>
                      <w:rFonts w:hint="eastAsia" w:cs="宋体"/>
                      <w:b/>
                      <w:bCs/>
                      <w:color w:val="auto"/>
                    </w:rPr>
                    <w:t>扣分说明</w:t>
                  </w:r>
                </w:p>
              </w:tc>
              <w:tc>
                <w:tcPr>
                  <w:tcW w:w="1664" w:type="dxa"/>
                  <w:shd w:val="clear" w:color="auto" w:fill="D7D7D7"/>
                  <w:vAlign w:val="center"/>
                </w:tcPr>
                <w:p w14:paraId="6AAA2EFC">
                  <w:pPr>
                    <w:pStyle w:val="162"/>
                    <w:spacing w:line="380" w:lineRule="exact"/>
                    <w:rPr>
                      <w:rFonts w:hint="eastAsia" w:cs="宋体"/>
                      <w:b/>
                      <w:bCs/>
                      <w:color w:val="auto"/>
                    </w:rPr>
                  </w:pPr>
                  <w:r>
                    <w:rPr>
                      <w:rFonts w:hint="eastAsia" w:cs="宋体"/>
                      <w:b/>
                      <w:bCs/>
                      <w:color w:val="auto"/>
                    </w:rPr>
                    <w:t>备注</w:t>
                  </w:r>
                </w:p>
              </w:tc>
            </w:tr>
            <w:tr w14:paraId="5FDC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restart"/>
                  <w:vAlign w:val="center"/>
                </w:tcPr>
                <w:p w14:paraId="7C2C1809">
                  <w:pPr>
                    <w:pStyle w:val="162"/>
                    <w:spacing w:line="380" w:lineRule="exact"/>
                    <w:rPr>
                      <w:rFonts w:hint="eastAsia" w:cs="宋体"/>
                      <w:color w:val="auto"/>
                    </w:rPr>
                  </w:pPr>
                  <w:r>
                    <w:rPr>
                      <w:rFonts w:hint="eastAsia" w:cs="宋体"/>
                      <w:color w:val="auto"/>
                    </w:rPr>
                    <w:t>履约材料质量</w:t>
                  </w:r>
                </w:p>
              </w:tc>
              <w:tc>
                <w:tcPr>
                  <w:tcW w:w="597" w:type="dxa"/>
                  <w:vMerge w:val="restart"/>
                  <w:vAlign w:val="center"/>
                </w:tcPr>
                <w:p w14:paraId="3C48C086">
                  <w:pPr>
                    <w:pStyle w:val="162"/>
                    <w:spacing w:line="380" w:lineRule="exact"/>
                    <w:rPr>
                      <w:rFonts w:hint="eastAsia" w:cs="宋体"/>
                      <w:color w:val="auto"/>
                    </w:rPr>
                  </w:pPr>
                  <w:r>
                    <w:rPr>
                      <w:rFonts w:hint="eastAsia" w:cs="宋体"/>
                      <w:color w:val="auto"/>
                    </w:rPr>
                    <w:t>100</w:t>
                  </w:r>
                </w:p>
              </w:tc>
              <w:tc>
                <w:tcPr>
                  <w:tcW w:w="649" w:type="dxa"/>
                  <w:vMerge w:val="restart"/>
                  <w:vAlign w:val="center"/>
                </w:tcPr>
                <w:p w14:paraId="57B0C7BC">
                  <w:pPr>
                    <w:pStyle w:val="162"/>
                    <w:spacing w:line="380" w:lineRule="exact"/>
                    <w:rPr>
                      <w:rFonts w:hint="eastAsia" w:cs="宋体"/>
                      <w:color w:val="auto"/>
                    </w:rPr>
                  </w:pPr>
                  <w:r>
                    <w:rPr>
                      <w:rFonts w:hint="eastAsia" w:cs="宋体"/>
                      <w:color w:val="auto"/>
                    </w:rPr>
                    <w:t>履约清单材料</w:t>
                  </w:r>
                </w:p>
                <w:p w14:paraId="65049843">
                  <w:pPr>
                    <w:pStyle w:val="162"/>
                    <w:spacing w:line="380" w:lineRule="exact"/>
                    <w:rPr>
                      <w:rFonts w:hint="eastAsia" w:cs="宋体"/>
                      <w:color w:val="auto"/>
                    </w:rPr>
                  </w:pPr>
                </w:p>
              </w:tc>
              <w:tc>
                <w:tcPr>
                  <w:tcW w:w="587" w:type="dxa"/>
                  <w:vAlign w:val="center"/>
                </w:tcPr>
                <w:p w14:paraId="292682EE">
                  <w:pPr>
                    <w:pStyle w:val="162"/>
                    <w:spacing w:line="380" w:lineRule="exact"/>
                    <w:rPr>
                      <w:rFonts w:hint="eastAsia" w:cs="宋体"/>
                      <w:color w:val="auto"/>
                    </w:rPr>
                  </w:pPr>
                  <w:r>
                    <w:rPr>
                      <w:rFonts w:hint="eastAsia" w:cs="宋体"/>
                      <w:color w:val="auto"/>
                    </w:rPr>
                    <w:t>5</w:t>
                  </w:r>
                </w:p>
              </w:tc>
              <w:tc>
                <w:tcPr>
                  <w:tcW w:w="1823" w:type="dxa"/>
                  <w:vAlign w:val="center"/>
                </w:tcPr>
                <w:p w14:paraId="779177AB">
                  <w:pPr>
                    <w:pStyle w:val="162"/>
                    <w:spacing w:line="380" w:lineRule="exact"/>
                    <w:jc w:val="left"/>
                    <w:rPr>
                      <w:rFonts w:hint="eastAsia" w:cs="宋体"/>
                      <w:color w:val="auto"/>
                    </w:rPr>
                  </w:pPr>
                  <w:r>
                    <w:rPr>
                      <w:rFonts w:hint="eastAsia" w:cs="宋体"/>
                      <w:color w:val="auto"/>
                    </w:rPr>
                    <w:t>中标人须根据合同要求在合同签订后10日内提交履约清单并由监理单位审核通过，若未按时交付，每逾期1天扣0.1分，扣完即止。</w:t>
                  </w:r>
                </w:p>
              </w:tc>
              <w:tc>
                <w:tcPr>
                  <w:tcW w:w="849" w:type="dxa"/>
                  <w:vAlign w:val="center"/>
                </w:tcPr>
                <w:p w14:paraId="39182D0C">
                  <w:pPr>
                    <w:pStyle w:val="162"/>
                    <w:spacing w:line="380" w:lineRule="exact"/>
                    <w:rPr>
                      <w:rFonts w:hint="eastAsia" w:cs="宋体"/>
                      <w:color w:val="auto"/>
                    </w:rPr>
                  </w:pPr>
                  <w:r>
                    <w:rPr>
                      <w:rFonts w:hint="eastAsia" w:cs="宋体"/>
                      <w:color w:val="auto"/>
                    </w:rPr>
                    <w:t>以监理单位审核通过为准</w:t>
                  </w:r>
                </w:p>
              </w:tc>
              <w:tc>
                <w:tcPr>
                  <w:tcW w:w="355" w:type="dxa"/>
                  <w:vAlign w:val="center"/>
                </w:tcPr>
                <w:p w14:paraId="67B65526">
                  <w:pPr>
                    <w:pStyle w:val="162"/>
                    <w:spacing w:line="380" w:lineRule="exact"/>
                    <w:rPr>
                      <w:rFonts w:hint="eastAsia" w:cs="宋体"/>
                      <w:color w:val="auto"/>
                    </w:rPr>
                  </w:pPr>
                </w:p>
              </w:tc>
              <w:tc>
                <w:tcPr>
                  <w:tcW w:w="597" w:type="dxa"/>
                  <w:vAlign w:val="center"/>
                </w:tcPr>
                <w:p w14:paraId="00E9FC16">
                  <w:pPr>
                    <w:pStyle w:val="162"/>
                    <w:spacing w:line="380" w:lineRule="exact"/>
                    <w:rPr>
                      <w:rFonts w:hint="eastAsia" w:cs="宋体"/>
                      <w:color w:val="auto"/>
                    </w:rPr>
                  </w:pPr>
                </w:p>
              </w:tc>
              <w:tc>
                <w:tcPr>
                  <w:tcW w:w="1664" w:type="dxa"/>
                  <w:vAlign w:val="center"/>
                </w:tcPr>
                <w:p w14:paraId="0BDA83BD">
                  <w:pPr>
                    <w:pStyle w:val="162"/>
                    <w:spacing w:line="380" w:lineRule="exact"/>
                    <w:jc w:val="left"/>
                    <w:rPr>
                      <w:rFonts w:hint="eastAsia" w:cs="宋体"/>
                      <w:color w:val="auto"/>
                    </w:rPr>
                  </w:pPr>
                </w:p>
              </w:tc>
            </w:tr>
            <w:tr w14:paraId="67C4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057E6129">
                  <w:pPr>
                    <w:pStyle w:val="162"/>
                    <w:spacing w:line="380" w:lineRule="exact"/>
                    <w:rPr>
                      <w:rFonts w:hint="eastAsia" w:cs="宋体"/>
                      <w:color w:val="auto"/>
                    </w:rPr>
                  </w:pPr>
                </w:p>
              </w:tc>
              <w:tc>
                <w:tcPr>
                  <w:tcW w:w="597" w:type="dxa"/>
                  <w:vMerge w:val="continue"/>
                  <w:vAlign w:val="center"/>
                </w:tcPr>
                <w:p w14:paraId="3AA93714">
                  <w:pPr>
                    <w:pStyle w:val="162"/>
                    <w:spacing w:line="380" w:lineRule="exact"/>
                    <w:rPr>
                      <w:rFonts w:hint="eastAsia" w:cs="宋体"/>
                      <w:color w:val="auto"/>
                    </w:rPr>
                  </w:pPr>
                </w:p>
              </w:tc>
              <w:tc>
                <w:tcPr>
                  <w:tcW w:w="649" w:type="dxa"/>
                  <w:vMerge w:val="continue"/>
                  <w:vAlign w:val="center"/>
                </w:tcPr>
                <w:p w14:paraId="710D774C">
                  <w:pPr>
                    <w:pStyle w:val="162"/>
                    <w:spacing w:line="380" w:lineRule="exact"/>
                    <w:rPr>
                      <w:rFonts w:hint="eastAsia" w:cs="宋体"/>
                      <w:color w:val="auto"/>
                    </w:rPr>
                  </w:pPr>
                </w:p>
              </w:tc>
              <w:tc>
                <w:tcPr>
                  <w:tcW w:w="587" w:type="dxa"/>
                  <w:vAlign w:val="center"/>
                </w:tcPr>
                <w:p w14:paraId="1B29A13E">
                  <w:pPr>
                    <w:pStyle w:val="162"/>
                    <w:spacing w:line="380" w:lineRule="exact"/>
                    <w:rPr>
                      <w:rFonts w:hint="eastAsia" w:cs="宋体"/>
                      <w:color w:val="auto"/>
                    </w:rPr>
                  </w:pPr>
                  <w:r>
                    <w:rPr>
                      <w:rFonts w:hint="eastAsia" w:cs="宋体"/>
                      <w:color w:val="auto"/>
                    </w:rPr>
                    <w:t>5</w:t>
                  </w:r>
                </w:p>
              </w:tc>
              <w:tc>
                <w:tcPr>
                  <w:tcW w:w="1823" w:type="dxa"/>
                  <w:vAlign w:val="center"/>
                </w:tcPr>
                <w:p w14:paraId="05FC0424">
                  <w:pPr>
                    <w:pStyle w:val="162"/>
                    <w:spacing w:line="380" w:lineRule="exact"/>
                    <w:jc w:val="left"/>
                    <w:rPr>
                      <w:rFonts w:hint="eastAsia" w:cs="宋体"/>
                      <w:color w:val="auto"/>
                    </w:rPr>
                  </w:pPr>
                  <w:r>
                    <w:rPr>
                      <w:rFonts w:hint="eastAsia" w:cs="宋体"/>
                      <w:color w:val="auto"/>
                    </w:rPr>
                    <w:t>中标人须根据履约清单要求按时提交履约材料，若未按时交付，每逾期1天扣0.1分，扣完即止。</w:t>
                  </w:r>
                </w:p>
              </w:tc>
              <w:tc>
                <w:tcPr>
                  <w:tcW w:w="849" w:type="dxa"/>
                  <w:vAlign w:val="center"/>
                </w:tcPr>
                <w:p w14:paraId="57BCC04A">
                  <w:pPr>
                    <w:pStyle w:val="162"/>
                    <w:spacing w:line="380" w:lineRule="exact"/>
                    <w:rPr>
                      <w:rFonts w:hint="eastAsia" w:cs="宋体"/>
                      <w:color w:val="auto"/>
                    </w:rPr>
                  </w:pPr>
                  <w:r>
                    <w:rPr>
                      <w:rFonts w:hint="eastAsia" w:cs="宋体"/>
                      <w:color w:val="auto"/>
                    </w:rPr>
                    <w:t>以监理单位审核确认</w:t>
                  </w:r>
                </w:p>
              </w:tc>
              <w:tc>
                <w:tcPr>
                  <w:tcW w:w="355" w:type="dxa"/>
                  <w:vAlign w:val="center"/>
                </w:tcPr>
                <w:p w14:paraId="450EE273">
                  <w:pPr>
                    <w:pStyle w:val="162"/>
                    <w:spacing w:line="380" w:lineRule="exact"/>
                    <w:rPr>
                      <w:rFonts w:hint="eastAsia" w:cs="宋体"/>
                      <w:color w:val="auto"/>
                    </w:rPr>
                  </w:pPr>
                </w:p>
              </w:tc>
              <w:tc>
                <w:tcPr>
                  <w:tcW w:w="597" w:type="dxa"/>
                  <w:vAlign w:val="center"/>
                </w:tcPr>
                <w:p w14:paraId="54D55957">
                  <w:pPr>
                    <w:pStyle w:val="162"/>
                    <w:spacing w:line="380" w:lineRule="exact"/>
                    <w:rPr>
                      <w:rFonts w:hint="eastAsia" w:cs="宋体"/>
                      <w:color w:val="auto"/>
                    </w:rPr>
                  </w:pPr>
                </w:p>
              </w:tc>
              <w:tc>
                <w:tcPr>
                  <w:tcW w:w="1664" w:type="dxa"/>
                  <w:vAlign w:val="center"/>
                </w:tcPr>
                <w:p w14:paraId="5B7CDC06">
                  <w:pPr>
                    <w:pStyle w:val="162"/>
                    <w:spacing w:line="380" w:lineRule="exact"/>
                    <w:jc w:val="left"/>
                    <w:rPr>
                      <w:rFonts w:hint="eastAsia" w:cs="宋体"/>
                      <w:color w:val="auto"/>
                    </w:rPr>
                  </w:pPr>
                </w:p>
              </w:tc>
            </w:tr>
            <w:tr w14:paraId="448B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0ABBAEB1">
                  <w:pPr>
                    <w:pStyle w:val="162"/>
                    <w:spacing w:line="380" w:lineRule="exact"/>
                    <w:rPr>
                      <w:rFonts w:hint="eastAsia" w:cs="宋体"/>
                      <w:color w:val="auto"/>
                    </w:rPr>
                  </w:pPr>
                </w:p>
              </w:tc>
              <w:tc>
                <w:tcPr>
                  <w:tcW w:w="597" w:type="dxa"/>
                  <w:vMerge w:val="continue"/>
                  <w:vAlign w:val="center"/>
                </w:tcPr>
                <w:p w14:paraId="78FB78F2">
                  <w:pPr>
                    <w:pStyle w:val="162"/>
                    <w:spacing w:line="380" w:lineRule="exact"/>
                    <w:rPr>
                      <w:rFonts w:hint="eastAsia" w:cs="宋体"/>
                      <w:color w:val="auto"/>
                    </w:rPr>
                  </w:pPr>
                </w:p>
              </w:tc>
              <w:tc>
                <w:tcPr>
                  <w:tcW w:w="649" w:type="dxa"/>
                  <w:vMerge w:val="continue"/>
                  <w:vAlign w:val="center"/>
                </w:tcPr>
                <w:p w14:paraId="58129057">
                  <w:pPr>
                    <w:pStyle w:val="162"/>
                    <w:spacing w:line="380" w:lineRule="exact"/>
                    <w:rPr>
                      <w:rFonts w:hint="eastAsia" w:cs="宋体"/>
                      <w:color w:val="auto"/>
                    </w:rPr>
                  </w:pPr>
                </w:p>
              </w:tc>
              <w:tc>
                <w:tcPr>
                  <w:tcW w:w="587" w:type="dxa"/>
                  <w:vAlign w:val="center"/>
                </w:tcPr>
                <w:p w14:paraId="5BBF71C9">
                  <w:pPr>
                    <w:pStyle w:val="162"/>
                    <w:spacing w:line="380" w:lineRule="exact"/>
                    <w:rPr>
                      <w:rFonts w:hint="eastAsia" w:cs="宋体"/>
                      <w:color w:val="auto"/>
                    </w:rPr>
                  </w:pPr>
                  <w:r>
                    <w:rPr>
                      <w:rFonts w:hint="eastAsia" w:cs="宋体"/>
                      <w:color w:val="auto"/>
                    </w:rPr>
                    <w:t>5</w:t>
                  </w:r>
                </w:p>
              </w:tc>
              <w:tc>
                <w:tcPr>
                  <w:tcW w:w="1823" w:type="dxa"/>
                  <w:vAlign w:val="center"/>
                </w:tcPr>
                <w:p w14:paraId="37586A70">
                  <w:pPr>
                    <w:pStyle w:val="162"/>
                    <w:spacing w:line="380" w:lineRule="exact"/>
                    <w:jc w:val="left"/>
                    <w:rPr>
                      <w:rFonts w:hint="eastAsia" w:cs="宋体"/>
                      <w:color w:val="auto"/>
                    </w:rPr>
                  </w:pPr>
                  <w:r>
                    <w:rPr>
                      <w:rFonts w:hint="eastAsia" w:cs="宋体"/>
                      <w:color w:val="auto"/>
                    </w:rPr>
                    <w:t>中标人提交的履约材料须满足采购人的规范性要求，若文档材料未按模板要求（内容、字体、章节等）进行编制，每发现1处扣0.1分。</w:t>
                  </w:r>
                </w:p>
              </w:tc>
              <w:tc>
                <w:tcPr>
                  <w:tcW w:w="849" w:type="dxa"/>
                  <w:vAlign w:val="center"/>
                </w:tcPr>
                <w:p w14:paraId="180B3690">
                  <w:pPr>
                    <w:pStyle w:val="162"/>
                    <w:spacing w:line="380" w:lineRule="exact"/>
                    <w:rPr>
                      <w:rFonts w:hint="eastAsia" w:cs="宋体"/>
                      <w:color w:val="auto"/>
                    </w:rPr>
                  </w:pPr>
                  <w:r>
                    <w:rPr>
                      <w:rFonts w:hint="eastAsia" w:cs="宋体"/>
                      <w:color w:val="auto"/>
                    </w:rPr>
                    <w:t>以监理单位审核确认</w:t>
                  </w:r>
                </w:p>
              </w:tc>
              <w:tc>
                <w:tcPr>
                  <w:tcW w:w="355" w:type="dxa"/>
                  <w:vAlign w:val="center"/>
                </w:tcPr>
                <w:p w14:paraId="333CDB4A">
                  <w:pPr>
                    <w:pStyle w:val="162"/>
                    <w:spacing w:line="380" w:lineRule="exact"/>
                    <w:rPr>
                      <w:rFonts w:hint="eastAsia" w:cs="宋体"/>
                      <w:color w:val="auto"/>
                    </w:rPr>
                  </w:pPr>
                </w:p>
              </w:tc>
              <w:tc>
                <w:tcPr>
                  <w:tcW w:w="597" w:type="dxa"/>
                  <w:vAlign w:val="center"/>
                </w:tcPr>
                <w:p w14:paraId="63DA4AD4">
                  <w:pPr>
                    <w:pStyle w:val="162"/>
                    <w:spacing w:line="380" w:lineRule="exact"/>
                    <w:rPr>
                      <w:rFonts w:hint="eastAsia" w:cs="宋体"/>
                      <w:color w:val="auto"/>
                    </w:rPr>
                  </w:pPr>
                </w:p>
              </w:tc>
              <w:tc>
                <w:tcPr>
                  <w:tcW w:w="1664" w:type="dxa"/>
                  <w:vAlign w:val="center"/>
                </w:tcPr>
                <w:p w14:paraId="60DB1633">
                  <w:pPr>
                    <w:pStyle w:val="162"/>
                    <w:spacing w:line="380" w:lineRule="exact"/>
                    <w:jc w:val="left"/>
                    <w:rPr>
                      <w:rFonts w:hint="eastAsia" w:cs="宋体"/>
                      <w:color w:val="auto"/>
                    </w:rPr>
                  </w:pPr>
                </w:p>
              </w:tc>
            </w:tr>
            <w:tr w14:paraId="7869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071F4640">
                  <w:pPr>
                    <w:pStyle w:val="162"/>
                    <w:spacing w:line="380" w:lineRule="exact"/>
                    <w:rPr>
                      <w:rFonts w:hint="eastAsia" w:cs="宋体"/>
                      <w:color w:val="auto"/>
                    </w:rPr>
                  </w:pPr>
                </w:p>
              </w:tc>
              <w:tc>
                <w:tcPr>
                  <w:tcW w:w="597" w:type="dxa"/>
                  <w:vMerge w:val="continue"/>
                  <w:vAlign w:val="center"/>
                </w:tcPr>
                <w:p w14:paraId="3DDF2999">
                  <w:pPr>
                    <w:pStyle w:val="162"/>
                    <w:spacing w:line="380" w:lineRule="exact"/>
                    <w:rPr>
                      <w:rFonts w:hint="eastAsia" w:cs="宋体"/>
                      <w:color w:val="auto"/>
                    </w:rPr>
                  </w:pPr>
                </w:p>
              </w:tc>
              <w:tc>
                <w:tcPr>
                  <w:tcW w:w="649" w:type="dxa"/>
                  <w:vMerge w:val="continue"/>
                  <w:vAlign w:val="center"/>
                </w:tcPr>
                <w:p w14:paraId="61298E32">
                  <w:pPr>
                    <w:pStyle w:val="162"/>
                    <w:spacing w:line="380" w:lineRule="exact"/>
                    <w:rPr>
                      <w:rFonts w:hint="eastAsia" w:cs="宋体"/>
                      <w:color w:val="auto"/>
                    </w:rPr>
                  </w:pPr>
                </w:p>
              </w:tc>
              <w:tc>
                <w:tcPr>
                  <w:tcW w:w="587" w:type="dxa"/>
                  <w:vAlign w:val="center"/>
                </w:tcPr>
                <w:p w14:paraId="2A5381F3">
                  <w:pPr>
                    <w:pStyle w:val="162"/>
                    <w:spacing w:line="380" w:lineRule="exact"/>
                    <w:rPr>
                      <w:rFonts w:hint="eastAsia" w:cs="宋体"/>
                      <w:color w:val="auto"/>
                    </w:rPr>
                  </w:pPr>
                  <w:r>
                    <w:rPr>
                      <w:rFonts w:hint="eastAsia" w:cs="宋体"/>
                      <w:color w:val="auto"/>
                    </w:rPr>
                    <w:t>5</w:t>
                  </w:r>
                </w:p>
              </w:tc>
              <w:tc>
                <w:tcPr>
                  <w:tcW w:w="1823" w:type="dxa"/>
                  <w:vAlign w:val="center"/>
                </w:tcPr>
                <w:p w14:paraId="4D12ECDE">
                  <w:pPr>
                    <w:pStyle w:val="162"/>
                    <w:spacing w:line="380" w:lineRule="exact"/>
                    <w:jc w:val="left"/>
                    <w:rPr>
                      <w:rFonts w:hint="eastAsia" w:cs="宋体"/>
                      <w:color w:val="auto"/>
                    </w:rPr>
                  </w:pPr>
                  <w:r>
                    <w:rPr>
                      <w:rFonts w:hint="eastAsia" w:cs="宋体"/>
                      <w:color w:val="auto"/>
                    </w:rPr>
                    <w:t>中标人提交的履约材料须满足采购人的质量要求，若交付物质量未达到要求，因以下情形每退回修改一次扣0.1分：</w:t>
                  </w:r>
                </w:p>
                <w:p w14:paraId="5236A0FE">
                  <w:pPr>
                    <w:pStyle w:val="162"/>
                    <w:spacing w:line="380" w:lineRule="exact"/>
                    <w:jc w:val="left"/>
                    <w:rPr>
                      <w:rFonts w:hint="eastAsia" w:cs="宋体"/>
                      <w:color w:val="auto"/>
                    </w:rPr>
                  </w:pPr>
                  <w:r>
                    <w:rPr>
                      <w:rFonts w:hint="eastAsia" w:cs="宋体"/>
                      <w:color w:val="auto"/>
                    </w:rPr>
                    <w:t>1、文档（日期、内容等）有明显伪造嫌疑；</w:t>
                  </w:r>
                </w:p>
                <w:p w14:paraId="4E763390">
                  <w:pPr>
                    <w:pStyle w:val="162"/>
                    <w:spacing w:line="380" w:lineRule="exact"/>
                    <w:jc w:val="left"/>
                    <w:rPr>
                      <w:rFonts w:hint="eastAsia" w:cs="宋体"/>
                      <w:color w:val="auto"/>
                    </w:rPr>
                  </w:pPr>
                  <w:r>
                    <w:rPr>
                      <w:rFonts w:hint="eastAsia" w:cs="宋体"/>
                      <w:color w:val="auto"/>
                    </w:rPr>
                    <w:t>2、文档有明显逻辑错误；</w:t>
                  </w:r>
                </w:p>
                <w:p w14:paraId="044A32D0">
                  <w:pPr>
                    <w:pStyle w:val="162"/>
                    <w:spacing w:line="380" w:lineRule="exact"/>
                    <w:jc w:val="left"/>
                    <w:rPr>
                      <w:rFonts w:hint="eastAsia" w:cs="宋体"/>
                      <w:color w:val="auto"/>
                    </w:rPr>
                  </w:pPr>
                  <w:r>
                    <w:rPr>
                      <w:rFonts w:hint="eastAsia" w:cs="宋体"/>
                      <w:color w:val="auto"/>
                    </w:rPr>
                    <w:t>3、图文明显不符；</w:t>
                  </w:r>
                </w:p>
                <w:p w14:paraId="24EB04CD">
                  <w:pPr>
                    <w:pStyle w:val="162"/>
                    <w:spacing w:line="380" w:lineRule="exact"/>
                    <w:jc w:val="left"/>
                    <w:rPr>
                      <w:rFonts w:hint="eastAsia" w:cs="宋体"/>
                      <w:color w:val="auto"/>
                    </w:rPr>
                  </w:pPr>
                  <w:r>
                    <w:rPr>
                      <w:rFonts w:hint="eastAsia" w:cs="宋体"/>
                      <w:color w:val="auto"/>
                    </w:rPr>
                    <w:t>4、文档中未按要求提供佐证数据或截图；</w:t>
                  </w:r>
                </w:p>
                <w:p w14:paraId="6F012B51">
                  <w:pPr>
                    <w:pStyle w:val="162"/>
                    <w:spacing w:line="380" w:lineRule="exact"/>
                    <w:jc w:val="left"/>
                    <w:rPr>
                      <w:rFonts w:hint="eastAsia" w:cs="宋体"/>
                      <w:color w:val="auto"/>
                    </w:rPr>
                  </w:pPr>
                  <w:r>
                    <w:rPr>
                      <w:rFonts w:hint="eastAsia" w:cs="宋体"/>
                      <w:color w:val="auto"/>
                    </w:rPr>
                    <w:t>5、采购人对文档质量的其他相关要求；</w:t>
                  </w:r>
                </w:p>
                <w:p w14:paraId="382B9EDD">
                  <w:pPr>
                    <w:pStyle w:val="162"/>
                    <w:spacing w:line="380" w:lineRule="exact"/>
                    <w:jc w:val="left"/>
                    <w:rPr>
                      <w:rFonts w:hint="eastAsia" w:cs="宋体"/>
                      <w:color w:val="auto"/>
                    </w:rPr>
                  </w:pPr>
                  <w:r>
                    <w:rPr>
                      <w:rFonts w:hint="eastAsia" w:cs="宋体"/>
                      <w:color w:val="auto"/>
                    </w:rPr>
                    <w:t>6、需要业务部门确认的交付物未按要求确认。</w:t>
                  </w:r>
                </w:p>
              </w:tc>
              <w:tc>
                <w:tcPr>
                  <w:tcW w:w="849" w:type="dxa"/>
                  <w:vAlign w:val="center"/>
                </w:tcPr>
                <w:p w14:paraId="0AA4DAEE">
                  <w:pPr>
                    <w:pStyle w:val="162"/>
                    <w:spacing w:line="380" w:lineRule="exact"/>
                    <w:rPr>
                      <w:rFonts w:hint="eastAsia" w:cs="宋体"/>
                      <w:color w:val="auto"/>
                    </w:rPr>
                  </w:pPr>
                  <w:r>
                    <w:rPr>
                      <w:rFonts w:hint="eastAsia" w:cs="宋体"/>
                      <w:color w:val="auto"/>
                    </w:rPr>
                    <w:t>以监理单位审核确认</w:t>
                  </w:r>
                </w:p>
              </w:tc>
              <w:tc>
                <w:tcPr>
                  <w:tcW w:w="355" w:type="dxa"/>
                  <w:vAlign w:val="center"/>
                </w:tcPr>
                <w:p w14:paraId="291AD4E2">
                  <w:pPr>
                    <w:pStyle w:val="162"/>
                    <w:spacing w:line="380" w:lineRule="exact"/>
                    <w:rPr>
                      <w:rFonts w:hint="eastAsia" w:cs="宋体"/>
                      <w:color w:val="auto"/>
                    </w:rPr>
                  </w:pPr>
                </w:p>
              </w:tc>
              <w:tc>
                <w:tcPr>
                  <w:tcW w:w="597" w:type="dxa"/>
                  <w:vAlign w:val="center"/>
                </w:tcPr>
                <w:p w14:paraId="1BA38FB9">
                  <w:pPr>
                    <w:pStyle w:val="162"/>
                    <w:spacing w:line="380" w:lineRule="exact"/>
                    <w:rPr>
                      <w:rFonts w:hint="eastAsia" w:cs="宋体"/>
                      <w:color w:val="auto"/>
                    </w:rPr>
                  </w:pPr>
                </w:p>
              </w:tc>
              <w:tc>
                <w:tcPr>
                  <w:tcW w:w="1664" w:type="dxa"/>
                  <w:vAlign w:val="center"/>
                </w:tcPr>
                <w:p w14:paraId="4A8D60B4">
                  <w:pPr>
                    <w:pStyle w:val="162"/>
                    <w:spacing w:line="380" w:lineRule="exact"/>
                    <w:jc w:val="left"/>
                    <w:rPr>
                      <w:rFonts w:hint="eastAsia" w:cs="宋体"/>
                      <w:color w:val="auto"/>
                    </w:rPr>
                  </w:pPr>
                </w:p>
              </w:tc>
            </w:tr>
            <w:tr w14:paraId="3D07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1E9FEA15">
                  <w:pPr>
                    <w:pStyle w:val="162"/>
                    <w:spacing w:line="380" w:lineRule="exact"/>
                    <w:rPr>
                      <w:rFonts w:hint="eastAsia" w:cs="宋体"/>
                      <w:color w:val="auto"/>
                    </w:rPr>
                  </w:pPr>
                </w:p>
              </w:tc>
              <w:tc>
                <w:tcPr>
                  <w:tcW w:w="597" w:type="dxa"/>
                  <w:vMerge w:val="continue"/>
                  <w:vAlign w:val="center"/>
                </w:tcPr>
                <w:p w14:paraId="7CA3B070">
                  <w:pPr>
                    <w:pStyle w:val="162"/>
                    <w:spacing w:line="380" w:lineRule="exact"/>
                    <w:rPr>
                      <w:rFonts w:hint="eastAsia" w:cs="宋体"/>
                      <w:color w:val="auto"/>
                    </w:rPr>
                  </w:pPr>
                </w:p>
              </w:tc>
              <w:tc>
                <w:tcPr>
                  <w:tcW w:w="649" w:type="dxa"/>
                  <w:vMerge w:val="continue"/>
                  <w:vAlign w:val="center"/>
                </w:tcPr>
                <w:p w14:paraId="0C01DED3">
                  <w:pPr>
                    <w:pStyle w:val="162"/>
                    <w:spacing w:line="380" w:lineRule="exact"/>
                    <w:rPr>
                      <w:rFonts w:hint="eastAsia" w:cs="宋体"/>
                      <w:color w:val="auto"/>
                    </w:rPr>
                  </w:pPr>
                </w:p>
              </w:tc>
              <w:tc>
                <w:tcPr>
                  <w:tcW w:w="587" w:type="dxa"/>
                  <w:vAlign w:val="center"/>
                </w:tcPr>
                <w:p w14:paraId="4A56166F">
                  <w:pPr>
                    <w:pStyle w:val="162"/>
                    <w:spacing w:line="380" w:lineRule="exact"/>
                    <w:rPr>
                      <w:rFonts w:cs="宋体"/>
                      <w:color w:val="auto"/>
                    </w:rPr>
                  </w:pPr>
                  <w:r>
                    <w:rPr>
                      <w:rFonts w:hint="eastAsia" w:cs="宋体"/>
                      <w:color w:val="auto"/>
                    </w:rPr>
                    <w:t>20</w:t>
                  </w:r>
                </w:p>
              </w:tc>
              <w:tc>
                <w:tcPr>
                  <w:tcW w:w="1823" w:type="dxa"/>
                  <w:vAlign w:val="center"/>
                </w:tcPr>
                <w:p w14:paraId="5FF27203">
                  <w:pPr>
                    <w:pStyle w:val="162"/>
                    <w:spacing w:line="380" w:lineRule="exact"/>
                    <w:jc w:val="left"/>
                    <w:rPr>
                      <w:rFonts w:hint="eastAsia" w:cs="宋体"/>
                      <w:color w:val="auto"/>
                    </w:rPr>
                  </w:pPr>
                  <w:r>
                    <w:rPr>
                      <w:rFonts w:hint="eastAsia" w:cs="宋体"/>
                      <w:color w:val="auto"/>
                    </w:rPr>
                    <w:t>1、按以下情况进行扣分，扣分不设下限。</w:t>
                  </w:r>
                </w:p>
                <w:p w14:paraId="6E1F63D7">
                  <w:pPr>
                    <w:pStyle w:val="162"/>
                    <w:spacing w:line="380" w:lineRule="exact"/>
                    <w:jc w:val="left"/>
                    <w:rPr>
                      <w:rFonts w:hint="eastAsia" w:cs="宋体"/>
                      <w:color w:val="auto"/>
                    </w:rPr>
                  </w:pPr>
                  <w:r>
                    <w:rPr>
                      <w:rFonts w:hint="eastAsia" w:cs="宋体"/>
                      <w:color w:val="auto"/>
                    </w:rPr>
                    <w:t>2、拒不服从安全管理要求响应安全加固，每发生一次，扣5分。          3、有证据证明是因中标人原因（包括机房人员进出安全检查）导致的安全运行事件，每发生一次，扣5-20分（根据事件严重程度判定）。</w:t>
                  </w:r>
                </w:p>
              </w:tc>
              <w:tc>
                <w:tcPr>
                  <w:tcW w:w="849" w:type="dxa"/>
                  <w:vAlign w:val="center"/>
                </w:tcPr>
                <w:p w14:paraId="11517EAF">
                  <w:pPr>
                    <w:pStyle w:val="162"/>
                    <w:spacing w:line="380" w:lineRule="exact"/>
                    <w:rPr>
                      <w:rFonts w:hint="eastAsia" w:cs="宋体"/>
                      <w:color w:val="auto"/>
                    </w:rPr>
                  </w:pPr>
                  <w:r>
                    <w:rPr>
                      <w:rFonts w:hint="eastAsia" w:cs="宋体"/>
                      <w:color w:val="auto"/>
                    </w:rPr>
                    <w:t>以采购人及监理单位在事件后出具的事故报告为准。</w:t>
                  </w:r>
                </w:p>
              </w:tc>
              <w:tc>
                <w:tcPr>
                  <w:tcW w:w="355" w:type="dxa"/>
                  <w:vAlign w:val="center"/>
                </w:tcPr>
                <w:p w14:paraId="1F10DD30">
                  <w:pPr>
                    <w:pStyle w:val="162"/>
                    <w:spacing w:line="380" w:lineRule="exact"/>
                    <w:rPr>
                      <w:rFonts w:hint="eastAsia" w:cs="宋体"/>
                      <w:color w:val="auto"/>
                    </w:rPr>
                  </w:pPr>
                </w:p>
              </w:tc>
              <w:tc>
                <w:tcPr>
                  <w:tcW w:w="597" w:type="dxa"/>
                  <w:vAlign w:val="center"/>
                </w:tcPr>
                <w:p w14:paraId="2342C662">
                  <w:pPr>
                    <w:pStyle w:val="162"/>
                    <w:spacing w:line="380" w:lineRule="exact"/>
                    <w:rPr>
                      <w:rFonts w:hint="eastAsia" w:cs="宋体"/>
                      <w:color w:val="auto"/>
                    </w:rPr>
                  </w:pPr>
                </w:p>
              </w:tc>
              <w:tc>
                <w:tcPr>
                  <w:tcW w:w="1664" w:type="dxa"/>
                  <w:vAlign w:val="center"/>
                </w:tcPr>
                <w:p w14:paraId="3415D0D4">
                  <w:pPr>
                    <w:pStyle w:val="162"/>
                    <w:spacing w:line="380" w:lineRule="exact"/>
                    <w:jc w:val="left"/>
                    <w:rPr>
                      <w:rFonts w:hint="eastAsia" w:cs="宋体"/>
                      <w:color w:val="auto"/>
                    </w:rPr>
                  </w:pPr>
                  <w:r>
                    <w:rPr>
                      <w:rFonts w:hint="eastAsia" w:cs="宋体"/>
                      <w:color w:val="auto"/>
                    </w:rPr>
                    <w:t>安全运行事件类别包括：系统故障事件、有害程序事件、网络攻击事件、信息破坏事件、信息内容安全事件、灾害性事件、失泄密事件、拒不响应安全加固事件和其他安全运行事件；</w:t>
                  </w:r>
                </w:p>
                <w:p w14:paraId="46AAA01F">
                  <w:pPr>
                    <w:pStyle w:val="162"/>
                    <w:spacing w:line="380" w:lineRule="exact"/>
                    <w:jc w:val="left"/>
                    <w:rPr>
                      <w:rFonts w:hint="eastAsia" w:cs="宋体"/>
                      <w:color w:val="auto"/>
                    </w:rPr>
                  </w:pPr>
                  <w:r>
                    <w:rPr>
                      <w:rFonts w:hint="eastAsia" w:cs="宋体"/>
                      <w:color w:val="auto"/>
                    </w:rPr>
                    <w:t>因采购人或第三方导致的延迟或质量问题，或不可抗力（如封网、机房环境等）不参与评价。</w:t>
                  </w:r>
                </w:p>
              </w:tc>
            </w:tr>
            <w:tr w14:paraId="10C3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restart"/>
                  <w:vAlign w:val="center"/>
                </w:tcPr>
                <w:p w14:paraId="0214278D">
                  <w:pPr>
                    <w:pStyle w:val="162"/>
                    <w:spacing w:line="380" w:lineRule="exact"/>
                    <w:rPr>
                      <w:rFonts w:hint="eastAsia" w:cs="宋体"/>
                      <w:color w:val="auto"/>
                    </w:rPr>
                  </w:pPr>
                  <w:r>
                    <w:rPr>
                      <w:rFonts w:hint="eastAsia" w:cs="宋体"/>
                      <w:color w:val="auto"/>
                    </w:rPr>
                    <w:t>维护服务支持度</w:t>
                  </w:r>
                </w:p>
              </w:tc>
              <w:tc>
                <w:tcPr>
                  <w:tcW w:w="597" w:type="dxa"/>
                  <w:vMerge w:val="continue"/>
                  <w:vAlign w:val="center"/>
                </w:tcPr>
                <w:p w14:paraId="6B12A703">
                  <w:pPr>
                    <w:pStyle w:val="162"/>
                    <w:spacing w:line="380" w:lineRule="exact"/>
                    <w:rPr>
                      <w:rFonts w:hint="eastAsia" w:cs="宋体"/>
                      <w:color w:val="auto"/>
                    </w:rPr>
                  </w:pPr>
                </w:p>
              </w:tc>
              <w:tc>
                <w:tcPr>
                  <w:tcW w:w="649" w:type="dxa"/>
                  <w:vAlign w:val="center"/>
                </w:tcPr>
                <w:p w14:paraId="42C4220C">
                  <w:pPr>
                    <w:pStyle w:val="162"/>
                    <w:spacing w:line="380" w:lineRule="exact"/>
                    <w:rPr>
                      <w:rFonts w:hint="eastAsia" w:cs="宋体"/>
                      <w:color w:val="auto"/>
                    </w:rPr>
                  </w:pPr>
                  <w:r>
                    <w:rPr>
                      <w:rFonts w:hint="eastAsia" w:cs="宋体"/>
                      <w:color w:val="auto"/>
                    </w:rPr>
                    <w:t>故障响应</w:t>
                  </w:r>
                </w:p>
              </w:tc>
              <w:tc>
                <w:tcPr>
                  <w:tcW w:w="587" w:type="dxa"/>
                  <w:vAlign w:val="center"/>
                </w:tcPr>
                <w:p w14:paraId="4481CCFA">
                  <w:pPr>
                    <w:pStyle w:val="162"/>
                    <w:spacing w:line="380" w:lineRule="exact"/>
                    <w:rPr>
                      <w:rFonts w:hint="eastAsia" w:cs="宋体"/>
                      <w:color w:val="auto"/>
                    </w:rPr>
                  </w:pPr>
                  <w:r>
                    <w:rPr>
                      <w:rFonts w:hint="eastAsia" w:cs="宋体"/>
                      <w:color w:val="auto"/>
                    </w:rPr>
                    <w:t>40</w:t>
                  </w:r>
                </w:p>
              </w:tc>
              <w:tc>
                <w:tcPr>
                  <w:tcW w:w="1823" w:type="dxa"/>
                  <w:vAlign w:val="center"/>
                </w:tcPr>
                <w:p w14:paraId="0E6FDBD7">
                  <w:pPr>
                    <w:pStyle w:val="162"/>
                    <w:numPr>
                      <w:ilvl w:val="0"/>
                      <w:numId w:val="2"/>
                    </w:numPr>
                    <w:spacing w:line="380" w:lineRule="exact"/>
                    <w:jc w:val="left"/>
                    <w:rPr>
                      <w:rFonts w:hint="eastAsia" w:cs="宋体"/>
                      <w:color w:val="auto"/>
                    </w:rPr>
                  </w:pPr>
                  <w:r>
                    <w:rPr>
                      <w:rFonts w:hint="eastAsia" w:cs="宋体"/>
                      <w:color w:val="auto"/>
                    </w:rPr>
                    <w:t>按以下情况进行扣分，扣完即止。</w:t>
                  </w:r>
                </w:p>
                <w:p w14:paraId="693108FD">
                  <w:pPr>
                    <w:pStyle w:val="162"/>
                    <w:spacing w:line="380" w:lineRule="exact"/>
                    <w:jc w:val="left"/>
                    <w:rPr>
                      <w:rFonts w:hint="eastAsia" w:cs="宋体"/>
                      <w:color w:val="auto"/>
                    </w:rPr>
                  </w:pPr>
                  <w:r>
                    <w:rPr>
                      <w:rFonts w:hint="eastAsia" w:cs="宋体"/>
                      <w:color w:val="auto"/>
                    </w:rPr>
                    <w:t>2、扣分情况包括：</w:t>
                  </w:r>
                </w:p>
                <w:p w14:paraId="490EAEA7">
                  <w:pPr>
                    <w:pStyle w:val="162"/>
                    <w:spacing w:line="380" w:lineRule="exact"/>
                    <w:jc w:val="left"/>
                    <w:rPr>
                      <w:rFonts w:hint="eastAsia" w:cs="宋体"/>
                      <w:color w:val="auto"/>
                    </w:rPr>
                  </w:pPr>
                  <w:r>
                    <w:rPr>
                      <w:rFonts w:hint="eastAsia" w:cs="宋体"/>
                      <w:color w:val="auto"/>
                    </w:rPr>
                    <w:t>发生系统运行故障时，不能根据技术服务要求及承诺及时提供电话应急支持或现场技术支持，每发生一次，扣1分；</w:t>
                  </w:r>
                </w:p>
                <w:p w14:paraId="782FF526">
                  <w:pPr>
                    <w:pStyle w:val="162"/>
                    <w:spacing w:line="380" w:lineRule="exact"/>
                    <w:jc w:val="left"/>
                    <w:rPr>
                      <w:rFonts w:hint="eastAsia" w:cs="宋体"/>
                      <w:color w:val="auto"/>
                    </w:rPr>
                  </w:pPr>
                  <w:r>
                    <w:rPr>
                      <w:rFonts w:hint="eastAsia" w:cs="宋体"/>
                      <w:color w:val="auto"/>
                    </w:rPr>
                    <w:t>发生系统运行故障时，不能在规定时间内恢复正常运行，每发生一次，扣2分；</w:t>
                  </w:r>
                </w:p>
                <w:p w14:paraId="6E1BCD85">
                  <w:pPr>
                    <w:pStyle w:val="162"/>
                    <w:spacing w:line="380" w:lineRule="exact"/>
                    <w:jc w:val="left"/>
                    <w:rPr>
                      <w:rFonts w:hint="eastAsia" w:cs="宋体"/>
                      <w:color w:val="auto"/>
                    </w:rPr>
                  </w:pPr>
                  <w:r>
                    <w:rPr>
                      <w:rFonts w:hint="eastAsia" w:cs="宋体"/>
                      <w:color w:val="auto"/>
                    </w:rPr>
                    <w:t>须在故障排除后3天内提交《故障处理及分析报告》，每逾期1天扣0.5分。</w:t>
                  </w:r>
                </w:p>
              </w:tc>
              <w:tc>
                <w:tcPr>
                  <w:tcW w:w="849" w:type="dxa"/>
                  <w:vAlign w:val="center"/>
                </w:tcPr>
                <w:p w14:paraId="25247670">
                  <w:pPr>
                    <w:pStyle w:val="162"/>
                    <w:spacing w:line="380" w:lineRule="exact"/>
                    <w:rPr>
                      <w:rFonts w:hint="eastAsia" w:cs="宋体"/>
                      <w:color w:val="auto"/>
                    </w:rPr>
                  </w:pPr>
                  <w:r>
                    <w:rPr>
                      <w:rFonts w:hint="eastAsia" w:cs="宋体"/>
                      <w:color w:val="auto"/>
                    </w:rPr>
                    <w:t>以采购人及监理单位在事件后出具的故障报告为准。</w:t>
                  </w:r>
                </w:p>
              </w:tc>
              <w:tc>
                <w:tcPr>
                  <w:tcW w:w="355" w:type="dxa"/>
                  <w:vAlign w:val="center"/>
                </w:tcPr>
                <w:p w14:paraId="344DCBC6">
                  <w:pPr>
                    <w:pStyle w:val="162"/>
                    <w:spacing w:line="380" w:lineRule="exact"/>
                    <w:rPr>
                      <w:rFonts w:hint="eastAsia" w:cs="宋体"/>
                      <w:color w:val="auto"/>
                    </w:rPr>
                  </w:pPr>
                </w:p>
              </w:tc>
              <w:tc>
                <w:tcPr>
                  <w:tcW w:w="597" w:type="dxa"/>
                  <w:vAlign w:val="center"/>
                </w:tcPr>
                <w:p w14:paraId="0E11EA5D">
                  <w:pPr>
                    <w:pStyle w:val="162"/>
                    <w:spacing w:line="380" w:lineRule="exact"/>
                    <w:rPr>
                      <w:rFonts w:hint="eastAsia" w:cs="宋体"/>
                      <w:color w:val="auto"/>
                    </w:rPr>
                  </w:pPr>
                </w:p>
              </w:tc>
              <w:tc>
                <w:tcPr>
                  <w:tcW w:w="1664" w:type="dxa"/>
                  <w:vAlign w:val="center"/>
                </w:tcPr>
                <w:p w14:paraId="5348E55B">
                  <w:pPr>
                    <w:pStyle w:val="162"/>
                    <w:spacing w:line="380" w:lineRule="exact"/>
                    <w:jc w:val="left"/>
                    <w:rPr>
                      <w:rFonts w:hint="eastAsia" w:cs="宋体"/>
                      <w:color w:val="auto"/>
                    </w:rPr>
                  </w:pPr>
                  <w:r>
                    <w:rPr>
                      <w:rFonts w:hint="eastAsia" w:cs="宋体"/>
                      <w:color w:val="auto"/>
                    </w:rPr>
                    <w:t>因采购人或第三方导致的延迟或质量问题，或不可抗力（如封网、机房环境等）不参与评价；</w:t>
                  </w:r>
                </w:p>
              </w:tc>
            </w:tr>
            <w:tr w14:paraId="2B50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5703D51F">
                  <w:pPr>
                    <w:pStyle w:val="162"/>
                    <w:spacing w:line="380" w:lineRule="exact"/>
                    <w:rPr>
                      <w:rFonts w:hint="eastAsia" w:cs="宋体"/>
                      <w:color w:val="auto"/>
                    </w:rPr>
                  </w:pPr>
                </w:p>
              </w:tc>
              <w:tc>
                <w:tcPr>
                  <w:tcW w:w="597" w:type="dxa"/>
                  <w:vMerge w:val="continue"/>
                  <w:vAlign w:val="center"/>
                </w:tcPr>
                <w:p w14:paraId="38366E61">
                  <w:pPr>
                    <w:pStyle w:val="162"/>
                    <w:spacing w:line="380" w:lineRule="exact"/>
                    <w:rPr>
                      <w:rFonts w:hint="eastAsia" w:cs="宋体"/>
                      <w:color w:val="auto"/>
                    </w:rPr>
                  </w:pPr>
                </w:p>
              </w:tc>
              <w:tc>
                <w:tcPr>
                  <w:tcW w:w="649" w:type="dxa"/>
                  <w:vAlign w:val="center"/>
                </w:tcPr>
                <w:p w14:paraId="1F62E5CD">
                  <w:pPr>
                    <w:pStyle w:val="162"/>
                    <w:spacing w:line="380" w:lineRule="exact"/>
                    <w:rPr>
                      <w:rFonts w:hint="eastAsia" w:cs="宋体"/>
                      <w:color w:val="auto"/>
                    </w:rPr>
                  </w:pPr>
                  <w:r>
                    <w:rPr>
                      <w:rFonts w:hint="eastAsia" w:cs="宋体"/>
                      <w:color w:val="auto"/>
                    </w:rPr>
                    <w:t>重大节假日及重大事件保障</w:t>
                  </w:r>
                </w:p>
              </w:tc>
              <w:tc>
                <w:tcPr>
                  <w:tcW w:w="587" w:type="dxa"/>
                  <w:vAlign w:val="center"/>
                </w:tcPr>
                <w:p w14:paraId="7D9C1378">
                  <w:pPr>
                    <w:pStyle w:val="162"/>
                    <w:spacing w:line="380" w:lineRule="exact"/>
                    <w:rPr>
                      <w:rFonts w:hint="eastAsia" w:cs="宋体"/>
                      <w:color w:val="auto"/>
                    </w:rPr>
                  </w:pPr>
                  <w:r>
                    <w:rPr>
                      <w:rFonts w:hint="eastAsia" w:cs="宋体"/>
                      <w:color w:val="auto"/>
                    </w:rPr>
                    <w:t>10</w:t>
                  </w:r>
                </w:p>
              </w:tc>
              <w:tc>
                <w:tcPr>
                  <w:tcW w:w="1823" w:type="dxa"/>
                  <w:vAlign w:val="center"/>
                </w:tcPr>
                <w:p w14:paraId="1A00AFE0">
                  <w:pPr>
                    <w:pStyle w:val="162"/>
                    <w:spacing w:line="380" w:lineRule="exact"/>
                    <w:jc w:val="left"/>
                    <w:rPr>
                      <w:rFonts w:hint="eastAsia" w:cs="宋体"/>
                      <w:color w:val="auto"/>
                    </w:rPr>
                  </w:pPr>
                  <w:r>
                    <w:rPr>
                      <w:rFonts w:hint="eastAsia" w:cs="宋体"/>
                      <w:color w:val="auto"/>
                    </w:rPr>
                    <w:t>1、按以下情况进行扣分，扣完即止。</w:t>
                  </w:r>
                </w:p>
                <w:p w14:paraId="35ABF9BD">
                  <w:pPr>
                    <w:pStyle w:val="162"/>
                    <w:spacing w:line="380" w:lineRule="exact"/>
                    <w:jc w:val="left"/>
                    <w:rPr>
                      <w:rFonts w:hint="eastAsia" w:cs="宋体"/>
                      <w:color w:val="auto"/>
                    </w:rPr>
                  </w:pPr>
                  <w:r>
                    <w:rPr>
                      <w:rFonts w:hint="eastAsia" w:cs="宋体"/>
                      <w:color w:val="auto"/>
                    </w:rPr>
                    <w:t>2、扣分情况包括：</w:t>
                  </w:r>
                </w:p>
                <w:p w14:paraId="4C585DD2">
                  <w:pPr>
                    <w:pStyle w:val="162"/>
                    <w:spacing w:line="380" w:lineRule="exact"/>
                    <w:jc w:val="left"/>
                    <w:rPr>
                      <w:rFonts w:hint="eastAsia" w:cs="宋体"/>
                      <w:color w:val="auto"/>
                    </w:rPr>
                  </w:pPr>
                  <w:r>
                    <w:rPr>
                      <w:rFonts w:hint="eastAsia" w:cs="宋体"/>
                      <w:color w:val="auto"/>
                    </w:rPr>
                    <w:t>在采购人要求的节假日或重大事件不能根据技术服务要求及承诺及时提供现场技术支持，每发生一次，扣2分；</w:t>
                  </w:r>
                </w:p>
              </w:tc>
              <w:tc>
                <w:tcPr>
                  <w:tcW w:w="849" w:type="dxa"/>
                  <w:vAlign w:val="center"/>
                </w:tcPr>
                <w:p w14:paraId="766FC69A">
                  <w:pPr>
                    <w:pStyle w:val="162"/>
                    <w:spacing w:line="380" w:lineRule="exact"/>
                    <w:rPr>
                      <w:rFonts w:hint="eastAsia" w:cs="宋体"/>
                      <w:color w:val="auto"/>
                    </w:rPr>
                  </w:pPr>
                  <w:r>
                    <w:rPr>
                      <w:rFonts w:hint="eastAsia" w:cs="宋体"/>
                      <w:color w:val="auto"/>
                    </w:rPr>
                    <w:t>以采购人及监理单位在节假日及重大事件的报告为准。</w:t>
                  </w:r>
                </w:p>
              </w:tc>
              <w:tc>
                <w:tcPr>
                  <w:tcW w:w="355" w:type="dxa"/>
                  <w:vAlign w:val="center"/>
                </w:tcPr>
                <w:p w14:paraId="58E406CD">
                  <w:pPr>
                    <w:pStyle w:val="162"/>
                    <w:spacing w:line="380" w:lineRule="exact"/>
                    <w:rPr>
                      <w:rFonts w:hint="eastAsia" w:cs="宋体"/>
                      <w:color w:val="auto"/>
                    </w:rPr>
                  </w:pPr>
                </w:p>
              </w:tc>
              <w:tc>
                <w:tcPr>
                  <w:tcW w:w="597" w:type="dxa"/>
                  <w:vAlign w:val="center"/>
                </w:tcPr>
                <w:p w14:paraId="1C5FCF17">
                  <w:pPr>
                    <w:pStyle w:val="162"/>
                    <w:spacing w:line="380" w:lineRule="exact"/>
                    <w:rPr>
                      <w:rFonts w:hint="eastAsia" w:cs="宋体"/>
                      <w:color w:val="auto"/>
                    </w:rPr>
                  </w:pPr>
                </w:p>
              </w:tc>
              <w:tc>
                <w:tcPr>
                  <w:tcW w:w="1664" w:type="dxa"/>
                  <w:vAlign w:val="center"/>
                </w:tcPr>
                <w:p w14:paraId="6D669D8F">
                  <w:pPr>
                    <w:pStyle w:val="162"/>
                    <w:spacing w:line="380" w:lineRule="exact"/>
                    <w:jc w:val="left"/>
                    <w:rPr>
                      <w:rFonts w:hint="eastAsia" w:cs="宋体"/>
                      <w:color w:val="auto"/>
                    </w:rPr>
                  </w:pPr>
                </w:p>
              </w:tc>
            </w:tr>
            <w:tr w14:paraId="3408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749ED859">
                  <w:pPr>
                    <w:pStyle w:val="162"/>
                    <w:spacing w:line="380" w:lineRule="exact"/>
                    <w:rPr>
                      <w:rFonts w:hint="eastAsia" w:cs="宋体"/>
                      <w:color w:val="auto"/>
                    </w:rPr>
                  </w:pPr>
                </w:p>
              </w:tc>
              <w:tc>
                <w:tcPr>
                  <w:tcW w:w="597" w:type="dxa"/>
                  <w:vMerge w:val="continue"/>
                  <w:vAlign w:val="center"/>
                </w:tcPr>
                <w:p w14:paraId="77F41C80">
                  <w:pPr>
                    <w:pStyle w:val="162"/>
                    <w:spacing w:line="380" w:lineRule="exact"/>
                    <w:rPr>
                      <w:rFonts w:hint="eastAsia" w:cs="宋体"/>
                      <w:color w:val="auto"/>
                    </w:rPr>
                  </w:pPr>
                </w:p>
              </w:tc>
              <w:tc>
                <w:tcPr>
                  <w:tcW w:w="649" w:type="dxa"/>
                  <w:vAlign w:val="center"/>
                </w:tcPr>
                <w:p w14:paraId="2F7EC993">
                  <w:pPr>
                    <w:pStyle w:val="162"/>
                    <w:spacing w:line="380" w:lineRule="exact"/>
                    <w:rPr>
                      <w:rFonts w:hint="eastAsia" w:cs="宋体"/>
                      <w:color w:val="auto"/>
                    </w:rPr>
                  </w:pPr>
                  <w:r>
                    <w:rPr>
                      <w:rFonts w:hint="eastAsia" w:cs="宋体"/>
                      <w:color w:val="auto"/>
                    </w:rPr>
                    <w:t>定期巡检服务</w:t>
                  </w:r>
                </w:p>
              </w:tc>
              <w:tc>
                <w:tcPr>
                  <w:tcW w:w="587" w:type="dxa"/>
                  <w:vAlign w:val="center"/>
                </w:tcPr>
                <w:p w14:paraId="2D345D59">
                  <w:pPr>
                    <w:pStyle w:val="162"/>
                    <w:spacing w:line="380" w:lineRule="exact"/>
                    <w:rPr>
                      <w:rFonts w:hint="eastAsia" w:cs="宋体"/>
                      <w:color w:val="auto"/>
                    </w:rPr>
                  </w:pPr>
                  <w:r>
                    <w:rPr>
                      <w:rFonts w:hint="eastAsia" w:cs="宋体"/>
                      <w:color w:val="auto"/>
                    </w:rPr>
                    <w:t>8</w:t>
                  </w:r>
                </w:p>
              </w:tc>
              <w:tc>
                <w:tcPr>
                  <w:tcW w:w="1823" w:type="dxa"/>
                  <w:vAlign w:val="center"/>
                </w:tcPr>
                <w:p w14:paraId="276878F9">
                  <w:pPr>
                    <w:pStyle w:val="162"/>
                    <w:spacing w:line="380" w:lineRule="exact"/>
                    <w:jc w:val="left"/>
                    <w:rPr>
                      <w:rFonts w:hint="eastAsia" w:cs="宋体"/>
                      <w:color w:val="auto"/>
                    </w:rPr>
                  </w:pPr>
                  <w:r>
                    <w:rPr>
                      <w:rFonts w:hint="eastAsia" w:cs="宋体"/>
                      <w:color w:val="auto"/>
                    </w:rPr>
                    <w:t>1、按以下情况进行扣分，扣完即止。</w:t>
                  </w:r>
                </w:p>
                <w:p w14:paraId="38D3CA86">
                  <w:pPr>
                    <w:pStyle w:val="162"/>
                    <w:spacing w:line="380" w:lineRule="exact"/>
                    <w:jc w:val="left"/>
                    <w:rPr>
                      <w:rFonts w:hint="eastAsia" w:cs="宋体"/>
                      <w:color w:val="auto"/>
                    </w:rPr>
                  </w:pPr>
                  <w:r>
                    <w:rPr>
                      <w:rFonts w:hint="eastAsia" w:cs="宋体"/>
                      <w:color w:val="auto"/>
                    </w:rPr>
                    <w:t>2、扣分情况包括：</w:t>
                  </w:r>
                </w:p>
                <w:p w14:paraId="3F0A7F86">
                  <w:pPr>
                    <w:pStyle w:val="162"/>
                    <w:spacing w:line="380" w:lineRule="exact"/>
                    <w:jc w:val="left"/>
                    <w:rPr>
                      <w:rFonts w:hint="eastAsia" w:cs="宋体"/>
                      <w:color w:val="auto"/>
                    </w:rPr>
                  </w:pPr>
                  <w:r>
                    <w:rPr>
                      <w:rFonts w:hint="eastAsia" w:cs="宋体"/>
                      <w:color w:val="auto"/>
                    </w:rPr>
                    <w:t>有证据证明中标人无故未在约定时间开展巡检服务，每发生一次，扣0.5分；</w:t>
                  </w:r>
                </w:p>
                <w:p w14:paraId="1471378A">
                  <w:pPr>
                    <w:pStyle w:val="162"/>
                    <w:spacing w:line="380" w:lineRule="exact"/>
                    <w:jc w:val="left"/>
                    <w:rPr>
                      <w:rFonts w:hint="eastAsia" w:cs="宋体"/>
                      <w:color w:val="auto"/>
                    </w:rPr>
                  </w:pPr>
                  <w:r>
                    <w:rPr>
                      <w:rFonts w:hint="eastAsia" w:cs="宋体"/>
                      <w:color w:val="auto"/>
                    </w:rPr>
                    <w:t>2）有证据证明中标人巡检工作疏漏，导致系统运行异常，每发生一次，扣0.5分。</w:t>
                  </w:r>
                </w:p>
              </w:tc>
              <w:tc>
                <w:tcPr>
                  <w:tcW w:w="849" w:type="dxa"/>
                  <w:vAlign w:val="center"/>
                </w:tcPr>
                <w:p w14:paraId="047A8C39">
                  <w:pPr>
                    <w:pStyle w:val="162"/>
                    <w:spacing w:line="380" w:lineRule="exact"/>
                    <w:rPr>
                      <w:rFonts w:hint="eastAsia" w:cs="宋体"/>
                      <w:color w:val="auto"/>
                    </w:rPr>
                  </w:pPr>
                  <w:r>
                    <w:rPr>
                      <w:rFonts w:hint="eastAsia" w:cs="宋体"/>
                      <w:color w:val="auto"/>
                    </w:rPr>
                    <w:t>以监理单位提交的报告为准</w:t>
                  </w:r>
                </w:p>
              </w:tc>
              <w:tc>
                <w:tcPr>
                  <w:tcW w:w="355" w:type="dxa"/>
                  <w:vAlign w:val="center"/>
                </w:tcPr>
                <w:p w14:paraId="178185BD">
                  <w:pPr>
                    <w:pStyle w:val="162"/>
                    <w:spacing w:line="380" w:lineRule="exact"/>
                    <w:rPr>
                      <w:rFonts w:hint="eastAsia" w:cs="宋体"/>
                      <w:color w:val="auto"/>
                    </w:rPr>
                  </w:pPr>
                </w:p>
              </w:tc>
              <w:tc>
                <w:tcPr>
                  <w:tcW w:w="597" w:type="dxa"/>
                  <w:vAlign w:val="center"/>
                </w:tcPr>
                <w:p w14:paraId="6669B7F0">
                  <w:pPr>
                    <w:pStyle w:val="162"/>
                    <w:spacing w:line="380" w:lineRule="exact"/>
                    <w:rPr>
                      <w:rFonts w:hint="eastAsia" w:cs="宋体"/>
                      <w:color w:val="auto"/>
                    </w:rPr>
                  </w:pPr>
                </w:p>
              </w:tc>
              <w:tc>
                <w:tcPr>
                  <w:tcW w:w="1664" w:type="dxa"/>
                  <w:vAlign w:val="center"/>
                </w:tcPr>
                <w:p w14:paraId="2F4B0B6E">
                  <w:pPr>
                    <w:pStyle w:val="162"/>
                    <w:spacing w:line="380" w:lineRule="exact"/>
                    <w:jc w:val="left"/>
                    <w:rPr>
                      <w:rFonts w:hint="eastAsia" w:cs="宋体"/>
                      <w:color w:val="auto"/>
                    </w:rPr>
                  </w:pPr>
                </w:p>
              </w:tc>
            </w:tr>
            <w:tr w14:paraId="20E5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356E3684">
                  <w:pPr>
                    <w:pStyle w:val="162"/>
                    <w:spacing w:line="380" w:lineRule="exact"/>
                    <w:rPr>
                      <w:rFonts w:hint="eastAsia" w:cs="宋体"/>
                      <w:color w:val="auto"/>
                    </w:rPr>
                  </w:pPr>
                </w:p>
              </w:tc>
              <w:tc>
                <w:tcPr>
                  <w:tcW w:w="597" w:type="dxa"/>
                  <w:vMerge w:val="continue"/>
                  <w:vAlign w:val="center"/>
                </w:tcPr>
                <w:p w14:paraId="134DD687">
                  <w:pPr>
                    <w:pStyle w:val="162"/>
                    <w:spacing w:line="380" w:lineRule="exact"/>
                    <w:rPr>
                      <w:rFonts w:hint="eastAsia" w:cs="宋体"/>
                      <w:color w:val="auto"/>
                    </w:rPr>
                  </w:pPr>
                </w:p>
              </w:tc>
              <w:tc>
                <w:tcPr>
                  <w:tcW w:w="649" w:type="dxa"/>
                  <w:vAlign w:val="center"/>
                </w:tcPr>
                <w:p w14:paraId="24AB156D">
                  <w:pPr>
                    <w:pStyle w:val="162"/>
                    <w:spacing w:line="380" w:lineRule="exact"/>
                    <w:rPr>
                      <w:rFonts w:hint="eastAsia" w:cs="宋体"/>
                      <w:color w:val="auto"/>
                    </w:rPr>
                  </w:pPr>
                  <w:r>
                    <w:rPr>
                      <w:rFonts w:hint="eastAsia" w:cs="宋体"/>
                      <w:color w:val="auto"/>
                    </w:rPr>
                    <w:t>培训</w:t>
                  </w:r>
                </w:p>
              </w:tc>
              <w:tc>
                <w:tcPr>
                  <w:tcW w:w="587" w:type="dxa"/>
                  <w:vAlign w:val="center"/>
                </w:tcPr>
                <w:p w14:paraId="6EBABD26">
                  <w:pPr>
                    <w:pStyle w:val="162"/>
                    <w:spacing w:line="380" w:lineRule="exact"/>
                    <w:rPr>
                      <w:rFonts w:hint="eastAsia" w:cs="宋体"/>
                      <w:color w:val="auto"/>
                    </w:rPr>
                  </w:pPr>
                  <w:r>
                    <w:rPr>
                      <w:rFonts w:hint="eastAsia" w:cs="宋体"/>
                      <w:color w:val="auto"/>
                    </w:rPr>
                    <w:t>2</w:t>
                  </w:r>
                </w:p>
              </w:tc>
              <w:tc>
                <w:tcPr>
                  <w:tcW w:w="1823" w:type="dxa"/>
                  <w:vAlign w:val="center"/>
                </w:tcPr>
                <w:p w14:paraId="0B5C4E8F">
                  <w:pPr>
                    <w:pStyle w:val="16"/>
                    <w:spacing w:line="380" w:lineRule="exact"/>
                    <w:rPr>
                      <w:rFonts w:hint="eastAsia" w:ascii="宋体" w:hAnsi="宋体" w:cs="宋体"/>
                      <w:sz w:val="21"/>
                      <w:szCs w:val="21"/>
                    </w:rPr>
                  </w:pPr>
                  <w:r>
                    <w:rPr>
                      <w:rFonts w:hint="eastAsia" w:ascii="宋体" w:hAnsi="宋体" w:cs="宋体"/>
                      <w:sz w:val="21"/>
                      <w:szCs w:val="21"/>
                    </w:rPr>
                    <w:t>定期开展培训（每半年1次，培训内容包含但不限于AI算力资源的运行管理维护、备份恢复、性能优化、故障处理等）；每逾期1天扣0.5分。</w:t>
                  </w:r>
                </w:p>
              </w:tc>
              <w:tc>
                <w:tcPr>
                  <w:tcW w:w="849" w:type="dxa"/>
                  <w:vAlign w:val="center"/>
                </w:tcPr>
                <w:p w14:paraId="31380B8C">
                  <w:pPr>
                    <w:pStyle w:val="162"/>
                    <w:spacing w:line="380" w:lineRule="exact"/>
                    <w:rPr>
                      <w:rFonts w:hint="eastAsia" w:cs="宋体"/>
                      <w:color w:val="auto"/>
                    </w:rPr>
                  </w:pPr>
                  <w:r>
                    <w:rPr>
                      <w:rFonts w:hint="eastAsia" w:cs="宋体"/>
                      <w:color w:val="auto"/>
                    </w:rPr>
                    <w:t>以监理单位提交的报告为准</w:t>
                  </w:r>
                </w:p>
              </w:tc>
              <w:tc>
                <w:tcPr>
                  <w:tcW w:w="355" w:type="dxa"/>
                  <w:vAlign w:val="center"/>
                </w:tcPr>
                <w:p w14:paraId="796746FE">
                  <w:pPr>
                    <w:pStyle w:val="162"/>
                    <w:spacing w:line="380" w:lineRule="exact"/>
                    <w:rPr>
                      <w:rFonts w:hint="eastAsia" w:cs="宋体"/>
                      <w:color w:val="auto"/>
                    </w:rPr>
                  </w:pPr>
                </w:p>
              </w:tc>
              <w:tc>
                <w:tcPr>
                  <w:tcW w:w="597" w:type="dxa"/>
                  <w:vAlign w:val="center"/>
                </w:tcPr>
                <w:p w14:paraId="37CE18A8">
                  <w:pPr>
                    <w:pStyle w:val="162"/>
                    <w:spacing w:line="380" w:lineRule="exact"/>
                    <w:rPr>
                      <w:rFonts w:hint="eastAsia" w:cs="宋体"/>
                      <w:color w:val="auto"/>
                    </w:rPr>
                  </w:pPr>
                </w:p>
              </w:tc>
              <w:tc>
                <w:tcPr>
                  <w:tcW w:w="1664" w:type="dxa"/>
                  <w:vAlign w:val="center"/>
                </w:tcPr>
                <w:p w14:paraId="314E4C28">
                  <w:pPr>
                    <w:pStyle w:val="162"/>
                    <w:spacing w:line="380" w:lineRule="exact"/>
                    <w:jc w:val="left"/>
                    <w:rPr>
                      <w:rFonts w:hint="eastAsia" w:cs="宋体"/>
                      <w:color w:val="auto"/>
                    </w:rPr>
                  </w:pPr>
                </w:p>
              </w:tc>
            </w:tr>
          </w:tbl>
          <w:p w14:paraId="5F05F248">
            <w:pPr>
              <w:spacing w:line="380" w:lineRule="exact"/>
              <w:rPr>
                <w:rFonts w:hint="eastAsia" w:ascii="宋体" w:hAnsi="宋体" w:cs="宋体"/>
                <w:szCs w:val="21"/>
              </w:rPr>
            </w:pPr>
            <w:r>
              <w:rPr>
                <w:rFonts w:hint="eastAsia" w:ascii="宋体" w:hAnsi="宋体" w:cs="宋体"/>
                <w:szCs w:val="21"/>
              </w:rPr>
              <w:t>服务费扣减规则如下表：</w:t>
            </w:r>
          </w:p>
          <w:tbl>
            <w:tblPr>
              <w:tblStyle w:val="49"/>
              <w:tblW w:w="775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345"/>
              <w:gridCol w:w="1549"/>
              <w:gridCol w:w="2036"/>
            </w:tblGrid>
            <w:tr w14:paraId="5FAD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25" w:type="dxa"/>
                  <w:shd w:val="clear" w:color="auto" w:fill="D7D7D7"/>
                  <w:vAlign w:val="center"/>
                </w:tcPr>
                <w:p w14:paraId="4A18E4AF">
                  <w:pPr>
                    <w:pStyle w:val="162"/>
                    <w:spacing w:line="380" w:lineRule="exact"/>
                    <w:rPr>
                      <w:rFonts w:hint="eastAsia" w:cs="宋体"/>
                      <w:b/>
                      <w:bCs/>
                      <w:color w:val="auto"/>
                    </w:rPr>
                  </w:pPr>
                  <w:r>
                    <w:rPr>
                      <w:rFonts w:hint="eastAsia" w:cs="宋体"/>
                      <w:b/>
                      <w:bCs/>
                      <w:color w:val="auto"/>
                    </w:rPr>
                    <w:t>序号</w:t>
                  </w:r>
                </w:p>
              </w:tc>
              <w:tc>
                <w:tcPr>
                  <w:tcW w:w="3345" w:type="dxa"/>
                  <w:shd w:val="clear" w:color="auto" w:fill="D7D7D7"/>
                  <w:vAlign w:val="center"/>
                </w:tcPr>
                <w:p w14:paraId="32F0CF4F">
                  <w:pPr>
                    <w:pStyle w:val="162"/>
                    <w:spacing w:line="380" w:lineRule="exact"/>
                    <w:rPr>
                      <w:rFonts w:hint="eastAsia" w:cs="宋体"/>
                      <w:b/>
                      <w:bCs/>
                      <w:color w:val="auto"/>
                    </w:rPr>
                  </w:pPr>
                  <w:r>
                    <w:rPr>
                      <w:rFonts w:hint="eastAsia" w:cs="宋体"/>
                      <w:b/>
                      <w:bCs/>
                      <w:color w:val="auto"/>
                    </w:rPr>
                    <w:t>服务质量评价得分</w:t>
                  </w:r>
                </w:p>
              </w:tc>
              <w:tc>
                <w:tcPr>
                  <w:tcW w:w="1549" w:type="dxa"/>
                  <w:shd w:val="clear" w:color="auto" w:fill="D7D7D7"/>
                  <w:vAlign w:val="center"/>
                </w:tcPr>
                <w:p w14:paraId="3DC7BB4E">
                  <w:pPr>
                    <w:pStyle w:val="162"/>
                    <w:spacing w:line="380" w:lineRule="exact"/>
                    <w:rPr>
                      <w:rFonts w:hint="eastAsia" w:cs="宋体"/>
                      <w:b/>
                      <w:bCs/>
                      <w:color w:val="auto"/>
                    </w:rPr>
                  </w:pPr>
                  <w:r>
                    <w:rPr>
                      <w:rFonts w:hint="eastAsia" w:cs="宋体"/>
                      <w:b/>
                      <w:bCs/>
                      <w:color w:val="auto"/>
                    </w:rPr>
                    <w:t>扣减系数</w:t>
                  </w:r>
                </w:p>
              </w:tc>
              <w:tc>
                <w:tcPr>
                  <w:tcW w:w="2036" w:type="dxa"/>
                  <w:shd w:val="clear" w:color="auto" w:fill="D7D7D7"/>
                  <w:vAlign w:val="center"/>
                </w:tcPr>
                <w:p w14:paraId="23B46A14">
                  <w:pPr>
                    <w:pStyle w:val="162"/>
                    <w:spacing w:line="380" w:lineRule="exact"/>
                    <w:rPr>
                      <w:rFonts w:hint="eastAsia" w:cs="宋体"/>
                      <w:b/>
                      <w:bCs/>
                      <w:color w:val="auto"/>
                    </w:rPr>
                  </w:pPr>
                  <w:r>
                    <w:rPr>
                      <w:rFonts w:hint="eastAsia" w:cs="宋体"/>
                      <w:b/>
                      <w:bCs/>
                      <w:color w:val="auto"/>
                    </w:rPr>
                    <w:t>扣减金额</w:t>
                  </w:r>
                </w:p>
              </w:tc>
            </w:tr>
            <w:tr w14:paraId="42E7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25" w:type="dxa"/>
                  <w:vAlign w:val="center"/>
                </w:tcPr>
                <w:p w14:paraId="27482CC8">
                  <w:pPr>
                    <w:pStyle w:val="162"/>
                    <w:spacing w:line="380" w:lineRule="exact"/>
                    <w:rPr>
                      <w:rFonts w:hint="eastAsia" w:cs="宋体"/>
                      <w:color w:val="auto"/>
                    </w:rPr>
                  </w:pPr>
                  <w:r>
                    <w:rPr>
                      <w:rFonts w:hint="eastAsia" w:cs="宋体"/>
                      <w:color w:val="auto"/>
                    </w:rPr>
                    <w:t>1</w:t>
                  </w:r>
                </w:p>
              </w:tc>
              <w:tc>
                <w:tcPr>
                  <w:tcW w:w="3345" w:type="dxa"/>
                  <w:vAlign w:val="center"/>
                </w:tcPr>
                <w:p w14:paraId="4EEC482A">
                  <w:pPr>
                    <w:pStyle w:val="162"/>
                    <w:spacing w:line="380" w:lineRule="exact"/>
                    <w:rPr>
                      <w:rFonts w:hint="eastAsia" w:cs="宋体"/>
                      <w:color w:val="auto"/>
                    </w:rPr>
                  </w:pPr>
                  <w:r>
                    <w:rPr>
                      <w:rFonts w:hint="eastAsia" w:cs="宋体"/>
                      <w:color w:val="auto"/>
                    </w:rPr>
                    <w:t>95≤服务质量评价得分≤100</w:t>
                  </w:r>
                </w:p>
              </w:tc>
              <w:tc>
                <w:tcPr>
                  <w:tcW w:w="1549" w:type="dxa"/>
                  <w:vAlign w:val="center"/>
                </w:tcPr>
                <w:p w14:paraId="56E27F66">
                  <w:pPr>
                    <w:pStyle w:val="162"/>
                    <w:spacing w:line="380" w:lineRule="exact"/>
                    <w:rPr>
                      <w:rFonts w:hint="eastAsia" w:cs="宋体"/>
                      <w:color w:val="auto"/>
                    </w:rPr>
                  </w:pPr>
                  <w:r>
                    <w:rPr>
                      <w:rFonts w:hint="eastAsia" w:cs="宋体"/>
                      <w:color w:val="auto"/>
                    </w:rPr>
                    <w:t>0%</w:t>
                  </w:r>
                </w:p>
              </w:tc>
              <w:tc>
                <w:tcPr>
                  <w:tcW w:w="2036" w:type="dxa"/>
                  <w:vAlign w:val="center"/>
                </w:tcPr>
                <w:p w14:paraId="733F6759">
                  <w:pPr>
                    <w:pStyle w:val="162"/>
                    <w:spacing w:line="380" w:lineRule="exact"/>
                    <w:rPr>
                      <w:rFonts w:hint="eastAsia" w:cs="宋体"/>
                      <w:color w:val="auto"/>
                    </w:rPr>
                  </w:pPr>
                  <w:r>
                    <w:rPr>
                      <w:rFonts w:hint="eastAsia" w:cs="宋体"/>
                      <w:color w:val="auto"/>
                    </w:rPr>
                    <w:t>0</w:t>
                  </w:r>
                </w:p>
              </w:tc>
            </w:tr>
            <w:tr w14:paraId="622D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25" w:type="dxa"/>
                  <w:vAlign w:val="center"/>
                </w:tcPr>
                <w:p w14:paraId="2BC620F1">
                  <w:pPr>
                    <w:pStyle w:val="162"/>
                    <w:spacing w:line="380" w:lineRule="exact"/>
                    <w:rPr>
                      <w:rFonts w:hint="eastAsia" w:cs="宋体"/>
                      <w:color w:val="auto"/>
                    </w:rPr>
                  </w:pPr>
                  <w:r>
                    <w:rPr>
                      <w:rFonts w:hint="eastAsia" w:cs="宋体"/>
                      <w:color w:val="auto"/>
                    </w:rPr>
                    <w:t>2</w:t>
                  </w:r>
                </w:p>
              </w:tc>
              <w:tc>
                <w:tcPr>
                  <w:tcW w:w="3345" w:type="dxa"/>
                  <w:vAlign w:val="center"/>
                </w:tcPr>
                <w:p w14:paraId="5E10E213">
                  <w:pPr>
                    <w:pStyle w:val="162"/>
                    <w:spacing w:line="380" w:lineRule="exact"/>
                    <w:rPr>
                      <w:rFonts w:hint="eastAsia" w:cs="宋体"/>
                      <w:color w:val="auto"/>
                    </w:rPr>
                  </w:pPr>
                  <w:r>
                    <w:rPr>
                      <w:rFonts w:hint="eastAsia" w:cs="宋体"/>
                      <w:color w:val="auto"/>
                    </w:rPr>
                    <w:t>90≤服务质量评价得分&lt;95</w:t>
                  </w:r>
                </w:p>
              </w:tc>
              <w:tc>
                <w:tcPr>
                  <w:tcW w:w="1549" w:type="dxa"/>
                  <w:vAlign w:val="center"/>
                </w:tcPr>
                <w:p w14:paraId="0487BFE8">
                  <w:pPr>
                    <w:pStyle w:val="162"/>
                    <w:spacing w:line="380" w:lineRule="exact"/>
                    <w:rPr>
                      <w:rFonts w:hint="eastAsia" w:cs="宋体"/>
                      <w:color w:val="auto"/>
                    </w:rPr>
                  </w:pPr>
                  <w:r>
                    <w:rPr>
                      <w:rFonts w:hint="eastAsia" w:cs="宋体"/>
                      <w:color w:val="auto"/>
                    </w:rPr>
                    <w:t>2%</w:t>
                  </w:r>
                </w:p>
              </w:tc>
              <w:tc>
                <w:tcPr>
                  <w:tcW w:w="2036" w:type="dxa"/>
                  <w:vAlign w:val="center"/>
                </w:tcPr>
                <w:p w14:paraId="22DCCC4E">
                  <w:pPr>
                    <w:pStyle w:val="162"/>
                    <w:spacing w:line="380" w:lineRule="exact"/>
                    <w:rPr>
                      <w:rFonts w:hint="eastAsia" w:cs="宋体"/>
                      <w:color w:val="auto"/>
                    </w:rPr>
                  </w:pPr>
                  <w:r>
                    <w:rPr>
                      <w:rFonts w:hint="eastAsia" w:cs="宋体"/>
                      <w:color w:val="auto"/>
                    </w:rPr>
                    <w:t>2%×合同总价</w:t>
                  </w:r>
                </w:p>
              </w:tc>
            </w:tr>
            <w:tr w14:paraId="593F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25" w:type="dxa"/>
                  <w:vAlign w:val="center"/>
                </w:tcPr>
                <w:p w14:paraId="6B4049A4">
                  <w:pPr>
                    <w:pStyle w:val="162"/>
                    <w:spacing w:line="380" w:lineRule="exact"/>
                    <w:rPr>
                      <w:rFonts w:hint="eastAsia" w:cs="宋体"/>
                      <w:color w:val="auto"/>
                    </w:rPr>
                  </w:pPr>
                  <w:r>
                    <w:rPr>
                      <w:rFonts w:hint="eastAsia" w:cs="宋体"/>
                      <w:color w:val="auto"/>
                    </w:rPr>
                    <w:t>3</w:t>
                  </w:r>
                </w:p>
              </w:tc>
              <w:tc>
                <w:tcPr>
                  <w:tcW w:w="3345" w:type="dxa"/>
                  <w:vAlign w:val="center"/>
                </w:tcPr>
                <w:p w14:paraId="246BB0EE">
                  <w:pPr>
                    <w:pStyle w:val="162"/>
                    <w:spacing w:line="380" w:lineRule="exact"/>
                    <w:rPr>
                      <w:rFonts w:hint="eastAsia" w:cs="宋体"/>
                      <w:color w:val="auto"/>
                    </w:rPr>
                  </w:pPr>
                  <w:r>
                    <w:rPr>
                      <w:rFonts w:hint="eastAsia" w:cs="宋体"/>
                      <w:color w:val="auto"/>
                    </w:rPr>
                    <w:t>85≤服务质量评价得分&lt;90</w:t>
                  </w:r>
                </w:p>
              </w:tc>
              <w:tc>
                <w:tcPr>
                  <w:tcW w:w="1549" w:type="dxa"/>
                  <w:vAlign w:val="center"/>
                </w:tcPr>
                <w:p w14:paraId="29E7B0F8">
                  <w:pPr>
                    <w:pStyle w:val="162"/>
                    <w:spacing w:line="380" w:lineRule="exact"/>
                    <w:rPr>
                      <w:rFonts w:hint="eastAsia" w:cs="宋体"/>
                      <w:color w:val="auto"/>
                    </w:rPr>
                  </w:pPr>
                  <w:r>
                    <w:rPr>
                      <w:rFonts w:hint="eastAsia" w:cs="宋体"/>
                      <w:color w:val="auto"/>
                    </w:rPr>
                    <w:t>5%</w:t>
                  </w:r>
                </w:p>
              </w:tc>
              <w:tc>
                <w:tcPr>
                  <w:tcW w:w="2036" w:type="dxa"/>
                  <w:vAlign w:val="center"/>
                </w:tcPr>
                <w:p w14:paraId="27B0ED35">
                  <w:pPr>
                    <w:pStyle w:val="162"/>
                    <w:spacing w:line="380" w:lineRule="exact"/>
                    <w:rPr>
                      <w:rFonts w:hint="eastAsia" w:cs="宋体"/>
                      <w:color w:val="auto"/>
                    </w:rPr>
                  </w:pPr>
                  <w:r>
                    <w:rPr>
                      <w:rFonts w:hint="eastAsia" w:cs="宋体"/>
                      <w:color w:val="auto"/>
                    </w:rPr>
                    <w:t>5%×合同总价</w:t>
                  </w:r>
                </w:p>
              </w:tc>
            </w:tr>
            <w:tr w14:paraId="2365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25" w:type="dxa"/>
                  <w:vAlign w:val="center"/>
                </w:tcPr>
                <w:p w14:paraId="77BFE076">
                  <w:pPr>
                    <w:pStyle w:val="162"/>
                    <w:spacing w:line="380" w:lineRule="exact"/>
                    <w:rPr>
                      <w:rFonts w:hint="eastAsia" w:cs="宋体"/>
                      <w:color w:val="auto"/>
                    </w:rPr>
                  </w:pPr>
                  <w:r>
                    <w:rPr>
                      <w:rFonts w:hint="eastAsia" w:cs="宋体"/>
                      <w:color w:val="auto"/>
                    </w:rPr>
                    <w:t>4</w:t>
                  </w:r>
                </w:p>
              </w:tc>
              <w:tc>
                <w:tcPr>
                  <w:tcW w:w="3345" w:type="dxa"/>
                  <w:vAlign w:val="center"/>
                </w:tcPr>
                <w:p w14:paraId="12B3318A">
                  <w:pPr>
                    <w:pStyle w:val="162"/>
                    <w:spacing w:line="380" w:lineRule="exact"/>
                    <w:rPr>
                      <w:rFonts w:hint="eastAsia" w:cs="宋体"/>
                      <w:color w:val="auto"/>
                    </w:rPr>
                  </w:pPr>
                  <w:r>
                    <w:rPr>
                      <w:rFonts w:hint="eastAsia" w:cs="宋体"/>
                      <w:color w:val="auto"/>
                    </w:rPr>
                    <w:t>80≤服务质量评&lt;85</w:t>
                  </w:r>
                </w:p>
              </w:tc>
              <w:tc>
                <w:tcPr>
                  <w:tcW w:w="1549" w:type="dxa"/>
                  <w:vAlign w:val="center"/>
                </w:tcPr>
                <w:p w14:paraId="4A182B35">
                  <w:pPr>
                    <w:pStyle w:val="162"/>
                    <w:spacing w:line="380" w:lineRule="exact"/>
                    <w:rPr>
                      <w:rFonts w:hint="eastAsia" w:cs="宋体"/>
                      <w:color w:val="auto"/>
                    </w:rPr>
                  </w:pPr>
                  <w:r>
                    <w:rPr>
                      <w:rFonts w:hint="eastAsia" w:cs="宋体"/>
                      <w:color w:val="auto"/>
                    </w:rPr>
                    <w:t>7%</w:t>
                  </w:r>
                </w:p>
              </w:tc>
              <w:tc>
                <w:tcPr>
                  <w:tcW w:w="2036" w:type="dxa"/>
                  <w:vAlign w:val="center"/>
                </w:tcPr>
                <w:p w14:paraId="79AEF697">
                  <w:pPr>
                    <w:pStyle w:val="162"/>
                    <w:spacing w:line="380" w:lineRule="exact"/>
                    <w:rPr>
                      <w:rFonts w:hint="eastAsia" w:cs="宋体"/>
                      <w:color w:val="auto"/>
                    </w:rPr>
                  </w:pPr>
                  <w:r>
                    <w:rPr>
                      <w:rFonts w:hint="eastAsia" w:cs="宋体"/>
                      <w:color w:val="auto"/>
                    </w:rPr>
                    <w:t>7%×合同总价</w:t>
                  </w:r>
                </w:p>
              </w:tc>
            </w:tr>
            <w:tr w14:paraId="36B0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5" w:type="dxa"/>
                  <w:vAlign w:val="center"/>
                </w:tcPr>
                <w:p w14:paraId="217ADC83">
                  <w:pPr>
                    <w:pStyle w:val="162"/>
                    <w:spacing w:line="380" w:lineRule="exact"/>
                    <w:rPr>
                      <w:rFonts w:hint="eastAsia" w:cs="宋体"/>
                      <w:color w:val="auto"/>
                    </w:rPr>
                  </w:pPr>
                  <w:r>
                    <w:rPr>
                      <w:rFonts w:hint="eastAsia" w:cs="宋体"/>
                      <w:color w:val="auto"/>
                    </w:rPr>
                    <w:t>5</w:t>
                  </w:r>
                </w:p>
              </w:tc>
              <w:tc>
                <w:tcPr>
                  <w:tcW w:w="3345" w:type="dxa"/>
                  <w:vAlign w:val="center"/>
                </w:tcPr>
                <w:p w14:paraId="4D17BFE0">
                  <w:pPr>
                    <w:pStyle w:val="162"/>
                    <w:spacing w:line="380" w:lineRule="exact"/>
                    <w:rPr>
                      <w:rFonts w:hint="eastAsia" w:cs="宋体"/>
                      <w:color w:val="auto"/>
                    </w:rPr>
                  </w:pPr>
                  <w:r>
                    <w:rPr>
                      <w:rFonts w:hint="eastAsia" w:cs="宋体"/>
                      <w:color w:val="auto"/>
                    </w:rPr>
                    <w:t>维护服务质量评价得分&lt;80</w:t>
                  </w:r>
                </w:p>
              </w:tc>
              <w:tc>
                <w:tcPr>
                  <w:tcW w:w="1549" w:type="dxa"/>
                  <w:vAlign w:val="center"/>
                </w:tcPr>
                <w:p w14:paraId="0547CAC8">
                  <w:pPr>
                    <w:pStyle w:val="162"/>
                    <w:spacing w:line="380" w:lineRule="exact"/>
                    <w:rPr>
                      <w:rFonts w:hint="eastAsia" w:cs="宋体"/>
                      <w:color w:val="auto"/>
                    </w:rPr>
                  </w:pPr>
                  <w:r>
                    <w:rPr>
                      <w:rFonts w:hint="eastAsia" w:cs="宋体"/>
                      <w:color w:val="auto"/>
                    </w:rPr>
                    <w:t>20%</w:t>
                  </w:r>
                </w:p>
              </w:tc>
              <w:tc>
                <w:tcPr>
                  <w:tcW w:w="2036" w:type="dxa"/>
                  <w:vAlign w:val="center"/>
                </w:tcPr>
                <w:p w14:paraId="78A9E2DF">
                  <w:pPr>
                    <w:pStyle w:val="162"/>
                    <w:spacing w:line="380" w:lineRule="exact"/>
                    <w:rPr>
                      <w:rFonts w:hint="eastAsia" w:cs="宋体"/>
                      <w:color w:val="auto"/>
                    </w:rPr>
                  </w:pPr>
                  <w:r>
                    <w:rPr>
                      <w:rFonts w:hint="eastAsia" w:cs="宋体"/>
                      <w:color w:val="auto"/>
                    </w:rPr>
                    <w:t>20%×合同总价</w:t>
                  </w:r>
                </w:p>
              </w:tc>
            </w:tr>
          </w:tbl>
          <w:p w14:paraId="17D3C971">
            <w:pPr>
              <w:pStyle w:val="8"/>
              <w:spacing w:line="380" w:lineRule="exact"/>
              <w:ind w:firstLine="0"/>
              <w:rPr>
                <w:rFonts w:hint="eastAsia" w:ascii="宋体" w:hAnsi="宋体" w:cs="宋体"/>
                <w:szCs w:val="21"/>
              </w:rPr>
            </w:pPr>
          </w:p>
        </w:tc>
      </w:tr>
      <w:tr w14:paraId="3E5D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2" w:type="dxa"/>
            <w:gridSpan w:val="4"/>
            <w:tcBorders>
              <w:top w:val="single" w:color="auto" w:sz="4" w:space="0"/>
              <w:left w:val="single" w:color="auto" w:sz="4" w:space="0"/>
              <w:bottom w:val="single" w:color="auto" w:sz="4" w:space="0"/>
              <w:right w:val="single" w:color="auto" w:sz="4" w:space="0"/>
            </w:tcBorders>
            <w:vAlign w:val="center"/>
          </w:tcPr>
          <w:p w14:paraId="2AD833CF">
            <w:pPr>
              <w:spacing w:line="380" w:lineRule="exact"/>
              <w:rPr>
                <w:rFonts w:hint="eastAsia" w:ascii="宋体" w:hAnsi="宋体" w:cs="宋体"/>
                <w:szCs w:val="21"/>
              </w:rPr>
            </w:pPr>
            <w:r>
              <w:rPr>
                <w:rFonts w:hint="eastAsia" w:ascii="宋体" w:hAnsi="宋体" w:cs="宋体"/>
                <w:b/>
                <w:szCs w:val="21"/>
              </w:rPr>
              <w:t>商务要求表</w:t>
            </w:r>
          </w:p>
        </w:tc>
      </w:tr>
      <w:tr w14:paraId="7B05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6D79041C">
            <w:pPr>
              <w:tabs>
                <w:tab w:val="left" w:pos="180"/>
                <w:tab w:val="left" w:pos="1620"/>
              </w:tabs>
              <w:spacing w:line="380" w:lineRule="exact"/>
              <w:jc w:val="center"/>
              <w:rPr>
                <w:rFonts w:hint="eastAsia" w:ascii="宋体" w:hAnsi="宋体" w:cs="宋体"/>
                <w:szCs w:val="21"/>
              </w:rPr>
            </w:pPr>
            <w:r>
              <w:rPr>
                <w:rFonts w:hint="eastAsia" w:ascii="宋体" w:hAnsi="宋体" w:cs="宋体"/>
                <w:szCs w:val="21"/>
              </w:rPr>
              <w:t>交付使用时间</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2B61E693">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合同签订之日起15个日历日内，提供合格的算力服务给采购人，并通过采购人组织验收确认。</w:t>
            </w:r>
          </w:p>
        </w:tc>
      </w:tr>
      <w:tr w14:paraId="3DEA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75E2B397">
            <w:pPr>
              <w:tabs>
                <w:tab w:val="left" w:pos="180"/>
                <w:tab w:val="left" w:pos="1620"/>
              </w:tabs>
              <w:spacing w:line="380" w:lineRule="exact"/>
              <w:jc w:val="center"/>
              <w:rPr>
                <w:rFonts w:hint="eastAsia" w:ascii="宋体" w:hAnsi="宋体" w:cs="宋体"/>
                <w:szCs w:val="21"/>
              </w:rPr>
            </w:pPr>
            <w:r>
              <w:rPr>
                <w:rFonts w:hint="eastAsia" w:ascii="宋体" w:hAnsi="宋体" w:cs="宋体"/>
                <w:szCs w:val="21"/>
              </w:rPr>
              <w:t>服务期限及地点</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5EA32530">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1.</w:t>
            </w:r>
            <w:r>
              <w:rPr>
                <w:rFonts w:hint="eastAsia" w:ascii="宋体" w:hAnsi="宋体" w:cs="宋体"/>
                <w:kern w:val="0"/>
                <w:szCs w:val="21"/>
              </w:rPr>
              <w:t>服务期限：</w:t>
            </w:r>
            <w:r>
              <w:rPr>
                <w:rFonts w:hint="eastAsia" w:ascii="宋体" w:hAnsi="宋体" w:cs="宋体"/>
                <w:szCs w:val="21"/>
              </w:rPr>
              <w:t>提供合格的算力服务给采购人，并通过采购人组织验收确认后</w:t>
            </w:r>
            <w:r>
              <w:rPr>
                <w:rFonts w:hint="eastAsia" w:ascii="宋体" w:hAnsi="宋体" w:cs="宋体"/>
                <w:kern w:val="0"/>
                <w:szCs w:val="21"/>
              </w:rPr>
              <w:t>起算，</w:t>
            </w:r>
            <w:r>
              <w:rPr>
                <w:rFonts w:hint="eastAsia" w:ascii="宋体" w:hAnsi="宋体" w:cs="宋体"/>
                <w:szCs w:val="21"/>
              </w:rPr>
              <w:t>租赁期为36个月。</w:t>
            </w:r>
          </w:p>
          <w:p w14:paraId="6801D97B">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2.服务地点：广西南宁市（采购人指定地点）。</w:t>
            </w:r>
          </w:p>
        </w:tc>
      </w:tr>
      <w:tr w14:paraId="190F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64A2F33D">
            <w:pPr>
              <w:widowControl/>
              <w:spacing w:line="380" w:lineRule="exact"/>
              <w:textAlignment w:val="center"/>
              <w:rPr>
                <w:rFonts w:hint="eastAsia" w:ascii="宋体" w:hAnsi="宋体" w:cs="宋体"/>
                <w:szCs w:val="21"/>
              </w:rPr>
            </w:pPr>
            <w:r>
              <w:rPr>
                <w:rFonts w:hint="eastAsia" w:ascii="宋体" w:hAnsi="宋体" w:cs="宋体"/>
                <w:kern w:val="0"/>
                <w:szCs w:val="21"/>
              </w:rPr>
              <w:t>合同签订时间</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1086559E">
            <w:pPr>
              <w:widowControl/>
              <w:spacing w:line="380" w:lineRule="exact"/>
              <w:textAlignment w:val="center"/>
              <w:rPr>
                <w:rFonts w:hint="eastAsia" w:ascii="宋体" w:hAnsi="宋体" w:cs="宋体"/>
                <w:szCs w:val="21"/>
              </w:rPr>
            </w:pPr>
            <w:r>
              <w:rPr>
                <w:rFonts w:hint="eastAsia" w:ascii="宋体" w:hAnsi="宋体" w:cs="宋体"/>
                <w:kern w:val="0"/>
                <w:szCs w:val="21"/>
              </w:rPr>
              <w:t>中标通知书发出之日起25天内。</w:t>
            </w:r>
          </w:p>
        </w:tc>
      </w:tr>
      <w:tr w14:paraId="5F18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40EC3904">
            <w:pPr>
              <w:widowControl/>
              <w:spacing w:line="380" w:lineRule="exact"/>
              <w:jc w:val="center"/>
              <w:textAlignment w:val="center"/>
              <w:rPr>
                <w:rFonts w:hint="eastAsia" w:ascii="宋体" w:hAnsi="宋体" w:cs="宋体"/>
                <w:szCs w:val="21"/>
              </w:rPr>
            </w:pPr>
            <w:r>
              <w:rPr>
                <w:rFonts w:hint="eastAsia" w:ascii="宋体" w:hAnsi="宋体" w:cs="宋体"/>
                <w:kern w:val="0"/>
                <w:szCs w:val="21"/>
              </w:rPr>
              <w:t>投标报价</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67303B05">
            <w:pPr>
              <w:widowControl/>
              <w:spacing w:line="380" w:lineRule="exact"/>
              <w:jc w:val="left"/>
              <w:textAlignment w:val="center"/>
              <w:rPr>
                <w:rFonts w:hint="eastAsia" w:ascii="宋体" w:hAnsi="宋体" w:cs="宋体"/>
                <w:kern w:val="0"/>
                <w:szCs w:val="21"/>
              </w:rPr>
            </w:pPr>
            <w:r>
              <w:rPr>
                <w:rFonts w:hint="eastAsia" w:ascii="宋体" w:hAnsi="宋体" w:cs="宋体"/>
                <w:kern w:val="0"/>
                <w:szCs w:val="21"/>
              </w:rPr>
              <w:t>投标报价是完成本项目的全部服务内容及其相关工作所需的全部费用：应包含（但不限于）所有服务有关的费用、验收、技术资料归档、培训、项目人员的交通费、住宿费、伙食补助费等各种费用和售后服务、税金及其它费用的总和。</w:t>
            </w:r>
          </w:p>
          <w:p w14:paraId="7CE4A9C4">
            <w:pPr>
              <w:widowControl/>
              <w:spacing w:line="380" w:lineRule="exact"/>
              <w:jc w:val="left"/>
              <w:textAlignment w:val="center"/>
              <w:rPr>
                <w:rFonts w:hint="eastAsia" w:ascii="宋体" w:hAnsi="宋体" w:cs="宋体"/>
                <w:kern w:val="0"/>
                <w:szCs w:val="21"/>
              </w:rPr>
            </w:pPr>
            <w:r>
              <w:rPr>
                <w:rFonts w:hint="eastAsia" w:ascii="宋体" w:hAnsi="宋体" w:cs="宋体"/>
                <w:kern w:val="0"/>
                <w:szCs w:val="21"/>
              </w:rPr>
              <w:t>报价时需提供总报价及每小时租费价格。</w:t>
            </w:r>
          </w:p>
          <w:p w14:paraId="7C673054">
            <w:pPr>
              <w:widowControl/>
              <w:spacing w:line="380" w:lineRule="exact"/>
              <w:jc w:val="left"/>
              <w:textAlignment w:val="center"/>
              <w:rPr>
                <w:rFonts w:hint="eastAsia" w:ascii="宋体" w:hAnsi="宋体" w:cs="宋体"/>
                <w:szCs w:val="21"/>
              </w:rPr>
            </w:pPr>
            <w:r>
              <w:rPr>
                <w:rFonts w:hint="eastAsia" w:ascii="宋体" w:hAnsi="宋体" w:cs="宋体"/>
                <w:kern w:val="0"/>
                <w:szCs w:val="21"/>
              </w:rPr>
              <w:t>每小时租费价格=总报价/（</w:t>
            </w:r>
            <w:r>
              <w:rPr>
                <w:rFonts w:hint="eastAsia" w:ascii="宋体" w:hAnsi="宋体" w:cs="宋体"/>
                <w:kern w:val="0"/>
                <w:szCs w:val="21"/>
                <w:lang w:val="en-US" w:eastAsia="zh-CN"/>
              </w:rPr>
              <w:t>3</w:t>
            </w:r>
            <w:r>
              <w:rPr>
                <w:rFonts w:hint="eastAsia" w:ascii="宋体" w:hAnsi="宋体" w:cs="宋体"/>
                <w:kern w:val="0"/>
                <w:szCs w:val="21"/>
              </w:rPr>
              <w:t>(</w:t>
            </w:r>
            <w:r>
              <w:rPr>
                <w:rFonts w:hint="eastAsia" w:ascii="宋体" w:hAnsi="宋体" w:cs="宋体"/>
                <w:kern w:val="0"/>
                <w:szCs w:val="21"/>
                <w:lang w:val="en-US" w:eastAsia="zh-CN"/>
              </w:rPr>
              <w:t>年</w:t>
            </w:r>
            <w:r>
              <w:rPr>
                <w:rFonts w:hint="eastAsia" w:ascii="宋体" w:hAnsi="宋体" w:cs="宋体"/>
                <w:kern w:val="0"/>
                <w:szCs w:val="21"/>
              </w:rPr>
              <w:t>)*</w:t>
            </w:r>
            <w:r>
              <w:rPr>
                <w:rFonts w:hint="eastAsia" w:ascii="宋体" w:hAnsi="宋体" w:cs="宋体"/>
                <w:kern w:val="0"/>
                <w:szCs w:val="21"/>
                <w:lang w:val="en-US" w:eastAsia="zh-CN"/>
              </w:rPr>
              <w:t>365</w:t>
            </w:r>
            <w:r>
              <w:rPr>
                <w:rFonts w:hint="eastAsia" w:ascii="宋体" w:hAnsi="宋体" w:cs="宋体"/>
                <w:kern w:val="0"/>
                <w:szCs w:val="21"/>
              </w:rPr>
              <w:t>（天）*24（小时）</w:t>
            </w:r>
            <w:r>
              <w:rPr>
                <w:rFonts w:ascii="宋体" w:hAnsi="宋体" w:cs="宋体"/>
                <w:kern w:val="0"/>
                <w:szCs w:val="21"/>
              </w:rPr>
              <w:t>）</w:t>
            </w:r>
          </w:p>
        </w:tc>
      </w:tr>
      <w:tr w14:paraId="6080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5ACD6A2C">
            <w:pPr>
              <w:spacing w:line="380" w:lineRule="exact"/>
              <w:jc w:val="center"/>
              <w:rPr>
                <w:rFonts w:hint="eastAsia" w:ascii="宋体" w:hAnsi="宋体" w:cs="宋体"/>
                <w:szCs w:val="21"/>
              </w:rPr>
            </w:pPr>
            <w:r>
              <w:rPr>
                <w:rFonts w:hint="eastAsia" w:ascii="宋体" w:hAnsi="宋体" w:cs="宋体"/>
                <w:szCs w:val="21"/>
              </w:rPr>
              <w:t>付款条件</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7804056F">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1.提供合格的算力服务给采购人，并通过采购人组织验收确认，采购人支付15%合同款。</w:t>
            </w:r>
          </w:p>
          <w:p w14:paraId="250E94F3">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2.服务期满12个月后，采购人支付30%合同款。</w:t>
            </w:r>
          </w:p>
          <w:p w14:paraId="695D3F1B">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3.服务期满24个月后，采购人支付30%合同款。</w:t>
            </w:r>
          </w:p>
          <w:p w14:paraId="0B75DC46">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4.服务期满后并完成合同约定</w:t>
            </w:r>
            <w:r>
              <w:rPr>
                <w:rFonts w:hint="eastAsia" w:ascii="宋体" w:hAnsi="宋体" w:cs="宋体"/>
                <w:szCs w:val="21"/>
                <w:lang w:val="en-US" w:eastAsia="zh-CN"/>
              </w:rPr>
              <w:t>的</w:t>
            </w:r>
            <w:r>
              <w:rPr>
                <w:rFonts w:hint="eastAsia" w:ascii="宋体" w:hAnsi="宋体" w:cs="宋体"/>
                <w:szCs w:val="21"/>
              </w:rPr>
              <w:t>技术和售后工作以及最终验收工作后，支付剩余25%合同款。</w:t>
            </w:r>
          </w:p>
          <w:p w14:paraId="48F0E7CF">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5.采购人付款前，中标人应向采购人提供与支付金额相符的有效发票，且收款方、出具发票方、合同乙方均必须与中标人名称一致。采购人在收到合法有效的发票后，10个工作日内将资金支付到合同约定的乙方账户</w:t>
            </w:r>
          </w:p>
        </w:tc>
      </w:tr>
      <w:tr w14:paraId="29DE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6A004246">
            <w:pPr>
              <w:spacing w:line="380" w:lineRule="exact"/>
              <w:jc w:val="center"/>
              <w:rPr>
                <w:rFonts w:hint="eastAsia" w:ascii="宋体" w:hAnsi="宋体" w:cs="宋体"/>
                <w:szCs w:val="21"/>
              </w:rPr>
            </w:pPr>
            <w:r>
              <w:rPr>
                <w:rFonts w:hint="eastAsia" w:ascii="宋体" w:hAnsi="宋体" w:cs="宋体"/>
                <w:szCs w:val="21"/>
              </w:rPr>
              <w:t>信息安全及保密要求</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67EE4119">
            <w:pPr>
              <w:spacing w:line="380" w:lineRule="exact"/>
              <w:ind w:firstLine="561"/>
              <w:jc w:val="left"/>
              <w:rPr>
                <w:rFonts w:hint="eastAsia" w:ascii="宋体" w:hAnsi="宋体" w:cs="宋体"/>
                <w:szCs w:val="21"/>
              </w:rPr>
            </w:pPr>
            <w:r>
              <w:rPr>
                <w:rFonts w:hint="eastAsia" w:ascii="宋体" w:hAnsi="宋体" w:cs="宋体"/>
                <w:szCs w:val="21"/>
              </w:rPr>
              <w:t>（一）中标人须与采购人签订《合作单位保密协议书》，运维人员须提交《保密承诺书》（格式自拟），遵守采购人信息安全管理规定，对非权限范围内设备不允许操作。非权限范围内信息不允许访问。未经允许，不可随意在工作环境内拍照、录音、录像等。</w:t>
            </w:r>
          </w:p>
          <w:p w14:paraId="6BCE342F">
            <w:pPr>
              <w:spacing w:line="380" w:lineRule="exact"/>
              <w:ind w:firstLine="561"/>
              <w:jc w:val="left"/>
              <w:rPr>
                <w:rFonts w:hint="eastAsia" w:ascii="宋体" w:hAnsi="宋体" w:cs="宋体"/>
                <w:szCs w:val="21"/>
              </w:rPr>
            </w:pPr>
            <w:r>
              <w:rPr>
                <w:rFonts w:hint="eastAsia" w:ascii="宋体" w:hAnsi="宋体" w:cs="宋体"/>
                <w:szCs w:val="21"/>
              </w:rPr>
              <w:t>（二）负责维护工作的中标人要保证对所有系统资料和数据负有保密的责任和义务，未经采购人许可，不允许向第三方透露。</w:t>
            </w:r>
          </w:p>
          <w:p w14:paraId="0CB3B793">
            <w:pPr>
              <w:spacing w:line="380" w:lineRule="exact"/>
              <w:ind w:firstLine="561"/>
              <w:jc w:val="left"/>
              <w:rPr>
                <w:rFonts w:hint="eastAsia" w:ascii="宋体" w:hAnsi="宋体" w:cs="宋体"/>
                <w:szCs w:val="21"/>
              </w:rPr>
            </w:pPr>
            <w:r>
              <w:rPr>
                <w:rFonts w:hint="eastAsia" w:ascii="宋体" w:hAnsi="宋体" w:cs="宋体"/>
                <w:szCs w:val="21"/>
              </w:rPr>
              <w:t>（三）投标人须随投标文件附上《廉洁承诺书》，做出不向建设单位工作人员行贿的承诺。未在投标文件中附上《廉洁承诺书》的，视为投标无效。</w:t>
            </w:r>
          </w:p>
          <w:p w14:paraId="526918CD">
            <w:pPr>
              <w:spacing w:line="380" w:lineRule="exact"/>
              <w:ind w:firstLine="561"/>
              <w:jc w:val="left"/>
              <w:rPr>
                <w:rFonts w:hint="eastAsia" w:ascii="宋体" w:hAnsi="宋体" w:cs="宋体"/>
                <w:szCs w:val="21"/>
              </w:rPr>
            </w:pPr>
            <w:r>
              <w:rPr>
                <w:rFonts w:hint="eastAsia" w:ascii="宋体" w:hAnsi="宋体" w:cs="宋体"/>
                <w:szCs w:val="21"/>
              </w:rPr>
              <w:t>（四）中标人须严格履行采购人服务规范要求，包括但不限于以下规范：采购人各项内部规定。</w:t>
            </w:r>
          </w:p>
          <w:p w14:paraId="125C043C">
            <w:pPr>
              <w:spacing w:line="380" w:lineRule="exact"/>
              <w:ind w:firstLine="561"/>
              <w:jc w:val="left"/>
              <w:rPr>
                <w:rFonts w:hint="eastAsia" w:ascii="宋体" w:hAnsi="宋体" w:cs="宋体"/>
                <w:szCs w:val="21"/>
              </w:rPr>
            </w:pPr>
            <w:r>
              <w:rPr>
                <w:rFonts w:hint="eastAsia" w:ascii="宋体" w:hAnsi="宋体" w:cs="宋体"/>
                <w:szCs w:val="21"/>
              </w:rPr>
              <w:t>（五）中标人须无条件配合开展施工及维保人员岗前审查、保密教育、保密检查工作。必须对项目实施过程中获取的相关信息保密（相关信息包括但不限于本项目），如发生失泄密事件即终止合同。</w:t>
            </w:r>
          </w:p>
          <w:p w14:paraId="4C9299C2">
            <w:pPr>
              <w:spacing w:line="380" w:lineRule="exact"/>
              <w:ind w:firstLine="561"/>
              <w:jc w:val="left"/>
              <w:rPr>
                <w:rFonts w:hint="eastAsia" w:ascii="宋体" w:hAnsi="宋体" w:cs="宋体"/>
                <w:szCs w:val="21"/>
              </w:rPr>
            </w:pPr>
            <w:r>
              <w:rPr>
                <w:rFonts w:hint="eastAsia" w:ascii="宋体" w:hAnsi="宋体" w:cs="宋体"/>
                <w:szCs w:val="21"/>
              </w:rPr>
              <w:t>（六）合同签订后，项目建设单位负责人和中标供应商负责人应当签订《政府采购项目廉政责任承诺书》。</w:t>
            </w:r>
          </w:p>
          <w:p w14:paraId="67AC261D">
            <w:pPr>
              <w:spacing w:line="380" w:lineRule="exact"/>
              <w:ind w:firstLine="561"/>
              <w:jc w:val="left"/>
              <w:rPr>
                <w:rFonts w:hint="eastAsia" w:ascii="宋体" w:hAnsi="宋体" w:cs="宋体"/>
                <w:szCs w:val="21"/>
              </w:rPr>
            </w:pPr>
            <w:r>
              <w:rPr>
                <w:rFonts w:hint="eastAsia" w:ascii="宋体" w:hAnsi="宋体" w:cs="宋体"/>
                <w:szCs w:val="21"/>
              </w:rPr>
              <w:t>（七）其他要求</w:t>
            </w:r>
          </w:p>
          <w:p w14:paraId="78E76D50">
            <w:pPr>
              <w:spacing w:line="380" w:lineRule="exact"/>
              <w:ind w:firstLine="561"/>
              <w:jc w:val="left"/>
              <w:rPr>
                <w:rFonts w:hint="eastAsia" w:ascii="宋体" w:hAnsi="宋体" w:cs="宋体"/>
                <w:szCs w:val="21"/>
              </w:rPr>
            </w:pPr>
            <w:r>
              <w:rPr>
                <w:rFonts w:hint="eastAsia" w:ascii="宋体" w:hAnsi="宋体" w:cs="宋体"/>
                <w:szCs w:val="21"/>
              </w:rPr>
              <w:t>（1）中标人应针对本项目设置安全负责人岗位，全面负责和管理本项目的网络安全相关工作。</w:t>
            </w:r>
          </w:p>
          <w:p w14:paraId="5D088CAB">
            <w:pPr>
              <w:spacing w:line="380" w:lineRule="exact"/>
              <w:ind w:firstLine="561"/>
              <w:jc w:val="left"/>
              <w:rPr>
                <w:rFonts w:hint="eastAsia" w:ascii="宋体" w:hAnsi="宋体" w:cs="宋体"/>
                <w:szCs w:val="21"/>
              </w:rPr>
            </w:pPr>
            <w:r>
              <w:rPr>
                <w:rFonts w:hint="eastAsia" w:ascii="宋体" w:hAnsi="宋体" w:cs="宋体"/>
                <w:szCs w:val="21"/>
              </w:rPr>
              <w:t>（2）中标人应根据采购人数据分类分级情况，采取相应的加密、备份、访问控制及安全审计等措施。</w:t>
            </w:r>
          </w:p>
          <w:p w14:paraId="7DA05DC4">
            <w:pPr>
              <w:spacing w:line="380" w:lineRule="exact"/>
              <w:ind w:firstLine="561"/>
              <w:jc w:val="left"/>
              <w:rPr>
                <w:rFonts w:hint="eastAsia" w:ascii="宋体" w:hAnsi="宋体" w:cs="宋体"/>
                <w:szCs w:val="21"/>
              </w:rPr>
            </w:pPr>
            <w:r>
              <w:rPr>
                <w:rFonts w:hint="eastAsia" w:ascii="宋体" w:hAnsi="宋体" w:cs="宋体"/>
                <w:szCs w:val="21"/>
              </w:rPr>
              <w:t>（3）中标人应与采购人签订数据处理运维安全责任协议。</w:t>
            </w:r>
          </w:p>
          <w:p w14:paraId="6AE2FF70">
            <w:pPr>
              <w:spacing w:line="380" w:lineRule="exact"/>
              <w:ind w:firstLine="561"/>
              <w:jc w:val="left"/>
              <w:rPr>
                <w:rFonts w:hint="eastAsia" w:ascii="宋体" w:hAnsi="宋体" w:cs="宋体"/>
                <w:szCs w:val="21"/>
                <w:highlight w:val="yellow"/>
              </w:rPr>
            </w:pPr>
            <w:r>
              <w:rPr>
                <w:rFonts w:hint="eastAsia" w:ascii="宋体" w:hAnsi="宋体" w:cs="宋体"/>
                <w:szCs w:val="21"/>
              </w:rPr>
              <w:t>（4）中标人应按照《中华人民共和国网络安全法》《中华人民共和国数据安全法》《中华人民共和国个人信息保护法》《中华人民共和国密码法》《网络数据安全管理条例》《关键信息基础设施安全保护条例》《商用密码管理条例》等法律法规及规章制度的要求，履行网络和数据安全保护义务。</w:t>
            </w:r>
          </w:p>
        </w:tc>
      </w:tr>
      <w:tr w14:paraId="29A1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23F23D85">
            <w:pPr>
              <w:spacing w:line="380" w:lineRule="exact"/>
              <w:jc w:val="center"/>
              <w:rPr>
                <w:rFonts w:hint="eastAsia" w:ascii="宋体" w:hAnsi="宋体" w:cs="宋体"/>
                <w:szCs w:val="21"/>
              </w:rPr>
            </w:pPr>
            <w:r>
              <w:rPr>
                <w:rFonts w:hint="eastAsia" w:ascii="宋体" w:hAnsi="宋体" w:cs="宋体"/>
                <w:szCs w:val="21"/>
              </w:rPr>
              <w:t>验收标准要求</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14691E9E">
            <w:pPr>
              <w:spacing w:line="380" w:lineRule="exact"/>
              <w:ind w:firstLine="561"/>
              <w:rPr>
                <w:rFonts w:hint="eastAsia" w:ascii="宋体" w:hAnsi="宋体" w:cs="宋体"/>
                <w:szCs w:val="21"/>
              </w:rPr>
            </w:pPr>
            <w:r>
              <w:rPr>
                <w:rFonts w:hint="eastAsia" w:ascii="宋体" w:hAnsi="宋体" w:cs="宋体"/>
                <w:szCs w:val="21"/>
              </w:rPr>
              <w:t>1.验收过程必须严格按照自治区数据局及自治区公安厅信息化项目管理办法验收标准进行，由采购人组织验收。</w:t>
            </w:r>
          </w:p>
          <w:p w14:paraId="6E2F28AB">
            <w:pPr>
              <w:spacing w:line="380" w:lineRule="exact"/>
              <w:ind w:firstLine="561"/>
              <w:rPr>
                <w:rFonts w:hint="eastAsia" w:ascii="宋体" w:hAnsi="宋体" w:cs="宋体"/>
                <w:szCs w:val="21"/>
              </w:rPr>
            </w:pPr>
            <w:r>
              <w:rPr>
                <w:rFonts w:hint="eastAsia" w:ascii="宋体" w:hAnsi="宋体" w:cs="宋体"/>
                <w:szCs w:val="21"/>
              </w:rPr>
              <w:t>2.验收依据：按照政府采购项目履约验收管理办法及广西壮族自治区公安厅信息化项目管理办法、双方合同、投标文件验收。</w:t>
            </w:r>
          </w:p>
        </w:tc>
      </w:tr>
      <w:tr w14:paraId="252F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0B677ED6">
            <w:pPr>
              <w:spacing w:line="380" w:lineRule="exact"/>
              <w:jc w:val="center"/>
              <w:rPr>
                <w:rFonts w:hint="eastAsia" w:ascii="宋体" w:hAnsi="宋体" w:cs="宋体"/>
                <w:szCs w:val="21"/>
              </w:rPr>
            </w:pPr>
            <w:r>
              <w:rPr>
                <w:rFonts w:hint="eastAsia" w:ascii="宋体" w:hAnsi="宋体" w:cs="宋体"/>
                <w:szCs w:val="21"/>
              </w:rPr>
              <w:t>服务质量保障要求</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42F1C3E0">
            <w:pPr>
              <w:spacing w:line="380" w:lineRule="exact"/>
              <w:ind w:firstLine="561"/>
              <w:rPr>
                <w:rFonts w:hint="eastAsia" w:ascii="宋体" w:hAnsi="宋体" w:cs="宋体"/>
                <w:szCs w:val="21"/>
              </w:rPr>
            </w:pPr>
            <w:r>
              <w:rPr>
                <w:rFonts w:hint="eastAsia" w:ascii="宋体" w:hAnsi="宋体" w:cs="宋体"/>
                <w:szCs w:val="21"/>
              </w:rPr>
              <w:t>1.项目监理要求：</w:t>
            </w:r>
          </w:p>
          <w:p w14:paraId="5A0A7642">
            <w:pPr>
              <w:spacing w:line="380" w:lineRule="exact"/>
              <w:ind w:firstLine="561"/>
              <w:rPr>
                <w:rFonts w:hint="eastAsia" w:ascii="宋体" w:hAnsi="宋体" w:cs="宋体"/>
                <w:szCs w:val="21"/>
              </w:rPr>
            </w:pPr>
            <w:r>
              <w:rPr>
                <w:rFonts w:hint="eastAsia" w:ascii="宋体" w:hAnsi="宋体" w:cs="宋体"/>
                <w:szCs w:val="21"/>
              </w:rPr>
              <w:t>中标人须接受采购人指定的第三方监理单位的监督管理；中标人须在合同签订后10个工作日内，根据服务内容、文档交付、备品备件清单等招标要求以及采购人对文档的格式要求拟定合同履约清单并提交监理单位审核通过。</w:t>
            </w:r>
          </w:p>
          <w:p w14:paraId="3588A48B">
            <w:pPr>
              <w:spacing w:line="380" w:lineRule="exact"/>
              <w:ind w:firstLine="561"/>
              <w:rPr>
                <w:rFonts w:hint="eastAsia" w:ascii="宋体" w:hAnsi="宋体" w:cs="宋体"/>
                <w:szCs w:val="21"/>
              </w:rPr>
            </w:pPr>
            <w:r>
              <w:rPr>
                <w:rFonts w:hint="eastAsia" w:ascii="宋体" w:hAnsi="宋体" w:cs="宋体"/>
                <w:szCs w:val="21"/>
              </w:rPr>
              <w:t>2.中标人责任要求</w:t>
            </w:r>
          </w:p>
          <w:p w14:paraId="63E65707">
            <w:pPr>
              <w:spacing w:line="380" w:lineRule="exact"/>
              <w:ind w:firstLine="561"/>
              <w:rPr>
                <w:rFonts w:hint="eastAsia" w:ascii="宋体" w:hAnsi="宋体" w:cs="宋体"/>
                <w:szCs w:val="21"/>
              </w:rPr>
            </w:pPr>
            <w:r>
              <w:rPr>
                <w:rFonts w:hint="eastAsia" w:ascii="宋体" w:hAnsi="宋体" w:cs="宋体"/>
                <w:szCs w:val="21"/>
              </w:rPr>
              <w:t xml:space="preserve">在服务期内，若由于中标单位自身技术不足或违规操作等原因造成的数据丢失、设备损坏等，须承担相应的责任。 </w:t>
            </w:r>
          </w:p>
          <w:p w14:paraId="55C399E0">
            <w:pPr>
              <w:spacing w:line="380" w:lineRule="exact"/>
              <w:ind w:firstLine="561"/>
              <w:rPr>
                <w:rFonts w:hint="eastAsia" w:ascii="宋体" w:hAnsi="宋体" w:cs="宋体"/>
                <w:szCs w:val="21"/>
              </w:rPr>
            </w:pPr>
            <w:r>
              <w:rPr>
                <w:rFonts w:hint="eastAsia" w:ascii="宋体" w:hAnsi="宋体" w:cs="宋体"/>
                <w:szCs w:val="21"/>
              </w:rPr>
              <w:t>处罚条款：断电：在同一个月内，造成单台设备或单个机柜设备断电中断超过2次或单次中断时间超过4小时，减免租赁机房当月对应服务费的10%；中断超过3次或累计中断时间超过8小时，减免租赁机房当月对应服务费的20%；中断超过4次或累计中断时间超过12小时，减免该租赁机房当月对应服务费的30%；中断超过5次或累计中断时间超过24小时，减免租赁机房当月对应服务费。（地震、山洪等不可抗力因素除外。）</w:t>
            </w:r>
          </w:p>
          <w:p w14:paraId="15CC0A22">
            <w:pPr>
              <w:spacing w:line="380" w:lineRule="exact"/>
              <w:rPr>
                <w:rFonts w:hint="eastAsia" w:ascii="宋体" w:hAnsi="宋体" w:cs="宋体"/>
                <w:szCs w:val="21"/>
              </w:rPr>
            </w:pPr>
            <w:r>
              <w:rPr>
                <w:rFonts w:hint="eastAsia" w:ascii="宋体" w:hAnsi="宋体" w:cs="宋体"/>
                <w:szCs w:val="21"/>
              </w:rPr>
              <w:t xml:space="preserve">    3.违约责任：</w:t>
            </w:r>
          </w:p>
          <w:p w14:paraId="39D1BD7B">
            <w:pPr>
              <w:spacing w:line="380" w:lineRule="exact"/>
              <w:ind w:firstLine="420" w:firstLineChars="200"/>
              <w:rPr>
                <w:rFonts w:hint="eastAsia" w:ascii="宋体" w:hAnsi="宋体" w:cs="宋体"/>
                <w:szCs w:val="21"/>
              </w:rPr>
            </w:pPr>
            <w:r>
              <w:rPr>
                <w:rFonts w:hint="eastAsia" w:ascii="宋体" w:hAnsi="宋体" w:cs="宋体"/>
                <w:szCs w:val="21"/>
              </w:rPr>
              <w:t>（1）中标人未按合同约定的期限提交相应货物及与其相关的服务成果，每逾期一日扣除合同总金额的0.5%作为延迟罚款，最高不超过合同总金额的10%；逾期超过30日或者经整改后再次提交的服务成果不符合采购人要求的，采购人有权解除合同并没收其履约保证金且不再支付任何费用；中标人应当于解除合同后15日内全额退还采购人已支付的费用（逾期退还的，按资金占用期间同期银行贷款利息的两倍支付利息），并且中标人应向采购人支付相当于合同金额30%的违约金，违约金不足以赔偿采购人损失的，中标人还须赔偿采购人全部损失。</w:t>
            </w:r>
          </w:p>
          <w:p w14:paraId="201344E6">
            <w:pPr>
              <w:spacing w:line="380" w:lineRule="exact"/>
              <w:ind w:firstLine="561"/>
              <w:rPr>
                <w:rFonts w:hint="eastAsia" w:ascii="宋体" w:hAnsi="宋体" w:cs="宋体"/>
                <w:szCs w:val="21"/>
              </w:rPr>
            </w:pPr>
            <w:r>
              <w:rPr>
                <w:rFonts w:hint="eastAsia" w:ascii="宋体" w:hAnsi="宋体" w:cs="宋体"/>
                <w:szCs w:val="21"/>
              </w:rPr>
              <w:t>（2）中标人所提供的服务成果、数量、技术参数要求等不符合本项目要求的，应及时整改；中标人在采购人规定期限内不能完成整改的或无正当理由拒绝整改或经整改后仍不能达到采购人要求的，采购人有权终止合同，违约责任按照本条第1款执行。</w:t>
            </w:r>
          </w:p>
          <w:p w14:paraId="5B736973">
            <w:pPr>
              <w:spacing w:line="380" w:lineRule="exact"/>
              <w:ind w:firstLine="561"/>
              <w:rPr>
                <w:rFonts w:hint="eastAsia" w:ascii="宋体" w:hAnsi="宋体" w:cs="宋体"/>
                <w:szCs w:val="21"/>
              </w:rPr>
            </w:pPr>
            <w:r>
              <w:rPr>
                <w:rFonts w:hint="eastAsia" w:ascii="宋体" w:hAnsi="宋体" w:cs="宋体"/>
                <w:szCs w:val="21"/>
              </w:rPr>
              <w:t>（3）中标人中标后被发现其在投标活动中提供任何虚假材料的，采购人有权解除合同，并按照本条第1款追究中标人违约责任。</w:t>
            </w:r>
          </w:p>
          <w:p w14:paraId="042B7104">
            <w:pPr>
              <w:spacing w:line="380" w:lineRule="exact"/>
              <w:ind w:firstLine="561"/>
              <w:rPr>
                <w:rFonts w:hint="eastAsia" w:ascii="宋体" w:hAnsi="宋体" w:cs="宋体"/>
                <w:szCs w:val="21"/>
              </w:rPr>
            </w:pPr>
            <w:r>
              <w:rPr>
                <w:rFonts w:hint="eastAsia" w:ascii="宋体" w:hAnsi="宋体" w:cs="宋体"/>
                <w:szCs w:val="21"/>
              </w:rPr>
              <w:t>（4）采购人有权依据招标文件、投标文件对中标人的服务人员进行管理或要求更换，对于采购人要求更换服务人员的，中标人应无条件及时更换；中标人拒绝更换的，采购人有权终止合同，追回已付款项，并按本合同金额的10%计算违约金。</w:t>
            </w:r>
          </w:p>
          <w:p w14:paraId="0AFE8133">
            <w:pPr>
              <w:spacing w:line="380" w:lineRule="exact"/>
              <w:ind w:firstLine="561"/>
              <w:rPr>
                <w:rFonts w:hint="eastAsia" w:ascii="宋体" w:hAnsi="宋体" w:cs="宋体"/>
                <w:szCs w:val="21"/>
              </w:rPr>
            </w:pPr>
            <w:r>
              <w:rPr>
                <w:rFonts w:hint="eastAsia" w:ascii="宋体" w:hAnsi="宋体" w:cs="宋体"/>
                <w:szCs w:val="21"/>
              </w:rPr>
              <w:t>（5）除因采购人自身原因外，若因中标人操作造成采购人系统数据丢失、泄密的，中标人应按合同金额的30%支付违约金，违约金不足以弥补采购人损失的，中标人还应支付赔偿金。</w:t>
            </w:r>
          </w:p>
          <w:p w14:paraId="33C29BB2">
            <w:pPr>
              <w:spacing w:line="380" w:lineRule="exact"/>
              <w:ind w:firstLine="561"/>
              <w:rPr>
                <w:rFonts w:hint="eastAsia" w:ascii="宋体" w:hAnsi="宋体" w:cs="宋体"/>
                <w:szCs w:val="21"/>
              </w:rPr>
            </w:pPr>
            <w:r>
              <w:rPr>
                <w:rFonts w:hint="eastAsia" w:ascii="宋体" w:hAnsi="宋体" w:cs="宋体"/>
                <w:szCs w:val="21"/>
              </w:rPr>
              <w:t>（6）中标人未按本合同和投标文件中规定的服务承诺提供售后服务的，每出现一次，中标人应按合同金额5%支付违约金；若中标人明确拒绝或怠于提供售后服务的，采购人有权聘请第三方机构提供售后服务，因此产生的费用均由中标人承担。</w:t>
            </w:r>
          </w:p>
          <w:p w14:paraId="3F5D933C">
            <w:pPr>
              <w:spacing w:line="380" w:lineRule="exact"/>
              <w:ind w:firstLine="561"/>
              <w:rPr>
                <w:rFonts w:hint="eastAsia" w:ascii="宋体" w:hAnsi="宋体" w:cs="宋体"/>
                <w:szCs w:val="21"/>
              </w:rPr>
            </w:pPr>
            <w:r>
              <w:rPr>
                <w:rFonts w:hint="eastAsia" w:ascii="宋体" w:hAnsi="宋体" w:cs="宋体"/>
                <w:szCs w:val="21"/>
              </w:rPr>
              <w:t>（7）如中标人违反合同约定及采购人要求的信息安全及保密要求，每违反一次收取合同金额2%的违约金，累计不超过合同金额的30%，违约金不足以弥补采购人实际损失的，还应支付赔偿金；情节严重的移交相关部门处理。</w:t>
            </w:r>
          </w:p>
          <w:p w14:paraId="17D586AC">
            <w:pPr>
              <w:spacing w:line="380" w:lineRule="exact"/>
              <w:ind w:firstLine="561"/>
              <w:rPr>
                <w:rFonts w:hint="eastAsia" w:ascii="宋体" w:hAnsi="宋体" w:cs="宋体"/>
                <w:szCs w:val="21"/>
              </w:rPr>
            </w:pPr>
            <w:r>
              <w:rPr>
                <w:rFonts w:hint="eastAsia" w:ascii="宋体" w:hAnsi="宋体" w:cs="宋体"/>
                <w:szCs w:val="21"/>
              </w:rPr>
              <w:t>（8）本项目所指的损失是指采购人因中标人违约而遭受的全部经济损失（包括但不限于直接损失、间接损失及实现债权的费用，如诉讼费、保全费、财产保全责任险保险费、调查取证费、鉴定费、律师费、差旅费等）。</w:t>
            </w:r>
          </w:p>
          <w:p w14:paraId="3AF27B2C">
            <w:pPr>
              <w:spacing w:line="380" w:lineRule="exact"/>
              <w:ind w:firstLine="561"/>
              <w:rPr>
                <w:rFonts w:hint="eastAsia" w:ascii="宋体" w:hAnsi="宋体" w:cs="宋体"/>
                <w:szCs w:val="21"/>
              </w:rPr>
            </w:pPr>
            <w:r>
              <w:rPr>
                <w:rFonts w:hint="eastAsia" w:ascii="宋体" w:hAnsi="宋体" w:cs="宋体"/>
                <w:szCs w:val="21"/>
              </w:rPr>
              <w:t>（9）采购人有权从未付价款、履约保证金中先行扣除中标人应支付的违约金、赔偿金，不足另补。</w:t>
            </w:r>
          </w:p>
          <w:p w14:paraId="224C1787">
            <w:pPr>
              <w:spacing w:line="380" w:lineRule="exact"/>
              <w:ind w:firstLine="561"/>
              <w:rPr>
                <w:rFonts w:hint="eastAsia" w:ascii="宋体" w:hAnsi="宋体" w:cs="宋体"/>
                <w:szCs w:val="21"/>
              </w:rPr>
            </w:pPr>
            <w:r>
              <w:rPr>
                <w:rFonts w:hint="eastAsia" w:ascii="宋体" w:hAnsi="宋体" w:cs="宋体"/>
                <w:szCs w:val="21"/>
              </w:rPr>
              <w:t>（10）中标人提供的成果如侵犯了第三方合法权益而引发的任何纠纷或诉讼，均由中标人负责交涉并承担全部责任，由此造成采购人损失的，包括但不限于应诉的律师费和诉讼费等，均由中标人全部赔偿。</w:t>
            </w:r>
          </w:p>
          <w:p w14:paraId="0E7CB297">
            <w:pPr>
              <w:spacing w:line="380" w:lineRule="exact"/>
              <w:ind w:firstLine="561"/>
              <w:rPr>
                <w:rFonts w:hint="eastAsia" w:ascii="宋体" w:hAnsi="宋体" w:cs="宋体"/>
                <w:szCs w:val="21"/>
              </w:rPr>
            </w:pPr>
            <w:r>
              <w:rPr>
                <w:rFonts w:hint="eastAsia" w:ascii="宋体" w:hAnsi="宋体" w:cs="宋体"/>
                <w:szCs w:val="21"/>
              </w:rPr>
              <w:t>（11）由于采购人的原因造成合同不能如期履行的，双方可根据具体情况顺延合同的履行期，对中标人因此遭受的实际损失，采购人应予以合理补偿。</w:t>
            </w:r>
          </w:p>
        </w:tc>
      </w:tr>
      <w:tr w14:paraId="5858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70101B37">
            <w:pPr>
              <w:spacing w:line="380" w:lineRule="exact"/>
              <w:jc w:val="center"/>
              <w:rPr>
                <w:rFonts w:hint="eastAsia" w:ascii="宋体" w:hAnsi="宋体" w:cs="宋体"/>
                <w:szCs w:val="21"/>
              </w:rPr>
            </w:pPr>
            <w:r>
              <w:rPr>
                <w:rFonts w:hint="eastAsia" w:ascii="宋体" w:hAnsi="宋体" w:cs="宋体"/>
                <w:szCs w:val="21"/>
              </w:rPr>
              <w:t>其他要求</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60342BB8">
            <w:pPr>
              <w:spacing w:line="380" w:lineRule="exact"/>
              <w:ind w:firstLine="420" w:firstLineChars="200"/>
              <w:jc w:val="left"/>
              <w:rPr>
                <w:rFonts w:hint="eastAsia" w:ascii="宋体" w:hAnsi="宋体" w:cs="宋体"/>
                <w:szCs w:val="21"/>
              </w:rPr>
            </w:pPr>
            <w:r>
              <w:rPr>
                <w:rFonts w:hint="eastAsia" w:ascii="宋体" w:hAnsi="宋体" w:cs="宋体"/>
                <w:szCs w:val="21"/>
              </w:rPr>
              <w:t>1.投标人可根据自身情况编写服务及售后方案，内容可以包括但不限于：对项目的理解、实施方案、进度保证措施、服务承诺及后续服务安排、人员配备方案等。</w:t>
            </w:r>
          </w:p>
          <w:p w14:paraId="7DC5342B">
            <w:pPr>
              <w:spacing w:line="380" w:lineRule="exact"/>
              <w:ind w:firstLine="420" w:firstLineChars="200"/>
              <w:rPr>
                <w:rFonts w:hint="eastAsia" w:ascii="宋体" w:hAnsi="宋体" w:cs="宋体"/>
                <w:szCs w:val="21"/>
              </w:rPr>
            </w:pPr>
            <w:r>
              <w:rPr>
                <w:rFonts w:hint="eastAsia" w:ascii="宋体" w:hAnsi="宋体" w:cs="宋体"/>
                <w:szCs w:val="21"/>
              </w:rPr>
              <w:t>2.投标人在投标文件中，需要提供满足本项目资源租赁需求对应提供的软硬件配置清单（包含软硬件名称、配置、数量及品牌型号），并加盖公章。</w:t>
            </w:r>
          </w:p>
          <w:p w14:paraId="3294FFB2">
            <w:pPr>
              <w:spacing w:line="380" w:lineRule="exact"/>
              <w:ind w:firstLine="420" w:firstLineChars="200"/>
              <w:rPr>
                <w:rFonts w:ascii="宋体" w:hAnsi="宋体" w:cs="宋体"/>
                <w:szCs w:val="21"/>
              </w:rPr>
            </w:pPr>
            <w:r>
              <w:rPr>
                <w:rFonts w:hint="eastAsia" w:ascii="宋体" w:hAnsi="宋体" w:cs="宋体"/>
                <w:szCs w:val="21"/>
              </w:rPr>
              <w:t>3.投标人承诺在本项目中租赁给采购人的算力资源（包括AI算力服务器、网络交换机、AI推理服务存储)均为全新未使用过的设备资源（所投设备整机生产日期和到货日期不超过6个月，并提供承诺函，格式自拟），在本项目要求的服务期内，该部分资源仅用于为自治区公安厅提供租赁服务。服务期满后，存储硬盘需要留存给采购人。</w:t>
            </w:r>
          </w:p>
          <w:p w14:paraId="2145A3EE">
            <w:pPr>
              <w:spacing w:line="380" w:lineRule="exact"/>
              <w:ind w:firstLine="420" w:firstLineChars="200"/>
              <w:rPr>
                <w:rFonts w:ascii="宋体" w:hAnsi="宋体" w:cs="宋体"/>
                <w:szCs w:val="21"/>
              </w:rPr>
            </w:pPr>
            <w:r>
              <w:rPr>
                <w:rFonts w:hint="eastAsia" w:ascii="宋体" w:hAnsi="宋体" w:cs="宋体"/>
                <w:szCs w:val="21"/>
              </w:rPr>
              <w:t>4.中标供应商须在正式服务期12个月内，配合采购方通过三级等保、商用密码应用安全性评估。</w:t>
            </w:r>
          </w:p>
          <w:p w14:paraId="37313560">
            <w:pPr>
              <w:spacing w:line="380" w:lineRule="exact"/>
              <w:ind w:firstLine="420" w:firstLineChars="200"/>
              <w:rPr>
                <w:rFonts w:hint="eastAsia" w:ascii="宋体" w:hAnsi="宋体" w:cs="宋体"/>
                <w:szCs w:val="21"/>
              </w:rPr>
            </w:pPr>
            <w:r>
              <w:rPr>
                <w:rFonts w:hint="eastAsia" w:ascii="宋体" w:hAnsi="宋体" w:cs="宋体"/>
                <w:szCs w:val="21"/>
              </w:rPr>
              <w:t>5.若供应商在服务期内出现服务费用扣减、未按合同约定提供算力服务等行为，经采购人认定并下达《处罚通知书》后，处罚执行期间（包括但不限于整改期、服务暂停期等）不计入有效租赁服务时间。</w:t>
            </w:r>
          </w:p>
          <w:p w14:paraId="348B2929">
            <w:pPr>
              <w:spacing w:line="380" w:lineRule="exact"/>
              <w:ind w:firstLine="420" w:firstLineChars="200"/>
              <w:rPr>
                <w:rFonts w:hint="eastAsia" w:ascii="宋体" w:hAnsi="宋体" w:cs="宋体"/>
                <w:szCs w:val="21"/>
              </w:rPr>
            </w:pPr>
            <w:r>
              <w:rPr>
                <w:rFonts w:hint="eastAsia" w:ascii="宋体" w:hAnsi="宋体" w:cs="宋体"/>
                <w:szCs w:val="21"/>
              </w:rPr>
              <w:t>处罚时间的具体时长以《处罚通知书》明确的期限为准，若涉及持续性违约需延长处罚的，双方需另行签署补充协议确认。</w:t>
            </w:r>
          </w:p>
          <w:p w14:paraId="117A6C03">
            <w:pPr>
              <w:spacing w:line="380" w:lineRule="exact"/>
              <w:ind w:firstLine="420" w:firstLineChars="200"/>
              <w:rPr>
                <w:rFonts w:hint="eastAsia" w:ascii="宋体" w:hAnsi="宋体" w:cs="宋体"/>
                <w:szCs w:val="21"/>
              </w:rPr>
            </w:pPr>
            <w:r>
              <w:rPr>
                <w:rFonts w:hint="eastAsia" w:ascii="宋体" w:hAnsi="宋体" w:cs="宋体"/>
                <w:szCs w:val="21"/>
              </w:rPr>
              <w:t>服务期满的计算规则：</w:t>
            </w:r>
          </w:p>
          <w:p w14:paraId="3F09D8BA">
            <w:pPr>
              <w:spacing w:line="380" w:lineRule="exact"/>
              <w:ind w:firstLine="420" w:firstLineChars="200"/>
              <w:rPr>
                <w:rFonts w:hint="eastAsia" w:ascii="宋体" w:hAnsi="宋体" w:cs="宋体"/>
                <w:szCs w:val="21"/>
              </w:rPr>
            </w:pPr>
            <w:r>
              <w:rPr>
                <w:rFonts w:hint="eastAsia" w:ascii="宋体" w:hAnsi="宋体" w:cs="宋体"/>
                <w:szCs w:val="21"/>
              </w:rPr>
              <w:t>本项目服务期满时间以有效租赁服务时长累计达到合同约定总租赁期限为准，即：</w:t>
            </w:r>
          </w:p>
          <w:p w14:paraId="5690CE62">
            <w:pPr>
              <w:spacing w:line="380" w:lineRule="exact"/>
              <w:ind w:firstLine="420" w:firstLineChars="200"/>
              <w:rPr>
                <w:rFonts w:hint="eastAsia" w:ascii="宋体" w:hAnsi="宋体" w:eastAsia="宋体" w:cs="宋体"/>
                <w:szCs w:val="21"/>
                <w:lang w:eastAsia="zh-CN"/>
              </w:rPr>
            </w:pPr>
            <w:r>
              <w:rPr>
                <w:rFonts w:hint="eastAsia" w:ascii="宋体" w:hAnsi="宋体" w:cs="宋体"/>
                <w:szCs w:val="21"/>
                <w:lang w:eastAsia="zh-CN"/>
              </w:rPr>
              <w:t>有效租赁时长=实际服务时长-累计处罚时长</w:t>
            </w:r>
          </w:p>
          <w:p w14:paraId="1110D7B5">
            <w:pPr>
              <w:spacing w:line="380" w:lineRule="exact"/>
              <w:ind w:firstLine="420" w:firstLineChars="200"/>
              <w:rPr>
                <w:rFonts w:hint="eastAsia" w:ascii="宋体" w:hAnsi="宋体" w:cs="宋体"/>
                <w:szCs w:val="21"/>
              </w:rPr>
            </w:pPr>
            <w:r>
              <w:rPr>
                <w:rFonts w:hint="eastAsia" w:ascii="宋体" w:hAnsi="宋体" w:cs="宋体"/>
                <w:szCs w:val="21"/>
              </w:rPr>
              <w:t>若因处罚导致有效租赁时长未满足合同约定，服务期将自动顺延，顺延期限与累计处罚时间相等，直至有效租赁时长达到合同约定的总租赁期限，双方签署《服务期满确认书》后，本项目服务正式终止。</w:t>
            </w:r>
          </w:p>
          <w:p w14:paraId="10ADD9F6">
            <w:pPr>
              <w:spacing w:line="380" w:lineRule="exact"/>
              <w:ind w:firstLine="420" w:firstLineChars="200"/>
              <w:rPr>
                <w:rFonts w:hint="eastAsia" w:ascii="宋体" w:hAnsi="宋体" w:cs="宋体"/>
                <w:szCs w:val="21"/>
              </w:rPr>
            </w:pPr>
            <w:r>
              <w:rPr>
                <w:rFonts w:hint="eastAsia" w:ascii="宋体" w:hAnsi="宋体" w:cs="宋体"/>
                <w:szCs w:val="21"/>
              </w:rPr>
              <w:t>流程确认</w:t>
            </w:r>
          </w:p>
          <w:p w14:paraId="11BFD88D">
            <w:pPr>
              <w:spacing w:line="380" w:lineRule="exact"/>
              <w:ind w:firstLine="420" w:firstLineChars="200"/>
              <w:rPr>
                <w:rFonts w:hint="eastAsia" w:ascii="宋体" w:hAnsi="宋体" w:cs="宋体"/>
                <w:szCs w:val="21"/>
              </w:rPr>
            </w:pPr>
            <w:r>
              <w:rPr>
                <w:rFonts w:hint="eastAsia" w:ascii="宋体" w:hAnsi="宋体" w:cs="宋体"/>
                <w:szCs w:val="21"/>
              </w:rPr>
              <w:t>每次处罚执行完毕后，供应商需向采购人提交《处罚整改完成报告》，经采购人审核通过后，双方签署《处罚时间确认单》，明确本次处罚不计入租赁时间的具体天数。</w:t>
            </w:r>
          </w:p>
          <w:p w14:paraId="1E8CCD63">
            <w:pPr>
              <w:spacing w:line="380" w:lineRule="exact"/>
              <w:ind w:firstLine="420" w:firstLineChars="200"/>
              <w:rPr>
                <w:rFonts w:hint="eastAsia" w:ascii="宋体" w:hAnsi="宋体" w:cs="宋体"/>
                <w:szCs w:val="21"/>
              </w:rPr>
            </w:pPr>
            <w:r>
              <w:rPr>
                <w:rFonts w:hint="eastAsia" w:ascii="宋体" w:hAnsi="宋体" w:cs="宋体"/>
                <w:szCs w:val="21"/>
              </w:rPr>
              <w:t>项目临近服务期满前30天，双方共同核算累计有效租赁时长及处罚时间，确认最终服务期满日期，并提前15天书面通知对方。</w:t>
            </w:r>
          </w:p>
        </w:tc>
      </w:tr>
      <w:tr w14:paraId="0F72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44328360">
            <w:pPr>
              <w:tabs>
                <w:tab w:val="left" w:pos="180"/>
                <w:tab w:val="left" w:pos="1620"/>
              </w:tabs>
              <w:spacing w:line="380" w:lineRule="exact"/>
              <w:jc w:val="center"/>
              <w:rPr>
                <w:rFonts w:hint="eastAsia" w:ascii="宋体" w:hAnsi="宋体" w:cs="宋体"/>
                <w:szCs w:val="21"/>
              </w:rPr>
            </w:pPr>
            <w:r>
              <w:rPr>
                <w:rFonts w:hint="eastAsia" w:ascii="宋体" w:hAnsi="宋体" w:cs="宋体"/>
                <w:szCs w:val="21"/>
              </w:rPr>
              <w:t>履约保证金</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3D6DF039">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rPr>
              <w:t>履约保证金金额：本项目中标金额的5%（中小企业缴纳数额为中标金额的2%）。</w:t>
            </w:r>
          </w:p>
          <w:p w14:paraId="6A0F35CF">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rPr>
              <w:t>履约保证金提交方式：支票、汇票、本票、银行转账或者金融机构、担保机构出具的保函等非现金形式。</w:t>
            </w:r>
          </w:p>
          <w:p w14:paraId="0160EDEA">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rPr>
              <w:t>履约保证金缴纳期限: 自成交通知书发出之日起5日内。</w:t>
            </w:r>
          </w:p>
          <w:p w14:paraId="3FC1E8E0">
            <w:pPr>
              <w:autoSpaceDE w:val="0"/>
              <w:autoSpaceDN w:val="0"/>
              <w:snapToGrid w:val="0"/>
              <w:spacing w:line="380" w:lineRule="exact"/>
              <w:jc w:val="left"/>
              <w:textAlignment w:val="bottom"/>
              <w:rPr>
                <w:rFonts w:hint="eastAsia" w:ascii="宋体" w:hAnsi="宋体" w:cs="宋体"/>
                <w:szCs w:val="21"/>
              </w:rPr>
            </w:pPr>
            <w:r>
              <w:rPr>
                <w:rFonts w:hint="eastAsia" w:ascii="宋体" w:hAnsi="宋体" w:cs="宋体"/>
                <w:szCs w:val="21"/>
              </w:rPr>
              <w:t>履约保证金退付方式、时间及条件：项目完成验收合格后，且中标供应商无违约情形的，中标供应商提供《政府采购项目履约保证金退付意见书》及《政府采购项目合同验收报告》，向采购人提出书面申请退还，采购人在收到申请后十个工作日内以银行转账方式无息退还。如果中标供应商在履行合同过程中有违约情形，则采购人有权没收保证金，不予退还。</w:t>
            </w:r>
          </w:p>
          <w:p w14:paraId="6B38181D">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rPr>
              <w:t>不予退还的情形：签订合同后，如中标供应商不按双方签订的合同规定履约，则其全部履约保证金不予退还。</w:t>
            </w:r>
          </w:p>
          <w:p w14:paraId="2A1DB68F">
            <w:pPr>
              <w:spacing w:line="380" w:lineRule="exact"/>
              <w:ind w:firstLine="420" w:firstLineChars="200"/>
              <w:contextualSpacing/>
              <w:rPr>
                <w:rFonts w:hint="eastAsia" w:ascii="宋体" w:hAnsi="宋体" w:cs="宋体"/>
                <w:szCs w:val="21"/>
              </w:rPr>
            </w:pPr>
            <w:r>
              <w:rPr>
                <w:rFonts w:hint="eastAsia" w:ascii="宋体" w:hAnsi="宋体" w:cs="宋体"/>
                <w:szCs w:val="21"/>
              </w:rPr>
              <w:t>履约保证金指定账户：</w:t>
            </w:r>
          </w:p>
          <w:p w14:paraId="5A829D1F">
            <w:pPr>
              <w:spacing w:line="380" w:lineRule="exact"/>
              <w:ind w:firstLine="420" w:firstLineChars="200"/>
              <w:contextualSpacing/>
              <w:rPr>
                <w:rFonts w:hint="eastAsia" w:ascii="宋体" w:hAnsi="宋体" w:cs="宋体"/>
                <w:szCs w:val="21"/>
              </w:rPr>
            </w:pPr>
            <w:r>
              <w:rPr>
                <w:rFonts w:hint="eastAsia" w:ascii="宋体" w:hAnsi="宋体" w:cs="宋体"/>
                <w:szCs w:val="21"/>
              </w:rPr>
              <w:t>开户名称：广西壮族自治区公安厅</w:t>
            </w:r>
            <w:r>
              <w:rPr>
                <w:rFonts w:hint="eastAsia" w:ascii="宋体" w:hAnsi="宋体" w:cs="宋体"/>
                <w:kern w:val="0"/>
                <w:szCs w:val="21"/>
              </w:rPr>
              <w:t xml:space="preserve"> </w:t>
            </w:r>
          </w:p>
          <w:p w14:paraId="00A87303">
            <w:pPr>
              <w:spacing w:line="380" w:lineRule="exact"/>
              <w:ind w:firstLine="420" w:firstLineChars="200"/>
              <w:contextualSpacing/>
              <w:rPr>
                <w:rFonts w:hint="eastAsia" w:ascii="宋体" w:hAnsi="宋体" w:cs="宋体"/>
                <w:szCs w:val="21"/>
              </w:rPr>
            </w:pPr>
            <w:r>
              <w:rPr>
                <w:rFonts w:hint="eastAsia" w:ascii="宋体" w:hAnsi="宋体" w:cs="宋体"/>
                <w:szCs w:val="21"/>
              </w:rPr>
              <w:t>开户银行：</w:t>
            </w:r>
            <w:r>
              <w:rPr>
                <w:rFonts w:hint="eastAsia" w:ascii="宋体" w:hAnsi="宋体" w:cs="宋体"/>
                <w:kern w:val="0"/>
                <w:szCs w:val="21"/>
              </w:rPr>
              <w:t xml:space="preserve">工行南宁市民乐分理处 </w:t>
            </w:r>
          </w:p>
          <w:p w14:paraId="1FA89C97">
            <w:pPr>
              <w:autoSpaceDE w:val="0"/>
              <w:autoSpaceDN w:val="0"/>
              <w:snapToGrid w:val="0"/>
              <w:spacing w:line="380" w:lineRule="exact"/>
              <w:ind w:firstLine="420" w:firstLineChars="200"/>
              <w:textAlignment w:val="bottom"/>
              <w:rPr>
                <w:rFonts w:hint="eastAsia" w:ascii="宋体" w:hAnsi="宋体" w:cs="宋体"/>
                <w:szCs w:val="21"/>
              </w:rPr>
            </w:pPr>
            <w:r>
              <w:rPr>
                <w:rFonts w:hint="eastAsia" w:ascii="宋体" w:hAnsi="宋体" w:cs="宋体"/>
                <w:szCs w:val="21"/>
              </w:rPr>
              <w:t>银行账号：</w:t>
            </w:r>
            <w:r>
              <w:rPr>
                <w:rFonts w:hint="eastAsia" w:ascii="宋体" w:hAnsi="宋体" w:cs="宋体"/>
                <w:kern w:val="0"/>
                <w:szCs w:val="21"/>
              </w:rPr>
              <w:t xml:space="preserve">2102 1095 2930 0002 294  </w:t>
            </w:r>
          </w:p>
        </w:tc>
      </w:tr>
    </w:tbl>
    <w:p w14:paraId="208267E1">
      <w:pPr>
        <w:rPr>
          <w:rFonts w:hint="eastAsia" w:ascii="宋体"/>
          <w:b/>
          <w:sz w:val="32"/>
          <w:szCs w:val="32"/>
        </w:rPr>
        <w:sectPr>
          <w:headerReference r:id="rId6" w:type="default"/>
          <w:footerReference r:id="rId7" w:type="default"/>
          <w:pgSz w:w="11906" w:h="16838"/>
          <w:pgMar w:top="1134" w:right="1134" w:bottom="1134" w:left="1134" w:header="851" w:footer="992" w:gutter="0"/>
          <w:cols w:space="720" w:num="1"/>
          <w:docGrid w:type="linesAndChars" w:linePitch="312" w:charSpace="0"/>
        </w:sectPr>
      </w:pPr>
    </w:p>
    <w:p w14:paraId="754422A4">
      <w:pPr>
        <w:spacing w:line="400" w:lineRule="exact"/>
        <w:ind w:firstLine="435"/>
        <w:rPr>
          <w:rFonts w:hint="eastAsia" w:ascii="宋体"/>
          <w:b/>
          <w:bCs/>
          <w:sz w:val="28"/>
          <w:szCs w:val="28"/>
        </w:rPr>
      </w:pPr>
      <w:r>
        <w:rPr>
          <w:rFonts w:hint="eastAsia" w:ascii="宋体"/>
          <w:b/>
          <w:bCs/>
          <w:sz w:val="28"/>
          <w:szCs w:val="28"/>
        </w:rPr>
        <w:t>标项三采购预算：1085.1100万元</w:t>
      </w:r>
    </w:p>
    <w:tbl>
      <w:tblPr>
        <w:tblStyle w:val="49"/>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977"/>
        <w:gridCol w:w="225"/>
        <w:gridCol w:w="8076"/>
      </w:tblGrid>
      <w:tr w14:paraId="44EC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Borders>
              <w:top w:val="single" w:color="auto" w:sz="4" w:space="0"/>
              <w:left w:val="single" w:color="auto" w:sz="4" w:space="0"/>
              <w:bottom w:val="single" w:color="auto" w:sz="4" w:space="0"/>
              <w:right w:val="single" w:color="auto" w:sz="4" w:space="0"/>
            </w:tcBorders>
            <w:vAlign w:val="center"/>
          </w:tcPr>
          <w:p w14:paraId="6C050316">
            <w:pPr>
              <w:spacing w:line="380" w:lineRule="exact"/>
              <w:jc w:val="center"/>
              <w:rPr>
                <w:rFonts w:hint="eastAsia" w:ascii="宋体" w:hAnsi="宋体" w:cs="宋体"/>
                <w:b/>
                <w:szCs w:val="21"/>
              </w:rPr>
            </w:pPr>
            <w:r>
              <w:rPr>
                <w:rFonts w:hint="eastAsia" w:ascii="宋体" w:hAnsi="宋体" w:cs="宋体"/>
                <w:b/>
                <w:szCs w:val="21"/>
              </w:rPr>
              <w:t>项号</w:t>
            </w:r>
          </w:p>
        </w:tc>
        <w:tc>
          <w:tcPr>
            <w:tcW w:w="1202" w:type="dxa"/>
            <w:gridSpan w:val="2"/>
            <w:tcBorders>
              <w:top w:val="single" w:color="auto" w:sz="4" w:space="0"/>
              <w:left w:val="single" w:color="auto" w:sz="4" w:space="0"/>
              <w:bottom w:val="single" w:color="auto" w:sz="4" w:space="0"/>
              <w:right w:val="single" w:color="auto" w:sz="4" w:space="0"/>
            </w:tcBorders>
            <w:vAlign w:val="center"/>
          </w:tcPr>
          <w:p w14:paraId="08BC5790">
            <w:pPr>
              <w:spacing w:line="380" w:lineRule="exact"/>
              <w:jc w:val="center"/>
              <w:rPr>
                <w:rFonts w:hint="eastAsia" w:ascii="宋体" w:hAnsi="宋体" w:cs="宋体"/>
                <w:b/>
                <w:szCs w:val="21"/>
              </w:rPr>
            </w:pPr>
            <w:r>
              <w:rPr>
                <w:rFonts w:hint="eastAsia" w:ascii="宋体" w:hAnsi="宋体" w:cs="宋体"/>
                <w:b/>
                <w:szCs w:val="21"/>
              </w:rPr>
              <w:t>服务</w:t>
            </w:r>
          </w:p>
          <w:p w14:paraId="7A669CA6">
            <w:pPr>
              <w:spacing w:line="380" w:lineRule="exact"/>
              <w:jc w:val="center"/>
              <w:rPr>
                <w:rFonts w:hint="eastAsia" w:ascii="宋体" w:hAnsi="宋体" w:cs="宋体"/>
                <w:b/>
                <w:szCs w:val="21"/>
              </w:rPr>
            </w:pPr>
            <w:r>
              <w:rPr>
                <w:rFonts w:hint="eastAsia" w:ascii="宋体" w:hAnsi="宋体" w:cs="宋体"/>
                <w:b/>
                <w:szCs w:val="21"/>
              </w:rPr>
              <w:t>名称</w:t>
            </w:r>
          </w:p>
        </w:tc>
        <w:tc>
          <w:tcPr>
            <w:tcW w:w="8076" w:type="dxa"/>
            <w:tcBorders>
              <w:top w:val="single" w:color="auto" w:sz="4" w:space="0"/>
              <w:left w:val="single" w:color="auto" w:sz="4" w:space="0"/>
              <w:bottom w:val="single" w:color="auto" w:sz="4" w:space="0"/>
              <w:right w:val="single" w:color="auto" w:sz="4" w:space="0"/>
            </w:tcBorders>
            <w:vAlign w:val="center"/>
          </w:tcPr>
          <w:p w14:paraId="031E5E1C">
            <w:pPr>
              <w:spacing w:line="380" w:lineRule="exact"/>
              <w:jc w:val="center"/>
              <w:rPr>
                <w:rFonts w:hint="eastAsia" w:ascii="宋体" w:hAnsi="宋体" w:cs="宋体"/>
                <w:b/>
                <w:szCs w:val="21"/>
              </w:rPr>
            </w:pPr>
            <w:r>
              <w:rPr>
                <w:rFonts w:hint="eastAsia" w:ascii="宋体" w:hAnsi="宋体" w:cs="宋体"/>
                <w:b/>
                <w:szCs w:val="21"/>
              </w:rPr>
              <w:t>服务内容和要求</w:t>
            </w:r>
          </w:p>
        </w:tc>
      </w:tr>
      <w:tr w14:paraId="0650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Borders>
              <w:top w:val="single" w:color="auto" w:sz="4" w:space="0"/>
              <w:left w:val="single" w:color="auto" w:sz="4" w:space="0"/>
              <w:bottom w:val="single" w:color="auto" w:sz="4" w:space="0"/>
              <w:right w:val="single" w:color="auto" w:sz="4" w:space="0"/>
            </w:tcBorders>
            <w:vAlign w:val="center"/>
          </w:tcPr>
          <w:p w14:paraId="247A4466">
            <w:pPr>
              <w:spacing w:line="380" w:lineRule="exact"/>
              <w:ind w:firstLine="105" w:firstLineChars="50"/>
              <w:rPr>
                <w:rFonts w:hint="eastAsia" w:ascii="宋体" w:hAnsi="宋体" w:cs="宋体"/>
                <w:szCs w:val="21"/>
              </w:rPr>
            </w:pPr>
            <w:r>
              <w:rPr>
                <w:rFonts w:hint="eastAsia" w:ascii="宋体" w:hAnsi="宋体" w:cs="宋体"/>
                <w:szCs w:val="21"/>
              </w:rPr>
              <w:t>1</w:t>
            </w:r>
          </w:p>
        </w:tc>
        <w:tc>
          <w:tcPr>
            <w:tcW w:w="1202" w:type="dxa"/>
            <w:gridSpan w:val="2"/>
            <w:tcBorders>
              <w:top w:val="single" w:color="auto" w:sz="4" w:space="0"/>
              <w:left w:val="single" w:color="auto" w:sz="4" w:space="0"/>
              <w:bottom w:val="single" w:color="auto" w:sz="4" w:space="0"/>
              <w:right w:val="single" w:color="auto" w:sz="4" w:space="0"/>
            </w:tcBorders>
            <w:vAlign w:val="center"/>
          </w:tcPr>
          <w:p w14:paraId="2204427E">
            <w:pPr>
              <w:spacing w:line="380" w:lineRule="exact"/>
              <w:jc w:val="center"/>
              <w:rPr>
                <w:rFonts w:hint="eastAsia" w:ascii="宋体" w:hAnsi="宋体" w:cs="宋体"/>
                <w:szCs w:val="21"/>
              </w:rPr>
            </w:pPr>
            <w:r>
              <w:rPr>
                <w:rFonts w:hint="eastAsia" w:ascii="宋体" w:hAnsi="宋体" w:cs="宋体"/>
                <w:kern w:val="0"/>
                <w:szCs w:val="21"/>
                <w:lang w:eastAsia="zh-CN"/>
              </w:rPr>
              <w:t>309项目配套AI算力租赁项目</w:t>
            </w:r>
            <w:r>
              <w:rPr>
                <w:rFonts w:hint="eastAsia" w:ascii="宋体" w:hAnsi="宋体" w:cs="宋体"/>
                <w:kern w:val="0"/>
                <w:szCs w:val="21"/>
              </w:rPr>
              <w:t>（C）1项</w:t>
            </w:r>
          </w:p>
        </w:tc>
        <w:tc>
          <w:tcPr>
            <w:tcW w:w="8076" w:type="dxa"/>
            <w:tcBorders>
              <w:top w:val="single" w:color="auto" w:sz="4" w:space="0"/>
              <w:left w:val="single" w:color="auto" w:sz="4" w:space="0"/>
              <w:bottom w:val="single" w:color="auto" w:sz="4" w:space="0"/>
              <w:right w:val="single" w:color="auto" w:sz="4" w:space="0"/>
            </w:tcBorders>
          </w:tcPr>
          <w:p w14:paraId="725920EF">
            <w:pPr>
              <w:spacing w:line="380" w:lineRule="exact"/>
              <w:outlineLvl w:val="0"/>
              <w:rPr>
                <w:rFonts w:hint="eastAsia" w:ascii="宋体" w:hAnsi="宋体" w:cs="宋体"/>
                <w:b/>
                <w:bCs/>
                <w:szCs w:val="21"/>
              </w:rPr>
            </w:pPr>
            <w:r>
              <w:rPr>
                <w:rFonts w:hint="eastAsia" w:ascii="宋体" w:hAnsi="宋体" w:cs="宋体"/>
                <w:b/>
                <w:bCs/>
                <w:szCs w:val="21"/>
              </w:rPr>
              <w:t>一、本项目采购的主要服务内容包括：</w:t>
            </w:r>
          </w:p>
          <w:p w14:paraId="01B4CB5F">
            <w:pPr>
              <w:spacing w:line="380" w:lineRule="exact"/>
              <w:rPr>
                <w:rFonts w:hint="eastAsia" w:ascii="宋体" w:hAnsi="宋体" w:cs="宋体"/>
                <w:szCs w:val="21"/>
              </w:rPr>
            </w:pPr>
            <w:r>
              <w:rPr>
                <w:rFonts w:hint="eastAsia" w:ascii="宋体" w:hAnsi="宋体" w:cs="宋体"/>
                <w:szCs w:val="21"/>
              </w:rPr>
              <w:t>租赁算力资源包括AI算力服务器、网络交换机、AI推理服务存储等内容，部署在采购人指定的C机房中。</w:t>
            </w:r>
          </w:p>
          <w:p w14:paraId="68C39503">
            <w:pPr>
              <w:spacing w:line="380" w:lineRule="exact"/>
              <w:rPr>
                <w:rFonts w:hint="eastAsia" w:ascii="宋体" w:hAnsi="宋体" w:cs="宋体"/>
                <w:b/>
                <w:bCs/>
                <w:szCs w:val="21"/>
              </w:rPr>
            </w:pPr>
            <w:r>
              <w:rPr>
                <w:rFonts w:hint="eastAsia" w:ascii="宋体" w:hAnsi="宋体" w:cs="宋体"/>
                <w:b/>
                <w:bCs/>
                <w:szCs w:val="21"/>
              </w:rPr>
              <w:t>（一）算力资源总体性能及配置要求（可由一台或多台服务器硬件设备满足）：</w:t>
            </w:r>
          </w:p>
          <w:p w14:paraId="4CE26682">
            <w:pPr>
              <w:spacing w:line="380" w:lineRule="exact"/>
              <w:rPr>
                <w:rFonts w:hint="eastAsia" w:ascii="宋体" w:hAnsi="宋体" w:cs="宋体"/>
                <w:szCs w:val="21"/>
              </w:rPr>
            </w:pPr>
            <w:r>
              <w:rPr>
                <w:rFonts w:hint="eastAsia" w:ascii="宋体" w:hAnsi="宋体" w:cs="宋体"/>
                <w:szCs w:val="21"/>
              </w:rPr>
              <w:t>▲1、所有服务器均须配置相同规格的算力卡，且单卡FP16算力≥310 TFLOPS，单卡提供≥64GB HBM，单卡速度≥1600GB/S，算力卡支持直出200G 网口；</w:t>
            </w:r>
          </w:p>
          <w:p w14:paraId="196227BC">
            <w:pPr>
              <w:spacing w:line="38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、共配置AI算力：≥24.8 PFLOPS FP16；共配置总显存≥5120GB HBM；</w:t>
            </w:r>
          </w:p>
          <w:p w14:paraId="31ECD4BC">
            <w:pPr>
              <w:spacing w:line="38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、共配置≥40个符合国家安全可靠测评要求的CPU处理器，单个CPU处理器核数≥48核（物理核），频率≥2.6 GHz，单台服务器提供≥4颗CPU处理器；</w:t>
            </w:r>
          </w:p>
          <w:p w14:paraId="30C4467F">
            <w:pPr>
              <w:spacing w:line="38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、内存配置总容量≥10240GB DDR4 ECC，单条内存≥32GB，频率 ≥3200MHz；</w:t>
            </w:r>
          </w:p>
          <w:p w14:paraId="4F9AF377">
            <w:pPr>
              <w:spacing w:line="38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、共配置≥20*480GB SATA SSD，顺序读写@128KB速率≥400MB/s，共配置≥20*3.84TB NVMe SSD，顺序读写@128KB速率≥4500MB/S；</w:t>
            </w:r>
          </w:p>
          <w:p w14:paraId="607B799D">
            <w:pPr>
              <w:spacing w:line="380" w:lineRule="exact"/>
              <w:rPr>
                <w:rFonts w:hint="eastAsia" w:ascii="宋体" w:hAnsi="宋体" w:cs="宋体"/>
                <w:szCs w:val="21"/>
              </w:rPr>
            </w:pPr>
            <w:r>
              <w:rPr>
                <w:rFonts w:hint="eastAsia" w:ascii="宋体" w:hAnsi="宋体" w:cs="宋体"/>
                <w:szCs w:val="21"/>
              </w:rPr>
              <w:t>▲6、每台服务器配置≥2个25GE网口（含模块），≥2个100G网口（含模块），≥8个200GE RoCE网口（含光模块）；</w:t>
            </w:r>
          </w:p>
          <w:p w14:paraId="404559C5">
            <w:pPr>
              <w:spacing w:line="380" w:lineRule="exact"/>
              <w:rPr>
                <w:rFonts w:hint="eastAsia" w:ascii="宋体" w:hAnsi="宋体" w:cs="宋体"/>
                <w:szCs w:val="21"/>
              </w:rPr>
            </w:pPr>
            <w:r>
              <w:rPr>
                <w:rFonts w:hint="eastAsia" w:ascii="宋体" w:hAnsi="宋体" w:cs="宋体"/>
                <w:szCs w:val="21"/>
              </w:rPr>
              <w:t>●7、承载服务的服务器产品AI处理器芯片满足GM/T 0008《安全芯片密码检测准则》第一级要求的产品标准和技术要求，具备商用密码产品认证材料；（投标时提供商用密码检测认证中心发布的认证证书扫描件或复印件，并加盖公章）</w:t>
            </w:r>
          </w:p>
          <w:p w14:paraId="4C604019">
            <w:pPr>
              <w:spacing w:line="380" w:lineRule="exact"/>
              <w:rPr>
                <w:rFonts w:hint="eastAsia" w:ascii="宋体" w:hAnsi="宋体" w:cs="宋体"/>
                <w:szCs w:val="21"/>
              </w:rPr>
            </w:pPr>
            <w:r>
              <w:rPr>
                <w:rFonts w:hint="eastAsia" w:ascii="宋体" w:hAnsi="宋体" w:cs="宋体"/>
                <w:szCs w:val="21"/>
              </w:rPr>
              <w:t>8、每台服务器配置≥4块2600W交流电源，支持2+2冗余；</w:t>
            </w:r>
          </w:p>
          <w:p w14:paraId="3D4FBCBE">
            <w:pPr>
              <w:spacing w:line="380" w:lineRule="exact"/>
              <w:rPr>
                <w:rFonts w:hint="eastAsia" w:ascii="宋体" w:hAnsi="宋体" w:cs="宋体"/>
                <w:szCs w:val="21"/>
              </w:rPr>
            </w:pPr>
            <w:r>
              <w:rPr>
                <w:rFonts w:hint="eastAsia" w:ascii="宋体" w:hAnsi="宋体" w:cs="宋体"/>
                <w:szCs w:val="21"/>
              </w:rPr>
              <w:t>9、配置AI算力管理平台，需满足以下功能：</w:t>
            </w:r>
          </w:p>
          <w:p w14:paraId="389BB0FB">
            <w:pPr>
              <w:spacing w:line="380" w:lineRule="exact"/>
              <w:rPr>
                <w:rFonts w:hint="eastAsia" w:ascii="宋体" w:hAnsi="宋体" w:cs="宋体"/>
                <w:szCs w:val="21"/>
              </w:rPr>
            </w:pPr>
            <w:r>
              <w:rPr>
                <w:rFonts w:hint="eastAsia" w:ascii="宋体" w:hAnsi="宋体" w:cs="宋体"/>
                <w:szCs w:val="21"/>
              </w:rPr>
              <w:t>（1）资源管理：</w:t>
            </w:r>
          </w:p>
          <w:p w14:paraId="769910C6">
            <w:pPr>
              <w:spacing w:line="380" w:lineRule="exact"/>
              <w:rPr>
                <w:rFonts w:hint="eastAsia" w:ascii="宋体" w:hAnsi="宋体" w:cs="宋体"/>
                <w:szCs w:val="21"/>
              </w:rPr>
            </w:pPr>
            <w:r>
              <w:rPr>
                <w:rFonts w:hint="eastAsia" w:ascii="宋体" w:hAnsi="宋体" w:cs="宋体"/>
                <w:szCs w:val="21"/>
              </w:rPr>
              <w:t>①算力资源池：支持创建资源池，开启NPU或GPU虚拟化；支持在一个资源池里灵活增加节点或者删除节点。</w:t>
            </w:r>
          </w:p>
          <w:p w14:paraId="5DD7DF81">
            <w:pPr>
              <w:spacing w:line="380" w:lineRule="exact"/>
              <w:rPr>
                <w:rFonts w:hint="eastAsia" w:ascii="宋体" w:hAnsi="宋体" w:cs="宋体"/>
                <w:szCs w:val="21"/>
              </w:rPr>
            </w:pPr>
            <w:r>
              <w:rPr>
                <w:rFonts w:hint="eastAsia" w:ascii="宋体" w:hAnsi="宋体" w:cs="宋体"/>
                <w:szCs w:val="21"/>
              </w:rPr>
              <w:t>●②算力资源调度中心：创建智能化的算力资源调度中枢，支持主站点与分站点的算力资源监测与管理，包括算力机数量、型号、算力卡使用量监测、CPU使用量监测、内存、显存、运行状态的监测与管理。(投标时提供软件系统功能截图，并加盖公章)</w:t>
            </w:r>
          </w:p>
          <w:p w14:paraId="74F56F4B">
            <w:pPr>
              <w:spacing w:line="380" w:lineRule="exact"/>
              <w:rPr>
                <w:rFonts w:hint="eastAsia" w:ascii="宋体" w:hAnsi="宋体" w:cs="宋体"/>
                <w:szCs w:val="21"/>
              </w:rPr>
            </w:pPr>
            <w:r>
              <w:rPr>
                <w:rFonts w:hint="eastAsia" w:ascii="宋体" w:hAnsi="宋体" w:cs="宋体"/>
                <w:szCs w:val="21"/>
              </w:rPr>
              <w:t>③支持多种大语言模型、多模态模型、向量模型、语音模型的集成，如Qwen、QWQ、Deepseek、GLM。提供模型管理功能，包括模型的添加、删除及配置。</w:t>
            </w:r>
          </w:p>
          <w:p w14:paraId="736DBAB4">
            <w:pPr>
              <w:spacing w:line="380" w:lineRule="exact"/>
              <w:rPr>
                <w:rFonts w:hint="eastAsia" w:ascii="宋体" w:hAnsi="宋体" w:cs="宋体"/>
                <w:szCs w:val="21"/>
              </w:rPr>
            </w:pPr>
            <w:r>
              <w:rPr>
                <w:rFonts w:hint="eastAsia" w:ascii="宋体" w:hAnsi="宋体" w:cs="宋体"/>
                <w:szCs w:val="21"/>
              </w:rPr>
              <w:t>④模型状态监测：平台总揽包括目前接入站点数、算力机数、算力显卡数、本地模型数以及树型分级展示各级节点接入情况深色表示在线；列表形式展示各几点配置情况包括算力机数、算力显卡数、本地模型数；统计平台系统负载、活跃模型排行、API以及Token使用量。</w:t>
            </w:r>
          </w:p>
          <w:p w14:paraId="347828E8">
            <w:pPr>
              <w:spacing w:line="380" w:lineRule="exact"/>
              <w:rPr>
                <w:rFonts w:hint="eastAsia" w:ascii="宋体" w:hAnsi="宋体" w:cs="宋体"/>
                <w:szCs w:val="21"/>
              </w:rPr>
            </w:pPr>
            <w:r>
              <w:rPr>
                <w:rFonts w:hint="eastAsia" w:ascii="宋体" w:hAnsi="宋体" w:cs="宋体"/>
                <w:szCs w:val="21"/>
              </w:rPr>
              <w:t>⑤多模态试验场：支持对问答、生图、语音转换、文本嵌入、重排序模型进行实时调用验证、模型对比。</w:t>
            </w:r>
          </w:p>
          <w:p w14:paraId="1877E50D">
            <w:pPr>
              <w:spacing w:line="380" w:lineRule="exact"/>
              <w:rPr>
                <w:rFonts w:hint="eastAsia" w:ascii="宋体" w:hAnsi="宋体" w:cs="宋体"/>
                <w:szCs w:val="21"/>
              </w:rPr>
            </w:pPr>
            <w:r>
              <w:rPr>
                <w:rFonts w:hint="eastAsia" w:ascii="宋体" w:hAnsi="宋体" w:cs="宋体"/>
                <w:szCs w:val="21"/>
              </w:rPr>
              <w:t>（2）模型训练：</w:t>
            </w:r>
          </w:p>
          <w:p w14:paraId="0201D799">
            <w:pPr>
              <w:spacing w:line="380" w:lineRule="exact"/>
              <w:rPr>
                <w:rFonts w:hint="eastAsia" w:ascii="宋体" w:hAnsi="宋体" w:cs="宋体"/>
                <w:szCs w:val="21"/>
              </w:rPr>
            </w:pPr>
            <w:r>
              <w:rPr>
                <w:rFonts w:hint="eastAsia" w:ascii="宋体" w:hAnsi="宋体" w:cs="宋体"/>
                <w:szCs w:val="21"/>
              </w:rPr>
              <w:t>①支持基于K8S容器的模型训练；支持结构化和非结构化数据存储；支持查看训练任务情况。</w:t>
            </w:r>
          </w:p>
          <w:p w14:paraId="3986F92A">
            <w:pPr>
              <w:spacing w:line="380" w:lineRule="exact"/>
              <w:rPr>
                <w:rFonts w:hint="eastAsia" w:ascii="宋体" w:hAnsi="宋体" w:cs="宋体"/>
                <w:szCs w:val="21"/>
              </w:rPr>
            </w:pPr>
            <w:r>
              <w:rPr>
                <w:rFonts w:hint="eastAsia" w:ascii="宋体" w:hAnsi="宋体" w:cs="宋体"/>
                <w:szCs w:val="21"/>
              </w:rPr>
              <w:t>②模型训练：训练数据选择、训练方式选择、训练参数配置。</w:t>
            </w:r>
          </w:p>
          <w:p w14:paraId="2DF9AAE2">
            <w:pPr>
              <w:spacing w:line="380" w:lineRule="exact"/>
              <w:rPr>
                <w:rFonts w:hint="eastAsia" w:ascii="宋体" w:hAnsi="宋体" w:cs="宋体"/>
                <w:szCs w:val="21"/>
              </w:rPr>
            </w:pPr>
            <w:r>
              <w:rPr>
                <w:rFonts w:hint="eastAsia" w:ascii="宋体" w:hAnsi="宋体" w:cs="宋体"/>
                <w:szCs w:val="21"/>
              </w:rPr>
              <w:t>③模型评估：训练参数配置，包括算力卡批处理大小、截断长度、最大样本数等参数配置。</w:t>
            </w:r>
          </w:p>
          <w:p w14:paraId="5B37EA3C">
            <w:pPr>
              <w:spacing w:line="380" w:lineRule="exact"/>
              <w:rPr>
                <w:rFonts w:hint="eastAsia" w:ascii="宋体" w:hAnsi="宋体" w:cs="宋体"/>
                <w:szCs w:val="21"/>
              </w:rPr>
            </w:pPr>
            <w:r>
              <w:rPr>
                <w:rFonts w:hint="eastAsia" w:ascii="宋体" w:hAnsi="宋体" w:cs="宋体"/>
                <w:szCs w:val="21"/>
              </w:rPr>
              <w:t>④数据资产：本地数据集管理包括数据集名称、数据集大小、数据集路径、数据集简介等参数。</w:t>
            </w:r>
          </w:p>
          <w:p w14:paraId="4CBABB25">
            <w:pPr>
              <w:spacing w:line="380" w:lineRule="exact"/>
              <w:rPr>
                <w:rFonts w:hint="eastAsia" w:ascii="宋体" w:hAnsi="宋体" w:cs="宋体"/>
                <w:szCs w:val="21"/>
              </w:rPr>
            </w:pPr>
            <w:r>
              <w:rPr>
                <w:rFonts w:hint="eastAsia" w:ascii="宋体" w:hAnsi="宋体" w:cs="宋体"/>
                <w:szCs w:val="21"/>
              </w:rPr>
              <w:t>（3）模型推理：</w:t>
            </w:r>
          </w:p>
          <w:p w14:paraId="1C815480">
            <w:pPr>
              <w:spacing w:line="380" w:lineRule="exact"/>
              <w:rPr>
                <w:rFonts w:hint="eastAsia" w:ascii="宋体" w:hAnsi="宋体" w:cs="宋体"/>
                <w:szCs w:val="21"/>
              </w:rPr>
            </w:pPr>
            <w:r>
              <w:rPr>
                <w:rFonts w:hint="eastAsia" w:ascii="宋体" w:hAnsi="宋体" w:cs="宋体"/>
                <w:szCs w:val="21"/>
              </w:rPr>
              <w:t>①支持基于K8S容器化的模型推理；支持训练日志归集和下载；支持推理部署在不同的节点，防止节点故障影响业务。</w:t>
            </w:r>
          </w:p>
          <w:p w14:paraId="4D14D631">
            <w:pPr>
              <w:spacing w:line="380" w:lineRule="exact"/>
              <w:rPr>
                <w:rFonts w:hint="eastAsia" w:ascii="宋体" w:hAnsi="宋体" w:cs="宋体"/>
                <w:szCs w:val="21"/>
              </w:rPr>
            </w:pPr>
            <w:r>
              <w:rPr>
                <w:rFonts w:hint="eastAsia" w:ascii="宋体" w:hAnsi="宋体" w:cs="宋体"/>
                <w:szCs w:val="21"/>
              </w:rPr>
              <w:t>●②构建简易模型：基于通过提示词工程直接调用大模型构建简易模型，其中支持添加大模型本地支持库调用、语音识别组件调用。（投标时提供国家认可具有相应检测资质的第三方检测机构出具的关于该功能检测报告扫描件或复印件，并加盖公章）</w:t>
            </w:r>
          </w:p>
          <w:p w14:paraId="2C9BA1BD">
            <w:pPr>
              <w:spacing w:line="380" w:lineRule="exact"/>
              <w:rPr>
                <w:rFonts w:hint="eastAsia" w:ascii="宋体" w:hAnsi="宋体" w:cs="宋体"/>
                <w:szCs w:val="21"/>
              </w:rPr>
            </w:pPr>
            <w:r>
              <w:rPr>
                <w:rFonts w:hint="eastAsia" w:ascii="宋体" w:hAnsi="宋体" w:cs="宋体"/>
                <w:szCs w:val="21"/>
              </w:rPr>
              <w:t>●③构建工作流模型，通过可视化拖拉拽方式，创建复杂的工作流推理模型，形成公安智能模型的快速孵化与全生命周期管理生态。提供可视化的开发环境。（投标时提供国家认可具有相应检测资质的第三方检测机构出具的关于该功能检测报告扫描件或复印件，并加盖公章）</w:t>
            </w:r>
          </w:p>
          <w:p w14:paraId="61EBB7B3">
            <w:pPr>
              <w:spacing w:line="380" w:lineRule="exact"/>
              <w:rPr>
                <w:rFonts w:hint="eastAsia" w:ascii="宋体" w:hAnsi="宋体" w:cs="宋体"/>
                <w:szCs w:val="21"/>
              </w:rPr>
            </w:pPr>
            <w:r>
              <w:rPr>
                <w:rFonts w:hint="eastAsia" w:ascii="宋体" w:hAnsi="宋体" w:cs="宋体"/>
                <w:szCs w:val="21"/>
              </w:rPr>
              <w:t>④丰富的模型创建工具：集成丰富的行业算法模型库、业务组件模板，包括AI对话、知识库搜索、问题分类、文本内容提取、工具调用、HTTP请求、判断器、关系图、思维导图、MCP数据总线插件资源。</w:t>
            </w:r>
          </w:p>
          <w:p w14:paraId="3DD1CBB8">
            <w:pPr>
              <w:spacing w:line="380" w:lineRule="exact"/>
              <w:rPr>
                <w:rFonts w:hint="eastAsia" w:ascii="宋体" w:hAnsi="宋体" w:cs="宋体"/>
                <w:szCs w:val="21"/>
              </w:rPr>
            </w:pPr>
            <w:r>
              <w:rPr>
                <w:rFonts w:hint="eastAsia" w:ascii="宋体" w:hAnsi="宋体" w:cs="宋体"/>
                <w:szCs w:val="21"/>
              </w:rPr>
              <w:t>●⑤MCP数据总线：MCP数据总线的创建、调用以及管理控制。（投标时提供国家认可具有相应检测资质的第三方检测机构出具的关于该功能检测报告扫描件或复印件，并加盖公章）</w:t>
            </w:r>
          </w:p>
          <w:p w14:paraId="4B6B0C30">
            <w:pPr>
              <w:spacing w:line="380" w:lineRule="exact"/>
              <w:rPr>
                <w:rFonts w:hint="eastAsia" w:ascii="宋体" w:hAnsi="宋体" w:cs="宋体"/>
                <w:szCs w:val="21"/>
              </w:rPr>
            </w:pPr>
            <w:r>
              <w:rPr>
                <w:rFonts w:hint="eastAsia" w:ascii="宋体" w:hAnsi="宋体" w:cs="宋体"/>
                <w:szCs w:val="21"/>
              </w:rPr>
              <w:t>⑥支持本地模型分享，可将创建好的模型设计分享给其他用户。</w:t>
            </w:r>
          </w:p>
          <w:p w14:paraId="7D7B07B2">
            <w:pPr>
              <w:spacing w:line="380" w:lineRule="exact"/>
              <w:rPr>
                <w:rFonts w:hint="eastAsia" w:ascii="宋体" w:hAnsi="宋体" w:cs="宋体"/>
                <w:szCs w:val="21"/>
              </w:rPr>
            </w:pPr>
            <w:r>
              <w:rPr>
                <w:rFonts w:hint="eastAsia" w:ascii="宋体" w:hAnsi="宋体" w:cs="宋体"/>
                <w:szCs w:val="21"/>
              </w:rPr>
              <w:t>⑦大模型知识库：支持大模型知识库的创建与管理工作，能够有力支持快速创建大模型知识库，文档导入兼容多种格式，如PDF、DOCX、TXT等，编辑环节支持可视化界面，搜索结果支持依据相关性、热度等要素进行智能排序。</w:t>
            </w:r>
          </w:p>
          <w:p w14:paraId="719F272A">
            <w:pPr>
              <w:spacing w:line="380" w:lineRule="exact"/>
              <w:rPr>
                <w:rFonts w:hint="eastAsia" w:ascii="宋体" w:hAnsi="宋体" w:cs="宋体"/>
                <w:szCs w:val="21"/>
              </w:rPr>
            </w:pPr>
            <w:r>
              <w:rPr>
                <w:rFonts w:hint="eastAsia" w:ascii="宋体" w:hAnsi="宋体" w:cs="宋体"/>
                <w:szCs w:val="21"/>
              </w:rPr>
              <w:t>●⑧支持根据需求接入已有数据服务器作为MCP能力服务，支持本地构建特有MCP服务，将本地服务能力作为MCP服务发布，支持按需申请MCP服务调用权限，提供可视化申请界面。(投标时需提供软件系统截图，并加盖公章)</w:t>
            </w:r>
          </w:p>
          <w:p w14:paraId="4310EC1B">
            <w:pPr>
              <w:spacing w:line="380" w:lineRule="exact"/>
              <w:rPr>
                <w:rFonts w:hint="eastAsia" w:ascii="宋体" w:hAnsi="宋体" w:cs="宋体"/>
                <w:szCs w:val="21"/>
              </w:rPr>
            </w:pPr>
            <w:r>
              <w:rPr>
                <w:rFonts w:hint="eastAsia" w:ascii="宋体" w:hAnsi="宋体" w:cs="宋体"/>
                <w:szCs w:val="21"/>
              </w:rPr>
              <w:t>（4）集群运维：</w:t>
            </w:r>
          </w:p>
          <w:p w14:paraId="1F85C432">
            <w:pPr>
              <w:spacing w:line="380" w:lineRule="exact"/>
              <w:rPr>
                <w:rFonts w:hint="eastAsia" w:ascii="宋体" w:hAnsi="宋体" w:cs="宋体"/>
                <w:szCs w:val="21"/>
              </w:rPr>
            </w:pPr>
            <w:r>
              <w:rPr>
                <w:rFonts w:hint="eastAsia" w:ascii="宋体" w:hAnsi="宋体" w:cs="宋体"/>
                <w:szCs w:val="21"/>
              </w:rPr>
              <w:t>①支持K8S容器的部署和扩缩容；</w:t>
            </w:r>
          </w:p>
          <w:p w14:paraId="232B7E02">
            <w:pPr>
              <w:spacing w:line="380" w:lineRule="exact"/>
              <w:rPr>
                <w:rFonts w:hint="eastAsia" w:ascii="宋体" w:hAnsi="宋体" w:cs="宋体"/>
                <w:szCs w:val="21"/>
              </w:rPr>
            </w:pPr>
            <w:r>
              <w:rPr>
                <w:rFonts w:hint="eastAsia" w:ascii="宋体" w:hAnsi="宋体" w:cs="宋体"/>
                <w:szCs w:val="21"/>
              </w:rPr>
              <w:t>②支持管控角色HA部署；</w:t>
            </w:r>
          </w:p>
          <w:p w14:paraId="72B6C678">
            <w:pPr>
              <w:spacing w:line="380" w:lineRule="exact"/>
              <w:rPr>
                <w:rFonts w:hint="eastAsia" w:ascii="宋体" w:hAnsi="宋体" w:cs="宋体"/>
                <w:szCs w:val="21"/>
              </w:rPr>
            </w:pPr>
            <w:r>
              <w:rPr>
                <w:rFonts w:hint="eastAsia" w:ascii="宋体" w:hAnsi="宋体" w:cs="宋体"/>
                <w:szCs w:val="21"/>
              </w:rPr>
              <w:t>③支持集群服务的健康检查、集群服务的故障和亚健康时告警；</w:t>
            </w:r>
          </w:p>
          <w:p w14:paraId="51EB1264">
            <w:pPr>
              <w:spacing w:line="380" w:lineRule="exact"/>
              <w:rPr>
                <w:rFonts w:hint="eastAsia" w:ascii="宋体" w:hAnsi="宋体" w:cs="宋体"/>
                <w:szCs w:val="21"/>
              </w:rPr>
            </w:pPr>
            <w:r>
              <w:rPr>
                <w:rFonts w:hint="eastAsia" w:ascii="宋体" w:hAnsi="宋体" w:cs="宋体"/>
                <w:szCs w:val="21"/>
              </w:rPr>
              <w:t>④支持故障节点替换后恢复实例。</w:t>
            </w:r>
          </w:p>
          <w:p w14:paraId="6923068D">
            <w:pPr>
              <w:spacing w:line="380" w:lineRule="exact"/>
              <w:rPr>
                <w:rFonts w:hint="eastAsia" w:ascii="宋体" w:hAnsi="宋体" w:cs="宋体"/>
                <w:szCs w:val="21"/>
              </w:rPr>
            </w:pPr>
            <w:r>
              <w:rPr>
                <w:rFonts w:hint="eastAsia" w:ascii="宋体" w:hAnsi="宋体" w:cs="宋体"/>
                <w:szCs w:val="21"/>
              </w:rPr>
              <w:t>10、本项目服务期内，提供三年原厂上门软硬件技术支持与售后服务（包括硬件保修、软件升级和介质保留），服务期满后存储盘留存给采购人。</w:t>
            </w:r>
          </w:p>
          <w:p w14:paraId="53FE0388">
            <w:pPr>
              <w:spacing w:line="380" w:lineRule="exact"/>
              <w:rPr>
                <w:rFonts w:hint="eastAsia" w:ascii="宋体" w:hAnsi="宋体" w:cs="宋体"/>
                <w:b/>
                <w:bCs/>
                <w:szCs w:val="21"/>
              </w:rPr>
            </w:pPr>
            <w:r>
              <w:rPr>
                <w:rFonts w:hint="eastAsia" w:ascii="宋体" w:hAnsi="宋体" w:cs="宋体"/>
                <w:b/>
                <w:bCs/>
                <w:szCs w:val="21"/>
              </w:rPr>
              <w:t>（二）网络交换机性能及配置要求：</w:t>
            </w:r>
          </w:p>
          <w:p w14:paraId="6E8B954C">
            <w:pPr>
              <w:spacing w:line="380" w:lineRule="exact"/>
              <w:rPr>
                <w:rFonts w:hint="eastAsia" w:ascii="宋体" w:hAnsi="宋体" w:cs="宋体"/>
                <w:szCs w:val="21"/>
              </w:rPr>
            </w:pPr>
            <w:r>
              <w:rPr>
                <w:rFonts w:hint="eastAsia" w:ascii="宋体" w:hAnsi="宋体" w:cs="宋体"/>
                <w:szCs w:val="21"/>
              </w:rPr>
              <w:t>1、参数面交换机（≥1台）：</w:t>
            </w:r>
          </w:p>
          <w:p w14:paraId="114437E7">
            <w:pPr>
              <w:spacing w:line="380" w:lineRule="exact"/>
              <w:rPr>
                <w:rFonts w:hint="eastAsia" w:ascii="宋体" w:hAnsi="宋体" w:cs="宋体"/>
                <w:szCs w:val="21"/>
              </w:rPr>
            </w:pPr>
            <w:r>
              <w:rPr>
                <w:rFonts w:hint="eastAsia" w:ascii="宋体" w:hAnsi="宋体" w:cs="宋体"/>
                <w:szCs w:val="21"/>
              </w:rPr>
              <w:t>▲（1）单台交换容量≥100Tbps，包转发率≥20000Mpps，单台提供≥128个200GE端口接入能力，并配置≥80个200G光模块，端口数量需满足算力池集群组网要求，单台提供可插拔交流电源模块≥4个，提供可插拔风扇模块≥6个；</w:t>
            </w:r>
          </w:p>
          <w:p w14:paraId="1429F1AE">
            <w:pPr>
              <w:spacing w:line="380" w:lineRule="exact"/>
              <w:rPr>
                <w:rFonts w:hint="eastAsia" w:ascii="宋体" w:hAnsi="宋体" w:cs="宋体"/>
                <w:szCs w:val="21"/>
              </w:rPr>
            </w:pPr>
            <w:r>
              <w:rPr>
                <w:rFonts w:hint="eastAsia" w:ascii="宋体" w:hAnsi="宋体" w:cs="宋体"/>
                <w:szCs w:val="21"/>
              </w:rPr>
              <w:t>●（2）支持AI ECN，支持网络级负载技术；（投标时提供国家认可具有相应检测资质的第三方检测机构出具的关于该功能检测报告扫描件或复印件，并加盖公章）</w:t>
            </w:r>
          </w:p>
          <w:p w14:paraId="0919E2EA">
            <w:pPr>
              <w:spacing w:line="380" w:lineRule="exact"/>
              <w:rPr>
                <w:rFonts w:hint="eastAsia" w:ascii="宋体" w:hAnsi="宋体" w:cs="宋体"/>
                <w:szCs w:val="21"/>
              </w:rPr>
            </w:pPr>
            <w:r>
              <w:rPr>
                <w:rFonts w:hint="eastAsia" w:ascii="宋体" w:hAnsi="宋体" w:cs="宋体"/>
                <w:szCs w:val="21"/>
              </w:rPr>
              <w:t>（3）支持PFC死锁预防，通过识别易造成 PFC 死锁的业务流，修改队列优先级，从而预防 PFC死锁的发生；</w:t>
            </w:r>
          </w:p>
          <w:p w14:paraId="4AF4A37F">
            <w:pPr>
              <w:spacing w:line="380" w:lineRule="exact"/>
              <w:rPr>
                <w:rFonts w:hint="eastAsia" w:ascii="宋体" w:hAnsi="宋体" w:cs="宋体"/>
                <w:szCs w:val="21"/>
              </w:rPr>
            </w:pPr>
            <w:r>
              <w:rPr>
                <w:rFonts w:hint="eastAsia" w:ascii="宋体" w:hAnsi="宋体" w:cs="宋体"/>
                <w:szCs w:val="21"/>
              </w:rPr>
              <w:t>●（4）支持Packet Event，丢包可视、超长时延可视；（投标时提供国家认可具有相应检测资质的第三方检测机构出具的关于该功能检测报告扫描件或复印件，并加盖公章）</w:t>
            </w:r>
          </w:p>
          <w:p w14:paraId="58BA5B1D">
            <w:pPr>
              <w:spacing w:line="380" w:lineRule="exact"/>
              <w:rPr>
                <w:rFonts w:hint="eastAsia" w:ascii="宋体" w:hAnsi="宋体" w:cs="宋体"/>
                <w:szCs w:val="21"/>
              </w:rPr>
            </w:pPr>
            <w:r>
              <w:rPr>
                <w:rFonts w:hint="eastAsia" w:ascii="宋体" w:hAnsi="宋体" w:cs="宋体"/>
                <w:szCs w:val="21"/>
              </w:rPr>
              <w:t>●（5）支持 Netstream 满足10GE 1:1采样；（投标时提供国家认可具有相应检测资质的第三方检测机构出具的关于该功能检测报告扫描件或复印件，并加盖公章）</w:t>
            </w:r>
          </w:p>
          <w:p w14:paraId="156775A1">
            <w:pPr>
              <w:spacing w:line="380" w:lineRule="exact"/>
              <w:rPr>
                <w:rFonts w:hint="eastAsia" w:ascii="宋体" w:hAnsi="宋体" w:cs="宋体"/>
                <w:szCs w:val="21"/>
              </w:rPr>
            </w:pPr>
            <w:r>
              <w:rPr>
                <w:rFonts w:hint="eastAsia" w:ascii="宋体" w:hAnsi="宋体" w:cs="宋体"/>
                <w:szCs w:val="21"/>
              </w:rPr>
              <w:t>（6）支持 RDMA 和 RoCE（RoCE v1 和 RoCE v2）；</w:t>
            </w:r>
          </w:p>
          <w:p w14:paraId="49169453">
            <w:pPr>
              <w:spacing w:line="380" w:lineRule="exact"/>
              <w:rPr>
                <w:rFonts w:hint="eastAsia" w:ascii="宋体" w:hAnsi="宋体" w:cs="宋体"/>
                <w:szCs w:val="21"/>
              </w:rPr>
            </w:pPr>
            <w:r>
              <w:rPr>
                <w:rFonts w:hint="eastAsia" w:ascii="宋体" w:hAnsi="宋体" w:cs="宋体"/>
                <w:szCs w:val="21"/>
              </w:rPr>
              <w:t>（7）支持硬件 BFD，最小 3.3ms 发包间隔；</w:t>
            </w:r>
          </w:p>
          <w:p w14:paraId="05FD10BE">
            <w:pPr>
              <w:spacing w:line="380" w:lineRule="exact"/>
              <w:rPr>
                <w:rFonts w:hint="eastAsia" w:ascii="宋体" w:hAnsi="宋体" w:cs="宋体"/>
                <w:szCs w:val="21"/>
              </w:rPr>
            </w:pPr>
            <w:r>
              <w:rPr>
                <w:rFonts w:hint="eastAsia" w:ascii="宋体" w:hAnsi="宋体" w:cs="宋体"/>
                <w:szCs w:val="21"/>
              </w:rPr>
              <w:t>（8）支持 WRED、尾丢弃等拥塞避免机制；</w:t>
            </w:r>
          </w:p>
          <w:p w14:paraId="50131BA8">
            <w:pPr>
              <w:spacing w:line="380" w:lineRule="exact"/>
              <w:rPr>
                <w:rFonts w:hint="eastAsia" w:ascii="宋体" w:hAnsi="宋体" w:cs="宋体"/>
                <w:szCs w:val="21"/>
              </w:rPr>
            </w:pPr>
            <w:r>
              <w:rPr>
                <w:rFonts w:hint="eastAsia" w:ascii="宋体" w:hAnsi="宋体" w:cs="宋体"/>
                <w:szCs w:val="21"/>
              </w:rPr>
              <w:t>●（9）为算力资源池的后续持续扩容预留接入能力，端口支持从200GE切换至400G速率、支持拆分为2*200G，最大可提供≥256个200GE的接入能力。（投标时提供交换机端口支持切换至400G速率，支持拆分为2*200G的证明材料，证明材料需为国家认可具有相应检测资质的第三方检测机构出具的关于该功能检测报告扫描件或复印件，并加盖公章）</w:t>
            </w:r>
          </w:p>
          <w:p w14:paraId="6DB90E3C">
            <w:pPr>
              <w:spacing w:line="380" w:lineRule="exact"/>
              <w:rPr>
                <w:rFonts w:hint="eastAsia" w:ascii="宋体" w:hAnsi="宋体" w:cs="宋体"/>
                <w:szCs w:val="21"/>
              </w:rPr>
            </w:pPr>
            <w:r>
              <w:rPr>
                <w:rFonts w:hint="eastAsia" w:ascii="宋体" w:hAnsi="宋体" w:cs="宋体"/>
                <w:szCs w:val="21"/>
              </w:rPr>
              <w:t>2、业务面交换机（≥2台）：</w:t>
            </w:r>
          </w:p>
          <w:p w14:paraId="0CEE802A">
            <w:pPr>
              <w:spacing w:line="380" w:lineRule="exact"/>
              <w:rPr>
                <w:rFonts w:hint="eastAsia" w:ascii="宋体" w:hAnsi="宋体" w:cs="宋体"/>
                <w:szCs w:val="21"/>
              </w:rPr>
            </w:pPr>
            <w:r>
              <w:rPr>
                <w:rFonts w:hint="eastAsia" w:ascii="宋体" w:hAnsi="宋体" w:cs="宋体"/>
                <w:szCs w:val="21"/>
              </w:rPr>
              <w:t>▲（1）单台交换容量≥8Tbps，包转发率≥2400Mpps，提供≥48个25GE端口接入能力，并配置≥48个25G多模光模块，端口数量需满足算力池集群组网要求，单台提供可插拔电源模块≥2个，可插拔风扇模块≥4个；</w:t>
            </w:r>
          </w:p>
          <w:p w14:paraId="51552794">
            <w:pPr>
              <w:spacing w:line="380" w:lineRule="exact"/>
              <w:rPr>
                <w:rFonts w:hint="eastAsia" w:ascii="宋体" w:hAnsi="宋体" w:cs="宋体"/>
                <w:szCs w:val="21"/>
              </w:rPr>
            </w:pPr>
            <w:r>
              <w:rPr>
                <w:rFonts w:hint="eastAsia" w:ascii="宋体" w:hAnsi="宋体" w:cs="宋体"/>
                <w:szCs w:val="21"/>
              </w:rPr>
              <w:t>●（2）支持AI ECN；（投标时提供国家认可具有相应检测资质的第三方检测机构出具的关于该功能检测报告扫描件或复印件，并加盖公章）</w:t>
            </w:r>
          </w:p>
          <w:p w14:paraId="4CEF88CB">
            <w:pPr>
              <w:spacing w:line="380" w:lineRule="exact"/>
              <w:rPr>
                <w:rFonts w:hint="eastAsia" w:ascii="宋体" w:hAnsi="宋体" w:cs="宋体"/>
                <w:szCs w:val="21"/>
              </w:rPr>
            </w:pPr>
            <w:r>
              <w:rPr>
                <w:rFonts w:hint="eastAsia" w:ascii="宋体" w:hAnsi="宋体" w:cs="宋体"/>
                <w:szCs w:val="21"/>
              </w:rPr>
              <w:t>（3）支持PFC死锁预防；</w:t>
            </w:r>
          </w:p>
          <w:p w14:paraId="713AE150">
            <w:pPr>
              <w:spacing w:line="380" w:lineRule="exact"/>
              <w:rPr>
                <w:rFonts w:hint="eastAsia" w:ascii="宋体" w:hAnsi="宋体" w:cs="宋体"/>
                <w:szCs w:val="21"/>
              </w:rPr>
            </w:pPr>
            <w:r>
              <w:rPr>
                <w:rFonts w:hint="eastAsia" w:ascii="宋体" w:hAnsi="宋体" w:cs="宋体"/>
                <w:szCs w:val="21"/>
              </w:rPr>
              <w:t>●（4）支持Packet Event，丢包可视、超长时延可视；（投标时提供国家认可具有相应检测资质的第三方检测机构出具的关于该功能检测报告扫描件或复印件，并加盖公章）</w:t>
            </w:r>
          </w:p>
          <w:p w14:paraId="0D28FFFE">
            <w:pPr>
              <w:spacing w:line="380" w:lineRule="exact"/>
              <w:rPr>
                <w:rFonts w:hint="eastAsia" w:ascii="宋体" w:hAnsi="宋体" w:cs="宋体"/>
                <w:szCs w:val="21"/>
              </w:rPr>
            </w:pPr>
            <w:r>
              <w:rPr>
                <w:rFonts w:hint="eastAsia" w:ascii="宋体" w:hAnsi="宋体" w:cs="宋体"/>
                <w:szCs w:val="21"/>
              </w:rPr>
              <w:t>●（5）支持 Netstream 满足10GE 1:1采样；（投标时提供国家认可具有相应检测资质的第三方检测机构出具的关于该功能检测报告扫描件或复印件，并加盖公章）</w:t>
            </w:r>
          </w:p>
          <w:p w14:paraId="74FFC528">
            <w:pPr>
              <w:spacing w:line="380" w:lineRule="exact"/>
              <w:rPr>
                <w:rFonts w:hint="eastAsia" w:ascii="宋体" w:hAnsi="宋体" w:cs="宋体"/>
                <w:szCs w:val="21"/>
              </w:rPr>
            </w:pPr>
            <w:r>
              <w:rPr>
                <w:rFonts w:hint="eastAsia" w:ascii="宋体" w:hAnsi="宋体" w:cs="宋体"/>
                <w:szCs w:val="21"/>
              </w:rPr>
              <w:t>（6）支持 RDMA 和 RoCE（RoCE v1 和 RoCE v2）；</w:t>
            </w:r>
          </w:p>
          <w:p w14:paraId="3EFDA600">
            <w:pPr>
              <w:spacing w:line="380" w:lineRule="exact"/>
              <w:rPr>
                <w:rFonts w:hint="eastAsia" w:ascii="宋体" w:hAnsi="宋体" w:cs="宋体"/>
                <w:szCs w:val="21"/>
              </w:rPr>
            </w:pPr>
            <w:r>
              <w:rPr>
                <w:rFonts w:hint="eastAsia" w:ascii="宋体" w:hAnsi="宋体" w:cs="宋体"/>
                <w:szCs w:val="21"/>
              </w:rPr>
              <w:t>（7）支持硬件 BFD，最小 3.3ms 发包间隔；</w:t>
            </w:r>
          </w:p>
          <w:p w14:paraId="4E34FA4B">
            <w:pPr>
              <w:spacing w:line="380" w:lineRule="exact"/>
              <w:rPr>
                <w:rFonts w:hint="eastAsia" w:ascii="宋体" w:hAnsi="宋体" w:cs="宋体"/>
                <w:szCs w:val="21"/>
              </w:rPr>
            </w:pPr>
            <w:r>
              <w:rPr>
                <w:rFonts w:hint="eastAsia" w:ascii="宋体" w:hAnsi="宋体" w:cs="宋体"/>
                <w:szCs w:val="21"/>
              </w:rPr>
              <w:t>3、样本面交换机（≥2台）：</w:t>
            </w:r>
          </w:p>
          <w:p w14:paraId="34103E8A">
            <w:pPr>
              <w:spacing w:line="380" w:lineRule="exact"/>
              <w:rPr>
                <w:rFonts w:hint="eastAsia" w:ascii="宋体" w:hAnsi="宋体" w:cs="宋体"/>
                <w:szCs w:val="21"/>
              </w:rPr>
            </w:pPr>
            <w:r>
              <w:rPr>
                <w:rFonts w:hint="eastAsia" w:ascii="宋体" w:hAnsi="宋体" w:cs="宋体"/>
                <w:szCs w:val="21"/>
              </w:rPr>
              <w:t>▲（1）单台交换容量≥16Tbps，包转发率≥4800Mpps，提供≥30个100GE端口接入能力，并配置≥26个100G光模块，端口数量需满足算力池集群组网要求，单台提供电源模块≥2个，风扇模块≥5个；</w:t>
            </w:r>
          </w:p>
          <w:p w14:paraId="4363D04B">
            <w:pPr>
              <w:spacing w:line="380" w:lineRule="exact"/>
              <w:rPr>
                <w:rFonts w:hint="eastAsia" w:ascii="宋体" w:hAnsi="宋体" w:cs="宋体"/>
                <w:szCs w:val="21"/>
              </w:rPr>
            </w:pPr>
            <w:r>
              <w:rPr>
                <w:rFonts w:hint="eastAsia" w:ascii="宋体" w:hAnsi="宋体" w:cs="宋体"/>
                <w:szCs w:val="21"/>
              </w:rPr>
              <w:t>●（2）支持AI ECN；（投标时提供国家认可具有相应检测资质的第三方检测机构出具的关于该功能检测报告扫描件或复印件，并加盖公章）</w:t>
            </w:r>
          </w:p>
          <w:p w14:paraId="3CE9DEC1">
            <w:pPr>
              <w:spacing w:line="380" w:lineRule="exact"/>
              <w:rPr>
                <w:rFonts w:hint="eastAsia" w:ascii="宋体" w:hAnsi="宋体" w:cs="宋体"/>
                <w:szCs w:val="21"/>
              </w:rPr>
            </w:pPr>
            <w:r>
              <w:rPr>
                <w:rFonts w:hint="eastAsia" w:ascii="宋体" w:hAnsi="宋体" w:cs="宋体"/>
                <w:szCs w:val="21"/>
              </w:rPr>
              <w:t>（3）支持PFC死锁预防；</w:t>
            </w:r>
          </w:p>
          <w:p w14:paraId="188665BF">
            <w:pPr>
              <w:spacing w:line="380" w:lineRule="exact"/>
              <w:rPr>
                <w:rFonts w:hint="eastAsia" w:ascii="宋体" w:hAnsi="宋体" w:cs="宋体"/>
                <w:szCs w:val="21"/>
              </w:rPr>
            </w:pPr>
            <w:r>
              <w:rPr>
                <w:rFonts w:hint="eastAsia" w:ascii="宋体" w:hAnsi="宋体" w:cs="宋体"/>
                <w:szCs w:val="21"/>
              </w:rPr>
              <w:t>●（4）支持Packet Event，丢包可视、超长时延可视；（投标时提供国家认可具有相应检测资质的第三方检测机构出具的关于该功能检测报告扫描件或复印件，并加盖公章）</w:t>
            </w:r>
          </w:p>
          <w:p w14:paraId="26AE4A3E">
            <w:pPr>
              <w:spacing w:line="380" w:lineRule="exact"/>
              <w:rPr>
                <w:rFonts w:hint="eastAsia" w:ascii="宋体" w:hAnsi="宋体" w:cs="宋体"/>
                <w:szCs w:val="21"/>
              </w:rPr>
            </w:pPr>
            <w:r>
              <w:rPr>
                <w:rFonts w:hint="eastAsia" w:ascii="宋体" w:hAnsi="宋体" w:cs="宋体"/>
                <w:szCs w:val="21"/>
              </w:rPr>
              <w:t>●（5）MACsec国密加密功能；（投标时提供国家认可具有相应检测资质的第三方检测机构出具的关于该功能检测报告扫描件或复印件，并加盖公章）</w:t>
            </w:r>
          </w:p>
          <w:p w14:paraId="1E554170">
            <w:pPr>
              <w:spacing w:line="380" w:lineRule="exact"/>
              <w:rPr>
                <w:rFonts w:hint="eastAsia" w:ascii="宋体" w:hAnsi="宋体" w:cs="宋体"/>
                <w:szCs w:val="21"/>
              </w:rPr>
            </w:pPr>
            <w:r>
              <w:rPr>
                <w:rFonts w:hint="eastAsia" w:ascii="宋体" w:hAnsi="宋体" w:cs="宋体"/>
                <w:szCs w:val="21"/>
              </w:rPr>
              <w:t>（6）支持 RDMA 和 RoCE（RoCE v1 和 RoCE v2）；</w:t>
            </w:r>
          </w:p>
          <w:p w14:paraId="17CE5FA5">
            <w:pPr>
              <w:spacing w:line="380" w:lineRule="exact"/>
              <w:rPr>
                <w:rFonts w:hint="eastAsia" w:ascii="宋体" w:hAnsi="宋体" w:cs="宋体"/>
                <w:szCs w:val="21"/>
              </w:rPr>
            </w:pPr>
            <w:r>
              <w:rPr>
                <w:rFonts w:hint="eastAsia" w:ascii="宋体" w:hAnsi="宋体" w:cs="宋体"/>
                <w:szCs w:val="21"/>
              </w:rPr>
              <w:t>（7）支持硬件 BFD，最小 3.3ms 发包间隔；</w:t>
            </w:r>
          </w:p>
          <w:p w14:paraId="716E421A">
            <w:pPr>
              <w:spacing w:line="380" w:lineRule="exact"/>
              <w:rPr>
                <w:rFonts w:hint="eastAsia" w:ascii="宋体" w:hAnsi="宋体" w:cs="宋体"/>
                <w:szCs w:val="21"/>
              </w:rPr>
            </w:pPr>
            <w:r>
              <w:rPr>
                <w:rFonts w:hint="eastAsia" w:ascii="宋体" w:hAnsi="宋体" w:cs="宋体"/>
                <w:szCs w:val="21"/>
              </w:rPr>
              <w:t>4、带外管理接入交换机（≥1台）：</w:t>
            </w:r>
          </w:p>
          <w:p w14:paraId="6C0A3473">
            <w:pPr>
              <w:spacing w:line="380" w:lineRule="exact"/>
              <w:rPr>
                <w:rFonts w:hint="eastAsia" w:ascii="宋体" w:hAnsi="宋体" w:cs="宋体"/>
                <w:szCs w:val="21"/>
              </w:rPr>
            </w:pPr>
            <w:r>
              <w:rPr>
                <w:rFonts w:hint="eastAsia" w:ascii="宋体" w:hAnsi="宋体" w:cs="宋体"/>
                <w:szCs w:val="21"/>
              </w:rPr>
              <w:t>▲（1）单台交换容量≥670Gbps，包转发率≥200Mpps，提供≥48个千兆电口接入能力，端口数量需满足算力池集群要求，单台提供电源模块≥2个，内置风扇；</w:t>
            </w:r>
          </w:p>
          <w:p w14:paraId="7517E2F7">
            <w:pPr>
              <w:spacing w:line="380" w:lineRule="exact"/>
              <w:rPr>
                <w:rFonts w:hint="eastAsia" w:ascii="宋体" w:hAnsi="宋体" w:cs="宋体"/>
                <w:szCs w:val="21"/>
              </w:rPr>
            </w:pPr>
            <w:r>
              <w:rPr>
                <w:rFonts w:hint="eastAsia" w:ascii="宋体" w:hAnsi="宋体" w:cs="宋体"/>
                <w:szCs w:val="21"/>
              </w:rPr>
              <w:t>（2）支持以太网环网保护协议ERPS；</w:t>
            </w:r>
          </w:p>
          <w:p w14:paraId="2DA90A0A">
            <w:pPr>
              <w:spacing w:line="380" w:lineRule="exact"/>
              <w:rPr>
                <w:rFonts w:hint="eastAsia" w:ascii="宋体" w:hAnsi="宋体" w:cs="宋体"/>
                <w:szCs w:val="21"/>
              </w:rPr>
            </w:pPr>
            <w:r>
              <w:rPr>
                <w:rFonts w:hint="eastAsia" w:ascii="宋体" w:hAnsi="宋体" w:cs="宋体"/>
                <w:szCs w:val="21"/>
              </w:rPr>
              <w:t>5、提供原厂三年免费上门软硬件技术支持与售后服务（包括硬件保修和软件升级）。</w:t>
            </w:r>
          </w:p>
          <w:p w14:paraId="33009C4A">
            <w:pPr>
              <w:spacing w:line="380" w:lineRule="exact"/>
              <w:rPr>
                <w:rFonts w:hint="eastAsia" w:ascii="宋体" w:hAnsi="宋体" w:cs="宋体"/>
                <w:szCs w:val="21"/>
              </w:rPr>
            </w:pPr>
          </w:p>
          <w:p w14:paraId="52BC53D2">
            <w:pPr>
              <w:spacing w:line="380" w:lineRule="exact"/>
              <w:rPr>
                <w:rFonts w:hint="eastAsia" w:ascii="宋体" w:hAnsi="宋体" w:cs="宋体"/>
                <w:b/>
                <w:bCs/>
                <w:szCs w:val="21"/>
              </w:rPr>
            </w:pPr>
            <w:r>
              <w:rPr>
                <w:rFonts w:hint="eastAsia" w:ascii="宋体" w:hAnsi="宋体" w:cs="宋体"/>
                <w:b/>
                <w:bCs/>
                <w:szCs w:val="21"/>
              </w:rPr>
              <w:t>（三）AI推理服务存储资源性能及配置要求：</w:t>
            </w:r>
          </w:p>
          <w:p w14:paraId="62B5F2E5">
            <w:pPr>
              <w:spacing w:line="380" w:lineRule="exact"/>
              <w:rPr>
                <w:rFonts w:hint="eastAsia" w:ascii="宋体" w:hAnsi="宋体" w:cs="宋体"/>
                <w:szCs w:val="21"/>
              </w:rPr>
            </w:pPr>
            <w:r>
              <w:rPr>
                <w:rFonts w:hint="eastAsia" w:ascii="宋体" w:hAnsi="宋体" w:cs="宋体"/>
                <w:szCs w:val="21"/>
              </w:rPr>
              <w:t>1、存储设备控制器之间支持AA架构，具备冗余能力，任一控制器故障时业务不中断、数据不丢失，控制器数量需满足算力池集群要求；</w:t>
            </w:r>
          </w:p>
          <w:p w14:paraId="611751BE">
            <w:pPr>
              <w:spacing w:line="380" w:lineRule="exact"/>
              <w:rPr>
                <w:rFonts w:hint="eastAsia" w:ascii="宋体" w:hAnsi="宋体" w:cs="宋体"/>
                <w:szCs w:val="21"/>
              </w:rPr>
            </w:pPr>
            <w:r>
              <w:rPr>
                <w:rFonts w:hint="eastAsia" w:ascii="宋体" w:hAnsi="宋体" w:cs="宋体"/>
                <w:szCs w:val="21"/>
              </w:rPr>
              <w:t>▲2、处理器采用符合国家安全可靠测评要求的CPU，单控制器CPU数量≥2，单控CPU总核心数≥96核，CPU主频率≥2.0GHz；</w:t>
            </w:r>
          </w:p>
          <w:p w14:paraId="0C2ADADA">
            <w:pPr>
              <w:spacing w:line="380" w:lineRule="exact"/>
              <w:rPr>
                <w:rFonts w:hint="eastAsia" w:ascii="宋体" w:hAnsi="宋体" w:cs="宋体"/>
                <w:szCs w:val="21"/>
              </w:rPr>
            </w:pPr>
            <w:r>
              <w:rPr>
                <w:rFonts w:hint="eastAsia" w:ascii="宋体" w:hAnsi="宋体" w:cs="宋体"/>
                <w:szCs w:val="21"/>
              </w:rPr>
              <w:t>▲3、系统内总一级内存容量配置≥1024GB DDR4 ECC，且任意控制器一级内存容量≥512GB；</w:t>
            </w:r>
          </w:p>
          <w:p w14:paraId="262EFBD9">
            <w:pPr>
              <w:spacing w:line="380" w:lineRule="exact"/>
              <w:rPr>
                <w:rFonts w:hint="eastAsia" w:ascii="宋体" w:hAnsi="宋体" w:cs="宋体"/>
                <w:szCs w:val="21"/>
              </w:rPr>
            </w:pPr>
            <w:r>
              <w:rPr>
                <w:rFonts w:hint="eastAsia" w:ascii="宋体" w:hAnsi="宋体" w:cs="宋体"/>
                <w:szCs w:val="21"/>
              </w:rPr>
              <w:t>▲4、配置≥10块7.68TB NVMe SSD，顺序读写@128KB速率≥4700MB/S，支持可用容量≥40TB；单控制框支持最大插入SSD硬盘数量≥36块；</w:t>
            </w:r>
          </w:p>
          <w:p w14:paraId="6320031E">
            <w:pPr>
              <w:spacing w:line="380" w:lineRule="exact"/>
              <w:rPr>
                <w:rFonts w:hint="eastAsia" w:ascii="宋体" w:hAnsi="宋体" w:cs="宋体"/>
                <w:szCs w:val="21"/>
              </w:rPr>
            </w:pPr>
            <w:r>
              <w:rPr>
                <w:rFonts w:hint="eastAsia" w:ascii="宋体" w:hAnsi="宋体" w:cs="宋体"/>
                <w:szCs w:val="21"/>
              </w:rPr>
              <w:t>▲5、配置≥8*25 GE TCP端口，≥12*100 GE RoCE端口，配置≥2*1GE管理端口；</w:t>
            </w:r>
          </w:p>
          <w:p w14:paraId="63B5BC71">
            <w:pPr>
              <w:spacing w:line="380" w:lineRule="exact"/>
              <w:rPr>
                <w:rFonts w:hint="eastAsia" w:ascii="宋体" w:hAnsi="宋体" w:cs="宋体"/>
                <w:szCs w:val="21"/>
              </w:rPr>
            </w:pPr>
            <w:r>
              <w:rPr>
                <w:rFonts w:hint="eastAsia" w:ascii="宋体" w:hAnsi="宋体" w:cs="宋体"/>
                <w:szCs w:val="21"/>
              </w:rPr>
              <w:t>6、提供NAS使用许可，支持存储资源管理、文件系统、配额管理、智能服务质量等功能；</w:t>
            </w:r>
          </w:p>
          <w:p w14:paraId="71DE5D49">
            <w:pPr>
              <w:spacing w:line="380" w:lineRule="exact"/>
              <w:rPr>
                <w:rFonts w:hint="eastAsia" w:ascii="宋体" w:hAnsi="宋体" w:cs="宋体"/>
                <w:szCs w:val="21"/>
              </w:rPr>
            </w:pPr>
            <w:r>
              <w:rPr>
                <w:rFonts w:hint="eastAsia" w:ascii="宋体" w:hAnsi="宋体" w:cs="宋体"/>
                <w:szCs w:val="21"/>
              </w:rPr>
              <w:t>7、具备大规模横向扩展能力，单集群规模最大可扩展至≥32节点；</w:t>
            </w:r>
          </w:p>
          <w:p w14:paraId="1E27AEED">
            <w:pPr>
              <w:spacing w:line="380" w:lineRule="exact"/>
              <w:rPr>
                <w:rFonts w:hint="eastAsia" w:ascii="宋体" w:hAnsi="宋体" w:cs="宋体"/>
                <w:szCs w:val="21"/>
              </w:rPr>
            </w:pPr>
            <w:r>
              <w:rPr>
                <w:rFonts w:hint="eastAsia" w:ascii="宋体" w:hAnsi="宋体" w:cs="宋体"/>
                <w:szCs w:val="21"/>
              </w:rPr>
              <w:t>8、提供AI推理加速存储统一运维软件，支持存储设备容量、性能监控、资源分发等能力；</w:t>
            </w:r>
          </w:p>
          <w:p w14:paraId="23AAA21E">
            <w:pPr>
              <w:spacing w:line="380" w:lineRule="exact"/>
              <w:rPr>
                <w:rFonts w:hint="eastAsia" w:ascii="宋体" w:hAnsi="宋体" w:cs="宋体"/>
                <w:szCs w:val="21"/>
              </w:rPr>
            </w:pPr>
            <w:r>
              <w:rPr>
                <w:rFonts w:hint="eastAsia" w:ascii="宋体" w:hAnsi="宋体" w:cs="宋体"/>
                <w:szCs w:val="21"/>
              </w:rPr>
              <w:t>●9、硬件设备包括保电内存、BBU，文件数据在断电后数据能够继续保存；（投标时提供产品技术白皮书或彩页等证明，并加盖公章）</w:t>
            </w:r>
          </w:p>
          <w:p w14:paraId="795B03D4">
            <w:pPr>
              <w:spacing w:line="380" w:lineRule="exact"/>
              <w:rPr>
                <w:rFonts w:hint="eastAsia" w:ascii="宋体" w:hAnsi="宋体" w:cs="宋体"/>
                <w:szCs w:val="21"/>
              </w:rPr>
            </w:pPr>
            <w:r>
              <w:rPr>
                <w:rFonts w:hint="eastAsia" w:ascii="宋体" w:hAnsi="宋体" w:cs="宋体"/>
                <w:szCs w:val="21"/>
              </w:rPr>
              <w:t>●10、支持大模型推理加速能力，通过将推理过程中token生成的KVCache持久化至存储，在后续的推理任务中以查代算，减少重复计算，加速推理过程，可降低首token响应时延（TTFT）和Token间时延（TBT），提升推理吞吐性能（Token/s）；（投标时提供国家认可具有相应检测资质的第三方检测机构出具的关于该功能检测报告扫描件或复印件，并加盖公章）</w:t>
            </w:r>
          </w:p>
          <w:p w14:paraId="2AB11AE9">
            <w:pPr>
              <w:spacing w:line="380" w:lineRule="exact"/>
              <w:rPr>
                <w:rFonts w:hint="eastAsia" w:ascii="宋体" w:hAnsi="宋体" w:cs="宋体"/>
                <w:szCs w:val="21"/>
              </w:rPr>
            </w:pPr>
            <w:r>
              <w:rPr>
                <w:rFonts w:hint="eastAsia" w:ascii="宋体" w:hAnsi="宋体" w:cs="宋体"/>
                <w:szCs w:val="21"/>
              </w:rPr>
              <w:t>●11、支持推理上下文窗口扩展，突破推理上下文窗口限制，超过窗口长度的内容可正常推理；（投标时提供国家认可具有相应检测资质的第三方检测机构出具的关于该功能检测报告扫描件或复印件，并加盖公章）</w:t>
            </w:r>
          </w:p>
          <w:p w14:paraId="32387A8E">
            <w:pPr>
              <w:spacing w:line="380" w:lineRule="exact"/>
              <w:rPr>
                <w:rFonts w:hint="eastAsia" w:ascii="宋体" w:hAnsi="宋体" w:cs="宋体"/>
                <w:szCs w:val="21"/>
              </w:rPr>
            </w:pPr>
            <w:r>
              <w:rPr>
                <w:rFonts w:hint="eastAsia" w:ascii="宋体" w:hAnsi="宋体" w:cs="宋体"/>
                <w:szCs w:val="21"/>
              </w:rPr>
              <w:t>●12、支持超高性能密度, 单台设备读带宽不低于160 GB/s。单节点（控）读带宽不低于80GB/s，写带宽不低于25GB/s；（投标时提供国家认可具有相应检测资质的第三方检测机构出具的关于该功能检测报告扫描件或复印件，并加盖公章）</w:t>
            </w:r>
          </w:p>
          <w:p w14:paraId="4987702B">
            <w:pPr>
              <w:spacing w:line="380" w:lineRule="exact"/>
              <w:rPr>
                <w:rFonts w:hint="eastAsia" w:ascii="宋体" w:hAnsi="宋体" w:cs="宋体"/>
                <w:szCs w:val="21"/>
              </w:rPr>
            </w:pPr>
            <w:r>
              <w:rPr>
                <w:rFonts w:hint="eastAsia" w:ascii="宋体" w:hAnsi="宋体" w:cs="宋体"/>
                <w:szCs w:val="21"/>
              </w:rPr>
              <w:t>13、提供原厂安装实施服务和三年免费上门软硬件技术支持与售后服务（包括硬件保修、软件升级和介质保留），服务期满后存储盘留存给采购人。</w:t>
            </w:r>
          </w:p>
          <w:p w14:paraId="20A541B7">
            <w:pPr>
              <w:spacing w:line="380" w:lineRule="exact"/>
              <w:rPr>
                <w:rFonts w:hint="eastAsia" w:ascii="宋体" w:hAnsi="宋体" w:cs="宋体"/>
                <w:szCs w:val="21"/>
              </w:rPr>
            </w:pPr>
          </w:p>
          <w:p w14:paraId="28889993">
            <w:pPr>
              <w:spacing w:line="380" w:lineRule="exact"/>
              <w:rPr>
                <w:rFonts w:hint="eastAsia" w:ascii="宋体" w:hAnsi="宋体" w:cs="宋体"/>
                <w:b/>
                <w:bCs/>
                <w:szCs w:val="21"/>
              </w:rPr>
            </w:pPr>
            <w:r>
              <w:rPr>
                <w:rFonts w:hint="eastAsia" w:ascii="宋体" w:hAnsi="宋体" w:cs="宋体"/>
                <w:b/>
                <w:bCs/>
                <w:szCs w:val="21"/>
              </w:rPr>
              <w:t>（四）算力网络集成调测及性能优化服务</w:t>
            </w:r>
          </w:p>
          <w:p w14:paraId="73CB1C83">
            <w:pPr>
              <w:spacing w:line="380" w:lineRule="exact"/>
              <w:rPr>
                <w:rFonts w:hint="eastAsia" w:ascii="宋体" w:hAnsi="宋体" w:cs="宋体"/>
                <w:szCs w:val="21"/>
              </w:rPr>
            </w:pPr>
            <w:r>
              <w:rPr>
                <w:rFonts w:hint="eastAsia" w:ascii="宋体" w:hAnsi="宋体" w:cs="宋体"/>
                <w:szCs w:val="21"/>
              </w:rPr>
              <w:t>1、提供原厂算力网络集成调测服务，包括交换机、计算、存储等算力网络配置与调测，包含构成算力网络各组件对接及联合调测、服务实例配置、计算节点对接与调测、集群服务配置与启动等内容；</w:t>
            </w:r>
          </w:p>
          <w:p w14:paraId="22C0581C">
            <w:pPr>
              <w:spacing w:line="380" w:lineRule="exact"/>
              <w:rPr>
                <w:rFonts w:hint="eastAsia" w:ascii="宋体" w:hAnsi="宋体" w:cs="宋体"/>
                <w:szCs w:val="21"/>
              </w:rPr>
            </w:pPr>
            <w:r>
              <w:rPr>
                <w:rFonts w:hint="eastAsia" w:ascii="宋体" w:hAnsi="宋体" w:cs="宋体"/>
                <w:szCs w:val="21"/>
              </w:rPr>
              <w:t>2、提供针对国家安全可靠测评相关要求的适配支持等服务，提供适配迁移工具协助应用厂家；</w:t>
            </w:r>
          </w:p>
          <w:p w14:paraId="6D6C91F0">
            <w:pPr>
              <w:spacing w:line="380" w:lineRule="exact"/>
              <w:rPr>
                <w:rFonts w:hint="eastAsia" w:ascii="宋体" w:hAnsi="宋体" w:cs="宋体"/>
                <w:szCs w:val="21"/>
              </w:rPr>
            </w:pPr>
            <w:r>
              <w:rPr>
                <w:rFonts w:hint="eastAsia" w:ascii="宋体" w:hAnsi="宋体" w:cs="宋体"/>
                <w:szCs w:val="21"/>
              </w:rPr>
              <w:t>3、提供开发环境构建支持、开发技术栈支持、模型开发调测支持、样例演示等AI使能服务；</w:t>
            </w:r>
          </w:p>
          <w:p w14:paraId="35A210CE">
            <w:pPr>
              <w:spacing w:line="380" w:lineRule="exact"/>
              <w:rPr>
                <w:rFonts w:hint="eastAsia" w:ascii="宋体" w:hAnsi="宋体" w:cs="宋体"/>
                <w:szCs w:val="21"/>
              </w:rPr>
            </w:pPr>
            <w:r>
              <w:rPr>
                <w:rFonts w:hint="eastAsia" w:ascii="宋体" w:hAnsi="宋体" w:cs="宋体"/>
                <w:szCs w:val="21"/>
              </w:rPr>
              <w:t>4、提供集群性能优化服务，通过优化系统和模型框架参数，以及规模集群化部署等手段提升性能。</w:t>
            </w:r>
          </w:p>
          <w:p w14:paraId="3B5B34F5">
            <w:pPr>
              <w:spacing w:line="380" w:lineRule="exact"/>
              <w:rPr>
                <w:rFonts w:hint="eastAsia" w:ascii="宋体" w:hAnsi="宋体" w:cs="宋体"/>
                <w:szCs w:val="21"/>
              </w:rPr>
            </w:pPr>
            <w:r>
              <w:rPr>
                <w:rFonts w:hint="eastAsia" w:ascii="宋体" w:hAnsi="宋体" w:cs="宋体"/>
                <w:szCs w:val="21"/>
              </w:rPr>
              <w:t>5、配合采购人开展等保测评及商密应用等相关工作。</w:t>
            </w:r>
          </w:p>
          <w:p w14:paraId="45EE333C">
            <w:pPr>
              <w:spacing w:line="380" w:lineRule="exact"/>
              <w:rPr>
                <w:rFonts w:hint="eastAsia" w:ascii="宋体" w:hAnsi="宋体" w:cs="宋体"/>
                <w:szCs w:val="21"/>
              </w:rPr>
            </w:pPr>
          </w:p>
          <w:p w14:paraId="62AD78BF">
            <w:pPr>
              <w:spacing w:line="380" w:lineRule="exact"/>
              <w:rPr>
                <w:rFonts w:hint="eastAsia" w:ascii="宋体" w:hAnsi="宋体" w:cs="宋体"/>
                <w:b/>
                <w:bCs/>
                <w:szCs w:val="21"/>
              </w:rPr>
            </w:pPr>
            <w:r>
              <w:rPr>
                <w:rFonts w:hint="eastAsia" w:ascii="宋体" w:hAnsi="宋体" w:cs="宋体"/>
                <w:b/>
                <w:bCs/>
                <w:szCs w:val="21"/>
              </w:rPr>
              <w:t>（五）提供机柜及承担电费</w:t>
            </w:r>
          </w:p>
          <w:p w14:paraId="1BB3B3A3">
            <w:pPr>
              <w:spacing w:line="380" w:lineRule="exact"/>
              <w:rPr>
                <w:rFonts w:hint="eastAsia" w:ascii="宋体" w:hAnsi="宋体" w:cs="宋体"/>
                <w:szCs w:val="21"/>
              </w:rPr>
            </w:pPr>
            <w:r>
              <w:rPr>
                <w:rFonts w:hint="eastAsia" w:ascii="宋体" w:hAnsi="宋体" w:cs="宋体"/>
                <w:szCs w:val="21"/>
              </w:rPr>
              <w:t>提供单柜功率≥5KW的机柜（机柜数量需满足所租赁设备上架及安装部署的要求），并承担所租赁设备产生的电费。</w:t>
            </w:r>
          </w:p>
          <w:p w14:paraId="0555F61B">
            <w:pPr>
              <w:pStyle w:val="8"/>
              <w:spacing w:line="380" w:lineRule="exact"/>
              <w:ind w:firstLine="0"/>
              <w:rPr>
                <w:rFonts w:hint="eastAsia" w:ascii="宋体" w:hAnsi="宋体" w:cs="宋体"/>
                <w:szCs w:val="21"/>
              </w:rPr>
            </w:pPr>
          </w:p>
          <w:p w14:paraId="496C0D33">
            <w:pPr>
              <w:pStyle w:val="3"/>
              <w:numPr>
                <w:ilvl w:val="1"/>
                <w:numId w:val="0"/>
              </w:numPr>
              <w:spacing w:before="0" w:after="0" w:line="380" w:lineRule="exact"/>
              <w:jc w:val="left"/>
              <w:rPr>
                <w:rFonts w:hint="eastAsia" w:ascii="宋体" w:hAnsi="宋体" w:eastAsia="宋体" w:cs="宋体"/>
                <w:b/>
                <w:bCs/>
                <w:sz w:val="21"/>
                <w:szCs w:val="21"/>
              </w:rPr>
            </w:pPr>
            <w:r>
              <w:rPr>
                <w:rFonts w:hint="eastAsia" w:ascii="宋体" w:hAnsi="宋体" w:eastAsia="宋体" w:cs="宋体"/>
                <w:b/>
                <w:bCs/>
                <w:sz w:val="21"/>
                <w:szCs w:val="21"/>
              </w:rPr>
              <w:t>（六）故障（事件）响应和解决时限要求</w:t>
            </w:r>
          </w:p>
          <w:p w14:paraId="2EB631AC">
            <w:pPr>
              <w:pStyle w:val="4"/>
              <w:numPr>
                <w:ilvl w:val="2"/>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1. 故障（事件）等级定义</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3314"/>
              <w:gridCol w:w="2606"/>
            </w:tblGrid>
            <w:tr w14:paraId="121E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29" w:type="pct"/>
                  <w:vAlign w:val="center"/>
                </w:tcPr>
                <w:p w14:paraId="15A40E3D">
                  <w:pPr>
                    <w:pStyle w:val="162"/>
                    <w:spacing w:line="380" w:lineRule="exact"/>
                    <w:jc w:val="left"/>
                    <w:rPr>
                      <w:rFonts w:hint="eastAsia" w:cs="宋体"/>
                      <w:color w:val="auto"/>
                    </w:rPr>
                  </w:pPr>
                  <w:r>
                    <w:rPr>
                      <w:rFonts w:hint="eastAsia" w:cs="宋体"/>
                      <w:color w:val="auto"/>
                    </w:rPr>
                    <w:t>故障（事件）级别</w:t>
                  </w:r>
                </w:p>
              </w:tc>
              <w:tc>
                <w:tcPr>
                  <w:tcW w:w="2110" w:type="pct"/>
                  <w:vAlign w:val="center"/>
                </w:tcPr>
                <w:p w14:paraId="6575BB7C">
                  <w:pPr>
                    <w:pStyle w:val="162"/>
                    <w:spacing w:line="380" w:lineRule="exact"/>
                    <w:jc w:val="left"/>
                    <w:rPr>
                      <w:rFonts w:hint="eastAsia" w:cs="宋体"/>
                      <w:color w:val="auto"/>
                    </w:rPr>
                  </w:pPr>
                  <w:r>
                    <w:rPr>
                      <w:rFonts w:hint="eastAsia" w:cs="宋体"/>
                      <w:color w:val="auto"/>
                    </w:rPr>
                    <w:t>故障（事件）定义</w:t>
                  </w:r>
                </w:p>
              </w:tc>
              <w:tc>
                <w:tcPr>
                  <w:tcW w:w="1659" w:type="pct"/>
                  <w:vAlign w:val="center"/>
                </w:tcPr>
                <w:p w14:paraId="66855C0F">
                  <w:pPr>
                    <w:pStyle w:val="162"/>
                    <w:spacing w:line="380" w:lineRule="exact"/>
                    <w:jc w:val="left"/>
                    <w:rPr>
                      <w:rFonts w:hint="eastAsia" w:cs="宋体"/>
                      <w:color w:val="auto"/>
                    </w:rPr>
                  </w:pPr>
                  <w:r>
                    <w:rPr>
                      <w:rFonts w:hint="eastAsia" w:cs="宋体"/>
                      <w:color w:val="auto"/>
                    </w:rPr>
                    <w:t>故障（事件）特征</w:t>
                  </w:r>
                </w:p>
              </w:tc>
            </w:tr>
            <w:tr w14:paraId="75D5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29" w:type="pct"/>
                  <w:vAlign w:val="center"/>
                </w:tcPr>
                <w:p w14:paraId="5AA3A7A5">
                  <w:pPr>
                    <w:pStyle w:val="162"/>
                    <w:spacing w:line="380" w:lineRule="exact"/>
                    <w:jc w:val="left"/>
                    <w:rPr>
                      <w:rFonts w:hint="eastAsia" w:cs="宋体"/>
                      <w:color w:val="auto"/>
                    </w:rPr>
                  </w:pPr>
                  <w:r>
                    <w:rPr>
                      <w:rFonts w:hint="eastAsia" w:cs="宋体"/>
                      <w:color w:val="auto"/>
                    </w:rPr>
                    <w:t>一级</w:t>
                  </w:r>
                </w:p>
              </w:tc>
              <w:tc>
                <w:tcPr>
                  <w:tcW w:w="2110" w:type="pct"/>
                  <w:vAlign w:val="center"/>
                </w:tcPr>
                <w:p w14:paraId="4193EEF7">
                  <w:pPr>
                    <w:pStyle w:val="162"/>
                    <w:spacing w:line="380" w:lineRule="exact"/>
                    <w:jc w:val="left"/>
                    <w:rPr>
                      <w:rFonts w:hint="eastAsia" w:cs="宋体"/>
                      <w:color w:val="auto"/>
                    </w:rPr>
                  </w:pPr>
                  <w:r>
                    <w:rPr>
                      <w:rFonts w:hint="eastAsia" w:cs="宋体"/>
                      <w:color w:val="auto"/>
                    </w:rPr>
                    <w:t>因设备软硬件故障造成网络中断或业务系统不能正常运转。</w:t>
                  </w:r>
                </w:p>
              </w:tc>
              <w:tc>
                <w:tcPr>
                  <w:tcW w:w="1659" w:type="pct"/>
                  <w:vAlign w:val="center"/>
                </w:tcPr>
                <w:p w14:paraId="2D2F8204">
                  <w:pPr>
                    <w:pStyle w:val="162"/>
                    <w:spacing w:line="380" w:lineRule="exact"/>
                    <w:jc w:val="left"/>
                    <w:rPr>
                      <w:rFonts w:hint="eastAsia" w:cs="宋体"/>
                      <w:color w:val="auto"/>
                    </w:rPr>
                  </w:pPr>
                  <w:r>
                    <w:rPr>
                      <w:rFonts w:hint="eastAsia" w:cs="宋体"/>
                      <w:color w:val="auto"/>
                    </w:rPr>
                    <w:t>业务中断1小时以上</w:t>
                  </w:r>
                </w:p>
              </w:tc>
            </w:tr>
            <w:tr w14:paraId="612C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29" w:type="pct"/>
                  <w:vAlign w:val="center"/>
                </w:tcPr>
                <w:p w14:paraId="7CC52736">
                  <w:pPr>
                    <w:pStyle w:val="162"/>
                    <w:spacing w:line="380" w:lineRule="exact"/>
                    <w:jc w:val="left"/>
                    <w:rPr>
                      <w:rFonts w:hint="eastAsia" w:cs="宋体"/>
                      <w:color w:val="auto"/>
                    </w:rPr>
                  </w:pPr>
                  <w:r>
                    <w:rPr>
                      <w:rFonts w:hint="eastAsia" w:cs="宋体"/>
                      <w:color w:val="auto"/>
                    </w:rPr>
                    <w:t>二级</w:t>
                  </w:r>
                </w:p>
              </w:tc>
              <w:tc>
                <w:tcPr>
                  <w:tcW w:w="2110" w:type="pct"/>
                  <w:vAlign w:val="center"/>
                </w:tcPr>
                <w:p w14:paraId="43532268">
                  <w:pPr>
                    <w:pStyle w:val="162"/>
                    <w:spacing w:line="380" w:lineRule="exact"/>
                    <w:jc w:val="left"/>
                    <w:rPr>
                      <w:rFonts w:hint="eastAsia" w:cs="宋体"/>
                      <w:color w:val="auto"/>
                    </w:rPr>
                  </w:pPr>
                  <w:r>
                    <w:rPr>
                      <w:rFonts w:hint="eastAsia" w:cs="宋体"/>
                      <w:color w:val="auto"/>
                    </w:rPr>
                    <w:t>因设备软硬件故障造成业务系统性能下降。</w:t>
                  </w:r>
                </w:p>
              </w:tc>
              <w:tc>
                <w:tcPr>
                  <w:tcW w:w="1659" w:type="pct"/>
                  <w:vAlign w:val="center"/>
                </w:tcPr>
                <w:p w14:paraId="0F2908E1">
                  <w:pPr>
                    <w:pStyle w:val="162"/>
                    <w:spacing w:line="380" w:lineRule="exact"/>
                    <w:jc w:val="left"/>
                    <w:rPr>
                      <w:rFonts w:hint="eastAsia" w:cs="宋体"/>
                      <w:color w:val="auto"/>
                    </w:rPr>
                  </w:pPr>
                  <w:r>
                    <w:rPr>
                      <w:rFonts w:hint="eastAsia" w:cs="宋体"/>
                      <w:color w:val="auto"/>
                    </w:rPr>
                    <w:t>业务未中断，但性能下降</w:t>
                  </w:r>
                </w:p>
              </w:tc>
            </w:tr>
            <w:tr w14:paraId="1422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229" w:type="pct"/>
                  <w:vAlign w:val="center"/>
                </w:tcPr>
                <w:p w14:paraId="4B192A9C">
                  <w:pPr>
                    <w:pStyle w:val="162"/>
                    <w:spacing w:line="380" w:lineRule="exact"/>
                    <w:jc w:val="left"/>
                    <w:rPr>
                      <w:rFonts w:hint="eastAsia" w:cs="宋体"/>
                      <w:color w:val="auto"/>
                    </w:rPr>
                  </w:pPr>
                  <w:r>
                    <w:rPr>
                      <w:rFonts w:hint="eastAsia" w:cs="宋体"/>
                      <w:color w:val="auto"/>
                    </w:rPr>
                    <w:t>三级</w:t>
                  </w:r>
                </w:p>
              </w:tc>
              <w:tc>
                <w:tcPr>
                  <w:tcW w:w="2110" w:type="pct"/>
                  <w:vAlign w:val="center"/>
                </w:tcPr>
                <w:p w14:paraId="4CF8DF1A">
                  <w:pPr>
                    <w:pStyle w:val="162"/>
                    <w:spacing w:line="380" w:lineRule="exact"/>
                    <w:jc w:val="left"/>
                    <w:rPr>
                      <w:rFonts w:hint="eastAsia" w:cs="宋体"/>
                      <w:color w:val="auto"/>
                    </w:rPr>
                  </w:pPr>
                  <w:r>
                    <w:rPr>
                      <w:rFonts w:hint="eastAsia" w:cs="宋体"/>
                      <w:color w:val="auto"/>
                    </w:rPr>
                    <w:t>设备软硬件出现故障，但业务系统能正常运转。</w:t>
                  </w:r>
                </w:p>
              </w:tc>
              <w:tc>
                <w:tcPr>
                  <w:tcW w:w="1659" w:type="pct"/>
                  <w:vAlign w:val="center"/>
                </w:tcPr>
                <w:p w14:paraId="38E50A02">
                  <w:pPr>
                    <w:pStyle w:val="162"/>
                    <w:spacing w:line="380" w:lineRule="exact"/>
                    <w:jc w:val="left"/>
                    <w:rPr>
                      <w:rFonts w:hint="eastAsia" w:cs="宋体"/>
                      <w:color w:val="auto"/>
                    </w:rPr>
                  </w:pPr>
                  <w:r>
                    <w:rPr>
                      <w:rFonts w:hint="eastAsia" w:cs="宋体"/>
                      <w:color w:val="auto"/>
                    </w:rPr>
                    <w:t>设备软硬件出现故障，不能正常工作，但业务系统运行不受故障影响。</w:t>
                  </w:r>
                </w:p>
              </w:tc>
            </w:tr>
            <w:tr w14:paraId="6E40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229" w:type="pct"/>
                  <w:vAlign w:val="center"/>
                </w:tcPr>
                <w:p w14:paraId="6E19BD45">
                  <w:pPr>
                    <w:pStyle w:val="162"/>
                    <w:spacing w:line="380" w:lineRule="exact"/>
                    <w:jc w:val="left"/>
                    <w:rPr>
                      <w:rFonts w:hint="eastAsia" w:cs="宋体"/>
                      <w:color w:val="auto"/>
                    </w:rPr>
                  </w:pPr>
                  <w:r>
                    <w:rPr>
                      <w:rFonts w:hint="eastAsia" w:cs="宋体"/>
                      <w:color w:val="auto"/>
                    </w:rPr>
                    <w:t>四级</w:t>
                  </w:r>
                </w:p>
              </w:tc>
              <w:tc>
                <w:tcPr>
                  <w:tcW w:w="2110" w:type="pct"/>
                  <w:vAlign w:val="center"/>
                </w:tcPr>
                <w:p w14:paraId="341790C3">
                  <w:pPr>
                    <w:pStyle w:val="162"/>
                    <w:spacing w:line="380" w:lineRule="exact"/>
                    <w:jc w:val="left"/>
                    <w:rPr>
                      <w:rFonts w:hint="eastAsia" w:cs="宋体"/>
                      <w:color w:val="auto"/>
                    </w:rPr>
                  </w:pPr>
                  <w:r>
                    <w:rPr>
                      <w:rFonts w:hint="eastAsia" w:cs="宋体"/>
                      <w:color w:val="auto"/>
                    </w:rPr>
                    <w:t>设备软硬件出现告警，业务系统仍能正常运转。</w:t>
                  </w:r>
                </w:p>
              </w:tc>
              <w:tc>
                <w:tcPr>
                  <w:tcW w:w="1659" w:type="pct"/>
                  <w:vAlign w:val="center"/>
                </w:tcPr>
                <w:p w14:paraId="4BFF0E50">
                  <w:pPr>
                    <w:pStyle w:val="162"/>
                    <w:spacing w:line="380" w:lineRule="exact"/>
                    <w:jc w:val="left"/>
                    <w:rPr>
                      <w:rFonts w:hint="eastAsia" w:cs="宋体"/>
                      <w:color w:val="auto"/>
                    </w:rPr>
                  </w:pPr>
                  <w:r>
                    <w:rPr>
                      <w:rFonts w:hint="eastAsia" w:cs="宋体"/>
                      <w:color w:val="auto"/>
                    </w:rPr>
                    <w:t>设备软硬件出现告警，但仍然能正常工作，业务系统运行不受故障影响。</w:t>
                  </w:r>
                </w:p>
              </w:tc>
            </w:tr>
          </w:tbl>
          <w:p w14:paraId="11B89E61">
            <w:pPr>
              <w:pStyle w:val="4"/>
              <w:numPr>
                <w:ilvl w:val="0"/>
                <w:numId w:val="3"/>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故障（事件）响应和解决时限要求</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851"/>
              <w:gridCol w:w="1975"/>
              <w:gridCol w:w="2176"/>
            </w:tblGrid>
            <w:tr w14:paraId="329A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177" w:type="pct"/>
                  <w:vAlign w:val="center"/>
                </w:tcPr>
                <w:p w14:paraId="437759EF">
                  <w:pPr>
                    <w:pStyle w:val="162"/>
                    <w:spacing w:line="380" w:lineRule="exact"/>
                    <w:rPr>
                      <w:rFonts w:hint="eastAsia" w:cs="宋体"/>
                      <w:color w:val="auto"/>
                    </w:rPr>
                  </w:pPr>
                  <w:r>
                    <w:rPr>
                      <w:rFonts w:hint="eastAsia" w:cs="宋体"/>
                      <w:color w:val="auto"/>
                    </w:rPr>
                    <w:t>故障（事件）级别</w:t>
                  </w:r>
                </w:p>
              </w:tc>
              <w:tc>
                <w:tcPr>
                  <w:tcW w:w="1179" w:type="pct"/>
                  <w:vAlign w:val="center"/>
                </w:tcPr>
                <w:p w14:paraId="355A1187">
                  <w:pPr>
                    <w:pStyle w:val="162"/>
                    <w:spacing w:line="380" w:lineRule="exact"/>
                    <w:rPr>
                      <w:rFonts w:hint="eastAsia" w:cs="宋体"/>
                      <w:color w:val="auto"/>
                    </w:rPr>
                  </w:pPr>
                  <w:r>
                    <w:rPr>
                      <w:rFonts w:hint="eastAsia" w:cs="宋体"/>
                      <w:color w:val="auto"/>
                    </w:rPr>
                    <w:t>电话响应</w:t>
                  </w:r>
                </w:p>
              </w:tc>
              <w:tc>
                <w:tcPr>
                  <w:tcW w:w="1258" w:type="pct"/>
                  <w:vAlign w:val="center"/>
                </w:tcPr>
                <w:p w14:paraId="3D1FBE31">
                  <w:pPr>
                    <w:pStyle w:val="162"/>
                    <w:spacing w:line="380" w:lineRule="exact"/>
                    <w:rPr>
                      <w:rFonts w:hint="eastAsia" w:cs="宋体"/>
                      <w:color w:val="auto"/>
                    </w:rPr>
                  </w:pPr>
                  <w:r>
                    <w:rPr>
                      <w:rFonts w:hint="eastAsia" w:cs="宋体"/>
                      <w:color w:val="auto"/>
                    </w:rPr>
                    <w:t>到达现场时间</w:t>
                  </w:r>
                </w:p>
              </w:tc>
              <w:tc>
                <w:tcPr>
                  <w:tcW w:w="1386" w:type="pct"/>
                  <w:vAlign w:val="center"/>
                </w:tcPr>
                <w:p w14:paraId="7320D68F">
                  <w:pPr>
                    <w:pStyle w:val="162"/>
                    <w:spacing w:line="380" w:lineRule="exact"/>
                    <w:rPr>
                      <w:rFonts w:hint="eastAsia" w:cs="宋体"/>
                      <w:color w:val="auto"/>
                    </w:rPr>
                  </w:pPr>
                  <w:r>
                    <w:rPr>
                      <w:rFonts w:hint="eastAsia" w:cs="宋体"/>
                      <w:color w:val="auto"/>
                    </w:rPr>
                    <w:t>解决时间</w:t>
                  </w:r>
                </w:p>
              </w:tc>
            </w:tr>
            <w:tr w14:paraId="48A2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77" w:type="pct"/>
                </w:tcPr>
                <w:p w14:paraId="32A98173">
                  <w:pPr>
                    <w:pStyle w:val="162"/>
                    <w:spacing w:line="380" w:lineRule="exact"/>
                    <w:rPr>
                      <w:rFonts w:hint="eastAsia" w:cs="宋体"/>
                      <w:color w:val="auto"/>
                    </w:rPr>
                  </w:pPr>
                  <w:r>
                    <w:rPr>
                      <w:rFonts w:hint="eastAsia" w:cs="宋体"/>
                      <w:color w:val="auto"/>
                    </w:rPr>
                    <w:t>一级</w:t>
                  </w:r>
                </w:p>
              </w:tc>
              <w:tc>
                <w:tcPr>
                  <w:tcW w:w="1851" w:type="dxa"/>
                </w:tcPr>
                <w:p w14:paraId="055195ED">
                  <w:pPr>
                    <w:pStyle w:val="162"/>
                    <w:spacing w:line="380" w:lineRule="exact"/>
                    <w:rPr>
                      <w:rFonts w:hint="eastAsia" w:cs="宋体"/>
                      <w:color w:val="auto"/>
                    </w:rPr>
                  </w:pPr>
                  <w:r>
                    <w:rPr>
                      <w:rFonts w:hint="eastAsia" w:cs="宋体"/>
                      <w:color w:val="auto"/>
                    </w:rPr>
                    <w:t>5分钟</w:t>
                  </w:r>
                </w:p>
              </w:tc>
              <w:tc>
                <w:tcPr>
                  <w:tcW w:w="1258" w:type="pct"/>
                </w:tcPr>
                <w:p w14:paraId="4C32B07E">
                  <w:pPr>
                    <w:pStyle w:val="162"/>
                    <w:spacing w:line="380" w:lineRule="exact"/>
                    <w:rPr>
                      <w:rFonts w:hint="eastAsia" w:cs="宋体"/>
                      <w:color w:val="auto"/>
                    </w:rPr>
                  </w:pPr>
                  <w:r>
                    <w:rPr>
                      <w:rFonts w:hint="eastAsia" w:cs="宋体"/>
                      <w:color w:val="auto"/>
                    </w:rPr>
                    <w:t>报修后1小时内</w:t>
                  </w:r>
                </w:p>
              </w:tc>
              <w:tc>
                <w:tcPr>
                  <w:tcW w:w="1386" w:type="pct"/>
                </w:tcPr>
                <w:p w14:paraId="4EF7B5B4">
                  <w:pPr>
                    <w:pStyle w:val="162"/>
                    <w:spacing w:line="380" w:lineRule="exact"/>
                    <w:rPr>
                      <w:rFonts w:hint="eastAsia" w:cs="宋体"/>
                      <w:color w:val="auto"/>
                    </w:rPr>
                  </w:pPr>
                  <w:r>
                    <w:rPr>
                      <w:rFonts w:hint="eastAsia" w:cs="宋体"/>
                      <w:color w:val="auto"/>
                    </w:rPr>
                    <w:t>报修后2小时内</w:t>
                  </w:r>
                </w:p>
              </w:tc>
            </w:tr>
            <w:tr w14:paraId="6B48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77" w:type="pct"/>
                </w:tcPr>
                <w:p w14:paraId="4A1EE167">
                  <w:pPr>
                    <w:pStyle w:val="162"/>
                    <w:spacing w:line="380" w:lineRule="exact"/>
                    <w:rPr>
                      <w:rFonts w:hint="eastAsia" w:cs="宋体"/>
                      <w:color w:val="auto"/>
                    </w:rPr>
                  </w:pPr>
                  <w:r>
                    <w:rPr>
                      <w:rFonts w:hint="eastAsia" w:cs="宋体"/>
                      <w:color w:val="auto"/>
                    </w:rPr>
                    <w:t>二级</w:t>
                  </w:r>
                </w:p>
              </w:tc>
              <w:tc>
                <w:tcPr>
                  <w:tcW w:w="1851" w:type="dxa"/>
                </w:tcPr>
                <w:p w14:paraId="278FD088">
                  <w:pPr>
                    <w:pStyle w:val="162"/>
                    <w:spacing w:line="380" w:lineRule="exact"/>
                    <w:rPr>
                      <w:rFonts w:hint="eastAsia" w:cs="宋体"/>
                      <w:color w:val="auto"/>
                    </w:rPr>
                  </w:pPr>
                  <w:r>
                    <w:rPr>
                      <w:rFonts w:hint="eastAsia" w:cs="宋体"/>
                      <w:color w:val="auto"/>
                    </w:rPr>
                    <w:t>5分钟</w:t>
                  </w:r>
                </w:p>
              </w:tc>
              <w:tc>
                <w:tcPr>
                  <w:tcW w:w="1258" w:type="pct"/>
                </w:tcPr>
                <w:p w14:paraId="1679ED46">
                  <w:pPr>
                    <w:pStyle w:val="162"/>
                    <w:spacing w:line="380" w:lineRule="exact"/>
                    <w:rPr>
                      <w:rFonts w:hint="eastAsia" w:cs="宋体"/>
                      <w:color w:val="auto"/>
                    </w:rPr>
                  </w:pPr>
                  <w:r>
                    <w:rPr>
                      <w:rFonts w:hint="eastAsia" w:cs="宋体"/>
                      <w:color w:val="auto"/>
                    </w:rPr>
                    <w:t>报修后2小时内</w:t>
                  </w:r>
                </w:p>
              </w:tc>
              <w:tc>
                <w:tcPr>
                  <w:tcW w:w="1386" w:type="pct"/>
                </w:tcPr>
                <w:p w14:paraId="249D56EF">
                  <w:pPr>
                    <w:pStyle w:val="162"/>
                    <w:spacing w:line="380" w:lineRule="exact"/>
                    <w:rPr>
                      <w:rFonts w:hint="eastAsia" w:cs="宋体"/>
                      <w:color w:val="auto"/>
                    </w:rPr>
                  </w:pPr>
                  <w:r>
                    <w:rPr>
                      <w:rFonts w:hint="eastAsia" w:cs="宋体"/>
                      <w:color w:val="auto"/>
                    </w:rPr>
                    <w:t>报修后8小时内</w:t>
                  </w:r>
                </w:p>
              </w:tc>
            </w:tr>
            <w:tr w14:paraId="3894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177" w:type="pct"/>
                </w:tcPr>
                <w:p w14:paraId="6F1A2243">
                  <w:pPr>
                    <w:pStyle w:val="162"/>
                    <w:spacing w:line="380" w:lineRule="exact"/>
                    <w:rPr>
                      <w:rFonts w:hint="eastAsia" w:cs="宋体"/>
                      <w:color w:val="auto"/>
                    </w:rPr>
                  </w:pPr>
                  <w:r>
                    <w:rPr>
                      <w:rFonts w:hint="eastAsia" w:cs="宋体"/>
                      <w:color w:val="auto"/>
                    </w:rPr>
                    <w:t>三级</w:t>
                  </w:r>
                </w:p>
              </w:tc>
              <w:tc>
                <w:tcPr>
                  <w:tcW w:w="1851" w:type="dxa"/>
                </w:tcPr>
                <w:p w14:paraId="716BED6A">
                  <w:pPr>
                    <w:pStyle w:val="162"/>
                    <w:spacing w:line="380" w:lineRule="exact"/>
                    <w:rPr>
                      <w:rFonts w:hint="eastAsia" w:cs="宋体"/>
                      <w:color w:val="auto"/>
                    </w:rPr>
                  </w:pPr>
                  <w:r>
                    <w:rPr>
                      <w:rFonts w:hint="eastAsia" w:cs="宋体"/>
                      <w:color w:val="auto"/>
                    </w:rPr>
                    <w:t>15分钟</w:t>
                  </w:r>
                </w:p>
              </w:tc>
              <w:tc>
                <w:tcPr>
                  <w:tcW w:w="1258" w:type="pct"/>
                </w:tcPr>
                <w:p w14:paraId="13FC9259">
                  <w:pPr>
                    <w:pStyle w:val="162"/>
                    <w:spacing w:line="380" w:lineRule="exact"/>
                    <w:rPr>
                      <w:rFonts w:hint="eastAsia" w:cs="宋体"/>
                      <w:color w:val="auto"/>
                    </w:rPr>
                  </w:pPr>
                  <w:r>
                    <w:rPr>
                      <w:rFonts w:hint="eastAsia" w:cs="宋体"/>
                      <w:color w:val="auto"/>
                    </w:rPr>
                    <w:t>报修后3小时内</w:t>
                  </w:r>
                </w:p>
              </w:tc>
              <w:tc>
                <w:tcPr>
                  <w:tcW w:w="1386" w:type="pct"/>
                </w:tcPr>
                <w:p w14:paraId="39734B2D">
                  <w:pPr>
                    <w:pStyle w:val="162"/>
                    <w:spacing w:line="380" w:lineRule="exact"/>
                    <w:rPr>
                      <w:rFonts w:hint="eastAsia" w:cs="宋体"/>
                      <w:color w:val="auto"/>
                    </w:rPr>
                  </w:pPr>
                  <w:r>
                    <w:rPr>
                      <w:rFonts w:hint="eastAsia" w:cs="宋体"/>
                      <w:color w:val="auto"/>
                    </w:rPr>
                    <w:t>报修后12小时内</w:t>
                  </w:r>
                </w:p>
              </w:tc>
            </w:tr>
            <w:tr w14:paraId="4916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77" w:type="pct"/>
                </w:tcPr>
                <w:p w14:paraId="5A37CE0A">
                  <w:pPr>
                    <w:pStyle w:val="162"/>
                    <w:spacing w:line="380" w:lineRule="exact"/>
                    <w:rPr>
                      <w:rFonts w:hint="eastAsia" w:cs="宋体"/>
                      <w:color w:val="auto"/>
                    </w:rPr>
                  </w:pPr>
                  <w:r>
                    <w:rPr>
                      <w:rFonts w:hint="eastAsia" w:cs="宋体"/>
                      <w:color w:val="auto"/>
                    </w:rPr>
                    <w:t>四级</w:t>
                  </w:r>
                </w:p>
              </w:tc>
              <w:tc>
                <w:tcPr>
                  <w:tcW w:w="1851" w:type="dxa"/>
                </w:tcPr>
                <w:p w14:paraId="421525A9">
                  <w:pPr>
                    <w:pStyle w:val="162"/>
                    <w:spacing w:line="380" w:lineRule="exact"/>
                    <w:rPr>
                      <w:rFonts w:hint="eastAsia" w:cs="宋体"/>
                      <w:color w:val="auto"/>
                    </w:rPr>
                  </w:pPr>
                  <w:r>
                    <w:rPr>
                      <w:rFonts w:hint="eastAsia" w:cs="宋体"/>
                      <w:color w:val="auto"/>
                    </w:rPr>
                    <w:t>15分钟</w:t>
                  </w:r>
                </w:p>
              </w:tc>
              <w:tc>
                <w:tcPr>
                  <w:tcW w:w="1258" w:type="pct"/>
                </w:tcPr>
                <w:p w14:paraId="5AAF88F8">
                  <w:pPr>
                    <w:pStyle w:val="162"/>
                    <w:spacing w:line="380" w:lineRule="exact"/>
                    <w:rPr>
                      <w:rFonts w:hint="eastAsia" w:cs="宋体"/>
                      <w:color w:val="auto"/>
                    </w:rPr>
                  </w:pPr>
                  <w:r>
                    <w:rPr>
                      <w:rFonts w:hint="eastAsia" w:cs="宋体"/>
                      <w:color w:val="auto"/>
                    </w:rPr>
                    <w:t>报修后4小时内</w:t>
                  </w:r>
                </w:p>
              </w:tc>
              <w:tc>
                <w:tcPr>
                  <w:tcW w:w="1386" w:type="pct"/>
                </w:tcPr>
                <w:p w14:paraId="77AA2265">
                  <w:pPr>
                    <w:pStyle w:val="162"/>
                    <w:spacing w:line="380" w:lineRule="exact"/>
                    <w:rPr>
                      <w:rFonts w:hint="eastAsia" w:cs="宋体"/>
                      <w:color w:val="auto"/>
                    </w:rPr>
                  </w:pPr>
                  <w:r>
                    <w:rPr>
                      <w:rFonts w:hint="eastAsia" w:cs="宋体"/>
                      <w:color w:val="auto"/>
                    </w:rPr>
                    <w:t>报修后24小时内</w:t>
                  </w:r>
                </w:p>
              </w:tc>
            </w:tr>
          </w:tbl>
          <w:p w14:paraId="460A1717">
            <w:pPr>
              <w:spacing w:line="380" w:lineRule="exact"/>
              <w:ind w:firstLine="560"/>
              <w:jc w:val="left"/>
              <w:rPr>
                <w:rFonts w:hint="eastAsia" w:ascii="宋体" w:hAnsi="宋体" w:cs="宋体"/>
                <w:szCs w:val="21"/>
              </w:rPr>
            </w:pPr>
          </w:p>
          <w:p w14:paraId="331A373E">
            <w:pPr>
              <w:pStyle w:val="3"/>
              <w:numPr>
                <w:ilvl w:val="1"/>
                <w:numId w:val="0"/>
              </w:numPr>
              <w:spacing w:before="0" w:after="0" w:line="380" w:lineRule="exact"/>
              <w:jc w:val="left"/>
              <w:rPr>
                <w:rFonts w:hint="eastAsia" w:ascii="宋体" w:hAnsi="宋体" w:eastAsia="宋体" w:cs="宋体"/>
                <w:b/>
                <w:bCs/>
                <w:sz w:val="21"/>
                <w:szCs w:val="21"/>
              </w:rPr>
            </w:pPr>
            <w:r>
              <w:rPr>
                <w:rFonts w:hint="eastAsia" w:ascii="宋体" w:hAnsi="宋体" w:eastAsia="宋体" w:cs="宋体"/>
                <w:b/>
                <w:bCs/>
                <w:sz w:val="21"/>
                <w:szCs w:val="21"/>
              </w:rPr>
              <w:t>（七）运维服务要求</w:t>
            </w:r>
          </w:p>
          <w:p w14:paraId="5D670B1E">
            <w:pPr>
              <w:pStyle w:val="4"/>
              <w:numPr>
                <w:ilvl w:val="3"/>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1. AI算力资源运维服务</w:t>
            </w:r>
          </w:p>
          <w:p w14:paraId="7230D0FF">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（1）AI算力资源规划与部署  </w:t>
            </w:r>
          </w:p>
          <w:p w14:paraId="28C2138F">
            <w:pPr>
              <w:spacing w:line="380" w:lineRule="exact"/>
              <w:ind w:firstLine="560"/>
              <w:jc w:val="left"/>
              <w:rPr>
                <w:rFonts w:hint="eastAsia" w:ascii="宋体" w:hAnsi="宋体" w:cs="宋体"/>
                <w:szCs w:val="21"/>
              </w:rPr>
            </w:pPr>
            <w:r>
              <w:rPr>
                <w:rFonts w:hint="eastAsia" w:ascii="宋体" w:hAnsi="宋体" w:cs="宋体"/>
                <w:szCs w:val="21"/>
              </w:rPr>
              <w:t>提供灵活的算力资源规划方案，根据业务需求选择合适的GPU/TPU/NPU等加速硬件，支持按需扩展和弹性伸缩。</w:t>
            </w:r>
          </w:p>
          <w:p w14:paraId="1384BB92">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（2）智能调度与资源优化  </w:t>
            </w:r>
          </w:p>
          <w:p w14:paraId="6CC89F83">
            <w:pPr>
              <w:spacing w:line="380" w:lineRule="exact"/>
              <w:ind w:firstLine="560"/>
              <w:jc w:val="left"/>
              <w:rPr>
                <w:rFonts w:hint="eastAsia" w:ascii="宋体" w:hAnsi="宋体" w:cs="宋体"/>
                <w:szCs w:val="21"/>
              </w:rPr>
            </w:pPr>
            <w:r>
              <w:rPr>
                <w:rFonts w:hint="eastAsia" w:ascii="宋体" w:hAnsi="宋体" w:cs="宋体"/>
                <w:szCs w:val="21"/>
              </w:rPr>
              <w:t>通过AI算法优化任务调度，提升算力利用率，减少空闲资源浪费。支持多任务并行处理和优先级管理。</w:t>
            </w:r>
          </w:p>
          <w:p w14:paraId="16FE0827">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（3）监控与告警  </w:t>
            </w:r>
          </w:p>
          <w:p w14:paraId="1BC8FC03">
            <w:pPr>
              <w:spacing w:line="380" w:lineRule="exact"/>
              <w:ind w:firstLine="560"/>
              <w:jc w:val="left"/>
              <w:rPr>
                <w:rFonts w:hint="eastAsia" w:ascii="宋体" w:hAnsi="宋体" w:cs="宋体"/>
                <w:szCs w:val="21"/>
              </w:rPr>
            </w:pPr>
            <w:r>
              <w:rPr>
                <w:rFonts w:hint="eastAsia" w:ascii="宋体" w:hAnsi="宋体" w:cs="宋体"/>
                <w:szCs w:val="21"/>
              </w:rPr>
              <w:t>实时监控算力资源的使用情况（如GPU/TPU/NPU利用率、内存占用等），提供可视化仪表盘和自定义告警规则，帮助运维人员快速响应问题。</w:t>
            </w:r>
          </w:p>
          <w:p w14:paraId="0492FA12">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（4）自动化运维  </w:t>
            </w:r>
          </w:p>
          <w:p w14:paraId="6974A71D">
            <w:pPr>
              <w:spacing w:line="380" w:lineRule="exact"/>
              <w:ind w:firstLine="560"/>
              <w:jc w:val="left"/>
              <w:rPr>
                <w:rFonts w:hint="eastAsia" w:ascii="宋体" w:hAnsi="宋体" w:cs="宋体"/>
                <w:szCs w:val="21"/>
              </w:rPr>
            </w:pPr>
            <w:r>
              <w:rPr>
                <w:rFonts w:hint="eastAsia" w:ascii="宋体" w:hAnsi="宋体" w:cs="宋体"/>
                <w:szCs w:val="21"/>
              </w:rPr>
              <w:t>支持自动化故障检测与恢复、自动扩缩容、版本升级等功能，降低人工运维成本，提升系统稳定性。</w:t>
            </w:r>
          </w:p>
          <w:p w14:paraId="2014457E">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（5）安全与合规  </w:t>
            </w:r>
          </w:p>
          <w:p w14:paraId="72ADED98">
            <w:pPr>
              <w:spacing w:line="380" w:lineRule="exact"/>
              <w:ind w:firstLine="560"/>
              <w:jc w:val="left"/>
              <w:rPr>
                <w:rFonts w:hint="eastAsia" w:ascii="宋体" w:hAnsi="宋体" w:cs="宋体"/>
                <w:szCs w:val="21"/>
              </w:rPr>
            </w:pPr>
            <w:r>
              <w:rPr>
                <w:rFonts w:hint="eastAsia" w:ascii="宋体" w:hAnsi="宋体" w:cs="宋体"/>
                <w:szCs w:val="21"/>
              </w:rPr>
              <w:t>提供多层次的安全防护，包括数据加密、访问控制、网络安全等，确保AI训练和推理过程中的数据安全和合规性。</w:t>
            </w:r>
          </w:p>
          <w:p w14:paraId="04C7252A">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（6）AI训练与推理服务  </w:t>
            </w:r>
          </w:p>
          <w:p w14:paraId="53D87928">
            <w:pPr>
              <w:spacing w:line="380" w:lineRule="exact"/>
              <w:ind w:firstLine="560"/>
              <w:jc w:val="left"/>
              <w:rPr>
                <w:rFonts w:hint="eastAsia" w:ascii="宋体" w:hAnsi="宋体" w:cs="宋体"/>
                <w:szCs w:val="21"/>
              </w:rPr>
            </w:pPr>
            <w:r>
              <w:rPr>
                <w:rFonts w:hint="eastAsia" w:ascii="宋体" w:hAnsi="宋体" w:cs="宋体"/>
                <w:szCs w:val="21"/>
              </w:rPr>
              <w:t>提供一站式的AI训练和推理能力，集成主流深度学习框架（如TensorFlow、PyTorch），支持分布式训练和模型优化。</w:t>
            </w:r>
          </w:p>
          <w:p w14:paraId="54408204">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（7）成本管理  </w:t>
            </w:r>
          </w:p>
          <w:p w14:paraId="6CF5F0B2">
            <w:pPr>
              <w:spacing w:line="380" w:lineRule="exact"/>
              <w:ind w:firstLine="560"/>
              <w:jc w:val="left"/>
              <w:rPr>
                <w:rFonts w:hint="eastAsia" w:ascii="宋体" w:hAnsi="宋体" w:cs="宋体"/>
                <w:szCs w:val="21"/>
              </w:rPr>
            </w:pPr>
            <w:r>
              <w:rPr>
                <w:rFonts w:hint="eastAsia" w:ascii="宋体" w:hAnsi="宋体" w:cs="宋体"/>
                <w:szCs w:val="21"/>
              </w:rPr>
              <w:t>通过资源使用分析和成本预测，帮助用户优化预算，提供详细的账单分析和计费建议。</w:t>
            </w:r>
          </w:p>
          <w:p w14:paraId="55732450">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（8）故障恢复</w:t>
            </w:r>
          </w:p>
          <w:p w14:paraId="32B5B05B">
            <w:pPr>
              <w:spacing w:line="380" w:lineRule="exact"/>
              <w:ind w:firstLine="560"/>
              <w:jc w:val="left"/>
              <w:rPr>
                <w:rFonts w:hint="eastAsia" w:ascii="宋体" w:hAnsi="宋体" w:cs="宋体"/>
                <w:szCs w:val="21"/>
              </w:rPr>
            </w:pPr>
            <w:r>
              <w:rPr>
                <w:rFonts w:hint="eastAsia" w:ascii="宋体" w:hAnsi="宋体" w:cs="宋体"/>
                <w:szCs w:val="21"/>
              </w:rPr>
              <w:t>硬件故障处理：针对网络设备出现的硬件故障依据产品故障恢复手册定位并恢复，或进行设备更换或端口更换等操作。</w:t>
            </w:r>
          </w:p>
          <w:p w14:paraId="33FF71FF">
            <w:pPr>
              <w:spacing w:line="380" w:lineRule="exact"/>
              <w:ind w:firstLine="560"/>
              <w:jc w:val="left"/>
              <w:rPr>
                <w:rFonts w:hint="eastAsia" w:ascii="宋体" w:hAnsi="宋体" w:cs="宋体"/>
                <w:szCs w:val="21"/>
              </w:rPr>
            </w:pPr>
            <w:r>
              <w:rPr>
                <w:rFonts w:hint="eastAsia" w:ascii="宋体" w:hAnsi="宋体" w:cs="宋体"/>
                <w:szCs w:val="21"/>
              </w:rPr>
              <w:t>网络连通故障处理：当出现网络无法连通时进行故障处理和修复。</w:t>
            </w:r>
          </w:p>
          <w:p w14:paraId="282C1F41">
            <w:pPr>
              <w:spacing w:line="380" w:lineRule="exact"/>
              <w:ind w:firstLine="560"/>
              <w:jc w:val="left"/>
              <w:rPr>
                <w:rFonts w:hint="eastAsia" w:ascii="宋体" w:hAnsi="宋体" w:cs="宋体"/>
                <w:szCs w:val="21"/>
              </w:rPr>
            </w:pPr>
            <w:r>
              <w:rPr>
                <w:rFonts w:hint="eastAsia" w:ascii="宋体" w:hAnsi="宋体" w:cs="宋体"/>
                <w:szCs w:val="21"/>
              </w:rPr>
              <w:t>网络性能故障处理：当出现网络访问慢、高ping或丢包时进行故障处理和修复。</w:t>
            </w:r>
          </w:p>
          <w:p w14:paraId="23FD9014">
            <w:pPr>
              <w:spacing w:line="380" w:lineRule="exact"/>
              <w:ind w:firstLine="560"/>
              <w:jc w:val="left"/>
              <w:rPr>
                <w:rFonts w:hint="eastAsia" w:ascii="宋体" w:hAnsi="宋体" w:cs="宋体"/>
                <w:szCs w:val="21"/>
              </w:rPr>
            </w:pPr>
            <w:r>
              <w:rPr>
                <w:rFonts w:hint="eastAsia" w:ascii="宋体" w:hAnsi="宋体" w:cs="宋体"/>
                <w:szCs w:val="21"/>
              </w:rPr>
              <w:t>网络风暴故障处理：针对由于网络拓扑的设计或连接问题或其他原因使广播在网段内大量复制、传播数据帧导致网络性能下降，甚至网络瘫痪的故障进行处理，通过逐层查询异常流量，确定异常流量来源，进行屏蔽以快速结束网络风暴并进行根因分析。</w:t>
            </w:r>
          </w:p>
          <w:p w14:paraId="529127FB">
            <w:pPr>
              <w:spacing w:line="380" w:lineRule="exact"/>
              <w:ind w:firstLine="560"/>
              <w:jc w:val="left"/>
              <w:rPr>
                <w:rFonts w:hint="eastAsia" w:ascii="宋体" w:hAnsi="宋体" w:cs="宋体"/>
                <w:szCs w:val="21"/>
              </w:rPr>
            </w:pPr>
            <w:r>
              <w:rPr>
                <w:rFonts w:hint="eastAsia" w:ascii="宋体" w:hAnsi="宋体" w:cs="宋体"/>
                <w:szCs w:val="21"/>
              </w:rPr>
              <w:t>硬件故障处理：当智算力集群产品出现计算模块、内存、硬盘、电源、光模块、以太网控制器等硬件故障时依据产品手册的故障码进行分析定位处理和修复。</w:t>
            </w:r>
          </w:p>
          <w:p w14:paraId="66F7C71D">
            <w:pPr>
              <w:spacing w:line="380" w:lineRule="exact"/>
              <w:ind w:firstLine="560"/>
              <w:jc w:val="left"/>
              <w:rPr>
                <w:rFonts w:hint="eastAsia" w:ascii="宋体" w:hAnsi="宋体" w:cs="宋体"/>
                <w:szCs w:val="21"/>
              </w:rPr>
            </w:pPr>
            <w:r>
              <w:rPr>
                <w:rFonts w:hint="eastAsia" w:ascii="宋体" w:hAnsi="宋体" w:cs="宋体"/>
                <w:szCs w:val="21"/>
              </w:rPr>
              <w:t>操作系统故障处理：当出现OS操作系统故障时进行排查处理和修复。</w:t>
            </w:r>
          </w:p>
          <w:p w14:paraId="4AB9A0A9">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（9）变更协助</w:t>
            </w:r>
          </w:p>
          <w:p w14:paraId="52B9DB86">
            <w:pPr>
              <w:spacing w:line="380" w:lineRule="exact"/>
              <w:ind w:firstLine="560"/>
              <w:jc w:val="left"/>
              <w:rPr>
                <w:rFonts w:hint="eastAsia" w:ascii="宋体" w:hAnsi="宋体" w:cs="宋体"/>
                <w:szCs w:val="21"/>
              </w:rPr>
            </w:pPr>
            <w:r>
              <w:rPr>
                <w:rFonts w:hint="eastAsia" w:ascii="宋体" w:hAnsi="宋体" w:cs="宋体"/>
                <w:szCs w:val="21"/>
              </w:rPr>
              <w:t>网络调整：依据业务需求对网络设备或系统网络协助进行符合整体网络规划的调整或设备配置变更操作。</w:t>
            </w:r>
          </w:p>
          <w:p w14:paraId="44B9BE15">
            <w:pPr>
              <w:spacing w:line="380" w:lineRule="exact"/>
              <w:ind w:firstLine="560"/>
              <w:jc w:val="left"/>
              <w:rPr>
                <w:rFonts w:hint="eastAsia" w:ascii="宋体" w:hAnsi="宋体" w:cs="宋体"/>
                <w:szCs w:val="21"/>
              </w:rPr>
            </w:pPr>
            <w:r>
              <w:rPr>
                <w:rFonts w:hint="eastAsia" w:ascii="宋体" w:hAnsi="宋体" w:cs="宋体"/>
                <w:szCs w:val="21"/>
              </w:rPr>
              <w:t>固件升级：依据产品官网发布的补丁公告需要修复产品bug或提升产品性能时，通过变更对在保内的设备进行固件升级操作。</w:t>
            </w:r>
          </w:p>
          <w:p w14:paraId="4981639D">
            <w:pPr>
              <w:spacing w:line="380" w:lineRule="exact"/>
              <w:ind w:firstLine="560"/>
              <w:jc w:val="left"/>
              <w:rPr>
                <w:rFonts w:hint="eastAsia" w:ascii="宋体" w:hAnsi="宋体" w:cs="宋体"/>
                <w:szCs w:val="21"/>
              </w:rPr>
            </w:pPr>
            <w:r>
              <w:rPr>
                <w:rFonts w:hint="eastAsia" w:ascii="宋体" w:hAnsi="宋体" w:cs="宋体"/>
                <w:szCs w:val="21"/>
              </w:rPr>
              <w:t>扩缩容：依据业务规划或服务请求或故障恢复需要协助进行硬盘、硬盘框、控制器、前端链路、整机等的扩容或缩容操作。</w:t>
            </w:r>
          </w:p>
          <w:p w14:paraId="357C0098">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（10）系统备份</w:t>
            </w:r>
          </w:p>
          <w:p w14:paraId="4A0F6801">
            <w:pPr>
              <w:spacing w:line="380" w:lineRule="exact"/>
              <w:ind w:firstLine="560"/>
              <w:jc w:val="left"/>
              <w:rPr>
                <w:rFonts w:hint="eastAsia" w:ascii="宋体" w:hAnsi="宋体" w:cs="宋体"/>
                <w:szCs w:val="21"/>
              </w:rPr>
            </w:pPr>
            <w:r>
              <w:rPr>
                <w:rFonts w:hint="eastAsia" w:ascii="宋体" w:hAnsi="宋体" w:cs="宋体"/>
                <w:szCs w:val="21"/>
              </w:rPr>
              <w:t>网络配置备份：在规定的时间周期内对AI算力资源租赁设备的配置参数进行备份，以确保出现因配置参数错误导致的故障时能快速恢复至故障前的状态。</w:t>
            </w:r>
          </w:p>
          <w:p w14:paraId="344837DA">
            <w:pPr>
              <w:spacing w:line="380" w:lineRule="exact"/>
              <w:ind w:firstLine="560"/>
              <w:jc w:val="left"/>
              <w:rPr>
                <w:rFonts w:hint="eastAsia" w:ascii="宋体" w:hAnsi="宋体" w:cs="宋体"/>
                <w:szCs w:val="21"/>
              </w:rPr>
            </w:pPr>
            <w:r>
              <w:rPr>
                <w:rFonts w:hint="eastAsia" w:ascii="宋体" w:hAnsi="宋体" w:cs="宋体"/>
                <w:szCs w:val="21"/>
              </w:rPr>
              <w:t>系统数据备份：根据相关规定按要求定期备份系统数据。</w:t>
            </w:r>
          </w:p>
          <w:p w14:paraId="4313FD6C">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（11）日常巡检</w:t>
            </w:r>
          </w:p>
          <w:p w14:paraId="05A7DABA">
            <w:pPr>
              <w:spacing w:line="380" w:lineRule="exact"/>
              <w:ind w:firstLine="560"/>
              <w:jc w:val="left"/>
              <w:rPr>
                <w:rFonts w:hint="eastAsia" w:ascii="宋体" w:hAnsi="宋体" w:cs="宋体"/>
                <w:szCs w:val="21"/>
              </w:rPr>
            </w:pPr>
            <w:r>
              <w:rPr>
                <w:rFonts w:hint="eastAsia" w:ascii="宋体" w:hAnsi="宋体" w:cs="宋体"/>
                <w:szCs w:val="21"/>
              </w:rPr>
              <w:t>日常运行指标巡检：设备操作系统版本、CPU利用率、设备内存利用状况、设备模块运行状况、设备模块温度、连通性指标、VLAN状态等。</w:t>
            </w:r>
          </w:p>
          <w:p w14:paraId="5B85E947">
            <w:pPr>
              <w:spacing w:line="380" w:lineRule="exact"/>
              <w:ind w:firstLine="560"/>
              <w:jc w:val="left"/>
              <w:rPr>
                <w:rFonts w:hint="eastAsia" w:ascii="宋体" w:hAnsi="宋体" w:cs="宋体"/>
                <w:szCs w:val="21"/>
              </w:rPr>
            </w:pPr>
            <w:r>
              <w:rPr>
                <w:rFonts w:hint="eastAsia" w:ascii="宋体" w:hAnsi="宋体" w:cs="宋体"/>
                <w:szCs w:val="21"/>
              </w:rPr>
              <w:t>错误日志检查：检查Log日志，逐条分析错误日志，对监控的异常告警进行分析处置。</w:t>
            </w:r>
          </w:p>
          <w:p w14:paraId="4734851C">
            <w:pPr>
              <w:spacing w:line="380" w:lineRule="exact"/>
              <w:ind w:firstLine="560"/>
              <w:jc w:val="left"/>
              <w:rPr>
                <w:rFonts w:hint="eastAsia" w:ascii="宋体" w:hAnsi="宋体" w:cs="宋体"/>
                <w:szCs w:val="21"/>
              </w:rPr>
            </w:pPr>
            <w:r>
              <w:rPr>
                <w:rFonts w:hint="eastAsia" w:ascii="宋体" w:hAnsi="宋体" w:cs="宋体"/>
                <w:szCs w:val="21"/>
              </w:rPr>
              <w:t>网络性能指标巡检，网络运行质量监控，网络安全隐患检查，链路主备冗余检查。</w:t>
            </w:r>
          </w:p>
          <w:p w14:paraId="60AA31CA">
            <w:pPr>
              <w:spacing w:line="380" w:lineRule="exact"/>
              <w:ind w:firstLine="560"/>
              <w:jc w:val="left"/>
              <w:rPr>
                <w:rFonts w:hint="eastAsia" w:ascii="宋体" w:hAnsi="宋体" w:cs="宋体"/>
                <w:szCs w:val="21"/>
              </w:rPr>
            </w:pPr>
          </w:p>
          <w:p w14:paraId="573B0D53">
            <w:pPr>
              <w:pStyle w:val="8"/>
              <w:spacing w:line="380" w:lineRule="exact"/>
              <w:ind w:firstLine="0"/>
              <w:outlineLvl w:val="1"/>
              <w:rPr>
                <w:rFonts w:hint="eastAsia" w:ascii="宋体" w:hAnsi="宋体" w:cs="宋体"/>
                <w:b/>
                <w:bCs/>
                <w:szCs w:val="21"/>
              </w:rPr>
            </w:pPr>
            <w:r>
              <w:rPr>
                <w:rFonts w:hint="eastAsia" w:ascii="宋体" w:hAnsi="宋体" w:cs="宋体"/>
                <w:b/>
                <w:bCs/>
                <w:szCs w:val="21"/>
              </w:rPr>
              <w:t>（六）技术支持与售后</w:t>
            </w:r>
          </w:p>
          <w:p w14:paraId="75DB44BC">
            <w:pPr>
              <w:spacing w:line="380" w:lineRule="exact"/>
              <w:ind w:firstLine="420" w:firstLineChars="200"/>
              <w:jc w:val="left"/>
              <w:outlineLvl w:val="1"/>
              <w:rPr>
                <w:rFonts w:hint="eastAsia" w:ascii="宋体" w:hAnsi="宋体" w:cs="宋体"/>
                <w:b/>
                <w:bCs/>
                <w:szCs w:val="21"/>
              </w:rPr>
            </w:pPr>
            <w:r>
              <w:rPr>
                <w:rFonts w:hint="eastAsia" w:ascii="宋体" w:hAnsi="宋体" w:cs="宋体"/>
                <w:b/>
                <w:bCs/>
                <w:szCs w:val="21"/>
              </w:rPr>
              <w:t>（1）服务人员配置要求</w:t>
            </w:r>
          </w:p>
          <w:p w14:paraId="6669531F">
            <w:pPr>
              <w:spacing w:line="380" w:lineRule="exact"/>
              <w:ind w:firstLine="560"/>
              <w:jc w:val="left"/>
              <w:rPr>
                <w:rFonts w:hint="eastAsia" w:ascii="宋体" w:hAnsi="宋体" w:cs="宋体"/>
                <w:szCs w:val="21"/>
              </w:rPr>
            </w:pPr>
            <w:r>
              <w:rPr>
                <w:rFonts w:hint="eastAsia" w:ascii="宋体" w:hAnsi="宋体" w:cs="宋体"/>
                <w:szCs w:val="21"/>
              </w:rPr>
              <w:t>提供3年5天/周*8小时/天，至少1人的运维驻场服务，投标人拥有不少于</w:t>
            </w:r>
            <w:r>
              <w:rPr>
                <w:rFonts w:hint="eastAsia" w:ascii="宋体" w:hAnsi="宋体" w:cs="宋体"/>
                <w:szCs w:val="21"/>
                <w:u w:val="single"/>
              </w:rPr>
              <w:t>8</w:t>
            </w:r>
            <w:r>
              <w:rPr>
                <w:rFonts w:hint="eastAsia" w:ascii="宋体" w:hAnsi="宋体" w:cs="宋体"/>
                <w:szCs w:val="21"/>
              </w:rPr>
              <w:t>人专职技术售后服务人员，能及时为采购人提供技术服务、技术支持、故障维修，设备维护等全方面服务。在质保期内，负责为采购人免费更换或维修设备，负责安装和调试，妥善做好相关设备数据保密工作。</w:t>
            </w:r>
          </w:p>
          <w:p w14:paraId="031ABDB9">
            <w:pPr>
              <w:spacing w:line="380" w:lineRule="exact"/>
              <w:ind w:firstLine="560"/>
              <w:jc w:val="left"/>
              <w:rPr>
                <w:rFonts w:hint="eastAsia" w:ascii="宋体" w:hAnsi="宋体" w:cs="宋体"/>
                <w:szCs w:val="21"/>
              </w:rPr>
            </w:pPr>
            <w:r>
              <w:rPr>
                <w:rFonts w:hint="eastAsia" w:ascii="宋体" w:hAnsi="宋体" w:cs="宋体"/>
                <w:szCs w:val="21"/>
              </w:rPr>
              <w:t>运维驻场服务可以灵活地使用中标服务商的技术资源进行个性化的、持续的运维支持服务，满足采购人的运维需求。</w:t>
            </w:r>
          </w:p>
          <w:p w14:paraId="0C962A63">
            <w:pPr>
              <w:spacing w:line="380" w:lineRule="exact"/>
              <w:ind w:firstLine="560"/>
              <w:jc w:val="left"/>
              <w:rPr>
                <w:rFonts w:hint="eastAsia" w:ascii="宋体" w:hAnsi="宋体" w:cs="宋体"/>
                <w:szCs w:val="21"/>
              </w:rPr>
            </w:pPr>
            <w:r>
              <w:rPr>
                <w:rFonts w:hint="eastAsia" w:ascii="宋体" w:hAnsi="宋体" w:cs="宋体"/>
                <w:szCs w:val="21"/>
              </w:rPr>
              <w:t>运维驻场服务是指派合格的工程师在采购人指定的工作地点为采购人提供持续的运维支持服务。运维驻场工程师长期和采购人工程师一起在采购人现场工作，严格遵守采购人的工作管理要求，熟悉采购人的内部流程和需求，熟悉采购人的网络状况，长期专注于采购人现网产品和技术，可以协助采购人预防重大故障的发生，或者在发生故障时可以快速解决故障。</w:t>
            </w:r>
          </w:p>
          <w:p w14:paraId="6393CF0F">
            <w:pPr>
              <w:spacing w:line="380" w:lineRule="exact"/>
              <w:ind w:firstLine="560"/>
              <w:jc w:val="left"/>
              <w:rPr>
                <w:rFonts w:hint="eastAsia" w:ascii="宋体" w:hAnsi="宋体" w:cs="宋体"/>
                <w:szCs w:val="21"/>
              </w:rPr>
            </w:pPr>
            <w:r>
              <w:rPr>
                <w:rFonts w:hint="eastAsia" w:ascii="宋体" w:hAnsi="宋体" w:cs="宋体"/>
                <w:szCs w:val="21"/>
              </w:rPr>
              <w:t>驻场工程师的驻场时间为正常工作日，每天八小时，享有当地国家规定的法定假期。</w:t>
            </w:r>
          </w:p>
          <w:p w14:paraId="2838468B">
            <w:pPr>
              <w:numPr>
                <w:ilvl w:val="0"/>
                <w:numId w:val="1"/>
              </w:numPr>
              <w:spacing w:line="380" w:lineRule="exact"/>
              <w:ind w:firstLine="420" w:firstLineChars="200"/>
              <w:outlineLvl w:val="1"/>
              <w:rPr>
                <w:rFonts w:hint="eastAsia" w:ascii="宋体" w:hAnsi="宋体" w:cs="宋体"/>
                <w:szCs w:val="21"/>
              </w:rPr>
            </w:pPr>
            <w:r>
              <w:rPr>
                <w:rFonts w:hint="eastAsia" w:ascii="宋体" w:hAnsi="宋体" w:cs="宋体"/>
                <w:szCs w:val="21"/>
              </w:rPr>
              <w:t>其他技术服务人员要求（3人，其中项目经理1人、网络工程师1人、AI算力工程师1人）</w:t>
            </w:r>
          </w:p>
          <w:p w14:paraId="70A2AB51">
            <w:pPr>
              <w:spacing w:line="380" w:lineRule="exact"/>
              <w:ind w:firstLine="630" w:firstLineChars="300"/>
              <w:outlineLvl w:val="1"/>
              <w:rPr>
                <w:rFonts w:hint="eastAsia" w:ascii="宋体" w:hAnsi="宋体" w:cs="宋体"/>
                <w:szCs w:val="21"/>
              </w:rPr>
            </w:pPr>
            <w:r>
              <w:rPr>
                <w:rFonts w:hint="eastAsia" w:ascii="宋体" w:hAnsi="宋体" w:cs="宋体"/>
                <w:szCs w:val="21"/>
              </w:rPr>
              <w:t>项目经理：有不少于三年的信息化项目管理经验，负责项目全流程统筹、团队管理与风险控制。</w:t>
            </w:r>
          </w:p>
          <w:p w14:paraId="541C1F7C">
            <w:pPr>
              <w:spacing w:line="380" w:lineRule="exact"/>
              <w:ind w:firstLine="560"/>
              <w:jc w:val="left"/>
              <w:rPr>
                <w:rFonts w:hint="eastAsia" w:ascii="宋体" w:hAnsi="宋体" w:cs="宋体"/>
                <w:szCs w:val="21"/>
                <w:lang w:val="zh-CN"/>
              </w:rPr>
            </w:pPr>
            <w:r>
              <w:rPr>
                <w:rFonts w:hint="eastAsia" w:ascii="宋体" w:hAnsi="宋体" w:cs="宋体"/>
                <w:szCs w:val="21"/>
                <w:lang w:val="zh-CN"/>
              </w:rPr>
              <w:t>网络工程师：有</w:t>
            </w:r>
            <w:r>
              <w:rPr>
                <w:rFonts w:hint="eastAsia" w:ascii="宋体" w:hAnsi="宋体" w:cs="宋体"/>
                <w:szCs w:val="21"/>
              </w:rPr>
              <w:t>不少于三年</w:t>
            </w:r>
            <w:r>
              <w:rPr>
                <w:rFonts w:hint="eastAsia" w:ascii="宋体" w:hAnsi="宋体" w:cs="宋体"/>
                <w:szCs w:val="21"/>
                <w:lang w:val="zh-CN"/>
              </w:rPr>
              <w:t>的网络工程与运营维护经验、负责网络设备调试、网络规划设计、方案实施及日常维护、现场故障处理等经验。</w:t>
            </w:r>
          </w:p>
          <w:p w14:paraId="0C1640C5">
            <w:pPr>
              <w:spacing w:line="380" w:lineRule="exact"/>
              <w:ind w:firstLine="560"/>
              <w:jc w:val="left"/>
              <w:rPr>
                <w:rFonts w:hint="eastAsia" w:ascii="宋体" w:hAnsi="宋体" w:cs="宋体"/>
                <w:szCs w:val="21"/>
              </w:rPr>
            </w:pPr>
            <w:r>
              <w:rPr>
                <w:rFonts w:hint="eastAsia" w:ascii="宋体" w:hAnsi="宋体" w:cs="宋体"/>
                <w:szCs w:val="21"/>
              </w:rPr>
              <w:t>AI算力工程师：熟悉并掌握推理服务器、机架服务器、高密服务器系列产品特性、系统结构以及典型应用场景。能够独立安装、维护推理服务器、机架服务器、高密服务器系列产品，并进行简单的故障排除和部件更换，管理配置各系列服务器特性，部署常用操作系统。</w:t>
            </w:r>
          </w:p>
          <w:p w14:paraId="129DEB04">
            <w:pPr>
              <w:spacing w:line="380" w:lineRule="exact"/>
              <w:ind w:firstLine="560"/>
              <w:jc w:val="left"/>
              <w:rPr>
                <w:rFonts w:hint="eastAsia" w:ascii="宋体" w:hAnsi="宋体" w:cs="宋体"/>
                <w:szCs w:val="21"/>
              </w:rPr>
            </w:pPr>
            <w:r>
              <w:rPr>
                <w:rFonts w:hint="eastAsia" w:ascii="宋体" w:hAnsi="宋体" w:cs="宋体"/>
                <w:szCs w:val="21"/>
              </w:rPr>
              <w:t>掌握评估优化工具和巡检工具的部署和使用，能使用工具对服务器、存储和云计算产品进行数据收集。熟练掌握事件分析工具的原理、安装调测、日常监控和分析等使用，以及工具维护；及时处理工具发现的异常；能够输出事件分析报告。</w:t>
            </w:r>
          </w:p>
          <w:p w14:paraId="2B69314C">
            <w:pPr>
              <w:spacing w:line="380" w:lineRule="exact"/>
              <w:ind w:firstLine="560"/>
              <w:jc w:val="left"/>
              <w:rPr>
                <w:rFonts w:hint="eastAsia" w:ascii="宋体" w:hAnsi="宋体" w:cs="宋体"/>
                <w:szCs w:val="21"/>
              </w:rPr>
            </w:pPr>
            <w:r>
              <w:rPr>
                <w:rFonts w:hint="eastAsia" w:ascii="宋体" w:hAnsi="宋体" w:cs="宋体"/>
                <w:szCs w:val="21"/>
              </w:rPr>
              <w:t>熟练掌握事件分析工具的原理、安装调测、日常监控和分析等使用，以及工具维护；及时处理工具发现的异常；能够输出事件分析报告。</w:t>
            </w:r>
          </w:p>
          <w:p w14:paraId="0CCA1C8C">
            <w:pPr>
              <w:pStyle w:val="8"/>
              <w:spacing w:line="380" w:lineRule="exact"/>
              <w:ind w:firstLineChars="200"/>
              <w:outlineLvl w:val="2"/>
              <w:rPr>
                <w:rFonts w:hint="eastAsia" w:ascii="宋体" w:hAnsi="宋体" w:cs="宋体"/>
                <w:szCs w:val="21"/>
              </w:rPr>
            </w:pPr>
            <w:r>
              <w:rPr>
                <w:rFonts w:hint="eastAsia" w:ascii="宋体" w:hAnsi="宋体" w:cs="宋体"/>
                <w:szCs w:val="21"/>
              </w:rPr>
              <w:t>（3）现场技术支持</w:t>
            </w:r>
          </w:p>
          <w:p w14:paraId="747F26F7">
            <w:pPr>
              <w:pStyle w:val="8"/>
              <w:spacing w:line="380" w:lineRule="exact"/>
              <w:ind w:firstLineChars="200"/>
              <w:rPr>
                <w:rFonts w:hint="eastAsia" w:ascii="宋体" w:hAnsi="宋体" w:cs="宋体"/>
                <w:szCs w:val="21"/>
              </w:rPr>
            </w:pPr>
            <w:r>
              <w:rPr>
                <w:rFonts w:hint="eastAsia" w:ascii="宋体" w:hAnsi="宋体" w:cs="宋体"/>
                <w:szCs w:val="21"/>
              </w:rPr>
              <w:t>由中标服务商提供安装部署、设备调试、定期巡检、技术培训等现场技术支持服务。</w:t>
            </w:r>
          </w:p>
          <w:p w14:paraId="7F7AD9CB">
            <w:pPr>
              <w:pStyle w:val="8"/>
              <w:spacing w:line="380" w:lineRule="exact"/>
              <w:ind w:firstLineChars="200"/>
              <w:outlineLvl w:val="2"/>
              <w:rPr>
                <w:rFonts w:hint="eastAsia" w:ascii="宋体" w:hAnsi="宋体" w:cs="宋体"/>
                <w:szCs w:val="21"/>
              </w:rPr>
            </w:pPr>
            <w:r>
              <w:rPr>
                <w:rFonts w:hint="eastAsia" w:ascii="宋体" w:hAnsi="宋体" w:cs="宋体"/>
                <w:szCs w:val="21"/>
              </w:rPr>
              <w:t>（4）服务期内维护服务</w:t>
            </w:r>
          </w:p>
          <w:p w14:paraId="039F67C6">
            <w:pPr>
              <w:pStyle w:val="8"/>
              <w:spacing w:line="380" w:lineRule="exact"/>
              <w:ind w:firstLine="630" w:firstLineChars="300"/>
              <w:rPr>
                <w:rFonts w:hint="eastAsia" w:ascii="宋体" w:hAnsi="宋体" w:cs="宋体"/>
                <w:szCs w:val="21"/>
              </w:rPr>
            </w:pPr>
            <w:r>
              <w:rPr>
                <w:rFonts w:hint="eastAsia" w:ascii="宋体" w:hAnsi="宋体" w:cs="宋体"/>
                <w:szCs w:val="21"/>
              </w:rPr>
              <w:t>提供设备原厂三年上门软硬件技术支持与售后服务，在服务期内提供备品备件支持、存储介质保留、现场问题处理、软件升级、热线服务、远程问题处理、在线技术支持、重大事件保障。服务期内不收取任何费用，服务期满后存储盘留存给采购人。</w:t>
            </w:r>
          </w:p>
          <w:p w14:paraId="44A1616B">
            <w:pPr>
              <w:pStyle w:val="8"/>
              <w:spacing w:line="380" w:lineRule="exact"/>
              <w:ind w:firstLine="630" w:firstLineChars="300"/>
              <w:outlineLvl w:val="2"/>
              <w:rPr>
                <w:rFonts w:hint="eastAsia" w:ascii="宋体" w:hAnsi="宋体" w:cs="宋体"/>
                <w:szCs w:val="21"/>
              </w:rPr>
            </w:pPr>
            <w:r>
              <w:rPr>
                <w:rFonts w:hint="eastAsia" w:ascii="宋体" w:hAnsi="宋体" w:cs="宋体"/>
                <w:szCs w:val="21"/>
              </w:rPr>
              <w:t>（4）服务期满数据迁移的技术支持</w:t>
            </w:r>
          </w:p>
          <w:p w14:paraId="780000D0">
            <w:pPr>
              <w:pStyle w:val="8"/>
              <w:spacing w:line="380" w:lineRule="exact"/>
              <w:ind w:firstLine="630" w:firstLineChars="300"/>
              <w:rPr>
                <w:rFonts w:hint="eastAsia" w:ascii="宋体" w:hAnsi="宋体" w:cs="宋体"/>
                <w:szCs w:val="21"/>
              </w:rPr>
            </w:pPr>
            <w:r>
              <w:rPr>
                <w:rFonts w:hint="eastAsia" w:ascii="宋体" w:hAnsi="宋体" w:cs="宋体"/>
                <w:szCs w:val="21"/>
              </w:rPr>
              <w:t>AI算力资源租赁使用到期后，如用户需要迁移AI算力资源，中标服务商须提供技术支持服务，服务期内不收取任何费用。包括准备迁移数据、迁移方式选择、挂载存储到AI算力实例、验证数据完整性等。</w:t>
            </w:r>
          </w:p>
          <w:p w14:paraId="3FEB3170">
            <w:pPr>
              <w:pStyle w:val="8"/>
              <w:spacing w:line="380" w:lineRule="exact"/>
              <w:ind w:firstLineChars="200"/>
              <w:outlineLvl w:val="2"/>
              <w:rPr>
                <w:rFonts w:hint="eastAsia" w:ascii="宋体" w:hAnsi="宋体" w:cs="宋体"/>
                <w:szCs w:val="21"/>
              </w:rPr>
            </w:pPr>
            <w:r>
              <w:rPr>
                <w:rFonts w:hint="eastAsia" w:ascii="宋体" w:hAnsi="宋体" w:cs="宋体"/>
                <w:szCs w:val="21"/>
              </w:rPr>
              <w:t>（5）服务中断扣款及服务期满延续</w:t>
            </w:r>
          </w:p>
          <w:p w14:paraId="49770454">
            <w:pPr>
              <w:pStyle w:val="8"/>
              <w:spacing w:line="380" w:lineRule="exact"/>
              <w:ind w:firstLine="0"/>
              <w:rPr>
                <w:rFonts w:hint="eastAsia" w:ascii="宋体" w:hAnsi="宋体" w:cs="宋体"/>
                <w:szCs w:val="21"/>
              </w:rPr>
            </w:pPr>
            <w:r>
              <w:rPr>
                <w:rFonts w:hint="eastAsia" w:ascii="宋体" w:hAnsi="宋体" w:cs="宋体"/>
                <w:szCs w:val="21"/>
              </w:rPr>
              <w:t>①用户主动中断：用户主动停止或删除正在运行的算力资源，按照实际使用时间计费，并扣除相应费用或顺延时长。</w:t>
            </w:r>
          </w:p>
          <w:p w14:paraId="768972AA">
            <w:pPr>
              <w:pStyle w:val="8"/>
              <w:spacing w:line="380" w:lineRule="exact"/>
              <w:ind w:firstLine="0"/>
              <w:rPr>
                <w:rFonts w:hint="eastAsia" w:ascii="宋体" w:hAnsi="宋体" w:cs="宋体"/>
                <w:szCs w:val="21"/>
              </w:rPr>
            </w:pPr>
            <w:r>
              <w:rPr>
                <w:rFonts w:hint="eastAsia" w:ascii="宋体" w:hAnsi="宋体" w:cs="宋体"/>
                <w:szCs w:val="21"/>
              </w:rPr>
              <w:t>②系统故障导致中断：由于服务商平台或设备本身的故障导致服务中断，服务商根据协议扣款或顺延时长。</w:t>
            </w:r>
          </w:p>
          <w:p w14:paraId="655ADBE3">
            <w:pPr>
              <w:pStyle w:val="5"/>
              <w:numPr>
                <w:ilvl w:val="4"/>
                <w:numId w:val="0"/>
              </w:numPr>
              <w:tabs>
                <w:tab w:val="left" w:pos="420"/>
              </w:tabs>
              <w:spacing w:before="0" w:after="0" w:line="3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（6）主要工作内容和范围</w:t>
            </w:r>
          </w:p>
          <w:p w14:paraId="56C45534">
            <w:pPr>
              <w:spacing w:line="380" w:lineRule="exact"/>
              <w:ind w:firstLine="560"/>
              <w:jc w:val="left"/>
              <w:rPr>
                <w:rFonts w:hint="eastAsia" w:ascii="宋体" w:hAnsi="宋体" w:cs="宋体"/>
                <w:szCs w:val="21"/>
              </w:rPr>
            </w:pPr>
            <w:r>
              <w:rPr>
                <w:rFonts w:hint="eastAsia" w:ascii="宋体" w:hAnsi="宋体" w:cs="宋体"/>
                <w:szCs w:val="21"/>
              </w:rPr>
              <w:t>日常故障处理及运营周报/月报：负责针对采购人所购买原厂服务的设备及产品提供技术服务支持，并输出运营周报/月报。</w:t>
            </w:r>
          </w:p>
          <w:p w14:paraId="4E89AC35">
            <w:pPr>
              <w:spacing w:line="380" w:lineRule="exact"/>
              <w:ind w:firstLine="560"/>
              <w:jc w:val="left"/>
              <w:rPr>
                <w:rFonts w:hint="eastAsia" w:ascii="宋体" w:hAnsi="宋体" w:cs="宋体"/>
                <w:szCs w:val="21"/>
              </w:rPr>
            </w:pPr>
            <w:r>
              <w:rPr>
                <w:rFonts w:hint="eastAsia" w:ascii="宋体" w:hAnsi="宋体" w:cs="宋体"/>
                <w:szCs w:val="21"/>
              </w:rPr>
              <w:t>问题跟踪和升级及配合中标服务商的技术支持中心处理故障：按照相关服务条款，负责在第一时间尽快处理采购人设备重大故障及疑难故障；负责重大故障处理时的问题单升级、问题单跟踪及收集问题单相关信息，并配合中标服务商的技术支持中心处理故障。</w:t>
            </w:r>
          </w:p>
          <w:p w14:paraId="2303E702">
            <w:pPr>
              <w:spacing w:line="380" w:lineRule="exact"/>
              <w:ind w:firstLine="560"/>
              <w:jc w:val="left"/>
              <w:rPr>
                <w:rFonts w:hint="eastAsia" w:ascii="宋体" w:hAnsi="宋体" w:cs="宋体"/>
                <w:szCs w:val="21"/>
              </w:rPr>
            </w:pPr>
            <w:r>
              <w:rPr>
                <w:rFonts w:hint="eastAsia" w:ascii="宋体" w:hAnsi="宋体" w:cs="宋体"/>
                <w:szCs w:val="21"/>
              </w:rPr>
              <w:t>例行检查及报告：负责采购人所有原厂服务的设备的例行检查服务及报告输出。</w:t>
            </w:r>
          </w:p>
          <w:p w14:paraId="3FBEE508">
            <w:pPr>
              <w:spacing w:line="380" w:lineRule="exact"/>
              <w:ind w:firstLine="560"/>
              <w:jc w:val="left"/>
              <w:rPr>
                <w:rFonts w:hint="eastAsia" w:ascii="宋体" w:hAnsi="宋体" w:cs="宋体"/>
                <w:szCs w:val="21"/>
              </w:rPr>
            </w:pPr>
            <w:r>
              <w:rPr>
                <w:rFonts w:hint="eastAsia" w:ascii="宋体" w:hAnsi="宋体" w:cs="宋体"/>
                <w:szCs w:val="21"/>
              </w:rPr>
              <w:t>文档管理：负责维护采购人所有原厂服务的设备及产品的配置信息的维护。</w:t>
            </w:r>
          </w:p>
          <w:p w14:paraId="330A3E03">
            <w:pPr>
              <w:spacing w:line="380" w:lineRule="exact"/>
              <w:ind w:firstLine="560"/>
              <w:jc w:val="left"/>
              <w:rPr>
                <w:rFonts w:hint="eastAsia" w:ascii="宋体" w:hAnsi="宋体" w:cs="宋体"/>
                <w:szCs w:val="21"/>
              </w:rPr>
            </w:pPr>
            <w:r>
              <w:rPr>
                <w:rFonts w:hint="eastAsia" w:ascii="宋体" w:hAnsi="宋体" w:cs="宋体"/>
                <w:szCs w:val="21"/>
              </w:rPr>
              <w:t>服务接口：作为采购人产品相关服务的统一接口人。</w:t>
            </w:r>
          </w:p>
          <w:p w14:paraId="37AA45BB">
            <w:pPr>
              <w:spacing w:line="380" w:lineRule="exact"/>
              <w:ind w:firstLine="560"/>
              <w:jc w:val="left"/>
              <w:rPr>
                <w:rFonts w:hint="eastAsia" w:ascii="宋体" w:hAnsi="宋体" w:cs="宋体"/>
                <w:szCs w:val="21"/>
              </w:rPr>
            </w:pPr>
            <w:r>
              <w:rPr>
                <w:rFonts w:hint="eastAsia" w:ascii="宋体" w:hAnsi="宋体" w:cs="宋体"/>
                <w:szCs w:val="21"/>
              </w:rPr>
              <w:t>有限产品知识支持：负责提供相关产品运维的技术解答，技术资料及咨询；参与部分重要的运维会议并提供专家建议。</w:t>
            </w:r>
          </w:p>
          <w:p w14:paraId="7CC4485D">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（8）服务环境要求</w:t>
            </w:r>
          </w:p>
          <w:p w14:paraId="37FB9374">
            <w:pPr>
              <w:spacing w:line="380" w:lineRule="exact"/>
              <w:ind w:firstLine="560"/>
              <w:jc w:val="left"/>
              <w:rPr>
                <w:rFonts w:hint="eastAsia" w:ascii="宋体" w:hAnsi="宋体" w:cs="宋体"/>
                <w:szCs w:val="21"/>
              </w:rPr>
            </w:pPr>
            <w:r>
              <w:rPr>
                <w:rFonts w:hint="eastAsia" w:ascii="宋体" w:hAnsi="宋体" w:cs="宋体"/>
                <w:szCs w:val="21"/>
              </w:rPr>
              <w:t>遵循广西壮族自治区公安厅机房管理等要求。</w:t>
            </w:r>
          </w:p>
          <w:p w14:paraId="615A2A87">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（9）服务管理要求</w:t>
            </w:r>
          </w:p>
          <w:p w14:paraId="35B8C73C">
            <w:pPr>
              <w:spacing w:line="380" w:lineRule="exact"/>
              <w:ind w:firstLine="560"/>
              <w:jc w:val="left"/>
              <w:rPr>
                <w:rFonts w:hint="eastAsia" w:ascii="宋体" w:hAnsi="宋体" w:cs="宋体"/>
                <w:szCs w:val="21"/>
              </w:rPr>
            </w:pPr>
            <w:r>
              <w:rPr>
                <w:rFonts w:hint="eastAsia" w:ascii="宋体" w:hAnsi="宋体" w:cs="宋体"/>
                <w:szCs w:val="21"/>
              </w:rPr>
              <w:t>遵循广西壮族自治区公安厅信息化项目管理相关工作要求。</w:t>
            </w:r>
          </w:p>
          <w:p w14:paraId="39AEEAA1">
            <w:pPr>
              <w:spacing w:line="380" w:lineRule="exact"/>
              <w:rPr>
                <w:rFonts w:hint="eastAsia" w:ascii="宋体" w:hAnsi="宋体" w:cs="宋体"/>
                <w:szCs w:val="21"/>
              </w:rPr>
            </w:pPr>
            <w:r>
              <w:rPr>
                <w:rFonts w:hint="eastAsia" w:ascii="宋体" w:hAnsi="宋体" w:cs="宋体"/>
                <w:szCs w:val="21"/>
              </w:rPr>
              <w:t>（10）备品备件支持</w:t>
            </w:r>
          </w:p>
          <w:p w14:paraId="75D19228">
            <w:pPr>
              <w:spacing w:line="380" w:lineRule="exact"/>
              <w:ind w:firstLine="560"/>
              <w:jc w:val="left"/>
              <w:rPr>
                <w:rFonts w:hint="eastAsia" w:ascii="宋体" w:hAnsi="宋体" w:cs="宋体"/>
                <w:szCs w:val="21"/>
              </w:rPr>
            </w:pPr>
            <w:r>
              <w:rPr>
                <w:rFonts w:hint="eastAsia" w:ascii="宋体" w:hAnsi="宋体" w:cs="宋体"/>
                <w:szCs w:val="21"/>
              </w:rPr>
              <w:t>备件先行服务是在通过备件服务申请后，提前提供更换件，并提供故障件提取服务。备件先行服务旨在满足紧急要求，提高响应速度，提供更快速服务。</w:t>
            </w:r>
          </w:p>
          <w:p w14:paraId="61CFD60A">
            <w:pPr>
              <w:spacing w:line="380" w:lineRule="exact"/>
              <w:ind w:firstLine="560"/>
              <w:jc w:val="left"/>
              <w:rPr>
                <w:rFonts w:hint="eastAsia" w:ascii="宋体" w:hAnsi="宋体" w:eastAsia="宋体" w:cs="宋体"/>
                <w:szCs w:val="21"/>
                <w:lang w:eastAsia="zh-CN"/>
              </w:rPr>
            </w:pPr>
            <w:r>
              <w:rPr>
                <w:rFonts w:hint="eastAsia" w:ascii="宋体" w:hAnsi="宋体" w:cs="宋体"/>
                <w:szCs w:val="21"/>
                <w:lang w:eastAsia="zh-CN"/>
              </w:rPr>
              <w:t>与故障部件型号、规格、技术参数完全一致的原厂备件</w:t>
            </w:r>
            <w:r>
              <w:rPr>
                <w:rFonts w:hint="eastAsia" w:ascii="宋体" w:hAnsi="宋体" w:cs="宋体"/>
                <w:szCs w:val="21"/>
              </w:rPr>
              <w:t>；若故障部件型号已停产且无库存，需提供性能不低于原部件的替代设备/单板，替代件需同时满足：核心性能指标（如算力、存储容量、接口速率、兼容性）不低于原部件。</w:t>
            </w:r>
            <w:r>
              <w:rPr>
                <w:rFonts w:hint="eastAsia" w:ascii="宋体" w:hAnsi="宋体" w:cs="宋体"/>
                <w:szCs w:val="21"/>
                <w:lang w:eastAsia="zh-CN"/>
              </w:rPr>
              <w:t>由于数据安全、保密等原因，不返还故障的带数据存储介质的部件。</w:t>
            </w:r>
          </w:p>
          <w:p w14:paraId="11AEA6B0">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（11）定期巡检</w:t>
            </w:r>
          </w:p>
          <w:p w14:paraId="578D0BC5">
            <w:pPr>
              <w:spacing w:line="380" w:lineRule="exact"/>
              <w:jc w:val="left"/>
              <w:rPr>
                <w:rFonts w:hint="eastAsia" w:ascii="宋体" w:hAnsi="宋体" w:cs="宋体"/>
                <w:szCs w:val="21"/>
              </w:rPr>
            </w:pPr>
            <w:r>
              <w:rPr>
                <w:rFonts w:hint="eastAsia" w:ascii="宋体" w:hAnsi="宋体" w:cs="宋体"/>
                <w:szCs w:val="21"/>
              </w:rPr>
              <w:t>AI算力资源租赁服务期内，提供每季度一次巡检服务。通过对所投产品的数据配置、运行状态、性能等各项内容进行检查和分析，发现设备运行中存在的问题和潜在风险，并对检查结果进行总结报告并提出相应的措施，保障用户的网络安全、高效运行。设备健康检查结束后，提交《设备健康检查报告》（格式自拟）。</w:t>
            </w:r>
          </w:p>
          <w:p w14:paraId="02E663DF">
            <w:pPr>
              <w:pStyle w:val="5"/>
              <w:numPr>
                <w:ilvl w:val="4"/>
                <w:numId w:val="0"/>
              </w:numPr>
              <w:tabs>
                <w:tab w:val="left" w:pos="420"/>
              </w:tabs>
              <w:spacing w:before="0" w:after="0" w:line="380" w:lineRule="exact"/>
              <w:jc w:val="left"/>
              <w:rPr>
                <w:rFonts w:hint="eastAsia" w:ascii="宋体" w:hAnsi="宋体" w:eastAsia="宋体" w:cs="宋体"/>
                <w:sz w:val="21"/>
                <w:szCs w:val="21"/>
              </w:rPr>
            </w:pPr>
            <w:r>
              <w:rPr>
                <w:rFonts w:hint="eastAsia" w:ascii="宋体" w:hAnsi="宋体" w:eastAsia="宋体" w:cs="宋体"/>
                <w:sz w:val="21"/>
                <w:szCs w:val="21"/>
              </w:rPr>
              <w:t>（12）技术培训</w:t>
            </w:r>
          </w:p>
          <w:p w14:paraId="32309963">
            <w:pPr>
              <w:spacing w:line="380" w:lineRule="exact"/>
              <w:ind w:firstLine="560"/>
              <w:jc w:val="left"/>
              <w:rPr>
                <w:rFonts w:hint="eastAsia" w:ascii="宋体" w:hAnsi="宋体" w:cs="宋体"/>
                <w:szCs w:val="21"/>
              </w:rPr>
            </w:pPr>
            <w:r>
              <w:rPr>
                <w:rFonts w:hint="eastAsia" w:ascii="宋体" w:hAnsi="宋体" w:cs="宋体"/>
                <w:szCs w:val="21"/>
              </w:rPr>
              <w:t>为了使软硬件能够正常使用，投标人免费为采购人提供必要的使用培训，提供100人天以上的免费培训。培训内容包含但不限于AI算力资源的运行管理维护、备份恢复、性能优化、故障处理等，必须提供相关的培训计划、培训地点、课程内容和时间安排，并在合同签订后征得采购人同意后实施。培训教师必须具有相关资质，提供培训环境和相关实验环境。所有培训课程在租赁使用期限内有效。</w:t>
            </w:r>
          </w:p>
          <w:p w14:paraId="5FED0CBC">
            <w:pPr>
              <w:pStyle w:val="8"/>
              <w:spacing w:line="380" w:lineRule="exact"/>
              <w:ind w:firstLine="0"/>
              <w:rPr>
                <w:rFonts w:hint="eastAsia" w:ascii="宋体" w:hAnsi="宋体" w:cs="宋体"/>
                <w:szCs w:val="21"/>
              </w:rPr>
            </w:pPr>
          </w:p>
          <w:p w14:paraId="039FD176">
            <w:pPr>
              <w:pStyle w:val="8"/>
              <w:spacing w:line="380" w:lineRule="exact"/>
              <w:ind w:firstLine="0"/>
              <w:outlineLvl w:val="0"/>
              <w:rPr>
                <w:rFonts w:hint="eastAsia" w:ascii="宋体" w:hAnsi="宋体" w:cs="宋体"/>
                <w:b/>
                <w:bCs/>
                <w:szCs w:val="21"/>
              </w:rPr>
            </w:pPr>
            <w:r>
              <w:rPr>
                <w:rFonts w:hint="eastAsia" w:ascii="宋体" w:hAnsi="宋体" w:cs="宋体"/>
                <w:b/>
                <w:bCs/>
                <w:szCs w:val="21"/>
              </w:rPr>
              <w:t>三、技术实施要求</w:t>
            </w:r>
          </w:p>
          <w:p w14:paraId="642D9886">
            <w:pPr>
              <w:pStyle w:val="8"/>
              <w:spacing w:line="380" w:lineRule="exact"/>
              <w:ind w:firstLine="0"/>
              <w:outlineLvl w:val="1"/>
              <w:rPr>
                <w:rFonts w:hint="eastAsia" w:ascii="宋体" w:hAnsi="宋体" w:cs="宋体"/>
                <w:b/>
                <w:bCs/>
                <w:szCs w:val="21"/>
              </w:rPr>
            </w:pPr>
            <w:r>
              <w:rPr>
                <w:rFonts w:hint="eastAsia" w:ascii="宋体" w:hAnsi="宋体" w:cs="宋体"/>
                <w:b/>
                <w:bCs/>
                <w:szCs w:val="21"/>
              </w:rPr>
              <w:t>（一）组网方式</w:t>
            </w:r>
          </w:p>
          <w:p w14:paraId="763FB4CC">
            <w:pPr>
              <w:pStyle w:val="8"/>
              <w:spacing w:line="380" w:lineRule="exact"/>
              <w:ind w:firstLine="0"/>
              <w:rPr>
                <w:rFonts w:hint="eastAsia" w:ascii="宋体" w:hAnsi="宋体" w:cs="宋体"/>
                <w:szCs w:val="21"/>
              </w:rPr>
            </w:pPr>
            <w:r>
              <w:rPr>
                <w:rFonts w:hint="eastAsia" w:ascii="宋体" w:hAnsi="宋体" w:cs="宋体"/>
                <w:szCs w:val="21"/>
              </w:rPr>
              <w:t>由中标服务商负责将所租赁硬件设备上架和安装部署到采购人指定的C机房机柜中，利用采购人提供的网络环境，按照采购人技术和管理等要求配合完成组网，同时配合完成软件系统的安装和联调直至可完全正常使用。</w:t>
            </w:r>
          </w:p>
          <w:p w14:paraId="7C1D8344">
            <w:pPr>
              <w:pStyle w:val="8"/>
              <w:spacing w:line="380" w:lineRule="exact"/>
              <w:ind w:firstLine="0"/>
              <w:outlineLvl w:val="1"/>
              <w:rPr>
                <w:rFonts w:hint="eastAsia" w:ascii="宋体" w:hAnsi="宋体" w:cs="宋体"/>
                <w:b/>
                <w:bCs/>
                <w:szCs w:val="21"/>
              </w:rPr>
            </w:pPr>
            <w:r>
              <w:rPr>
                <w:rFonts w:hint="eastAsia" w:ascii="宋体" w:hAnsi="宋体" w:cs="宋体"/>
                <w:b/>
                <w:bCs/>
                <w:szCs w:val="21"/>
              </w:rPr>
              <w:t>（二）算力提供方式</w:t>
            </w:r>
          </w:p>
          <w:p w14:paraId="0510D7ED">
            <w:pPr>
              <w:pStyle w:val="8"/>
              <w:spacing w:line="380" w:lineRule="exact"/>
              <w:ind w:firstLine="0"/>
              <w:rPr>
                <w:rFonts w:hint="eastAsia" w:ascii="宋体" w:hAnsi="宋体" w:cs="宋体"/>
                <w:szCs w:val="21"/>
              </w:rPr>
            </w:pPr>
            <w:r>
              <w:rPr>
                <w:rFonts w:hint="eastAsia" w:ascii="宋体" w:hAnsi="宋体" w:cs="宋体"/>
                <w:szCs w:val="21"/>
              </w:rPr>
              <w:t>部署相应的软件系统到算力服务器上，由算力服务器直接提供算力资源。</w:t>
            </w:r>
          </w:p>
          <w:p w14:paraId="1F6A68F8">
            <w:pPr>
              <w:pStyle w:val="8"/>
              <w:spacing w:line="380" w:lineRule="exact"/>
              <w:ind w:firstLine="0"/>
              <w:outlineLvl w:val="1"/>
              <w:rPr>
                <w:rFonts w:hint="eastAsia" w:ascii="宋体" w:hAnsi="宋体" w:cs="宋体"/>
                <w:b/>
                <w:bCs/>
                <w:szCs w:val="21"/>
              </w:rPr>
            </w:pPr>
            <w:r>
              <w:rPr>
                <w:rFonts w:hint="eastAsia" w:ascii="宋体" w:hAnsi="宋体" w:cs="宋体"/>
                <w:b/>
                <w:bCs/>
                <w:szCs w:val="21"/>
              </w:rPr>
              <w:t>（三）机房管理方式</w:t>
            </w:r>
          </w:p>
          <w:p w14:paraId="0718FA53">
            <w:pPr>
              <w:pStyle w:val="8"/>
              <w:spacing w:line="380" w:lineRule="exact"/>
              <w:ind w:firstLine="0"/>
              <w:rPr>
                <w:rFonts w:hint="eastAsia" w:ascii="宋体" w:hAnsi="宋体" w:cs="宋体"/>
                <w:szCs w:val="21"/>
              </w:rPr>
            </w:pPr>
            <w:r>
              <w:rPr>
                <w:rFonts w:hint="eastAsia" w:ascii="宋体" w:hAnsi="宋体" w:cs="宋体"/>
                <w:szCs w:val="21"/>
              </w:rPr>
              <w:t>本分标租赁的设备均部署到采购人指定的机房中，中标服务商在技术服务过程中需严格遵守采购人的机房管理规定，按规范、制度、流程等要求进行机房内软硬件的运维和管理。</w:t>
            </w:r>
          </w:p>
          <w:p w14:paraId="438075DA">
            <w:pPr>
              <w:pStyle w:val="8"/>
              <w:spacing w:line="380" w:lineRule="exact"/>
              <w:ind w:firstLine="0"/>
              <w:outlineLvl w:val="1"/>
              <w:rPr>
                <w:rFonts w:hint="eastAsia" w:ascii="宋体" w:hAnsi="宋体" w:cs="宋体"/>
                <w:b/>
                <w:bCs/>
                <w:szCs w:val="21"/>
              </w:rPr>
            </w:pPr>
            <w:r>
              <w:rPr>
                <w:rFonts w:hint="eastAsia" w:ascii="宋体" w:hAnsi="宋体" w:cs="宋体"/>
                <w:b/>
                <w:bCs/>
                <w:szCs w:val="21"/>
              </w:rPr>
              <w:t>（四）机房安全保障措施</w:t>
            </w:r>
          </w:p>
          <w:p w14:paraId="1E18BBF9">
            <w:pPr>
              <w:pStyle w:val="8"/>
              <w:spacing w:line="380" w:lineRule="exact"/>
              <w:ind w:firstLine="0"/>
              <w:rPr>
                <w:rFonts w:hint="eastAsia" w:ascii="宋体" w:hAnsi="宋体" w:cs="宋体"/>
                <w:szCs w:val="21"/>
              </w:rPr>
            </w:pPr>
            <w:r>
              <w:rPr>
                <w:rFonts w:hint="eastAsia" w:ascii="宋体" w:hAnsi="宋体" w:cs="宋体"/>
                <w:szCs w:val="21"/>
              </w:rPr>
              <w:t>中标服务商实施人员必须严格遵守机房安全管理与保障要求，包括人身安全管理、消防安全管理、用电安全管理、设施设备安全管理、信息安全管理等。</w:t>
            </w:r>
          </w:p>
          <w:p w14:paraId="314104D4">
            <w:pPr>
              <w:pStyle w:val="8"/>
              <w:spacing w:line="380" w:lineRule="exact"/>
              <w:ind w:firstLine="0"/>
              <w:outlineLvl w:val="1"/>
              <w:rPr>
                <w:rFonts w:hint="eastAsia" w:ascii="宋体" w:hAnsi="宋体" w:cs="宋体"/>
                <w:b/>
                <w:bCs/>
                <w:szCs w:val="21"/>
              </w:rPr>
            </w:pPr>
            <w:r>
              <w:rPr>
                <w:rFonts w:hint="eastAsia" w:ascii="宋体" w:hAnsi="宋体" w:cs="宋体"/>
                <w:b/>
                <w:bCs/>
                <w:szCs w:val="21"/>
              </w:rPr>
              <w:t>（五）运维流程</w:t>
            </w:r>
          </w:p>
          <w:p w14:paraId="59023BE3">
            <w:pPr>
              <w:pStyle w:val="8"/>
              <w:spacing w:line="380" w:lineRule="exact"/>
              <w:ind w:firstLine="0"/>
              <w:rPr>
                <w:rFonts w:hint="eastAsia" w:ascii="宋体" w:hAnsi="宋体" w:cs="宋体"/>
                <w:szCs w:val="21"/>
              </w:rPr>
            </w:pPr>
            <w:r>
              <w:rPr>
                <w:rFonts w:hint="eastAsia" w:ascii="宋体" w:hAnsi="宋体" w:cs="宋体"/>
                <w:szCs w:val="21"/>
              </w:rPr>
              <w:t>中标服务商实施人员必须严格遵守运维流程开展相关工作。主要包括事件管理流程、问题管理流程、变更管理流程、应急处理流程、出入机房管理流程、来访参观管理流程、设备提前报废流程、设备提前报废流程、工程验收流程及资源管理流程等。</w:t>
            </w:r>
          </w:p>
          <w:p w14:paraId="21960D2B">
            <w:pPr>
              <w:pStyle w:val="8"/>
              <w:spacing w:line="380" w:lineRule="exact"/>
              <w:ind w:firstLine="0"/>
              <w:rPr>
                <w:rFonts w:hint="eastAsia" w:ascii="宋体" w:hAnsi="宋体" w:cs="宋体"/>
                <w:szCs w:val="21"/>
              </w:rPr>
            </w:pPr>
          </w:p>
          <w:p w14:paraId="2FEAADF6">
            <w:pPr>
              <w:pStyle w:val="8"/>
              <w:spacing w:line="380" w:lineRule="exact"/>
              <w:ind w:firstLine="0"/>
              <w:jc w:val="left"/>
              <w:outlineLvl w:val="0"/>
              <w:rPr>
                <w:rFonts w:hint="eastAsia" w:ascii="宋体" w:hAnsi="宋体" w:cs="宋体"/>
                <w:b/>
                <w:bCs/>
                <w:szCs w:val="21"/>
              </w:rPr>
            </w:pPr>
            <w:r>
              <w:rPr>
                <w:rFonts w:hint="eastAsia" w:ascii="宋体" w:hAnsi="宋体" w:cs="宋体"/>
                <w:b/>
                <w:bCs/>
                <w:szCs w:val="21"/>
              </w:rPr>
              <w:t>四、安全与合规需求</w:t>
            </w:r>
          </w:p>
          <w:p w14:paraId="29FA91BD">
            <w:pPr>
              <w:pStyle w:val="8"/>
              <w:spacing w:line="380" w:lineRule="exact"/>
              <w:ind w:firstLine="0"/>
              <w:jc w:val="left"/>
              <w:outlineLvl w:val="1"/>
              <w:rPr>
                <w:rFonts w:hint="eastAsia" w:ascii="宋体" w:hAnsi="宋体" w:cs="宋体"/>
                <w:b/>
                <w:bCs/>
                <w:szCs w:val="21"/>
              </w:rPr>
            </w:pPr>
            <w:r>
              <w:rPr>
                <w:rFonts w:hint="eastAsia" w:ascii="宋体" w:hAnsi="宋体" w:cs="宋体"/>
                <w:b/>
                <w:bCs/>
                <w:szCs w:val="21"/>
              </w:rPr>
              <w:t>（一）安全等级保护需求</w:t>
            </w:r>
          </w:p>
          <w:p w14:paraId="2C6F496E">
            <w:pPr>
              <w:pStyle w:val="8"/>
              <w:spacing w:line="380" w:lineRule="exact"/>
              <w:ind w:firstLine="0"/>
              <w:rPr>
                <w:rFonts w:hint="eastAsia" w:ascii="宋体" w:hAnsi="宋体" w:cs="宋体"/>
                <w:szCs w:val="21"/>
              </w:rPr>
            </w:pPr>
            <w:r>
              <w:rPr>
                <w:rFonts w:hint="eastAsia" w:ascii="宋体" w:hAnsi="宋体" w:cs="宋体"/>
                <w:szCs w:val="21"/>
              </w:rPr>
              <w:t>本项目租赁的AI算力资源，需要配合相应系统按三级等保要求开展相应防护工作。</w:t>
            </w:r>
          </w:p>
          <w:p w14:paraId="173AFD73">
            <w:pPr>
              <w:pStyle w:val="8"/>
              <w:spacing w:line="380" w:lineRule="exact"/>
              <w:ind w:firstLine="0"/>
              <w:outlineLvl w:val="1"/>
              <w:rPr>
                <w:rFonts w:hint="eastAsia" w:ascii="宋体" w:hAnsi="宋体" w:cs="宋体"/>
                <w:b/>
                <w:bCs/>
                <w:szCs w:val="21"/>
              </w:rPr>
            </w:pPr>
            <w:r>
              <w:rPr>
                <w:rFonts w:hint="eastAsia" w:ascii="宋体" w:hAnsi="宋体" w:cs="宋体"/>
                <w:b/>
                <w:bCs/>
                <w:szCs w:val="21"/>
              </w:rPr>
              <w:t>（二）密码应用需求</w:t>
            </w:r>
          </w:p>
          <w:p w14:paraId="37A5DDEC">
            <w:pPr>
              <w:pStyle w:val="8"/>
              <w:spacing w:line="380" w:lineRule="exact"/>
              <w:ind w:firstLine="0"/>
              <w:rPr>
                <w:rFonts w:hint="eastAsia" w:ascii="宋体" w:hAnsi="宋体" w:cs="宋体"/>
                <w:szCs w:val="21"/>
              </w:rPr>
            </w:pPr>
            <w:r>
              <w:rPr>
                <w:rFonts w:hint="eastAsia" w:ascii="宋体" w:hAnsi="宋体" w:cs="宋体"/>
                <w:szCs w:val="21"/>
              </w:rPr>
              <w:t>本项目租赁的AI算力资源，需要配合相应系统开展商密相关的应用及测评工作。</w:t>
            </w:r>
          </w:p>
          <w:p w14:paraId="4118F698">
            <w:pPr>
              <w:pStyle w:val="8"/>
              <w:spacing w:line="380" w:lineRule="exact"/>
              <w:ind w:firstLine="0"/>
              <w:outlineLvl w:val="1"/>
              <w:rPr>
                <w:rFonts w:hint="eastAsia" w:ascii="宋体" w:hAnsi="宋体" w:cs="宋体"/>
                <w:b/>
                <w:bCs/>
                <w:szCs w:val="21"/>
              </w:rPr>
            </w:pPr>
            <w:r>
              <w:rPr>
                <w:rFonts w:hint="eastAsia" w:ascii="宋体" w:hAnsi="宋体" w:cs="宋体"/>
                <w:b/>
                <w:bCs/>
                <w:szCs w:val="21"/>
              </w:rPr>
              <w:t>（三）安全可靠测评合规性需求</w:t>
            </w:r>
          </w:p>
          <w:p w14:paraId="35D62BBA">
            <w:pPr>
              <w:pStyle w:val="8"/>
              <w:spacing w:line="380" w:lineRule="exact"/>
              <w:ind w:firstLine="0"/>
              <w:rPr>
                <w:rFonts w:hint="eastAsia" w:ascii="宋体" w:hAnsi="宋体" w:cs="宋体"/>
                <w:szCs w:val="21"/>
              </w:rPr>
            </w:pPr>
            <w:r>
              <w:rPr>
                <w:rFonts w:hint="eastAsia" w:ascii="宋体" w:hAnsi="宋体" w:cs="宋体"/>
                <w:szCs w:val="21"/>
              </w:rPr>
              <w:t>本项目租赁的软硬件资源须符合国家与广西壮族自治区安全可靠测评相关的要求，服务期内，中标服务商须根据国家或广西壮族自治区要求配合开展适配等相关工作。</w:t>
            </w:r>
          </w:p>
          <w:p w14:paraId="305BBBA3">
            <w:pPr>
              <w:pStyle w:val="8"/>
              <w:spacing w:line="380" w:lineRule="exact"/>
              <w:ind w:firstLine="0"/>
              <w:rPr>
                <w:rFonts w:hint="eastAsia" w:ascii="宋体" w:hAnsi="宋体" w:cs="宋体"/>
                <w:szCs w:val="21"/>
              </w:rPr>
            </w:pPr>
          </w:p>
          <w:p w14:paraId="2A8D5822">
            <w:pPr>
              <w:pStyle w:val="8"/>
              <w:spacing w:line="380" w:lineRule="exact"/>
              <w:ind w:firstLine="0"/>
              <w:outlineLvl w:val="0"/>
              <w:rPr>
                <w:rFonts w:hint="eastAsia" w:ascii="宋体" w:hAnsi="宋体" w:cs="宋体"/>
                <w:b/>
                <w:bCs/>
                <w:szCs w:val="21"/>
              </w:rPr>
            </w:pPr>
            <w:r>
              <w:rPr>
                <w:rFonts w:hint="eastAsia" w:ascii="宋体" w:hAnsi="宋体" w:cs="宋体"/>
                <w:b/>
                <w:bCs/>
                <w:szCs w:val="21"/>
              </w:rPr>
              <w:t>五、服务评价打分及扣款</w:t>
            </w:r>
          </w:p>
          <w:p w14:paraId="0A4509C9">
            <w:pPr>
              <w:spacing w:line="380" w:lineRule="exact"/>
              <w:rPr>
                <w:rFonts w:hint="eastAsia" w:ascii="宋体" w:hAnsi="宋体" w:cs="宋体"/>
                <w:szCs w:val="21"/>
              </w:rPr>
            </w:pPr>
            <w:r>
              <w:rPr>
                <w:rFonts w:hint="eastAsia" w:ascii="宋体" w:hAnsi="宋体" w:cs="宋体"/>
                <w:szCs w:val="21"/>
              </w:rPr>
              <w:t>服务评价指标及扣分规则如下表：</w:t>
            </w:r>
          </w:p>
          <w:p w14:paraId="548A47A0">
            <w:pPr>
              <w:spacing w:line="380" w:lineRule="exact"/>
              <w:rPr>
                <w:rFonts w:hint="eastAsia" w:ascii="宋体" w:hAnsi="宋体" w:eastAsia="宋体" w:cs="宋体"/>
                <w:szCs w:val="21"/>
              </w:rPr>
            </w:pPr>
            <w:r>
              <w:rPr>
                <w:rFonts w:hint="eastAsia" w:ascii="宋体" w:hAnsi="宋体" w:eastAsia="宋体" w:cs="宋体"/>
                <w:szCs w:val="21"/>
              </w:rPr>
              <w:t>本项目考核分为四次实施，具体节点如下：</w:t>
            </w:r>
          </w:p>
          <w:p w14:paraId="4A3BF694">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算力服务正式交付使用时；服务期满12个月后；服务期满24个月后；服务期满后。</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97"/>
              <w:gridCol w:w="649"/>
              <w:gridCol w:w="587"/>
              <w:gridCol w:w="1823"/>
              <w:gridCol w:w="849"/>
              <w:gridCol w:w="355"/>
              <w:gridCol w:w="597"/>
              <w:gridCol w:w="1664"/>
            </w:tblGrid>
            <w:tr w14:paraId="4007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shd w:val="clear" w:color="auto" w:fill="D7D7D7"/>
                  <w:vAlign w:val="center"/>
                </w:tcPr>
                <w:p w14:paraId="01F6476F">
                  <w:pPr>
                    <w:pStyle w:val="162"/>
                    <w:spacing w:line="380" w:lineRule="exact"/>
                    <w:rPr>
                      <w:rFonts w:hint="eastAsia" w:cs="宋体"/>
                      <w:b/>
                      <w:bCs/>
                      <w:color w:val="auto"/>
                    </w:rPr>
                  </w:pPr>
                  <w:r>
                    <w:rPr>
                      <w:rFonts w:hint="eastAsia" w:cs="宋体"/>
                      <w:b/>
                      <w:bCs/>
                      <w:color w:val="auto"/>
                    </w:rPr>
                    <w:t>一级指标</w:t>
                  </w:r>
                </w:p>
              </w:tc>
              <w:tc>
                <w:tcPr>
                  <w:tcW w:w="597" w:type="dxa"/>
                  <w:shd w:val="clear" w:color="auto" w:fill="D7D7D7"/>
                  <w:vAlign w:val="center"/>
                </w:tcPr>
                <w:p w14:paraId="0A4BE97C">
                  <w:pPr>
                    <w:pStyle w:val="162"/>
                    <w:spacing w:line="380" w:lineRule="exact"/>
                    <w:rPr>
                      <w:rFonts w:hint="eastAsia" w:cs="宋体"/>
                      <w:b/>
                      <w:bCs/>
                      <w:color w:val="auto"/>
                    </w:rPr>
                  </w:pPr>
                  <w:r>
                    <w:rPr>
                      <w:rFonts w:hint="eastAsia" w:cs="宋体"/>
                      <w:b/>
                      <w:bCs/>
                      <w:color w:val="auto"/>
                    </w:rPr>
                    <w:t>标准分</w:t>
                  </w:r>
                </w:p>
              </w:tc>
              <w:tc>
                <w:tcPr>
                  <w:tcW w:w="649" w:type="dxa"/>
                  <w:shd w:val="clear" w:color="auto" w:fill="D7D7D7"/>
                  <w:vAlign w:val="center"/>
                </w:tcPr>
                <w:p w14:paraId="1463AC3F">
                  <w:pPr>
                    <w:pStyle w:val="162"/>
                    <w:spacing w:line="380" w:lineRule="exact"/>
                    <w:rPr>
                      <w:rFonts w:hint="eastAsia" w:cs="宋体"/>
                      <w:b/>
                      <w:bCs/>
                      <w:color w:val="auto"/>
                    </w:rPr>
                  </w:pPr>
                  <w:r>
                    <w:rPr>
                      <w:rFonts w:hint="eastAsia" w:cs="宋体"/>
                      <w:b/>
                      <w:bCs/>
                      <w:color w:val="auto"/>
                    </w:rPr>
                    <w:t>二级指标</w:t>
                  </w:r>
                </w:p>
              </w:tc>
              <w:tc>
                <w:tcPr>
                  <w:tcW w:w="587" w:type="dxa"/>
                  <w:shd w:val="clear" w:color="auto" w:fill="D7D7D7"/>
                  <w:vAlign w:val="center"/>
                </w:tcPr>
                <w:p w14:paraId="1FD329F6">
                  <w:pPr>
                    <w:pStyle w:val="162"/>
                    <w:spacing w:line="380" w:lineRule="exact"/>
                    <w:rPr>
                      <w:rFonts w:hint="eastAsia" w:cs="宋体"/>
                      <w:b/>
                      <w:bCs/>
                      <w:color w:val="auto"/>
                    </w:rPr>
                  </w:pPr>
                  <w:r>
                    <w:rPr>
                      <w:rFonts w:hint="eastAsia" w:cs="宋体"/>
                      <w:b/>
                      <w:bCs/>
                      <w:color w:val="auto"/>
                    </w:rPr>
                    <w:t>标准分</w:t>
                  </w:r>
                </w:p>
              </w:tc>
              <w:tc>
                <w:tcPr>
                  <w:tcW w:w="1823" w:type="dxa"/>
                  <w:shd w:val="clear" w:color="auto" w:fill="D7D7D7"/>
                  <w:vAlign w:val="center"/>
                </w:tcPr>
                <w:p w14:paraId="0FC1D6ED">
                  <w:pPr>
                    <w:pStyle w:val="162"/>
                    <w:spacing w:line="380" w:lineRule="exact"/>
                    <w:rPr>
                      <w:rFonts w:hint="eastAsia" w:cs="宋体"/>
                      <w:b/>
                      <w:bCs/>
                      <w:color w:val="auto"/>
                    </w:rPr>
                  </w:pPr>
                  <w:r>
                    <w:rPr>
                      <w:rFonts w:hint="eastAsia" w:cs="宋体"/>
                      <w:b/>
                      <w:bCs/>
                      <w:color w:val="auto"/>
                    </w:rPr>
                    <w:t>指标说明</w:t>
                  </w:r>
                </w:p>
              </w:tc>
              <w:tc>
                <w:tcPr>
                  <w:tcW w:w="849" w:type="dxa"/>
                  <w:shd w:val="clear" w:color="auto" w:fill="D7D7D7"/>
                  <w:vAlign w:val="center"/>
                </w:tcPr>
                <w:p w14:paraId="1A4003FB">
                  <w:pPr>
                    <w:pStyle w:val="162"/>
                    <w:spacing w:line="380" w:lineRule="exact"/>
                    <w:rPr>
                      <w:rFonts w:hint="eastAsia" w:cs="宋体"/>
                      <w:b/>
                      <w:bCs/>
                      <w:color w:val="auto"/>
                    </w:rPr>
                  </w:pPr>
                  <w:r>
                    <w:rPr>
                      <w:rFonts w:hint="eastAsia" w:cs="宋体"/>
                      <w:b/>
                      <w:bCs/>
                      <w:color w:val="auto"/>
                    </w:rPr>
                    <w:t>考核方式</w:t>
                  </w:r>
                </w:p>
              </w:tc>
              <w:tc>
                <w:tcPr>
                  <w:tcW w:w="355" w:type="dxa"/>
                  <w:shd w:val="clear" w:color="auto" w:fill="D7D7D7"/>
                  <w:vAlign w:val="center"/>
                </w:tcPr>
                <w:p w14:paraId="40289BC1">
                  <w:pPr>
                    <w:pStyle w:val="162"/>
                    <w:spacing w:line="380" w:lineRule="exact"/>
                    <w:rPr>
                      <w:rFonts w:hint="eastAsia" w:cs="宋体"/>
                      <w:b/>
                      <w:bCs/>
                      <w:color w:val="auto"/>
                    </w:rPr>
                  </w:pPr>
                  <w:r>
                    <w:rPr>
                      <w:rFonts w:hint="eastAsia" w:cs="宋体"/>
                      <w:b/>
                      <w:bCs/>
                      <w:color w:val="auto"/>
                    </w:rPr>
                    <w:t>得分</w:t>
                  </w:r>
                </w:p>
              </w:tc>
              <w:tc>
                <w:tcPr>
                  <w:tcW w:w="597" w:type="dxa"/>
                  <w:shd w:val="clear" w:color="auto" w:fill="D7D7D7"/>
                  <w:vAlign w:val="center"/>
                </w:tcPr>
                <w:p w14:paraId="7A1E2EA3">
                  <w:pPr>
                    <w:pStyle w:val="162"/>
                    <w:spacing w:line="380" w:lineRule="exact"/>
                    <w:rPr>
                      <w:rFonts w:hint="eastAsia" w:cs="宋体"/>
                      <w:b/>
                      <w:bCs/>
                      <w:color w:val="auto"/>
                    </w:rPr>
                  </w:pPr>
                  <w:r>
                    <w:rPr>
                      <w:rFonts w:hint="eastAsia" w:cs="宋体"/>
                      <w:b/>
                      <w:bCs/>
                      <w:color w:val="auto"/>
                    </w:rPr>
                    <w:t>扣分说明</w:t>
                  </w:r>
                </w:p>
              </w:tc>
              <w:tc>
                <w:tcPr>
                  <w:tcW w:w="1664" w:type="dxa"/>
                  <w:shd w:val="clear" w:color="auto" w:fill="D7D7D7"/>
                  <w:vAlign w:val="center"/>
                </w:tcPr>
                <w:p w14:paraId="598F952E">
                  <w:pPr>
                    <w:pStyle w:val="162"/>
                    <w:spacing w:line="380" w:lineRule="exact"/>
                    <w:rPr>
                      <w:rFonts w:hint="eastAsia" w:cs="宋体"/>
                      <w:b/>
                      <w:bCs/>
                      <w:color w:val="auto"/>
                    </w:rPr>
                  </w:pPr>
                  <w:r>
                    <w:rPr>
                      <w:rFonts w:hint="eastAsia" w:cs="宋体"/>
                      <w:b/>
                      <w:bCs/>
                      <w:color w:val="auto"/>
                    </w:rPr>
                    <w:t>备注</w:t>
                  </w:r>
                </w:p>
              </w:tc>
            </w:tr>
            <w:tr w14:paraId="26EA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restart"/>
                  <w:vAlign w:val="center"/>
                </w:tcPr>
                <w:p w14:paraId="175803F2">
                  <w:pPr>
                    <w:pStyle w:val="162"/>
                    <w:spacing w:line="380" w:lineRule="exact"/>
                    <w:rPr>
                      <w:rFonts w:hint="eastAsia" w:cs="宋体"/>
                      <w:color w:val="auto"/>
                    </w:rPr>
                  </w:pPr>
                  <w:r>
                    <w:rPr>
                      <w:rFonts w:hint="eastAsia" w:cs="宋体"/>
                      <w:color w:val="auto"/>
                    </w:rPr>
                    <w:t>履约材料质量</w:t>
                  </w:r>
                </w:p>
              </w:tc>
              <w:tc>
                <w:tcPr>
                  <w:tcW w:w="597" w:type="dxa"/>
                  <w:vMerge w:val="restart"/>
                  <w:vAlign w:val="center"/>
                </w:tcPr>
                <w:p w14:paraId="6D05DA24">
                  <w:pPr>
                    <w:pStyle w:val="162"/>
                    <w:spacing w:line="380" w:lineRule="exact"/>
                    <w:rPr>
                      <w:rFonts w:hint="eastAsia" w:cs="宋体"/>
                      <w:color w:val="auto"/>
                    </w:rPr>
                  </w:pPr>
                  <w:r>
                    <w:rPr>
                      <w:rFonts w:hint="eastAsia" w:cs="宋体"/>
                      <w:color w:val="auto"/>
                    </w:rPr>
                    <w:t>100</w:t>
                  </w:r>
                </w:p>
              </w:tc>
              <w:tc>
                <w:tcPr>
                  <w:tcW w:w="649" w:type="dxa"/>
                  <w:vMerge w:val="restart"/>
                  <w:vAlign w:val="center"/>
                </w:tcPr>
                <w:p w14:paraId="1AAD185C">
                  <w:pPr>
                    <w:pStyle w:val="162"/>
                    <w:spacing w:line="380" w:lineRule="exact"/>
                    <w:rPr>
                      <w:rFonts w:hint="eastAsia" w:cs="宋体"/>
                      <w:color w:val="auto"/>
                    </w:rPr>
                  </w:pPr>
                  <w:r>
                    <w:rPr>
                      <w:rFonts w:hint="eastAsia" w:cs="宋体"/>
                      <w:color w:val="auto"/>
                    </w:rPr>
                    <w:t>履约清单材料</w:t>
                  </w:r>
                </w:p>
                <w:p w14:paraId="7EBB21B6">
                  <w:pPr>
                    <w:pStyle w:val="162"/>
                    <w:spacing w:line="380" w:lineRule="exact"/>
                    <w:rPr>
                      <w:rFonts w:hint="eastAsia" w:cs="宋体"/>
                      <w:color w:val="auto"/>
                    </w:rPr>
                  </w:pPr>
                </w:p>
              </w:tc>
              <w:tc>
                <w:tcPr>
                  <w:tcW w:w="587" w:type="dxa"/>
                  <w:vAlign w:val="center"/>
                </w:tcPr>
                <w:p w14:paraId="5FF2C053">
                  <w:pPr>
                    <w:pStyle w:val="162"/>
                    <w:spacing w:line="380" w:lineRule="exact"/>
                    <w:rPr>
                      <w:rFonts w:hint="eastAsia" w:cs="宋体"/>
                      <w:color w:val="auto"/>
                    </w:rPr>
                  </w:pPr>
                  <w:r>
                    <w:rPr>
                      <w:rFonts w:hint="eastAsia" w:cs="宋体"/>
                      <w:color w:val="auto"/>
                    </w:rPr>
                    <w:t>5</w:t>
                  </w:r>
                </w:p>
              </w:tc>
              <w:tc>
                <w:tcPr>
                  <w:tcW w:w="1823" w:type="dxa"/>
                  <w:vAlign w:val="center"/>
                </w:tcPr>
                <w:p w14:paraId="131E1E5A">
                  <w:pPr>
                    <w:pStyle w:val="162"/>
                    <w:spacing w:line="380" w:lineRule="exact"/>
                    <w:jc w:val="left"/>
                    <w:rPr>
                      <w:rFonts w:hint="eastAsia" w:cs="宋体"/>
                      <w:color w:val="auto"/>
                    </w:rPr>
                  </w:pPr>
                  <w:r>
                    <w:rPr>
                      <w:rFonts w:hint="eastAsia" w:cs="宋体"/>
                      <w:color w:val="auto"/>
                    </w:rPr>
                    <w:t>中标人须根据合同要求在合同签订后10日内提交履约清单并由监理单位审核通过，若未按时交付，每逾期1天扣0.1分，扣完即止。</w:t>
                  </w:r>
                </w:p>
              </w:tc>
              <w:tc>
                <w:tcPr>
                  <w:tcW w:w="849" w:type="dxa"/>
                  <w:vAlign w:val="center"/>
                </w:tcPr>
                <w:p w14:paraId="50B158C8">
                  <w:pPr>
                    <w:pStyle w:val="162"/>
                    <w:spacing w:line="380" w:lineRule="exact"/>
                    <w:rPr>
                      <w:rFonts w:hint="eastAsia" w:cs="宋体"/>
                      <w:color w:val="auto"/>
                    </w:rPr>
                  </w:pPr>
                  <w:r>
                    <w:rPr>
                      <w:rFonts w:hint="eastAsia" w:cs="宋体"/>
                      <w:color w:val="auto"/>
                    </w:rPr>
                    <w:t>以监理单位审核通过为准</w:t>
                  </w:r>
                </w:p>
              </w:tc>
              <w:tc>
                <w:tcPr>
                  <w:tcW w:w="355" w:type="dxa"/>
                  <w:vAlign w:val="center"/>
                </w:tcPr>
                <w:p w14:paraId="09717A34">
                  <w:pPr>
                    <w:pStyle w:val="162"/>
                    <w:spacing w:line="380" w:lineRule="exact"/>
                    <w:rPr>
                      <w:rFonts w:hint="eastAsia" w:cs="宋体"/>
                      <w:color w:val="auto"/>
                    </w:rPr>
                  </w:pPr>
                </w:p>
              </w:tc>
              <w:tc>
                <w:tcPr>
                  <w:tcW w:w="597" w:type="dxa"/>
                  <w:vAlign w:val="center"/>
                </w:tcPr>
                <w:p w14:paraId="4593BA14">
                  <w:pPr>
                    <w:pStyle w:val="162"/>
                    <w:spacing w:line="380" w:lineRule="exact"/>
                    <w:rPr>
                      <w:rFonts w:hint="eastAsia" w:cs="宋体"/>
                      <w:color w:val="auto"/>
                    </w:rPr>
                  </w:pPr>
                </w:p>
              </w:tc>
              <w:tc>
                <w:tcPr>
                  <w:tcW w:w="1664" w:type="dxa"/>
                  <w:vAlign w:val="center"/>
                </w:tcPr>
                <w:p w14:paraId="1F1657FB">
                  <w:pPr>
                    <w:pStyle w:val="162"/>
                    <w:spacing w:line="380" w:lineRule="exact"/>
                    <w:jc w:val="left"/>
                    <w:rPr>
                      <w:rFonts w:hint="eastAsia" w:cs="宋体"/>
                      <w:color w:val="auto"/>
                    </w:rPr>
                  </w:pPr>
                </w:p>
              </w:tc>
            </w:tr>
            <w:tr w14:paraId="6C38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781BE0C4">
                  <w:pPr>
                    <w:pStyle w:val="162"/>
                    <w:spacing w:line="380" w:lineRule="exact"/>
                    <w:rPr>
                      <w:rFonts w:hint="eastAsia" w:cs="宋体"/>
                      <w:color w:val="auto"/>
                    </w:rPr>
                  </w:pPr>
                </w:p>
              </w:tc>
              <w:tc>
                <w:tcPr>
                  <w:tcW w:w="597" w:type="dxa"/>
                  <w:vMerge w:val="continue"/>
                  <w:vAlign w:val="center"/>
                </w:tcPr>
                <w:p w14:paraId="12C62F6E">
                  <w:pPr>
                    <w:pStyle w:val="162"/>
                    <w:spacing w:line="380" w:lineRule="exact"/>
                    <w:rPr>
                      <w:rFonts w:hint="eastAsia" w:cs="宋体"/>
                      <w:color w:val="auto"/>
                    </w:rPr>
                  </w:pPr>
                </w:p>
              </w:tc>
              <w:tc>
                <w:tcPr>
                  <w:tcW w:w="649" w:type="dxa"/>
                  <w:vMerge w:val="continue"/>
                  <w:vAlign w:val="center"/>
                </w:tcPr>
                <w:p w14:paraId="776488F8">
                  <w:pPr>
                    <w:pStyle w:val="162"/>
                    <w:spacing w:line="380" w:lineRule="exact"/>
                    <w:rPr>
                      <w:rFonts w:hint="eastAsia" w:cs="宋体"/>
                      <w:color w:val="auto"/>
                    </w:rPr>
                  </w:pPr>
                </w:p>
              </w:tc>
              <w:tc>
                <w:tcPr>
                  <w:tcW w:w="587" w:type="dxa"/>
                  <w:vAlign w:val="center"/>
                </w:tcPr>
                <w:p w14:paraId="25153B55">
                  <w:pPr>
                    <w:pStyle w:val="162"/>
                    <w:spacing w:line="380" w:lineRule="exact"/>
                    <w:rPr>
                      <w:rFonts w:hint="eastAsia" w:cs="宋体"/>
                      <w:color w:val="auto"/>
                    </w:rPr>
                  </w:pPr>
                  <w:r>
                    <w:rPr>
                      <w:rFonts w:hint="eastAsia" w:cs="宋体"/>
                      <w:color w:val="auto"/>
                    </w:rPr>
                    <w:t>5</w:t>
                  </w:r>
                </w:p>
              </w:tc>
              <w:tc>
                <w:tcPr>
                  <w:tcW w:w="1823" w:type="dxa"/>
                  <w:vAlign w:val="center"/>
                </w:tcPr>
                <w:p w14:paraId="79C57EC2">
                  <w:pPr>
                    <w:pStyle w:val="162"/>
                    <w:spacing w:line="380" w:lineRule="exact"/>
                    <w:jc w:val="left"/>
                    <w:rPr>
                      <w:rFonts w:hint="eastAsia" w:cs="宋体"/>
                      <w:color w:val="auto"/>
                    </w:rPr>
                  </w:pPr>
                  <w:r>
                    <w:rPr>
                      <w:rFonts w:hint="eastAsia" w:cs="宋体"/>
                      <w:color w:val="auto"/>
                    </w:rPr>
                    <w:t>中标人须根据履约清单要求按时提交履约材料，若未按时交付，每逾期1天扣0.1分，扣完即止。</w:t>
                  </w:r>
                </w:p>
              </w:tc>
              <w:tc>
                <w:tcPr>
                  <w:tcW w:w="849" w:type="dxa"/>
                  <w:vAlign w:val="center"/>
                </w:tcPr>
                <w:p w14:paraId="150C3FE0">
                  <w:pPr>
                    <w:pStyle w:val="162"/>
                    <w:spacing w:line="380" w:lineRule="exact"/>
                    <w:rPr>
                      <w:rFonts w:hint="eastAsia" w:cs="宋体"/>
                      <w:color w:val="auto"/>
                    </w:rPr>
                  </w:pPr>
                  <w:r>
                    <w:rPr>
                      <w:rFonts w:hint="eastAsia" w:cs="宋体"/>
                      <w:color w:val="auto"/>
                    </w:rPr>
                    <w:t>以监理单位审核确认</w:t>
                  </w:r>
                </w:p>
              </w:tc>
              <w:tc>
                <w:tcPr>
                  <w:tcW w:w="355" w:type="dxa"/>
                  <w:vAlign w:val="center"/>
                </w:tcPr>
                <w:p w14:paraId="3FAAF304">
                  <w:pPr>
                    <w:pStyle w:val="162"/>
                    <w:spacing w:line="380" w:lineRule="exact"/>
                    <w:rPr>
                      <w:rFonts w:hint="eastAsia" w:cs="宋体"/>
                      <w:color w:val="auto"/>
                    </w:rPr>
                  </w:pPr>
                </w:p>
              </w:tc>
              <w:tc>
                <w:tcPr>
                  <w:tcW w:w="597" w:type="dxa"/>
                  <w:vAlign w:val="center"/>
                </w:tcPr>
                <w:p w14:paraId="178F4FF4">
                  <w:pPr>
                    <w:pStyle w:val="162"/>
                    <w:spacing w:line="380" w:lineRule="exact"/>
                    <w:rPr>
                      <w:rFonts w:hint="eastAsia" w:cs="宋体"/>
                      <w:color w:val="auto"/>
                    </w:rPr>
                  </w:pPr>
                </w:p>
              </w:tc>
              <w:tc>
                <w:tcPr>
                  <w:tcW w:w="1664" w:type="dxa"/>
                  <w:vAlign w:val="center"/>
                </w:tcPr>
                <w:p w14:paraId="29998F17">
                  <w:pPr>
                    <w:pStyle w:val="162"/>
                    <w:spacing w:line="380" w:lineRule="exact"/>
                    <w:jc w:val="left"/>
                    <w:rPr>
                      <w:rFonts w:hint="eastAsia" w:cs="宋体"/>
                      <w:color w:val="auto"/>
                    </w:rPr>
                  </w:pPr>
                </w:p>
              </w:tc>
            </w:tr>
            <w:tr w14:paraId="63A6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756091AA">
                  <w:pPr>
                    <w:pStyle w:val="162"/>
                    <w:spacing w:line="380" w:lineRule="exact"/>
                    <w:rPr>
                      <w:rFonts w:hint="eastAsia" w:cs="宋体"/>
                      <w:color w:val="auto"/>
                    </w:rPr>
                  </w:pPr>
                </w:p>
              </w:tc>
              <w:tc>
                <w:tcPr>
                  <w:tcW w:w="597" w:type="dxa"/>
                  <w:vMerge w:val="continue"/>
                  <w:vAlign w:val="center"/>
                </w:tcPr>
                <w:p w14:paraId="132E37E8">
                  <w:pPr>
                    <w:pStyle w:val="162"/>
                    <w:spacing w:line="380" w:lineRule="exact"/>
                    <w:rPr>
                      <w:rFonts w:hint="eastAsia" w:cs="宋体"/>
                      <w:color w:val="auto"/>
                    </w:rPr>
                  </w:pPr>
                </w:p>
              </w:tc>
              <w:tc>
                <w:tcPr>
                  <w:tcW w:w="649" w:type="dxa"/>
                  <w:vMerge w:val="continue"/>
                  <w:vAlign w:val="center"/>
                </w:tcPr>
                <w:p w14:paraId="7C72F7C7">
                  <w:pPr>
                    <w:pStyle w:val="162"/>
                    <w:spacing w:line="380" w:lineRule="exact"/>
                    <w:rPr>
                      <w:rFonts w:hint="eastAsia" w:cs="宋体"/>
                      <w:color w:val="auto"/>
                    </w:rPr>
                  </w:pPr>
                </w:p>
              </w:tc>
              <w:tc>
                <w:tcPr>
                  <w:tcW w:w="587" w:type="dxa"/>
                  <w:vAlign w:val="center"/>
                </w:tcPr>
                <w:p w14:paraId="44A8DEF1">
                  <w:pPr>
                    <w:pStyle w:val="162"/>
                    <w:spacing w:line="380" w:lineRule="exact"/>
                    <w:rPr>
                      <w:rFonts w:hint="eastAsia" w:cs="宋体"/>
                      <w:color w:val="auto"/>
                    </w:rPr>
                  </w:pPr>
                  <w:r>
                    <w:rPr>
                      <w:rFonts w:hint="eastAsia" w:cs="宋体"/>
                      <w:color w:val="auto"/>
                    </w:rPr>
                    <w:t>5</w:t>
                  </w:r>
                </w:p>
              </w:tc>
              <w:tc>
                <w:tcPr>
                  <w:tcW w:w="1823" w:type="dxa"/>
                  <w:vAlign w:val="center"/>
                </w:tcPr>
                <w:p w14:paraId="780AFE4B">
                  <w:pPr>
                    <w:pStyle w:val="162"/>
                    <w:spacing w:line="380" w:lineRule="exact"/>
                    <w:jc w:val="left"/>
                    <w:rPr>
                      <w:rFonts w:hint="eastAsia" w:cs="宋体"/>
                      <w:color w:val="auto"/>
                    </w:rPr>
                  </w:pPr>
                  <w:r>
                    <w:rPr>
                      <w:rFonts w:hint="eastAsia" w:cs="宋体"/>
                      <w:color w:val="auto"/>
                    </w:rPr>
                    <w:t>中标人提交的履约材料须满足采购人的规范性要求，若文档材料未按模板要求（内容、字体、章节等）进行编制，每发现1处扣0.1分。</w:t>
                  </w:r>
                </w:p>
              </w:tc>
              <w:tc>
                <w:tcPr>
                  <w:tcW w:w="849" w:type="dxa"/>
                  <w:vAlign w:val="center"/>
                </w:tcPr>
                <w:p w14:paraId="0CA5C998">
                  <w:pPr>
                    <w:pStyle w:val="162"/>
                    <w:spacing w:line="380" w:lineRule="exact"/>
                    <w:rPr>
                      <w:rFonts w:hint="eastAsia" w:cs="宋体"/>
                      <w:color w:val="auto"/>
                    </w:rPr>
                  </w:pPr>
                  <w:r>
                    <w:rPr>
                      <w:rFonts w:hint="eastAsia" w:cs="宋体"/>
                      <w:color w:val="auto"/>
                    </w:rPr>
                    <w:t>以监理单位审核确认</w:t>
                  </w:r>
                </w:p>
              </w:tc>
              <w:tc>
                <w:tcPr>
                  <w:tcW w:w="355" w:type="dxa"/>
                  <w:vAlign w:val="center"/>
                </w:tcPr>
                <w:p w14:paraId="4D7F3790">
                  <w:pPr>
                    <w:pStyle w:val="162"/>
                    <w:spacing w:line="380" w:lineRule="exact"/>
                    <w:rPr>
                      <w:rFonts w:hint="eastAsia" w:cs="宋体"/>
                      <w:color w:val="auto"/>
                    </w:rPr>
                  </w:pPr>
                </w:p>
              </w:tc>
              <w:tc>
                <w:tcPr>
                  <w:tcW w:w="597" w:type="dxa"/>
                  <w:vAlign w:val="center"/>
                </w:tcPr>
                <w:p w14:paraId="6E572FA4">
                  <w:pPr>
                    <w:pStyle w:val="162"/>
                    <w:spacing w:line="380" w:lineRule="exact"/>
                    <w:rPr>
                      <w:rFonts w:hint="eastAsia" w:cs="宋体"/>
                      <w:color w:val="auto"/>
                    </w:rPr>
                  </w:pPr>
                </w:p>
              </w:tc>
              <w:tc>
                <w:tcPr>
                  <w:tcW w:w="1664" w:type="dxa"/>
                  <w:vAlign w:val="center"/>
                </w:tcPr>
                <w:p w14:paraId="15FAF791">
                  <w:pPr>
                    <w:pStyle w:val="162"/>
                    <w:spacing w:line="380" w:lineRule="exact"/>
                    <w:jc w:val="left"/>
                    <w:rPr>
                      <w:rFonts w:hint="eastAsia" w:cs="宋体"/>
                      <w:color w:val="auto"/>
                    </w:rPr>
                  </w:pPr>
                </w:p>
              </w:tc>
            </w:tr>
            <w:tr w14:paraId="20A3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49EB88F6">
                  <w:pPr>
                    <w:pStyle w:val="162"/>
                    <w:spacing w:line="380" w:lineRule="exact"/>
                    <w:rPr>
                      <w:rFonts w:hint="eastAsia" w:cs="宋体"/>
                      <w:color w:val="auto"/>
                    </w:rPr>
                  </w:pPr>
                </w:p>
              </w:tc>
              <w:tc>
                <w:tcPr>
                  <w:tcW w:w="597" w:type="dxa"/>
                  <w:vMerge w:val="continue"/>
                  <w:vAlign w:val="center"/>
                </w:tcPr>
                <w:p w14:paraId="4AA7EC32">
                  <w:pPr>
                    <w:pStyle w:val="162"/>
                    <w:spacing w:line="380" w:lineRule="exact"/>
                    <w:rPr>
                      <w:rFonts w:hint="eastAsia" w:cs="宋体"/>
                      <w:color w:val="auto"/>
                    </w:rPr>
                  </w:pPr>
                </w:p>
              </w:tc>
              <w:tc>
                <w:tcPr>
                  <w:tcW w:w="649" w:type="dxa"/>
                  <w:vMerge w:val="continue"/>
                  <w:vAlign w:val="center"/>
                </w:tcPr>
                <w:p w14:paraId="69A2B135">
                  <w:pPr>
                    <w:pStyle w:val="162"/>
                    <w:spacing w:line="380" w:lineRule="exact"/>
                    <w:rPr>
                      <w:rFonts w:hint="eastAsia" w:cs="宋体"/>
                      <w:color w:val="auto"/>
                    </w:rPr>
                  </w:pPr>
                </w:p>
              </w:tc>
              <w:tc>
                <w:tcPr>
                  <w:tcW w:w="587" w:type="dxa"/>
                  <w:vAlign w:val="center"/>
                </w:tcPr>
                <w:p w14:paraId="7D288B25">
                  <w:pPr>
                    <w:pStyle w:val="162"/>
                    <w:spacing w:line="380" w:lineRule="exact"/>
                    <w:rPr>
                      <w:rFonts w:hint="eastAsia" w:cs="宋体"/>
                      <w:color w:val="auto"/>
                    </w:rPr>
                  </w:pPr>
                  <w:r>
                    <w:rPr>
                      <w:rFonts w:hint="eastAsia" w:cs="宋体"/>
                      <w:color w:val="auto"/>
                    </w:rPr>
                    <w:t>5</w:t>
                  </w:r>
                </w:p>
              </w:tc>
              <w:tc>
                <w:tcPr>
                  <w:tcW w:w="1823" w:type="dxa"/>
                  <w:vAlign w:val="center"/>
                </w:tcPr>
                <w:p w14:paraId="033DA683">
                  <w:pPr>
                    <w:pStyle w:val="162"/>
                    <w:spacing w:line="380" w:lineRule="exact"/>
                    <w:jc w:val="left"/>
                    <w:rPr>
                      <w:rFonts w:hint="eastAsia" w:cs="宋体"/>
                      <w:color w:val="auto"/>
                    </w:rPr>
                  </w:pPr>
                  <w:r>
                    <w:rPr>
                      <w:rFonts w:hint="eastAsia" w:cs="宋体"/>
                      <w:color w:val="auto"/>
                    </w:rPr>
                    <w:t>中标人提交的履约材料须满足采购人的质量要求，若交付物质量未达到要求，因以下情形每退回修改一次扣0.1分：</w:t>
                  </w:r>
                </w:p>
                <w:p w14:paraId="5234F867">
                  <w:pPr>
                    <w:pStyle w:val="162"/>
                    <w:spacing w:line="380" w:lineRule="exact"/>
                    <w:jc w:val="left"/>
                    <w:rPr>
                      <w:rFonts w:hint="eastAsia" w:cs="宋体"/>
                      <w:color w:val="auto"/>
                    </w:rPr>
                  </w:pPr>
                  <w:r>
                    <w:rPr>
                      <w:rFonts w:hint="eastAsia" w:cs="宋体"/>
                      <w:color w:val="auto"/>
                    </w:rPr>
                    <w:t>1、文档（日期、内容等）有明显伪造嫌疑；</w:t>
                  </w:r>
                </w:p>
                <w:p w14:paraId="3BD8FDC0">
                  <w:pPr>
                    <w:pStyle w:val="162"/>
                    <w:spacing w:line="380" w:lineRule="exact"/>
                    <w:jc w:val="left"/>
                    <w:rPr>
                      <w:rFonts w:hint="eastAsia" w:cs="宋体"/>
                      <w:color w:val="auto"/>
                    </w:rPr>
                  </w:pPr>
                  <w:r>
                    <w:rPr>
                      <w:rFonts w:hint="eastAsia" w:cs="宋体"/>
                      <w:color w:val="auto"/>
                    </w:rPr>
                    <w:t>2、文档有明显逻辑错误；</w:t>
                  </w:r>
                </w:p>
                <w:p w14:paraId="7192AD7E">
                  <w:pPr>
                    <w:pStyle w:val="162"/>
                    <w:spacing w:line="380" w:lineRule="exact"/>
                    <w:jc w:val="left"/>
                    <w:rPr>
                      <w:rFonts w:hint="eastAsia" w:cs="宋体"/>
                      <w:color w:val="auto"/>
                    </w:rPr>
                  </w:pPr>
                  <w:r>
                    <w:rPr>
                      <w:rFonts w:hint="eastAsia" w:cs="宋体"/>
                      <w:color w:val="auto"/>
                    </w:rPr>
                    <w:t>3、图文明显不符；</w:t>
                  </w:r>
                </w:p>
                <w:p w14:paraId="2ED96729">
                  <w:pPr>
                    <w:pStyle w:val="162"/>
                    <w:spacing w:line="380" w:lineRule="exact"/>
                    <w:jc w:val="left"/>
                    <w:rPr>
                      <w:rFonts w:hint="eastAsia" w:cs="宋体"/>
                      <w:color w:val="auto"/>
                    </w:rPr>
                  </w:pPr>
                  <w:r>
                    <w:rPr>
                      <w:rFonts w:hint="eastAsia" w:cs="宋体"/>
                      <w:color w:val="auto"/>
                    </w:rPr>
                    <w:t>4、文档中未按要求提供佐证数据或截图；</w:t>
                  </w:r>
                </w:p>
                <w:p w14:paraId="66FC726B">
                  <w:pPr>
                    <w:pStyle w:val="162"/>
                    <w:spacing w:line="380" w:lineRule="exact"/>
                    <w:jc w:val="left"/>
                    <w:rPr>
                      <w:rFonts w:hint="eastAsia" w:cs="宋体"/>
                      <w:color w:val="auto"/>
                    </w:rPr>
                  </w:pPr>
                  <w:r>
                    <w:rPr>
                      <w:rFonts w:hint="eastAsia" w:cs="宋体"/>
                      <w:color w:val="auto"/>
                    </w:rPr>
                    <w:t>5、采购人对文档质量的其他相关要求；</w:t>
                  </w:r>
                </w:p>
                <w:p w14:paraId="409E0B4A">
                  <w:pPr>
                    <w:pStyle w:val="162"/>
                    <w:spacing w:line="380" w:lineRule="exact"/>
                    <w:jc w:val="left"/>
                    <w:rPr>
                      <w:rFonts w:hint="eastAsia" w:cs="宋体"/>
                      <w:color w:val="auto"/>
                    </w:rPr>
                  </w:pPr>
                  <w:r>
                    <w:rPr>
                      <w:rFonts w:hint="eastAsia" w:cs="宋体"/>
                      <w:color w:val="auto"/>
                    </w:rPr>
                    <w:t>6、需要业务部门确认的交付物未按要求确认。</w:t>
                  </w:r>
                </w:p>
              </w:tc>
              <w:tc>
                <w:tcPr>
                  <w:tcW w:w="849" w:type="dxa"/>
                  <w:vAlign w:val="center"/>
                </w:tcPr>
                <w:p w14:paraId="4EC3365E">
                  <w:pPr>
                    <w:pStyle w:val="162"/>
                    <w:spacing w:line="380" w:lineRule="exact"/>
                    <w:rPr>
                      <w:rFonts w:hint="eastAsia" w:cs="宋体"/>
                      <w:color w:val="auto"/>
                    </w:rPr>
                  </w:pPr>
                  <w:r>
                    <w:rPr>
                      <w:rFonts w:hint="eastAsia" w:cs="宋体"/>
                      <w:color w:val="auto"/>
                    </w:rPr>
                    <w:t>以监理单位审核确认</w:t>
                  </w:r>
                </w:p>
              </w:tc>
              <w:tc>
                <w:tcPr>
                  <w:tcW w:w="355" w:type="dxa"/>
                  <w:vAlign w:val="center"/>
                </w:tcPr>
                <w:p w14:paraId="7C4E8F08">
                  <w:pPr>
                    <w:pStyle w:val="162"/>
                    <w:spacing w:line="380" w:lineRule="exact"/>
                    <w:rPr>
                      <w:rFonts w:hint="eastAsia" w:cs="宋体"/>
                      <w:color w:val="auto"/>
                    </w:rPr>
                  </w:pPr>
                </w:p>
              </w:tc>
              <w:tc>
                <w:tcPr>
                  <w:tcW w:w="597" w:type="dxa"/>
                  <w:vAlign w:val="center"/>
                </w:tcPr>
                <w:p w14:paraId="1F632603">
                  <w:pPr>
                    <w:pStyle w:val="162"/>
                    <w:spacing w:line="380" w:lineRule="exact"/>
                    <w:rPr>
                      <w:rFonts w:hint="eastAsia" w:cs="宋体"/>
                      <w:color w:val="auto"/>
                    </w:rPr>
                  </w:pPr>
                </w:p>
              </w:tc>
              <w:tc>
                <w:tcPr>
                  <w:tcW w:w="1664" w:type="dxa"/>
                  <w:vAlign w:val="center"/>
                </w:tcPr>
                <w:p w14:paraId="09E51D33">
                  <w:pPr>
                    <w:pStyle w:val="162"/>
                    <w:spacing w:line="380" w:lineRule="exact"/>
                    <w:jc w:val="left"/>
                    <w:rPr>
                      <w:rFonts w:hint="eastAsia" w:cs="宋体"/>
                      <w:color w:val="auto"/>
                    </w:rPr>
                  </w:pPr>
                </w:p>
              </w:tc>
            </w:tr>
            <w:tr w14:paraId="3ADA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603B7F86">
                  <w:pPr>
                    <w:pStyle w:val="162"/>
                    <w:spacing w:line="380" w:lineRule="exact"/>
                    <w:rPr>
                      <w:rFonts w:hint="eastAsia" w:cs="宋体"/>
                      <w:color w:val="auto"/>
                    </w:rPr>
                  </w:pPr>
                </w:p>
              </w:tc>
              <w:tc>
                <w:tcPr>
                  <w:tcW w:w="597" w:type="dxa"/>
                  <w:vMerge w:val="continue"/>
                  <w:vAlign w:val="center"/>
                </w:tcPr>
                <w:p w14:paraId="1F45EDBB">
                  <w:pPr>
                    <w:pStyle w:val="162"/>
                    <w:spacing w:line="380" w:lineRule="exact"/>
                    <w:rPr>
                      <w:rFonts w:hint="eastAsia" w:cs="宋体"/>
                      <w:color w:val="auto"/>
                    </w:rPr>
                  </w:pPr>
                </w:p>
              </w:tc>
              <w:tc>
                <w:tcPr>
                  <w:tcW w:w="649" w:type="dxa"/>
                  <w:vMerge w:val="continue"/>
                  <w:vAlign w:val="center"/>
                </w:tcPr>
                <w:p w14:paraId="12088924">
                  <w:pPr>
                    <w:pStyle w:val="162"/>
                    <w:spacing w:line="380" w:lineRule="exact"/>
                    <w:rPr>
                      <w:rFonts w:hint="eastAsia" w:cs="宋体"/>
                      <w:color w:val="auto"/>
                    </w:rPr>
                  </w:pPr>
                </w:p>
              </w:tc>
              <w:tc>
                <w:tcPr>
                  <w:tcW w:w="587" w:type="dxa"/>
                  <w:vAlign w:val="center"/>
                </w:tcPr>
                <w:p w14:paraId="4B9D7D66">
                  <w:pPr>
                    <w:pStyle w:val="162"/>
                    <w:spacing w:line="380" w:lineRule="exact"/>
                    <w:rPr>
                      <w:rFonts w:cs="宋体"/>
                      <w:color w:val="auto"/>
                    </w:rPr>
                  </w:pPr>
                  <w:r>
                    <w:rPr>
                      <w:rFonts w:hint="eastAsia" w:cs="宋体"/>
                      <w:color w:val="auto"/>
                    </w:rPr>
                    <w:t>20</w:t>
                  </w:r>
                </w:p>
              </w:tc>
              <w:tc>
                <w:tcPr>
                  <w:tcW w:w="1823" w:type="dxa"/>
                  <w:vAlign w:val="center"/>
                </w:tcPr>
                <w:p w14:paraId="3E5418EE">
                  <w:pPr>
                    <w:pStyle w:val="162"/>
                    <w:spacing w:line="380" w:lineRule="exact"/>
                    <w:jc w:val="left"/>
                    <w:rPr>
                      <w:rFonts w:hint="eastAsia" w:cs="宋体"/>
                      <w:color w:val="auto"/>
                    </w:rPr>
                  </w:pPr>
                  <w:r>
                    <w:rPr>
                      <w:rFonts w:hint="eastAsia" w:cs="宋体"/>
                      <w:color w:val="auto"/>
                    </w:rPr>
                    <w:t>1、按以下情况进行扣分，扣分不设下限。</w:t>
                  </w:r>
                </w:p>
                <w:p w14:paraId="0F310E2F">
                  <w:pPr>
                    <w:pStyle w:val="162"/>
                    <w:spacing w:line="380" w:lineRule="exact"/>
                    <w:jc w:val="left"/>
                    <w:rPr>
                      <w:rFonts w:hint="eastAsia" w:cs="宋体"/>
                      <w:color w:val="auto"/>
                    </w:rPr>
                  </w:pPr>
                  <w:r>
                    <w:rPr>
                      <w:rFonts w:hint="eastAsia" w:cs="宋体"/>
                      <w:color w:val="auto"/>
                    </w:rPr>
                    <w:t>2、拒不服从安全管理要求响应安全加固，每发生一次，扣5分。          3、有证据证明是因中标人原因（包括机房人员进出安全检查）导致的安全运行事件，每发生一次，扣5-20分（根据事件严重程度判定）。</w:t>
                  </w:r>
                </w:p>
              </w:tc>
              <w:tc>
                <w:tcPr>
                  <w:tcW w:w="849" w:type="dxa"/>
                  <w:vAlign w:val="center"/>
                </w:tcPr>
                <w:p w14:paraId="37660EF7">
                  <w:pPr>
                    <w:pStyle w:val="162"/>
                    <w:spacing w:line="380" w:lineRule="exact"/>
                    <w:rPr>
                      <w:rFonts w:hint="eastAsia" w:cs="宋体"/>
                      <w:color w:val="auto"/>
                    </w:rPr>
                  </w:pPr>
                  <w:r>
                    <w:rPr>
                      <w:rFonts w:hint="eastAsia" w:cs="宋体"/>
                      <w:color w:val="auto"/>
                    </w:rPr>
                    <w:t>以采购人及监理单位在事件后出具的事故报告为准。</w:t>
                  </w:r>
                </w:p>
              </w:tc>
              <w:tc>
                <w:tcPr>
                  <w:tcW w:w="355" w:type="dxa"/>
                  <w:vAlign w:val="center"/>
                </w:tcPr>
                <w:p w14:paraId="7455D185">
                  <w:pPr>
                    <w:pStyle w:val="162"/>
                    <w:spacing w:line="380" w:lineRule="exact"/>
                    <w:rPr>
                      <w:rFonts w:hint="eastAsia" w:cs="宋体"/>
                      <w:color w:val="auto"/>
                    </w:rPr>
                  </w:pPr>
                </w:p>
              </w:tc>
              <w:tc>
                <w:tcPr>
                  <w:tcW w:w="597" w:type="dxa"/>
                  <w:vAlign w:val="center"/>
                </w:tcPr>
                <w:p w14:paraId="729474DB">
                  <w:pPr>
                    <w:pStyle w:val="162"/>
                    <w:spacing w:line="380" w:lineRule="exact"/>
                    <w:rPr>
                      <w:rFonts w:hint="eastAsia" w:cs="宋体"/>
                      <w:color w:val="auto"/>
                    </w:rPr>
                  </w:pPr>
                </w:p>
              </w:tc>
              <w:tc>
                <w:tcPr>
                  <w:tcW w:w="1664" w:type="dxa"/>
                  <w:vAlign w:val="center"/>
                </w:tcPr>
                <w:p w14:paraId="1B6CFD55">
                  <w:pPr>
                    <w:pStyle w:val="162"/>
                    <w:spacing w:line="380" w:lineRule="exact"/>
                    <w:jc w:val="left"/>
                    <w:rPr>
                      <w:rFonts w:hint="eastAsia" w:cs="宋体"/>
                      <w:color w:val="auto"/>
                    </w:rPr>
                  </w:pPr>
                  <w:r>
                    <w:rPr>
                      <w:rFonts w:hint="eastAsia" w:cs="宋体"/>
                      <w:color w:val="auto"/>
                    </w:rPr>
                    <w:t>安全运行事件类别包括：系统故障事件、有害程序事件、网络攻击事件、信息破坏事件、信息内容安全事件、灾害性事件、失泄密事件、拒不响应安全加固事件和其他安全运行事件；</w:t>
                  </w:r>
                </w:p>
                <w:p w14:paraId="5262C5D3">
                  <w:pPr>
                    <w:pStyle w:val="162"/>
                    <w:spacing w:line="380" w:lineRule="exact"/>
                    <w:jc w:val="left"/>
                    <w:rPr>
                      <w:rFonts w:hint="eastAsia" w:cs="宋体"/>
                      <w:color w:val="auto"/>
                    </w:rPr>
                  </w:pPr>
                  <w:r>
                    <w:rPr>
                      <w:rFonts w:hint="eastAsia" w:cs="宋体"/>
                      <w:color w:val="auto"/>
                    </w:rPr>
                    <w:t>因采购人或第三方导致的延迟或质量问题，或不可抗力（如封网、机房环境等）不参与评价。</w:t>
                  </w:r>
                </w:p>
              </w:tc>
            </w:tr>
            <w:tr w14:paraId="259B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restart"/>
                  <w:vAlign w:val="center"/>
                </w:tcPr>
                <w:p w14:paraId="1367C579">
                  <w:pPr>
                    <w:pStyle w:val="162"/>
                    <w:spacing w:line="380" w:lineRule="exact"/>
                    <w:rPr>
                      <w:rFonts w:hint="eastAsia" w:cs="宋体"/>
                      <w:color w:val="auto"/>
                    </w:rPr>
                  </w:pPr>
                  <w:r>
                    <w:rPr>
                      <w:rFonts w:hint="eastAsia" w:cs="宋体"/>
                      <w:color w:val="auto"/>
                    </w:rPr>
                    <w:t>维护服务支持度</w:t>
                  </w:r>
                </w:p>
              </w:tc>
              <w:tc>
                <w:tcPr>
                  <w:tcW w:w="597" w:type="dxa"/>
                  <w:vMerge w:val="continue"/>
                  <w:vAlign w:val="center"/>
                </w:tcPr>
                <w:p w14:paraId="4AFCF333">
                  <w:pPr>
                    <w:pStyle w:val="162"/>
                    <w:spacing w:line="380" w:lineRule="exact"/>
                    <w:rPr>
                      <w:rFonts w:hint="eastAsia" w:cs="宋体"/>
                      <w:color w:val="auto"/>
                    </w:rPr>
                  </w:pPr>
                </w:p>
              </w:tc>
              <w:tc>
                <w:tcPr>
                  <w:tcW w:w="649" w:type="dxa"/>
                  <w:vAlign w:val="center"/>
                </w:tcPr>
                <w:p w14:paraId="3A673E98">
                  <w:pPr>
                    <w:pStyle w:val="162"/>
                    <w:spacing w:line="380" w:lineRule="exact"/>
                    <w:rPr>
                      <w:rFonts w:hint="eastAsia" w:cs="宋体"/>
                      <w:color w:val="auto"/>
                    </w:rPr>
                  </w:pPr>
                  <w:r>
                    <w:rPr>
                      <w:rFonts w:hint="eastAsia" w:cs="宋体"/>
                      <w:color w:val="auto"/>
                    </w:rPr>
                    <w:t>故障响应</w:t>
                  </w:r>
                </w:p>
              </w:tc>
              <w:tc>
                <w:tcPr>
                  <w:tcW w:w="587" w:type="dxa"/>
                  <w:vAlign w:val="center"/>
                </w:tcPr>
                <w:p w14:paraId="20BFD757">
                  <w:pPr>
                    <w:pStyle w:val="162"/>
                    <w:spacing w:line="380" w:lineRule="exact"/>
                    <w:rPr>
                      <w:rFonts w:hint="eastAsia" w:cs="宋体"/>
                      <w:color w:val="auto"/>
                    </w:rPr>
                  </w:pPr>
                  <w:r>
                    <w:rPr>
                      <w:rFonts w:hint="eastAsia" w:cs="宋体"/>
                      <w:color w:val="auto"/>
                    </w:rPr>
                    <w:t>40</w:t>
                  </w:r>
                </w:p>
              </w:tc>
              <w:tc>
                <w:tcPr>
                  <w:tcW w:w="1823" w:type="dxa"/>
                  <w:vAlign w:val="center"/>
                </w:tcPr>
                <w:p w14:paraId="3ABC30BE">
                  <w:pPr>
                    <w:pStyle w:val="162"/>
                    <w:numPr>
                      <w:ilvl w:val="0"/>
                      <w:numId w:val="4"/>
                    </w:numPr>
                    <w:spacing w:line="380" w:lineRule="exact"/>
                    <w:jc w:val="left"/>
                    <w:rPr>
                      <w:rFonts w:hint="eastAsia" w:cs="宋体"/>
                      <w:color w:val="auto"/>
                    </w:rPr>
                  </w:pPr>
                  <w:r>
                    <w:rPr>
                      <w:rFonts w:hint="eastAsia" w:cs="宋体"/>
                      <w:color w:val="auto"/>
                    </w:rPr>
                    <w:t>按以下情况进行扣分，扣完即止。</w:t>
                  </w:r>
                </w:p>
                <w:p w14:paraId="2F4E0923">
                  <w:pPr>
                    <w:pStyle w:val="162"/>
                    <w:spacing w:line="380" w:lineRule="exact"/>
                    <w:jc w:val="left"/>
                    <w:rPr>
                      <w:rFonts w:hint="eastAsia" w:cs="宋体"/>
                      <w:color w:val="auto"/>
                    </w:rPr>
                  </w:pPr>
                  <w:r>
                    <w:rPr>
                      <w:rFonts w:hint="eastAsia" w:cs="宋体"/>
                      <w:color w:val="auto"/>
                    </w:rPr>
                    <w:t>2、扣分情况包括：</w:t>
                  </w:r>
                </w:p>
                <w:p w14:paraId="4DF50807">
                  <w:pPr>
                    <w:pStyle w:val="162"/>
                    <w:spacing w:line="380" w:lineRule="exact"/>
                    <w:jc w:val="left"/>
                    <w:rPr>
                      <w:rFonts w:hint="eastAsia" w:cs="宋体"/>
                      <w:color w:val="auto"/>
                    </w:rPr>
                  </w:pPr>
                  <w:r>
                    <w:rPr>
                      <w:rFonts w:hint="eastAsia" w:cs="宋体"/>
                      <w:color w:val="auto"/>
                    </w:rPr>
                    <w:t>发生系统运行故障时，不能根据技术服务要求及承诺及时提供电话应急支持或现场技术支持，每发生一次，扣1分；</w:t>
                  </w:r>
                </w:p>
                <w:p w14:paraId="6052E6E2">
                  <w:pPr>
                    <w:pStyle w:val="162"/>
                    <w:spacing w:line="380" w:lineRule="exact"/>
                    <w:jc w:val="left"/>
                    <w:rPr>
                      <w:rFonts w:hint="eastAsia" w:cs="宋体"/>
                      <w:color w:val="auto"/>
                    </w:rPr>
                  </w:pPr>
                  <w:r>
                    <w:rPr>
                      <w:rFonts w:hint="eastAsia" w:cs="宋体"/>
                      <w:color w:val="auto"/>
                    </w:rPr>
                    <w:t>发生系统运行故障时，不能在规定时间内恢复正常运行，每发生一次，扣2分；</w:t>
                  </w:r>
                </w:p>
                <w:p w14:paraId="7B8D31B8">
                  <w:pPr>
                    <w:pStyle w:val="162"/>
                    <w:spacing w:line="380" w:lineRule="exact"/>
                    <w:jc w:val="left"/>
                    <w:rPr>
                      <w:rFonts w:hint="eastAsia" w:cs="宋体"/>
                      <w:color w:val="auto"/>
                    </w:rPr>
                  </w:pPr>
                  <w:r>
                    <w:rPr>
                      <w:rFonts w:hint="eastAsia" w:cs="宋体"/>
                      <w:color w:val="auto"/>
                    </w:rPr>
                    <w:t>须在故障排除后3天内提交《故障处理及分析报告》，每逾期1天扣0.5分。</w:t>
                  </w:r>
                </w:p>
              </w:tc>
              <w:tc>
                <w:tcPr>
                  <w:tcW w:w="849" w:type="dxa"/>
                  <w:vAlign w:val="center"/>
                </w:tcPr>
                <w:p w14:paraId="6C1D5FA7">
                  <w:pPr>
                    <w:pStyle w:val="162"/>
                    <w:spacing w:line="380" w:lineRule="exact"/>
                    <w:rPr>
                      <w:rFonts w:hint="eastAsia" w:cs="宋体"/>
                      <w:color w:val="auto"/>
                    </w:rPr>
                  </w:pPr>
                  <w:r>
                    <w:rPr>
                      <w:rFonts w:hint="eastAsia" w:cs="宋体"/>
                      <w:color w:val="auto"/>
                    </w:rPr>
                    <w:t>以采购人及监理单位在事件后出具的故障报告为准。</w:t>
                  </w:r>
                </w:p>
              </w:tc>
              <w:tc>
                <w:tcPr>
                  <w:tcW w:w="355" w:type="dxa"/>
                  <w:vAlign w:val="center"/>
                </w:tcPr>
                <w:p w14:paraId="77075D6A">
                  <w:pPr>
                    <w:pStyle w:val="162"/>
                    <w:spacing w:line="380" w:lineRule="exact"/>
                    <w:rPr>
                      <w:rFonts w:hint="eastAsia" w:cs="宋体"/>
                      <w:color w:val="auto"/>
                    </w:rPr>
                  </w:pPr>
                </w:p>
              </w:tc>
              <w:tc>
                <w:tcPr>
                  <w:tcW w:w="597" w:type="dxa"/>
                  <w:vAlign w:val="center"/>
                </w:tcPr>
                <w:p w14:paraId="679D99CF">
                  <w:pPr>
                    <w:pStyle w:val="162"/>
                    <w:spacing w:line="380" w:lineRule="exact"/>
                    <w:rPr>
                      <w:rFonts w:hint="eastAsia" w:cs="宋体"/>
                      <w:color w:val="auto"/>
                    </w:rPr>
                  </w:pPr>
                </w:p>
              </w:tc>
              <w:tc>
                <w:tcPr>
                  <w:tcW w:w="1664" w:type="dxa"/>
                  <w:vAlign w:val="center"/>
                </w:tcPr>
                <w:p w14:paraId="5FC572AF">
                  <w:pPr>
                    <w:pStyle w:val="162"/>
                    <w:spacing w:line="380" w:lineRule="exact"/>
                    <w:jc w:val="left"/>
                    <w:rPr>
                      <w:rFonts w:hint="eastAsia" w:cs="宋体"/>
                      <w:color w:val="auto"/>
                    </w:rPr>
                  </w:pPr>
                  <w:r>
                    <w:rPr>
                      <w:rFonts w:hint="eastAsia" w:cs="宋体"/>
                      <w:color w:val="auto"/>
                    </w:rPr>
                    <w:t>因采购人或第三方导致的延迟或质量问题，或不可抗力（如封网、机房环境等）不参与评价；</w:t>
                  </w:r>
                </w:p>
              </w:tc>
            </w:tr>
            <w:tr w14:paraId="10B5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496156CD">
                  <w:pPr>
                    <w:pStyle w:val="162"/>
                    <w:spacing w:line="380" w:lineRule="exact"/>
                    <w:rPr>
                      <w:rFonts w:hint="eastAsia" w:cs="宋体"/>
                      <w:color w:val="auto"/>
                    </w:rPr>
                  </w:pPr>
                </w:p>
              </w:tc>
              <w:tc>
                <w:tcPr>
                  <w:tcW w:w="597" w:type="dxa"/>
                  <w:vMerge w:val="continue"/>
                  <w:vAlign w:val="center"/>
                </w:tcPr>
                <w:p w14:paraId="0CFB4EB6">
                  <w:pPr>
                    <w:pStyle w:val="162"/>
                    <w:spacing w:line="380" w:lineRule="exact"/>
                    <w:rPr>
                      <w:rFonts w:hint="eastAsia" w:cs="宋体"/>
                      <w:color w:val="auto"/>
                    </w:rPr>
                  </w:pPr>
                </w:p>
              </w:tc>
              <w:tc>
                <w:tcPr>
                  <w:tcW w:w="649" w:type="dxa"/>
                  <w:vAlign w:val="center"/>
                </w:tcPr>
                <w:p w14:paraId="662F9C73">
                  <w:pPr>
                    <w:pStyle w:val="162"/>
                    <w:spacing w:line="380" w:lineRule="exact"/>
                    <w:rPr>
                      <w:rFonts w:hint="eastAsia" w:cs="宋体"/>
                      <w:color w:val="auto"/>
                    </w:rPr>
                  </w:pPr>
                  <w:r>
                    <w:rPr>
                      <w:rFonts w:hint="eastAsia" w:cs="宋体"/>
                      <w:color w:val="auto"/>
                    </w:rPr>
                    <w:t>重大节假日及重大事件保障</w:t>
                  </w:r>
                </w:p>
              </w:tc>
              <w:tc>
                <w:tcPr>
                  <w:tcW w:w="587" w:type="dxa"/>
                  <w:vAlign w:val="center"/>
                </w:tcPr>
                <w:p w14:paraId="03BD0A18">
                  <w:pPr>
                    <w:pStyle w:val="162"/>
                    <w:spacing w:line="380" w:lineRule="exact"/>
                    <w:rPr>
                      <w:rFonts w:hint="eastAsia" w:cs="宋体"/>
                      <w:color w:val="auto"/>
                    </w:rPr>
                  </w:pPr>
                  <w:r>
                    <w:rPr>
                      <w:rFonts w:hint="eastAsia" w:cs="宋体"/>
                      <w:color w:val="auto"/>
                    </w:rPr>
                    <w:t>10</w:t>
                  </w:r>
                </w:p>
              </w:tc>
              <w:tc>
                <w:tcPr>
                  <w:tcW w:w="1823" w:type="dxa"/>
                  <w:vAlign w:val="center"/>
                </w:tcPr>
                <w:p w14:paraId="5A17C16E">
                  <w:pPr>
                    <w:pStyle w:val="162"/>
                    <w:spacing w:line="380" w:lineRule="exact"/>
                    <w:jc w:val="left"/>
                    <w:rPr>
                      <w:rFonts w:hint="eastAsia" w:cs="宋体"/>
                      <w:color w:val="auto"/>
                    </w:rPr>
                  </w:pPr>
                  <w:r>
                    <w:rPr>
                      <w:rFonts w:hint="eastAsia" w:cs="宋体"/>
                      <w:color w:val="auto"/>
                    </w:rPr>
                    <w:t>1、按以下情况进行扣分，扣完即止。</w:t>
                  </w:r>
                </w:p>
                <w:p w14:paraId="0E675DAD">
                  <w:pPr>
                    <w:pStyle w:val="162"/>
                    <w:spacing w:line="380" w:lineRule="exact"/>
                    <w:jc w:val="left"/>
                    <w:rPr>
                      <w:rFonts w:hint="eastAsia" w:cs="宋体"/>
                      <w:color w:val="auto"/>
                    </w:rPr>
                  </w:pPr>
                  <w:r>
                    <w:rPr>
                      <w:rFonts w:hint="eastAsia" w:cs="宋体"/>
                      <w:color w:val="auto"/>
                    </w:rPr>
                    <w:t>2、扣分情况包括：</w:t>
                  </w:r>
                </w:p>
                <w:p w14:paraId="3D513D3D">
                  <w:pPr>
                    <w:pStyle w:val="162"/>
                    <w:spacing w:line="380" w:lineRule="exact"/>
                    <w:jc w:val="left"/>
                    <w:rPr>
                      <w:rFonts w:hint="eastAsia" w:cs="宋体"/>
                      <w:color w:val="auto"/>
                    </w:rPr>
                  </w:pPr>
                  <w:r>
                    <w:rPr>
                      <w:rFonts w:hint="eastAsia" w:cs="宋体"/>
                      <w:color w:val="auto"/>
                    </w:rPr>
                    <w:t>在采购人要求的节假日或重大事件不能根据技术服务要求及承诺及时提供现场技术支持，每发生一次，扣2分；</w:t>
                  </w:r>
                </w:p>
              </w:tc>
              <w:tc>
                <w:tcPr>
                  <w:tcW w:w="849" w:type="dxa"/>
                  <w:vAlign w:val="center"/>
                </w:tcPr>
                <w:p w14:paraId="4388652B">
                  <w:pPr>
                    <w:pStyle w:val="162"/>
                    <w:spacing w:line="380" w:lineRule="exact"/>
                    <w:rPr>
                      <w:rFonts w:hint="eastAsia" w:cs="宋体"/>
                      <w:color w:val="auto"/>
                    </w:rPr>
                  </w:pPr>
                  <w:r>
                    <w:rPr>
                      <w:rFonts w:hint="eastAsia" w:cs="宋体"/>
                      <w:color w:val="auto"/>
                    </w:rPr>
                    <w:t>以采购人及监理单位在节假日及重大事件的报告为准。</w:t>
                  </w:r>
                </w:p>
              </w:tc>
              <w:tc>
                <w:tcPr>
                  <w:tcW w:w="355" w:type="dxa"/>
                  <w:vAlign w:val="center"/>
                </w:tcPr>
                <w:p w14:paraId="614B4F96">
                  <w:pPr>
                    <w:pStyle w:val="162"/>
                    <w:spacing w:line="380" w:lineRule="exact"/>
                    <w:rPr>
                      <w:rFonts w:hint="eastAsia" w:cs="宋体"/>
                      <w:color w:val="auto"/>
                    </w:rPr>
                  </w:pPr>
                </w:p>
              </w:tc>
              <w:tc>
                <w:tcPr>
                  <w:tcW w:w="597" w:type="dxa"/>
                  <w:vAlign w:val="center"/>
                </w:tcPr>
                <w:p w14:paraId="26E87704">
                  <w:pPr>
                    <w:pStyle w:val="162"/>
                    <w:spacing w:line="380" w:lineRule="exact"/>
                    <w:rPr>
                      <w:rFonts w:hint="eastAsia" w:cs="宋体"/>
                      <w:color w:val="auto"/>
                    </w:rPr>
                  </w:pPr>
                </w:p>
              </w:tc>
              <w:tc>
                <w:tcPr>
                  <w:tcW w:w="1664" w:type="dxa"/>
                  <w:vAlign w:val="center"/>
                </w:tcPr>
                <w:p w14:paraId="65346DC8">
                  <w:pPr>
                    <w:pStyle w:val="162"/>
                    <w:spacing w:line="380" w:lineRule="exact"/>
                    <w:jc w:val="left"/>
                    <w:rPr>
                      <w:rFonts w:hint="eastAsia" w:cs="宋体"/>
                      <w:color w:val="auto"/>
                    </w:rPr>
                  </w:pPr>
                </w:p>
              </w:tc>
            </w:tr>
            <w:tr w14:paraId="2714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2EC2FDB9">
                  <w:pPr>
                    <w:pStyle w:val="162"/>
                    <w:spacing w:line="380" w:lineRule="exact"/>
                    <w:rPr>
                      <w:rFonts w:hint="eastAsia" w:cs="宋体"/>
                      <w:color w:val="auto"/>
                    </w:rPr>
                  </w:pPr>
                </w:p>
              </w:tc>
              <w:tc>
                <w:tcPr>
                  <w:tcW w:w="597" w:type="dxa"/>
                  <w:vMerge w:val="continue"/>
                  <w:vAlign w:val="center"/>
                </w:tcPr>
                <w:p w14:paraId="3FB82B3E">
                  <w:pPr>
                    <w:pStyle w:val="162"/>
                    <w:spacing w:line="380" w:lineRule="exact"/>
                    <w:rPr>
                      <w:rFonts w:hint="eastAsia" w:cs="宋体"/>
                      <w:color w:val="auto"/>
                    </w:rPr>
                  </w:pPr>
                </w:p>
              </w:tc>
              <w:tc>
                <w:tcPr>
                  <w:tcW w:w="649" w:type="dxa"/>
                  <w:vAlign w:val="center"/>
                </w:tcPr>
                <w:p w14:paraId="096DB217">
                  <w:pPr>
                    <w:pStyle w:val="162"/>
                    <w:spacing w:line="380" w:lineRule="exact"/>
                    <w:rPr>
                      <w:rFonts w:hint="eastAsia" w:cs="宋体"/>
                      <w:color w:val="auto"/>
                    </w:rPr>
                  </w:pPr>
                  <w:r>
                    <w:rPr>
                      <w:rFonts w:hint="eastAsia" w:cs="宋体"/>
                      <w:color w:val="auto"/>
                    </w:rPr>
                    <w:t>定期巡检服务</w:t>
                  </w:r>
                </w:p>
              </w:tc>
              <w:tc>
                <w:tcPr>
                  <w:tcW w:w="587" w:type="dxa"/>
                  <w:vAlign w:val="center"/>
                </w:tcPr>
                <w:p w14:paraId="4C5812D8">
                  <w:pPr>
                    <w:pStyle w:val="162"/>
                    <w:spacing w:line="380" w:lineRule="exact"/>
                    <w:rPr>
                      <w:rFonts w:hint="eastAsia" w:cs="宋体"/>
                      <w:color w:val="auto"/>
                    </w:rPr>
                  </w:pPr>
                  <w:r>
                    <w:rPr>
                      <w:rFonts w:hint="eastAsia" w:cs="宋体"/>
                      <w:color w:val="auto"/>
                    </w:rPr>
                    <w:t>8</w:t>
                  </w:r>
                </w:p>
              </w:tc>
              <w:tc>
                <w:tcPr>
                  <w:tcW w:w="1823" w:type="dxa"/>
                  <w:vAlign w:val="center"/>
                </w:tcPr>
                <w:p w14:paraId="246FD416">
                  <w:pPr>
                    <w:pStyle w:val="162"/>
                    <w:spacing w:line="380" w:lineRule="exact"/>
                    <w:jc w:val="left"/>
                    <w:rPr>
                      <w:rFonts w:hint="eastAsia" w:cs="宋体"/>
                      <w:color w:val="auto"/>
                    </w:rPr>
                  </w:pPr>
                  <w:r>
                    <w:rPr>
                      <w:rFonts w:hint="eastAsia" w:cs="宋体"/>
                      <w:color w:val="auto"/>
                    </w:rPr>
                    <w:t>1、按以下情况进行扣分，扣完即止。</w:t>
                  </w:r>
                </w:p>
                <w:p w14:paraId="13C8EC81">
                  <w:pPr>
                    <w:pStyle w:val="162"/>
                    <w:spacing w:line="380" w:lineRule="exact"/>
                    <w:jc w:val="left"/>
                    <w:rPr>
                      <w:rFonts w:hint="eastAsia" w:cs="宋体"/>
                      <w:color w:val="auto"/>
                    </w:rPr>
                  </w:pPr>
                  <w:r>
                    <w:rPr>
                      <w:rFonts w:hint="eastAsia" w:cs="宋体"/>
                      <w:color w:val="auto"/>
                    </w:rPr>
                    <w:t>2、扣分情况包括：</w:t>
                  </w:r>
                </w:p>
                <w:p w14:paraId="686062F9">
                  <w:pPr>
                    <w:pStyle w:val="162"/>
                    <w:spacing w:line="380" w:lineRule="exact"/>
                    <w:jc w:val="left"/>
                    <w:rPr>
                      <w:rFonts w:hint="eastAsia" w:cs="宋体"/>
                      <w:color w:val="auto"/>
                    </w:rPr>
                  </w:pPr>
                  <w:r>
                    <w:rPr>
                      <w:rFonts w:hint="eastAsia" w:cs="宋体"/>
                      <w:color w:val="auto"/>
                    </w:rPr>
                    <w:t>有证据证明中标人无故未在约定时间开展巡检服务，每发生一次，扣0.5分；</w:t>
                  </w:r>
                </w:p>
                <w:p w14:paraId="4282F5FE">
                  <w:pPr>
                    <w:pStyle w:val="162"/>
                    <w:spacing w:line="380" w:lineRule="exact"/>
                    <w:jc w:val="left"/>
                    <w:rPr>
                      <w:rFonts w:hint="eastAsia" w:cs="宋体"/>
                      <w:color w:val="auto"/>
                    </w:rPr>
                  </w:pPr>
                  <w:r>
                    <w:rPr>
                      <w:rFonts w:hint="eastAsia" w:cs="宋体"/>
                      <w:color w:val="auto"/>
                    </w:rPr>
                    <w:t>2）有证据证明中标人巡检工作疏漏，导致系统运行异常，每发生一次，扣0.5分。</w:t>
                  </w:r>
                </w:p>
              </w:tc>
              <w:tc>
                <w:tcPr>
                  <w:tcW w:w="849" w:type="dxa"/>
                  <w:vAlign w:val="center"/>
                </w:tcPr>
                <w:p w14:paraId="09B6C309">
                  <w:pPr>
                    <w:pStyle w:val="162"/>
                    <w:spacing w:line="380" w:lineRule="exact"/>
                    <w:rPr>
                      <w:rFonts w:hint="eastAsia" w:cs="宋体"/>
                      <w:color w:val="auto"/>
                    </w:rPr>
                  </w:pPr>
                  <w:r>
                    <w:rPr>
                      <w:rFonts w:hint="eastAsia" w:cs="宋体"/>
                      <w:color w:val="auto"/>
                    </w:rPr>
                    <w:t>以监理单位提交的报告为准</w:t>
                  </w:r>
                </w:p>
              </w:tc>
              <w:tc>
                <w:tcPr>
                  <w:tcW w:w="355" w:type="dxa"/>
                  <w:vAlign w:val="center"/>
                </w:tcPr>
                <w:p w14:paraId="457266C1">
                  <w:pPr>
                    <w:pStyle w:val="162"/>
                    <w:spacing w:line="380" w:lineRule="exact"/>
                    <w:rPr>
                      <w:rFonts w:hint="eastAsia" w:cs="宋体"/>
                      <w:color w:val="auto"/>
                    </w:rPr>
                  </w:pPr>
                </w:p>
              </w:tc>
              <w:tc>
                <w:tcPr>
                  <w:tcW w:w="597" w:type="dxa"/>
                  <w:vAlign w:val="center"/>
                </w:tcPr>
                <w:p w14:paraId="5F286BB2">
                  <w:pPr>
                    <w:pStyle w:val="162"/>
                    <w:spacing w:line="380" w:lineRule="exact"/>
                    <w:rPr>
                      <w:rFonts w:hint="eastAsia" w:cs="宋体"/>
                      <w:color w:val="auto"/>
                    </w:rPr>
                  </w:pPr>
                </w:p>
              </w:tc>
              <w:tc>
                <w:tcPr>
                  <w:tcW w:w="1664" w:type="dxa"/>
                  <w:vAlign w:val="center"/>
                </w:tcPr>
                <w:p w14:paraId="77C188A1">
                  <w:pPr>
                    <w:pStyle w:val="162"/>
                    <w:spacing w:line="380" w:lineRule="exact"/>
                    <w:jc w:val="left"/>
                    <w:rPr>
                      <w:rFonts w:hint="eastAsia" w:cs="宋体"/>
                      <w:color w:val="auto"/>
                    </w:rPr>
                  </w:pPr>
                </w:p>
              </w:tc>
            </w:tr>
            <w:tr w14:paraId="433C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vAlign w:val="center"/>
                </w:tcPr>
                <w:p w14:paraId="72F6B61B">
                  <w:pPr>
                    <w:pStyle w:val="162"/>
                    <w:spacing w:line="380" w:lineRule="exact"/>
                    <w:rPr>
                      <w:rFonts w:hint="eastAsia" w:cs="宋体"/>
                      <w:color w:val="auto"/>
                    </w:rPr>
                  </w:pPr>
                </w:p>
              </w:tc>
              <w:tc>
                <w:tcPr>
                  <w:tcW w:w="597" w:type="dxa"/>
                  <w:vMerge w:val="continue"/>
                  <w:vAlign w:val="center"/>
                </w:tcPr>
                <w:p w14:paraId="4B273AEA">
                  <w:pPr>
                    <w:pStyle w:val="162"/>
                    <w:spacing w:line="380" w:lineRule="exact"/>
                    <w:rPr>
                      <w:rFonts w:hint="eastAsia" w:cs="宋体"/>
                      <w:color w:val="auto"/>
                    </w:rPr>
                  </w:pPr>
                </w:p>
              </w:tc>
              <w:tc>
                <w:tcPr>
                  <w:tcW w:w="649" w:type="dxa"/>
                  <w:vAlign w:val="center"/>
                </w:tcPr>
                <w:p w14:paraId="0FEF4D97">
                  <w:pPr>
                    <w:pStyle w:val="162"/>
                    <w:spacing w:line="380" w:lineRule="exact"/>
                    <w:rPr>
                      <w:rFonts w:hint="eastAsia" w:cs="宋体"/>
                      <w:color w:val="auto"/>
                    </w:rPr>
                  </w:pPr>
                  <w:r>
                    <w:rPr>
                      <w:rFonts w:hint="eastAsia" w:cs="宋体"/>
                      <w:color w:val="auto"/>
                    </w:rPr>
                    <w:t>培训</w:t>
                  </w:r>
                </w:p>
              </w:tc>
              <w:tc>
                <w:tcPr>
                  <w:tcW w:w="587" w:type="dxa"/>
                  <w:vAlign w:val="center"/>
                </w:tcPr>
                <w:p w14:paraId="1B0E0725">
                  <w:pPr>
                    <w:pStyle w:val="162"/>
                    <w:spacing w:line="380" w:lineRule="exact"/>
                    <w:rPr>
                      <w:rFonts w:hint="eastAsia" w:cs="宋体"/>
                      <w:color w:val="auto"/>
                    </w:rPr>
                  </w:pPr>
                  <w:r>
                    <w:rPr>
                      <w:rFonts w:hint="eastAsia" w:cs="宋体"/>
                      <w:color w:val="auto"/>
                    </w:rPr>
                    <w:t>2</w:t>
                  </w:r>
                </w:p>
              </w:tc>
              <w:tc>
                <w:tcPr>
                  <w:tcW w:w="1823" w:type="dxa"/>
                  <w:vAlign w:val="center"/>
                </w:tcPr>
                <w:p w14:paraId="7B61E15D">
                  <w:pPr>
                    <w:pStyle w:val="16"/>
                    <w:spacing w:line="380" w:lineRule="exact"/>
                    <w:rPr>
                      <w:rFonts w:hint="eastAsia" w:ascii="宋体" w:hAnsi="宋体" w:cs="宋体"/>
                      <w:sz w:val="21"/>
                      <w:szCs w:val="21"/>
                    </w:rPr>
                  </w:pPr>
                  <w:r>
                    <w:rPr>
                      <w:rFonts w:hint="eastAsia" w:ascii="宋体" w:hAnsi="宋体" w:cs="宋体"/>
                      <w:sz w:val="21"/>
                      <w:szCs w:val="21"/>
                    </w:rPr>
                    <w:t>定期开展培训（每半年1次，培训内容包含但不限于AI算力资源的运行管理维护、备份恢复、性能优化、故障处理等）；每逾期1天扣0.5分。</w:t>
                  </w:r>
                </w:p>
              </w:tc>
              <w:tc>
                <w:tcPr>
                  <w:tcW w:w="849" w:type="dxa"/>
                  <w:vAlign w:val="center"/>
                </w:tcPr>
                <w:p w14:paraId="150FCFBA">
                  <w:pPr>
                    <w:pStyle w:val="162"/>
                    <w:spacing w:line="380" w:lineRule="exact"/>
                    <w:rPr>
                      <w:rFonts w:hint="eastAsia" w:cs="宋体"/>
                      <w:color w:val="auto"/>
                    </w:rPr>
                  </w:pPr>
                  <w:r>
                    <w:rPr>
                      <w:rFonts w:hint="eastAsia" w:cs="宋体"/>
                      <w:color w:val="auto"/>
                    </w:rPr>
                    <w:t>以监理单位提交的报告为准</w:t>
                  </w:r>
                </w:p>
              </w:tc>
              <w:tc>
                <w:tcPr>
                  <w:tcW w:w="355" w:type="dxa"/>
                  <w:vAlign w:val="center"/>
                </w:tcPr>
                <w:p w14:paraId="5171550B">
                  <w:pPr>
                    <w:pStyle w:val="162"/>
                    <w:spacing w:line="380" w:lineRule="exact"/>
                    <w:rPr>
                      <w:rFonts w:hint="eastAsia" w:cs="宋体"/>
                      <w:color w:val="auto"/>
                    </w:rPr>
                  </w:pPr>
                </w:p>
              </w:tc>
              <w:tc>
                <w:tcPr>
                  <w:tcW w:w="597" w:type="dxa"/>
                  <w:vAlign w:val="center"/>
                </w:tcPr>
                <w:p w14:paraId="6AC4B5ED">
                  <w:pPr>
                    <w:pStyle w:val="162"/>
                    <w:spacing w:line="380" w:lineRule="exact"/>
                    <w:rPr>
                      <w:rFonts w:hint="eastAsia" w:cs="宋体"/>
                      <w:color w:val="auto"/>
                    </w:rPr>
                  </w:pPr>
                </w:p>
              </w:tc>
              <w:tc>
                <w:tcPr>
                  <w:tcW w:w="1664" w:type="dxa"/>
                  <w:vAlign w:val="center"/>
                </w:tcPr>
                <w:p w14:paraId="75222CCA">
                  <w:pPr>
                    <w:pStyle w:val="162"/>
                    <w:spacing w:line="380" w:lineRule="exact"/>
                    <w:jc w:val="left"/>
                    <w:rPr>
                      <w:rFonts w:hint="eastAsia" w:cs="宋体"/>
                      <w:color w:val="auto"/>
                    </w:rPr>
                  </w:pPr>
                </w:p>
              </w:tc>
            </w:tr>
          </w:tbl>
          <w:p w14:paraId="36FE19B1">
            <w:pPr>
              <w:spacing w:line="380" w:lineRule="exact"/>
              <w:rPr>
                <w:rFonts w:hint="eastAsia" w:ascii="宋体" w:hAnsi="宋体" w:cs="宋体"/>
                <w:szCs w:val="21"/>
              </w:rPr>
            </w:pPr>
            <w:r>
              <w:rPr>
                <w:rFonts w:hint="eastAsia" w:ascii="宋体" w:hAnsi="宋体" w:cs="宋体"/>
                <w:szCs w:val="21"/>
              </w:rPr>
              <w:t>服务费扣减规则如下表：</w:t>
            </w:r>
          </w:p>
          <w:tbl>
            <w:tblPr>
              <w:tblStyle w:val="49"/>
              <w:tblW w:w="775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345"/>
              <w:gridCol w:w="1549"/>
              <w:gridCol w:w="2036"/>
            </w:tblGrid>
            <w:tr w14:paraId="74E6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25" w:type="dxa"/>
                  <w:shd w:val="clear" w:color="auto" w:fill="D7D7D7"/>
                  <w:vAlign w:val="center"/>
                </w:tcPr>
                <w:p w14:paraId="6DF11242">
                  <w:pPr>
                    <w:pStyle w:val="162"/>
                    <w:spacing w:line="380" w:lineRule="exact"/>
                    <w:rPr>
                      <w:rFonts w:hint="eastAsia" w:cs="宋体"/>
                      <w:b/>
                      <w:bCs/>
                      <w:color w:val="auto"/>
                    </w:rPr>
                  </w:pPr>
                  <w:r>
                    <w:rPr>
                      <w:rFonts w:hint="eastAsia" w:cs="宋体"/>
                      <w:b/>
                      <w:bCs/>
                      <w:color w:val="auto"/>
                    </w:rPr>
                    <w:t>序号</w:t>
                  </w:r>
                </w:p>
              </w:tc>
              <w:tc>
                <w:tcPr>
                  <w:tcW w:w="3345" w:type="dxa"/>
                  <w:shd w:val="clear" w:color="auto" w:fill="D7D7D7"/>
                  <w:vAlign w:val="center"/>
                </w:tcPr>
                <w:p w14:paraId="053E5961">
                  <w:pPr>
                    <w:pStyle w:val="162"/>
                    <w:spacing w:line="380" w:lineRule="exact"/>
                    <w:rPr>
                      <w:rFonts w:hint="eastAsia" w:cs="宋体"/>
                      <w:b/>
                      <w:bCs/>
                      <w:color w:val="auto"/>
                    </w:rPr>
                  </w:pPr>
                  <w:r>
                    <w:rPr>
                      <w:rFonts w:hint="eastAsia" w:cs="宋体"/>
                      <w:b/>
                      <w:bCs/>
                      <w:color w:val="auto"/>
                    </w:rPr>
                    <w:t>服务质量评价得分</w:t>
                  </w:r>
                </w:p>
              </w:tc>
              <w:tc>
                <w:tcPr>
                  <w:tcW w:w="1549" w:type="dxa"/>
                  <w:shd w:val="clear" w:color="auto" w:fill="D7D7D7"/>
                  <w:vAlign w:val="center"/>
                </w:tcPr>
                <w:p w14:paraId="0A1D4E60">
                  <w:pPr>
                    <w:pStyle w:val="162"/>
                    <w:spacing w:line="380" w:lineRule="exact"/>
                    <w:rPr>
                      <w:rFonts w:hint="eastAsia" w:cs="宋体"/>
                      <w:b/>
                      <w:bCs/>
                      <w:color w:val="auto"/>
                    </w:rPr>
                  </w:pPr>
                  <w:r>
                    <w:rPr>
                      <w:rFonts w:hint="eastAsia" w:cs="宋体"/>
                      <w:b/>
                      <w:bCs/>
                      <w:color w:val="auto"/>
                    </w:rPr>
                    <w:t>扣减系数</w:t>
                  </w:r>
                </w:p>
              </w:tc>
              <w:tc>
                <w:tcPr>
                  <w:tcW w:w="2036" w:type="dxa"/>
                  <w:shd w:val="clear" w:color="auto" w:fill="D7D7D7"/>
                  <w:vAlign w:val="center"/>
                </w:tcPr>
                <w:p w14:paraId="78A34156">
                  <w:pPr>
                    <w:pStyle w:val="162"/>
                    <w:spacing w:line="380" w:lineRule="exact"/>
                    <w:rPr>
                      <w:rFonts w:hint="eastAsia" w:cs="宋体"/>
                      <w:b/>
                      <w:bCs/>
                      <w:color w:val="auto"/>
                    </w:rPr>
                  </w:pPr>
                  <w:r>
                    <w:rPr>
                      <w:rFonts w:hint="eastAsia" w:cs="宋体"/>
                      <w:b/>
                      <w:bCs/>
                      <w:color w:val="auto"/>
                    </w:rPr>
                    <w:t>扣减金额</w:t>
                  </w:r>
                </w:p>
              </w:tc>
            </w:tr>
            <w:tr w14:paraId="15B9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25" w:type="dxa"/>
                  <w:vAlign w:val="center"/>
                </w:tcPr>
                <w:p w14:paraId="2DAF2D02">
                  <w:pPr>
                    <w:pStyle w:val="162"/>
                    <w:spacing w:line="380" w:lineRule="exact"/>
                    <w:rPr>
                      <w:rFonts w:hint="eastAsia" w:cs="宋体"/>
                      <w:color w:val="auto"/>
                    </w:rPr>
                  </w:pPr>
                  <w:r>
                    <w:rPr>
                      <w:rFonts w:hint="eastAsia" w:cs="宋体"/>
                      <w:color w:val="auto"/>
                    </w:rPr>
                    <w:t>1</w:t>
                  </w:r>
                </w:p>
              </w:tc>
              <w:tc>
                <w:tcPr>
                  <w:tcW w:w="3345" w:type="dxa"/>
                  <w:vAlign w:val="center"/>
                </w:tcPr>
                <w:p w14:paraId="7690B2EA">
                  <w:pPr>
                    <w:pStyle w:val="162"/>
                    <w:spacing w:line="380" w:lineRule="exact"/>
                    <w:rPr>
                      <w:rFonts w:hint="eastAsia" w:cs="宋体"/>
                      <w:color w:val="auto"/>
                    </w:rPr>
                  </w:pPr>
                  <w:r>
                    <w:rPr>
                      <w:rFonts w:hint="eastAsia" w:cs="宋体"/>
                      <w:color w:val="auto"/>
                    </w:rPr>
                    <w:t>95≤服务质量评价得分≤100</w:t>
                  </w:r>
                </w:p>
              </w:tc>
              <w:tc>
                <w:tcPr>
                  <w:tcW w:w="1549" w:type="dxa"/>
                  <w:vAlign w:val="center"/>
                </w:tcPr>
                <w:p w14:paraId="4DA2D700">
                  <w:pPr>
                    <w:pStyle w:val="162"/>
                    <w:spacing w:line="380" w:lineRule="exact"/>
                    <w:rPr>
                      <w:rFonts w:hint="eastAsia" w:cs="宋体"/>
                      <w:color w:val="auto"/>
                    </w:rPr>
                  </w:pPr>
                  <w:r>
                    <w:rPr>
                      <w:rFonts w:hint="eastAsia" w:cs="宋体"/>
                      <w:color w:val="auto"/>
                    </w:rPr>
                    <w:t>0%</w:t>
                  </w:r>
                </w:p>
              </w:tc>
              <w:tc>
                <w:tcPr>
                  <w:tcW w:w="2036" w:type="dxa"/>
                  <w:vAlign w:val="center"/>
                </w:tcPr>
                <w:p w14:paraId="6CA8D113">
                  <w:pPr>
                    <w:pStyle w:val="162"/>
                    <w:spacing w:line="380" w:lineRule="exact"/>
                    <w:rPr>
                      <w:rFonts w:hint="eastAsia" w:cs="宋体"/>
                      <w:color w:val="auto"/>
                    </w:rPr>
                  </w:pPr>
                  <w:r>
                    <w:rPr>
                      <w:rFonts w:hint="eastAsia" w:cs="宋体"/>
                      <w:color w:val="auto"/>
                    </w:rPr>
                    <w:t>0</w:t>
                  </w:r>
                </w:p>
              </w:tc>
            </w:tr>
            <w:tr w14:paraId="32F3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25" w:type="dxa"/>
                  <w:vAlign w:val="center"/>
                </w:tcPr>
                <w:p w14:paraId="7E3201E6">
                  <w:pPr>
                    <w:pStyle w:val="162"/>
                    <w:spacing w:line="380" w:lineRule="exact"/>
                    <w:rPr>
                      <w:rFonts w:hint="eastAsia" w:cs="宋体"/>
                      <w:color w:val="auto"/>
                    </w:rPr>
                  </w:pPr>
                  <w:r>
                    <w:rPr>
                      <w:rFonts w:hint="eastAsia" w:cs="宋体"/>
                      <w:color w:val="auto"/>
                    </w:rPr>
                    <w:t>2</w:t>
                  </w:r>
                </w:p>
              </w:tc>
              <w:tc>
                <w:tcPr>
                  <w:tcW w:w="3345" w:type="dxa"/>
                  <w:vAlign w:val="center"/>
                </w:tcPr>
                <w:p w14:paraId="7E93253F">
                  <w:pPr>
                    <w:pStyle w:val="162"/>
                    <w:spacing w:line="380" w:lineRule="exact"/>
                    <w:rPr>
                      <w:rFonts w:hint="eastAsia" w:cs="宋体"/>
                      <w:color w:val="auto"/>
                    </w:rPr>
                  </w:pPr>
                  <w:r>
                    <w:rPr>
                      <w:rFonts w:hint="eastAsia" w:cs="宋体"/>
                      <w:color w:val="auto"/>
                    </w:rPr>
                    <w:t>90≤服务质量评价得分&lt;95</w:t>
                  </w:r>
                </w:p>
              </w:tc>
              <w:tc>
                <w:tcPr>
                  <w:tcW w:w="1549" w:type="dxa"/>
                  <w:vAlign w:val="center"/>
                </w:tcPr>
                <w:p w14:paraId="4A4CF890">
                  <w:pPr>
                    <w:pStyle w:val="162"/>
                    <w:spacing w:line="380" w:lineRule="exact"/>
                    <w:rPr>
                      <w:rFonts w:hint="eastAsia" w:cs="宋体"/>
                      <w:color w:val="auto"/>
                    </w:rPr>
                  </w:pPr>
                  <w:r>
                    <w:rPr>
                      <w:rFonts w:hint="eastAsia" w:cs="宋体"/>
                      <w:color w:val="auto"/>
                    </w:rPr>
                    <w:t>2%</w:t>
                  </w:r>
                </w:p>
              </w:tc>
              <w:tc>
                <w:tcPr>
                  <w:tcW w:w="2036" w:type="dxa"/>
                  <w:vAlign w:val="center"/>
                </w:tcPr>
                <w:p w14:paraId="7852338F">
                  <w:pPr>
                    <w:pStyle w:val="162"/>
                    <w:spacing w:line="380" w:lineRule="exact"/>
                    <w:rPr>
                      <w:rFonts w:hint="eastAsia" w:cs="宋体"/>
                      <w:color w:val="auto"/>
                    </w:rPr>
                  </w:pPr>
                  <w:r>
                    <w:rPr>
                      <w:rFonts w:hint="eastAsia" w:cs="宋体"/>
                      <w:color w:val="auto"/>
                    </w:rPr>
                    <w:t>2%×合同总价</w:t>
                  </w:r>
                </w:p>
              </w:tc>
            </w:tr>
            <w:tr w14:paraId="5636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25" w:type="dxa"/>
                  <w:vAlign w:val="center"/>
                </w:tcPr>
                <w:p w14:paraId="038A5844">
                  <w:pPr>
                    <w:pStyle w:val="162"/>
                    <w:spacing w:line="380" w:lineRule="exact"/>
                    <w:rPr>
                      <w:rFonts w:hint="eastAsia" w:cs="宋体"/>
                      <w:color w:val="auto"/>
                    </w:rPr>
                  </w:pPr>
                  <w:r>
                    <w:rPr>
                      <w:rFonts w:hint="eastAsia" w:cs="宋体"/>
                      <w:color w:val="auto"/>
                    </w:rPr>
                    <w:t>3</w:t>
                  </w:r>
                </w:p>
              </w:tc>
              <w:tc>
                <w:tcPr>
                  <w:tcW w:w="3345" w:type="dxa"/>
                  <w:vAlign w:val="center"/>
                </w:tcPr>
                <w:p w14:paraId="4BB580CB">
                  <w:pPr>
                    <w:pStyle w:val="162"/>
                    <w:spacing w:line="380" w:lineRule="exact"/>
                    <w:rPr>
                      <w:rFonts w:hint="eastAsia" w:cs="宋体"/>
                      <w:color w:val="auto"/>
                    </w:rPr>
                  </w:pPr>
                  <w:r>
                    <w:rPr>
                      <w:rFonts w:hint="eastAsia" w:cs="宋体"/>
                      <w:color w:val="auto"/>
                    </w:rPr>
                    <w:t>85≤服务质量评价得分&lt;90</w:t>
                  </w:r>
                </w:p>
              </w:tc>
              <w:tc>
                <w:tcPr>
                  <w:tcW w:w="1549" w:type="dxa"/>
                  <w:vAlign w:val="center"/>
                </w:tcPr>
                <w:p w14:paraId="5A277E1C">
                  <w:pPr>
                    <w:pStyle w:val="162"/>
                    <w:spacing w:line="380" w:lineRule="exact"/>
                    <w:rPr>
                      <w:rFonts w:hint="eastAsia" w:cs="宋体"/>
                      <w:color w:val="auto"/>
                    </w:rPr>
                  </w:pPr>
                  <w:r>
                    <w:rPr>
                      <w:rFonts w:hint="eastAsia" w:cs="宋体"/>
                      <w:color w:val="auto"/>
                    </w:rPr>
                    <w:t>5%</w:t>
                  </w:r>
                </w:p>
              </w:tc>
              <w:tc>
                <w:tcPr>
                  <w:tcW w:w="2036" w:type="dxa"/>
                  <w:vAlign w:val="center"/>
                </w:tcPr>
                <w:p w14:paraId="5F66B89F">
                  <w:pPr>
                    <w:pStyle w:val="162"/>
                    <w:spacing w:line="380" w:lineRule="exact"/>
                    <w:rPr>
                      <w:rFonts w:hint="eastAsia" w:cs="宋体"/>
                      <w:color w:val="auto"/>
                    </w:rPr>
                  </w:pPr>
                  <w:r>
                    <w:rPr>
                      <w:rFonts w:hint="eastAsia" w:cs="宋体"/>
                      <w:color w:val="auto"/>
                    </w:rPr>
                    <w:t>5%×合同总价</w:t>
                  </w:r>
                </w:p>
              </w:tc>
            </w:tr>
            <w:tr w14:paraId="40FA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25" w:type="dxa"/>
                  <w:vAlign w:val="center"/>
                </w:tcPr>
                <w:p w14:paraId="62ECE972">
                  <w:pPr>
                    <w:pStyle w:val="162"/>
                    <w:spacing w:line="380" w:lineRule="exact"/>
                    <w:rPr>
                      <w:rFonts w:hint="eastAsia" w:cs="宋体"/>
                      <w:color w:val="auto"/>
                    </w:rPr>
                  </w:pPr>
                  <w:r>
                    <w:rPr>
                      <w:rFonts w:hint="eastAsia" w:cs="宋体"/>
                      <w:color w:val="auto"/>
                    </w:rPr>
                    <w:t>4</w:t>
                  </w:r>
                </w:p>
              </w:tc>
              <w:tc>
                <w:tcPr>
                  <w:tcW w:w="3345" w:type="dxa"/>
                  <w:vAlign w:val="center"/>
                </w:tcPr>
                <w:p w14:paraId="627EA71E">
                  <w:pPr>
                    <w:pStyle w:val="162"/>
                    <w:spacing w:line="380" w:lineRule="exact"/>
                    <w:rPr>
                      <w:rFonts w:hint="eastAsia" w:cs="宋体"/>
                      <w:color w:val="auto"/>
                    </w:rPr>
                  </w:pPr>
                  <w:r>
                    <w:rPr>
                      <w:rFonts w:hint="eastAsia" w:cs="宋体"/>
                      <w:color w:val="auto"/>
                    </w:rPr>
                    <w:t>80≤服务质量评&lt;85</w:t>
                  </w:r>
                </w:p>
              </w:tc>
              <w:tc>
                <w:tcPr>
                  <w:tcW w:w="1549" w:type="dxa"/>
                  <w:vAlign w:val="center"/>
                </w:tcPr>
                <w:p w14:paraId="5EC384CA">
                  <w:pPr>
                    <w:pStyle w:val="162"/>
                    <w:spacing w:line="380" w:lineRule="exact"/>
                    <w:rPr>
                      <w:rFonts w:hint="eastAsia" w:cs="宋体"/>
                      <w:color w:val="auto"/>
                    </w:rPr>
                  </w:pPr>
                  <w:r>
                    <w:rPr>
                      <w:rFonts w:hint="eastAsia" w:cs="宋体"/>
                      <w:color w:val="auto"/>
                    </w:rPr>
                    <w:t>7%</w:t>
                  </w:r>
                </w:p>
              </w:tc>
              <w:tc>
                <w:tcPr>
                  <w:tcW w:w="2036" w:type="dxa"/>
                  <w:vAlign w:val="center"/>
                </w:tcPr>
                <w:p w14:paraId="739CA58C">
                  <w:pPr>
                    <w:pStyle w:val="162"/>
                    <w:spacing w:line="380" w:lineRule="exact"/>
                    <w:rPr>
                      <w:rFonts w:hint="eastAsia" w:cs="宋体"/>
                      <w:color w:val="auto"/>
                    </w:rPr>
                  </w:pPr>
                  <w:r>
                    <w:rPr>
                      <w:rFonts w:hint="eastAsia" w:cs="宋体"/>
                      <w:color w:val="auto"/>
                    </w:rPr>
                    <w:t>7%×合同总价</w:t>
                  </w:r>
                </w:p>
              </w:tc>
            </w:tr>
            <w:tr w14:paraId="5220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5" w:type="dxa"/>
                  <w:vAlign w:val="center"/>
                </w:tcPr>
                <w:p w14:paraId="25E2B17B">
                  <w:pPr>
                    <w:pStyle w:val="162"/>
                    <w:spacing w:line="380" w:lineRule="exact"/>
                    <w:rPr>
                      <w:rFonts w:hint="eastAsia" w:cs="宋体"/>
                      <w:color w:val="auto"/>
                    </w:rPr>
                  </w:pPr>
                  <w:r>
                    <w:rPr>
                      <w:rFonts w:hint="eastAsia" w:cs="宋体"/>
                      <w:color w:val="auto"/>
                    </w:rPr>
                    <w:t>5</w:t>
                  </w:r>
                </w:p>
              </w:tc>
              <w:tc>
                <w:tcPr>
                  <w:tcW w:w="3345" w:type="dxa"/>
                  <w:vAlign w:val="center"/>
                </w:tcPr>
                <w:p w14:paraId="25959893">
                  <w:pPr>
                    <w:pStyle w:val="162"/>
                    <w:spacing w:line="380" w:lineRule="exact"/>
                    <w:rPr>
                      <w:rFonts w:hint="eastAsia" w:cs="宋体"/>
                      <w:color w:val="auto"/>
                    </w:rPr>
                  </w:pPr>
                  <w:r>
                    <w:rPr>
                      <w:rFonts w:hint="eastAsia" w:cs="宋体"/>
                      <w:color w:val="auto"/>
                    </w:rPr>
                    <w:t>维护服务质量评价得分&lt;80</w:t>
                  </w:r>
                </w:p>
              </w:tc>
              <w:tc>
                <w:tcPr>
                  <w:tcW w:w="1549" w:type="dxa"/>
                  <w:vAlign w:val="center"/>
                </w:tcPr>
                <w:p w14:paraId="44726498">
                  <w:pPr>
                    <w:pStyle w:val="162"/>
                    <w:spacing w:line="380" w:lineRule="exact"/>
                    <w:rPr>
                      <w:rFonts w:hint="eastAsia" w:cs="宋体"/>
                      <w:color w:val="auto"/>
                    </w:rPr>
                  </w:pPr>
                  <w:r>
                    <w:rPr>
                      <w:rFonts w:hint="eastAsia" w:cs="宋体"/>
                      <w:color w:val="auto"/>
                    </w:rPr>
                    <w:t>20%</w:t>
                  </w:r>
                </w:p>
              </w:tc>
              <w:tc>
                <w:tcPr>
                  <w:tcW w:w="2036" w:type="dxa"/>
                  <w:vAlign w:val="center"/>
                </w:tcPr>
                <w:p w14:paraId="0D83E41F">
                  <w:pPr>
                    <w:pStyle w:val="162"/>
                    <w:spacing w:line="380" w:lineRule="exact"/>
                    <w:rPr>
                      <w:rFonts w:hint="eastAsia" w:cs="宋体"/>
                      <w:color w:val="auto"/>
                    </w:rPr>
                  </w:pPr>
                  <w:r>
                    <w:rPr>
                      <w:rFonts w:hint="eastAsia" w:cs="宋体"/>
                      <w:color w:val="auto"/>
                    </w:rPr>
                    <w:t>20%×合同总价</w:t>
                  </w:r>
                </w:p>
              </w:tc>
            </w:tr>
          </w:tbl>
          <w:p w14:paraId="1F43BA89">
            <w:pPr>
              <w:pStyle w:val="8"/>
              <w:spacing w:line="380" w:lineRule="exact"/>
              <w:ind w:firstLine="0"/>
              <w:rPr>
                <w:rFonts w:hint="eastAsia" w:ascii="宋体" w:hAnsi="宋体" w:cs="宋体"/>
                <w:szCs w:val="21"/>
              </w:rPr>
            </w:pPr>
          </w:p>
        </w:tc>
      </w:tr>
      <w:tr w14:paraId="351C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2" w:type="dxa"/>
            <w:gridSpan w:val="4"/>
            <w:tcBorders>
              <w:top w:val="single" w:color="auto" w:sz="4" w:space="0"/>
              <w:left w:val="single" w:color="auto" w:sz="4" w:space="0"/>
              <w:bottom w:val="single" w:color="auto" w:sz="4" w:space="0"/>
              <w:right w:val="single" w:color="auto" w:sz="4" w:space="0"/>
            </w:tcBorders>
            <w:vAlign w:val="center"/>
          </w:tcPr>
          <w:p w14:paraId="22A6A11F">
            <w:pPr>
              <w:spacing w:line="380" w:lineRule="exact"/>
              <w:rPr>
                <w:rFonts w:hint="eastAsia" w:ascii="宋体" w:hAnsi="宋体" w:cs="宋体"/>
                <w:szCs w:val="21"/>
              </w:rPr>
            </w:pPr>
            <w:r>
              <w:rPr>
                <w:rFonts w:hint="eastAsia" w:ascii="宋体" w:hAnsi="宋体" w:cs="宋体"/>
                <w:b/>
                <w:szCs w:val="21"/>
              </w:rPr>
              <w:t>商务要求表</w:t>
            </w:r>
          </w:p>
        </w:tc>
      </w:tr>
      <w:tr w14:paraId="2EDB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070912F5">
            <w:pPr>
              <w:tabs>
                <w:tab w:val="left" w:pos="180"/>
                <w:tab w:val="left" w:pos="1620"/>
              </w:tabs>
              <w:spacing w:line="380" w:lineRule="exact"/>
              <w:jc w:val="center"/>
              <w:rPr>
                <w:rFonts w:hint="eastAsia" w:ascii="宋体" w:hAnsi="宋体" w:cs="宋体"/>
                <w:szCs w:val="21"/>
              </w:rPr>
            </w:pPr>
            <w:r>
              <w:rPr>
                <w:rFonts w:hint="eastAsia" w:ascii="宋体" w:hAnsi="宋体" w:cs="宋体"/>
                <w:szCs w:val="21"/>
              </w:rPr>
              <w:t>交付使用时间</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1C4BC9A8">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合同签订之日起15个日历日内，提供合格的算力服务给采购人，并通过采购人组织验收确认。</w:t>
            </w:r>
          </w:p>
        </w:tc>
      </w:tr>
      <w:tr w14:paraId="3D47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279FD2E6">
            <w:pPr>
              <w:tabs>
                <w:tab w:val="left" w:pos="180"/>
                <w:tab w:val="left" w:pos="1620"/>
              </w:tabs>
              <w:spacing w:line="380" w:lineRule="exact"/>
              <w:jc w:val="center"/>
              <w:rPr>
                <w:rFonts w:hint="eastAsia" w:ascii="宋体" w:hAnsi="宋体" w:cs="宋体"/>
                <w:szCs w:val="21"/>
              </w:rPr>
            </w:pPr>
            <w:r>
              <w:rPr>
                <w:rFonts w:hint="eastAsia" w:ascii="宋体" w:hAnsi="宋体" w:cs="宋体"/>
                <w:szCs w:val="21"/>
              </w:rPr>
              <w:t>服务期限及地点</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7B4CD772">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1.</w:t>
            </w:r>
            <w:r>
              <w:rPr>
                <w:rFonts w:hint="eastAsia" w:ascii="宋体" w:hAnsi="宋体" w:cs="宋体"/>
                <w:kern w:val="0"/>
                <w:szCs w:val="21"/>
              </w:rPr>
              <w:t>服务期限：</w:t>
            </w:r>
            <w:r>
              <w:rPr>
                <w:rFonts w:hint="eastAsia" w:ascii="宋体" w:hAnsi="宋体" w:cs="宋体"/>
                <w:szCs w:val="21"/>
              </w:rPr>
              <w:t>提供合格的算力服务给采购人，并通过采购人组织验收确认后</w:t>
            </w:r>
            <w:r>
              <w:rPr>
                <w:rFonts w:hint="eastAsia" w:ascii="宋体" w:hAnsi="宋体" w:cs="宋体"/>
                <w:kern w:val="0"/>
                <w:szCs w:val="21"/>
              </w:rPr>
              <w:t>起算，</w:t>
            </w:r>
            <w:r>
              <w:rPr>
                <w:rFonts w:hint="eastAsia" w:ascii="宋体" w:hAnsi="宋体" w:cs="宋体"/>
                <w:szCs w:val="21"/>
              </w:rPr>
              <w:t>租赁期为36个月。</w:t>
            </w:r>
          </w:p>
          <w:p w14:paraId="6BCFAD83">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2.服务地点：广西南宁市（采购人指定地点）。</w:t>
            </w:r>
          </w:p>
        </w:tc>
      </w:tr>
      <w:tr w14:paraId="5F11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41334B97">
            <w:pPr>
              <w:widowControl/>
              <w:spacing w:line="380" w:lineRule="exact"/>
              <w:textAlignment w:val="center"/>
              <w:rPr>
                <w:rFonts w:hint="eastAsia" w:ascii="宋体" w:hAnsi="宋体" w:cs="宋体"/>
                <w:szCs w:val="21"/>
              </w:rPr>
            </w:pPr>
            <w:r>
              <w:rPr>
                <w:rFonts w:hint="eastAsia" w:ascii="宋体" w:hAnsi="宋体" w:cs="宋体"/>
                <w:kern w:val="0"/>
                <w:szCs w:val="21"/>
              </w:rPr>
              <w:t>合同签订时间</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42DAEAF3">
            <w:pPr>
              <w:widowControl/>
              <w:spacing w:line="380" w:lineRule="exact"/>
              <w:textAlignment w:val="center"/>
              <w:rPr>
                <w:rFonts w:hint="eastAsia" w:ascii="宋体" w:hAnsi="宋体" w:cs="宋体"/>
                <w:szCs w:val="21"/>
              </w:rPr>
            </w:pPr>
            <w:r>
              <w:rPr>
                <w:rFonts w:hint="eastAsia" w:ascii="宋体" w:hAnsi="宋体" w:cs="宋体"/>
                <w:kern w:val="0"/>
                <w:szCs w:val="21"/>
              </w:rPr>
              <w:t>中标通知书发出之日起25天内。</w:t>
            </w:r>
          </w:p>
        </w:tc>
      </w:tr>
      <w:tr w14:paraId="3F74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07179EB6">
            <w:pPr>
              <w:widowControl/>
              <w:spacing w:line="380" w:lineRule="exact"/>
              <w:jc w:val="center"/>
              <w:textAlignment w:val="center"/>
              <w:rPr>
                <w:rFonts w:hint="eastAsia" w:ascii="宋体" w:hAnsi="宋体" w:cs="宋体"/>
                <w:szCs w:val="21"/>
              </w:rPr>
            </w:pPr>
            <w:r>
              <w:rPr>
                <w:rFonts w:hint="eastAsia" w:ascii="宋体" w:hAnsi="宋体" w:cs="宋体"/>
                <w:kern w:val="0"/>
                <w:szCs w:val="21"/>
              </w:rPr>
              <w:t>投标报价</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0207B970">
            <w:pPr>
              <w:widowControl/>
              <w:spacing w:line="380" w:lineRule="exact"/>
              <w:jc w:val="left"/>
              <w:textAlignment w:val="center"/>
              <w:rPr>
                <w:rFonts w:hint="eastAsia" w:ascii="宋体" w:hAnsi="宋体" w:cs="宋体"/>
                <w:kern w:val="0"/>
                <w:szCs w:val="21"/>
              </w:rPr>
            </w:pPr>
            <w:r>
              <w:rPr>
                <w:rFonts w:hint="eastAsia" w:ascii="宋体" w:hAnsi="宋体" w:cs="宋体"/>
                <w:kern w:val="0"/>
                <w:szCs w:val="21"/>
              </w:rPr>
              <w:t>投标报价是完成本项目的全部服务内容及其相关工作所需的全部费用：应包含（但不限于）所有服务有关的费用、验收、技术资料归档、培训、项目人员的交通费、住宿费、伙食补助费等各种费用和售后服务、税金及其它费用的总和。</w:t>
            </w:r>
          </w:p>
          <w:p w14:paraId="19717B11">
            <w:pPr>
              <w:widowControl/>
              <w:spacing w:line="380" w:lineRule="exact"/>
              <w:jc w:val="left"/>
              <w:textAlignment w:val="center"/>
              <w:rPr>
                <w:rFonts w:hint="eastAsia" w:ascii="宋体" w:hAnsi="宋体" w:cs="宋体"/>
                <w:kern w:val="0"/>
                <w:szCs w:val="21"/>
              </w:rPr>
            </w:pPr>
            <w:r>
              <w:rPr>
                <w:rFonts w:hint="eastAsia" w:ascii="宋体" w:hAnsi="宋体" w:cs="宋体"/>
                <w:kern w:val="0"/>
                <w:szCs w:val="21"/>
              </w:rPr>
              <w:t>报价时需提供总报价及每小时租费价格。</w:t>
            </w:r>
          </w:p>
          <w:p w14:paraId="3DAE951D">
            <w:pPr>
              <w:widowControl/>
              <w:spacing w:line="380" w:lineRule="exact"/>
              <w:jc w:val="left"/>
              <w:textAlignment w:val="center"/>
              <w:rPr>
                <w:rFonts w:hint="eastAsia" w:ascii="宋体" w:hAnsi="宋体" w:cs="宋体"/>
                <w:szCs w:val="21"/>
              </w:rPr>
            </w:pPr>
            <w:r>
              <w:rPr>
                <w:rFonts w:hint="eastAsia" w:ascii="宋体" w:hAnsi="宋体" w:cs="宋体"/>
                <w:kern w:val="0"/>
                <w:szCs w:val="21"/>
              </w:rPr>
              <w:t>每小时租费价格=总报价/（</w:t>
            </w:r>
            <w:r>
              <w:rPr>
                <w:rFonts w:hint="eastAsia" w:ascii="宋体" w:hAnsi="宋体" w:cs="宋体"/>
                <w:kern w:val="0"/>
                <w:szCs w:val="21"/>
                <w:lang w:val="en-US" w:eastAsia="zh-CN"/>
              </w:rPr>
              <w:t>3</w:t>
            </w:r>
            <w:r>
              <w:rPr>
                <w:rFonts w:hint="eastAsia" w:ascii="宋体" w:hAnsi="宋体" w:cs="宋体"/>
                <w:kern w:val="0"/>
                <w:szCs w:val="21"/>
              </w:rPr>
              <w:t>(</w:t>
            </w:r>
            <w:r>
              <w:rPr>
                <w:rFonts w:hint="eastAsia" w:ascii="宋体" w:hAnsi="宋体" w:cs="宋体"/>
                <w:kern w:val="0"/>
                <w:szCs w:val="21"/>
                <w:lang w:val="en-US" w:eastAsia="zh-CN"/>
              </w:rPr>
              <w:t>年</w:t>
            </w:r>
            <w:r>
              <w:rPr>
                <w:rFonts w:hint="eastAsia" w:ascii="宋体" w:hAnsi="宋体" w:cs="宋体"/>
                <w:kern w:val="0"/>
                <w:szCs w:val="21"/>
              </w:rPr>
              <w:t>)*</w:t>
            </w:r>
            <w:r>
              <w:rPr>
                <w:rFonts w:hint="eastAsia" w:ascii="宋体" w:hAnsi="宋体" w:cs="宋体"/>
                <w:kern w:val="0"/>
                <w:szCs w:val="21"/>
                <w:lang w:val="en-US" w:eastAsia="zh-CN"/>
              </w:rPr>
              <w:t>365</w:t>
            </w:r>
            <w:r>
              <w:rPr>
                <w:rFonts w:hint="eastAsia" w:ascii="宋体" w:hAnsi="宋体" w:cs="宋体"/>
                <w:kern w:val="0"/>
                <w:szCs w:val="21"/>
              </w:rPr>
              <w:t>（天）*24（小时）</w:t>
            </w:r>
            <w:r>
              <w:rPr>
                <w:rFonts w:ascii="宋体" w:hAnsi="宋体" w:cs="宋体"/>
                <w:kern w:val="0"/>
                <w:szCs w:val="21"/>
              </w:rPr>
              <w:t>）</w:t>
            </w:r>
          </w:p>
        </w:tc>
      </w:tr>
      <w:tr w14:paraId="4F6E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5CE558B9">
            <w:pPr>
              <w:spacing w:line="380" w:lineRule="exact"/>
              <w:jc w:val="center"/>
              <w:rPr>
                <w:rFonts w:hint="eastAsia" w:ascii="宋体" w:hAnsi="宋体" w:cs="宋体"/>
                <w:szCs w:val="21"/>
              </w:rPr>
            </w:pPr>
            <w:r>
              <w:rPr>
                <w:rFonts w:hint="eastAsia" w:ascii="宋体" w:hAnsi="宋体" w:cs="宋体"/>
                <w:szCs w:val="21"/>
              </w:rPr>
              <w:t>付款条件</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2618369C">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1.提供合格的算力服务给采购人，并通过采购人组织验收确认，采购人支付15%合同款。</w:t>
            </w:r>
          </w:p>
          <w:p w14:paraId="3E70E3A0">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2.服务期满12个月后，采购人支付30%合同款。</w:t>
            </w:r>
          </w:p>
          <w:p w14:paraId="46CA00C0">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3.服务期满24个月后，采购人支付30%合同款。</w:t>
            </w:r>
          </w:p>
          <w:p w14:paraId="08A6AED2">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4.服务期满后并完成合同约定</w:t>
            </w:r>
            <w:r>
              <w:rPr>
                <w:rFonts w:hint="eastAsia" w:ascii="宋体" w:hAnsi="宋体" w:cs="宋体"/>
                <w:szCs w:val="21"/>
                <w:lang w:val="en-US" w:eastAsia="zh-CN"/>
              </w:rPr>
              <w:t>的</w:t>
            </w:r>
            <w:r>
              <w:rPr>
                <w:rFonts w:hint="eastAsia" w:ascii="宋体" w:hAnsi="宋体" w:cs="宋体"/>
                <w:szCs w:val="21"/>
              </w:rPr>
              <w:t>技术和售后工作以及最终验收工作后，支付剩余25%合同款。</w:t>
            </w:r>
          </w:p>
          <w:p w14:paraId="6E092D06">
            <w:pPr>
              <w:tabs>
                <w:tab w:val="left" w:pos="180"/>
                <w:tab w:val="left" w:pos="1620"/>
              </w:tabs>
              <w:spacing w:line="380" w:lineRule="exact"/>
              <w:jc w:val="left"/>
              <w:rPr>
                <w:rFonts w:hint="eastAsia" w:ascii="宋体" w:hAnsi="宋体" w:cs="宋体"/>
                <w:szCs w:val="21"/>
              </w:rPr>
            </w:pPr>
            <w:r>
              <w:rPr>
                <w:rFonts w:hint="eastAsia" w:ascii="宋体" w:hAnsi="宋体" w:cs="宋体"/>
                <w:szCs w:val="21"/>
              </w:rPr>
              <w:t>5.采购人付款前，中标人应向采购人提供与支付金额相符的有效发票，且收款方、出具发票方、合同乙方均必须与中标人名称一致。采购人在收到合法有效的发票后，10个工作日内将资金支付到合同约定的乙方账户</w:t>
            </w:r>
          </w:p>
        </w:tc>
      </w:tr>
      <w:tr w14:paraId="6732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35A99E40">
            <w:pPr>
              <w:spacing w:line="380" w:lineRule="exact"/>
              <w:jc w:val="center"/>
              <w:rPr>
                <w:rFonts w:hint="eastAsia" w:ascii="宋体" w:hAnsi="宋体" w:cs="宋体"/>
                <w:szCs w:val="21"/>
              </w:rPr>
            </w:pPr>
            <w:r>
              <w:rPr>
                <w:rFonts w:hint="eastAsia" w:ascii="宋体" w:hAnsi="宋体" w:cs="宋体"/>
                <w:szCs w:val="21"/>
              </w:rPr>
              <w:t>信息安全及保密要求</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79C81CCE">
            <w:pPr>
              <w:spacing w:line="380" w:lineRule="exact"/>
              <w:ind w:firstLine="561"/>
              <w:jc w:val="left"/>
              <w:rPr>
                <w:rFonts w:hint="eastAsia" w:ascii="宋体" w:hAnsi="宋体" w:cs="宋体"/>
                <w:szCs w:val="21"/>
              </w:rPr>
            </w:pPr>
            <w:r>
              <w:rPr>
                <w:rFonts w:hint="eastAsia" w:ascii="宋体" w:hAnsi="宋体" w:cs="宋体"/>
                <w:szCs w:val="21"/>
              </w:rPr>
              <w:t>（一）中标人须与采购人签订《合作单位保密协议书》，运维人员须提交《保密承诺书》（格式自拟），遵守采购人信息安全管理规定，对非权限范围内设备不允许操作。非权限范围内信息不允许访问。未经允许，不可随意在工作环境内拍照、录音、录像等。</w:t>
            </w:r>
          </w:p>
          <w:p w14:paraId="777ECA00">
            <w:pPr>
              <w:spacing w:line="380" w:lineRule="exact"/>
              <w:ind w:firstLine="561"/>
              <w:jc w:val="left"/>
              <w:rPr>
                <w:rFonts w:hint="eastAsia" w:ascii="宋体" w:hAnsi="宋体" w:cs="宋体"/>
                <w:szCs w:val="21"/>
              </w:rPr>
            </w:pPr>
            <w:r>
              <w:rPr>
                <w:rFonts w:hint="eastAsia" w:ascii="宋体" w:hAnsi="宋体" w:cs="宋体"/>
                <w:szCs w:val="21"/>
              </w:rPr>
              <w:t>（二）负责维护工作的中标人要保证对所有系统资料和数据负有保密的责任和义务，未经采购人许可，不允许向第三方透露。</w:t>
            </w:r>
          </w:p>
          <w:p w14:paraId="3D267FF1">
            <w:pPr>
              <w:spacing w:line="380" w:lineRule="exact"/>
              <w:ind w:firstLine="561"/>
              <w:jc w:val="left"/>
              <w:rPr>
                <w:rFonts w:hint="eastAsia" w:ascii="宋体" w:hAnsi="宋体" w:cs="宋体"/>
                <w:szCs w:val="21"/>
              </w:rPr>
            </w:pPr>
            <w:r>
              <w:rPr>
                <w:rFonts w:hint="eastAsia" w:ascii="宋体" w:hAnsi="宋体" w:cs="宋体"/>
                <w:szCs w:val="21"/>
              </w:rPr>
              <w:t>（三）投标人须随投标文件附上《廉洁承诺书》，做出不向建设单位工作人员行贿的承诺。未在投标文件中附上《廉洁承诺书》的，视为投标无效。</w:t>
            </w:r>
          </w:p>
          <w:p w14:paraId="7ED88127">
            <w:pPr>
              <w:spacing w:line="380" w:lineRule="exact"/>
              <w:ind w:firstLine="561"/>
              <w:jc w:val="left"/>
              <w:rPr>
                <w:rFonts w:hint="eastAsia" w:ascii="宋体" w:hAnsi="宋体" w:cs="宋体"/>
                <w:szCs w:val="21"/>
              </w:rPr>
            </w:pPr>
            <w:r>
              <w:rPr>
                <w:rFonts w:hint="eastAsia" w:ascii="宋体" w:hAnsi="宋体" w:cs="宋体"/>
                <w:szCs w:val="21"/>
              </w:rPr>
              <w:t>（四）中标人须严格履行采购人服务规范要求，包括但不限于以下规范：采购人各项内部规定。</w:t>
            </w:r>
          </w:p>
          <w:p w14:paraId="436FA9E3">
            <w:pPr>
              <w:spacing w:line="380" w:lineRule="exact"/>
              <w:ind w:firstLine="561"/>
              <w:jc w:val="left"/>
              <w:rPr>
                <w:rFonts w:hint="eastAsia" w:ascii="宋体" w:hAnsi="宋体" w:cs="宋体"/>
                <w:szCs w:val="21"/>
              </w:rPr>
            </w:pPr>
            <w:r>
              <w:rPr>
                <w:rFonts w:hint="eastAsia" w:ascii="宋体" w:hAnsi="宋体" w:cs="宋体"/>
                <w:szCs w:val="21"/>
              </w:rPr>
              <w:t>（五）中标人须无条件配合开展施工及维保人员岗前审查、保密教育、保密检查工作。必须对项目实施过程中获取的相关信息保密（相关信息包括但不限于本项目），如发生失泄密事件即终止合同。</w:t>
            </w:r>
          </w:p>
          <w:p w14:paraId="610BE070">
            <w:pPr>
              <w:spacing w:line="380" w:lineRule="exact"/>
              <w:ind w:firstLine="561"/>
              <w:jc w:val="left"/>
              <w:rPr>
                <w:rFonts w:hint="eastAsia" w:ascii="宋体" w:hAnsi="宋体" w:cs="宋体"/>
                <w:szCs w:val="21"/>
              </w:rPr>
            </w:pPr>
            <w:r>
              <w:rPr>
                <w:rFonts w:hint="eastAsia" w:ascii="宋体" w:hAnsi="宋体" w:cs="宋体"/>
                <w:szCs w:val="21"/>
              </w:rPr>
              <w:t>（六）合同签订后，项目建设单位负责人和中标供应商负责人应当签订《政府采购项目廉政责任承诺书》。</w:t>
            </w:r>
          </w:p>
          <w:p w14:paraId="232F30AC">
            <w:pPr>
              <w:spacing w:line="380" w:lineRule="exact"/>
              <w:ind w:firstLine="561"/>
              <w:jc w:val="left"/>
              <w:rPr>
                <w:rFonts w:hint="eastAsia" w:ascii="宋体" w:hAnsi="宋体" w:cs="宋体"/>
                <w:szCs w:val="21"/>
              </w:rPr>
            </w:pPr>
            <w:r>
              <w:rPr>
                <w:rFonts w:hint="eastAsia" w:ascii="宋体" w:hAnsi="宋体" w:cs="宋体"/>
                <w:szCs w:val="21"/>
              </w:rPr>
              <w:t>（七）其他要求</w:t>
            </w:r>
          </w:p>
          <w:p w14:paraId="199D5295">
            <w:pPr>
              <w:spacing w:line="380" w:lineRule="exact"/>
              <w:ind w:firstLine="561"/>
              <w:jc w:val="left"/>
              <w:rPr>
                <w:rFonts w:hint="eastAsia" w:ascii="宋体" w:hAnsi="宋体" w:cs="宋体"/>
                <w:szCs w:val="21"/>
              </w:rPr>
            </w:pPr>
            <w:r>
              <w:rPr>
                <w:rFonts w:hint="eastAsia" w:ascii="宋体" w:hAnsi="宋体" w:cs="宋体"/>
                <w:szCs w:val="21"/>
              </w:rPr>
              <w:t>（1）中标人应针对本项目设置安全负责人岗位，全面负责和管理本项目的网络安全相关工作。</w:t>
            </w:r>
          </w:p>
          <w:p w14:paraId="14A25405">
            <w:pPr>
              <w:spacing w:line="380" w:lineRule="exact"/>
              <w:ind w:firstLine="561"/>
              <w:jc w:val="left"/>
              <w:rPr>
                <w:rFonts w:hint="eastAsia" w:ascii="宋体" w:hAnsi="宋体" w:cs="宋体"/>
                <w:szCs w:val="21"/>
              </w:rPr>
            </w:pPr>
            <w:r>
              <w:rPr>
                <w:rFonts w:hint="eastAsia" w:ascii="宋体" w:hAnsi="宋体" w:cs="宋体"/>
                <w:szCs w:val="21"/>
              </w:rPr>
              <w:t>（2）中标人应根据采购人数据分类分级情况，采取相应的加密、备份、访问控制及安全审计等措施。</w:t>
            </w:r>
          </w:p>
          <w:p w14:paraId="4D27B5D9">
            <w:pPr>
              <w:spacing w:line="380" w:lineRule="exact"/>
              <w:ind w:firstLine="561"/>
              <w:jc w:val="left"/>
              <w:rPr>
                <w:rFonts w:hint="eastAsia" w:ascii="宋体" w:hAnsi="宋体" w:cs="宋体"/>
                <w:szCs w:val="21"/>
              </w:rPr>
            </w:pPr>
            <w:r>
              <w:rPr>
                <w:rFonts w:hint="eastAsia" w:ascii="宋体" w:hAnsi="宋体" w:cs="宋体"/>
                <w:szCs w:val="21"/>
              </w:rPr>
              <w:t>（3）中标人应与采购人签订数据处理运维安全责任协议。</w:t>
            </w:r>
          </w:p>
          <w:p w14:paraId="063447A4">
            <w:pPr>
              <w:spacing w:line="380" w:lineRule="exact"/>
              <w:ind w:firstLine="561"/>
              <w:jc w:val="left"/>
              <w:rPr>
                <w:rFonts w:hint="eastAsia" w:ascii="宋体" w:hAnsi="宋体" w:cs="宋体"/>
                <w:szCs w:val="21"/>
              </w:rPr>
            </w:pPr>
            <w:r>
              <w:rPr>
                <w:rFonts w:hint="eastAsia" w:ascii="宋体" w:hAnsi="宋体" w:cs="宋体"/>
                <w:szCs w:val="21"/>
              </w:rPr>
              <w:t>（4）中标人应按照《中华人民共和国网络安全法》《中华人民共和国数据安全法》《中华人民共和国个人信息保护法》《中华人民共和国密码法》《网络数据安全管理条例》《关键信息基础设施安全保护条例》《商用密码管理条例》等法律法规及规章制度的要求，履行网络和数据安全保护义务。</w:t>
            </w:r>
          </w:p>
        </w:tc>
      </w:tr>
      <w:tr w14:paraId="5992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343298EF">
            <w:pPr>
              <w:spacing w:line="380" w:lineRule="exact"/>
              <w:jc w:val="center"/>
              <w:rPr>
                <w:rFonts w:hint="eastAsia" w:ascii="宋体" w:hAnsi="宋体" w:cs="宋体"/>
                <w:szCs w:val="21"/>
              </w:rPr>
            </w:pPr>
            <w:r>
              <w:rPr>
                <w:rFonts w:hint="eastAsia" w:ascii="宋体" w:hAnsi="宋体" w:cs="宋体"/>
                <w:szCs w:val="21"/>
              </w:rPr>
              <w:t>验收标准要求</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598CB971">
            <w:pPr>
              <w:spacing w:line="380" w:lineRule="exact"/>
              <w:ind w:firstLine="561"/>
              <w:rPr>
                <w:rFonts w:hint="eastAsia" w:ascii="宋体" w:hAnsi="宋体" w:cs="宋体"/>
                <w:szCs w:val="21"/>
              </w:rPr>
            </w:pPr>
            <w:r>
              <w:rPr>
                <w:rFonts w:hint="eastAsia" w:ascii="宋体" w:hAnsi="宋体" w:cs="宋体"/>
                <w:szCs w:val="21"/>
              </w:rPr>
              <w:t>1.验收过程必须严格按照自治区数据局及自治区公安厅信息化项目管理办法验收标准进行，由采购人组织验收。</w:t>
            </w:r>
          </w:p>
          <w:p w14:paraId="574B15C9">
            <w:pPr>
              <w:spacing w:line="380" w:lineRule="exact"/>
              <w:ind w:firstLine="561"/>
              <w:rPr>
                <w:rFonts w:hint="eastAsia" w:ascii="宋体" w:hAnsi="宋体" w:cs="宋体"/>
                <w:szCs w:val="21"/>
              </w:rPr>
            </w:pPr>
            <w:r>
              <w:rPr>
                <w:rFonts w:hint="eastAsia" w:ascii="宋体" w:hAnsi="宋体" w:cs="宋体"/>
                <w:szCs w:val="21"/>
              </w:rPr>
              <w:t>2.验收依据：按照政府采购项目履约验收管理办法及广西壮族自治区公安厅信息化项目管理办法、双方合同、投标文件验收。</w:t>
            </w:r>
          </w:p>
        </w:tc>
      </w:tr>
      <w:tr w14:paraId="36E5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172E3EFD">
            <w:pPr>
              <w:spacing w:line="380" w:lineRule="exact"/>
              <w:jc w:val="center"/>
              <w:rPr>
                <w:rFonts w:hint="eastAsia" w:ascii="宋体" w:hAnsi="宋体" w:cs="宋体"/>
                <w:szCs w:val="21"/>
              </w:rPr>
            </w:pPr>
            <w:r>
              <w:rPr>
                <w:rFonts w:hint="eastAsia" w:ascii="宋体" w:hAnsi="宋体" w:cs="宋体"/>
                <w:szCs w:val="21"/>
              </w:rPr>
              <w:t>服务质量保障要求</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7D600407">
            <w:pPr>
              <w:spacing w:line="380" w:lineRule="exact"/>
              <w:ind w:firstLine="561"/>
              <w:rPr>
                <w:rFonts w:hint="eastAsia" w:ascii="宋体" w:hAnsi="宋体" w:cs="宋体"/>
                <w:szCs w:val="21"/>
              </w:rPr>
            </w:pPr>
            <w:r>
              <w:rPr>
                <w:rFonts w:hint="eastAsia" w:ascii="宋体" w:hAnsi="宋体" w:cs="宋体"/>
                <w:szCs w:val="21"/>
              </w:rPr>
              <w:t>1.项目监理要求：</w:t>
            </w:r>
          </w:p>
          <w:p w14:paraId="18BF3C94">
            <w:pPr>
              <w:spacing w:line="380" w:lineRule="exact"/>
              <w:ind w:firstLine="561"/>
              <w:rPr>
                <w:rFonts w:hint="eastAsia" w:ascii="宋体" w:hAnsi="宋体" w:cs="宋体"/>
                <w:szCs w:val="21"/>
              </w:rPr>
            </w:pPr>
            <w:r>
              <w:rPr>
                <w:rFonts w:hint="eastAsia" w:ascii="宋体" w:hAnsi="宋体" w:cs="宋体"/>
                <w:szCs w:val="21"/>
              </w:rPr>
              <w:t>中标人须接受采购人指定的第三方监理单位的监督管理；中标人须在合同签订后10个工作日内，根据服务内容、文档交付、备品备件清单等招标要求以及采购人对文档的格式要求拟定合同履约清单并提交监理单位审核通过。</w:t>
            </w:r>
          </w:p>
          <w:p w14:paraId="2136A937">
            <w:pPr>
              <w:spacing w:line="380" w:lineRule="exact"/>
              <w:ind w:firstLine="561"/>
              <w:rPr>
                <w:rFonts w:hint="eastAsia" w:ascii="宋体" w:hAnsi="宋体" w:cs="宋体"/>
                <w:szCs w:val="21"/>
              </w:rPr>
            </w:pPr>
            <w:r>
              <w:rPr>
                <w:rFonts w:hint="eastAsia" w:ascii="宋体" w:hAnsi="宋体" w:cs="宋体"/>
                <w:szCs w:val="21"/>
              </w:rPr>
              <w:t>2.中标人责任要求</w:t>
            </w:r>
          </w:p>
          <w:p w14:paraId="2F6223CE">
            <w:pPr>
              <w:spacing w:line="380" w:lineRule="exact"/>
              <w:ind w:firstLine="561"/>
              <w:rPr>
                <w:rFonts w:hint="eastAsia" w:ascii="宋体" w:hAnsi="宋体" w:cs="宋体"/>
                <w:szCs w:val="21"/>
              </w:rPr>
            </w:pPr>
            <w:r>
              <w:rPr>
                <w:rFonts w:hint="eastAsia" w:ascii="宋体" w:hAnsi="宋体" w:cs="宋体"/>
                <w:szCs w:val="21"/>
              </w:rPr>
              <w:t xml:space="preserve">在服务期内，若由于中标单位自身技术不足或违规操作等原因造成的数据丢失、设备损坏等，须承担相应的责任。 </w:t>
            </w:r>
          </w:p>
          <w:p w14:paraId="3D57F82A">
            <w:pPr>
              <w:spacing w:line="380" w:lineRule="exact"/>
              <w:ind w:firstLine="561"/>
              <w:rPr>
                <w:rFonts w:hint="eastAsia" w:ascii="宋体" w:hAnsi="宋体" w:cs="宋体"/>
                <w:szCs w:val="21"/>
              </w:rPr>
            </w:pPr>
            <w:r>
              <w:rPr>
                <w:rFonts w:hint="eastAsia" w:ascii="宋体" w:hAnsi="宋体" w:cs="宋体"/>
                <w:szCs w:val="21"/>
              </w:rPr>
              <w:t>处罚条款：断电：在同一个月内，造成单台设备或单个机柜设备断电中断超过2次或单次中断时间超过4小时，减免租赁机房当月对应服务费的10%；中断超过3次或累计中断时间超过8小时，减免租赁机房当月对应服务费的20%；中断超过4次或累计中断时间超过12小时，减免该租赁机房当月对应服务费的30%；中断超过5次或累计中断时间超过24小时，减免租赁机房当月对应服务费。（地震、山洪等不可抗力因素除外。）</w:t>
            </w:r>
          </w:p>
          <w:p w14:paraId="769DDAD8">
            <w:pPr>
              <w:spacing w:line="380" w:lineRule="exact"/>
              <w:rPr>
                <w:rFonts w:hint="eastAsia" w:ascii="宋体" w:hAnsi="宋体" w:cs="宋体"/>
                <w:szCs w:val="21"/>
              </w:rPr>
            </w:pPr>
            <w:r>
              <w:rPr>
                <w:rFonts w:hint="eastAsia" w:ascii="宋体" w:hAnsi="宋体" w:cs="宋体"/>
                <w:szCs w:val="21"/>
              </w:rPr>
              <w:t xml:space="preserve">    3.违约责任：</w:t>
            </w:r>
          </w:p>
          <w:p w14:paraId="47D0B00D">
            <w:pPr>
              <w:spacing w:line="380" w:lineRule="exact"/>
              <w:ind w:firstLine="420" w:firstLineChars="200"/>
              <w:rPr>
                <w:rFonts w:hint="eastAsia" w:ascii="宋体" w:hAnsi="宋体" w:cs="宋体"/>
                <w:szCs w:val="21"/>
              </w:rPr>
            </w:pPr>
            <w:r>
              <w:rPr>
                <w:rFonts w:hint="eastAsia" w:ascii="宋体" w:hAnsi="宋体" w:cs="宋体"/>
                <w:szCs w:val="21"/>
              </w:rPr>
              <w:t>（1）中标人未按合同约定的期限提交相应货物及与其相关的服务成果，每逾期一日扣除合同总金额的0.5%作为延迟罚款，最高不超过合同总金额的10%；逾期超过30日或者经整改后再次提交的服务成果不符合采购人要求的，采购人有权解除合同并没收其履约保证金且不再支付任何费用；中标人应当于解除合同后15日内全额退还采购人已支付的费用（逾期退还的，按资金占用期间同期银行贷款利息的两倍支付利息），并且中标人应向采购人支付相当于合同金额30%的违约金，违约金不足以赔偿采购人损失的，中标人还须赔偿采购人全部损失。</w:t>
            </w:r>
          </w:p>
          <w:p w14:paraId="65F2AEE2">
            <w:pPr>
              <w:spacing w:line="380" w:lineRule="exact"/>
              <w:ind w:firstLine="561"/>
              <w:rPr>
                <w:rFonts w:hint="eastAsia" w:ascii="宋体" w:hAnsi="宋体" w:cs="宋体"/>
                <w:szCs w:val="21"/>
              </w:rPr>
            </w:pPr>
            <w:r>
              <w:rPr>
                <w:rFonts w:hint="eastAsia" w:ascii="宋体" w:hAnsi="宋体" w:cs="宋体"/>
                <w:szCs w:val="21"/>
              </w:rPr>
              <w:t>（2）中标人所提供的服务成果、数量、技术参数要求等不符合本项目要求的，应及时整改；中标人在采购人规定期限内不能完成整改的或无正当理由拒绝整改或经整改后仍不能达到采购人要求的，采购人有权终止合同，违约责任按照本条第1款执行。</w:t>
            </w:r>
          </w:p>
          <w:p w14:paraId="0B2F3311">
            <w:pPr>
              <w:spacing w:line="380" w:lineRule="exact"/>
              <w:ind w:firstLine="561"/>
              <w:rPr>
                <w:rFonts w:hint="eastAsia" w:ascii="宋体" w:hAnsi="宋体" w:cs="宋体"/>
                <w:szCs w:val="21"/>
              </w:rPr>
            </w:pPr>
            <w:r>
              <w:rPr>
                <w:rFonts w:hint="eastAsia" w:ascii="宋体" w:hAnsi="宋体" w:cs="宋体"/>
                <w:szCs w:val="21"/>
              </w:rPr>
              <w:t>（3）中标人中标后被发现其在投标活动中提供任何虚假材料的，采购人有权解除合同，并按照本条第1款追究中标人违约责任。</w:t>
            </w:r>
          </w:p>
          <w:p w14:paraId="0CBD44BA">
            <w:pPr>
              <w:spacing w:line="380" w:lineRule="exact"/>
              <w:ind w:firstLine="561"/>
              <w:rPr>
                <w:rFonts w:hint="eastAsia" w:ascii="宋体" w:hAnsi="宋体" w:cs="宋体"/>
                <w:szCs w:val="21"/>
              </w:rPr>
            </w:pPr>
            <w:r>
              <w:rPr>
                <w:rFonts w:hint="eastAsia" w:ascii="宋体" w:hAnsi="宋体" w:cs="宋体"/>
                <w:szCs w:val="21"/>
              </w:rPr>
              <w:t>（4）采购人有权依据招标文件、投标文件对中标人的服务人员进行管理或要求更换，对于采购人要求更换服务人员的，中标人应无条件及时更换；中标人拒绝更换的，采购人有权终止合同，追回已付款项，并按本合同金额的10%计算违约金。</w:t>
            </w:r>
          </w:p>
          <w:p w14:paraId="3D78A688">
            <w:pPr>
              <w:spacing w:line="380" w:lineRule="exact"/>
              <w:ind w:firstLine="561"/>
              <w:rPr>
                <w:rFonts w:hint="eastAsia" w:ascii="宋体" w:hAnsi="宋体" w:cs="宋体"/>
                <w:szCs w:val="21"/>
              </w:rPr>
            </w:pPr>
            <w:r>
              <w:rPr>
                <w:rFonts w:hint="eastAsia" w:ascii="宋体" w:hAnsi="宋体" w:cs="宋体"/>
                <w:szCs w:val="21"/>
              </w:rPr>
              <w:t>（5）除因采购人自身原因外，若因中标人操作造成采购人系统数据丢失、泄密的，中标人应按合同金额的30%支付违约金，违约金不足以弥补采购人损失的，中标人还应支付赔偿金。</w:t>
            </w:r>
          </w:p>
          <w:p w14:paraId="7709360B">
            <w:pPr>
              <w:spacing w:line="380" w:lineRule="exact"/>
              <w:ind w:firstLine="561"/>
              <w:rPr>
                <w:rFonts w:hint="eastAsia" w:ascii="宋体" w:hAnsi="宋体" w:cs="宋体"/>
                <w:szCs w:val="21"/>
              </w:rPr>
            </w:pPr>
            <w:r>
              <w:rPr>
                <w:rFonts w:hint="eastAsia" w:ascii="宋体" w:hAnsi="宋体" w:cs="宋体"/>
                <w:szCs w:val="21"/>
              </w:rPr>
              <w:t>（6）中标人未按本合同和投标文件中规定的服务承诺提供售后服务的，每出现一次，中标人应按合同金额5%支付违约金；若中标人明确拒绝或怠于提供售后服务的，采购人有权聘请第三方机构提供售后服务，因此产生的费用均由中标人承担。</w:t>
            </w:r>
          </w:p>
          <w:p w14:paraId="522343CF">
            <w:pPr>
              <w:spacing w:line="380" w:lineRule="exact"/>
              <w:ind w:firstLine="561"/>
              <w:rPr>
                <w:rFonts w:hint="eastAsia" w:ascii="宋体" w:hAnsi="宋体" w:cs="宋体"/>
                <w:szCs w:val="21"/>
              </w:rPr>
            </w:pPr>
            <w:r>
              <w:rPr>
                <w:rFonts w:hint="eastAsia" w:ascii="宋体" w:hAnsi="宋体" w:cs="宋体"/>
                <w:szCs w:val="21"/>
              </w:rPr>
              <w:t>（7）如中标人违反合同约定及采购人要求的信息安全及保密要求，每违反一次收取合同金额2%的违约金，累计不超过合同金额的30%，违约金不足以弥补采购人实际损失的，还应支付赔偿金；情节严重的移交相关部门处理。</w:t>
            </w:r>
          </w:p>
          <w:p w14:paraId="32CB066F">
            <w:pPr>
              <w:spacing w:line="380" w:lineRule="exact"/>
              <w:ind w:firstLine="561"/>
              <w:rPr>
                <w:rFonts w:hint="eastAsia" w:ascii="宋体" w:hAnsi="宋体" w:cs="宋体"/>
                <w:szCs w:val="21"/>
              </w:rPr>
            </w:pPr>
            <w:r>
              <w:rPr>
                <w:rFonts w:hint="eastAsia" w:ascii="宋体" w:hAnsi="宋体" w:cs="宋体"/>
                <w:szCs w:val="21"/>
              </w:rPr>
              <w:t>（8）本项目所指的损失是指采购人因中标人违约而遭受的全部经济损失（包括但不限于直接损失、间接损失及实现债权的费用，如诉讼费、保全费、财产保全责任险保险费、调查取证费、鉴定费、律师费、差旅费等）。</w:t>
            </w:r>
          </w:p>
          <w:p w14:paraId="5C61AC64">
            <w:pPr>
              <w:spacing w:line="380" w:lineRule="exact"/>
              <w:ind w:firstLine="561"/>
              <w:rPr>
                <w:rFonts w:hint="eastAsia" w:ascii="宋体" w:hAnsi="宋体" w:cs="宋体"/>
                <w:szCs w:val="21"/>
              </w:rPr>
            </w:pPr>
            <w:r>
              <w:rPr>
                <w:rFonts w:hint="eastAsia" w:ascii="宋体" w:hAnsi="宋体" w:cs="宋体"/>
                <w:szCs w:val="21"/>
              </w:rPr>
              <w:t>（9）采购人有权从未付价款、履约保证金中先行扣除中标人应支付的违约金、赔偿金，不足另补。</w:t>
            </w:r>
          </w:p>
          <w:p w14:paraId="21286DDD">
            <w:pPr>
              <w:spacing w:line="380" w:lineRule="exact"/>
              <w:ind w:firstLine="561"/>
              <w:rPr>
                <w:rFonts w:hint="eastAsia" w:ascii="宋体" w:hAnsi="宋体" w:cs="宋体"/>
                <w:szCs w:val="21"/>
              </w:rPr>
            </w:pPr>
            <w:bookmarkStart w:id="41" w:name="OLE_LINK4"/>
            <w:r>
              <w:rPr>
                <w:rFonts w:hint="eastAsia" w:ascii="宋体" w:hAnsi="宋体" w:cs="宋体"/>
                <w:szCs w:val="21"/>
              </w:rPr>
              <w:t>（10）</w:t>
            </w:r>
            <w:bookmarkEnd w:id="41"/>
            <w:r>
              <w:rPr>
                <w:rFonts w:hint="eastAsia" w:ascii="宋体" w:hAnsi="宋体" w:cs="宋体"/>
                <w:szCs w:val="21"/>
              </w:rPr>
              <w:t>中标人提供的成果如侵犯了第三方合法权益而引发的任何纠纷或诉讼，均由中标人负责交涉并承担全部责任，由此造成采购人损失的，包括但不限于应诉的律师费和诉讼费等，均由中标人全部赔偿。</w:t>
            </w:r>
          </w:p>
          <w:p w14:paraId="61A80C22">
            <w:pPr>
              <w:spacing w:line="380" w:lineRule="exact"/>
              <w:ind w:firstLine="561"/>
              <w:rPr>
                <w:rFonts w:hint="eastAsia" w:ascii="宋体" w:hAnsi="宋体" w:cs="宋体"/>
                <w:szCs w:val="21"/>
              </w:rPr>
            </w:pPr>
            <w:r>
              <w:rPr>
                <w:rFonts w:hint="eastAsia" w:ascii="宋体" w:hAnsi="宋体" w:cs="宋体"/>
                <w:szCs w:val="21"/>
              </w:rPr>
              <w:t>（11）由于采购人的原因造成合同不能如期履行的，双方可根据具体情况顺延合同的履行期，对中标人因此遭受的实际损失，采购人应予以合理补偿。</w:t>
            </w:r>
          </w:p>
        </w:tc>
      </w:tr>
      <w:tr w14:paraId="72A7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2492CBFA">
            <w:pPr>
              <w:spacing w:line="380" w:lineRule="exact"/>
              <w:jc w:val="center"/>
              <w:rPr>
                <w:rFonts w:hint="eastAsia" w:ascii="宋体" w:hAnsi="宋体" w:cs="宋体"/>
                <w:szCs w:val="21"/>
              </w:rPr>
            </w:pPr>
            <w:r>
              <w:rPr>
                <w:rFonts w:hint="eastAsia" w:ascii="宋体" w:hAnsi="宋体" w:cs="宋体"/>
                <w:szCs w:val="21"/>
              </w:rPr>
              <w:t>其他要求</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39FFCB48">
            <w:pPr>
              <w:spacing w:line="380" w:lineRule="exact"/>
              <w:ind w:firstLine="420" w:firstLineChars="200"/>
              <w:jc w:val="left"/>
              <w:rPr>
                <w:rFonts w:hint="eastAsia" w:ascii="宋体" w:hAnsi="宋体" w:cs="宋体"/>
                <w:szCs w:val="21"/>
              </w:rPr>
            </w:pPr>
            <w:r>
              <w:rPr>
                <w:rFonts w:hint="eastAsia" w:ascii="宋体" w:hAnsi="宋体" w:cs="宋体"/>
                <w:szCs w:val="21"/>
              </w:rPr>
              <w:t>1.投标人可根据自身情况编写服务及售后方案，内容可以包括但不限于：对项目的理解、实施方案、进度保证措施、服务承诺及后续服务安排、人员配备方案等。</w:t>
            </w:r>
          </w:p>
          <w:p w14:paraId="6600AB74">
            <w:pPr>
              <w:spacing w:line="380" w:lineRule="exact"/>
              <w:ind w:firstLine="420" w:firstLineChars="200"/>
              <w:rPr>
                <w:rFonts w:hint="eastAsia" w:ascii="宋体" w:hAnsi="宋体" w:cs="宋体"/>
                <w:szCs w:val="21"/>
              </w:rPr>
            </w:pPr>
            <w:r>
              <w:rPr>
                <w:rFonts w:hint="eastAsia" w:ascii="宋体" w:hAnsi="宋体" w:cs="宋体"/>
                <w:szCs w:val="21"/>
              </w:rPr>
              <w:t>2.投标人在投标文件中，需要提供满足本项目资源租赁需求对应提供的软硬件配置清单（包含软硬件名称、配置、数量及品牌型号），并加盖公章。</w:t>
            </w:r>
          </w:p>
          <w:p w14:paraId="27BB52B8">
            <w:pPr>
              <w:spacing w:line="380" w:lineRule="exact"/>
              <w:ind w:firstLine="420" w:firstLineChars="200"/>
              <w:rPr>
                <w:rFonts w:ascii="宋体" w:hAnsi="宋体" w:cs="宋体"/>
                <w:szCs w:val="21"/>
              </w:rPr>
            </w:pPr>
            <w:r>
              <w:rPr>
                <w:rFonts w:hint="eastAsia" w:ascii="宋体" w:hAnsi="宋体" w:cs="宋体"/>
                <w:szCs w:val="21"/>
              </w:rPr>
              <w:t>3.投标人承诺在本项目中租赁给采购人的算力资源（包括AI算力服务器、网络交换机、AI推理服务存储)均为全新未使用过的设备资源（所投设备整机生产日期和到货日期不超过6个月，并提供承诺函，格式自拟</w:t>
            </w:r>
            <w:r>
              <w:rPr>
                <w:rFonts w:ascii="宋体" w:hAnsi="宋体" w:cs="宋体"/>
                <w:szCs w:val="21"/>
              </w:rPr>
              <w:t>）</w:t>
            </w:r>
            <w:r>
              <w:rPr>
                <w:rFonts w:hint="eastAsia" w:ascii="宋体" w:hAnsi="宋体" w:cs="宋体"/>
                <w:szCs w:val="21"/>
              </w:rPr>
              <w:t>，在本项目要求的服务期内，该部分资源仅用于为自治区公安厅提供租赁服务。服务期满后，存储硬盘需要留存给采购人。</w:t>
            </w:r>
          </w:p>
          <w:p w14:paraId="50A0BAA9">
            <w:pPr>
              <w:spacing w:line="380" w:lineRule="exact"/>
              <w:ind w:firstLine="420" w:firstLineChars="200"/>
              <w:rPr>
                <w:rFonts w:ascii="宋体" w:hAnsi="宋体" w:cs="宋体"/>
                <w:szCs w:val="21"/>
              </w:rPr>
            </w:pPr>
            <w:r>
              <w:rPr>
                <w:rFonts w:hint="eastAsia" w:ascii="宋体" w:hAnsi="宋体" w:cs="宋体"/>
                <w:szCs w:val="21"/>
              </w:rPr>
              <w:t>4.中标供应商须在正式服务期12个月内，配合采购方通过三级等保、商用密码应用安全性评估。</w:t>
            </w:r>
          </w:p>
          <w:p w14:paraId="52B9635A">
            <w:pPr>
              <w:spacing w:line="380" w:lineRule="exact"/>
              <w:ind w:firstLine="420" w:firstLineChars="200"/>
              <w:rPr>
                <w:rFonts w:hint="eastAsia" w:ascii="宋体" w:hAnsi="宋体" w:cs="宋体"/>
                <w:szCs w:val="21"/>
              </w:rPr>
            </w:pPr>
            <w:r>
              <w:rPr>
                <w:rFonts w:hint="eastAsia" w:ascii="宋体" w:hAnsi="宋体" w:cs="宋体"/>
                <w:szCs w:val="21"/>
              </w:rPr>
              <w:t>5.若供应商在服务期内出现服务费用扣减、未按合同约定提供算力服务等行为，经采购人认定并下达《处罚通知书》后，处罚执行期间（包括但不限于整改期、服务暂停期等）不计入有效租赁服务时间。</w:t>
            </w:r>
          </w:p>
          <w:p w14:paraId="3C7AEFE1">
            <w:pPr>
              <w:spacing w:line="380" w:lineRule="exact"/>
              <w:ind w:firstLine="420" w:firstLineChars="200"/>
              <w:rPr>
                <w:rFonts w:hint="eastAsia" w:ascii="宋体" w:hAnsi="宋体" w:cs="宋体"/>
                <w:szCs w:val="21"/>
              </w:rPr>
            </w:pPr>
            <w:r>
              <w:rPr>
                <w:rFonts w:hint="eastAsia" w:ascii="宋体" w:hAnsi="宋体" w:cs="宋体"/>
                <w:szCs w:val="21"/>
              </w:rPr>
              <w:t>处罚时间的具体时长以《处罚通知书》明确的期限为准，若涉及持续性违约需延长处罚的，双方需另行签署补充协议确认。</w:t>
            </w:r>
          </w:p>
          <w:p w14:paraId="1E876130">
            <w:pPr>
              <w:spacing w:line="380" w:lineRule="exact"/>
              <w:ind w:firstLine="420" w:firstLineChars="200"/>
              <w:rPr>
                <w:rFonts w:hint="eastAsia" w:ascii="宋体" w:hAnsi="宋体" w:cs="宋体"/>
                <w:szCs w:val="21"/>
              </w:rPr>
            </w:pPr>
            <w:r>
              <w:rPr>
                <w:rFonts w:hint="eastAsia" w:ascii="宋体" w:hAnsi="宋体" w:cs="宋体"/>
                <w:szCs w:val="21"/>
              </w:rPr>
              <w:t>服务期满的计算规则：</w:t>
            </w:r>
          </w:p>
          <w:p w14:paraId="76E1F8F2">
            <w:pPr>
              <w:spacing w:line="380" w:lineRule="exact"/>
              <w:ind w:firstLine="420" w:firstLineChars="200"/>
              <w:rPr>
                <w:rFonts w:hint="eastAsia" w:ascii="宋体" w:hAnsi="宋体" w:cs="宋体"/>
                <w:szCs w:val="21"/>
              </w:rPr>
            </w:pPr>
            <w:r>
              <w:rPr>
                <w:rFonts w:hint="eastAsia" w:ascii="宋体" w:hAnsi="宋体" w:cs="宋体"/>
                <w:szCs w:val="21"/>
              </w:rPr>
              <w:t>本项目服务期满时间以有效租赁服务时长累计达到合同约定总租赁期限为准，即：</w:t>
            </w:r>
          </w:p>
          <w:p w14:paraId="636EDA9E">
            <w:pPr>
              <w:spacing w:line="380" w:lineRule="exact"/>
              <w:ind w:firstLine="420" w:firstLineChars="200"/>
              <w:rPr>
                <w:rFonts w:hint="eastAsia" w:ascii="宋体" w:hAnsi="宋体" w:eastAsia="宋体" w:cs="宋体"/>
                <w:szCs w:val="21"/>
                <w:lang w:eastAsia="zh-CN"/>
              </w:rPr>
            </w:pPr>
            <w:r>
              <w:rPr>
                <w:rFonts w:hint="eastAsia" w:ascii="宋体" w:hAnsi="宋体" w:cs="宋体"/>
                <w:szCs w:val="21"/>
                <w:lang w:eastAsia="zh-CN"/>
              </w:rPr>
              <w:t>有效租赁时长=实际服务时长-累计处罚时长</w:t>
            </w:r>
          </w:p>
          <w:p w14:paraId="43AA82EC">
            <w:pPr>
              <w:spacing w:line="380" w:lineRule="exact"/>
              <w:ind w:firstLine="420" w:firstLineChars="200"/>
              <w:rPr>
                <w:rFonts w:hint="eastAsia" w:ascii="宋体" w:hAnsi="宋体" w:cs="宋体"/>
                <w:szCs w:val="21"/>
              </w:rPr>
            </w:pPr>
            <w:r>
              <w:rPr>
                <w:rFonts w:hint="eastAsia" w:ascii="宋体" w:hAnsi="宋体" w:cs="宋体"/>
                <w:szCs w:val="21"/>
              </w:rPr>
              <w:t>若因处罚导致有效租赁时长未满足合同约定，服务期将自动顺延，顺延期限与累计处罚时间相等，直至有效租赁时长达到合同约定的总租赁期限，双方签署《服务期满确认书》后，本项目服务正式终止。</w:t>
            </w:r>
          </w:p>
          <w:p w14:paraId="65AE3435">
            <w:pPr>
              <w:spacing w:line="380" w:lineRule="exact"/>
              <w:ind w:firstLine="420" w:firstLineChars="200"/>
              <w:rPr>
                <w:rFonts w:hint="eastAsia" w:ascii="宋体" w:hAnsi="宋体" w:cs="宋体"/>
                <w:szCs w:val="21"/>
              </w:rPr>
            </w:pPr>
            <w:r>
              <w:rPr>
                <w:rFonts w:hint="eastAsia" w:ascii="宋体" w:hAnsi="宋体" w:cs="宋体"/>
                <w:szCs w:val="21"/>
              </w:rPr>
              <w:t>流程确认</w:t>
            </w:r>
          </w:p>
          <w:p w14:paraId="7EE69698">
            <w:pPr>
              <w:spacing w:line="380" w:lineRule="exact"/>
              <w:ind w:firstLine="420" w:firstLineChars="200"/>
              <w:rPr>
                <w:rFonts w:hint="eastAsia" w:ascii="宋体" w:hAnsi="宋体" w:cs="宋体"/>
                <w:szCs w:val="21"/>
              </w:rPr>
            </w:pPr>
            <w:r>
              <w:rPr>
                <w:rFonts w:hint="eastAsia" w:ascii="宋体" w:hAnsi="宋体" w:cs="宋体"/>
                <w:szCs w:val="21"/>
              </w:rPr>
              <w:t>每次处罚执行完毕后，供应商需向采购人提交《处罚整改完成报告》，经采购人审核通过后，双方签署《处罚时间确认单》，明确本次处罚不计入租赁时间的具体天数。</w:t>
            </w:r>
          </w:p>
          <w:p w14:paraId="3137EE09">
            <w:pPr>
              <w:spacing w:line="380" w:lineRule="exact"/>
              <w:ind w:firstLine="420" w:firstLineChars="200"/>
              <w:jc w:val="left"/>
              <w:rPr>
                <w:rFonts w:hint="eastAsia" w:ascii="宋体" w:hAnsi="宋体" w:cs="宋体"/>
                <w:szCs w:val="21"/>
              </w:rPr>
            </w:pPr>
            <w:r>
              <w:rPr>
                <w:rFonts w:hint="eastAsia" w:ascii="宋体" w:hAnsi="宋体" w:cs="宋体"/>
                <w:szCs w:val="21"/>
              </w:rPr>
              <w:t>项目临近服务期满前30天，双方共同核算累计有效租赁时长及处罚时间，确认最终服务期满日期，并提前15天书面通知对方。</w:t>
            </w:r>
          </w:p>
        </w:tc>
      </w:tr>
      <w:tr w14:paraId="1A7A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gridSpan w:val="2"/>
            <w:tcBorders>
              <w:top w:val="single" w:color="auto" w:sz="4" w:space="0"/>
              <w:left w:val="single" w:color="auto" w:sz="4" w:space="0"/>
              <w:bottom w:val="single" w:color="auto" w:sz="4" w:space="0"/>
              <w:right w:val="single" w:color="auto" w:sz="4" w:space="0"/>
            </w:tcBorders>
            <w:vAlign w:val="center"/>
          </w:tcPr>
          <w:p w14:paraId="2CD81C0E">
            <w:pPr>
              <w:tabs>
                <w:tab w:val="left" w:pos="180"/>
                <w:tab w:val="left" w:pos="1620"/>
              </w:tabs>
              <w:spacing w:line="380" w:lineRule="exact"/>
              <w:jc w:val="center"/>
              <w:rPr>
                <w:rFonts w:hint="eastAsia" w:ascii="宋体" w:hAnsi="宋体" w:cs="宋体"/>
                <w:szCs w:val="21"/>
              </w:rPr>
            </w:pPr>
            <w:r>
              <w:rPr>
                <w:rFonts w:hint="eastAsia" w:ascii="宋体" w:hAnsi="宋体" w:cs="宋体"/>
                <w:szCs w:val="21"/>
              </w:rPr>
              <w:t>履约保证金</w:t>
            </w:r>
          </w:p>
        </w:tc>
        <w:tc>
          <w:tcPr>
            <w:tcW w:w="8301" w:type="dxa"/>
            <w:gridSpan w:val="2"/>
            <w:tcBorders>
              <w:top w:val="single" w:color="auto" w:sz="4" w:space="0"/>
              <w:left w:val="single" w:color="auto" w:sz="4" w:space="0"/>
              <w:bottom w:val="single" w:color="auto" w:sz="4" w:space="0"/>
              <w:right w:val="single" w:color="auto" w:sz="4" w:space="0"/>
            </w:tcBorders>
            <w:vAlign w:val="center"/>
          </w:tcPr>
          <w:p w14:paraId="4CE83FB6">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rPr>
              <w:t>履约保证金金额：本项目中标金额的5%（中小企业缴纳数额为中标金额的2%）。</w:t>
            </w:r>
          </w:p>
          <w:p w14:paraId="19B5B422">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rPr>
              <w:t>履约保证金提交方式：支票、汇票、本票、银行转账或者金融机构、担保机构出具的保函等非现金形式。</w:t>
            </w:r>
          </w:p>
          <w:p w14:paraId="11629A7F">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rPr>
              <w:t>履约保证金缴纳期限: 自成交通知书发出之日起5日内。</w:t>
            </w:r>
          </w:p>
          <w:p w14:paraId="71077D4B">
            <w:pPr>
              <w:autoSpaceDE w:val="0"/>
              <w:autoSpaceDN w:val="0"/>
              <w:snapToGrid w:val="0"/>
              <w:spacing w:line="380" w:lineRule="exact"/>
              <w:jc w:val="left"/>
              <w:textAlignment w:val="bottom"/>
              <w:rPr>
                <w:rFonts w:hint="eastAsia" w:ascii="宋体" w:hAnsi="宋体" w:cs="宋体"/>
                <w:szCs w:val="21"/>
              </w:rPr>
            </w:pPr>
            <w:r>
              <w:rPr>
                <w:rFonts w:hint="eastAsia" w:ascii="宋体" w:hAnsi="宋体" w:cs="宋体"/>
                <w:szCs w:val="21"/>
              </w:rPr>
              <w:t>履约保证金退付方式、时间及条件：项目完成验收合格后，且中标供应商无违约情形的，中标供应商提供《政府采购项目履约保证金退付意见书》及《政府采购项目合同验收报告》，向采购人提出书面申请退还，采购人在收到申请后十个工作日内以银行转账方式无息退还。如果中标供应商在履行合同过程中有违约情形，则采购人有权没收保证金，不予退还。</w:t>
            </w:r>
          </w:p>
          <w:p w14:paraId="6A958FE1">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rPr>
              <w:t>不予退还的情形：签订合同后，如中标供应商不按双方签订的合同规定履约，则其全部履约保证金不予退还。</w:t>
            </w:r>
          </w:p>
          <w:p w14:paraId="1B6636F4">
            <w:pPr>
              <w:spacing w:line="380" w:lineRule="exact"/>
              <w:ind w:firstLine="420" w:firstLineChars="200"/>
              <w:contextualSpacing/>
              <w:rPr>
                <w:rFonts w:hint="eastAsia" w:ascii="宋体" w:hAnsi="宋体" w:cs="宋体"/>
                <w:szCs w:val="21"/>
              </w:rPr>
            </w:pPr>
            <w:r>
              <w:rPr>
                <w:rFonts w:hint="eastAsia" w:ascii="宋体" w:hAnsi="宋体" w:cs="宋体"/>
                <w:szCs w:val="21"/>
              </w:rPr>
              <w:t>履约保证金指定账户：</w:t>
            </w:r>
          </w:p>
          <w:p w14:paraId="75873B0F">
            <w:pPr>
              <w:spacing w:line="380" w:lineRule="exact"/>
              <w:ind w:firstLine="420" w:firstLineChars="200"/>
              <w:contextualSpacing/>
              <w:rPr>
                <w:rFonts w:hint="eastAsia" w:ascii="宋体" w:hAnsi="宋体" w:cs="宋体"/>
                <w:szCs w:val="21"/>
              </w:rPr>
            </w:pPr>
            <w:r>
              <w:rPr>
                <w:rFonts w:hint="eastAsia" w:ascii="宋体" w:hAnsi="宋体" w:cs="宋体"/>
                <w:szCs w:val="21"/>
              </w:rPr>
              <w:t>开户名称：广西壮族自治区公安厅</w:t>
            </w:r>
            <w:r>
              <w:rPr>
                <w:rFonts w:hint="eastAsia" w:ascii="宋体" w:hAnsi="宋体" w:cs="宋体"/>
                <w:kern w:val="0"/>
                <w:szCs w:val="21"/>
              </w:rPr>
              <w:t xml:space="preserve"> </w:t>
            </w:r>
          </w:p>
          <w:p w14:paraId="22C03FEB">
            <w:pPr>
              <w:spacing w:line="380" w:lineRule="exact"/>
              <w:ind w:firstLine="420" w:firstLineChars="200"/>
              <w:contextualSpacing/>
              <w:rPr>
                <w:rFonts w:hint="eastAsia" w:ascii="宋体" w:hAnsi="宋体" w:cs="宋体"/>
                <w:szCs w:val="21"/>
              </w:rPr>
            </w:pPr>
            <w:r>
              <w:rPr>
                <w:rFonts w:hint="eastAsia" w:ascii="宋体" w:hAnsi="宋体" w:cs="宋体"/>
                <w:szCs w:val="21"/>
              </w:rPr>
              <w:t>开户银行：</w:t>
            </w:r>
            <w:r>
              <w:rPr>
                <w:rFonts w:hint="eastAsia" w:ascii="宋体" w:hAnsi="宋体" w:cs="宋体"/>
                <w:kern w:val="0"/>
                <w:szCs w:val="21"/>
              </w:rPr>
              <w:t xml:space="preserve">工行南宁市民乐分理处 </w:t>
            </w:r>
          </w:p>
          <w:p w14:paraId="70DC083D">
            <w:pPr>
              <w:autoSpaceDE w:val="0"/>
              <w:autoSpaceDN w:val="0"/>
              <w:snapToGrid w:val="0"/>
              <w:spacing w:line="380" w:lineRule="exact"/>
              <w:ind w:firstLine="420" w:firstLineChars="200"/>
              <w:textAlignment w:val="bottom"/>
              <w:rPr>
                <w:rFonts w:hint="eastAsia" w:ascii="宋体" w:hAnsi="宋体" w:cs="宋体"/>
                <w:szCs w:val="21"/>
              </w:rPr>
            </w:pPr>
            <w:r>
              <w:rPr>
                <w:rFonts w:hint="eastAsia" w:ascii="宋体" w:hAnsi="宋体" w:cs="宋体"/>
                <w:szCs w:val="21"/>
              </w:rPr>
              <w:t>银行账号：</w:t>
            </w:r>
            <w:r>
              <w:rPr>
                <w:rFonts w:hint="eastAsia" w:ascii="宋体" w:hAnsi="宋体" w:cs="宋体"/>
                <w:kern w:val="0"/>
                <w:szCs w:val="21"/>
              </w:rPr>
              <w:t xml:space="preserve">2102 1095 2930 0002 294  </w:t>
            </w:r>
          </w:p>
        </w:tc>
      </w:tr>
    </w:tbl>
    <w:p w14:paraId="55683917">
      <w:pPr>
        <w:rPr>
          <w:rFonts w:hint="eastAsia" w:ascii="宋体"/>
          <w:b/>
          <w:sz w:val="32"/>
          <w:szCs w:val="32"/>
        </w:rPr>
      </w:pPr>
    </w:p>
    <w:p w14:paraId="62043492">
      <w:pPr>
        <w:snapToGrid w:val="0"/>
        <w:spacing w:line="400" w:lineRule="exact"/>
        <w:jc w:val="center"/>
        <w:rPr>
          <w:rFonts w:hint="eastAsia" w:ascii="宋体"/>
          <w:b/>
          <w:sz w:val="32"/>
          <w:szCs w:val="32"/>
        </w:rPr>
      </w:pPr>
    </w:p>
    <w:p w14:paraId="7323E153">
      <w:pPr>
        <w:snapToGrid w:val="0"/>
        <w:spacing w:line="400" w:lineRule="exact"/>
        <w:jc w:val="center"/>
        <w:rPr>
          <w:rFonts w:hint="eastAsia" w:ascii="宋体"/>
          <w:b/>
          <w:sz w:val="32"/>
          <w:szCs w:val="32"/>
        </w:rPr>
      </w:pPr>
    </w:p>
    <w:p w14:paraId="46102004">
      <w:pPr>
        <w:pStyle w:val="8"/>
        <w:rPr>
          <w:rFonts w:hint="eastAsia" w:ascii="宋体"/>
          <w:b/>
          <w:sz w:val="32"/>
          <w:szCs w:val="32"/>
        </w:rPr>
      </w:pPr>
    </w:p>
    <w:p w14:paraId="26520F81">
      <w:pPr>
        <w:pStyle w:val="8"/>
        <w:rPr>
          <w:rFonts w:hint="eastAsia" w:ascii="宋体"/>
          <w:b/>
          <w:sz w:val="32"/>
          <w:szCs w:val="32"/>
        </w:rPr>
      </w:pPr>
    </w:p>
    <w:p w14:paraId="46F43DE2">
      <w:pPr>
        <w:pStyle w:val="8"/>
        <w:rPr>
          <w:rFonts w:hint="eastAsia" w:ascii="宋体"/>
          <w:b/>
          <w:sz w:val="32"/>
          <w:szCs w:val="32"/>
        </w:rPr>
      </w:pPr>
    </w:p>
    <w:p w14:paraId="5FC663B7">
      <w:pPr>
        <w:pStyle w:val="8"/>
        <w:rPr>
          <w:rFonts w:hint="eastAsia" w:ascii="宋体"/>
          <w:b/>
          <w:sz w:val="32"/>
          <w:szCs w:val="32"/>
        </w:rPr>
      </w:pPr>
    </w:p>
    <w:p w14:paraId="006ED86C">
      <w:pPr>
        <w:pStyle w:val="8"/>
        <w:rPr>
          <w:rFonts w:hint="eastAsia" w:ascii="宋体"/>
          <w:b/>
          <w:sz w:val="32"/>
          <w:szCs w:val="32"/>
        </w:rPr>
      </w:pPr>
    </w:p>
    <w:p w14:paraId="7454AB40">
      <w:pPr>
        <w:pStyle w:val="8"/>
        <w:rPr>
          <w:rFonts w:hint="eastAsia" w:ascii="宋体"/>
          <w:b/>
          <w:sz w:val="32"/>
          <w:szCs w:val="32"/>
        </w:rPr>
      </w:pPr>
    </w:p>
    <w:p w14:paraId="0C2653FF">
      <w:pPr>
        <w:snapToGrid w:val="0"/>
        <w:spacing w:line="400" w:lineRule="exact"/>
        <w:rPr>
          <w:rFonts w:hint="eastAsia" w:ascii="宋体"/>
          <w:b/>
          <w:sz w:val="32"/>
          <w:szCs w:val="32"/>
        </w:rPr>
      </w:pPr>
    </w:p>
    <w:p w14:paraId="2BA8D2D4">
      <w:pPr>
        <w:pStyle w:val="19"/>
        <w:rPr>
          <w:rFonts w:hint="eastAsia" w:ascii="宋体"/>
          <w:b/>
          <w:sz w:val="32"/>
          <w:szCs w:val="32"/>
        </w:rPr>
      </w:pPr>
    </w:p>
    <w:p w14:paraId="4D1F730C">
      <w:pPr>
        <w:pStyle w:val="19"/>
        <w:rPr>
          <w:rFonts w:hint="eastAsia" w:ascii="宋体"/>
          <w:b/>
          <w:sz w:val="32"/>
          <w:szCs w:val="32"/>
        </w:rPr>
      </w:pPr>
    </w:p>
    <w:p w14:paraId="3C4427D0">
      <w:pPr>
        <w:pStyle w:val="19"/>
        <w:rPr>
          <w:rFonts w:hint="eastAsia" w:ascii="宋体"/>
          <w:b/>
          <w:sz w:val="32"/>
          <w:szCs w:val="32"/>
        </w:rPr>
      </w:pPr>
    </w:p>
    <w:p w14:paraId="3573D1A5">
      <w:pPr>
        <w:pStyle w:val="19"/>
        <w:rPr>
          <w:rFonts w:hint="eastAsia" w:ascii="宋体"/>
          <w:b/>
          <w:sz w:val="32"/>
          <w:szCs w:val="32"/>
        </w:rPr>
      </w:pPr>
    </w:p>
    <w:p w14:paraId="6E81FBA0">
      <w:pPr>
        <w:pStyle w:val="19"/>
        <w:rPr>
          <w:rFonts w:hint="eastAsia" w:ascii="宋体"/>
          <w:b/>
          <w:sz w:val="32"/>
          <w:szCs w:val="32"/>
        </w:rPr>
      </w:pPr>
    </w:p>
    <w:p w14:paraId="7B3928FB">
      <w:pPr>
        <w:pStyle w:val="19"/>
        <w:rPr>
          <w:rFonts w:hint="eastAsia" w:ascii="宋体"/>
          <w:b/>
          <w:sz w:val="32"/>
          <w:szCs w:val="32"/>
        </w:rPr>
      </w:pPr>
    </w:p>
    <w:p w14:paraId="1F77182D">
      <w:pPr>
        <w:pStyle w:val="19"/>
        <w:rPr>
          <w:rFonts w:hint="eastAsia" w:ascii="宋体"/>
          <w:b/>
          <w:sz w:val="32"/>
          <w:szCs w:val="32"/>
        </w:rPr>
      </w:pPr>
    </w:p>
    <w:p w14:paraId="41FD0FAD">
      <w:pPr>
        <w:pStyle w:val="19"/>
        <w:rPr>
          <w:rFonts w:hint="eastAsia" w:ascii="宋体"/>
          <w:b/>
          <w:sz w:val="32"/>
          <w:szCs w:val="32"/>
        </w:rPr>
      </w:pPr>
    </w:p>
    <w:p w14:paraId="3004A5DD">
      <w:pPr>
        <w:pStyle w:val="19"/>
        <w:rPr>
          <w:rFonts w:hint="eastAsia" w:ascii="宋体"/>
          <w:b/>
          <w:sz w:val="32"/>
          <w:szCs w:val="32"/>
        </w:rPr>
      </w:pPr>
    </w:p>
    <w:p w14:paraId="21CCBD3A">
      <w:pPr>
        <w:pStyle w:val="19"/>
        <w:rPr>
          <w:rFonts w:hint="eastAsia" w:ascii="宋体"/>
          <w:b/>
          <w:sz w:val="32"/>
          <w:szCs w:val="32"/>
        </w:rPr>
      </w:pPr>
    </w:p>
    <w:p w14:paraId="76A20608">
      <w:pPr>
        <w:pStyle w:val="19"/>
        <w:rPr>
          <w:rFonts w:hint="eastAsia" w:ascii="宋体"/>
          <w:b/>
          <w:sz w:val="32"/>
          <w:szCs w:val="32"/>
        </w:rPr>
      </w:pPr>
    </w:p>
    <w:p w14:paraId="374226C8">
      <w:pPr>
        <w:pStyle w:val="19"/>
        <w:rPr>
          <w:rFonts w:hint="eastAsia" w:ascii="宋体"/>
          <w:b/>
          <w:sz w:val="32"/>
          <w:szCs w:val="32"/>
        </w:rPr>
      </w:pPr>
    </w:p>
    <w:p w14:paraId="728DE433">
      <w:pPr>
        <w:pStyle w:val="19"/>
        <w:rPr>
          <w:rFonts w:hint="eastAsia" w:ascii="宋体"/>
          <w:b/>
          <w:sz w:val="32"/>
          <w:szCs w:val="32"/>
        </w:rPr>
      </w:pPr>
    </w:p>
    <w:p w14:paraId="7C08C866">
      <w:pPr>
        <w:pStyle w:val="19"/>
        <w:rPr>
          <w:rFonts w:hint="eastAsia" w:ascii="宋体"/>
          <w:b/>
          <w:sz w:val="32"/>
          <w:szCs w:val="32"/>
        </w:rPr>
      </w:pPr>
    </w:p>
    <w:p w14:paraId="7692B929">
      <w:pPr>
        <w:pStyle w:val="46"/>
        <w:rPr>
          <w:rFonts w:hint="eastAsia"/>
          <w:sz w:val="44"/>
          <w:szCs w:val="44"/>
        </w:rPr>
      </w:pPr>
      <w:bookmarkStart w:id="42" w:name="_Toc476436433"/>
      <w:bookmarkStart w:id="43" w:name="_Toc476436174"/>
      <w:r>
        <w:rPr>
          <w:rFonts w:hint="eastAsia"/>
          <w:sz w:val="44"/>
          <w:szCs w:val="44"/>
        </w:rPr>
        <w:t>第三章  投标人须知</w:t>
      </w:r>
      <w:bookmarkEnd w:id="42"/>
      <w:bookmarkEnd w:id="43"/>
    </w:p>
    <w:p w14:paraId="511A1938">
      <w:pPr>
        <w:snapToGrid w:val="0"/>
        <w:jc w:val="center"/>
        <w:rPr>
          <w:rFonts w:hint="eastAsia" w:ascii="黑体" w:eastAsia="黑体"/>
          <w:sz w:val="32"/>
          <w:szCs w:val="32"/>
        </w:rPr>
      </w:pPr>
    </w:p>
    <w:p w14:paraId="22E41458">
      <w:pPr>
        <w:snapToGrid w:val="0"/>
        <w:jc w:val="center"/>
        <w:rPr>
          <w:rFonts w:hint="eastAsia" w:ascii="黑体" w:eastAsia="黑体"/>
          <w:sz w:val="32"/>
          <w:szCs w:val="32"/>
        </w:rPr>
      </w:pPr>
    </w:p>
    <w:p w14:paraId="416F739A">
      <w:pPr>
        <w:snapToGrid w:val="0"/>
        <w:jc w:val="center"/>
        <w:rPr>
          <w:rFonts w:hint="eastAsia" w:ascii="黑体" w:eastAsia="黑体"/>
          <w:sz w:val="32"/>
          <w:szCs w:val="32"/>
        </w:rPr>
      </w:pPr>
    </w:p>
    <w:p w14:paraId="7A0EB140">
      <w:pPr>
        <w:snapToGrid w:val="0"/>
        <w:jc w:val="center"/>
        <w:rPr>
          <w:rFonts w:hint="eastAsia" w:ascii="黑体" w:eastAsia="黑体"/>
          <w:sz w:val="32"/>
          <w:szCs w:val="32"/>
        </w:rPr>
      </w:pPr>
    </w:p>
    <w:p w14:paraId="2BE9C84F">
      <w:pPr>
        <w:snapToGrid w:val="0"/>
        <w:jc w:val="center"/>
        <w:rPr>
          <w:rFonts w:hint="eastAsia" w:ascii="黑体" w:eastAsia="黑体"/>
          <w:sz w:val="32"/>
          <w:szCs w:val="32"/>
        </w:rPr>
      </w:pPr>
    </w:p>
    <w:p w14:paraId="1F4EA684">
      <w:pPr>
        <w:snapToGrid w:val="0"/>
        <w:jc w:val="center"/>
        <w:rPr>
          <w:rFonts w:hint="eastAsia" w:ascii="黑体" w:eastAsia="黑体"/>
          <w:sz w:val="32"/>
          <w:szCs w:val="32"/>
        </w:rPr>
      </w:pPr>
    </w:p>
    <w:p w14:paraId="4F8ED2FF">
      <w:pPr>
        <w:snapToGrid w:val="0"/>
        <w:jc w:val="center"/>
        <w:rPr>
          <w:rFonts w:hint="eastAsia" w:ascii="黑体" w:eastAsia="黑体"/>
          <w:sz w:val="32"/>
          <w:szCs w:val="32"/>
        </w:rPr>
      </w:pPr>
    </w:p>
    <w:p w14:paraId="3D45981F">
      <w:pPr>
        <w:snapToGrid w:val="0"/>
        <w:jc w:val="center"/>
        <w:rPr>
          <w:rFonts w:hint="eastAsia" w:ascii="黑体" w:eastAsia="黑体"/>
          <w:sz w:val="32"/>
          <w:szCs w:val="32"/>
        </w:rPr>
      </w:pPr>
    </w:p>
    <w:p w14:paraId="58479906">
      <w:pPr>
        <w:snapToGrid w:val="0"/>
        <w:jc w:val="center"/>
        <w:rPr>
          <w:rFonts w:hint="eastAsia" w:ascii="黑体" w:eastAsia="黑体"/>
          <w:sz w:val="32"/>
          <w:szCs w:val="32"/>
        </w:rPr>
      </w:pPr>
    </w:p>
    <w:p w14:paraId="65D2A8D6">
      <w:pPr>
        <w:snapToGrid w:val="0"/>
        <w:jc w:val="center"/>
        <w:rPr>
          <w:rFonts w:hint="eastAsia" w:ascii="黑体" w:eastAsia="黑体"/>
          <w:sz w:val="32"/>
          <w:szCs w:val="32"/>
        </w:rPr>
      </w:pPr>
    </w:p>
    <w:p w14:paraId="109C82C3">
      <w:pPr>
        <w:snapToGrid w:val="0"/>
        <w:jc w:val="center"/>
        <w:rPr>
          <w:rFonts w:hint="eastAsia" w:ascii="黑体" w:eastAsia="黑体"/>
          <w:sz w:val="32"/>
          <w:szCs w:val="32"/>
        </w:rPr>
      </w:pPr>
    </w:p>
    <w:p w14:paraId="62D30B12">
      <w:pPr>
        <w:snapToGrid w:val="0"/>
        <w:jc w:val="center"/>
        <w:rPr>
          <w:rFonts w:hint="eastAsia" w:ascii="黑体" w:eastAsia="黑体"/>
          <w:sz w:val="32"/>
          <w:szCs w:val="32"/>
        </w:rPr>
      </w:pPr>
    </w:p>
    <w:p w14:paraId="372FCEBF">
      <w:pPr>
        <w:snapToGrid w:val="0"/>
        <w:jc w:val="center"/>
        <w:rPr>
          <w:rFonts w:hint="eastAsia" w:ascii="黑体" w:eastAsia="黑体"/>
          <w:sz w:val="32"/>
          <w:szCs w:val="32"/>
        </w:rPr>
      </w:pPr>
    </w:p>
    <w:p w14:paraId="066DF0D5">
      <w:pPr>
        <w:snapToGrid w:val="0"/>
        <w:jc w:val="center"/>
        <w:rPr>
          <w:rFonts w:hint="eastAsia" w:ascii="黑体" w:eastAsia="黑体"/>
          <w:sz w:val="32"/>
          <w:szCs w:val="32"/>
        </w:rPr>
      </w:pPr>
    </w:p>
    <w:p w14:paraId="23148332">
      <w:pPr>
        <w:snapToGrid w:val="0"/>
        <w:jc w:val="center"/>
        <w:rPr>
          <w:rFonts w:hint="eastAsia" w:ascii="黑体" w:eastAsia="黑体"/>
          <w:sz w:val="32"/>
          <w:szCs w:val="32"/>
        </w:rPr>
      </w:pPr>
    </w:p>
    <w:p w14:paraId="30949602">
      <w:pPr>
        <w:snapToGrid w:val="0"/>
        <w:jc w:val="center"/>
        <w:rPr>
          <w:rFonts w:hint="eastAsia" w:ascii="黑体" w:eastAsia="黑体"/>
          <w:sz w:val="32"/>
          <w:szCs w:val="32"/>
        </w:rPr>
      </w:pPr>
    </w:p>
    <w:p w14:paraId="6C8FF3EC">
      <w:pPr>
        <w:spacing w:line="720" w:lineRule="auto"/>
        <w:jc w:val="center"/>
        <w:rPr>
          <w:rFonts w:hint="eastAsia"/>
          <w:b/>
          <w:sz w:val="32"/>
          <w:szCs w:val="32"/>
        </w:rPr>
      </w:pPr>
      <w:r>
        <w:rPr>
          <w:rFonts w:hint="eastAsia"/>
          <w:b/>
          <w:sz w:val="32"/>
          <w:szCs w:val="32"/>
        </w:rPr>
        <w:t>投标</w:t>
      </w:r>
      <w:bookmarkStart w:id="44" w:name="_Toc254970667"/>
      <w:bookmarkStart w:id="45" w:name="_Toc254970526"/>
      <w:r>
        <w:rPr>
          <w:rFonts w:hint="eastAsia"/>
          <w:b/>
          <w:sz w:val="32"/>
          <w:szCs w:val="32"/>
        </w:rPr>
        <w:t>人须知及前附表</w:t>
      </w:r>
      <w:bookmarkEnd w:id="44"/>
      <w:bookmarkEnd w:id="45"/>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14:paraId="01EEE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14:paraId="690FA5C6">
            <w:pPr>
              <w:snapToGrid w:val="0"/>
              <w:spacing w:line="360" w:lineRule="exact"/>
              <w:jc w:val="center"/>
              <w:rPr>
                <w:rFonts w:hint="eastAsia" w:ascii="宋体"/>
                <w:szCs w:val="21"/>
              </w:rPr>
            </w:pPr>
            <w:r>
              <w:rPr>
                <w:rFonts w:hint="eastAsia" w:asci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14:paraId="7E868E35">
            <w:pPr>
              <w:snapToGrid w:val="0"/>
              <w:spacing w:line="360" w:lineRule="exact"/>
              <w:jc w:val="center"/>
              <w:rPr>
                <w:rFonts w:hint="eastAsia" w:ascii="宋体"/>
                <w:szCs w:val="21"/>
              </w:rPr>
            </w:pPr>
            <w:r>
              <w:rPr>
                <w:rFonts w:hint="eastAsia" w:ascii="宋体"/>
                <w:szCs w:val="21"/>
              </w:rPr>
              <w:t>内容、要求</w:t>
            </w:r>
          </w:p>
        </w:tc>
      </w:tr>
      <w:tr w14:paraId="284B9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14:paraId="669A7AAA">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4F5AD65C">
            <w:pPr>
              <w:snapToGrid w:val="0"/>
              <w:spacing w:line="360" w:lineRule="exact"/>
              <w:rPr>
                <w:rFonts w:hint="eastAsia" w:ascii="宋体"/>
                <w:szCs w:val="21"/>
              </w:rPr>
            </w:pPr>
            <w:r>
              <w:rPr>
                <w:rFonts w:hint="eastAsia" w:ascii="宋体"/>
                <w:szCs w:val="21"/>
              </w:rPr>
              <w:t>采购项目名称：</w:t>
            </w:r>
            <w:r>
              <w:rPr>
                <w:rFonts w:hint="eastAsia" w:ascii="宋体" w:hAnsi="宋体" w:cs="宋体"/>
                <w:lang w:eastAsia="zh-CN"/>
              </w:rPr>
              <w:t>309项目配套AI算力租赁项目</w:t>
            </w:r>
            <w:r>
              <w:rPr>
                <w:rFonts w:hint="eastAsia" w:ascii="宋体"/>
                <w:szCs w:val="21"/>
              </w:rPr>
              <w:t xml:space="preserve"> </w:t>
            </w:r>
          </w:p>
          <w:p w14:paraId="2F7CF461">
            <w:pPr>
              <w:snapToGrid w:val="0"/>
              <w:spacing w:line="360" w:lineRule="exact"/>
              <w:rPr>
                <w:rFonts w:hint="eastAsia" w:ascii="宋体" w:eastAsia="宋体"/>
                <w:szCs w:val="21"/>
                <w:lang w:eastAsia="zh-CN"/>
              </w:rPr>
            </w:pPr>
            <w:r>
              <w:rPr>
                <w:rFonts w:hint="eastAsia" w:ascii="宋体"/>
                <w:szCs w:val="21"/>
              </w:rPr>
              <w:t>采购项目编号：</w:t>
            </w:r>
            <w:r>
              <w:rPr>
                <w:rFonts w:hint="eastAsia" w:ascii="宋体"/>
                <w:szCs w:val="21"/>
                <w:lang w:eastAsia="zh-CN"/>
              </w:rPr>
              <w:t>GXZC2026-G3-000154-GLZB</w:t>
            </w:r>
          </w:p>
        </w:tc>
      </w:tr>
      <w:tr w14:paraId="5B5A7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14:paraId="35308168">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5CE7F366">
            <w:pPr>
              <w:snapToGrid w:val="0"/>
              <w:spacing w:line="360" w:lineRule="exact"/>
              <w:rPr>
                <w:rFonts w:hint="eastAsia" w:ascii="宋体"/>
                <w:szCs w:val="21"/>
              </w:rPr>
            </w:pPr>
            <w:r>
              <w:rPr>
                <w:rFonts w:hint="eastAsia" w:ascii="宋体"/>
                <w:szCs w:val="21"/>
              </w:rPr>
              <w:t>投标报价及费用：1、本项目投标应以人民币报价；2、不论投标结果如何，投标人均应自行承担所有与投标有关的全部费用；3、本项目的代理服务费按投标人须知第九条规定的（服务类）标准采用差额定率累进</w:t>
            </w:r>
            <w:r>
              <w:rPr>
                <w:rFonts w:hint="eastAsia" w:ascii="宋体"/>
                <w:szCs w:val="21"/>
                <w:lang w:val="en-US" w:eastAsia="zh-CN"/>
              </w:rPr>
              <w:t>下浮15%</w:t>
            </w:r>
            <w:r>
              <w:rPr>
                <w:rFonts w:hint="eastAsia" w:ascii="宋体"/>
                <w:szCs w:val="21"/>
              </w:rPr>
              <w:t>计费方式计算，由中标人向采购代理机构支付。</w:t>
            </w:r>
          </w:p>
        </w:tc>
      </w:tr>
      <w:tr w14:paraId="6DA1F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14:paraId="7CDB0DBB">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16661411">
            <w:pPr>
              <w:snapToGrid w:val="0"/>
              <w:spacing w:line="360" w:lineRule="exact"/>
              <w:rPr>
                <w:rFonts w:hint="eastAsia"/>
                <w:b/>
              </w:rPr>
            </w:pPr>
            <w:r>
              <w:rPr>
                <w:rFonts w:hint="eastAsia" w:ascii="宋体"/>
                <w:szCs w:val="21"/>
              </w:rPr>
              <w:t>投标保证金（人民币）：详见本项目公开招标公告。</w:t>
            </w:r>
          </w:p>
          <w:p w14:paraId="08462FA8">
            <w:pPr>
              <w:snapToGrid w:val="0"/>
              <w:spacing w:line="360" w:lineRule="exact"/>
              <w:rPr>
                <w:rFonts w:hint="eastAsia" w:ascii="宋体"/>
                <w:szCs w:val="21"/>
              </w:rPr>
            </w:pPr>
            <w:r>
              <w:rPr>
                <w:rFonts w:hint="eastAsia"/>
              </w:rPr>
              <w:t>投标保证金必须根据招标公告的要求进行缴纳，否则视为无效投标保证金。本项目不接受现金形式或从个人账户转出的投标保证金。</w:t>
            </w:r>
          </w:p>
        </w:tc>
      </w:tr>
      <w:tr w14:paraId="35F37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14:paraId="162B8904">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79C12025">
            <w:pPr>
              <w:snapToGrid w:val="0"/>
              <w:spacing w:line="360" w:lineRule="exact"/>
              <w:rPr>
                <w:rFonts w:hint="eastAsia" w:ascii="宋体"/>
                <w:szCs w:val="21"/>
              </w:rPr>
            </w:pPr>
            <w:r>
              <w:rPr>
                <w:rFonts w:hint="eastAsia" w:ascii="宋体"/>
                <w:szCs w:val="21"/>
              </w:rPr>
              <w:t>现场踏勘：</w:t>
            </w:r>
            <w:r>
              <w:rPr>
                <w:rFonts w:hint="eastAsia" w:ascii="宋体"/>
                <w:szCs w:val="21"/>
                <w:u w:val="single"/>
              </w:rPr>
              <w:t xml:space="preserve">             无           </w:t>
            </w:r>
            <w:r>
              <w:rPr>
                <w:rFonts w:hint="eastAsia" w:ascii="宋体"/>
                <w:szCs w:val="21"/>
              </w:rPr>
              <w:t>。</w:t>
            </w:r>
          </w:p>
        </w:tc>
      </w:tr>
      <w:tr w14:paraId="539B9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14:paraId="33C18661">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753B6D56">
            <w:pPr>
              <w:snapToGrid w:val="0"/>
              <w:spacing w:line="360" w:lineRule="exact"/>
              <w:rPr>
                <w:rFonts w:hint="eastAsia" w:ascii="宋体"/>
                <w:szCs w:val="21"/>
              </w:rPr>
            </w:pPr>
            <w:r>
              <w:rPr>
                <w:rFonts w:hint="eastAsia" w:ascii="宋体"/>
                <w:szCs w:val="21"/>
              </w:rPr>
              <w:t>演示时间及地点：</w:t>
            </w:r>
            <w:r>
              <w:rPr>
                <w:rFonts w:hint="eastAsia" w:ascii="宋体"/>
                <w:szCs w:val="21"/>
                <w:u w:val="single"/>
              </w:rPr>
              <w:t xml:space="preserve">         无         </w:t>
            </w:r>
            <w:r>
              <w:rPr>
                <w:rFonts w:hint="eastAsia" w:ascii="宋体"/>
                <w:szCs w:val="21"/>
              </w:rPr>
              <w:t>。</w:t>
            </w:r>
          </w:p>
        </w:tc>
      </w:tr>
      <w:tr w14:paraId="1D314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14:paraId="03DAE710">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654BDBC0">
            <w:pPr>
              <w:snapToGrid w:val="0"/>
              <w:spacing w:line="360" w:lineRule="exact"/>
              <w:rPr>
                <w:rFonts w:hint="eastAsia" w:ascii="宋体"/>
                <w:szCs w:val="21"/>
              </w:rPr>
            </w:pPr>
            <w:r>
              <w:rPr>
                <w:rFonts w:hint="eastAsia" w:ascii="宋体"/>
                <w:szCs w:val="21"/>
              </w:rPr>
              <w:t>答疑、澄清：投标人如认为招标文件表述不清晰、有误或有不合理要求的，应以书面形式要求采购人或者本公司作出书面答疑、澄清；</w:t>
            </w:r>
          </w:p>
          <w:p w14:paraId="5025C72C">
            <w:pPr>
              <w:snapToGrid w:val="0"/>
              <w:spacing w:line="360" w:lineRule="exact"/>
              <w:rPr>
                <w:rFonts w:hint="eastAsia" w:ascii="宋体"/>
                <w:szCs w:val="21"/>
              </w:rPr>
            </w:pPr>
            <w:r>
              <w:rPr>
                <w:rFonts w:hint="eastAsia" w:ascii="宋体"/>
                <w:szCs w:val="21"/>
              </w:rPr>
              <w:t>询问、质疑：投标人如认为招标文件存在歧视性、排他性或者其他违法内容的，按投标人须知“一、总则（九）询问、质疑和投诉”中的要求向采购人或者本公司提出书面询问、质疑。</w:t>
            </w:r>
          </w:p>
          <w:p w14:paraId="4F480E51">
            <w:pPr>
              <w:snapToGrid w:val="0"/>
              <w:spacing w:line="360" w:lineRule="exact"/>
              <w:rPr>
                <w:rFonts w:hint="eastAsia" w:ascii="宋体"/>
                <w:szCs w:val="21"/>
              </w:rPr>
            </w:pPr>
            <w:r>
              <w:rPr>
                <w:rFonts w:hint="eastAsia" w:ascii="宋体"/>
                <w:szCs w:val="21"/>
              </w:rPr>
              <w:t>答疑、澄清内容是招标文件的组成部分，本公司将以书面形式送达所有已报名的投标人；本公司可以视采购具体情况，延长招标文件或者资格预审文件提供期限，并在财政部门指定的政府采购信息发布媒体上发布公告。</w:t>
            </w:r>
          </w:p>
        </w:tc>
      </w:tr>
      <w:tr w14:paraId="75418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4AC1C40F">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39A78480">
            <w:pPr>
              <w:autoSpaceDE w:val="0"/>
              <w:autoSpaceDN w:val="0"/>
              <w:snapToGrid w:val="0"/>
              <w:spacing w:line="360" w:lineRule="exact"/>
              <w:textAlignment w:val="bottom"/>
              <w:rPr>
                <w:rFonts w:hint="eastAsia" w:ascii="宋体"/>
                <w:szCs w:val="21"/>
              </w:rPr>
            </w:pPr>
            <w:r>
              <w:rPr>
                <w:rFonts w:hint="eastAsia" w:ascii="宋体"/>
                <w:szCs w:val="21"/>
              </w:rPr>
              <w:t>投标文件形式：投标供应商应准备电子投标文件。</w:t>
            </w:r>
          </w:p>
          <w:p w14:paraId="042A3396">
            <w:pPr>
              <w:autoSpaceDE w:val="0"/>
              <w:autoSpaceDN w:val="0"/>
              <w:snapToGrid w:val="0"/>
              <w:spacing w:line="360" w:lineRule="exact"/>
              <w:textAlignment w:val="bottom"/>
              <w:rPr>
                <w:rFonts w:hint="eastAsia" w:ascii="宋体"/>
                <w:szCs w:val="21"/>
              </w:rPr>
            </w:pPr>
            <w:r>
              <w:rPr>
                <w:rFonts w:hint="eastAsia" w:ascii="宋体"/>
                <w:szCs w:val="21"/>
              </w:rPr>
              <w:t>电子投标文件是指通过“广西政府采购云平台电子投标客户端”完成投标文件编制后生成并加密的数据电文形式的电子加密投标文件。</w:t>
            </w:r>
          </w:p>
        </w:tc>
      </w:tr>
      <w:tr w14:paraId="581A4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2EE582F5">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34D06502">
            <w:pPr>
              <w:autoSpaceDE w:val="0"/>
              <w:autoSpaceDN w:val="0"/>
              <w:snapToGrid w:val="0"/>
              <w:spacing w:line="360" w:lineRule="exact"/>
              <w:textAlignment w:val="bottom"/>
              <w:rPr>
                <w:rFonts w:hint="eastAsia" w:ascii="宋体"/>
                <w:szCs w:val="21"/>
              </w:rPr>
            </w:pPr>
            <w:r>
              <w:rPr>
                <w:rFonts w:hint="eastAsia" w:ascii="宋体"/>
                <w:szCs w:val="21"/>
              </w:rPr>
              <w:t>投标文件的编制：供应商应先安装“广西政府采购云平台电子投标客户端”，并按照本招标文件和“广西政府采购云平台”的要求，通过“广西政府采购云平台电子投标客户端”编制并加密投标文件。</w:t>
            </w:r>
          </w:p>
        </w:tc>
      </w:tr>
      <w:tr w14:paraId="7A4D7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62A961D1">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2DA6DF5A">
            <w:pPr>
              <w:autoSpaceDE w:val="0"/>
              <w:autoSpaceDN w:val="0"/>
              <w:snapToGrid w:val="0"/>
              <w:spacing w:line="360" w:lineRule="exact"/>
              <w:textAlignment w:val="bottom"/>
              <w:rPr>
                <w:rFonts w:hint="eastAsia" w:ascii="宋体"/>
                <w:szCs w:val="21"/>
              </w:rPr>
            </w:pPr>
            <w:r>
              <w:rPr>
                <w:rFonts w:hint="eastAsia" w:ascii="宋体"/>
                <w:szCs w:val="21"/>
              </w:rPr>
              <w:t>投标文件的盖章：投标文件中所涉及的加盖公章均采用CA电子签章。</w:t>
            </w:r>
          </w:p>
        </w:tc>
      </w:tr>
      <w:tr w14:paraId="7D73C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037F0221">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10DCC108">
            <w:pPr>
              <w:autoSpaceDE w:val="0"/>
              <w:autoSpaceDN w:val="0"/>
              <w:snapToGrid w:val="0"/>
              <w:spacing w:line="360" w:lineRule="exact"/>
              <w:textAlignment w:val="bottom"/>
              <w:rPr>
                <w:rFonts w:hint="eastAsia" w:ascii="宋体"/>
                <w:szCs w:val="21"/>
              </w:rPr>
            </w:pPr>
            <w:r>
              <w:rPr>
                <w:rFonts w:hint="eastAsia" w:ascii="宋体"/>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14:paraId="243EF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28C48CBF">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1CB2A5FD">
            <w:pPr>
              <w:autoSpaceDE w:val="0"/>
              <w:autoSpaceDN w:val="0"/>
              <w:snapToGrid w:val="0"/>
              <w:spacing w:line="360" w:lineRule="exact"/>
              <w:textAlignment w:val="bottom"/>
              <w:rPr>
                <w:rFonts w:hint="eastAsia" w:ascii="宋体"/>
                <w:szCs w:val="21"/>
              </w:rPr>
            </w:pPr>
            <w:r>
              <w:rPr>
                <w:rFonts w:hint="eastAsia" w:ascii="宋体"/>
                <w:szCs w:val="21"/>
              </w:rPr>
              <w:t>投标文件份数：电子加密投标文件在线上传提交一份。</w:t>
            </w:r>
          </w:p>
        </w:tc>
      </w:tr>
      <w:tr w14:paraId="11E84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48" w:type="dxa"/>
            <w:tcBorders>
              <w:top w:val="single" w:color="auto" w:sz="4" w:space="0"/>
              <w:left w:val="single" w:color="auto" w:sz="4" w:space="0"/>
              <w:bottom w:val="single" w:color="auto" w:sz="4" w:space="0"/>
              <w:right w:val="single" w:color="auto" w:sz="4" w:space="0"/>
            </w:tcBorders>
            <w:vAlign w:val="center"/>
          </w:tcPr>
          <w:p w14:paraId="469039DF">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49F0ED02">
            <w:pPr>
              <w:autoSpaceDE w:val="0"/>
              <w:autoSpaceDN w:val="0"/>
              <w:snapToGrid w:val="0"/>
              <w:spacing w:line="360" w:lineRule="exact"/>
              <w:textAlignment w:val="bottom"/>
              <w:rPr>
                <w:rFonts w:ascii="宋体"/>
                <w:szCs w:val="21"/>
              </w:rPr>
            </w:pPr>
            <w:r>
              <w:rPr>
                <w:rFonts w:hint="eastAsia" w:ascii="宋体"/>
                <w:szCs w:val="21"/>
              </w:rPr>
              <w:t>投标文件的上传和提交：本项目通过“广西政府采购云平台”</w:t>
            </w:r>
            <w:r>
              <w:rPr>
                <w:rFonts w:ascii="宋体"/>
                <w:szCs w:val="21"/>
              </w:rPr>
              <w:t>实行在线投标响应（电子投标），投标供应商应当在投标截止时间前，将生成的</w:t>
            </w:r>
            <w:r>
              <w:rPr>
                <w:rFonts w:hint="eastAsia" w:ascii="宋体"/>
                <w:szCs w:val="21"/>
              </w:rPr>
              <w:t>“</w:t>
            </w:r>
            <w:r>
              <w:rPr>
                <w:rFonts w:ascii="宋体"/>
                <w:szCs w:val="21"/>
              </w:rPr>
              <w:t>电子加密投标文件</w:t>
            </w:r>
            <w:r>
              <w:rPr>
                <w:rFonts w:hint="eastAsia" w:ascii="宋体"/>
                <w:szCs w:val="21"/>
              </w:rPr>
              <w:t>”</w:t>
            </w:r>
            <w:r>
              <w:rPr>
                <w:rFonts w:ascii="宋体"/>
                <w:szCs w:val="21"/>
              </w:rPr>
              <w:t>上传提交至</w:t>
            </w:r>
            <w:r>
              <w:rPr>
                <w:rFonts w:hint="eastAsia" w:ascii="宋体"/>
                <w:szCs w:val="21"/>
              </w:rPr>
              <w:t>“广西政府采购云平台”</w:t>
            </w:r>
            <w:r>
              <w:rPr>
                <w:rFonts w:ascii="宋体"/>
                <w:szCs w:val="21"/>
              </w:rPr>
              <w:t>。</w:t>
            </w:r>
          </w:p>
          <w:p w14:paraId="713DA079">
            <w:pPr>
              <w:autoSpaceDE w:val="0"/>
              <w:autoSpaceDN w:val="0"/>
              <w:snapToGrid w:val="0"/>
              <w:spacing w:line="360" w:lineRule="exact"/>
              <w:textAlignment w:val="bottom"/>
              <w:rPr>
                <w:rFonts w:ascii="宋体"/>
                <w:szCs w:val="21"/>
              </w:rPr>
            </w:pPr>
            <w:r>
              <w:rPr>
                <w:rFonts w:hint="eastAsia" w:ascii="宋体"/>
                <w:szCs w:val="21"/>
              </w:rPr>
              <w:t>“电子加密投标文件”的上传、提交：</w:t>
            </w:r>
          </w:p>
          <w:p w14:paraId="12C8BC4E">
            <w:pPr>
              <w:autoSpaceDE w:val="0"/>
              <w:autoSpaceDN w:val="0"/>
              <w:snapToGrid w:val="0"/>
              <w:spacing w:line="360" w:lineRule="exact"/>
              <w:textAlignment w:val="bottom"/>
              <w:rPr>
                <w:rFonts w:ascii="宋体"/>
                <w:szCs w:val="21"/>
              </w:rPr>
            </w:pPr>
            <w:r>
              <w:rPr>
                <w:rFonts w:hint="eastAsia" w:ascii="宋体"/>
                <w:szCs w:val="21"/>
              </w:rPr>
              <w:t>a.投标供应商应在投标截止时间前将“电子加密投标文件”成功上传提交至“广西政府采购云平台”，否则投标无效。</w:t>
            </w:r>
          </w:p>
          <w:p w14:paraId="4E48918C">
            <w:pPr>
              <w:autoSpaceDE w:val="0"/>
              <w:autoSpaceDN w:val="0"/>
              <w:snapToGrid w:val="0"/>
              <w:spacing w:line="360" w:lineRule="exact"/>
              <w:textAlignment w:val="bottom"/>
              <w:rPr>
                <w:rFonts w:hint="eastAsia" w:ascii="宋体"/>
                <w:szCs w:val="21"/>
              </w:rPr>
            </w:pPr>
            <w:r>
              <w:rPr>
                <w:rFonts w:hint="eastAsia" w:ascii="宋体"/>
                <w:szCs w:val="21"/>
              </w:rPr>
              <w:t>b.“电子加密投标文件”成功上传提交后，供应商可自行打印投标文件接收回执。</w:t>
            </w:r>
          </w:p>
        </w:tc>
      </w:tr>
      <w:tr w14:paraId="56031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19F81EF0">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75BC3F6D">
            <w:pPr>
              <w:autoSpaceDE w:val="0"/>
              <w:autoSpaceDN w:val="0"/>
              <w:snapToGrid w:val="0"/>
              <w:spacing w:line="360" w:lineRule="exact"/>
              <w:textAlignment w:val="bottom"/>
              <w:rPr>
                <w:rFonts w:hint="eastAsia" w:ascii="宋体"/>
                <w:szCs w:val="21"/>
              </w:rPr>
            </w:pPr>
            <w:r>
              <w:rPr>
                <w:rFonts w:hint="eastAsia" w:ascii="宋体"/>
                <w:szCs w:val="21"/>
              </w:rPr>
              <w:t>电子加密投标文件的解密：</w:t>
            </w:r>
          </w:p>
          <w:p w14:paraId="08F3660F">
            <w:pPr>
              <w:autoSpaceDE w:val="0"/>
              <w:autoSpaceDN w:val="0"/>
              <w:snapToGrid w:val="0"/>
              <w:spacing w:line="360" w:lineRule="exact"/>
              <w:textAlignment w:val="bottom"/>
              <w:rPr>
                <w:rFonts w:hint="eastAsia" w:ascii="宋体"/>
                <w:szCs w:val="21"/>
              </w:rPr>
            </w:pPr>
            <w:r>
              <w:rPr>
                <w:rFonts w:hint="eastAsia" w:ascii="宋体"/>
                <w:szCs w:val="21"/>
              </w:rPr>
              <w:t>开标后，采购代理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14:paraId="1E459E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14:paraId="69D90A70">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6FC210D1">
            <w:pPr>
              <w:snapToGrid w:val="0"/>
              <w:spacing w:line="360" w:lineRule="exact"/>
              <w:rPr>
                <w:rFonts w:hint="eastAsia" w:ascii="宋体"/>
                <w:szCs w:val="21"/>
              </w:rPr>
            </w:pPr>
            <w:r>
              <w:rPr>
                <w:rFonts w:hint="eastAsia" w:ascii="宋体"/>
                <w:szCs w:val="21"/>
              </w:rPr>
              <w:t>提交投标文件截止时间、开标时间和地点：</w:t>
            </w:r>
            <w:r>
              <w:rPr>
                <w:rFonts w:hint="eastAsia" w:ascii="宋体"/>
                <w:b/>
                <w:szCs w:val="21"/>
              </w:rPr>
              <w:t>详见本项目公开招标公告。</w:t>
            </w:r>
          </w:p>
        </w:tc>
      </w:tr>
      <w:tr w14:paraId="62096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14:paraId="72AEB299">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47D462D1">
            <w:pPr>
              <w:autoSpaceDE w:val="0"/>
              <w:autoSpaceDN w:val="0"/>
              <w:snapToGrid w:val="0"/>
              <w:spacing w:line="360" w:lineRule="exact"/>
              <w:textAlignment w:val="bottom"/>
              <w:rPr>
                <w:rFonts w:hint="eastAsia" w:ascii="宋体"/>
                <w:szCs w:val="21"/>
              </w:rPr>
            </w:pPr>
            <w:r>
              <w:rPr>
                <w:rFonts w:hint="eastAsia" w:ascii="宋体"/>
                <w:szCs w:val="21"/>
              </w:rPr>
              <w:t>评标方法：综合评分法。</w:t>
            </w:r>
          </w:p>
        </w:tc>
      </w:tr>
      <w:tr w14:paraId="6566A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14:paraId="6F6C93D3">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4F867936">
            <w:pPr>
              <w:autoSpaceDE w:val="0"/>
              <w:autoSpaceDN w:val="0"/>
              <w:snapToGrid w:val="0"/>
              <w:spacing w:line="360" w:lineRule="exact"/>
              <w:textAlignment w:val="bottom"/>
              <w:rPr>
                <w:rFonts w:hint="eastAsia" w:ascii="宋体"/>
                <w:szCs w:val="21"/>
              </w:rPr>
            </w:pPr>
            <w:r>
              <w:rPr>
                <w:rFonts w:hint="eastAsia" w:ascii="宋体"/>
                <w:szCs w:val="21"/>
              </w:rPr>
              <w:t>中标公告及中标通知书：采购代理机构在采购人依法确认中标人后二个工作日内发布中标公告和中标通知书，中标公告发布于财政部门指定的政府采购信息发布媒体。</w:t>
            </w:r>
          </w:p>
        </w:tc>
      </w:tr>
      <w:tr w14:paraId="692CF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14:paraId="18085A19">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0B8AC6CF">
            <w:pPr>
              <w:autoSpaceDE w:val="0"/>
              <w:autoSpaceDN w:val="0"/>
              <w:snapToGrid w:val="0"/>
              <w:spacing w:line="360" w:lineRule="exact"/>
              <w:textAlignment w:val="bottom"/>
              <w:rPr>
                <w:rFonts w:hint="eastAsia" w:ascii="宋体"/>
                <w:szCs w:val="21"/>
              </w:rPr>
            </w:pPr>
            <w:r>
              <w:rPr>
                <w:rFonts w:hint="eastAsia" w:ascii="宋体"/>
                <w:szCs w:val="21"/>
              </w:rPr>
              <w:t>采购资金来源：</w:t>
            </w:r>
            <w:r>
              <w:rPr>
                <w:rFonts w:hint="eastAsia"/>
              </w:rPr>
              <w:t>财政性资金</w:t>
            </w:r>
            <w:r>
              <w:rPr>
                <w:rFonts w:hint="eastAsia" w:ascii="宋体"/>
                <w:szCs w:val="21"/>
              </w:rPr>
              <w:t>。</w:t>
            </w:r>
          </w:p>
        </w:tc>
      </w:tr>
      <w:tr w14:paraId="7E9BE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14:paraId="4F58D5F8">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030E98E1">
            <w:pPr>
              <w:snapToGrid w:val="0"/>
              <w:spacing w:line="360" w:lineRule="exact"/>
              <w:rPr>
                <w:rFonts w:hint="eastAsia" w:ascii="宋体"/>
                <w:szCs w:val="21"/>
              </w:rPr>
            </w:pPr>
            <w:r>
              <w:rPr>
                <w:rFonts w:hint="eastAsia" w:ascii="宋体"/>
                <w:szCs w:val="21"/>
              </w:rPr>
              <w:t>付款方式：</w:t>
            </w:r>
            <w:r>
              <w:rPr>
                <w:rFonts w:hint="eastAsia" w:ascii="宋体" w:hAnsi="宋体" w:cs="宋体"/>
                <w:kern w:val="0"/>
                <w:szCs w:val="21"/>
              </w:rPr>
              <w:t>见招标项目采购需求。</w:t>
            </w:r>
          </w:p>
        </w:tc>
      </w:tr>
      <w:tr w14:paraId="42F35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14:paraId="7E06E2C6">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0DF4205D">
            <w:pPr>
              <w:snapToGrid w:val="0"/>
              <w:spacing w:line="360" w:lineRule="exact"/>
              <w:rPr>
                <w:rFonts w:hint="eastAsia" w:ascii="宋体"/>
                <w:szCs w:val="21"/>
              </w:rPr>
            </w:pPr>
            <w:r>
              <w:rPr>
                <w:rFonts w:hint="eastAsia" w:ascii="宋体"/>
                <w:szCs w:val="21"/>
              </w:rPr>
              <w:t>投标文件有效期：</w:t>
            </w:r>
            <w:r>
              <w:rPr>
                <w:rFonts w:hint="eastAsia" w:ascii="宋体" w:cs="Arial"/>
                <w:szCs w:val="21"/>
                <w:u w:val="single"/>
              </w:rPr>
              <w:t xml:space="preserve"> 60</w:t>
            </w:r>
            <w:r>
              <w:rPr>
                <w:rFonts w:hint="eastAsia" w:ascii="宋体" w:cs="Arial"/>
                <w:szCs w:val="21"/>
              </w:rPr>
              <w:t>天。</w:t>
            </w:r>
          </w:p>
        </w:tc>
      </w:tr>
      <w:tr w14:paraId="3BE80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648" w:type="dxa"/>
            <w:tcBorders>
              <w:top w:val="single" w:color="auto" w:sz="4" w:space="0"/>
              <w:left w:val="single" w:color="auto" w:sz="4" w:space="0"/>
              <w:bottom w:val="single" w:color="auto" w:sz="4" w:space="0"/>
              <w:right w:val="single" w:color="auto" w:sz="4" w:space="0"/>
            </w:tcBorders>
            <w:vAlign w:val="center"/>
          </w:tcPr>
          <w:p w14:paraId="01CD65D9">
            <w:pPr>
              <w:numPr>
                <w:ilvl w:val="0"/>
                <w:numId w:val="5"/>
              </w:numPr>
              <w:snapToGrid w:val="0"/>
              <w:spacing w:line="360" w:lineRule="exact"/>
              <w:jc w:val="center"/>
              <w:rPr>
                <w:rFonts w:hint="eastAsia" w:asci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14:paraId="181C4A48">
            <w:pPr>
              <w:snapToGrid w:val="0"/>
              <w:spacing w:line="360" w:lineRule="exact"/>
              <w:rPr>
                <w:rFonts w:hint="eastAsia"/>
              </w:rPr>
            </w:pPr>
            <w:r>
              <w:rPr>
                <w:rFonts w:hint="eastAsia"/>
              </w:rPr>
              <w:t>本招标文件解释权属广西国力招标有限公司。</w:t>
            </w:r>
          </w:p>
        </w:tc>
      </w:tr>
    </w:tbl>
    <w:p w14:paraId="6268021B">
      <w:pPr>
        <w:spacing w:line="720" w:lineRule="auto"/>
        <w:jc w:val="center"/>
        <w:rPr>
          <w:rFonts w:hint="eastAsia"/>
          <w:b/>
          <w:sz w:val="32"/>
          <w:szCs w:val="32"/>
        </w:rPr>
      </w:pPr>
      <w:r>
        <w:br w:type="page"/>
      </w:r>
      <w:r>
        <w:rPr>
          <w:rFonts w:hint="eastAsia"/>
          <w:b/>
          <w:sz w:val="32"/>
          <w:szCs w:val="32"/>
        </w:rPr>
        <w:t>投标人须知</w:t>
      </w:r>
    </w:p>
    <w:p w14:paraId="2682ED7D">
      <w:pPr>
        <w:pStyle w:val="26"/>
        <w:snapToGrid w:val="0"/>
        <w:spacing w:before="120" w:after="120" w:line="380" w:lineRule="exact"/>
        <w:jc w:val="center"/>
        <w:rPr>
          <w:rFonts w:hint="eastAsia"/>
          <w:b/>
        </w:rPr>
      </w:pPr>
      <w:r>
        <w:rPr>
          <w:rFonts w:hint="eastAsia"/>
          <w:b/>
        </w:rPr>
        <w:t>一、总  则</w:t>
      </w:r>
      <w:bookmarkStart w:id="46" w:name="_Toc254970668"/>
      <w:bookmarkStart w:id="47" w:name="_Toc254970527"/>
    </w:p>
    <w:p w14:paraId="3708D7CD">
      <w:pPr>
        <w:pStyle w:val="26"/>
        <w:snapToGrid w:val="0"/>
        <w:spacing w:before="120" w:after="120" w:line="370" w:lineRule="exact"/>
        <w:ind w:firstLine="420" w:firstLineChars="200"/>
        <w:rPr>
          <w:rFonts w:hint="eastAsia"/>
          <w:b/>
        </w:rPr>
      </w:pPr>
      <w:r>
        <w:rPr>
          <w:rFonts w:hint="eastAsia"/>
          <w:b/>
        </w:rPr>
        <w:t>（一） 适用范围</w:t>
      </w:r>
      <w:bookmarkEnd w:id="46"/>
      <w:bookmarkEnd w:id="47"/>
    </w:p>
    <w:p w14:paraId="2E2AB00E">
      <w:pPr>
        <w:pStyle w:val="26"/>
        <w:snapToGrid w:val="0"/>
        <w:spacing w:before="120" w:after="120" w:line="370" w:lineRule="exact"/>
        <w:ind w:firstLine="420" w:firstLineChars="200"/>
        <w:rPr>
          <w:rFonts w:hint="eastAsia"/>
        </w:rPr>
      </w:pPr>
      <w:r>
        <w:rPr>
          <w:rFonts w:hint="eastAsia"/>
        </w:rPr>
        <w:t>本招标文件适用于</w:t>
      </w:r>
      <w:r>
        <w:rPr>
          <w:rFonts w:hint="eastAsia"/>
          <w:bCs/>
        </w:rPr>
        <w:t>本项目</w:t>
      </w:r>
      <w:r>
        <w:rPr>
          <w:rFonts w:hint="eastAsia"/>
        </w:rPr>
        <w:t>的招标、投标、评标、定标、验收、合同履约、付款等行为（法律、法规另有规定的，从其规定）。</w:t>
      </w:r>
      <w:bookmarkStart w:id="48" w:name="_Toc254970528"/>
      <w:bookmarkStart w:id="49" w:name="_Toc254970669"/>
    </w:p>
    <w:p w14:paraId="380D4B92">
      <w:pPr>
        <w:pStyle w:val="26"/>
        <w:snapToGrid w:val="0"/>
        <w:spacing w:before="120" w:after="120" w:line="370" w:lineRule="exact"/>
        <w:ind w:firstLine="420" w:firstLineChars="200"/>
        <w:rPr>
          <w:rFonts w:hint="eastAsia"/>
          <w:b/>
        </w:rPr>
      </w:pPr>
      <w:r>
        <w:rPr>
          <w:rFonts w:hint="eastAsia"/>
          <w:b/>
        </w:rPr>
        <w:t>（二）定义</w:t>
      </w:r>
      <w:bookmarkEnd w:id="48"/>
      <w:bookmarkEnd w:id="49"/>
    </w:p>
    <w:p w14:paraId="276E8777">
      <w:pPr>
        <w:snapToGrid w:val="0"/>
        <w:spacing w:line="370" w:lineRule="exact"/>
        <w:ind w:firstLine="420" w:firstLineChars="200"/>
        <w:jc w:val="left"/>
        <w:rPr>
          <w:rFonts w:hint="eastAsia" w:hAnsi="宋体"/>
        </w:rPr>
      </w:pPr>
      <w:r>
        <w:rPr>
          <w:rFonts w:hint="eastAsia" w:ascii="宋体" w:hAnsi="宋体"/>
          <w:szCs w:val="21"/>
        </w:rPr>
        <w:t>1.</w:t>
      </w:r>
      <w:r>
        <w:rPr>
          <w:rFonts w:hint="eastAsia" w:hAnsi="宋体"/>
        </w:rPr>
        <w:t xml:space="preserve"> “采购人”系指组织本次招标的采购单位。</w:t>
      </w:r>
    </w:p>
    <w:p w14:paraId="69255D6F">
      <w:pPr>
        <w:snapToGrid w:val="0"/>
        <w:spacing w:line="370" w:lineRule="exact"/>
        <w:ind w:firstLine="420" w:firstLineChars="200"/>
        <w:jc w:val="left"/>
        <w:rPr>
          <w:rFonts w:hint="eastAsia" w:ascii="宋体" w:hAnsi="宋体"/>
          <w:szCs w:val="21"/>
        </w:rPr>
      </w:pPr>
      <w:r>
        <w:rPr>
          <w:rFonts w:hint="eastAsia" w:ascii="宋体" w:hAnsi="宋体"/>
          <w:szCs w:val="21"/>
        </w:rPr>
        <w:t>2.</w:t>
      </w:r>
      <w:r>
        <w:rPr>
          <w:rFonts w:hint="eastAsia" w:hAnsi="宋体"/>
        </w:rPr>
        <w:t xml:space="preserve"> “采购代理机构”系指广西国力招标有限公司（以下简称“本公司”）。</w:t>
      </w:r>
    </w:p>
    <w:p w14:paraId="0974E9B3">
      <w:pPr>
        <w:snapToGrid w:val="0"/>
        <w:spacing w:line="370" w:lineRule="exact"/>
        <w:ind w:firstLine="420" w:firstLineChars="200"/>
        <w:jc w:val="left"/>
        <w:rPr>
          <w:rFonts w:hint="eastAsia" w:ascii="宋体" w:hAnsi="宋体"/>
          <w:szCs w:val="21"/>
        </w:rPr>
      </w:pPr>
      <w:r>
        <w:rPr>
          <w:rFonts w:hint="eastAsia" w:ascii="宋体" w:hAnsi="宋体"/>
          <w:szCs w:val="21"/>
        </w:rPr>
        <w:t>3.</w:t>
      </w:r>
      <w:r>
        <w:rPr>
          <w:rFonts w:hint="eastAsia" w:hAnsi="宋体"/>
        </w:rPr>
        <w:t xml:space="preserve"> “投标人”系指响应招标、参加投标竞争的法人、其他组织或者自然人。</w:t>
      </w:r>
    </w:p>
    <w:p w14:paraId="499C1F69">
      <w:pPr>
        <w:pStyle w:val="26"/>
        <w:snapToGrid w:val="0"/>
        <w:spacing w:before="120" w:after="120" w:line="370" w:lineRule="exact"/>
        <w:ind w:firstLine="420" w:firstLineChars="200"/>
        <w:rPr>
          <w:rFonts w:hint="eastAsia"/>
        </w:rPr>
      </w:pPr>
      <w:r>
        <w:rPr>
          <w:rFonts w:hint="eastAsia"/>
        </w:rPr>
        <w:t>4.“产品”系指供方按招标文件规定，须向采购人提供的一切设备、保险、税金、备品备件、工具、手册及其它有关技术资料和材料。</w:t>
      </w:r>
    </w:p>
    <w:p w14:paraId="6E3D30D8">
      <w:pPr>
        <w:pStyle w:val="26"/>
        <w:snapToGrid w:val="0"/>
        <w:spacing w:before="120" w:after="120" w:line="370" w:lineRule="exact"/>
        <w:ind w:firstLine="420" w:firstLineChars="200"/>
        <w:rPr>
          <w:rFonts w:hint="eastAsia"/>
        </w:rPr>
      </w:pPr>
      <w:r>
        <w:rPr>
          <w:rFonts w:hint="eastAsia"/>
        </w:rPr>
        <w:t>5.“服务”系指招标文件规定投标人须承担的安装、调试、技术协助、校准、培训、技术指导以及其他类似的义务。</w:t>
      </w:r>
    </w:p>
    <w:p w14:paraId="3D180690">
      <w:pPr>
        <w:pStyle w:val="26"/>
        <w:snapToGrid w:val="0"/>
        <w:spacing w:before="120" w:after="120" w:line="370" w:lineRule="exact"/>
        <w:ind w:firstLine="420" w:firstLineChars="200"/>
        <w:rPr>
          <w:rFonts w:hint="eastAsia"/>
        </w:rPr>
      </w:pPr>
      <w:r>
        <w:rPr>
          <w:rFonts w:hint="eastAsia"/>
        </w:rPr>
        <w:t>6.“项目”系指投标人按招标文件规定向采购人提供的产品和服务。</w:t>
      </w:r>
    </w:p>
    <w:p w14:paraId="69622495">
      <w:pPr>
        <w:pStyle w:val="26"/>
        <w:snapToGrid w:val="0"/>
        <w:spacing w:before="120" w:after="120" w:line="370" w:lineRule="exact"/>
        <w:ind w:firstLine="420" w:firstLineChars="200"/>
        <w:rPr>
          <w:rFonts w:hint="eastAsia"/>
        </w:rPr>
      </w:pPr>
      <w:r>
        <w:rPr>
          <w:rFonts w:hint="eastAsia"/>
        </w:rPr>
        <w:t>7.“书面形式”包括信函、传真、电报等。</w:t>
      </w:r>
    </w:p>
    <w:p w14:paraId="1D915205">
      <w:pPr>
        <w:pStyle w:val="26"/>
        <w:snapToGrid w:val="0"/>
        <w:spacing w:before="120" w:after="120" w:line="370" w:lineRule="exact"/>
        <w:ind w:firstLine="420" w:firstLineChars="200"/>
        <w:rPr>
          <w:rFonts w:hint="eastAsia"/>
        </w:rPr>
      </w:pPr>
      <w:r>
        <w:rPr>
          <w:rFonts w:hint="eastAsia"/>
        </w:rPr>
        <w:t>8.“▲”系指实质性要求条款。</w:t>
      </w:r>
      <w:bookmarkStart w:id="50" w:name="_Toc254970670"/>
      <w:bookmarkStart w:id="51" w:name="_Toc254970529"/>
    </w:p>
    <w:p w14:paraId="7D5E99F0">
      <w:pPr>
        <w:pStyle w:val="26"/>
        <w:snapToGrid w:val="0"/>
        <w:spacing w:before="120" w:after="120" w:line="370" w:lineRule="exact"/>
        <w:ind w:firstLine="420" w:firstLineChars="200"/>
        <w:rPr>
          <w:rFonts w:hint="eastAsia"/>
        </w:rPr>
      </w:pPr>
      <w:r>
        <w:rPr>
          <w:rFonts w:hint="eastAsia"/>
        </w:rPr>
        <w:t>9. “允许偏离的技术、性能指标或者辅助功能项目”系指不带“▲”的非实质性要求的技术指标、主要功能项目条款。</w:t>
      </w:r>
    </w:p>
    <w:p w14:paraId="29D6EF10">
      <w:pPr>
        <w:pStyle w:val="26"/>
        <w:snapToGrid w:val="0"/>
        <w:spacing w:before="120" w:after="120" w:line="370" w:lineRule="exact"/>
        <w:ind w:firstLine="420" w:firstLineChars="200"/>
        <w:rPr>
          <w:rFonts w:hint="eastAsia"/>
          <w:b/>
        </w:rPr>
      </w:pPr>
      <w:r>
        <w:rPr>
          <w:rFonts w:hint="eastAsia"/>
          <w:b/>
        </w:rPr>
        <w:t>（三）招标方式</w:t>
      </w:r>
      <w:bookmarkEnd w:id="50"/>
      <w:bookmarkEnd w:id="51"/>
    </w:p>
    <w:p w14:paraId="17FD805D">
      <w:pPr>
        <w:pStyle w:val="26"/>
        <w:snapToGrid w:val="0"/>
        <w:spacing w:before="120" w:after="120" w:line="370" w:lineRule="exact"/>
        <w:ind w:firstLine="420" w:firstLineChars="200"/>
        <w:rPr>
          <w:rFonts w:hint="eastAsia"/>
        </w:rPr>
      </w:pPr>
      <w:r>
        <w:rPr>
          <w:rFonts w:hint="eastAsia"/>
        </w:rPr>
        <w:t>公开招标方式。</w:t>
      </w:r>
      <w:bookmarkStart w:id="52" w:name="_Toc254970671"/>
      <w:bookmarkStart w:id="53" w:name="_Toc254970530"/>
    </w:p>
    <w:p w14:paraId="025E7887">
      <w:pPr>
        <w:pStyle w:val="26"/>
        <w:snapToGrid w:val="0"/>
        <w:spacing w:before="120" w:after="120" w:line="370" w:lineRule="exact"/>
        <w:ind w:firstLine="420" w:firstLineChars="200"/>
        <w:rPr>
          <w:rFonts w:hint="eastAsia"/>
          <w:b/>
        </w:rPr>
      </w:pPr>
      <w:r>
        <w:rPr>
          <w:rFonts w:hint="eastAsia"/>
          <w:b/>
        </w:rPr>
        <w:t>（四）投标委托</w:t>
      </w:r>
      <w:bookmarkEnd w:id="52"/>
      <w:bookmarkEnd w:id="53"/>
    </w:p>
    <w:p w14:paraId="79DED856">
      <w:pPr>
        <w:pStyle w:val="26"/>
        <w:snapToGrid w:val="0"/>
        <w:spacing w:before="120" w:after="120" w:line="370" w:lineRule="exact"/>
        <w:ind w:firstLine="420" w:firstLineChars="200"/>
        <w:rPr>
          <w:rFonts w:hint="eastAsia"/>
        </w:rPr>
      </w:pPr>
      <w:r>
        <w:rPr>
          <w:rFonts w:hint="eastAsia"/>
        </w:rPr>
        <w:t>如投标人代表不是法定代表人(负责人)，须有法定代表人(负责人)出具的授权委托书（格式见第六章《投标文件格式》）。</w:t>
      </w:r>
      <w:bookmarkStart w:id="54" w:name="_Toc254970531"/>
      <w:bookmarkStart w:id="55" w:name="_Toc254970672"/>
    </w:p>
    <w:p w14:paraId="476E89BE">
      <w:pPr>
        <w:pStyle w:val="26"/>
        <w:snapToGrid w:val="0"/>
        <w:spacing w:before="120" w:after="120" w:line="370" w:lineRule="exact"/>
        <w:ind w:firstLine="420" w:firstLineChars="200"/>
        <w:rPr>
          <w:rFonts w:hint="eastAsia"/>
          <w:b/>
        </w:rPr>
      </w:pPr>
      <w:r>
        <w:rPr>
          <w:rFonts w:hint="eastAsia"/>
          <w:b/>
        </w:rPr>
        <w:t>（五）投标费用</w:t>
      </w:r>
      <w:bookmarkEnd w:id="54"/>
      <w:bookmarkEnd w:id="55"/>
    </w:p>
    <w:p w14:paraId="20C15580">
      <w:pPr>
        <w:pStyle w:val="26"/>
        <w:snapToGrid w:val="0"/>
        <w:spacing w:before="120" w:after="120" w:line="370" w:lineRule="exact"/>
        <w:ind w:firstLine="420" w:firstLineChars="200"/>
        <w:rPr>
          <w:rFonts w:hint="eastAsia"/>
        </w:rPr>
      </w:pPr>
      <w:r>
        <w:rPr>
          <w:rFonts w:hint="eastAsia"/>
        </w:rPr>
        <w:t>投标人均应自行承担所有与投标有关的全部费用（招标文件有相关的规定除外）。</w:t>
      </w:r>
    </w:p>
    <w:p w14:paraId="019EC6AF">
      <w:pPr>
        <w:pStyle w:val="26"/>
        <w:snapToGrid w:val="0"/>
        <w:spacing w:before="120" w:after="120" w:line="370" w:lineRule="exact"/>
        <w:ind w:firstLine="420" w:firstLineChars="200"/>
        <w:rPr>
          <w:rFonts w:hint="eastAsia"/>
          <w:b/>
        </w:rPr>
      </w:pPr>
      <w:r>
        <w:rPr>
          <w:rFonts w:hint="eastAsia"/>
          <w:b/>
        </w:rPr>
        <w:t>（六）联合体投标</w:t>
      </w:r>
    </w:p>
    <w:p w14:paraId="2C2915F0">
      <w:pPr>
        <w:snapToGrid w:val="0"/>
        <w:spacing w:line="360" w:lineRule="exact"/>
        <w:ind w:firstLine="420" w:firstLineChars="200"/>
        <w:jc w:val="left"/>
        <w:rPr>
          <w:rFonts w:hint="eastAsia" w:ascii="宋体" w:hAnsi="宋体"/>
        </w:rPr>
      </w:pPr>
      <w:r>
        <w:rPr>
          <w:rFonts w:hint="eastAsia" w:hAnsi="宋体"/>
        </w:rPr>
        <w:t>本项目明确不接受联合体形式投标，本招标文件所有相关联合体要求及格式文件均不适用。投标人以联合体形式参加投标的，投标无效。</w:t>
      </w:r>
    </w:p>
    <w:p w14:paraId="5CF93934">
      <w:pPr>
        <w:pStyle w:val="26"/>
        <w:snapToGrid w:val="0"/>
        <w:spacing w:before="120" w:after="120" w:line="370" w:lineRule="exact"/>
        <w:ind w:firstLine="420" w:firstLineChars="200"/>
        <w:rPr>
          <w:rFonts w:hint="eastAsia" w:cs="宋体"/>
          <w:b/>
          <w:kern w:val="0"/>
        </w:rPr>
      </w:pPr>
      <w:r>
        <w:rPr>
          <w:rFonts w:hint="eastAsia"/>
          <w:b/>
        </w:rPr>
        <w:t>（七）</w:t>
      </w:r>
      <w:r>
        <w:rPr>
          <w:rFonts w:hint="eastAsia" w:cs="宋体"/>
          <w:b/>
          <w:kern w:val="0"/>
        </w:rPr>
        <w:t>转包与分包</w:t>
      </w:r>
    </w:p>
    <w:p w14:paraId="0E99B516">
      <w:pPr>
        <w:pStyle w:val="26"/>
        <w:snapToGrid w:val="0"/>
        <w:spacing w:before="120" w:after="120" w:line="370" w:lineRule="exact"/>
        <w:ind w:firstLine="420" w:firstLineChars="200"/>
        <w:rPr>
          <w:rFonts w:hint="eastAsia" w:cs="宋体"/>
          <w:kern w:val="0"/>
        </w:rPr>
      </w:pPr>
      <w:r>
        <w:rPr>
          <w:rFonts w:hint="eastAsia" w:cs="宋体"/>
          <w:kern w:val="0"/>
        </w:rPr>
        <w:t>1.本项目不允许转包。</w:t>
      </w:r>
    </w:p>
    <w:p w14:paraId="2DEA61D9">
      <w:pPr>
        <w:pStyle w:val="26"/>
        <w:snapToGrid w:val="0"/>
        <w:spacing w:before="120" w:after="120" w:line="370" w:lineRule="exact"/>
        <w:ind w:firstLine="420" w:firstLineChars="200"/>
        <w:rPr>
          <w:rFonts w:hint="eastAsia" w:cs="宋体"/>
          <w:kern w:val="0"/>
        </w:rPr>
      </w:pPr>
      <w:r>
        <w:rPr>
          <w:rFonts w:hint="eastAsia" w:cs="宋体"/>
          <w:kern w:val="0"/>
        </w:rPr>
        <w:t>2.本项目不可以分包。</w:t>
      </w:r>
      <w:bookmarkStart w:id="56" w:name="_Toc254970532"/>
      <w:bookmarkStart w:id="57" w:name="_Toc254970673"/>
    </w:p>
    <w:p w14:paraId="7EFF0DEF">
      <w:pPr>
        <w:pStyle w:val="26"/>
        <w:snapToGrid w:val="0"/>
        <w:spacing w:before="120" w:after="120" w:line="370" w:lineRule="exact"/>
        <w:ind w:firstLine="420" w:firstLineChars="200"/>
        <w:rPr>
          <w:rFonts w:hint="eastAsia"/>
          <w:b/>
        </w:rPr>
      </w:pPr>
      <w:r>
        <w:rPr>
          <w:rFonts w:hint="eastAsia"/>
          <w:b/>
        </w:rPr>
        <w:t>（八）特别说明：</w:t>
      </w:r>
      <w:bookmarkEnd w:id="56"/>
      <w:bookmarkEnd w:id="57"/>
    </w:p>
    <w:p w14:paraId="0ADDEEF7">
      <w:pPr>
        <w:pStyle w:val="26"/>
        <w:snapToGrid w:val="0"/>
        <w:spacing w:before="120" w:after="120" w:line="370" w:lineRule="exact"/>
        <w:ind w:firstLine="420" w:firstLineChars="200"/>
        <w:rPr>
          <w:rFonts w:hint="eastAsia"/>
        </w:rPr>
      </w:pPr>
      <w:bookmarkStart w:id="58" w:name="_Toc254970674"/>
      <w:bookmarkStart w:id="59" w:name="_Toc254970533"/>
      <w:r>
        <w:rPr>
          <w:rFonts w:hint="eastAsia"/>
        </w:rPr>
        <w:t>▲1.单位负责人为同一人或者存在直接控股、管理关系的不同供应商，不得参加同一合同项下的政府采购活动。</w:t>
      </w:r>
    </w:p>
    <w:p w14:paraId="34E50859">
      <w:pPr>
        <w:pStyle w:val="26"/>
        <w:snapToGrid w:val="0"/>
        <w:spacing w:before="120" w:after="120" w:line="370" w:lineRule="exact"/>
        <w:ind w:firstLine="420" w:firstLineChars="200"/>
        <w:rPr>
          <w:rFonts w:hint="eastAsia"/>
        </w:rPr>
      </w:pPr>
      <w:r>
        <w:rPr>
          <w:rFonts w:hint="eastAsia"/>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p w14:paraId="1D9D397D">
      <w:pPr>
        <w:pStyle w:val="26"/>
        <w:snapToGrid w:val="0"/>
        <w:spacing w:before="120" w:after="120" w:line="370" w:lineRule="exact"/>
        <w:ind w:firstLine="420" w:firstLineChars="200"/>
        <w:rPr>
          <w:rFonts w:hint="eastAsia"/>
        </w:rPr>
      </w:pPr>
      <w:r>
        <w:rPr>
          <w:rFonts w:hint="eastAsia"/>
        </w:rPr>
        <w:t>非单一产品采购项目中，多家投标人提供的招标文件中载明的核心产品品牌相同的，视为提供相同品牌产品。</w:t>
      </w:r>
    </w:p>
    <w:p w14:paraId="68FD2065">
      <w:pPr>
        <w:pStyle w:val="26"/>
        <w:snapToGrid w:val="0"/>
        <w:spacing w:before="120" w:after="120" w:line="370" w:lineRule="exact"/>
        <w:ind w:firstLine="420" w:firstLineChars="200"/>
        <w:rPr>
          <w:rFonts w:hint="eastAsia"/>
        </w:rPr>
      </w:pPr>
      <w:r>
        <w:rPr>
          <w:rFonts w:hint="eastAsia"/>
        </w:rPr>
        <w:t>▲3.投标人应仔细阅读招标文件的所有内容，按照招标文件的要求提交投标文件，并对所提供的全部资料的真实性承担法律责任。</w:t>
      </w:r>
    </w:p>
    <w:p w14:paraId="069371A5">
      <w:pPr>
        <w:pStyle w:val="26"/>
        <w:snapToGrid w:val="0"/>
        <w:spacing w:before="120" w:after="120" w:line="370" w:lineRule="exact"/>
        <w:ind w:firstLine="420" w:firstLineChars="200"/>
        <w:rPr>
          <w:rFonts w:hint="eastAsia"/>
        </w:rPr>
      </w:pPr>
      <w:r>
        <w:rPr>
          <w:rFonts w:hint="eastAsia"/>
        </w:rPr>
        <w:t>▲4.投标人在投标活动中提供任何虚假材料、互相串通投标，其投标无效，并报监管部门查处。</w:t>
      </w:r>
    </w:p>
    <w:p w14:paraId="4CD84394">
      <w:pPr>
        <w:pStyle w:val="26"/>
        <w:snapToGrid w:val="0"/>
        <w:spacing w:before="120" w:after="120" w:line="370" w:lineRule="exact"/>
        <w:ind w:firstLine="420" w:firstLineChars="200"/>
        <w:rPr>
          <w:b/>
          <w:bCs/>
        </w:rPr>
      </w:pPr>
      <w:r>
        <w:rPr>
          <w:rFonts w:hint="eastAsia"/>
          <w:b/>
          <w:bCs/>
        </w:rPr>
        <w:t>（九）</w:t>
      </w:r>
      <w:bookmarkEnd w:id="58"/>
      <w:bookmarkEnd w:id="59"/>
      <w:r>
        <w:rPr>
          <w:rFonts w:hint="eastAsia"/>
          <w:b/>
        </w:rPr>
        <w:t>询问、质疑和投诉</w:t>
      </w:r>
    </w:p>
    <w:p w14:paraId="78FBEA37">
      <w:pPr>
        <w:pStyle w:val="26"/>
        <w:snapToGrid w:val="0"/>
        <w:spacing w:line="370" w:lineRule="exact"/>
        <w:ind w:firstLine="420" w:firstLineChars="200"/>
        <w:rPr>
          <w:rFonts w:hint="eastAsia"/>
        </w:rPr>
      </w:pPr>
      <w:r>
        <w:rPr>
          <w:rFonts w:hint="eastAsia"/>
        </w:rPr>
        <w:t>1.投标人对政府采购活动事项有疑问的，可以向采购人、采购代理机构提出询问。</w:t>
      </w:r>
    </w:p>
    <w:p w14:paraId="582397D7">
      <w:pPr>
        <w:pStyle w:val="26"/>
        <w:snapToGrid w:val="0"/>
        <w:spacing w:line="370" w:lineRule="exact"/>
        <w:ind w:firstLine="420" w:firstLineChars="200"/>
        <w:rPr>
          <w:rFonts w:hint="eastAsia"/>
        </w:rPr>
      </w:pPr>
      <w:r>
        <w:rPr>
          <w:rFonts w:hint="eastAsia"/>
        </w:rPr>
        <w:t>2.投标人认为招标文件、招标过程或中标结果使自己的合法权益受到损害的，应当在知道或者应知其权益受到损害之日起七个工作日内，以书面形式向采购人、采购代理机构提出质疑，投标人在法定质疑期内必须一次性提出针对同一采购程序环节的质疑。具体计算时间如下：</w:t>
      </w:r>
    </w:p>
    <w:p w14:paraId="3DCCCBCD">
      <w:pPr>
        <w:pStyle w:val="26"/>
        <w:snapToGrid w:val="0"/>
        <w:spacing w:line="370" w:lineRule="exact"/>
        <w:ind w:firstLine="420" w:firstLineChars="200"/>
        <w:rPr>
          <w:rFonts w:hint="eastAsia"/>
        </w:rPr>
      </w:pPr>
      <w:r>
        <w:t>（</w:t>
      </w:r>
      <w:r>
        <w:rPr>
          <w:rFonts w:hint="eastAsia"/>
        </w:rPr>
        <w:t>1</w:t>
      </w:r>
      <w:r>
        <w:t>）</w:t>
      </w:r>
      <w:r>
        <w:rPr>
          <w:rFonts w:hint="eastAsia"/>
        </w:rPr>
        <w:t>对可以质疑的采购文件提出质疑的，为收到采购文件之日或者采购文件公告期限届满之日</w:t>
      </w:r>
      <w:r>
        <w:t>；</w:t>
      </w:r>
    </w:p>
    <w:p w14:paraId="4EB88D79">
      <w:pPr>
        <w:pStyle w:val="26"/>
        <w:snapToGrid w:val="0"/>
        <w:spacing w:line="370" w:lineRule="exact"/>
        <w:ind w:firstLine="420" w:firstLineChars="200"/>
        <w:rPr>
          <w:rFonts w:hint="eastAsia"/>
        </w:rPr>
      </w:pPr>
      <w:r>
        <w:t>（</w:t>
      </w:r>
      <w:r>
        <w:rPr>
          <w:rFonts w:hint="eastAsia"/>
        </w:rPr>
        <w:t>2</w:t>
      </w:r>
      <w:r>
        <w:t>）对</w:t>
      </w:r>
      <w:r>
        <w:rPr>
          <w:rFonts w:hint="eastAsia"/>
        </w:rPr>
        <w:t>采购</w:t>
      </w:r>
      <w:r>
        <w:t>过程提出质疑的，为各采购程序环节结束之日；</w:t>
      </w:r>
    </w:p>
    <w:p w14:paraId="6BEB299D">
      <w:pPr>
        <w:pStyle w:val="26"/>
        <w:snapToGrid w:val="0"/>
        <w:spacing w:line="370" w:lineRule="exact"/>
        <w:ind w:firstLine="420" w:firstLineChars="200"/>
        <w:rPr>
          <w:rFonts w:hint="eastAsia"/>
        </w:rPr>
      </w:pPr>
      <w:r>
        <w:t>（</w:t>
      </w:r>
      <w:r>
        <w:rPr>
          <w:rFonts w:hint="eastAsia"/>
        </w:rPr>
        <w:t>3</w:t>
      </w:r>
      <w:r>
        <w:t>）对中标结果提出质疑的，为中标结果公告期限届满之日。</w:t>
      </w:r>
    </w:p>
    <w:p w14:paraId="1EC68679">
      <w:pPr>
        <w:pStyle w:val="26"/>
        <w:snapToGrid w:val="0"/>
        <w:spacing w:line="370" w:lineRule="exact"/>
        <w:ind w:firstLine="420" w:firstLineChars="200"/>
        <w:rPr>
          <w:rFonts w:hint="eastAsia"/>
        </w:rPr>
      </w:pPr>
      <w:r>
        <w:rPr>
          <w:rFonts w:hint="eastAsia"/>
        </w:rPr>
        <w:t>投标人对招标采购单位的质疑答复不满意或者招标采购单位未在规定时间内作出答复的，可以在答复期满后十五个工作日内向同级采购监管部门投诉。</w:t>
      </w:r>
    </w:p>
    <w:p w14:paraId="49EB1550">
      <w:pPr>
        <w:pStyle w:val="26"/>
        <w:snapToGrid w:val="0"/>
        <w:spacing w:line="370" w:lineRule="exact"/>
        <w:ind w:firstLine="420" w:firstLineChars="200"/>
        <w:rPr>
          <w:rFonts w:hint="eastAsia"/>
          <w:bCs/>
        </w:rPr>
      </w:pPr>
      <w:r>
        <w:rPr>
          <w:rFonts w:hint="eastAsia"/>
          <w:bCs/>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bookmarkStart w:id="60" w:name="_Toc254970675"/>
      <w:bookmarkStart w:id="61" w:name="_Toc254970534"/>
    </w:p>
    <w:p w14:paraId="0C5F9822">
      <w:pPr>
        <w:spacing w:line="370" w:lineRule="exact"/>
        <w:ind w:firstLine="420" w:firstLineChars="200"/>
        <w:rPr>
          <w:rFonts w:hint="eastAsia" w:ascii="宋体" w:hAnsi="宋体"/>
        </w:rPr>
      </w:pPr>
      <w:r>
        <w:rPr>
          <w:rFonts w:hint="eastAsia" w:ascii="宋体" w:hAnsi="宋体"/>
        </w:rPr>
        <w:t>4.供应商提出质疑应当提交质疑函和必要的证明材料。质疑函应当包括下列内容：</w:t>
      </w:r>
    </w:p>
    <w:p w14:paraId="3DDD4657">
      <w:pPr>
        <w:spacing w:line="370" w:lineRule="exact"/>
        <w:ind w:firstLine="420" w:firstLineChars="200"/>
        <w:rPr>
          <w:rFonts w:hint="eastAsia" w:ascii="宋体" w:hAnsi="宋体"/>
        </w:rPr>
      </w:pPr>
      <w:r>
        <w:rPr>
          <w:rFonts w:hint="eastAsia" w:ascii="宋体" w:hAnsi="宋体"/>
        </w:rPr>
        <w:t>（1）供应商的姓名或者名称、地址、邮编、联系人及联系电话；</w:t>
      </w:r>
    </w:p>
    <w:p w14:paraId="4AF923DF">
      <w:pPr>
        <w:spacing w:line="370" w:lineRule="exact"/>
        <w:ind w:firstLine="420" w:firstLineChars="200"/>
        <w:rPr>
          <w:rFonts w:hint="eastAsia" w:ascii="宋体" w:hAnsi="宋体"/>
        </w:rPr>
      </w:pPr>
      <w:r>
        <w:rPr>
          <w:rFonts w:hint="eastAsia" w:ascii="宋体" w:hAnsi="宋体"/>
        </w:rPr>
        <w:t>（2）质疑项目的名称、编号；</w:t>
      </w:r>
    </w:p>
    <w:p w14:paraId="18C122D4">
      <w:pPr>
        <w:spacing w:line="370" w:lineRule="exact"/>
        <w:ind w:firstLine="420" w:firstLineChars="200"/>
        <w:rPr>
          <w:rFonts w:hint="eastAsia" w:ascii="宋体" w:hAnsi="宋体"/>
        </w:rPr>
      </w:pPr>
      <w:r>
        <w:rPr>
          <w:rFonts w:hint="eastAsia" w:ascii="宋体" w:hAnsi="宋体"/>
        </w:rPr>
        <w:t>（3）具体、明确的质疑事项和与质疑事项相关的请求；</w:t>
      </w:r>
    </w:p>
    <w:p w14:paraId="4AE55895">
      <w:pPr>
        <w:spacing w:line="370" w:lineRule="exact"/>
        <w:ind w:firstLine="420" w:firstLineChars="200"/>
        <w:rPr>
          <w:rFonts w:hint="eastAsia" w:ascii="宋体" w:hAnsi="宋体"/>
        </w:rPr>
      </w:pPr>
      <w:r>
        <w:rPr>
          <w:rFonts w:hint="eastAsia" w:ascii="宋体" w:hAnsi="宋体"/>
        </w:rPr>
        <w:t>（4）事实依据；</w:t>
      </w:r>
    </w:p>
    <w:p w14:paraId="1C70BA54">
      <w:pPr>
        <w:spacing w:line="370" w:lineRule="exact"/>
        <w:ind w:firstLine="420" w:firstLineChars="200"/>
        <w:rPr>
          <w:rFonts w:hint="eastAsia" w:ascii="宋体" w:hAnsi="宋体"/>
        </w:rPr>
      </w:pPr>
      <w:r>
        <w:rPr>
          <w:rFonts w:hint="eastAsia" w:ascii="宋体" w:hAnsi="宋体"/>
        </w:rPr>
        <w:t>（5）必要的法律依据；</w:t>
      </w:r>
    </w:p>
    <w:p w14:paraId="1F4C351F">
      <w:pPr>
        <w:spacing w:line="370" w:lineRule="exact"/>
        <w:ind w:firstLine="420" w:firstLineChars="200"/>
        <w:rPr>
          <w:rFonts w:hint="eastAsia" w:ascii="宋体" w:hAnsi="宋体"/>
        </w:rPr>
      </w:pPr>
      <w:r>
        <w:rPr>
          <w:rFonts w:hint="eastAsia" w:ascii="宋体" w:hAnsi="宋体"/>
        </w:rPr>
        <w:t>（6）提出质疑的日期。</w:t>
      </w:r>
    </w:p>
    <w:p w14:paraId="3CFD846F">
      <w:pPr>
        <w:spacing w:line="370" w:lineRule="exact"/>
        <w:ind w:firstLine="420" w:firstLineChars="200"/>
        <w:rPr>
          <w:rFonts w:hint="eastAsia" w:ascii="宋体" w:hAnsi="宋体"/>
        </w:rPr>
      </w:pPr>
      <w:r>
        <w:rPr>
          <w:rFonts w:hint="eastAsia" w:ascii="宋体" w:hAnsi="宋体"/>
        </w:rPr>
        <w:t>供应商为自然人的，应当由本人签字；供应商为法人或者其他组织的，应当由法定代表人、主要负责人，或者其授权代表签字或者盖章，并加盖公章。</w:t>
      </w:r>
    </w:p>
    <w:p w14:paraId="0E636CFD">
      <w:pPr>
        <w:spacing w:line="370" w:lineRule="exact"/>
        <w:ind w:firstLine="420" w:firstLineChars="200"/>
        <w:rPr>
          <w:rFonts w:ascii="宋体" w:hAnsi="宋体"/>
        </w:rPr>
      </w:pPr>
      <w:r>
        <w:rPr>
          <w:rFonts w:hint="eastAsia" w:ascii="宋体" w:hAnsi="宋体"/>
        </w:rPr>
        <w:t>代理人提出质疑和投诉，应当提交供应商签署的授权委托书。</w:t>
      </w:r>
    </w:p>
    <w:p w14:paraId="6E502E1A">
      <w:pPr>
        <w:pStyle w:val="26"/>
        <w:snapToGrid w:val="0"/>
        <w:spacing w:line="370" w:lineRule="exact"/>
        <w:ind w:firstLine="420" w:firstLineChars="200"/>
        <w:rPr>
          <w:rFonts w:hAnsi="宋体"/>
        </w:rPr>
      </w:pPr>
      <w:r>
        <w:rPr>
          <w:rFonts w:hint="eastAsia" w:hAnsi="宋体"/>
        </w:rPr>
        <w:t>5.采购人、采购代理机构认为供应商质疑不成立，或者成立但未对中标结果构成影响的，继续开展采购活动；认为供应商质疑成立且影响或者可能影响中标结果的，按照下列情况处理：</w:t>
      </w:r>
    </w:p>
    <w:p w14:paraId="7E7B1FA1">
      <w:pPr>
        <w:pStyle w:val="26"/>
        <w:snapToGrid w:val="0"/>
        <w:spacing w:line="370" w:lineRule="exact"/>
        <w:ind w:firstLine="420" w:firstLineChars="200"/>
        <w:rPr>
          <w:rFonts w:hAnsi="宋体"/>
        </w:rPr>
      </w:pPr>
      <w:r>
        <w:rPr>
          <w:rFonts w:hint="eastAsia" w:hAnsi="宋体"/>
        </w:rPr>
        <w:t>（一）对采购文件提出的质疑，依法通过澄清或者修改可以继续开展采购活动的，澄清或者修改采购文件后继续开展采购活动；否则应当修改采购文件后重新开展采购活动。</w:t>
      </w:r>
    </w:p>
    <w:p w14:paraId="00463716">
      <w:pPr>
        <w:pStyle w:val="26"/>
        <w:snapToGrid w:val="0"/>
        <w:spacing w:line="370" w:lineRule="exact"/>
        <w:ind w:firstLine="420" w:firstLineChars="200"/>
        <w:rPr>
          <w:rFonts w:hAnsi="宋体"/>
        </w:rPr>
      </w:pPr>
      <w:r>
        <w:rPr>
          <w:rFonts w:hint="eastAsia" w:hAnsi="宋体"/>
        </w:rPr>
        <w:t>（二）对采购过程、中标结果提出的质疑，合格供应商符合法定数量时，可以从合格的中标候选人中另行确定中标供应商的，应当依法根据中标候选人推荐原则另行确定中标供应商；否则应当重新开展采购活动。</w:t>
      </w:r>
    </w:p>
    <w:p w14:paraId="08B57688">
      <w:pPr>
        <w:pStyle w:val="26"/>
        <w:snapToGrid w:val="0"/>
        <w:spacing w:line="370" w:lineRule="exact"/>
        <w:ind w:firstLine="420" w:firstLineChars="200"/>
        <w:rPr>
          <w:rFonts w:hAnsi="宋体"/>
        </w:rPr>
      </w:pPr>
      <w:r>
        <w:rPr>
          <w:rFonts w:hint="eastAsia" w:hAnsi="宋体"/>
        </w:rPr>
        <w:t>质疑答复导致中标结果改变的，采购人或者采购代理机构应当将有关情况书面报告本级财政部门。</w:t>
      </w:r>
    </w:p>
    <w:p w14:paraId="608AA49D">
      <w:pPr>
        <w:snapToGrid w:val="0"/>
        <w:spacing w:line="360" w:lineRule="exact"/>
        <w:ind w:firstLine="420"/>
        <w:jc w:val="left"/>
        <w:rPr>
          <w:rFonts w:hint="eastAsia" w:ascii="宋体" w:hAnsi="宋体"/>
        </w:rPr>
      </w:pPr>
      <w:r>
        <w:rPr>
          <w:rFonts w:hint="eastAsia" w:ascii="宋体" w:hAnsi="宋体"/>
        </w:rPr>
        <w:t>①质疑联系部门及电话为：广西国力招标有限公司                      0771-4915558</w:t>
      </w:r>
    </w:p>
    <w:p w14:paraId="00B4820F">
      <w:pPr>
        <w:snapToGrid w:val="0"/>
        <w:spacing w:line="360" w:lineRule="exact"/>
        <w:ind w:firstLine="420" w:firstLineChars="200"/>
        <w:jc w:val="left"/>
        <w:rPr>
          <w:rFonts w:hint="eastAsia" w:ascii="宋体" w:hAnsi="宋体"/>
        </w:rPr>
      </w:pPr>
      <w:r>
        <w:rPr>
          <w:rFonts w:hint="eastAsia" w:ascii="宋体" w:hAnsi="宋体"/>
        </w:rPr>
        <w:t>通讯地址：广西南宁市白沙大道53号松宇时代13楼</w:t>
      </w:r>
    </w:p>
    <w:p w14:paraId="24242EDB">
      <w:pPr>
        <w:snapToGrid w:val="0"/>
        <w:spacing w:line="360" w:lineRule="exact"/>
        <w:ind w:firstLine="420" w:firstLineChars="200"/>
        <w:jc w:val="left"/>
        <w:rPr>
          <w:rFonts w:hint="eastAsia" w:ascii="宋体" w:hAnsi="宋体"/>
        </w:rPr>
      </w:pPr>
      <w:r>
        <w:rPr>
          <w:rFonts w:hint="eastAsia" w:ascii="宋体" w:hAnsi="宋体"/>
        </w:rPr>
        <w:t>②投诉联系部门及电话为：广西壮族自治区财政厅政府采购监督管理处    0771-5331544</w:t>
      </w:r>
    </w:p>
    <w:p w14:paraId="280209A6">
      <w:pPr>
        <w:snapToGrid w:val="0"/>
        <w:spacing w:line="360" w:lineRule="exact"/>
        <w:ind w:firstLine="420" w:firstLineChars="200"/>
        <w:jc w:val="left"/>
        <w:rPr>
          <w:rFonts w:hint="eastAsia" w:ascii="宋体" w:hAnsi="宋体"/>
        </w:rPr>
      </w:pPr>
      <w:r>
        <w:rPr>
          <w:rFonts w:hint="eastAsia" w:ascii="宋体" w:hAnsi="宋体"/>
        </w:rPr>
        <w:t>通讯地址：广西南宁市桃源路69号</w:t>
      </w:r>
    </w:p>
    <w:p w14:paraId="6DE685DD">
      <w:pPr>
        <w:pStyle w:val="26"/>
        <w:snapToGrid w:val="0"/>
        <w:spacing w:line="370" w:lineRule="exact"/>
        <w:rPr>
          <w:rFonts w:hint="eastAsia"/>
          <w:bCs/>
        </w:rPr>
      </w:pPr>
    </w:p>
    <w:p w14:paraId="53D82925">
      <w:pPr>
        <w:pStyle w:val="26"/>
        <w:snapToGrid w:val="0"/>
        <w:spacing w:line="370" w:lineRule="exact"/>
        <w:jc w:val="center"/>
        <w:rPr>
          <w:rFonts w:hint="eastAsia"/>
          <w:b/>
        </w:rPr>
      </w:pPr>
      <w:r>
        <w:rPr>
          <w:rFonts w:hint="eastAsia"/>
          <w:b/>
        </w:rPr>
        <w:t>二、招标文件</w:t>
      </w:r>
      <w:bookmarkEnd w:id="60"/>
      <w:bookmarkEnd w:id="61"/>
    </w:p>
    <w:p w14:paraId="3F4C5EB0">
      <w:pPr>
        <w:pStyle w:val="26"/>
        <w:snapToGrid w:val="0"/>
        <w:spacing w:line="370" w:lineRule="exact"/>
        <w:ind w:firstLine="420" w:firstLineChars="200"/>
        <w:rPr>
          <w:rFonts w:hint="eastAsia"/>
          <w:b/>
        </w:rPr>
      </w:pPr>
      <w:r>
        <w:rPr>
          <w:rFonts w:hint="eastAsia"/>
          <w:b/>
        </w:rPr>
        <w:t>（一）招标文件的构成</w:t>
      </w:r>
    </w:p>
    <w:p w14:paraId="49A56FB0">
      <w:pPr>
        <w:pStyle w:val="26"/>
        <w:snapToGrid w:val="0"/>
        <w:spacing w:line="370" w:lineRule="exact"/>
        <w:ind w:firstLine="420" w:firstLineChars="200"/>
        <w:rPr>
          <w:rFonts w:hint="eastAsia"/>
        </w:rPr>
      </w:pPr>
      <w:r>
        <w:rPr>
          <w:rFonts w:hint="eastAsia"/>
        </w:rPr>
        <w:t>1.公开招标公告；</w:t>
      </w:r>
    </w:p>
    <w:p w14:paraId="0C55E9E3">
      <w:pPr>
        <w:pStyle w:val="26"/>
        <w:snapToGrid w:val="0"/>
        <w:spacing w:line="370" w:lineRule="exact"/>
        <w:ind w:firstLine="420" w:firstLineChars="200"/>
        <w:rPr>
          <w:rFonts w:hint="eastAsia"/>
        </w:rPr>
      </w:pPr>
      <w:r>
        <w:rPr>
          <w:rFonts w:hint="eastAsia"/>
        </w:rPr>
        <w:t>2.招标项目采购需求</w:t>
      </w:r>
    </w:p>
    <w:p w14:paraId="040B744B">
      <w:pPr>
        <w:pStyle w:val="26"/>
        <w:snapToGrid w:val="0"/>
        <w:spacing w:line="370" w:lineRule="exact"/>
        <w:ind w:firstLine="420" w:firstLineChars="200"/>
        <w:rPr>
          <w:rFonts w:hint="eastAsia"/>
        </w:rPr>
      </w:pPr>
      <w:r>
        <w:rPr>
          <w:rFonts w:hint="eastAsia"/>
        </w:rPr>
        <w:t>3.投标人须知；</w:t>
      </w:r>
    </w:p>
    <w:p w14:paraId="4ACFC752">
      <w:pPr>
        <w:pStyle w:val="26"/>
        <w:snapToGrid w:val="0"/>
        <w:spacing w:line="370" w:lineRule="exact"/>
        <w:ind w:firstLine="420" w:firstLineChars="200"/>
        <w:rPr>
          <w:rFonts w:hint="eastAsia"/>
        </w:rPr>
      </w:pPr>
      <w:r>
        <w:rPr>
          <w:rFonts w:hint="eastAsia"/>
        </w:rPr>
        <w:t>4.评标方法及评分标准；</w:t>
      </w:r>
    </w:p>
    <w:p w14:paraId="7998C4E0">
      <w:pPr>
        <w:pStyle w:val="26"/>
        <w:snapToGrid w:val="0"/>
        <w:spacing w:line="370" w:lineRule="exact"/>
        <w:ind w:firstLine="420" w:firstLineChars="200"/>
        <w:rPr>
          <w:rFonts w:hint="eastAsia"/>
        </w:rPr>
      </w:pPr>
      <w:r>
        <w:rPr>
          <w:rFonts w:hint="eastAsia"/>
        </w:rPr>
        <w:t>5.政府采购合同主要条款；</w:t>
      </w:r>
    </w:p>
    <w:p w14:paraId="2ACA3DF9">
      <w:pPr>
        <w:pStyle w:val="26"/>
        <w:snapToGrid w:val="0"/>
        <w:spacing w:line="370" w:lineRule="exact"/>
        <w:ind w:firstLine="420" w:firstLineChars="200"/>
        <w:rPr>
          <w:rFonts w:hint="eastAsia"/>
        </w:rPr>
      </w:pPr>
      <w:r>
        <w:rPr>
          <w:rFonts w:hint="eastAsia"/>
        </w:rPr>
        <w:t>6.投标文件格式。</w:t>
      </w:r>
    </w:p>
    <w:p w14:paraId="5245E3FA">
      <w:pPr>
        <w:pStyle w:val="26"/>
        <w:snapToGrid w:val="0"/>
        <w:spacing w:line="370" w:lineRule="exact"/>
        <w:ind w:firstLine="420" w:firstLineChars="200"/>
        <w:rPr>
          <w:rFonts w:hint="eastAsia"/>
          <w:b/>
        </w:rPr>
      </w:pPr>
      <w:r>
        <w:rPr>
          <w:rFonts w:hint="eastAsia"/>
          <w:b/>
        </w:rPr>
        <w:t>（二）投标人的风险</w:t>
      </w:r>
    </w:p>
    <w:p w14:paraId="7A3628BE">
      <w:pPr>
        <w:pStyle w:val="26"/>
        <w:snapToGrid w:val="0"/>
        <w:spacing w:line="370" w:lineRule="exact"/>
        <w:ind w:firstLine="420" w:firstLineChars="200"/>
        <w:rPr>
          <w:rFonts w:hint="eastAsia"/>
        </w:rPr>
      </w:pPr>
      <w:r>
        <w:rPr>
          <w:rFonts w:hint="eastAsia"/>
        </w:rPr>
        <w:t>1.投标人应认真阅读招标文件，按照招标文件的要求编制投标文件。投标文件应对招标文件提出的要求和条件作出实质性的响应。投标人没有按照招标文件要求提供全部资料，或者投标人没有对招标文件在各方面作出实质性响应是投标人的风险，并可能导致其投标被拒绝。</w:t>
      </w:r>
    </w:p>
    <w:p w14:paraId="5C78763B">
      <w:pPr>
        <w:pStyle w:val="26"/>
        <w:snapToGrid w:val="0"/>
        <w:spacing w:line="370" w:lineRule="exact"/>
        <w:ind w:firstLine="420" w:firstLineChars="200"/>
        <w:rPr>
          <w:rFonts w:hint="eastAsia"/>
        </w:rPr>
      </w:pPr>
      <w:r>
        <w:rPr>
          <w:rFonts w:hint="eastAsia"/>
        </w:rPr>
        <w:t>2.对招标文件提出的实质性要求和条件作出响应是指投标人必须对招标文件中涉及招标项目的价格、采购服务的服务要求及其它要求、合同主要条款等内容作出响应。</w:t>
      </w:r>
    </w:p>
    <w:p w14:paraId="239BA85F">
      <w:pPr>
        <w:pStyle w:val="26"/>
        <w:snapToGrid w:val="0"/>
        <w:spacing w:line="370" w:lineRule="exact"/>
        <w:ind w:firstLine="420" w:firstLineChars="200"/>
        <w:rPr>
          <w:rFonts w:hint="eastAsia"/>
          <w:b/>
        </w:rPr>
      </w:pPr>
      <w:r>
        <w:rPr>
          <w:rFonts w:hint="eastAsia"/>
          <w:b/>
        </w:rPr>
        <w:t>（三）招标文件的澄清与修改</w:t>
      </w:r>
    </w:p>
    <w:p w14:paraId="39321E05">
      <w:pPr>
        <w:pStyle w:val="26"/>
        <w:snapToGrid w:val="0"/>
        <w:spacing w:line="370" w:lineRule="exact"/>
        <w:ind w:firstLine="420" w:firstLineChars="200"/>
        <w:rPr>
          <w:rFonts w:hint="eastAsia"/>
        </w:rPr>
      </w:pPr>
      <w:r>
        <w:rPr>
          <w:rFonts w:hint="eastAsia"/>
        </w:rPr>
        <w:t xml:space="preserve">1. </w:t>
      </w:r>
      <w:r>
        <w:rPr>
          <w:rFonts w:hint="eastAsia"/>
          <w:bCs/>
        </w:rPr>
        <w:t>投标人应认真阅读本招标文件，发现其中有误或有不合理要求的，</w:t>
      </w:r>
      <w:r>
        <w:rPr>
          <w:rFonts w:hint="eastAsia" w:hAnsi="宋体"/>
          <w:bCs/>
        </w:rPr>
        <w:t>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w:t>
      </w:r>
      <w:r>
        <w:rPr>
          <w:rFonts w:hAnsi="宋体"/>
        </w:rPr>
        <w:t>采购人或者采购代理机构</w:t>
      </w:r>
      <w:r>
        <w:rPr>
          <w:rFonts w:hint="eastAsia" w:hAnsi="宋体"/>
        </w:rPr>
        <w:t>答疑、澄清</w:t>
      </w:r>
      <w:r>
        <w:rPr>
          <w:rFonts w:hint="eastAsia" w:hAnsi="宋体"/>
          <w:bCs/>
        </w:rPr>
        <w:t>。</w:t>
      </w:r>
      <w:r>
        <w:rPr>
          <w:rFonts w:hint="eastAsia"/>
          <w:bCs/>
        </w:rPr>
        <w:t>采购代理机构对已发出的招标文件进行必要澄清、答复、修改或补充</w:t>
      </w:r>
      <w:r>
        <w:rPr>
          <w:rFonts w:hint="eastAsia" w:hAnsi="宋体"/>
          <w:b/>
          <w:bCs/>
        </w:rPr>
        <w:t>的内容可能影响投标文件编制的</w:t>
      </w:r>
      <w:r>
        <w:rPr>
          <w:rFonts w:hint="eastAsia"/>
          <w:bCs/>
        </w:rPr>
        <w:t>，应当在招标文件要求提交投标文件截止时间15日前，在财政部门指定的政府采购信息发布媒体上发布更正公告，并以书面形式通知所有招标文件收受人。</w:t>
      </w:r>
    </w:p>
    <w:p w14:paraId="13C6BD62">
      <w:pPr>
        <w:pStyle w:val="26"/>
        <w:snapToGrid w:val="0"/>
        <w:spacing w:line="370" w:lineRule="exact"/>
        <w:ind w:firstLine="420" w:firstLineChars="200"/>
        <w:rPr>
          <w:rFonts w:hint="eastAsia"/>
        </w:rPr>
      </w:pPr>
      <w:r>
        <w:rPr>
          <w:rFonts w:hint="eastAsia"/>
        </w:rPr>
        <w:t>2. 招标文件澄清、答复、修改、补充的内容为招标文件的组成部分。当招标文件与招标文件的答复、澄清、修改、补充通知就同一内容的表述不一致时，以最后发出的书面文件为准。</w:t>
      </w:r>
    </w:p>
    <w:p w14:paraId="26C4BA5F">
      <w:pPr>
        <w:pStyle w:val="26"/>
        <w:snapToGrid w:val="0"/>
        <w:spacing w:line="370" w:lineRule="exact"/>
        <w:ind w:firstLine="420" w:firstLineChars="200"/>
        <w:rPr>
          <w:rFonts w:hint="eastAsia"/>
        </w:rPr>
      </w:pPr>
      <w:r>
        <w:rPr>
          <w:rFonts w:hint="eastAsia"/>
        </w:rPr>
        <w:t>3. 招标文件的澄清、答复、修改、补充都应该通过本采购代理机构以法定形式发布，采购人非通过本机构，不得擅自澄清、答复、修改、补充招标文件。</w:t>
      </w:r>
    </w:p>
    <w:p w14:paraId="2A5D4828">
      <w:pPr>
        <w:pStyle w:val="26"/>
        <w:snapToGrid w:val="0"/>
        <w:spacing w:line="370" w:lineRule="exact"/>
        <w:ind w:firstLine="420" w:firstLineChars="200"/>
        <w:rPr>
          <w:rFonts w:hint="eastAsia"/>
        </w:rPr>
      </w:pPr>
      <w:r>
        <w:rPr>
          <w:rFonts w:hint="eastAsia"/>
        </w:rPr>
        <w:t>4. 采购代理机构</w:t>
      </w:r>
      <w:r>
        <w:rPr>
          <w:rFonts w:hint="eastAsia" w:hAnsi="宋体"/>
        </w:rPr>
        <w:t>可以视采购具体情况，延长招标文件或者资格预审文件提供期限，并在财政部门指定的政府采购信息发布媒体上发布公告。</w:t>
      </w:r>
    </w:p>
    <w:p w14:paraId="6C816E46">
      <w:pPr>
        <w:pStyle w:val="26"/>
        <w:snapToGrid w:val="0"/>
        <w:spacing w:line="370" w:lineRule="exact"/>
        <w:rPr>
          <w:rFonts w:hint="eastAsia"/>
        </w:rPr>
      </w:pPr>
      <w:bookmarkStart w:id="62" w:name="_Toc254970535"/>
      <w:bookmarkStart w:id="63" w:name="_Toc254970676"/>
    </w:p>
    <w:p w14:paraId="3AE43C2D">
      <w:pPr>
        <w:pStyle w:val="26"/>
        <w:snapToGrid w:val="0"/>
        <w:spacing w:line="370" w:lineRule="exact"/>
        <w:jc w:val="center"/>
        <w:rPr>
          <w:rFonts w:hint="eastAsia"/>
          <w:b/>
        </w:rPr>
      </w:pPr>
      <w:r>
        <w:rPr>
          <w:rFonts w:hint="eastAsia"/>
          <w:b/>
        </w:rPr>
        <w:t>三、投标文件的编制</w:t>
      </w:r>
      <w:bookmarkEnd w:id="62"/>
      <w:bookmarkEnd w:id="63"/>
      <w:bookmarkStart w:id="64" w:name="_Toc254970536"/>
      <w:bookmarkStart w:id="65" w:name="_Toc254970677"/>
    </w:p>
    <w:p w14:paraId="30BF492D">
      <w:pPr>
        <w:pStyle w:val="26"/>
        <w:snapToGrid w:val="0"/>
        <w:spacing w:line="370" w:lineRule="exact"/>
        <w:ind w:firstLine="420" w:firstLineChars="200"/>
        <w:jc w:val="left"/>
        <w:rPr>
          <w:rFonts w:hint="eastAsia"/>
          <w:b/>
        </w:rPr>
      </w:pPr>
      <w:r>
        <w:rPr>
          <w:rFonts w:hint="eastAsia"/>
          <w:b/>
        </w:rPr>
        <w:t>（一）投标文件的组成</w:t>
      </w:r>
      <w:bookmarkEnd w:id="64"/>
      <w:bookmarkEnd w:id="65"/>
      <w:r>
        <w:rPr>
          <w:rFonts w:hint="eastAsia"/>
          <w:b/>
        </w:rPr>
        <w:t>（以下要求“必须提供”的，请按要求在投标文件中提供，否则作投标无效处理；其他如有请提供）</w:t>
      </w:r>
    </w:p>
    <w:p w14:paraId="275D7E1A">
      <w:pPr>
        <w:snapToGrid w:val="0"/>
        <w:spacing w:line="360" w:lineRule="exact"/>
        <w:ind w:firstLine="420" w:firstLineChars="200"/>
        <w:jc w:val="left"/>
        <w:rPr>
          <w:rFonts w:hint="eastAsia" w:ascii="宋体"/>
          <w:szCs w:val="21"/>
        </w:rPr>
      </w:pPr>
      <w:r>
        <w:rPr>
          <w:rFonts w:hint="eastAsia" w:ascii="宋体" w:hAnsi="宋体"/>
        </w:rPr>
        <w:t>投标文件由资格文件、商务技术文件、报价文件</w:t>
      </w:r>
      <w:r>
        <w:rPr>
          <w:rFonts w:hint="eastAsia" w:ascii="宋体"/>
          <w:b/>
          <w:szCs w:val="21"/>
        </w:rPr>
        <w:t>三部分</w:t>
      </w:r>
      <w:r>
        <w:rPr>
          <w:rFonts w:hint="eastAsia" w:ascii="宋体"/>
          <w:szCs w:val="21"/>
        </w:rPr>
        <w:t>组成。</w:t>
      </w:r>
      <w:r>
        <w:rPr>
          <w:rFonts w:hint="eastAsia" w:ascii="宋体"/>
          <w:b/>
          <w:szCs w:val="21"/>
        </w:rPr>
        <w:t>（扫描件或其他电子文件）</w:t>
      </w:r>
    </w:p>
    <w:p w14:paraId="763FAF52">
      <w:pPr>
        <w:snapToGrid w:val="0"/>
        <w:spacing w:beforeLines="50" w:line="360" w:lineRule="exact"/>
        <w:ind w:firstLine="411" w:firstLineChars="196"/>
        <w:jc w:val="left"/>
        <w:rPr>
          <w:rFonts w:hint="eastAsia" w:ascii="宋体" w:hAnsi="宋体"/>
          <w:b/>
          <w:szCs w:val="21"/>
        </w:rPr>
      </w:pPr>
      <w:r>
        <w:rPr>
          <w:rFonts w:hint="eastAsia" w:ascii="宋体" w:hAnsi="宋体"/>
          <w:b/>
          <w:szCs w:val="21"/>
        </w:rPr>
        <w:t>1.资格文件：</w:t>
      </w:r>
    </w:p>
    <w:p w14:paraId="6FA26320">
      <w:pPr>
        <w:snapToGrid w:val="0"/>
        <w:spacing w:line="360" w:lineRule="exact"/>
        <w:ind w:firstLine="411" w:firstLineChars="196"/>
        <w:jc w:val="left"/>
        <w:rPr>
          <w:rFonts w:hint="eastAsia" w:ascii="宋体" w:hAnsi="宋体"/>
          <w:szCs w:val="21"/>
        </w:rPr>
      </w:pPr>
      <w:r>
        <w:rPr>
          <w:rFonts w:hint="eastAsia" w:ascii="宋体" w:hAnsi="宋体"/>
          <w:szCs w:val="21"/>
        </w:rPr>
        <w:t>（1）有效的主体资格证明文件；</w:t>
      </w:r>
    </w:p>
    <w:p w14:paraId="1226F77D">
      <w:pPr>
        <w:spacing w:line="370" w:lineRule="exact"/>
        <w:rPr>
          <w:rFonts w:hint="eastAsia"/>
          <w:b/>
        </w:rPr>
      </w:pPr>
      <w:r>
        <w:rPr>
          <w:rFonts w:hint="eastAsia"/>
          <w:b/>
        </w:rPr>
        <w:t xml:space="preserve">    </w:t>
      </w:r>
      <w:r>
        <w:rPr>
          <w:rFonts w:hint="eastAsia" w:ascii="宋体" w:hAnsi="宋体"/>
        </w:rPr>
        <w:t xml:space="preserve"> 投标人有效的“主体资格证明文件”（如营业执照、事业单位法人证书、执业许可证、自然人身份证等）</w:t>
      </w:r>
      <w:r>
        <w:rPr>
          <w:rFonts w:hint="eastAsia" w:hAnsi="宋体"/>
        </w:rPr>
        <w:t>复印件</w:t>
      </w:r>
      <w:r>
        <w:rPr>
          <w:rFonts w:hint="eastAsia" w:ascii="宋体" w:hAnsi="宋体"/>
        </w:rPr>
        <w:t>，同时要加盖单位公章；</w:t>
      </w:r>
      <w:r>
        <w:rPr>
          <w:rFonts w:hint="eastAsia" w:ascii="宋体" w:hAnsi="宋体"/>
          <w:b/>
        </w:rPr>
        <w:t>（必须提供）</w:t>
      </w:r>
    </w:p>
    <w:p w14:paraId="0CC033E4">
      <w:pPr>
        <w:snapToGrid w:val="0"/>
        <w:spacing w:line="360" w:lineRule="exact"/>
        <w:ind w:firstLine="411" w:firstLineChars="196"/>
        <w:jc w:val="left"/>
        <w:rPr>
          <w:rFonts w:ascii="宋体" w:hAnsi="宋体"/>
          <w:szCs w:val="21"/>
        </w:rPr>
      </w:pPr>
      <w:r>
        <w:rPr>
          <w:rFonts w:hint="eastAsia" w:ascii="宋体" w:hAnsi="宋体"/>
          <w:szCs w:val="21"/>
        </w:rPr>
        <w:t>（2）投标截止之日前一年内投标人连续三个月的依法缴纳税费或依法免缴税费的证明；无纳税记录的，应提供由投标人所在地的税务部门出具的《依法纳税或依法免税证明》。</w:t>
      </w:r>
      <w:r>
        <w:rPr>
          <w:rFonts w:hint="eastAsia" w:ascii="宋体" w:hAnsi="宋体"/>
          <w:b/>
          <w:szCs w:val="21"/>
        </w:rPr>
        <w:t>（必须提供，新成立单位按实际提供）</w:t>
      </w:r>
    </w:p>
    <w:p w14:paraId="7AA8AC5E">
      <w:pPr>
        <w:snapToGrid w:val="0"/>
        <w:spacing w:line="360" w:lineRule="exact"/>
        <w:ind w:firstLine="411" w:firstLineChars="196"/>
        <w:jc w:val="left"/>
        <w:rPr>
          <w:rFonts w:hint="eastAsia" w:ascii="宋体" w:hAnsi="宋体"/>
          <w:szCs w:val="21"/>
        </w:rPr>
      </w:pPr>
      <w:r>
        <w:rPr>
          <w:rFonts w:hint="eastAsia" w:ascii="宋体" w:hAnsi="宋体"/>
          <w:szCs w:val="21"/>
        </w:rPr>
        <w:t>（3）投标截止之日前一年内投标人连续三个月的依法缴纳社保费的缴费凭证；无缴费记录的，应提供由投标人所在地社保等相关部门出具的《依法缴纳或依法免缴社保费证明》。</w:t>
      </w:r>
      <w:r>
        <w:rPr>
          <w:rFonts w:hint="eastAsia" w:ascii="宋体" w:hAnsi="宋体"/>
          <w:b/>
          <w:szCs w:val="21"/>
        </w:rPr>
        <w:t>（必须提供，新成立单位按实际提供）</w:t>
      </w:r>
    </w:p>
    <w:p w14:paraId="7FED301B">
      <w:pPr>
        <w:snapToGrid w:val="0"/>
        <w:spacing w:line="360" w:lineRule="exact"/>
        <w:jc w:val="left"/>
        <w:rPr>
          <w:rFonts w:hint="eastAsia" w:ascii="宋体" w:hAnsi="宋体"/>
          <w:b/>
          <w:szCs w:val="21"/>
        </w:rPr>
      </w:pPr>
      <w:r>
        <w:rPr>
          <w:rFonts w:hint="eastAsia" w:ascii="宋体" w:hAnsi="宋体"/>
          <w:b/>
          <w:szCs w:val="21"/>
        </w:rPr>
        <w:t xml:space="preserve">    </w:t>
      </w:r>
      <w:r>
        <w:rPr>
          <w:rFonts w:hint="eastAsia" w:ascii="宋体" w:hAnsi="宋体"/>
          <w:szCs w:val="21"/>
        </w:rPr>
        <w:t>（4）</w:t>
      </w:r>
      <w:r>
        <w:rPr>
          <w:rFonts w:ascii="宋体" w:hAnsi="宋体"/>
          <w:szCs w:val="21"/>
        </w:rPr>
        <w:t>财务状况报告</w:t>
      </w:r>
      <w:r>
        <w:rPr>
          <w:rFonts w:hint="eastAsia" w:ascii="宋体" w:hAnsi="宋体"/>
          <w:szCs w:val="21"/>
        </w:rPr>
        <w:t>。（</w:t>
      </w:r>
      <w:r>
        <w:rPr>
          <w:rFonts w:ascii="宋体" w:hAnsi="宋体"/>
          <w:szCs w:val="21"/>
          <w:u w:val="single"/>
        </w:rPr>
        <w:t>2024</w:t>
      </w:r>
      <w:r>
        <w:rPr>
          <w:rFonts w:hint="eastAsia" w:ascii="宋体" w:hAnsi="宋体"/>
          <w:szCs w:val="21"/>
        </w:rPr>
        <w:t>年度财务报表复印件，或者银行出具的资信证明，或者中国人民银行征信中心出具的信用报告（企业投标的提供企业信用报告，自然人投标的提供个人信用报告</w:t>
      </w:r>
      <w:r>
        <w:rPr>
          <w:rFonts w:hint="eastAsia" w:ascii="宋体" w:hAnsi="宋体"/>
        </w:rPr>
        <w:t>，投标人</w:t>
      </w:r>
      <w:r>
        <w:rPr>
          <w:rFonts w:ascii="宋体" w:hAnsi="宋体"/>
        </w:rPr>
        <w:t>属于成立时间在规定年度之后的法人或其他组织</w:t>
      </w:r>
      <w:r>
        <w:rPr>
          <w:rFonts w:hint="eastAsia" w:ascii="宋体" w:hAnsi="宋体"/>
        </w:rPr>
        <w:t>，需提供成立之日起至投标截止时间前的月报表</w:t>
      </w:r>
      <w:r>
        <w:rPr>
          <w:rFonts w:hint="eastAsia" w:ascii="宋体" w:hAnsi="宋体"/>
          <w:szCs w:val="21"/>
        </w:rPr>
        <w:t>或银行出具的资信证明或者中国人民银行征信中心出具的企业信用报告；资信证明应在有效期内，未注明有效期的，银行出具时间至投标截止时间不超过一年）</w:t>
      </w:r>
      <w:r>
        <w:rPr>
          <w:rFonts w:hint="eastAsia" w:ascii="宋体" w:hAnsi="宋体"/>
          <w:b/>
          <w:szCs w:val="21"/>
        </w:rPr>
        <w:t>（格式自拟，必须提供）</w:t>
      </w:r>
    </w:p>
    <w:p w14:paraId="0C799473">
      <w:pPr>
        <w:snapToGrid w:val="0"/>
        <w:spacing w:line="360" w:lineRule="exact"/>
        <w:ind w:firstLine="411" w:firstLineChars="196"/>
        <w:jc w:val="left"/>
        <w:rPr>
          <w:rFonts w:hint="eastAsia" w:ascii="宋体" w:hAnsi="宋体" w:cs="宋体"/>
          <w:b/>
          <w:kern w:val="0"/>
          <w:szCs w:val="21"/>
        </w:rPr>
      </w:pPr>
      <w:r>
        <w:rPr>
          <w:rFonts w:hint="eastAsia" w:ascii="宋体" w:hAnsi="宋体" w:cs="宋体"/>
          <w:kern w:val="0"/>
          <w:szCs w:val="21"/>
        </w:rPr>
        <w:t>（5）</w:t>
      </w:r>
      <w:r>
        <w:rPr>
          <w:rFonts w:ascii="宋体" w:hAnsi="宋体"/>
          <w:szCs w:val="21"/>
        </w:rPr>
        <w:t>具备履行合同所必需的设备和专业技术能力的证明材料</w:t>
      </w:r>
      <w:r>
        <w:rPr>
          <w:rFonts w:hint="eastAsia" w:ascii="宋体" w:hAnsi="宋体" w:cs="宋体"/>
          <w:kern w:val="0"/>
          <w:szCs w:val="21"/>
        </w:rPr>
        <w:t>。</w:t>
      </w:r>
      <w:r>
        <w:rPr>
          <w:rFonts w:hint="eastAsia" w:ascii="宋体" w:hAnsi="宋体"/>
          <w:b/>
          <w:szCs w:val="21"/>
        </w:rPr>
        <w:t>（内容、格式自拟，必须提供）</w:t>
      </w:r>
    </w:p>
    <w:p w14:paraId="19EF8FF2">
      <w:pPr>
        <w:snapToGrid w:val="0"/>
        <w:spacing w:line="360" w:lineRule="exact"/>
        <w:ind w:firstLine="411" w:firstLineChars="196"/>
        <w:jc w:val="left"/>
        <w:rPr>
          <w:rFonts w:hint="eastAsia" w:ascii="宋体" w:hAnsi="宋体"/>
          <w:szCs w:val="21"/>
        </w:rPr>
      </w:pPr>
      <w:r>
        <w:rPr>
          <w:rFonts w:hint="eastAsia" w:ascii="宋体" w:hAnsi="宋体" w:cs="宋体"/>
          <w:kern w:val="0"/>
          <w:szCs w:val="21"/>
        </w:rPr>
        <w:t>（6）</w:t>
      </w:r>
      <w:r>
        <w:rPr>
          <w:rFonts w:hint="eastAsia" w:ascii="宋体" w:hAnsi="宋体"/>
          <w:szCs w:val="21"/>
        </w:rPr>
        <w:t>参加政府采购活动前三年内在经营活动中没有重大违法记录和不良信用记录的书面声明。（</w:t>
      </w:r>
      <w:r>
        <w:rPr>
          <w:rFonts w:hint="eastAsia" w:ascii="宋体" w:hAnsi="宋体"/>
          <w:b/>
          <w:szCs w:val="21"/>
        </w:rPr>
        <w:t>格式自拟，必须提供</w:t>
      </w:r>
      <w:r>
        <w:rPr>
          <w:rFonts w:hint="eastAsia" w:ascii="宋体" w:hAnsi="宋体"/>
          <w:szCs w:val="21"/>
        </w:rPr>
        <w:t>）</w:t>
      </w:r>
    </w:p>
    <w:p w14:paraId="5406DC0E">
      <w:pPr>
        <w:snapToGrid w:val="0"/>
        <w:spacing w:line="360" w:lineRule="exact"/>
        <w:ind w:firstLine="411" w:firstLineChars="196"/>
        <w:jc w:val="left"/>
        <w:rPr>
          <w:rFonts w:hint="eastAsia" w:ascii="宋体" w:hAnsi="宋体"/>
          <w:b/>
          <w:szCs w:val="21"/>
        </w:rPr>
      </w:pPr>
      <w:r>
        <w:rPr>
          <w:rFonts w:hint="eastAsia" w:ascii="宋体" w:hAnsi="宋体"/>
          <w:b/>
          <w:szCs w:val="21"/>
        </w:rPr>
        <w:t>注：采购人或采购代理机构在资格审查结束前对供应商进行信用查询</w:t>
      </w:r>
    </w:p>
    <w:p w14:paraId="6C3D660F">
      <w:pPr>
        <w:snapToGrid w:val="0"/>
        <w:spacing w:line="360" w:lineRule="exact"/>
        <w:ind w:firstLine="411" w:firstLineChars="196"/>
        <w:jc w:val="left"/>
        <w:rPr>
          <w:rFonts w:hint="eastAsia" w:ascii="宋体" w:hAnsi="宋体"/>
          <w:b/>
          <w:szCs w:val="21"/>
        </w:rPr>
      </w:pPr>
      <w:r>
        <w:rPr>
          <w:rFonts w:hint="eastAsia" w:ascii="宋体" w:hAnsi="宋体"/>
          <w:b/>
          <w:szCs w:val="21"/>
        </w:rPr>
        <w:t>查询渠道：“信用中国”网站(www.creditchina.gov.cn) 、中国政府采购网(www.ccgp.gov.cn)</w:t>
      </w:r>
    </w:p>
    <w:p w14:paraId="04C125C2">
      <w:pPr>
        <w:snapToGrid w:val="0"/>
        <w:spacing w:line="360" w:lineRule="exact"/>
        <w:ind w:firstLine="411" w:firstLineChars="196"/>
        <w:jc w:val="left"/>
        <w:rPr>
          <w:rFonts w:hint="eastAsia" w:ascii="宋体" w:hAnsi="宋体"/>
          <w:b/>
          <w:szCs w:val="21"/>
        </w:rPr>
      </w:pPr>
      <w:r>
        <w:rPr>
          <w:rFonts w:hint="eastAsia" w:ascii="宋体" w:hAnsi="宋体"/>
          <w:b/>
          <w:szCs w:val="21"/>
        </w:rPr>
        <w:t>查询截止时间：资格审查结束前。</w:t>
      </w:r>
    </w:p>
    <w:p w14:paraId="1BA6A7C5">
      <w:pPr>
        <w:snapToGrid w:val="0"/>
        <w:spacing w:line="360" w:lineRule="exact"/>
        <w:ind w:firstLine="411" w:firstLineChars="196"/>
        <w:jc w:val="left"/>
        <w:rPr>
          <w:rFonts w:hint="eastAsia" w:ascii="宋体" w:hAnsi="宋体"/>
          <w:b/>
          <w:szCs w:val="21"/>
        </w:rPr>
      </w:pPr>
      <w:r>
        <w:rPr>
          <w:rFonts w:hint="eastAsia" w:ascii="宋体" w:hAnsi="宋体"/>
          <w:b/>
          <w:szCs w:val="21"/>
        </w:rPr>
        <w:t>查询记录和证据留存方式：在查询网站中直接打印查询记录，打印材料作为评审资料保存。</w:t>
      </w:r>
    </w:p>
    <w:p w14:paraId="6669140D">
      <w:pPr>
        <w:snapToGrid w:val="0"/>
        <w:spacing w:line="360" w:lineRule="exact"/>
        <w:ind w:firstLine="411" w:firstLineChars="196"/>
        <w:jc w:val="left"/>
        <w:rPr>
          <w:rFonts w:hint="eastAsia" w:ascii="宋体" w:hAnsi="宋体"/>
          <w:b/>
          <w:szCs w:val="21"/>
        </w:rPr>
      </w:pPr>
      <w:r>
        <w:rPr>
          <w:rFonts w:hint="eastAsia" w:ascii="宋体" w:hAnsi="宋体"/>
          <w:b/>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33BD3B31">
      <w:pPr>
        <w:pStyle w:val="26"/>
        <w:snapToGrid w:val="0"/>
        <w:spacing w:line="370" w:lineRule="exact"/>
        <w:ind w:firstLine="420" w:firstLineChars="200"/>
        <w:jc w:val="left"/>
        <w:rPr>
          <w:rFonts w:hint="eastAsia"/>
          <w:b/>
        </w:rPr>
      </w:pPr>
      <w:r>
        <w:rPr>
          <w:rFonts w:hint="eastAsia"/>
          <w:b/>
        </w:rPr>
        <w:t>2.商务技术文件：</w:t>
      </w:r>
    </w:p>
    <w:p w14:paraId="42504DD0">
      <w:pPr>
        <w:pStyle w:val="26"/>
        <w:snapToGrid w:val="0"/>
        <w:spacing w:line="370" w:lineRule="exact"/>
        <w:ind w:firstLine="420" w:firstLineChars="200"/>
        <w:jc w:val="left"/>
        <w:rPr>
          <w:rFonts w:hint="eastAsia"/>
          <w:b/>
        </w:rPr>
      </w:pPr>
      <w:r>
        <w:rPr>
          <w:rFonts w:hint="eastAsia"/>
          <w:b/>
        </w:rPr>
        <w:t>2.1商务文件：</w:t>
      </w:r>
    </w:p>
    <w:p w14:paraId="69B71CD8">
      <w:pPr>
        <w:snapToGrid w:val="0"/>
        <w:spacing w:line="370" w:lineRule="exact"/>
        <w:ind w:firstLine="411" w:firstLineChars="196"/>
        <w:jc w:val="left"/>
        <w:rPr>
          <w:rFonts w:hint="eastAsia" w:ascii="宋体"/>
          <w:szCs w:val="21"/>
        </w:rPr>
      </w:pPr>
      <w:r>
        <w:rPr>
          <w:rFonts w:hint="eastAsia" w:ascii="宋体"/>
          <w:szCs w:val="21"/>
        </w:rPr>
        <w:t>（1）</w:t>
      </w:r>
      <w:r>
        <w:rPr>
          <w:rFonts w:hint="eastAsia" w:ascii="宋体" w:hAnsi="宋体"/>
          <w:szCs w:val="21"/>
        </w:rPr>
        <w:t>投标保证金的提交凭证</w:t>
      </w:r>
      <w:r>
        <w:rPr>
          <w:rFonts w:hint="eastAsia" w:ascii="宋体"/>
          <w:szCs w:val="21"/>
        </w:rPr>
        <w:t>；</w:t>
      </w:r>
      <w:r>
        <w:rPr>
          <w:rFonts w:hint="eastAsia" w:ascii="宋体"/>
          <w:b/>
          <w:szCs w:val="21"/>
        </w:rPr>
        <w:t>（必须提供）</w:t>
      </w:r>
    </w:p>
    <w:p w14:paraId="10F43085">
      <w:pPr>
        <w:snapToGrid w:val="0"/>
        <w:spacing w:line="370" w:lineRule="exact"/>
        <w:ind w:firstLine="411" w:firstLineChars="196"/>
        <w:jc w:val="left"/>
        <w:rPr>
          <w:rFonts w:hint="eastAsia" w:ascii="宋体"/>
          <w:szCs w:val="21"/>
        </w:rPr>
      </w:pPr>
      <w:r>
        <w:rPr>
          <w:rFonts w:hint="eastAsia" w:ascii="宋体"/>
          <w:szCs w:val="21"/>
        </w:rPr>
        <w:t>（2）投标声明书 (格式见第六章)；</w:t>
      </w:r>
      <w:r>
        <w:rPr>
          <w:rFonts w:hint="eastAsia" w:ascii="宋体"/>
          <w:b/>
          <w:szCs w:val="21"/>
        </w:rPr>
        <w:t>（必须提供）</w:t>
      </w:r>
    </w:p>
    <w:p w14:paraId="3401B5A1">
      <w:pPr>
        <w:snapToGrid w:val="0"/>
        <w:spacing w:line="370" w:lineRule="exact"/>
        <w:ind w:firstLine="411" w:firstLineChars="196"/>
        <w:jc w:val="left"/>
        <w:rPr>
          <w:rFonts w:hint="eastAsia" w:ascii="宋体"/>
          <w:szCs w:val="21"/>
        </w:rPr>
      </w:pPr>
      <w:r>
        <w:rPr>
          <w:rFonts w:hint="eastAsia" w:ascii="宋体"/>
          <w:szCs w:val="21"/>
        </w:rPr>
        <w:t>（3）法定代表人(负责人)授权委托书和委托代理人身份证正、反面复印件（格式见第六章)</w:t>
      </w:r>
      <w:r>
        <w:rPr>
          <w:rFonts w:hint="eastAsia" w:ascii="宋体"/>
          <w:b/>
          <w:szCs w:val="21"/>
        </w:rPr>
        <w:t>（委托时必须提供）</w:t>
      </w:r>
      <w:r>
        <w:rPr>
          <w:rFonts w:hint="eastAsia" w:ascii="宋体"/>
          <w:szCs w:val="21"/>
        </w:rPr>
        <w:t>；</w:t>
      </w:r>
    </w:p>
    <w:p w14:paraId="63EC094E">
      <w:pPr>
        <w:snapToGrid w:val="0"/>
        <w:spacing w:line="370" w:lineRule="exact"/>
        <w:ind w:firstLine="411" w:firstLineChars="196"/>
        <w:jc w:val="left"/>
        <w:rPr>
          <w:rFonts w:hint="eastAsia" w:ascii="宋体"/>
          <w:szCs w:val="21"/>
        </w:rPr>
      </w:pPr>
      <w:r>
        <w:rPr>
          <w:rFonts w:hint="eastAsia" w:ascii="宋体"/>
          <w:szCs w:val="21"/>
        </w:rPr>
        <w:t>（4）法定代表人(负责人)身份证明书（格式见附件)、法定代表人（负责人）有效身份证正反面复印件</w:t>
      </w:r>
      <w:r>
        <w:rPr>
          <w:rFonts w:hint="eastAsia" w:ascii="宋体"/>
          <w:b/>
          <w:szCs w:val="21"/>
        </w:rPr>
        <w:t>（必须提供）</w:t>
      </w:r>
      <w:r>
        <w:rPr>
          <w:rFonts w:hint="eastAsia" w:ascii="宋体"/>
          <w:szCs w:val="21"/>
        </w:rPr>
        <w:t xml:space="preserve">； </w:t>
      </w:r>
    </w:p>
    <w:p w14:paraId="7E3D5A33">
      <w:pPr>
        <w:snapToGrid w:val="0"/>
        <w:spacing w:line="370" w:lineRule="exact"/>
        <w:ind w:firstLine="411" w:firstLineChars="196"/>
        <w:jc w:val="left"/>
        <w:rPr>
          <w:rFonts w:hint="eastAsia" w:ascii="宋体"/>
          <w:b/>
          <w:szCs w:val="21"/>
        </w:rPr>
      </w:pPr>
      <w:r>
        <w:rPr>
          <w:rFonts w:hint="eastAsia" w:ascii="宋体"/>
          <w:szCs w:val="21"/>
        </w:rPr>
        <w:t>（5）商务响应表（格式见第六章）；</w:t>
      </w:r>
      <w:r>
        <w:rPr>
          <w:rFonts w:hint="eastAsia" w:ascii="宋体"/>
          <w:b/>
          <w:szCs w:val="21"/>
        </w:rPr>
        <w:t>（必须提供）</w:t>
      </w:r>
    </w:p>
    <w:p w14:paraId="08B32861">
      <w:pPr>
        <w:snapToGrid w:val="0"/>
        <w:spacing w:line="370" w:lineRule="exact"/>
        <w:ind w:firstLine="411" w:firstLineChars="196"/>
        <w:jc w:val="left"/>
        <w:rPr>
          <w:rFonts w:hint="eastAsia" w:ascii="宋体"/>
          <w:b/>
          <w:szCs w:val="21"/>
        </w:rPr>
      </w:pPr>
      <w:r>
        <w:rPr>
          <w:rFonts w:hint="eastAsia" w:ascii="宋体"/>
          <w:szCs w:val="21"/>
        </w:rPr>
        <w:t>（6）招标项目采购需求中要求必须提供的材料等；</w:t>
      </w:r>
      <w:r>
        <w:rPr>
          <w:rFonts w:hint="eastAsia"/>
        </w:rPr>
        <w:t>（招标项目采购需求中要求必须提供的材料，据实提供）</w:t>
      </w:r>
    </w:p>
    <w:p w14:paraId="01F7C591">
      <w:pPr>
        <w:snapToGrid w:val="0"/>
        <w:spacing w:line="370" w:lineRule="exact"/>
        <w:ind w:firstLine="411" w:firstLineChars="196"/>
        <w:jc w:val="left"/>
        <w:rPr>
          <w:rFonts w:hint="eastAsia" w:ascii="宋体"/>
          <w:b/>
          <w:szCs w:val="21"/>
        </w:rPr>
      </w:pPr>
      <w:r>
        <w:rPr>
          <w:rFonts w:hint="eastAsia" w:ascii="宋体"/>
          <w:szCs w:val="21"/>
        </w:rPr>
        <w:t>（7）具备法律、行政法规规定的其他条件的证明材料。</w:t>
      </w:r>
      <w:r>
        <w:rPr>
          <w:rFonts w:hint="eastAsia" w:ascii="宋体"/>
          <w:b/>
          <w:szCs w:val="21"/>
        </w:rPr>
        <w:t xml:space="preserve"> (如有规定,则必须提供)</w:t>
      </w:r>
    </w:p>
    <w:p w14:paraId="76AA6E88">
      <w:pPr>
        <w:snapToGrid w:val="0"/>
        <w:spacing w:line="370" w:lineRule="exact"/>
        <w:ind w:firstLine="411" w:firstLineChars="196"/>
        <w:jc w:val="left"/>
        <w:rPr>
          <w:rFonts w:hint="eastAsia" w:ascii="宋体"/>
          <w:b/>
          <w:bCs/>
          <w:szCs w:val="21"/>
        </w:rPr>
      </w:pPr>
      <w:r>
        <w:rPr>
          <w:rFonts w:hint="eastAsia" w:ascii="宋体"/>
          <w:b/>
          <w:bCs/>
          <w:szCs w:val="21"/>
        </w:rPr>
        <w:t xml:space="preserve">可作为投标人资信评分的资质证明材料（可选）  </w:t>
      </w:r>
    </w:p>
    <w:p w14:paraId="4231D289">
      <w:pPr>
        <w:snapToGrid w:val="0"/>
        <w:spacing w:line="370" w:lineRule="exact"/>
        <w:ind w:firstLine="411" w:firstLineChars="196"/>
        <w:jc w:val="left"/>
        <w:rPr>
          <w:rFonts w:hint="eastAsia" w:ascii="宋体"/>
          <w:szCs w:val="21"/>
        </w:rPr>
      </w:pPr>
      <w:r>
        <w:rPr>
          <w:rFonts w:hint="eastAsia" w:ascii="宋体"/>
          <w:szCs w:val="21"/>
        </w:rPr>
        <w:t>（8）类似成功案例的业绩（投标人同类项目实施情况一览表、合同扫描件等，格式可自行调整）；</w:t>
      </w:r>
    </w:p>
    <w:p w14:paraId="40AAE304">
      <w:pPr>
        <w:snapToGrid w:val="0"/>
        <w:spacing w:line="370" w:lineRule="exact"/>
        <w:ind w:firstLine="411" w:firstLineChars="196"/>
        <w:jc w:val="left"/>
        <w:rPr>
          <w:rFonts w:hint="eastAsia" w:ascii="宋体"/>
          <w:szCs w:val="21"/>
        </w:rPr>
      </w:pPr>
      <w:r>
        <w:rPr>
          <w:rFonts w:hint="eastAsia" w:ascii="宋体"/>
          <w:szCs w:val="21"/>
        </w:rPr>
        <w:t>（9）其他特殊资质证书；</w:t>
      </w:r>
    </w:p>
    <w:p w14:paraId="58AB7969">
      <w:pPr>
        <w:snapToGrid w:val="0"/>
        <w:spacing w:line="370" w:lineRule="exact"/>
        <w:ind w:firstLine="411" w:firstLineChars="196"/>
        <w:jc w:val="left"/>
        <w:rPr>
          <w:rFonts w:hint="eastAsia" w:ascii="宋体" w:hAnsi="宋体"/>
          <w:szCs w:val="21"/>
        </w:rPr>
      </w:pPr>
      <w:r>
        <w:rPr>
          <w:rFonts w:hint="eastAsia" w:ascii="宋体"/>
          <w:szCs w:val="21"/>
        </w:rPr>
        <w:t>（10）投标</w:t>
      </w:r>
      <w:r>
        <w:rPr>
          <w:rFonts w:hint="eastAsia" w:ascii="宋体" w:hAnsi="宋体"/>
          <w:szCs w:val="21"/>
        </w:rPr>
        <w:t>人质量管理和质量保证体系等方面的认证证书；</w:t>
      </w:r>
    </w:p>
    <w:p w14:paraId="567EFC53">
      <w:pPr>
        <w:snapToGrid w:val="0"/>
        <w:spacing w:line="370" w:lineRule="exact"/>
        <w:ind w:firstLine="411" w:firstLineChars="196"/>
        <w:jc w:val="left"/>
        <w:rPr>
          <w:rFonts w:hint="eastAsia" w:ascii="宋体" w:hAnsi="宋体"/>
          <w:szCs w:val="21"/>
        </w:rPr>
      </w:pPr>
      <w:r>
        <w:rPr>
          <w:rFonts w:hint="eastAsia" w:ascii="宋体" w:hAnsi="宋体"/>
          <w:szCs w:val="21"/>
        </w:rPr>
        <w:t>（11）投标人认为可以证明其能力或业绩的其他材料；</w:t>
      </w:r>
    </w:p>
    <w:p w14:paraId="271A3F0B">
      <w:pPr>
        <w:snapToGrid w:val="0"/>
        <w:spacing w:line="370" w:lineRule="exact"/>
        <w:ind w:firstLine="411" w:firstLineChars="196"/>
        <w:jc w:val="left"/>
        <w:rPr>
          <w:rFonts w:hint="eastAsia" w:ascii="宋体" w:hAnsi="宋体"/>
          <w:szCs w:val="21"/>
        </w:rPr>
      </w:pPr>
      <w:r>
        <w:rPr>
          <w:rFonts w:hint="eastAsia" w:ascii="宋体" w:hAnsi="宋体"/>
          <w:szCs w:val="21"/>
        </w:rPr>
        <w:t>（12）投标人关于服务升级以及本单位债务纠纷、违法违规记录等方面的情况（内容见投标声明书）；</w:t>
      </w:r>
    </w:p>
    <w:p w14:paraId="154DFFC0">
      <w:pPr>
        <w:snapToGrid w:val="0"/>
        <w:spacing w:line="370" w:lineRule="exact"/>
        <w:ind w:firstLine="411" w:firstLineChars="196"/>
        <w:jc w:val="left"/>
        <w:rPr>
          <w:rFonts w:hint="eastAsia" w:ascii="宋体" w:hAnsi="宋体"/>
          <w:szCs w:val="21"/>
        </w:rPr>
      </w:pPr>
      <w:r>
        <w:rPr>
          <w:rFonts w:hint="eastAsia" w:ascii="宋体" w:hAnsi="宋体"/>
          <w:szCs w:val="21"/>
        </w:rPr>
        <w:t>（13）投标人情况介绍。</w:t>
      </w:r>
    </w:p>
    <w:p w14:paraId="3DA9058B">
      <w:pPr>
        <w:snapToGrid w:val="0"/>
        <w:spacing w:line="370" w:lineRule="exact"/>
        <w:ind w:firstLine="411" w:firstLineChars="196"/>
        <w:jc w:val="left"/>
        <w:rPr>
          <w:rFonts w:hint="eastAsia" w:ascii="宋体" w:hAnsi="宋体"/>
          <w:szCs w:val="21"/>
        </w:rPr>
      </w:pPr>
      <w:r>
        <w:rPr>
          <w:rFonts w:hint="eastAsia" w:ascii="宋体"/>
          <w:szCs w:val="21"/>
        </w:rPr>
        <w:t>（14）投标人认为需要提供的其他材料。</w:t>
      </w:r>
    </w:p>
    <w:p w14:paraId="781D2BA2">
      <w:pPr>
        <w:snapToGrid w:val="0"/>
        <w:spacing w:line="370" w:lineRule="exact"/>
        <w:ind w:firstLine="411" w:firstLineChars="196"/>
        <w:jc w:val="left"/>
        <w:rPr>
          <w:rFonts w:hint="eastAsia" w:ascii="宋体" w:hAnsi="宋体"/>
          <w:b/>
          <w:szCs w:val="21"/>
        </w:rPr>
      </w:pPr>
      <w:r>
        <w:rPr>
          <w:rFonts w:hint="eastAsia" w:ascii="宋体" w:hAnsi="宋体"/>
          <w:szCs w:val="21"/>
        </w:rPr>
        <w:t>（15）中小企业声明函。</w:t>
      </w:r>
      <w:r>
        <w:rPr>
          <w:rFonts w:hint="eastAsia" w:ascii="宋体" w:hAnsi="宋体"/>
          <w:b/>
          <w:szCs w:val="21"/>
        </w:rPr>
        <w:t>（按最新相关政策执行，格式见第六章，如有请提供）</w:t>
      </w:r>
    </w:p>
    <w:p w14:paraId="68E380A8">
      <w:pPr>
        <w:snapToGrid w:val="0"/>
        <w:spacing w:line="370" w:lineRule="exact"/>
        <w:ind w:firstLine="420" w:firstLineChars="200"/>
        <w:jc w:val="left"/>
        <w:rPr>
          <w:rFonts w:hint="eastAsia"/>
          <w:b/>
          <w:bCs/>
        </w:rPr>
      </w:pPr>
      <w:r>
        <w:rPr>
          <w:rFonts w:hint="eastAsia" w:ascii="宋体" w:hAnsi="宋体" w:cs="宋体"/>
          <w:szCs w:val="21"/>
        </w:rPr>
        <w:t>（16）本国产品适用政府采购</w:t>
      </w:r>
      <w:r>
        <w:rPr>
          <w:rFonts w:hint="eastAsia"/>
        </w:rPr>
        <w:t>政策相关资料</w:t>
      </w:r>
      <w:r>
        <w:rPr>
          <w:rFonts w:hint="eastAsia"/>
          <w:b/>
          <w:bCs/>
        </w:rPr>
        <w:t>（格式见第六章，如有请提供）</w:t>
      </w:r>
    </w:p>
    <w:p w14:paraId="6F95B0C8">
      <w:pPr>
        <w:snapToGrid w:val="0"/>
        <w:spacing w:line="370" w:lineRule="exact"/>
        <w:ind w:firstLine="411" w:firstLineChars="196"/>
        <w:jc w:val="left"/>
        <w:rPr>
          <w:rFonts w:hint="eastAsia" w:ascii="宋体" w:hAnsi="宋体"/>
          <w:b/>
          <w:bCs/>
          <w:szCs w:val="21"/>
        </w:rPr>
      </w:pPr>
      <w:r>
        <w:rPr>
          <w:rFonts w:hint="eastAsia" w:ascii="宋体" w:hAnsi="宋体"/>
          <w:b/>
          <w:bCs/>
          <w:szCs w:val="21"/>
        </w:rPr>
        <w:t>2.2技术文件：</w:t>
      </w:r>
    </w:p>
    <w:p w14:paraId="53F4F030">
      <w:pPr>
        <w:snapToGrid w:val="0"/>
        <w:spacing w:line="370" w:lineRule="exact"/>
        <w:ind w:firstLine="411" w:firstLineChars="196"/>
        <w:jc w:val="left"/>
        <w:rPr>
          <w:rFonts w:hint="eastAsia" w:ascii="宋体" w:hAnsi="宋体"/>
          <w:szCs w:val="21"/>
        </w:rPr>
      </w:pPr>
      <w:r>
        <w:rPr>
          <w:rFonts w:hint="eastAsia" w:ascii="宋体" w:hAnsi="宋体"/>
          <w:szCs w:val="21"/>
        </w:rPr>
        <w:t>（1）服务响应表；</w:t>
      </w:r>
      <w:r>
        <w:rPr>
          <w:rFonts w:hint="eastAsia" w:ascii="宋体" w:hAnsi="宋体"/>
          <w:b/>
          <w:szCs w:val="21"/>
        </w:rPr>
        <w:t>（必须提供）</w:t>
      </w:r>
    </w:p>
    <w:p w14:paraId="149FDE12">
      <w:pPr>
        <w:snapToGrid w:val="0"/>
        <w:spacing w:line="370" w:lineRule="exact"/>
        <w:ind w:firstLine="420" w:firstLineChars="200"/>
        <w:jc w:val="left"/>
        <w:rPr>
          <w:rFonts w:hint="eastAsia" w:ascii="宋体" w:hAnsi="宋体"/>
          <w:szCs w:val="21"/>
        </w:rPr>
      </w:pPr>
      <w:r>
        <w:rPr>
          <w:rFonts w:hint="eastAsia" w:ascii="宋体" w:hAnsi="宋体"/>
          <w:szCs w:val="21"/>
        </w:rPr>
        <w:t>（2）</w:t>
      </w:r>
      <w:r>
        <w:rPr>
          <w:rFonts w:hint="eastAsia" w:ascii="宋体" w:hAnsi="宋体"/>
        </w:rPr>
        <w:t>服务方案</w:t>
      </w:r>
      <w:r>
        <w:rPr>
          <w:rFonts w:hint="eastAsia" w:ascii="宋体" w:hAnsi="宋体"/>
          <w:szCs w:val="21"/>
        </w:rPr>
        <w:t>；</w:t>
      </w:r>
      <w:r>
        <w:rPr>
          <w:rFonts w:hint="eastAsia" w:ascii="宋体" w:hAnsi="宋体"/>
          <w:b/>
          <w:szCs w:val="21"/>
        </w:rPr>
        <w:t>（格式自拟，</w:t>
      </w:r>
      <w:r>
        <w:rPr>
          <w:rFonts w:hint="eastAsia" w:ascii="宋体"/>
          <w:b/>
          <w:szCs w:val="21"/>
        </w:rPr>
        <w:t>必须提供</w:t>
      </w:r>
      <w:r>
        <w:rPr>
          <w:rFonts w:hint="eastAsia" w:ascii="宋体" w:hAnsi="宋体"/>
          <w:b/>
          <w:szCs w:val="21"/>
        </w:rPr>
        <w:t>）</w:t>
      </w:r>
    </w:p>
    <w:p w14:paraId="0BCB935B">
      <w:pPr>
        <w:snapToGrid w:val="0"/>
        <w:spacing w:line="370" w:lineRule="exact"/>
        <w:ind w:firstLine="420" w:firstLineChars="200"/>
        <w:jc w:val="left"/>
        <w:rPr>
          <w:rFonts w:hint="eastAsia" w:ascii="宋体" w:hAnsi="宋体"/>
          <w:szCs w:val="21"/>
        </w:rPr>
      </w:pPr>
      <w:r>
        <w:rPr>
          <w:rFonts w:hint="eastAsia" w:ascii="宋体" w:hAnsi="宋体"/>
          <w:szCs w:val="21"/>
        </w:rPr>
        <w:t>（3）投标人拥有主要服务设施的情况和现状（格式自拟）及项目实施人员一览表；</w:t>
      </w:r>
    </w:p>
    <w:p w14:paraId="34D005A2">
      <w:pPr>
        <w:snapToGrid w:val="0"/>
        <w:spacing w:line="370" w:lineRule="exact"/>
        <w:ind w:firstLine="420" w:firstLineChars="200"/>
        <w:jc w:val="left"/>
        <w:rPr>
          <w:rFonts w:hint="eastAsia" w:ascii="宋体" w:hAnsi="宋体"/>
          <w:szCs w:val="21"/>
        </w:rPr>
      </w:pPr>
      <w:r>
        <w:rPr>
          <w:rFonts w:hint="eastAsia" w:ascii="宋体" w:hAnsi="宋体"/>
          <w:szCs w:val="21"/>
        </w:rPr>
        <w:t>（4）优惠条件：投标人承诺给予招标人的各种优惠条件；</w:t>
      </w:r>
    </w:p>
    <w:p w14:paraId="4D022D60">
      <w:pPr>
        <w:snapToGrid w:val="0"/>
        <w:spacing w:line="370" w:lineRule="exact"/>
        <w:ind w:firstLine="420" w:firstLineChars="200"/>
        <w:jc w:val="left"/>
        <w:rPr>
          <w:rFonts w:hint="eastAsia" w:ascii="宋体" w:hAnsi="宋体"/>
          <w:szCs w:val="21"/>
        </w:rPr>
      </w:pPr>
      <w:r>
        <w:rPr>
          <w:rFonts w:hint="eastAsia" w:ascii="宋体" w:hAnsi="宋体"/>
          <w:szCs w:val="21"/>
        </w:rPr>
        <w:t>（5）投标人对本项目的合理化建议和改进措施；</w:t>
      </w:r>
    </w:p>
    <w:p w14:paraId="4FCC2D8A">
      <w:pPr>
        <w:snapToGrid w:val="0"/>
        <w:spacing w:line="370" w:lineRule="exact"/>
        <w:ind w:firstLine="420" w:firstLineChars="200"/>
        <w:jc w:val="left"/>
        <w:rPr>
          <w:rFonts w:hint="eastAsia" w:ascii="宋体" w:hAnsi="宋体"/>
          <w:szCs w:val="21"/>
        </w:rPr>
      </w:pPr>
      <w:r>
        <w:rPr>
          <w:rFonts w:hint="eastAsia" w:ascii="宋体" w:hAnsi="宋体"/>
          <w:szCs w:val="21"/>
        </w:rPr>
        <w:t>（6）投标人认为需要提供的其他材料；</w:t>
      </w:r>
    </w:p>
    <w:p w14:paraId="4FF00497">
      <w:pPr>
        <w:snapToGrid w:val="0"/>
        <w:spacing w:line="370" w:lineRule="exact"/>
        <w:ind w:firstLine="420" w:firstLineChars="200"/>
        <w:jc w:val="left"/>
        <w:rPr>
          <w:rFonts w:hint="eastAsia" w:ascii="宋体" w:hAnsi="宋体"/>
          <w:szCs w:val="21"/>
        </w:rPr>
      </w:pPr>
      <w:r>
        <w:rPr>
          <w:rFonts w:hint="eastAsia" w:ascii="宋体" w:hAnsi="宋体"/>
          <w:szCs w:val="21"/>
        </w:rPr>
        <w:t>（7）招标项目采购需求中要求必须提供的材料。</w:t>
      </w:r>
      <w:r>
        <w:rPr>
          <w:rFonts w:hint="eastAsia" w:ascii="宋体" w:hAnsi="宋体"/>
        </w:rPr>
        <w:t>（招标项目采购需求中要求必须提供的材料，据实提供）</w:t>
      </w:r>
    </w:p>
    <w:p w14:paraId="7D978BC5">
      <w:pPr>
        <w:snapToGrid w:val="0"/>
        <w:spacing w:line="370" w:lineRule="exact"/>
        <w:ind w:firstLine="420" w:firstLineChars="200"/>
        <w:jc w:val="left"/>
        <w:rPr>
          <w:rFonts w:hint="eastAsia" w:ascii="宋体" w:hAnsi="宋体"/>
          <w:b/>
          <w:szCs w:val="21"/>
        </w:rPr>
      </w:pPr>
      <w:r>
        <w:rPr>
          <w:rFonts w:hint="eastAsia" w:ascii="宋体" w:hAnsi="宋体"/>
          <w:b/>
          <w:szCs w:val="21"/>
        </w:rPr>
        <w:t>3.报价文件：</w:t>
      </w:r>
    </w:p>
    <w:p w14:paraId="50F0469F">
      <w:pPr>
        <w:snapToGrid w:val="0"/>
        <w:spacing w:line="370" w:lineRule="exact"/>
        <w:ind w:firstLine="420" w:firstLineChars="200"/>
        <w:jc w:val="left"/>
        <w:rPr>
          <w:rFonts w:hint="eastAsia" w:ascii="宋体" w:hAnsi="宋体"/>
          <w:szCs w:val="21"/>
        </w:rPr>
      </w:pPr>
      <w:r>
        <w:rPr>
          <w:rFonts w:hint="eastAsia" w:ascii="宋体" w:hAnsi="宋体"/>
          <w:szCs w:val="21"/>
        </w:rPr>
        <w:t>（1）投标函（格式见第六章）；</w:t>
      </w:r>
      <w:r>
        <w:rPr>
          <w:rFonts w:hint="eastAsia" w:ascii="宋体" w:hAnsi="宋体"/>
          <w:b/>
          <w:szCs w:val="21"/>
        </w:rPr>
        <w:t>（必须提供）</w:t>
      </w:r>
    </w:p>
    <w:p w14:paraId="69CE7DF0">
      <w:pPr>
        <w:snapToGrid w:val="0"/>
        <w:spacing w:line="370" w:lineRule="exact"/>
        <w:ind w:firstLine="420" w:firstLineChars="200"/>
        <w:jc w:val="left"/>
        <w:rPr>
          <w:rFonts w:hint="eastAsia" w:ascii="宋体" w:hAnsi="宋体"/>
          <w:szCs w:val="21"/>
        </w:rPr>
      </w:pPr>
      <w:r>
        <w:rPr>
          <w:rFonts w:hint="eastAsia" w:ascii="宋体" w:hAnsi="宋体"/>
          <w:szCs w:val="21"/>
        </w:rPr>
        <w:t>（2）投标报价明细表（格式见第六章）；</w:t>
      </w:r>
      <w:r>
        <w:rPr>
          <w:rFonts w:hint="eastAsia" w:ascii="宋体" w:hAnsi="宋体"/>
          <w:b/>
          <w:szCs w:val="21"/>
        </w:rPr>
        <w:t>（必须提供）</w:t>
      </w:r>
    </w:p>
    <w:p w14:paraId="22D304EC">
      <w:pPr>
        <w:snapToGrid w:val="0"/>
        <w:spacing w:line="370" w:lineRule="exact"/>
        <w:ind w:firstLine="420" w:firstLineChars="200"/>
        <w:jc w:val="left"/>
        <w:rPr>
          <w:rFonts w:hint="eastAsia" w:ascii="宋体" w:hAnsi="宋体"/>
          <w:szCs w:val="21"/>
        </w:rPr>
      </w:pPr>
      <w:r>
        <w:rPr>
          <w:rFonts w:hint="eastAsia" w:ascii="宋体" w:hAnsi="宋体"/>
          <w:szCs w:val="21"/>
        </w:rPr>
        <w:t>（3）投标人针对报价需要说明的其他文件和说明；（格式自拟）</w:t>
      </w:r>
    </w:p>
    <w:p w14:paraId="52145150">
      <w:pPr>
        <w:snapToGrid w:val="0"/>
        <w:spacing w:line="370" w:lineRule="exact"/>
        <w:ind w:firstLine="420" w:firstLineChars="200"/>
        <w:jc w:val="left"/>
        <w:rPr>
          <w:rFonts w:hint="eastAsia" w:ascii="宋体" w:hAnsi="宋体"/>
          <w:szCs w:val="21"/>
        </w:rPr>
      </w:pPr>
      <w:r>
        <w:rPr>
          <w:rFonts w:hint="eastAsia" w:ascii="宋体" w:hAnsi="宋体"/>
          <w:szCs w:val="21"/>
        </w:rPr>
        <w:t>（4）开标一览表（格式见第六章）。</w:t>
      </w:r>
      <w:r>
        <w:rPr>
          <w:rFonts w:hint="eastAsia" w:ascii="宋体" w:hAnsi="宋体"/>
          <w:b/>
          <w:szCs w:val="21"/>
        </w:rPr>
        <w:t>（必须提供）</w:t>
      </w:r>
    </w:p>
    <w:p w14:paraId="48CD60C8">
      <w:pPr>
        <w:tabs>
          <w:tab w:val="left" w:pos="3870"/>
          <w:tab w:val="left" w:pos="4085"/>
        </w:tabs>
        <w:snapToGrid w:val="0"/>
        <w:spacing w:line="370" w:lineRule="exact"/>
        <w:ind w:firstLine="420" w:firstLineChars="200"/>
        <w:jc w:val="left"/>
        <w:rPr>
          <w:rFonts w:hint="eastAsia" w:ascii="宋体" w:hAnsi="宋体"/>
          <w:szCs w:val="21"/>
        </w:rPr>
      </w:pPr>
      <w:r>
        <w:rPr>
          <w:rFonts w:hint="eastAsia" w:ascii="宋体" w:hAnsi="宋体"/>
          <w:szCs w:val="21"/>
        </w:rPr>
        <w:t>▲</w:t>
      </w:r>
      <w:r>
        <w:rPr>
          <w:rFonts w:hint="eastAsia" w:ascii="宋体" w:hAnsi="宋体"/>
          <w:b/>
          <w:bCs/>
          <w:szCs w:val="21"/>
        </w:rPr>
        <w:t>注：法定代表人(负责人)授权委托书、投标声明书、投标函、开标一览表必须按照招标文件格式要求签署和加盖单位公章，否则作投标无效处理。</w:t>
      </w:r>
    </w:p>
    <w:p w14:paraId="0AE6B38F">
      <w:pPr>
        <w:spacing w:line="370" w:lineRule="exact"/>
        <w:rPr>
          <w:rFonts w:hint="eastAsia" w:ascii="宋体" w:hAnsi="宋体"/>
          <w:b/>
        </w:rPr>
      </w:pPr>
      <w:bookmarkStart w:id="66" w:name="_Toc254970678"/>
      <w:bookmarkStart w:id="67" w:name="_Toc254970537"/>
      <w:r>
        <w:rPr>
          <w:rFonts w:hint="eastAsia" w:ascii="宋体" w:hAnsi="宋体"/>
          <w:b/>
        </w:rPr>
        <w:t xml:space="preserve">    （二）投标文件的语言及计量</w:t>
      </w:r>
      <w:bookmarkEnd w:id="66"/>
      <w:bookmarkEnd w:id="67"/>
    </w:p>
    <w:p w14:paraId="08EDD2DF">
      <w:pPr>
        <w:spacing w:line="370" w:lineRule="exact"/>
        <w:rPr>
          <w:rFonts w:hint="eastAsia" w:ascii="宋体" w:hAnsi="宋体"/>
        </w:rPr>
      </w:pPr>
      <w:r>
        <w:rPr>
          <w:rFonts w:hint="eastAsia" w:ascii="宋体" w:hAnsi="宋体"/>
          <w:b/>
        </w:rPr>
        <w:t xml:space="preserve">    </w:t>
      </w:r>
      <w:r>
        <w:rPr>
          <w:rFonts w:hint="eastAsia" w:ascii="宋体" w:hAnsi="宋体"/>
        </w:rPr>
        <w:t>▲1.投标文件以及投标方与招标方就有关投标事宜的所有来往函电，均应以中文汉语书写。除签名、盖章、专用名称等特殊情形外，以中文汉语以外的文字表述的投标文件视同未提供。</w:t>
      </w:r>
    </w:p>
    <w:p w14:paraId="7FFA2918">
      <w:pPr>
        <w:spacing w:line="370" w:lineRule="exact"/>
        <w:rPr>
          <w:rFonts w:hint="eastAsia" w:ascii="宋体" w:hAnsi="宋体"/>
        </w:rPr>
      </w:pPr>
      <w:r>
        <w:rPr>
          <w:rFonts w:hint="eastAsia" w:ascii="宋体" w:hAnsi="宋体"/>
        </w:rPr>
        <w:t xml:space="preserve">    ▲2.投标计量单位，招标文件已有明确规定的，使用招标文件规定的计量单位；招标文件没有规定的，应采用中华人民共和国法定计量单位（货币单位：人民币元），否则视同未响应。</w:t>
      </w:r>
      <w:bookmarkStart w:id="68" w:name="_Toc254970538"/>
      <w:bookmarkStart w:id="69" w:name="_Toc254970679"/>
    </w:p>
    <w:p w14:paraId="46FA1198">
      <w:pPr>
        <w:spacing w:line="370" w:lineRule="exact"/>
        <w:rPr>
          <w:rFonts w:hint="eastAsia" w:ascii="宋体" w:hAnsi="宋体"/>
          <w:b/>
        </w:rPr>
      </w:pPr>
      <w:r>
        <w:rPr>
          <w:rFonts w:hint="eastAsia" w:ascii="宋体" w:hAnsi="宋体"/>
          <w:b/>
        </w:rPr>
        <w:t xml:space="preserve">    （三）投标报价</w:t>
      </w:r>
      <w:bookmarkEnd w:id="68"/>
      <w:bookmarkEnd w:id="69"/>
    </w:p>
    <w:p w14:paraId="1DEECC51">
      <w:pPr>
        <w:spacing w:line="370" w:lineRule="exact"/>
        <w:rPr>
          <w:rFonts w:hint="eastAsia" w:ascii="宋体" w:hAnsi="宋体"/>
        </w:rPr>
      </w:pPr>
      <w:r>
        <w:rPr>
          <w:rFonts w:hint="eastAsia" w:ascii="宋体" w:hAnsi="宋体"/>
        </w:rPr>
        <w:t xml:space="preserve">   1.投标报价应按招标文件中相关附表格式填写。</w:t>
      </w:r>
    </w:p>
    <w:p w14:paraId="30ED48F4">
      <w:pPr>
        <w:spacing w:line="370" w:lineRule="exact"/>
        <w:ind w:firstLine="315" w:firstLineChars="150"/>
        <w:rPr>
          <w:rFonts w:hint="eastAsia" w:ascii="宋体" w:hAnsi="宋体"/>
        </w:rPr>
      </w:pPr>
      <w:r>
        <w:rPr>
          <w:rFonts w:hint="eastAsia" w:ascii="宋体" w:hAnsi="宋体"/>
        </w:rPr>
        <w:t>2.投标报价是履行合同的最终价格。</w:t>
      </w:r>
    </w:p>
    <w:p w14:paraId="211D1758">
      <w:pPr>
        <w:spacing w:line="370" w:lineRule="exact"/>
        <w:ind w:firstLine="315" w:firstLineChars="150"/>
        <w:rPr>
          <w:rFonts w:hint="eastAsia" w:ascii="宋体" w:hAnsi="宋体"/>
          <w:b/>
        </w:rPr>
      </w:pPr>
      <w:r>
        <w:rPr>
          <w:rFonts w:hint="eastAsia" w:ascii="宋体" w:hAnsi="宋体"/>
        </w:rPr>
        <w:t>3.</w:t>
      </w:r>
      <w:r>
        <w:rPr>
          <w:rFonts w:hint="eastAsia" w:ascii="宋体" w:hAnsi="宋体"/>
          <w:szCs w:val="21"/>
        </w:rPr>
        <w:t>投标文件只允许有一个报价，有选择的或有条件的报价将不予接受。</w:t>
      </w:r>
    </w:p>
    <w:p w14:paraId="35438D82">
      <w:pPr>
        <w:spacing w:line="370" w:lineRule="exact"/>
        <w:ind w:firstLine="420" w:firstLineChars="200"/>
        <w:rPr>
          <w:rFonts w:hint="eastAsia" w:ascii="宋体" w:hAnsi="宋体" w:cs="宋体"/>
          <w:b/>
          <w:bCs/>
        </w:rPr>
      </w:pPr>
      <w:r>
        <w:rPr>
          <w:rFonts w:hint="eastAsia" w:ascii="宋体" w:hAnsi="宋体" w:cs="宋体"/>
          <w:b/>
        </w:rPr>
        <w:t>▲4.</w:t>
      </w:r>
      <w:r>
        <w:rPr>
          <w:rFonts w:hint="eastAsia" w:ascii="宋体" w:hAnsi="宋体" w:cs="宋体"/>
          <w:b/>
          <w:bCs/>
        </w:rPr>
        <w:t>异常低价审查：政府采购评审中出现下列情形之一的，评审委员会应当启动异常低价投标审查程序：</w:t>
      </w:r>
    </w:p>
    <w:p w14:paraId="6F13E125">
      <w:pPr>
        <w:spacing w:line="370" w:lineRule="exact"/>
        <w:ind w:firstLine="420" w:firstLineChars="200"/>
        <w:rPr>
          <w:rFonts w:hint="eastAsia" w:ascii="宋体" w:hAnsi="宋体" w:cs="宋体"/>
          <w:b/>
          <w:bCs/>
        </w:rPr>
      </w:pPr>
      <w:r>
        <w:rPr>
          <w:rFonts w:hint="eastAsia" w:ascii="宋体" w:hAnsi="宋体" w:cs="宋体"/>
          <w:b/>
          <w:bCs/>
        </w:rPr>
        <w:t>（1）投标报价低于全部通过符合性审查供应商投标报价平均值50%的，即投标报价&lt;全部通过符合性审查供应商投标报价平均值×50%；</w:t>
      </w:r>
    </w:p>
    <w:p w14:paraId="6F8C8A9F">
      <w:pPr>
        <w:spacing w:line="370" w:lineRule="exact"/>
        <w:ind w:firstLine="420" w:firstLineChars="200"/>
        <w:rPr>
          <w:rFonts w:hint="eastAsia" w:ascii="宋体" w:hAnsi="宋体" w:cs="宋体"/>
          <w:b/>
          <w:bCs/>
        </w:rPr>
      </w:pPr>
      <w:r>
        <w:rPr>
          <w:rFonts w:hint="eastAsia" w:ascii="宋体" w:hAnsi="宋体" w:cs="宋体"/>
          <w:b/>
          <w:bCs/>
        </w:rPr>
        <w:t>（2）投标报价低于通过符合性审查的次低报价供应商投标报价50%的，即投标报价&lt;通过符合性审查的次低报价供应商投标报价×50%；</w:t>
      </w:r>
    </w:p>
    <w:p w14:paraId="13173887">
      <w:pPr>
        <w:spacing w:line="370" w:lineRule="exact"/>
        <w:ind w:firstLine="420" w:firstLineChars="200"/>
        <w:rPr>
          <w:rFonts w:hint="eastAsia" w:ascii="宋体" w:hAnsi="宋体" w:cs="宋体"/>
          <w:b/>
          <w:bCs/>
        </w:rPr>
      </w:pPr>
      <w:r>
        <w:rPr>
          <w:rFonts w:hint="eastAsia" w:ascii="宋体" w:hAnsi="宋体" w:cs="宋体"/>
          <w:b/>
          <w:bCs/>
        </w:rPr>
        <w:t>（3）投标报价低于采购项目最高限价45%的，即投标报价&lt;采购项目最高限价×45%；</w:t>
      </w:r>
    </w:p>
    <w:p w14:paraId="3A073DAF">
      <w:pPr>
        <w:spacing w:line="370" w:lineRule="exact"/>
        <w:ind w:firstLine="420" w:firstLineChars="200"/>
        <w:rPr>
          <w:rFonts w:hint="eastAsia" w:ascii="宋体" w:hAnsi="宋体" w:cs="宋体"/>
          <w:b/>
          <w:bCs/>
        </w:rPr>
      </w:pPr>
      <w:r>
        <w:rPr>
          <w:rFonts w:hint="eastAsia" w:ascii="宋体" w:hAnsi="宋体" w:cs="宋体"/>
          <w:b/>
          <w:bCs/>
        </w:rPr>
        <w:t>（4）评审委员会基于专业判断，认为供应商报价过低，有可能影响产品质量或者不能诚信履约的其他情形。</w:t>
      </w:r>
    </w:p>
    <w:p w14:paraId="556752DF">
      <w:pPr>
        <w:spacing w:line="370" w:lineRule="exact"/>
        <w:ind w:firstLine="420" w:firstLineChars="200"/>
        <w:rPr>
          <w:rFonts w:hint="eastAsia" w:ascii="宋体" w:hAnsi="宋体" w:cs="宋体"/>
          <w:b/>
          <w:bCs/>
        </w:rPr>
      </w:pPr>
      <w:r>
        <w:rPr>
          <w:rFonts w:hint="eastAsia" w:ascii="宋体" w:hAnsi="宋体" w:cs="宋体"/>
          <w:b/>
          <w:bCs/>
        </w:rPr>
        <w:t>5.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2F164A7">
      <w:pPr>
        <w:spacing w:line="370" w:lineRule="exact"/>
        <w:ind w:firstLine="420" w:firstLineChars="200"/>
        <w:rPr>
          <w:rFonts w:hint="eastAsia" w:ascii="宋体" w:hAnsi="宋体" w:cs="宋体"/>
          <w:b/>
          <w:bCs/>
        </w:rPr>
      </w:pPr>
      <w:r>
        <w:rPr>
          <w:rFonts w:hint="eastAsia" w:ascii="宋体" w:hAnsi="宋体" w:cs="宋体"/>
          <w:b/>
          <w:bCs/>
        </w:rPr>
        <w:t>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2DB069EB">
      <w:pPr>
        <w:spacing w:line="370" w:lineRule="exact"/>
        <w:ind w:firstLine="420" w:firstLineChars="200"/>
        <w:rPr>
          <w:rFonts w:hint="eastAsia" w:ascii="宋体" w:hAnsi="宋体" w:cs="宋体"/>
          <w:b/>
          <w:bCs/>
        </w:rPr>
      </w:pPr>
      <w:r>
        <w:rPr>
          <w:rFonts w:hint="eastAsia" w:ascii="宋体" w:hAnsi="宋体" w:cs="宋体"/>
          <w:b/>
          <w:bCs/>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FD056C9">
      <w:pPr>
        <w:spacing w:line="370" w:lineRule="exact"/>
        <w:ind w:firstLine="420" w:firstLineChars="200"/>
        <w:rPr>
          <w:rFonts w:hint="eastAsia" w:ascii="宋体" w:hAnsi="宋体" w:cs="宋体"/>
          <w:b/>
        </w:rPr>
      </w:pPr>
      <w:r>
        <w:rPr>
          <w:rFonts w:hint="eastAsia" w:ascii="宋体" w:hAnsi="宋体" w:cs="宋体"/>
          <w:b/>
          <w:bCs/>
        </w:rPr>
        <w:t>异常低价投标审查的启动原因、审查意见和审查结果应当在评审报告中记录，并随供应商提供的相关书面说明及证明材料，以及评审委员会有关互联网浏览、查询历史一并归档。</w:t>
      </w:r>
    </w:p>
    <w:p w14:paraId="33683FD1">
      <w:pPr>
        <w:spacing w:line="370" w:lineRule="exact"/>
        <w:ind w:firstLine="315" w:firstLineChars="150"/>
        <w:rPr>
          <w:rFonts w:hint="eastAsia"/>
          <w:b/>
        </w:rPr>
      </w:pPr>
      <w:r>
        <w:rPr>
          <w:rFonts w:hint="eastAsia"/>
          <w:b/>
        </w:rPr>
        <w:t>（四）投标文件的有效期</w:t>
      </w:r>
    </w:p>
    <w:p w14:paraId="4247ED55">
      <w:pPr>
        <w:spacing w:line="370" w:lineRule="exact"/>
        <w:rPr>
          <w:rFonts w:hint="eastAsia"/>
        </w:rPr>
      </w:pPr>
      <w:r>
        <w:rPr>
          <w:rFonts w:hint="eastAsia"/>
          <w:b/>
        </w:rPr>
        <w:t xml:space="preserve">    </w:t>
      </w:r>
      <w:r>
        <w:rPr>
          <w:rFonts w:hint="eastAsia"/>
        </w:rPr>
        <w:t>1.自投标截止日起</w:t>
      </w:r>
      <w:r>
        <w:rPr>
          <w:rFonts w:hint="eastAsia"/>
          <w:u w:val="single"/>
        </w:rPr>
        <w:t>60</w:t>
      </w:r>
      <w:r>
        <w:rPr>
          <w:rFonts w:hint="eastAsia"/>
        </w:rPr>
        <w:t>日投标文件应保持有效。有效期不足的投标文件将被拒绝。</w:t>
      </w:r>
    </w:p>
    <w:p w14:paraId="43DDD1E8">
      <w:pPr>
        <w:spacing w:line="370" w:lineRule="exact"/>
        <w:rPr>
          <w:rFonts w:hint="eastAsia"/>
        </w:rPr>
      </w:pPr>
      <w:r>
        <w:rPr>
          <w:rFonts w:hint="eastAsia"/>
        </w:rPr>
        <w:t xml:space="preserve">    2.在特殊情况下，采购人可与投标人协商延长投标书的有效期，这种要求和答复均以书面形式进行。</w:t>
      </w:r>
      <w:bookmarkStart w:id="70" w:name="_Toc254970539"/>
      <w:bookmarkStart w:id="71" w:name="_Toc254970680"/>
    </w:p>
    <w:p w14:paraId="3AA75CF3">
      <w:pPr>
        <w:spacing w:line="370" w:lineRule="exact"/>
        <w:rPr>
          <w:rFonts w:hint="eastAsia"/>
        </w:rPr>
      </w:pPr>
      <w:r>
        <w:rPr>
          <w:rFonts w:hint="eastAsia"/>
        </w:rPr>
        <w:t xml:space="preserve">    3.投标人可拒绝接受延期要求而不会导致投标保证金被没收。同意延长有效期的投标人需要相应延长投标保证金的有效期，但不能修改投标文件。</w:t>
      </w:r>
      <w:bookmarkEnd w:id="70"/>
      <w:bookmarkEnd w:id="71"/>
      <w:r>
        <w:rPr>
          <w:rFonts w:hint="eastAsia"/>
        </w:rPr>
        <w:t xml:space="preserve"> </w:t>
      </w:r>
      <w:bookmarkStart w:id="72" w:name="_Toc254970540"/>
      <w:bookmarkStart w:id="73" w:name="_Toc254970681"/>
    </w:p>
    <w:p w14:paraId="41B5A6C5">
      <w:pPr>
        <w:spacing w:line="370" w:lineRule="exact"/>
        <w:rPr>
          <w:rFonts w:hint="eastAsia"/>
        </w:rPr>
      </w:pPr>
      <w:r>
        <w:rPr>
          <w:rFonts w:hint="eastAsia"/>
        </w:rPr>
        <w:t xml:space="preserve">    4.中标人的投标文件自开标之日起至合同履行完毕止均应保持有效。</w:t>
      </w:r>
      <w:bookmarkEnd w:id="72"/>
      <w:bookmarkEnd w:id="73"/>
      <w:bookmarkStart w:id="74" w:name="_Toc254970682"/>
      <w:bookmarkStart w:id="75" w:name="_Toc254970541"/>
    </w:p>
    <w:p w14:paraId="34F43EC2">
      <w:pPr>
        <w:spacing w:line="370" w:lineRule="exact"/>
        <w:ind w:firstLine="435"/>
        <w:rPr>
          <w:rFonts w:hint="eastAsia"/>
          <w:b/>
        </w:rPr>
      </w:pPr>
      <w:r>
        <w:rPr>
          <w:rFonts w:hint="eastAsia"/>
          <w:b/>
        </w:rPr>
        <w:t>（五）投标保证金</w:t>
      </w:r>
      <w:bookmarkEnd w:id="74"/>
      <w:bookmarkEnd w:id="75"/>
    </w:p>
    <w:p w14:paraId="07A0E3F5">
      <w:pPr>
        <w:spacing w:line="370" w:lineRule="exact"/>
        <w:ind w:firstLine="435"/>
        <w:rPr>
          <w:rFonts w:hint="eastAsia"/>
        </w:rPr>
      </w:pPr>
      <w:r>
        <w:rPr>
          <w:rFonts w:hint="eastAsia"/>
        </w:rPr>
        <w:t>1.投标人须按须知前附表的规定提交投标保证金。否则，其投标将被拒绝。</w:t>
      </w:r>
    </w:p>
    <w:p w14:paraId="647D1931">
      <w:pPr>
        <w:spacing w:line="370" w:lineRule="exact"/>
        <w:ind w:firstLine="435"/>
        <w:rPr>
          <w:rFonts w:hint="eastAsia"/>
        </w:rPr>
      </w:pPr>
      <w:r>
        <w:rPr>
          <w:rFonts w:hint="eastAsia"/>
        </w:rPr>
        <w:t>2.</w:t>
      </w:r>
      <w:r>
        <w:rPr>
          <w:rFonts w:hint="eastAsia" w:cs="Arial"/>
        </w:rPr>
        <w:t>投标保证金的交纳方式：详见本项目公开招标公告。</w:t>
      </w:r>
    </w:p>
    <w:p w14:paraId="64C660E1">
      <w:pPr>
        <w:spacing w:line="370" w:lineRule="exact"/>
        <w:ind w:firstLine="435"/>
        <w:rPr>
          <w:rFonts w:hint="eastAsia"/>
        </w:rPr>
      </w:pPr>
      <w:r>
        <w:rPr>
          <w:rFonts w:hint="eastAsia"/>
        </w:rPr>
        <w:t>3.投标保证金的退还均以转账形式退回到投标人银行账户。</w:t>
      </w:r>
    </w:p>
    <w:p w14:paraId="686E7628">
      <w:pPr>
        <w:spacing w:line="370" w:lineRule="exact"/>
        <w:ind w:firstLine="435"/>
        <w:rPr>
          <w:rFonts w:hint="eastAsia"/>
        </w:rPr>
      </w:pPr>
      <w:r>
        <w:rPr>
          <w:rFonts w:hint="eastAsia"/>
        </w:rPr>
        <w:t>4.未中标人的投标保证金在中标通知书发出后5个工作日内退还。</w:t>
      </w:r>
    </w:p>
    <w:p w14:paraId="6778CC83">
      <w:pPr>
        <w:spacing w:line="370" w:lineRule="exact"/>
        <w:ind w:firstLine="435"/>
        <w:rPr>
          <w:rFonts w:hint="eastAsia"/>
        </w:rPr>
      </w:pPr>
      <w:r>
        <w:rPr>
          <w:rFonts w:hint="eastAsia"/>
        </w:rPr>
        <w:t>5.中标人的投标保证金在合同签订后（合同签订后送达本公司）5个工作日内退还。</w:t>
      </w:r>
    </w:p>
    <w:p w14:paraId="7B5575C9">
      <w:pPr>
        <w:spacing w:line="370" w:lineRule="exact"/>
        <w:ind w:firstLine="435"/>
        <w:rPr>
          <w:rFonts w:hint="eastAsia"/>
        </w:rPr>
      </w:pPr>
      <w:r>
        <w:rPr>
          <w:rFonts w:hint="eastAsia"/>
        </w:rPr>
        <w:t>6.投标保证金不计息。</w:t>
      </w:r>
    </w:p>
    <w:p w14:paraId="34821CF2">
      <w:pPr>
        <w:spacing w:line="370" w:lineRule="exact"/>
        <w:rPr>
          <w:rFonts w:hint="eastAsia" w:ascii="宋体"/>
          <w:b/>
          <w:sz w:val="18"/>
          <w:szCs w:val="18"/>
        </w:rPr>
      </w:pPr>
      <w:r>
        <w:rPr>
          <w:rFonts w:hint="eastAsia" w:ascii="宋体"/>
          <w:b/>
          <w:sz w:val="18"/>
          <w:szCs w:val="18"/>
        </w:rPr>
        <w:t xml:space="preserve">    注：办理投标保证金手续时，请务必在银行相关票据（非现金）或凭证的用途或空白栏上注明采购项目名称及采购项目编号，分标号（如有），以免耽误投标。        </w:t>
      </w:r>
    </w:p>
    <w:p w14:paraId="68715990">
      <w:pPr>
        <w:spacing w:line="370" w:lineRule="exact"/>
        <w:rPr>
          <w:rFonts w:hint="eastAsia"/>
        </w:rPr>
      </w:pPr>
      <w:r>
        <w:rPr>
          <w:rFonts w:hint="eastAsia" w:ascii="宋体"/>
          <w:b/>
          <w:sz w:val="18"/>
          <w:szCs w:val="18"/>
        </w:rPr>
        <w:t xml:space="preserve">    </w:t>
      </w:r>
      <w:r>
        <w:rPr>
          <w:rFonts w:hint="eastAsia"/>
        </w:rPr>
        <w:t>7.</w:t>
      </w:r>
      <w:r>
        <w:t>中标人应在中标通知书发出</w:t>
      </w:r>
      <w:r>
        <w:rPr>
          <w:rFonts w:hint="eastAsia"/>
        </w:rPr>
        <w:t>之日起</w:t>
      </w:r>
      <w:r>
        <w:rPr>
          <w:rFonts w:hint="eastAsia"/>
          <w:u w:val="single"/>
        </w:rPr>
        <w:t>25</w:t>
      </w:r>
      <w:r>
        <w:rPr>
          <w:rFonts w:hint="eastAsia"/>
        </w:rPr>
        <w:t>日内与采购人签订合同。</w:t>
      </w:r>
    </w:p>
    <w:p w14:paraId="3583AE52">
      <w:pPr>
        <w:spacing w:line="370" w:lineRule="exact"/>
        <w:rPr>
          <w:rFonts w:hint="eastAsia"/>
          <w:b/>
        </w:rPr>
      </w:pPr>
      <w:r>
        <w:rPr>
          <w:rFonts w:hint="eastAsia"/>
          <w:b/>
        </w:rPr>
        <w:t xml:space="preserve">    6.投标人有下列情形之一的，投标保证金将不予退还：</w:t>
      </w:r>
    </w:p>
    <w:p w14:paraId="2A5157AF">
      <w:pPr>
        <w:snapToGrid w:val="0"/>
        <w:spacing w:line="370" w:lineRule="exact"/>
        <w:ind w:firstLine="411" w:firstLineChars="196"/>
        <w:jc w:val="left"/>
        <w:rPr>
          <w:rFonts w:hint="eastAsia" w:ascii="宋体"/>
          <w:szCs w:val="21"/>
        </w:rPr>
      </w:pPr>
      <w:r>
        <w:rPr>
          <w:rFonts w:hint="eastAsia" w:ascii="宋体"/>
          <w:szCs w:val="21"/>
        </w:rPr>
        <w:t>（1）投标人在投标有效期内撤回投标文件的；</w:t>
      </w:r>
    </w:p>
    <w:p w14:paraId="797B7EBA">
      <w:pPr>
        <w:snapToGrid w:val="0"/>
        <w:spacing w:line="370" w:lineRule="exact"/>
        <w:ind w:firstLine="411" w:firstLineChars="196"/>
        <w:jc w:val="left"/>
        <w:rPr>
          <w:rFonts w:hint="eastAsia" w:ascii="宋体"/>
          <w:szCs w:val="21"/>
        </w:rPr>
      </w:pPr>
      <w:r>
        <w:rPr>
          <w:rFonts w:hint="eastAsia" w:ascii="宋体"/>
          <w:szCs w:val="21"/>
        </w:rPr>
        <w:t>（2）投标人在投标过程中弄虚作假，提供虚假材料的；</w:t>
      </w:r>
    </w:p>
    <w:p w14:paraId="1527F1E7">
      <w:pPr>
        <w:snapToGrid w:val="0"/>
        <w:spacing w:line="370" w:lineRule="exact"/>
        <w:ind w:firstLine="411" w:firstLineChars="196"/>
        <w:jc w:val="left"/>
        <w:rPr>
          <w:rFonts w:hint="eastAsia" w:ascii="宋体"/>
          <w:szCs w:val="21"/>
        </w:rPr>
      </w:pPr>
      <w:r>
        <w:rPr>
          <w:rFonts w:hint="eastAsia" w:ascii="宋体"/>
          <w:szCs w:val="21"/>
        </w:rPr>
        <w:t>（3）中标人无正当理由不与采购人签订合同的；</w:t>
      </w:r>
    </w:p>
    <w:p w14:paraId="120FE787">
      <w:pPr>
        <w:snapToGrid w:val="0"/>
        <w:spacing w:line="370" w:lineRule="exact"/>
        <w:ind w:firstLine="411" w:firstLineChars="196"/>
        <w:rPr>
          <w:rFonts w:hint="eastAsia" w:ascii="宋体"/>
          <w:szCs w:val="21"/>
        </w:rPr>
      </w:pPr>
      <w:r>
        <w:rPr>
          <w:rFonts w:hint="eastAsia" w:ascii="宋体"/>
          <w:szCs w:val="21"/>
        </w:rPr>
        <w:t>（4）</w:t>
      </w:r>
      <w:r>
        <w:rPr>
          <w:rFonts w:hint="eastAsia" w:ascii="宋体"/>
          <w:bCs/>
          <w:spacing w:val="-4"/>
          <w:szCs w:val="21"/>
        </w:rPr>
        <w:t>将中标项目转让给他人或者在投标文件中未说明，且未经采购人同意，将中标项目分包给他人的；</w:t>
      </w:r>
    </w:p>
    <w:p w14:paraId="0BDD683D">
      <w:pPr>
        <w:snapToGrid w:val="0"/>
        <w:spacing w:line="370" w:lineRule="exact"/>
        <w:ind w:firstLine="420" w:firstLineChars="200"/>
        <w:rPr>
          <w:rFonts w:hint="eastAsia" w:ascii="宋体"/>
          <w:szCs w:val="21"/>
        </w:rPr>
      </w:pPr>
      <w:r>
        <w:rPr>
          <w:rFonts w:hint="eastAsia" w:ascii="宋体"/>
          <w:szCs w:val="21"/>
        </w:rPr>
        <w:t>（5）其他严重扰乱招投标程序的</w:t>
      </w:r>
      <w:bookmarkStart w:id="76" w:name="_Toc254970542"/>
      <w:bookmarkStart w:id="77" w:name="_Toc254970683"/>
      <w:r>
        <w:rPr>
          <w:rFonts w:hint="eastAsia" w:ascii="宋体"/>
          <w:szCs w:val="21"/>
        </w:rPr>
        <w:t>；</w:t>
      </w:r>
    </w:p>
    <w:p w14:paraId="15BEA676">
      <w:pPr>
        <w:snapToGrid w:val="0"/>
        <w:spacing w:line="370" w:lineRule="exact"/>
        <w:ind w:firstLine="420" w:firstLineChars="200"/>
        <w:rPr>
          <w:rFonts w:hint="eastAsia" w:ascii="宋体"/>
          <w:szCs w:val="21"/>
        </w:rPr>
      </w:pPr>
      <w:r>
        <w:rPr>
          <w:rFonts w:hint="eastAsia" w:ascii="宋体"/>
          <w:szCs w:val="21"/>
        </w:rPr>
        <w:t>（6）未按规定提交履约保证金的。</w:t>
      </w:r>
    </w:p>
    <w:p w14:paraId="4F53180D">
      <w:pPr>
        <w:snapToGrid w:val="0"/>
        <w:spacing w:line="370" w:lineRule="exact"/>
        <w:ind w:firstLine="420" w:firstLineChars="200"/>
        <w:rPr>
          <w:rFonts w:hint="eastAsia" w:ascii="宋体"/>
          <w:b/>
          <w:szCs w:val="21"/>
        </w:rPr>
      </w:pPr>
      <w:r>
        <w:rPr>
          <w:rFonts w:hint="eastAsia" w:ascii="宋体"/>
          <w:b/>
          <w:szCs w:val="21"/>
        </w:rPr>
        <w:t>（六）投标文件的签署和份数</w:t>
      </w:r>
      <w:bookmarkEnd w:id="76"/>
      <w:bookmarkEnd w:id="77"/>
    </w:p>
    <w:p w14:paraId="1F78BB4C">
      <w:pPr>
        <w:snapToGrid w:val="0"/>
        <w:spacing w:line="370" w:lineRule="exact"/>
        <w:ind w:firstLine="420" w:firstLineChars="200"/>
        <w:rPr>
          <w:rFonts w:hint="eastAsia" w:ascii="宋体"/>
          <w:szCs w:val="21"/>
        </w:rPr>
      </w:pPr>
      <w:r>
        <w:rPr>
          <w:rFonts w:hint="eastAsia" w:ascii="宋体"/>
          <w:szCs w:val="21"/>
        </w:rPr>
        <w:t>1.投标人应按本招标文件规定的格式和顺序编制投标文件并标注页码，投标文件内容不完整、编排混乱导致投标文件被误读、漏读或者查找不到相关内容的，是投标人的责任。</w:t>
      </w:r>
    </w:p>
    <w:p w14:paraId="7CF580AE">
      <w:pPr>
        <w:snapToGrid w:val="0"/>
        <w:spacing w:line="370" w:lineRule="exact"/>
        <w:ind w:firstLine="420" w:firstLineChars="200"/>
        <w:rPr>
          <w:rFonts w:hint="eastAsia" w:ascii="宋体"/>
          <w:szCs w:val="21"/>
        </w:rPr>
      </w:pPr>
      <w:r>
        <w:rPr>
          <w:rFonts w:hint="eastAsia" w:ascii="宋体"/>
          <w:szCs w:val="21"/>
        </w:rPr>
        <w:t>2.投标文件份数：见投标人须知及前附表。</w:t>
      </w:r>
    </w:p>
    <w:p w14:paraId="559C97F2">
      <w:pPr>
        <w:snapToGrid w:val="0"/>
        <w:spacing w:line="370" w:lineRule="exact"/>
        <w:ind w:firstLine="420" w:firstLineChars="200"/>
        <w:rPr>
          <w:rFonts w:hint="eastAsia" w:ascii="宋体"/>
          <w:szCs w:val="21"/>
        </w:rPr>
      </w:pPr>
      <w:r>
        <w:rPr>
          <w:rFonts w:hint="eastAsia" w:ascii="宋体"/>
          <w:szCs w:val="21"/>
        </w:rPr>
        <w:t>3.投标文件须由投标人在规定位置盖章并由法定代表人或法定代表人的授权委托人签署，投标人应写全称。</w:t>
      </w:r>
    </w:p>
    <w:p w14:paraId="5D177560">
      <w:pPr>
        <w:snapToGrid w:val="0"/>
        <w:spacing w:line="370" w:lineRule="exact"/>
        <w:ind w:firstLine="420" w:firstLineChars="200"/>
        <w:rPr>
          <w:rFonts w:hint="eastAsia" w:ascii="宋体"/>
          <w:szCs w:val="21"/>
        </w:rPr>
      </w:pPr>
      <w:r>
        <w:rPr>
          <w:rFonts w:hint="eastAsia" w:ascii="宋体"/>
          <w:szCs w:val="21"/>
        </w:rPr>
        <w:t>4.投标文件不得涂改，若有修改错漏处，须加盖单位公章或者法定代表人或授权委托人签字或盖章。投标文件因扫描不清晰或乱码或表达不清所引起的后果由投标人负责。</w:t>
      </w:r>
    </w:p>
    <w:p w14:paraId="7CD7210B">
      <w:pPr>
        <w:snapToGrid w:val="0"/>
        <w:spacing w:line="370" w:lineRule="exact"/>
        <w:ind w:firstLine="420" w:firstLineChars="200"/>
        <w:rPr>
          <w:rFonts w:hint="eastAsia" w:ascii="宋体"/>
          <w:b/>
          <w:szCs w:val="21"/>
        </w:rPr>
      </w:pPr>
      <w:r>
        <w:rPr>
          <w:rFonts w:hint="eastAsia" w:ascii="宋体"/>
          <w:b/>
          <w:szCs w:val="21"/>
        </w:rPr>
        <w:t>（七）</w:t>
      </w:r>
      <w:r>
        <w:rPr>
          <w:rFonts w:hint="eastAsia"/>
          <w:b/>
        </w:rPr>
        <w:t>投标文件的上传、提交、修改、撤回和解密</w:t>
      </w:r>
    </w:p>
    <w:p w14:paraId="7251D560">
      <w:pPr>
        <w:snapToGrid w:val="0"/>
        <w:spacing w:line="370" w:lineRule="exact"/>
        <w:ind w:firstLine="420" w:firstLineChars="200"/>
        <w:jc w:val="left"/>
        <w:rPr>
          <w:rFonts w:hint="eastAsia" w:ascii="宋体"/>
          <w:szCs w:val="21"/>
        </w:rPr>
      </w:pPr>
      <w:bookmarkStart w:id="78" w:name="_Toc254970543"/>
      <w:bookmarkStart w:id="79" w:name="_Toc254970684"/>
      <w:r>
        <w:rPr>
          <w:rFonts w:hint="eastAsia"/>
        </w:rPr>
        <w:t>▲</w:t>
      </w:r>
      <w:r>
        <w:rPr>
          <w:rFonts w:hint="eastAsia" w:ascii="宋体"/>
          <w:szCs w:val="21"/>
        </w:rPr>
        <w:t>1. 投标文件的上传、提交：见投标人须知及前附表。</w:t>
      </w:r>
    </w:p>
    <w:p w14:paraId="71F15850">
      <w:pPr>
        <w:snapToGrid w:val="0"/>
        <w:spacing w:line="370" w:lineRule="exact"/>
        <w:ind w:firstLine="420" w:firstLineChars="200"/>
        <w:jc w:val="left"/>
        <w:rPr>
          <w:rFonts w:hint="eastAsia" w:ascii="宋体"/>
          <w:szCs w:val="21"/>
        </w:rPr>
      </w:pPr>
      <w:r>
        <w:rPr>
          <w:rFonts w:hint="eastAsia" w:ascii="宋体"/>
          <w:szCs w:val="21"/>
        </w:rPr>
        <w:t>2.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14:paraId="1650FDD9">
      <w:pPr>
        <w:snapToGrid w:val="0"/>
        <w:spacing w:line="370" w:lineRule="exact"/>
        <w:ind w:firstLine="420" w:firstLineChars="200"/>
        <w:jc w:val="left"/>
        <w:rPr>
          <w:rFonts w:hint="eastAsia" w:ascii="宋体"/>
          <w:szCs w:val="21"/>
        </w:rPr>
      </w:pPr>
      <w:r>
        <w:rPr>
          <w:rFonts w:hint="eastAsia" w:ascii="宋体"/>
          <w:szCs w:val="21"/>
        </w:rPr>
        <w:t>3.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4D9A55EE">
      <w:pPr>
        <w:snapToGrid w:val="0"/>
        <w:spacing w:line="370" w:lineRule="exact"/>
        <w:ind w:firstLine="420" w:firstLineChars="200"/>
        <w:jc w:val="left"/>
        <w:rPr>
          <w:rFonts w:hint="eastAsia" w:ascii="宋体"/>
          <w:szCs w:val="21"/>
        </w:rPr>
      </w:pPr>
      <w:r>
        <w:rPr>
          <w:rFonts w:hint="eastAsia" w:ascii="宋体"/>
          <w:szCs w:val="21"/>
        </w:rPr>
        <w:t>4.投标人已经被推荐为第一中标候选供应商后撤回投标或放弃中标的，其投标保证金将不予退还，并上缴国库，给采购人造成损失的，还应当赔偿损失，并作为不良行为记录在案。</w:t>
      </w:r>
    </w:p>
    <w:p w14:paraId="1EBD0F16">
      <w:pPr>
        <w:snapToGrid w:val="0"/>
        <w:spacing w:line="370" w:lineRule="exact"/>
        <w:ind w:firstLine="420" w:firstLineChars="200"/>
        <w:jc w:val="left"/>
        <w:rPr>
          <w:rFonts w:hint="eastAsia" w:ascii="宋体"/>
          <w:b/>
          <w:szCs w:val="21"/>
        </w:rPr>
      </w:pPr>
      <w:r>
        <w:rPr>
          <w:rFonts w:hint="eastAsia" w:ascii="宋体"/>
          <w:b/>
          <w:szCs w:val="21"/>
        </w:rPr>
        <w:t>（八）投标无效的情形</w:t>
      </w:r>
      <w:bookmarkEnd w:id="78"/>
      <w:bookmarkEnd w:id="79"/>
    </w:p>
    <w:p w14:paraId="1E3E7804">
      <w:pPr>
        <w:snapToGrid w:val="0"/>
        <w:spacing w:line="370" w:lineRule="exact"/>
        <w:ind w:firstLine="420" w:firstLineChars="200"/>
        <w:jc w:val="left"/>
        <w:rPr>
          <w:rFonts w:hint="eastAsia" w:ascii="宋体"/>
          <w:bCs/>
          <w:szCs w:val="21"/>
        </w:rPr>
      </w:pPr>
      <w:r>
        <w:rPr>
          <w:rFonts w:hint="eastAsia" w:ascii="宋体"/>
          <w:bCs/>
          <w:szCs w:val="21"/>
        </w:rPr>
        <w:t>实质上没有响应招标文件要求的投标将被视为无效投标。投标人不得通过修正或撤销不合要求的偏离或保留从而使其投标成为实质上响应的投标，但经评标委员会认定属于投标人疏忽、笔误所造成的差错，应当允许其在评标结束之前在广西政府采购云平台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14:paraId="7AAC66B6">
      <w:pPr>
        <w:snapToGrid w:val="0"/>
        <w:spacing w:line="370" w:lineRule="exact"/>
        <w:ind w:firstLine="420" w:firstLineChars="200"/>
        <w:jc w:val="left"/>
        <w:rPr>
          <w:rFonts w:hint="eastAsia" w:ascii="宋体"/>
          <w:b/>
          <w:bCs/>
          <w:szCs w:val="21"/>
        </w:rPr>
      </w:pPr>
      <w:r>
        <w:rPr>
          <w:rFonts w:hint="eastAsia" w:ascii="宋体"/>
          <w:b/>
          <w:bCs/>
          <w:szCs w:val="21"/>
        </w:rPr>
        <w:t>1.在资格、符合性审查时，如发现下列情形之一的，投标文件将被视为无效：</w:t>
      </w:r>
    </w:p>
    <w:p w14:paraId="1514C0C1">
      <w:pPr>
        <w:snapToGrid w:val="0"/>
        <w:spacing w:line="370" w:lineRule="exact"/>
        <w:ind w:firstLine="411" w:firstLineChars="196"/>
        <w:rPr>
          <w:rFonts w:hint="eastAsia" w:ascii="宋体"/>
          <w:szCs w:val="21"/>
        </w:rPr>
      </w:pPr>
      <w:r>
        <w:rPr>
          <w:rFonts w:hint="eastAsia" w:ascii="宋体"/>
          <w:szCs w:val="21"/>
        </w:rPr>
        <w:t>（1）</w:t>
      </w:r>
      <w:r>
        <w:rPr>
          <w:rFonts w:hint="eastAsia" w:ascii="宋体" w:cs="仿宋_GB2312"/>
          <w:szCs w:val="21"/>
        </w:rPr>
        <w:t>超越了按照法律法规规定必须获得行政许可或者行政审批的经营范围的</w:t>
      </w:r>
      <w:r>
        <w:rPr>
          <w:rFonts w:hint="eastAsia" w:ascii="宋体"/>
          <w:szCs w:val="21"/>
        </w:rPr>
        <w:t>；</w:t>
      </w:r>
    </w:p>
    <w:p w14:paraId="18AE90DA">
      <w:pPr>
        <w:snapToGrid w:val="0"/>
        <w:spacing w:line="370" w:lineRule="exact"/>
        <w:ind w:firstLine="411" w:firstLineChars="196"/>
        <w:rPr>
          <w:rFonts w:hint="eastAsia" w:ascii="宋体"/>
          <w:szCs w:val="21"/>
        </w:rPr>
      </w:pPr>
      <w:r>
        <w:rPr>
          <w:rFonts w:hint="eastAsia" w:ascii="宋体"/>
          <w:szCs w:val="21"/>
        </w:rPr>
        <w:t>（2）资格证明文件不全的，或者不符合招标文件标明的资格要求的；</w:t>
      </w:r>
    </w:p>
    <w:p w14:paraId="0497A30B">
      <w:pPr>
        <w:snapToGrid w:val="0"/>
        <w:spacing w:line="370" w:lineRule="exact"/>
        <w:ind w:firstLine="411" w:firstLineChars="196"/>
        <w:rPr>
          <w:rFonts w:hint="eastAsia" w:ascii="宋体"/>
          <w:bCs/>
          <w:kern w:val="0"/>
          <w:szCs w:val="21"/>
        </w:rPr>
      </w:pPr>
      <w:r>
        <w:rPr>
          <w:rFonts w:hint="eastAsia" w:ascii="宋体"/>
          <w:szCs w:val="21"/>
        </w:rPr>
        <w:t>（3）</w:t>
      </w:r>
      <w:r>
        <w:rPr>
          <w:rFonts w:hint="eastAsia" w:ascii="宋体"/>
          <w:spacing w:val="-4"/>
          <w:szCs w:val="21"/>
        </w:rPr>
        <w:t>投标文件无法定代表人(负责人)或其授权委托代理人签字，或未</w:t>
      </w:r>
      <w:r>
        <w:rPr>
          <w:rFonts w:hint="eastAsia" w:ascii="宋体"/>
          <w:bCs/>
          <w:spacing w:val="-4"/>
          <w:kern w:val="0"/>
          <w:szCs w:val="21"/>
        </w:rPr>
        <w:t>提供法定代表人(负责人)授权委托书、投标声明书</w:t>
      </w:r>
      <w:r>
        <w:rPr>
          <w:rFonts w:hint="eastAsia" w:ascii="宋体" w:hAnsi="宋体"/>
          <w:bCs/>
          <w:spacing w:val="-4"/>
          <w:kern w:val="0"/>
          <w:szCs w:val="21"/>
        </w:rPr>
        <w:t>或者填写内容不齐全</w:t>
      </w:r>
      <w:r>
        <w:rPr>
          <w:rFonts w:hint="eastAsia" w:ascii="宋体"/>
          <w:bCs/>
          <w:spacing w:val="-4"/>
          <w:kern w:val="0"/>
          <w:szCs w:val="21"/>
        </w:rPr>
        <w:t>的；</w:t>
      </w:r>
    </w:p>
    <w:p w14:paraId="0BFF8A3B">
      <w:pPr>
        <w:snapToGrid w:val="0"/>
        <w:spacing w:line="370" w:lineRule="exact"/>
        <w:ind w:firstLine="411" w:firstLineChars="196"/>
        <w:rPr>
          <w:rFonts w:hint="eastAsia" w:ascii="宋体"/>
          <w:szCs w:val="21"/>
        </w:rPr>
      </w:pPr>
      <w:r>
        <w:rPr>
          <w:rFonts w:hint="eastAsia" w:ascii="宋体"/>
          <w:szCs w:val="21"/>
        </w:rPr>
        <w:t xml:space="preserve">（4）投标代表人未能出具身份证明或与法定代表人(负责人)授权委托人身份不符的； </w:t>
      </w:r>
    </w:p>
    <w:p w14:paraId="36CDEDD3">
      <w:pPr>
        <w:pStyle w:val="20"/>
        <w:snapToGrid w:val="0"/>
        <w:spacing w:line="370" w:lineRule="exact"/>
        <w:ind w:firstLine="411" w:firstLineChars="196"/>
        <w:rPr>
          <w:rFonts w:hint="eastAsia" w:ascii="宋体" w:eastAsia="宋体"/>
          <w:snapToGrid w:val="0"/>
          <w:sz w:val="21"/>
          <w:szCs w:val="21"/>
        </w:rPr>
      </w:pPr>
      <w:r>
        <w:rPr>
          <w:rFonts w:hint="eastAsia" w:ascii="宋体" w:eastAsia="宋体"/>
          <w:sz w:val="21"/>
          <w:szCs w:val="21"/>
        </w:rPr>
        <w:t>（</w:t>
      </w:r>
      <w:r>
        <w:rPr>
          <w:rFonts w:hint="eastAsia" w:ascii="宋体" w:eastAsia="宋体"/>
          <w:snapToGrid w:val="0"/>
          <w:sz w:val="21"/>
          <w:szCs w:val="21"/>
        </w:rPr>
        <w:t>5）</w:t>
      </w:r>
      <w:r>
        <w:rPr>
          <w:rFonts w:hint="eastAsia" w:ascii="宋体" w:eastAsia="宋体" w:cs="仿宋_GB2312"/>
          <w:sz w:val="21"/>
          <w:szCs w:val="21"/>
        </w:rPr>
        <w:t>项目填写不齐全或者内容虚假的</w:t>
      </w:r>
      <w:r>
        <w:rPr>
          <w:rFonts w:hint="eastAsia" w:ascii="宋体" w:eastAsia="宋体"/>
          <w:sz w:val="21"/>
          <w:szCs w:val="21"/>
        </w:rPr>
        <w:t>；</w:t>
      </w:r>
    </w:p>
    <w:p w14:paraId="74F704FF">
      <w:pPr>
        <w:pStyle w:val="20"/>
        <w:snapToGrid w:val="0"/>
        <w:spacing w:line="370" w:lineRule="exact"/>
        <w:ind w:firstLine="411" w:firstLineChars="196"/>
        <w:rPr>
          <w:rFonts w:hint="eastAsia" w:ascii="宋体" w:eastAsia="宋体"/>
          <w:snapToGrid w:val="0"/>
          <w:sz w:val="21"/>
          <w:szCs w:val="21"/>
        </w:rPr>
      </w:pPr>
      <w:r>
        <w:rPr>
          <w:rFonts w:hint="eastAsia" w:ascii="宋体" w:eastAsia="宋体"/>
          <w:sz w:val="21"/>
          <w:szCs w:val="21"/>
        </w:rPr>
        <w:t>（6）</w:t>
      </w:r>
      <w:r>
        <w:rPr>
          <w:rFonts w:hint="eastAsia" w:ascii="宋体" w:eastAsia="宋体" w:cs="仿宋_GB2312"/>
          <w:sz w:val="21"/>
          <w:szCs w:val="21"/>
        </w:rPr>
        <w:t>投标文件的实质性内容未使用中文表述、意思表述不明确、前后矛盾或者使用计量单位不符合招标文件要求的</w:t>
      </w:r>
      <w:r>
        <w:rPr>
          <w:rFonts w:hint="eastAsia" w:ascii="宋体" w:eastAsia="宋体"/>
          <w:sz w:val="21"/>
          <w:szCs w:val="21"/>
        </w:rPr>
        <w:t>（经评标委员会认定并允许其当场更正的笔误除外）；</w:t>
      </w:r>
    </w:p>
    <w:p w14:paraId="55B36726">
      <w:pPr>
        <w:pStyle w:val="20"/>
        <w:snapToGrid w:val="0"/>
        <w:spacing w:line="360" w:lineRule="exact"/>
        <w:ind w:firstLine="411" w:firstLineChars="196"/>
        <w:rPr>
          <w:rFonts w:hint="eastAsia" w:ascii="宋体" w:hAnsi="宋体" w:eastAsia="宋体"/>
          <w:sz w:val="21"/>
          <w:szCs w:val="21"/>
        </w:rPr>
      </w:pPr>
      <w:r>
        <w:rPr>
          <w:rFonts w:hint="eastAsia" w:ascii="宋体" w:hAnsi="宋体" w:eastAsia="宋体"/>
          <w:sz w:val="21"/>
          <w:szCs w:val="21"/>
        </w:rPr>
        <w:t>（7）</w:t>
      </w:r>
      <w:r>
        <w:rPr>
          <w:rFonts w:hint="eastAsia" w:ascii="宋体" w:hAnsi="宋体" w:eastAsia="宋体"/>
          <w:spacing w:val="-4"/>
          <w:sz w:val="21"/>
          <w:szCs w:val="21"/>
        </w:rPr>
        <w:t>未实质性响应招标文件要求或者投标文件有招标方不能接受的附加条件的；</w:t>
      </w:r>
    </w:p>
    <w:p w14:paraId="1D030187">
      <w:pPr>
        <w:pStyle w:val="20"/>
        <w:snapToGrid w:val="0"/>
        <w:spacing w:line="360" w:lineRule="exact"/>
        <w:ind w:firstLine="411" w:firstLineChars="196"/>
        <w:rPr>
          <w:rFonts w:hint="eastAsia" w:ascii="宋体" w:hAnsi="宋体" w:eastAsia="宋体"/>
          <w:sz w:val="21"/>
          <w:szCs w:val="21"/>
        </w:rPr>
      </w:pPr>
      <w:r>
        <w:rPr>
          <w:rFonts w:hint="eastAsia" w:ascii="宋体" w:hAnsi="宋体" w:eastAsia="宋体"/>
          <w:sz w:val="21"/>
          <w:szCs w:val="21"/>
        </w:rPr>
        <w:t>（8）未按照招标文件的规定提交投标保证金的；（说明：评标时，评标委员会将以本采购代理财务室编制的《项目投标保证金到账信息表》作为评审参考依据）。</w:t>
      </w:r>
    </w:p>
    <w:p w14:paraId="5441426A">
      <w:pPr>
        <w:pStyle w:val="20"/>
        <w:snapToGrid w:val="0"/>
        <w:spacing w:line="360" w:lineRule="exact"/>
        <w:ind w:firstLine="411" w:firstLineChars="196"/>
        <w:rPr>
          <w:rFonts w:hint="eastAsia" w:ascii="宋体" w:hAnsi="宋体" w:eastAsia="宋体"/>
          <w:sz w:val="21"/>
          <w:szCs w:val="21"/>
        </w:rPr>
      </w:pPr>
      <w:r>
        <w:rPr>
          <w:rFonts w:hint="eastAsia" w:ascii="宋体" w:hAnsi="宋体" w:eastAsia="宋体"/>
          <w:sz w:val="21"/>
          <w:szCs w:val="21"/>
        </w:rPr>
        <w:t>（9）法律、法规和招标文件规定的其他无效情形。</w:t>
      </w:r>
    </w:p>
    <w:p w14:paraId="74334FC1">
      <w:pPr>
        <w:pStyle w:val="20"/>
        <w:snapToGrid w:val="0"/>
        <w:spacing w:line="370" w:lineRule="exact"/>
        <w:ind w:firstLine="411" w:firstLineChars="196"/>
        <w:rPr>
          <w:rFonts w:hint="eastAsia" w:ascii="宋体" w:eastAsia="宋体"/>
          <w:b/>
          <w:bCs/>
          <w:sz w:val="21"/>
          <w:szCs w:val="21"/>
        </w:rPr>
      </w:pPr>
      <w:r>
        <w:rPr>
          <w:rFonts w:hint="eastAsia" w:ascii="宋体" w:eastAsia="宋体"/>
          <w:b/>
          <w:bCs/>
          <w:sz w:val="21"/>
          <w:szCs w:val="21"/>
        </w:rPr>
        <w:t>2.在商务、技术评审时，如发现下列情形之一的，投标文件将被视为无效：</w:t>
      </w:r>
    </w:p>
    <w:p w14:paraId="24A39C00">
      <w:pPr>
        <w:pStyle w:val="20"/>
        <w:snapToGrid w:val="0"/>
        <w:spacing w:line="370" w:lineRule="exact"/>
        <w:ind w:firstLine="411" w:firstLineChars="196"/>
        <w:rPr>
          <w:rFonts w:hint="eastAsia" w:ascii="宋体" w:eastAsia="宋体"/>
          <w:snapToGrid w:val="0"/>
          <w:sz w:val="21"/>
          <w:szCs w:val="21"/>
        </w:rPr>
      </w:pPr>
      <w:r>
        <w:rPr>
          <w:rFonts w:hint="eastAsia" w:ascii="宋体" w:eastAsia="宋体"/>
          <w:sz w:val="21"/>
          <w:szCs w:val="21"/>
        </w:rPr>
        <w:t>（</w:t>
      </w:r>
      <w:r>
        <w:rPr>
          <w:rFonts w:hint="eastAsia" w:ascii="宋体" w:eastAsia="宋体"/>
          <w:snapToGrid w:val="0"/>
          <w:sz w:val="21"/>
          <w:szCs w:val="21"/>
        </w:rPr>
        <w:t>1）投标有效期等商务条款不能满足招标文件要求的；</w:t>
      </w:r>
    </w:p>
    <w:p w14:paraId="2C9CE7DF">
      <w:pPr>
        <w:pStyle w:val="20"/>
        <w:snapToGrid w:val="0"/>
        <w:spacing w:line="370" w:lineRule="exact"/>
        <w:ind w:firstLine="411" w:firstLineChars="196"/>
        <w:rPr>
          <w:rFonts w:hint="eastAsia" w:ascii="宋体" w:eastAsia="宋体"/>
          <w:sz w:val="21"/>
          <w:szCs w:val="21"/>
        </w:rPr>
      </w:pPr>
      <w:r>
        <w:rPr>
          <w:rFonts w:hint="eastAsia" w:ascii="宋体" w:eastAsia="宋体"/>
          <w:sz w:val="21"/>
          <w:szCs w:val="21"/>
        </w:rPr>
        <w:t>（2）未实质性响应招标文件要求或者投标文件有采购人不能接受的附加条件的；</w:t>
      </w:r>
    </w:p>
    <w:p w14:paraId="7B003F3B">
      <w:pPr>
        <w:pStyle w:val="20"/>
        <w:snapToGrid w:val="0"/>
        <w:spacing w:line="370" w:lineRule="exact"/>
        <w:ind w:firstLine="411" w:firstLineChars="196"/>
        <w:rPr>
          <w:rFonts w:hint="eastAsia" w:ascii="宋体" w:eastAsia="宋体"/>
          <w:sz w:val="21"/>
          <w:szCs w:val="21"/>
        </w:rPr>
      </w:pPr>
      <w:r>
        <w:rPr>
          <w:rFonts w:hint="eastAsia" w:ascii="宋体" w:eastAsia="宋体"/>
          <w:sz w:val="21"/>
          <w:szCs w:val="21"/>
        </w:rPr>
        <w:t>（3）未提供或未如实提供投标服务的服务承诺，或者投标文件标明的响应或偏离与事实不符或虚假投标的；</w:t>
      </w:r>
    </w:p>
    <w:p w14:paraId="339BB917">
      <w:pPr>
        <w:pStyle w:val="20"/>
        <w:snapToGrid w:val="0"/>
        <w:spacing w:line="370" w:lineRule="exact"/>
        <w:ind w:firstLine="411" w:firstLineChars="196"/>
        <w:rPr>
          <w:rFonts w:hint="eastAsia" w:ascii="宋体" w:eastAsia="宋体"/>
          <w:snapToGrid w:val="0"/>
          <w:sz w:val="21"/>
          <w:szCs w:val="21"/>
        </w:rPr>
      </w:pPr>
      <w:r>
        <w:rPr>
          <w:rFonts w:hint="eastAsia" w:ascii="宋体" w:eastAsia="宋体"/>
          <w:sz w:val="21"/>
          <w:szCs w:val="21"/>
        </w:rPr>
        <w:t>（4）</w:t>
      </w:r>
      <w:r>
        <w:rPr>
          <w:rFonts w:hint="eastAsia" w:ascii="宋体" w:eastAsia="宋体"/>
          <w:snapToGrid w:val="0"/>
          <w:sz w:val="21"/>
          <w:szCs w:val="21"/>
        </w:rPr>
        <w:t>明显不符合招标文件要求的服务要求，或者与招标文件中标“▲”的技术指标、主要功能项目发生实质性负偏离的；</w:t>
      </w:r>
    </w:p>
    <w:p w14:paraId="7FDA4966">
      <w:pPr>
        <w:pStyle w:val="20"/>
        <w:snapToGrid w:val="0"/>
        <w:spacing w:line="370" w:lineRule="exact"/>
        <w:ind w:firstLine="411" w:firstLineChars="196"/>
        <w:rPr>
          <w:rFonts w:hint="eastAsia" w:ascii="宋体" w:eastAsia="宋体"/>
          <w:snapToGrid w:val="0"/>
          <w:sz w:val="21"/>
          <w:szCs w:val="21"/>
        </w:rPr>
      </w:pPr>
      <w:r>
        <w:rPr>
          <w:rFonts w:hint="eastAsia" w:ascii="宋体" w:eastAsia="宋体"/>
          <w:snapToGrid w:val="0"/>
          <w:sz w:val="21"/>
          <w:szCs w:val="21"/>
        </w:rPr>
        <w:t>（5）</w:t>
      </w:r>
      <w:r>
        <w:rPr>
          <w:rFonts w:hint="eastAsia" w:ascii="宋体" w:hAnsi="宋体" w:eastAsia="宋体"/>
          <w:sz w:val="21"/>
          <w:szCs w:val="21"/>
        </w:rPr>
        <w:t>允许偏离的商务、技术、性能指标或者辅助功能项目发生负偏离超出允许的范围以上的</w:t>
      </w:r>
      <w:r>
        <w:rPr>
          <w:rFonts w:hint="eastAsia" w:ascii="宋体" w:hAnsi="宋体" w:eastAsia="宋体"/>
          <w:spacing w:val="-4"/>
          <w:sz w:val="21"/>
          <w:szCs w:val="21"/>
        </w:rPr>
        <w:t>；</w:t>
      </w:r>
    </w:p>
    <w:p w14:paraId="2E54609B">
      <w:pPr>
        <w:pStyle w:val="20"/>
        <w:snapToGrid w:val="0"/>
        <w:spacing w:line="370" w:lineRule="exact"/>
        <w:ind w:firstLine="411" w:firstLineChars="196"/>
        <w:rPr>
          <w:rFonts w:hint="eastAsia" w:ascii="宋体" w:eastAsia="宋体"/>
          <w:snapToGrid w:val="0"/>
          <w:sz w:val="21"/>
          <w:szCs w:val="21"/>
        </w:rPr>
      </w:pPr>
      <w:r>
        <w:rPr>
          <w:rFonts w:hint="eastAsia" w:ascii="宋体" w:eastAsia="宋体"/>
          <w:snapToGrid w:val="0"/>
          <w:sz w:val="21"/>
          <w:szCs w:val="21"/>
        </w:rPr>
        <w:t>（6）投标技术方案不明确，存在一个或一个以上备选（替代）投标方案的；</w:t>
      </w:r>
    </w:p>
    <w:p w14:paraId="73702C6B">
      <w:pPr>
        <w:pStyle w:val="20"/>
        <w:snapToGrid w:val="0"/>
        <w:spacing w:line="370" w:lineRule="exact"/>
        <w:ind w:firstLine="411" w:firstLineChars="196"/>
        <w:rPr>
          <w:rFonts w:hint="eastAsia" w:ascii="宋体" w:eastAsia="宋体"/>
          <w:snapToGrid w:val="0"/>
          <w:sz w:val="21"/>
          <w:szCs w:val="21"/>
        </w:rPr>
      </w:pPr>
      <w:r>
        <w:rPr>
          <w:rFonts w:hint="eastAsia" w:ascii="宋体" w:eastAsia="宋体"/>
          <w:snapToGrid w:val="0"/>
          <w:sz w:val="21"/>
          <w:szCs w:val="21"/>
        </w:rPr>
        <w:t>（7）与其他参加本次投标供应商的投标文件（技术文件）的文字表述内容差错相同二处以上的；</w:t>
      </w:r>
    </w:p>
    <w:p w14:paraId="0B793FC8">
      <w:pPr>
        <w:pStyle w:val="20"/>
        <w:snapToGrid w:val="0"/>
        <w:spacing w:line="370" w:lineRule="exact"/>
        <w:ind w:firstLine="411" w:firstLineChars="196"/>
        <w:rPr>
          <w:rFonts w:hint="eastAsia" w:ascii="宋体" w:eastAsia="宋体"/>
          <w:b/>
          <w:bCs/>
          <w:sz w:val="21"/>
          <w:szCs w:val="21"/>
        </w:rPr>
      </w:pPr>
      <w:r>
        <w:rPr>
          <w:rFonts w:hint="eastAsia" w:ascii="宋体" w:eastAsia="宋体"/>
          <w:b/>
          <w:bCs/>
          <w:sz w:val="21"/>
          <w:szCs w:val="21"/>
        </w:rPr>
        <w:t>3.在报价评审时，如发现下列情形之一的，投标文件将被视为无效：</w:t>
      </w:r>
    </w:p>
    <w:p w14:paraId="033FC1EF">
      <w:pPr>
        <w:pStyle w:val="20"/>
        <w:snapToGrid w:val="0"/>
        <w:spacing w:line="37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（1）未采用人民币报价或者未按照招标文件标明的币种报价的；</w:t>
      </w:r>
    </w:p>
    <w:p w14:paraId="65D534BD">
      <w:pPr>
        <w:pStyle w:val="20"/>
        <w:snapToGrid w:val="0"/>
        <w:spacing w:line="37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（2）报价超出最高限价，或者超出采购预算金额，采购人不能支付的；</w:t>
      </w:r>
    </w:p>
    <w:p w14:paraId="278C50C7">
      <w:pPr>
        <w:pStyle w:val="20"/>
        <w:snapToGrid w:val="0"/>
        <w:spacing w:line="37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（3）投标报价具有选择性，或者开标价格与投标文件承诺的优惠（折扣）价格不一致的；</w:t>
      </w:r>
    </w:p>
    <w:p w14:paraId="5D150AE1">
      <w:pPr>
        <w:pStyle w:val="20"/>
        <w:snapToGrid w:val="0"/>
        <w:spacing w:line="37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（4）评审委员会启动异常低价投标审查</w:t>
      </w:r>
      <w:r>
        <w:rPr>
          <w:rFonts w:hint="eastAsia" w:ascii="宋体" w:hAnsi="宋体" w:eastAsia="宋体" w:cs="宋体"/>
          <w:spacing w:val="-4"/>
          <w:sz w:val="21"/>
          <w:szCs w:val="21"/>
        </w:rPr>
        <w:t>，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11A544D7">
      <w:pPr>
        <w:pStyle w:val="20"/>
        <w:snapToGrid w:val="0"/>
        <w:spacing w:line="370" w:lineRule="exact"/>
        <w:ind w:firstLine="420" w:firstLineChars="200"/>
        <w:rPr>
          <w:rFonts w:hint="eastAsia" w:ascii="宋体" w:eastAsia="宋体"/>
          <w:b/>
          <w:sz w:val="21"/>
          <w:szCs w:val="21"/>
        </w:rPr>
      </w:pPr>
      <w:r>
        <w:rPr>
          <w:rFonts w:hint="eastAsia" w:ascii="宋体" w:eastAsia="宋体"/>
          <w:b/>
          <w:sz w:val="21"/>
          <w:szCs w:val="21"/>
        </w:rPr>
        <w:t>4.有下列情形之一的视为投标人相互串通投标，投标文件将被视为无效：</w:t>
      </w:r>
    </w:p>
    <w:p w14:paraId="73797797">
      <w:pPr>
        <w:pStyle w:val="20"/>
        <w:snapToGrid w:val="0"/>
        <w:spacing w:line="370" w:lineRule="exact"/>
        <w:ind w:firstLine="420" w:firstLineChars="200"/>
        <w:rPr>
          <w:rFonts w:hint="eastAsia" w:ascii="宋体" w:eastAsia="宋体"/>
          <w:sz w:val="21"/>
          <w:szCs w:val="21"/>
        </w:rPr>
      </w:pPr>
      <w:r>
        <w:rPr>
          <w:rFonts w:hint="eastAsia" w:ascii="宋体" w:eastAsia="宋体"/>
          <w:sz w:val="21"/>
          <w:szCs w:val="21"/>
        </w:rPr>
        <w:t>（1）不同投标人的投标文件由同一单位或者个人编制；或不同投标人报名的IP地址一致的；</w:t>
      </w:r>
    </w:p>
    <w:p w14:paraId="33C9C7EB">
      <w:pPr>
        <w:pStyle w:val="20"/>
        <w:snapToGrid w:val="0"/>
        <w:spacing w:line="370" w:lineRule="exact"/>
        <w:ind w:firstLine="420" w:firstLineChars="200"/>
        <w:rPr>
          <w:rFonts w:hint="eastAsia" w:ascii="宋体" w:eastAsia="宋体"/>
          <w:sz w:val="21"/>
          <w:szCs w:val="21"/>
        </w:rPr>
      </w:pPr>
      <w:r>
        <w:rPr>
          <w:rFonts w:hint="eastAsia" w:ascii="宋体" w:eastAsia="宋体"/>
          <w:sz w:val="21"/>
          <w:szCs w:val="21"/>
        </w:rPr>
        <w:t>（2）不同投标人委托同一单位或者个人办理投标事宜；</w:t>
      </w:r>
    </w:p>
    <w:p w14:paraId="40926F24">
      <w:pPr>
        <w:pStyle w:val="20"/>
        <w:snapToGrid w:val="0"/>
        <w:spacing w:line="370" w:lineRule="exact"/>
        <w:ind w:firstLine="420" w:firstLineChars="200"/>
        <w:rPr>
          <w:rFonts w:hint="eastAsia" w:ascii="宋体" w:eastAsia="宋体"/>
          <w:sz w:val="21"/>
          <w:szCs w:val="21"/>
        </w:rPr>
      </w:pPr>
      <w:r>
        <w:rPr>
          <w:rFonts w:hint="eastAsia" w:ascii="宋体" w:eastAsia="宋体"/>
          <w:sz w:val="21"/>
          <w:szCs w:val="21"/>
        </w:rPr>
        <w:t>（3）不同投标人的投标文件载明的项目管理成员或者联系人员为同一人；</w:t>
      </w:r>
    </w:p>
    <w:p w14:paraId="6CE71CDA">
      <w:pPr>
        <w:pStyle w:val="20"/>
        <w:snapToGrid w:val="0"/>
        <w:spacing w:line="370" w:lineRule="exact"/>
        <w:ind w:firstLine="420" w:firstLineChars="200"/>
        <w:rPr>
          <w:rFonts w:hint="eastAsia" w:ascii="宋体" w:eastAsia="宋体"/>
          <w:sz w:val="21"/>
          <w:szCs w:val="21"/>
        </w:rPr>
      </w:pPr>
      <w:r>
        <w:rPr>
          <w:rFonts w:hint="eastAsia" w:ascii="宋体" w:eastAsia="宋体"/>
          <w:sz w:val="21"/>
          <w:szCs w:val="21"/>
        </w:rPr>
        <w:t>（4）不同投标人的投标文件异常一致或投标报价呈规律性差异；</w:t>
      </w:r>
    </w:p>
    <w:p w14:paraId="71537412">
      <w:pPr>
        <w:pStyle w:val="20"/>
        <w:snapToGrid w:val="0"/>
        <w:spacing w:line="370" w:lineRule="exact"/>
        <w:ind w:firstLine="420" w:firstLineChars="200"/>
        <w:rPr>
          <w:rFonts w:hint="eastAsia" w:ascii="宋体" w:eastAsia="宋体"/>
          <w:sz w:val="21"/>
          <w:szCs w:val="21"/>
        </w:rPr>
      </w:pPr>
      <w:r>
        <w:rPr>
          <w:rFonts w:hint="eastAsia" w:ascii="宋体" w:eastAsia="宋体"/>
          <w:sz w:val="21"/>
          <w:szCs w:val="21"/>
        </w:rPr>
        <w:t>（5）不同投标人的投标文件相互混装；</w:t>
      </w:r>
    </w:p>
    <w:p w14:paraId="7FACE8AF">
      <w:pPr>
        <w:pStyle w:val="20"/>
        <w:snapToGrid w:val="0"/>
        <w:spacing w:line="370" w:lineRule="exact"/>
        <w:ind w:firstLine="420" w:firstLineChars="200"/>
        <w:rPr>
          <w:rFonts w:hint="eastAsia" w:ascii="宋体" w:eastAsia="宋体"/>
          <w:sz w:val="21"/>
          <w:szCs w:val="21"/>
        </w:rPr>
      </w:pPr>
      <w:r>
        <w:rPr>
          <w:rFonts w:hint="eastAsia" w:ascii="宋体" w:eastAsia="宋体"/>
          <w:sz w:val="21"/>
          <w:szCs w:val="21"/>
        </w:rPr>
        <w:t>（6）不同投标人的投标保证金从同一个单位或者个人账户转出。</w:t>
      </w:r>
    </w:p>
    <w:p w14:paraId="1324888F">
      <w:pPr>
        <w:pStyle w:val="20"/>
        <w:snapToGrid w:val="0"/>
        <w:spacing w:line="370" w:lineRule="exact"/>
        <w:ind w:firstLine="420" w:firstLineChars="200"/>
        <w:rPr>
          <w:rFonts w:hint="eastAsia" w:ascii="宋体" w:eastAsia="宋体"/>
          <w:b/>
          <w:sz w:val="21"/>
          <w:szCs w:val="21"/>
        </w:rPr>
      </w:pPr>
      <w:r>
        <w:rPr>
          <w:rFonts w:hint="eastAsia" w:ascii="宋体" w:eastAsia="宋体"/>
          <w:b/>
          <w:sz w:val="21"/>
          <w:szCs w:val="21"/>
        </w:rPr>
        <w:t>5.其他投标无效的情形：</w:t>
      </w:r>
    </w:p>
    <w:p w14:paraId="6EEB907E">
      <w:pPr>
        <w:pStyle w:val="20"/>
        <w:snapToGrid w:val="0"/>
        <w:spacing w:line="370" w:lineRule="exact"/>
        <w:ind w:firstLine="420" w:firstLineChars="200"/>
        <w:rPr>
          <w:rFonts w:hint="eastAsia" w:ascii="宋体" w:eastAsia="宋体"/>
          <w:sz w:val="21"/>
          <w:szCs w:val="21"/>
        </w:rPr>
      </w:pPr>
      <w:r>
        <w:rPr>
          <w:rFonts w:hint="eastAsia" w:ascii="宋体" w:eastAsia="宋体"/>
          <w:sz w:val="21"/>
          <w:szCs w:val="21"/>
        </w:rPr>
        <w:t>（1）投标文件未按招标文件要求签署或CA电子签章的；</w:t>
      </w:r>
    </w:p>
    <w:p w14:paraId="7D175D60">
      <w:pPr>
        <w:pStyle w:val="20"/>
        <w:snapToGrid w:val="0"/>
        <w:spacing w:line="370" w:lineRule="exact"/>
        <w:ind w:firstLine="420" w:firstLineChars="200"/>
        <w:rPr>
          <w:rFonts w:hint="eastAsia" w:ascii="宋体" w:eastAsia="宋体"/>
          <w:sz w:val="21"/>
          <w:szCs w:val="21"/>
        </w:rPr>
      </w:pPr>
      <w:r>
        <w:rPr>
          <w:rFonts w:hint="eastAsia" w:ascii="宋体" w:eastAsia="宋体"/>
          <w:sz w:val="21"/>
          <w:szCs w:val="21"/>
        </w:rPr>
        <w:t>（2）供应商提交两份或两份以上内容不同的投标文件；</w:t>
      </w:r>
    </w:p>
    <w:p w14:paraId="71681F34">
      <w:pPr>
        <w:pStyle w:val="20"/>
        <w:snapToGrid w:val="0"/>
        <w:spacing w:line="370" w:lineRule="exact"/>
        <w:ind w:firstLine="420" w:firstLineChars="200"/>
        <w:rPr>
          <w:rFonts w:hint="eastAsia" w:ascii="宋体" w:eastAsia="宋体"/>
          <w:sz w:val="21"/>
          <w:szCs w:val="21"/>
        </w:rPr>
      </w:pPr>
      <w:r>
        <w:rPr>
          <w:rFonts w:hint="eastAsia" w:ascii="宋体" w:eastAsia="宋体"/>
          <w:sz w:val="21"/>
          <w:szCs w:val="21"/>
        </w:rPr>
        <w:t>（3）投标供应商在线制作投标文件时填写的报价金额与解密后“电子加密投标文件”中《开标一览表》填写的金额不一致并拒绝按招标文件要求接受调整的；</w:t>
      </w:r>
    </w:p>
    <w:p w14:paraId="5B972190">
      <w:pPr>
        <w:pStyle w:val="20"/>
        <w:snapToGrid w:val="0"/>
        <w:spacing w:line="370" w:lineRule="exact"/>
        <w:ind w:firstLine="420" w:firstLineChars="200"/>
        <w:rPr>
          <w:rFonts w:hint="eastAsia" w:ascii="宋体" w:eastAsia="宋体"/>
          <w:sz w:val="21"/>
          <w:szCs w:val="21"/>
        </w:rPr>
      </w:pPr>
      <w:r>
        <w:rPr>
          <w:rFonts w:hint="eastAsia" w:ascii="宋体" w:eastAsia="宋体"/>
          <w:sz w:val="21"/>
          <w:szCs w:val="21"/>
        </w:rPr>
        <w:t>（4）法律、法规和招标文件规定的其他无效情形（或出现重大偏差）。</w:t>
      </w:r>
    </w:p>
    <w:p w14:paraId="0A8CDA88">
      <w:pPr>
        <w:pStyle w:val="20"/>
        <w:snapToGrid w:val="0"/>
        <w:spacing w:line="370" w:lineRule="exact"/>
        <w:ind w:firstLine="420" w:firstLineChars="200"/>
        <w:rPr>
          <w:rFonts w:hint="eastAsia" w:ascii="宋体" w:eastAsia="宋体"/>
          <w:b/>
          <w:sz w:val="21"/>
          <w:szCs w:val="21"/>
        </w:rPr>
      </w:pPr>
      <w:r>
        <w:rPr>
          <w:rFonts w:hint="eastAsia" w:ascii="宋体" w:eastAsia="宋体"/>
          <w:b/>
          <w:sz w:val="21"/>
          <w:szCs w:val="21"/>
        </w:rPr>
        <w:t>6.被拒绝的投标文件为无效。</w:t>
      </w:r>
    </w:p>
    <w:p w14:paraId="32AE7D3F">
      <w:pPr>
        <w:spacing w:line="370" w:lineRule="exact"/>
        <w:rPr>
          <w:rFonts w:hint="eastAsia"/>
        </w:rPr>
      </w:pPr>
      <w:bookmarkStart w:id="80" w:name="_Toc254970685"/>
      <w:bookmarkStart w:id="81" w:name="_Toc254970544"/>
    </w:p>
    <w:p w14:paraId="55847F7F">
      <w:pPr>
        <w:spacing w:line="370" w:lineRule="exact"/>
        <w:jc w:val="center"/>
        <w:rPr>
          <w:rFonts w:hint="eastAsia"/>
          <w:b/>
        </w:rPr>
      </w:pPr>
      <w:r>
        <w:rPr>
          <w:rFonts w:hint="eastAsia"/>
          <w:b/>
        </w:rPr>
        <w:t>四、开  标</w:t>
      </w:r>
      <w:bookmarkEnd w:id="80"/>
      <w:bookmarkEnd w:id="81"/>
    </w:p>
    <w:p w14:paraId="0FB6D0D5">
      <w:pPr>
        <w:spacing w:line="370" w:lineRule="exact"/>
        <w:rPr>
          <w:rFonts w:hint="eastAsia"/>
          <w:b/>
        </w:rPr>
      </w:pPr>
      <w:r>
        <w:rPr>
          <w:rFonts w:hint="eastAsia"/>
        </w:rPr>
        <w:t xml:space="preserve">    </w:t>
      </w:r>
      <w:r>
        <w:rPr>
          <w:rFonts w:hint="eastAsia"/>
          <w:b/>
        </w:rPr>
        <w:t>（一）开标准备</w:t>
      </w:r>
    </w:p>
    <w:p w14:paraId="14D9D537">
      <w:pPr>
        <w:spacing w:line="370" w:lineRule="exact"/>
        <w:ind w:firstLine="435"/>
        <w:rPr>
          <w:rFonts w:hint="eastAsia"/>
        </w:rPr>
      </w:pPr>
      <w:r>
        <w:rPr>
          <w:rFonts w:hint="eastAsia"/>
        </w:rPr>
        <w:t>采购代理机构将在规定的时间和地点通过“广西政府采购云平台”组织开标、开启投标文件，所有供应商均应当准时在线参加。投标供应商因未在线参加开标而导致投标文件无法按时解密等一切后果由供应商自行承担。</w:t>
      </w:r>
    </w:p>
    <w:p w14:paraId="07A5B186">
      <w:pPr>
        <w:spacing w:line="370" w:lineRule="exact"/>
        <w:rPr>
          <w:rFonts w:hint="eastAsia"/>
          <w:b/>
        </w:rPr>
      </w:pPr>
      <w:r>
        <w:rPr>
          <w:rFonts w:hint="eastAsia"/>
        </w:rPr>
        <w:t xml:space="preserve">    </w:t>
      </w:r>
      <w:r>
        <w:rPr>
          <w:rFonts w:hint="eastAsia"/>
          <w:b/>
        </w:rPr>
        <w:t>（二）开标程序</w:t>
      </w:r>
    </w:p>
    <w:p w14:paraId="3F5770DD">
      <w:pPr>
        <w:spacing w:line="370" w:lineRule="exact"/>
        <w:ind w:firstLine="435"/>
        <w:rPr>
          <w:rFonts w:hint="eastAsia" w:ascii="宋体" w:hAnsi="宋体"/>
        </w:rPr>
      </w:pPr>
      <w:bookmarkStart w:id="82" w:name="_Toc254970545"/>
      <w:bookmarkStart w:id="83" w:name="_Toc254970686"/>
      <w:r>
        <w:rPr>
          <w:rFonts w:hint="eastAsia" w:ascii="宋体" w:hAnsi="宋体"/>
        </w:rPr>
        <w:t>1.电子开标会由本采购代理机构主持。</w:t>
      </w:r>
    </w:p>
    <w:p w14:paraId="42784E7F">
      <w:pPr>
        <w:spacing w:line="370" w:lineRule="exact"/>
        <w:ind w:firstLine="435"/>
        <w:rPr>
          <w:rFonts w:hint="eastAsia" w:ascii="宋体" w:hAnsi="宋体"/>
        </w:rPr>
      </w:pPr>
      <w:r>
        <w:rPr>
          <w:rFonts w:hint="eastAsia" w:ascii="宋体" w:hAnsi="宋体"/>
        </w:rPr>
        <w:t>2.本采购代理机构工作人员向各投标供应商发出电子加密投标文件【开始解密】通知，由供应商按招标文件规定的时间内自行进行投标文件解密。投标供应商未在规定时间内完成解密的，系统默认自动放弃。</w:t>
      </w:r>
    </w:p>
    <w:p w14:paraId="62660016">
      <w:pPr>
        <w:spacing w:line="370" w:lineRule="exact"/>
        <w:ind w:firstLine="435"/>
        <w:rPr>
          <w:rFonts w:hint="eastAsia" w:ascii="宋体" w:hAnsi="宋体"/>
        </w:rPr>
      </w:pPr>
      <w:r>
        <w:rPr>
          <w:rFonts w:hint="eastAsia" w:ascii="宋体" w:hAnsi="宋体"/>
        </w:rPr>
        <w:t>3.投标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14:paraId="5E5B405E">
      <w:pPr>
        <w:spacing w:line="370" w:lineRule="exact"/>
        <w:ind w:firstLine="435"/>
        <w:rPr>
          <w:rFonts w:hint="eastAsia" w:ascii="宋体" w:hAnsi="宋体"/>
        </w:rPr>
      </w:pPr>
      <w:r>
        <w:rPr>
          <w:rFonts w:hint="eastAsia" w:ascii="宋体" w:hAnsi="宋体"/>
        </w:rPr>
        <w:t>4.进入资格文件审查环节，采购人、采购代理机构根据双方签订的代理协议约定，依法对投标供应商的资格进行审查。</w:t>
      </w:r>
    </w:p>
    <w:p w14:paraId="1AA486A3">
      <w:pPr>
        <w:spacing w:line="370" w:lineRule="exact"/>
        <w:ind w:firstLine="435"/>
        <w:rPr>
          <w:rFonts w:hint="eastAsia" w:ascii="宋体" w:hAnsi="宋体"/>
        </w:rPr>
      </w:pPr>
      <w:r>
        <w:rPr>
          <w:rFonts w:hint="eastAsia" w:ascii="宋体" w:hAnsi="宋体"/>
        </w:rPr>
        <w:t>5.开启资格审查通过的投标供应商的商务技术文件进入符合性审查及商务技术评审。</w:t>
      </w:r>
    </w:p>
    <w:p w14:paraId="79FA52DA">
      <w:pPr>
        <w:spacing w:line="370" w:lineRule="exact"/>
        <w:ind w:firstLine="435"/>
        <w:rPr>
          <w:rFonts w:hint="eastAsia" w:ascii="宋体" w:hAnsi="宋体"/>
        </w:rPr>
      </w:pPr>
      <w:r>
        <w:rPr>
          <w:rFonts w:hint="eastAsia" w:ascii="宋体" w:hAnsi="宋体"/>
        </w:rPr>
        <w:t>注：①当整个招标项目的投标人不足3家的不开标，本采购代理机构将按政府采购管理的有关规定处理。</w:t>
      </w:r>
    </w:p>
    <w:p w14:paraId="680BE572">
      <w:pPr>
        <w:spacing w:line="370" w:lineRule="exact"/>
        <w:ind w:firstLine="435"/>
        <w:rPr>
          <w:rFonts w:hint="eastAsia" w:ascii="宋体" w:hAnsi="宋体"/>
        </w:rPr>
      </w:pPr>
      <w:r>
        <w:rPr>
          <w:rFonts w:hint="eastAsia" w:ascii="宋体" w:hAnsi="宋体"/>
        </w:rPr>
        <w:t>②开标后，某分标投标人不足3家的，本采购代理机构将按政府采购管理的有关规定处理。</w:t>
      </w:r>
    </w:p>
    <w:p w14:paraId="79C5B168">
      <w:pPr>
        <w:spacing w:line="370" w:lineRule="exact"/>
        <w:ind w:firstLine="435"/>
        <w:rPr>
          <w:rFonts w:hint="eastAsia" w:ascii="宋体" w:hAnsi="宋体"/>
          <w:b/>
        </w:rPr>
      </w:pPr>
      <w:r>
        <w:rPr>
          <w:rFonts w:hint="eastAsia" w:ascii="宋体" w:hAnsi="宋体"/>
          <w:b/>
        </w:rPr>
        <w:t>特别说明：如遇“广西政府采购云平台”电子化开标或评审程序调整的，按调整后程序执行。</w:t>
      </w:r>
    </w:p>
    <w:p w14:paraId="4955C6A2">
      <w:pPr>
        <w:spacing w:line="370" w:lineRule="exact"/>
      </w:pPr>
    </w:p>
    <w:p w14:paraId="3A2D9B0E">
      <w:pPr>
        <w:spacing w:line="360" w:lineRule="exact"/>
        <w:jc w:val="center"/>
        <w:rPr>
          <w:rFonts w:hint="eastAsia"/>
          <w:b/>
        </w:rPr>
      </w:pPr>
      <w:r>
        <w:rPr>
          <w:rFonts w:hint="eastAsia"/>
          <w:b/>
        </w:rPr>
        <w:t>五、资格审查</w:t>
      </w:r>
    </w:p>
    <w:p w14:paraId="320CEB12">
      <w:pPr>
        <w:spacing w:line="360" w:lineRule="exact"/>
        <w:ind w:left="210" w:leftChars="100" w:firstLine="420" w:firstLineChars="200"/>
        <w:jc w:val="left"/>
        <w:rPr>
          <w:rFonts w:hint="eastAsia" w:ascii="宋体" w:hAnsi="宋体"/>
        </w:rPr>
      </w:pPr>
      <w:r>
        <w:rPr>
          <w:rFonts w:hint="eastAsia" w:ascii="宋体" w:hAnsi="宋体"/>
        </w:rPr>
        <w:t>采购人、采购代理机构根据双方签订的代理协议约定，依法对投标人的资格进行审查。合格投标人不足3家的，不得评标。</w:t>
      </w:r>
    </w:p>
    <w:p w14:paraId="73CA4F0A">
      <w:pPr>
        <w:spacing w:line="370" w:lineRule="exact"/>
        <w:rPr>
          <w:rFonts w:hint="eastAsia"/>
        </w:rPr>
      </w:pPr>
    </w:p>
    <w:p w14:paraId="3A1BA72E">
      <w:pPr>
        <w:spacing w:line="370" w:lineRule="exact"/>
        <w:jc w:val="center"/>
        <w:rPr>
          <w:rFonts w:hint="eastAsia"/>
          <w:b/>
        </w:rPr>
      </w:pPr>
      <w:r>
        <w:rPr>
          <w:rFonts w:hint="eastAsia"/>
          <w:b/>
        </w:rPr>
        <w:t>六、评  标</w:t>
      </w:r>
      <w:bookmarkEnd w:id="82"/>
      <w:bookmarkEnd w:id="83"/>
    </w:p>
    <w:p w14:paraId="3199E079">
      <w:pPr>
        <w:spacing w:line="370" w:lineRule="exact"/>
        <w:rPr>
          <w:rFonts w:hint="eastAsia"/>
          <w:b/>
        </w:rPr>
      </w:pPr>
      <w:r>
        <w:rPr>
          <w:rFonts w:hint="eastAsia"/>
        </w:rPr>
        <w:t xml:space="preserve">    </w:t>
      </w:r>
      <w:r>
        <w:rPr>
          <w:rFonts w:hint="eastAsia"/>
          <w:b/>
        </w:rPr>
        <w:t>（一）组建评标委员会</w:t>
      </w:r>
    </w:p>
    <w:p w14:paraId="0897569C">
      <w:pPr>
        <w:spacing w:line="370" w:lineRule="exact"/>
        <w:rPr>
          <w:rFonts w:hint="eastAsia"/>
        </w:rPr>
      </w:pPr>
      <w:r>
        <w:rPr>
          <w:rFonts w:hint="eastAsia"/>
        </w:rPr>
        <w:t xml:space="preserve">    本招标采购项目的评标委员会由采购人代表和评审专家组成，成员人数应当为七人以上单数。其中，评审专家不得少于成员总数的三分之二。</w:t>
      </w:r>
    </w:p>
    <w:p w14:paraId="6E7CABBB">
      <w:pPr>
        <w:spacing w:line="370" w:lineRule="exact"/>
        <w:rPr>
          <w:rFonts w:hint="eastAsia"/>
          <w:b/>
        </w:rPr>
      </w:pPr>
      <w:r>
        <w:rPr>
          <w:rFonts w:hint="eastAsia"/>
        </w:rPr>
        <w:t xml:space="preserve">    </w:t>
      </w:r>
      <w:r>
        <w:rPr>
          <w:rFonts w:hint="eastAsia"/>
          <w:b/>
        </w:rPr>
        <w:t>（二）评标的方式</w:t>
      </w:r>
    </w:p>
    <w:p w14:paraId="321B2C94">
      <w:pPr>
        <w:spacing w:line="370" w:lineRule="exact"/>
        <w:rPr>
          <w:rFonts w:hint="eastAsia"/>
        </w:rPr>
      </w:pPr>
      <w:r>
        <w:rPr>
          <w:rFonts w:hint="eastAsia"/>
        </w:rPr>
        <w:t xml:space="preserve">    本项目采用不公开方式评标，评标的依据为招标文件和投标文件。</w:t>
      </w:r>
    </w:p>
    <w:p w14:paraId="04981A22">
      <w:pPr>
        <w:spacing w:line="370" w:lineRule="exact"/>
        <w:ind w:firstLine="435"/>
        <w:rPr>
          <w:b/>
        </w:rPr>
      </w:pPr>
      <w:r>
        <w:rPr>
          <w:rFonts w:hint="eastAsia"/>
          <w:b/>
        </w:rPr>
        <w:t>（三）评标程序</w:t>
      </w:r>
    </w:p>
    <w:p w14:paraId="2CCBEC3F">
      <w:pPr>
        <w:spacing w:line="370" w:lineRule="exact"/>
        <w:ind w:firstLine="435"/>
        <w:rPr>
          <w:rFonts w:hint="eastAsia" w:ascii="宋体"/>
          <w:b/>
          <w:bCs/>
          <w:szCs w:val="21"/>
        </w:rPr>
      </w:pPr>
      <w:r>
        <w:rPr>
          <w:rFonts w:hint="eastAsia" w:ascii="宋体"/>
          <w:b/>
          <w:bCs/>
          <w:szCs w:val="21"/>
        </w:rPr>
        <w:t>实质审查与比较</w:t>
      </w:r>
    </w:p>
    <w:p w14:paraId="53FD2CE8">
      <w:pPr>
        <w:snapToGrid w:val="0"/>
        <w:spacing w:line="370" w:lineRule="exact"/>
        <w:ind w:firstLine="420" w:firstLineChars="200"/>
        <w:rPr>
          <w:rFonts w:hint="eastAsia" w:ascii="宋体"/>
          <w:szCs w:val="21"/>
        </w:rPr>
      </w:pPr>
      <w:r>
        <w:rPr>
          <w:rFonts w:hint="eastAsia" w:ascii="宋体"/>
          <w:szCs w:val="21"/>
        </w:rPr>
        <w:t>（1）评标委员会审查、评价投标文件是否符合招标文件的商务、技术等实质性要求。</w:t>
      </w:r>
    </w:p>
    <w:p w14:paraId="3888DA11">
      <w:pPr>
        <w:snapToGrid w:val="0"/>
        <w:spacing w:line="370" w:lineRule="exact"/>
        <w:ind w:firstLine="420" w:firstLineChars="200"/>
        <w:rPr>
          <w:rFonts w:hint="eastAsia" w:ascii="宋体"/>
          <w:szCs w:val="21"/>
        </w:rPr>
      </w:pPr>
      <w:r>
        <w:rPr>
          <w:rFonts w:hint="eastAsia" w:ascii="宋体"/>
          <w:szCs w:val="21"/>
        </w:rPr>
        <w:t>（2）评标委员会对投标文件进行评价,如有疑问,将以电子询标函的形式要求投标人在线对投标文件有关事项作出澄清或者说明。投标人向评标委员会澄清或者说明有关问题,并最终以盖章的电子文件进行回复。</w:t>
      </w:r>
    </w:p>
    <w:p w14:paraId="5B199AB1">
      <w:pPr>
        <w:snapToGrid w:val="0"/>
        <w:spacing w:line="370" w:lineRule="exact"/>
        <w:ind w:firstLine="420" w:firstLineChars="200"/>
        <w:rPr>
          <w:rFonts w:hint="eastAsia" w:ascii="宋体"/>
          <w:szCs w:val="21"/>
        </w:rPr>
      </w:pPr>
      <w:r>
        <w:rPr>
          <w:rFonts w:hint="eastAsia" w:ascii="宋体"/>
          <w:szCs w:val="21"/>
        </w:rPr>
        <w:t>投标人代表超过规定时间或者拒绝澄清或者澄清的内容改变了投标文件的实质性内容的，评标委员会有权视该投标文件无效。</w:t>
      </w:r>
    </w:p>
    <w:p w14:paraId="465A954C">
      <w:pPr>
        <w:snapToGrid w:val="0"/>
        <w:spacing w:line="370" w:lineRule="exact"/>
        <w:ind w:firstLine="420" w:firstLineChars="200"/>
        <w:rPr>
          <w:rFonts w:hint="eastAsia" w:ascii="宋体"/>
          <w:szCs w:val="21"/>
        </w:rPr>
      </w:pPr>
      <w:r>
        <w:rPr>
          <w:rFonts w:hint="eastAsia" w:ascii="宋体"/>
          <w:szCs w:val="21"/>
        </w:rPr>
        <w:t>（3）各投标人的技术得分为所有评委的有效评分的算术平均数，由指定专人进行计算复核。</w:t>
      </w:r>
    </w:p>
    <w:p w14:paraId="19E01BB6">
      <w:pPr>
        <w:snapToGrid w:val="0"/>
        <w:spacing w:line="370" w:lineRule="exact"/>
        <w:ind w:firstLine="420" w:firstLineChars="200"/>
        <w:rPr>
          <w:rFonts w:hint="eastAsia" w:ascii="宋体"/>
          <w:szCs w:val="21"/>
        </w:rPr>
      </w:pPr>
      <w:r>
        <w:rPr>
          <w:rFonts w:hint="eastAsia" w:ascii="宋体"/>
          <w:szCs w:val="21"/>
        </w:rPr>
        <w:t>（4）采购代理机构工作人员协助评标委员会根据本项目的评分标准计算各投标人的商务报价得分。</w:t>
      </w:r>
    </w:p>
    <w:p w14:paraId="6AA2C54B">
      <w:pPr>
        <w:snapToGrid w:val="0"/>
        <w:spacing w:line="370" w:lineRule="exact"/>
        <w:ind w:firstLine="420" w:firstLineChars="200"/>
        <w:rPr>
          <w:rFonts w:hint="eastAsia" w:ascii="宋体"/>
          <w:szCs w:val="21"/>
        </w:rPr>
      </w:pPr>
      <w:r>
        <w:rPr>
          <w:rFonts w:hint="eastAsia" w:ascii="宋体"/>
          <w:szCs w:val="21"/>
        </w:rPr>
        <w:t>（5）评标委员会完成评标后,由广西政府采购云平台系统对各部分得分汇总,计算出本项目最终得分、评标价等。评标委员会按推荐原则推荐中标候选人同时形成评标报告。评标委员会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40B86753">
      <w:pPr>
        <w:snapToGrid w:val="0"/>
        <w:spacing w:line="370" w:lineRule="exact"/>
        <w:ind w:firstLine="420" w:firstLineChars="200"/>
        <w:rPr>
          <w:rFonts w:hint="eastAsia" w:ascii="宋体"/>
          <w:b/>
          <w:szCs w:val="21"/>
        </w:rPr>
      </w:pPr>
      <w:r>
        <w:rPr>
          <w:rFonts w:hint="eastAsia" w:ascii="宋体"/>
          <w:b/>
          <w:szCs w:val="21"/>
        </w:rPr>
        <w:t>（四）澄清问题的形式</w:t>
      </w:r>
    </w:p>
    <w:p w14:paraId="7B757E8E">
      <w:pPr>
        <w:snapToGrid w:val="0"/>
        <w:spacing w:line="370" w:lineRule="exact"/>
        <w:ind w:firstLine="420" w:firstLineChars="200"/>
        <w:rPr>
          <w:rFonts w:hint="eastAsia" w:ascii="宋体"/>
          <w:szCs w:val="21"/>
        </w:rPr>
      </w:pPr>
      <w:r>
        <w:rPr>
          <w:rFonts w:hint="eastAsia" w:ascii="宋体"/>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14:paraId="72E5E94A">
      <w:pPr>
        <w:snapToGrid w:val="0"/>
        <w:spacing w:line="370" w:lineRule="exact"/>
        <w:ind w:firstLine="420" w:firstLineChars="200"/>
        <w:rPr>
          <w:rFonts w:hint="eastAsia"/>
          <w:b/>
        </w:rPr>
      </w:pPr>
      <w:r>
        <w:rPr>
          <w:rFonts w:hint="eastAsia"/>
          <w:b/>
        </w:rPr>
        <w:t>（五）错误修正</w:t>
      </w:r>
    </w:p>
    <w:p w14:paraId="355BCA2B">
      <w:pPr>
        <w:snapToGrid w:val="0"/>
        <w:spacing w:line="370" w:lineRule="exact"/>
        <w:ind w:firstLine="420" w:firstLineChars="200"/>
        <w:rPr>
          <w:rFonts w:hint="eastAsia"/>
        </w:rPr>
      </w:pPr>
      <w:r>
        <w:rPr>
          <w:rFonts w:hint="eastAsia"/>
        </w:rPr>
        <w:t>投标文件如果出现计算或表达上的错误，修正错误的原则如下：</w:t>
      </w:r>
    </w:p>
    <w:p w14:paraId="75375E97">
      <w:pPr>
        <w:pStyle w:val="26"/>
        <w:snapToGrid w:val="0"/>
        <w:spacing w:line="360" w:lineRule="exact"/>
        <w:ind w:firstLine="420" w:firstLineChars="200"/>
        <w:rPr>
          <w:rFonts w:hint="eastAsia"/>
        </w:rPr>
      </w:pPr>
      <w:r>
        <w:rPr>
          <w:rFonts w:hint="eastAsia"/>
        </w:rPr>
        <w:t>1.投标文件中开标一览表（报价表）内容与投标文件中相应内容不一致的，以开标一览表（报价表）为准；</w:t>
      </w:r>
    </w:p>
    <w:p w14:paraId="08652D7E">
      <w:pPr>
        <w:pStyle w:val="26"/>
        <w:snapToGrid w:val="0"/>
        <w:spacing w:line="360" w:lineRule="exact"/>
        <w:ind w:firstLine="420" w:firstLineChars="200"/>
        <w:rPr>
          <w:rFonts w:hint="eastAsia"/>
        </w:rPr>
      </w:pPr>
      <w:r>
        <w:rPr>
          <w:rFonts w:hint="eastAsia"/>
        </w:rPr>
        <w:t>2.大写金额和小写金额不一致的，以大写金额为准；</w:t>
      </w:r>
    </w:p>
    <w:p w14:paraId="7609E448">
      <w:pPr>
        <w:pStyle w:val="26"/>
        <w:snapToGrid w:val="0"/>
        <w:spacing w:line="360" w:lineRule="exact"/>
        <w:ind w:firstLine="420" w:firstLineChars="200"/>
        <w:rPr>
          <w:rFonts w:hint="eastAsia"/>
        </w:rPr>
      </w:pPr>
      <w:r>
        <w:rPr>
          <w:rFonts w:hint="eastAsia"/>
        </w:rPr>
        <w:t>3.单价金额小数点或者百分比有明显错位的，以开标一览表的总价为准，并修改单价；</w:t>
      </w:r>
    </w:p>
    <w:p w14:paraId="730AA925">
      <w:pPr>
        <w:pStyle w:val="26"/>
        <w:snapToGrid w:val="0"/>
        <w:spacing w:line="360" w:lineRule="exact"/>
        <w:ind w:firstLine="420" w:firstLineChars="200"/>
        <w:rPr>
          <w:rFonts w:hint="eastAsia"/>
        </w:rPr>
      </w:pPr>
      <w:r>
        <w:rPr>
          <w:rFonts w:hint="eastAsia"/>
        </w:rPr>
        <w:t>4.总价金额与按单价汇总金额不一致的，以单价金额计算结果为准。</w:t>
      </w:r>
    </w:p>
    <w:p w14:paraId="0AD1AD70">
      <w:pPr>
        <w:pStyle w:val="26"/>
        <w:snapToGrid w:val="0"/>
        <w:spacing w:line="360" w:lineRule="exact"/>
        <w:ind w:firstLine="420" w:firstLineChars="200"/>
        <w:rPr>
          <w:rFonts w:hint="eastAsia"/>
        </w:rPr>
      </w:pPr>
      <w:r>
        <w:rPr>
          <w:rFonts w:hint="eastAsia"/>
        </w:rPr>
        <w:t>5.对不同文字文本投标文件的解释发生异议的，以中文文本为准。</w:t>
      </w:r>
    </w:p>
    <w:p w14:paraId="0062D743">
      <w:pPr>
        <w:pStyle w:val="26"/>
        <w:snapToGrid w:val="0"/>
        <w:spacing w:line="360" w:lineRule="exact"/>
        <w:ind w:firstLine="420" w:firstLineChars="200"/>
        <w:rPr>
          <w:rFonts w:hint="eastAsia" w:hAnsi="宋体"/>
        </w:rPr>
      </w:pPr>
      <w:r>
        <w:rPr>
          <w:rFonts w:hint="eastAsia"/>
        </w:rPr>
        <w:t>同时出现两种以上不一致的，按照前款规定的顺序修正。</w:t>
      </w:r>
    </w:p>
    <w:p w14:paraId="6054180B">
      <w:pPr>
        <w:pStyle w:val="26"/>
        <w:snapToGrid w:val="0"/>
        <w:spacing w:line="370" w:lineRule="exact"/>
        <w:ind w:firstLine="420" w:firstLineChars="200"/>
        <w:rPr>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14:paraId="0C23ACBB">
      <w:pPr>
        <w:pStyle w:val="26"/>
        <w:snapToGrid w:val="0"/>
        <w:spacing w:line="370" w:lineRule="exact"/>
        <w:ind w:firstLine="420" w:firstLineChars="200"/>
        <w:rPr>
          <w:b/>
        </w:rPr>
      </w:pPr>
      <w:r>
        <w:rPr>
          <w:rFonts w:hint="eastAsia"/>
          <w:b/>
        </w:rPr>
        <w:t>（六）评委表决</w:t>
      </w:r>
    </w:p>
    <w:p w14:paraId="1182288D">
      <w:pPr>
        <w:pStyle w:val="26"/>
        <w:snapToGrid w:val="0"/>
        <w:spacing w:line="370" w:lineRule="exact"/>
        <w:ind w:firstLine="420" w:firstLineChars="200"/>
        <w:rPr>
          <w:rFonts w:hint="eastAsia"/>
        </w:rPr>
      </w:pPr>
      <w:r>
        <w:rPr>
          <w:rFonts w:hint="eastAsia"/>
        </w:rPr>
        <w:t>在评标过程中出现法律法规和招标文件均没有明确规定的情形时，由评标委员会现场协商解决，协商不一致的，由全体评委投票表决，以得票率二分之一以上专家的意见为准。</w:t>
      </w:r>
    </w:p>
    <w:p w14:paraId="428B7AA3">
      <w:pPr>
        <w:pStyle w:val="26"/>
        <w:snapToGrid w:val="0"/>
        <w:spacing w:line="370" w:lineRule="exact"/>
        <w:ind w:firstLine="420" w:firstLineChars="200"/>
        <w:rPr>
          <w:rFonts w:hint="eastAsia"/>
          <w:b/>
        </w:rPr>
      </w:pPr>
      <w:r>
        <w:rPr>
          <w:rFonts w:hint="eastAsia"/>
          <w:b/>
        </w:rPr>
        <w:t>（七）评标原则和评标方法</w:t>
      </w:r>
    </w:p>
    <w:p w14:paraId="3D3EB2BF">
      <w:pPr>
        <w:pStyle w:val="26"/>
        <w:snapToGrid w:val="0"/>
        <w:spacing w:line="370" w:lineRule="exact"/>
        <w:ind w:firstLine="420" w:firstLineChars="200"/>
        <w:rPr>
          <w:rFonts w:hint="eastAsia"/>
        </w:rPr>
      </w:pPr>
      <w:r>
        <w:rPr>
          <w:rFonts w:hint="eastAsia"/>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6DEAC0A7">
      <w:pPr>
        <w:pStyle w:val="26"/>
        <w:snapToGrid w:val="0"/>
        <w:spacing w:line="370" w:lineRule="exact"/>
        <w:ind w:firstLine="420" w:firstLineChars="200"/>
        <w:rPr>
          <w:rFonts w:hint="eastAsia"/>
        </w:rPr>
      </w:pPr>
      <w:r>
        <w:rPr>
          <w:rFonts w:hint="eastAsia"/>
        </w:rPr>
        <w:t>2.评标方法。本项目评标方法是</w:t>
      </w:r>
      <w:r>
        <w:rPr>
          <w:rFonts w:hint="eastAsia"/>
          <w:b/>
          <w:u w:val="single"/>
        </w:rPr>
        <w:t>综合评分法</w:t>
      </w:r>
      <w:r>
        <w:rPr>
          <w:rFonts w:hint="eastAsia"/>
        </w:rPr>
        <w:t>，具体评标内容及评分标准等详见第四章：评标方法及评分标准。</w:t>
      </w:r>
    </w:p>
    <w:p w14:paraId="58B70787">
      <w:pPr>
        <w:pStyle w:val="26"/>
        <w:snapToGrid w:val="0"/>
        <w:spacing w:line="370" w:lineRule="exact"/>
        <w:ind w:firstLine="420" w:firstLineChars="200"/>
        <w:rPr>
          <w:rFonts w:hint="eastAsia"/>
          <w:b/>
        </w:rPr>
      </w:pPr>
      <w:r>
        <w:rPr>
          <w:rFonts w:hint="eastAsia"/>
          <w:b/>
        </w:rPr>
        <w:t>（八）评标过程的监控</w:t>
      </w:r>
    </w:p>
    <w:p w14:paraId="0281BC1E">
      <w:pPr>
        <w:pStyle w:val="26"/>
        <w:snapToGrid w:val="0"/>
        <w:spacing w:line="370" w:lineRule="exact"/>
        <w:ind w:firstLine="420" w:firstLineChars="200"/>
        <w:rPr>
          <w:rFonts w:hint="eastAsia"/>
        </w:rPr>
      </w:pPr>
      <w:r>
        <w:rPr>
          <w:rFonts w:hint="eastAsia"/>
        </w:rPr>
        <w:t>本项目评标过程实行全程录音、录像监控，投标人在评标过程中所进行的试图影响评标结果的不公正活动，可能导致其投标被拒绝。</w:t>
      </w:r>
      <w:bookmarkStart w:id="84" w:name="_Toc254970546"/>
      <w:bookmarkStart w:id="85" w:name="_Toc254970687"/>
    </w:p>
    <w:p w14:paraId="4B134FFB">
      <w:pPr>
        <w:pStyle w:val="26"/>
        <w:snapToGrid w:val="0"/>
        <w:spacing w:line="370" w:lineRule="exact"/>
        <w:rPr>
          <w:rFonts w:hint="eastAsia"/>
        </w:rPr>
      </w:pPr>
    </w:p>
    <w:p w14:paraId="125E483F">
      <w:pPr>
        <w:pStyle w:val="26"/>
        <w:snapToGrid w:val="0"/>
        <w:spacing w:line="370" w:lineRule="exact"/>
        <w:jc w:val="center"/>
        <w:rPr>
          <w:rFonts w:hint="eastAsia"/>
          <w:b/>
        </w:rPr>
      </w:pPr>
      <w:r>
        <w:rPr>
          <w:rFonts w:hint="eastAsia"/>
          <w:b/>
        </w:rPr>
        <w:t>七、评标结果</w:t>
      </w:r>
      <w:bookmarkEnd w:id="84"/>
      <w:bookmarkEnd w:id="85"/>
    </w:p>
    <w:p w14:paraId="5F20BA22">
      <w:pPr>
        <w:pStyle w:val="26"/>
        <w:spacing w:line="370" w:lineRule="exact"/>
      </w:pPr>
      <w:r>
        <w:rPr>
          <w:rFonts w:hint="eastAsia"/>
          <w:bCs/>
        </w:rPr>
        <w:t xml:space="preserve">   （一）</w:t>
      </w:r>
      <w:r>
        <w:rPr>
          <w:rFonts w:hint="eastAsia"/>
        </w:rPr>
        <w:t>本采购代理机构将在评标结束后2个工作日内将评标报告送采购人，采购人在5个工作日内按照评标报告中推荐的中标候选</w:t>
      </w:r>
      <w:r>
        <w:rPr>
          <w:rFonts w:hint="eastAsia"/>
          <w:bCs/>
        </w:rPr>
        <w:t>人</w:t>
      </w:r>
      <w:r>
        <w:rPr>
          <w:rFonts w:hint="eastAsia"/>
        </w:rPr>
        <w:t>顺序确定中标人。采购人也可以事先授权评标委员会直接确定中标人。</w:t>
      </w:r>
    </w:p>
    <w:p w14:paraId="73C8921A">
      <w:pPr>
        <w:pStyle w:val="26"/>
        <w:spacing w:line="370" w:lineRule="exact"/>
        <w:ind w:firstLine="420"/>
      </w:pPr>
      <w:r>
        <w:rPr>
          <w:rFonts w:hint="eastAsia"/>
        </w:rPr>
        <w:t>（二）中标人确定后，采购代理机构在财政部门指定的政府采购信息发布媒体发布中标公告。</w:t>
      </w:r>
    </w:p>
    <w:p w14:paraId="1B213426">
      <w:pPr>
        <w:pStyle w:val="26"/>
        <w:spacing w:line="370" w:lineRule="exact"/>
        <w:ind w:firstLine="420"/>
        <w:rPr>
          <w:rFonts w:hint="eastAsia"/>
        </w:rPr>
      </w:pPr>
      <w:r>
        <w:rPr>
          <w:rFonts w:hint="eastAsia" w:hAnsi="宋体"/>
        </w:rPr>
        <w:t>（三）</w:t>
      </w:r>
      <w:r>
        <w:rPr>
          <w:rFonts w:hint="eastAsia"/>
        </w:rPr>
        <w:t>在发布中标公告的同时，采购代理机构向中标人发出中标通知书。</w:t>
      </w:r>
    </w:p>
    <w:p w14:paraId="7B21951C">
      <w:pPr>
        <w:pStyle w:val="26"/>
        <w:spacing w:line="370" w:lineRule="exact"/>
        <w:rPr>
          <w:rFonts w:hint="eastAsia"/>
          <w:bCs/>
        </w:rPr>
      </w:pPr>
      <w:r>
        <w:rPr>
          <w:rFonts w:hint="eastAsia"/>
        </w:rPr>
        <w:t xml:space="preserve">    （四）</w:t>
      </w:r>
      <w:r>
        <w:rPr>
          <w:rFonts w:hint="eastAsia"/>
          <w:bCs/>
        </w:rPr>
        <w:t>投标人认为招标文件、招标过程和中标结果使自己的权益受到损害的，可以在知道或者应知其权益受到损害之日起七个工作日内，以书面形式向采购代理机构提出质疑，并及时索要书面回执。</w:t>
      </w:r>
    </w:p>
    <w:p w14:paraId="24EF65EA">
      <w:pPr>
        <w:pStyle w:val="26"/>
        <w:spacing w:line="370" w:lineRule="exact"/>
        <w:rPr>
          <w:rFonts w:hint="eastAsia"/>
          <w:bCs/>
        </w:rPr>
      </w:pPr>
      <w:r>
        <w:rPr>
          <w:rFonts w:hint="eastAsia"/>
          <w:bCs/>
        </w:rPr>
        <w:t xml:space="preserve">    </w:t>
      </w:r>
      <w:r>
        <w:rPr>
          <w:rFonts w:hint="eastAsia"/>
        </w:rPr>
        <w:t>（五）</w:t>
      </w:r>
      <w:r>
        <w:rPr>
          <w:rFonts w:hint="eastAsia"/>
          <w:bCs/>
        </w:rPr>
        <w:t>采购代理机构应当按照有关规定就采购人委托授权范围内的事项在收到投标人的书面质疑后七个工作日内做出答复，但答复的内容不得涉及商业秘密。</w:t>
      </w:r>
    </w:p>
    <w:p w14:paraId="54D117C9">
      <w:pPr>
        <w:pStyle w:val="26"/>
        <w:spacing w:line="370" w:lineRule="exact"/>
        <w:rPr>
          <w:rFonts w:hint="eastAsia"/>
          <w:bCs/>
        </w:rPr>
      </w:pPr>
    </w:p>
    <w:p w14:paraId="10F830E9">
      <w:pPr>
        <w:pStyle w:val="26"/>
        <w:spacing w:line="370" w:lineRule="exact"/>
        <w:jc w:val="center"/>
        <w:rPr>
          <w:rFonts w:hint="eastAsia"/>
          <w:b/>
        </w:rPr>
      </w:pPr>
      <w:r>
        <w:rPr>
          <w:rFonts w:hint="eastAsia"/>
          <w:b/>
        </w:rPr>
        <w:t>八、签订合同</w:t>
      </w:r>
    </w:p>
    <w:p w14:paraId="70FBC66F">
      <w:pPr>
        <w:spacing w:line="370" w:lineRule="exact"/>
        <w:rPr>
          <w:rFonts w:hint="eastAsia"/>
          <w:b/>
        </w:rPr>
      </w:pPr>
      <w:r>
        <w:rPr>
          <w:rFonts w:hint="eastAsia"/>
        </w:rPr>
        <w:t xml:space="preserve">   </w:t>
      </w:r>
      <w:r>
        <w:rPr>
          <w:rFonts w:hint="eastAsia"/>
          <w:b/>
        </w:rPr>
        <w:t xml:space="preserve"> （一）合同授予标准</w:t>
      </w:r>
    </w:p>
    <w:p w14:paraId="4377874F">
      <w:pPr>
        <w:spacing w:line="370" w:lineRule="exact"/>
        <w:ind w:firstLine="435"/>
        <w:rPr>
          <w:rFonts w:hint="eastAsia"/>
        </w:rPr>
      </w:pPr>
      <w:r>
        <w:rPr>
          <w:rFonts w:hint="eastAsia"/>
        </w:rPr>
        <w:t>合同将授予被确定投标文件满足招标文件全部实质性要求，具备履行合同能力，评审得分最高，综合评分排名第一的供应商。</w:t>
      </w:r>
    </w:p>
    <w:p w14:paraId="6C0413AF">
      <w:pPr>
        <w:spacing w:line="370" w:lineRule="exact"/>
        <w:ind w:firstLine="435"/>
        <w:rPr>
          <w:rFonts w:hint="eastAsia"/>
        </w:rPr>
      </w:pPr>
      <w:r>
        <w:rPr>
          <w:rFonts w:hint="eastAsia"/>
          <w:b/>
        </w:rPr>
        <w:t>（二）履约保证金</w:t>
      </w:r>
    </w:p>
    <w:p w14:paraId="071FC3EB">
      <w:pPr>
        <w:pStyle w:val="20"/>
        <w:snapToGrid w:val="0"/>
        <w:spacing w:line="360" w:lineRule="exact"/>
        <w:ind w:firstLine="315" w:firstLineChars="150"/>
        <w:rPr>
          <w:rFonts w:hint="eastAsia" w:ascii="宋体" w:hAnsi="宋体" w:eastAsia="宋体"/>
          <w:sz w:val="21"/>
          <w:szCs w:val="21"/>
        </w:rPr>
      </w:pPr>
      <w:r>
        <w:rPr>
          <w:rFonts w:hint="eastAsia" w:ascii="宋体" w:hAnsi="宋体" w:eastAsia="宋体"/>
          <w:sz w:val="21"/>
          <w:szCs w:val="21"/>
        </w:rPr>
        <w:t>1.中标人须于中标通知书发出之日起5日内按本项目关于履约保证金的规定进行办理。否则，不予签订合同。</w:t>
      </w:r>
    </w:p>
    <w:p w14:paraId="6BCF6B2E">
      <w:pPr>
        <w:pStyle w:val="20"/>
        <w:snapToGrid w:val="0"/>
        <w:spacing w:line="360" w:lineRule="exact"/>
        <w:ind w:firstLine="315" w:firstLineChars="150"/>
        <w:rPr>
          <w:rFonts w:hint="eastAsia" w:ascii="宋体" w:hAnsi="宋体" w:eastAsia="宋体"/>
          <w:sz w:val="21"/>
          <w:szCs w:val="21"/>
        </w:rPr>
      </w:pPr>
      <w:r>
        <w:rPr>
          <w:rFonts w:hint="eastAsia" w:ascii="宋体" w:hAnsi="宋体" w:eastAsia="宋体"/>
          <w:sz w:val="21"/>
          <w:szCs w:val="21"/>
        </w:rPr>
        <w:t>2.签订合同后，如中标人不按双方签订的合同规定履约，则没收其全部履约保证金，履约保证金不足以赔偿损失的，按实际损失赔偿。</w:t>
      </w:r>
    </w:p>
    <w:p w14:paraId="635537A7">
      <w:pPr>
        <w:pStyle w:val="20"/>
        <w:snapToGrid w:val="0"/>
        <w:spacing w:line="360" w:lineRule="exact"/>
        <w:ind w:firstLine="315" w:firstLineChars="150"/>
        <w:rPr>
          <w:rFonts w:hint="eastAsia" w:ascii="宋体" w:hAnsi="宋体" w:eastAsia="宋体"/>
          <w:sz w:val="21"/>
          <w:szCs w:val="21"/>
        </w:rPr>
      </w:pPr>
      <w:r>
        <w:rPr>
          <w:rFonts w:hint="eastAsia" w:ascii="宋体" w:hAnsi="宋体" w:eastAsia="宋体"/>
          <w:sz w:val="21"/>
          <w:szCs w:val="21"/>
        </w:rPr>
        <w:t>3.项目完成验收合格后，且中标供应商无违约情形的，中标供应商提供《政府采购项目履约保证金退付意见书》及《政府采购项目合同验收报告》，向采购人提出书面申请退还，采购人在收到申请后十个工作日内以银行转账方式无息退还。如果中标供应商履行合同过程中有违约情形，则采购人有权没收保证金，不予退还。不予退还的情形：签订合同后，如中标供应商不按双方签订的合同规定履约，则其全部履约保证金不予退还</w:t>
      </w:r>
    </w:p>
    <w:p w14:paraId="3CA3FD2E">
      <w:pPr>
        <w:spacing w:line="370" w:lineRule="exact"/>
        <w:ind w:firstLine="435"/>
        <w:rPr>
          <w:rFonts w:hint="eastAsia"/>
        </w:rPr>
      </w:pPr>
      <w:r>
        <w:rPr>
          <w:rFonts w:hint="eastAsia" w:ascii="宋体" w:hAnsi="宋体"/>
          <w:szCs w:val="21"/>
        </w:rPr>
        <w:t>4.在履约保证金退还日期前，若中标人的开户名称、开户银行、账号有变动的，请以书面形式通知履约保证金收取机构，否则由此产生的后果由中标人自负。</w:t>
      </w:r>
    </w:p>
    <w:p w14:paraId="245DC234">
      <w:pPr>
        <w:spacing w:line="370" w:lineRule="exact"/>
        <w:rPr>
          <w:rFonts w:hint="eastAsia"/>
          <w:b/>
        </w:rPr>
      </w:pPr>
      <w:r>
        <w:rPr>
          <w:rFonts w:hint="eastAsia"/>
        </w:rPr>
        <w:t xml:space="preserve">    </w:t>
      </w:r>
      <w:r>
        <w:rPr>
          <w:rFonts w:hint="eastAsia"/>
          <w:b/>
        </w:rPr>
        <w:t>（三）签订合同</w:t>
      </w:r>
    </w:p>
    <w:p w14:paraId="350ABCA4">
      <w:pPr>
        <w:spacing w:line="370" w:lineRule="exact"/>
        <w:rPr>
          <w:rFonts w:hint="eastAsia"/>
        </w:rPr>
      </w:pPr>
      <w:r>
        <w:rPr>
          <w:rFonts w:hint="eastAsia"/>
        </w:rPr>
        <w:t xml:space="preserve">    （1）投标人接到中标通知书后，应按中标通知书规定的时间、地点与采购人签订合同。中标人无正当理由不得放弃中标。</w:t>
      </w:r>
    </w:p>
    <w:p w14:paraId="40C2D634">
      <w:pPr>
        <w:spacing w:line="370" w:lineRule="exact"/>
        <w:rPr>
          <w:rFonts w:hint="eastAsia"/>
        </w:rPr>
      </w:pPr>
      <w:r>
        <w:rPr>
          <w:rFonts w:hint="eastAsia"/>
        </w:rPr>
        <w:t xml:space="preserve">    （2）如中标人不按中标通知书的规定签订合同，则按中标人违约处理，采购代理机构将没收中标人投标的全部投标保证金。</w:t>
      </w:r>
    </w:p>
    <w:p w14:paraId="102E9ED9">
      <w:pPr>
        <w:spacing w:line="370" w:lineRule="exact"/>
        <w:rPr>
          <w:rFonts w:hint="eastAsia"/>
        </w:rPr>
      </w:pPr>
      <w:r>
        <w:rPr>
          <w:rFonts w:hint="eastAsia"/>
        </w:rPr>
        <w:t xml:space="preserve">    （3）中标人</w:t>
      </w:r>
      <w:r>
        <w:rPr>
          <w:rFonts w:hint="eastAsia"/>
          <w:b/>
        </w:rPr>
        <w:t>拒绝与采购人签订合同或</w:t>
      </w:r>
      <w:r>
        <w:rPr>
          <w:rFonts w:hint="eastAsia"/>
        </w:rPr>
        <w:t>因不可抗力或者自身原因不能履行采购合同的，采购人可以与中标人之后排名第一的中标候选</w:t>
      </w:r>
      <w:r>
        <w:rPr>
          <w:rFonts w:hint="eastAsia"/>
          <w:bCs/>
        </w:rPr>
        <w:t>人</w:t>
      </w:r>
      <w:r>
        <w:rPr>
          <w:rFonts w:hint="eastAsia"/>
        </w:rPr>
        <w:t>签订采购合同，以此类推,也可以重新招标。中标人</w:t>
      </w:r>
      <w:r>
        <w:t>放弃中标项目，拒绝与采购人签订合同的，其投标保证金</w:t>
      </w:r>
      <w:r>
        <w:rPr>
          <w:rFonts w:hint="eastAsia"/>
        </w:rPr>
        <w:t>将不予退还，</w:t>
      </w:r>
      <w:r>
        <w:t>并上缴国库，</w:t>
      </w:r>
      <w:r>
        <w:rPr>
          <w:rFonts w:hint="eastAsia"/>
        </w:rPr>
        <w:t>给</w:t>
      </w:r>
      <w:r>
        <w:t>采购人造成损失的，还应当赔偿损失，并作为不良行为记录在案</w:t>
      </w:r>
      <w:r>
        <w:rPr>
          <w:rFonts w:hint="eastAsia"/>
        </w:rPr>
        <w:t>。</w:t>
      </w:r>
    </w:p>
    <w:p w14:paraId="54E8854E">
      <w:pPr>
        <w:spacing w:line="370" w:lineRule="exact"/>
        <w:rPr>
          <w:rFonts w:hint="eastAsia"/>
        </w:rPr>
      </w:pPr>
    </w:p>
    <w:p w14:paraId="048FD13F">
      <w:pPr>
        <w:pStyle w:val="26"/>
        <w:spacing w:line="370" w:lineRule="exact"/>
        <w:jc w:val="center"/>
        <w:rPr>
          <w:rFonts w:hint="eastAsia"/>
          <w:b/>
        </w:rPr>
      </w:pPr>
      <w:r>
        <w:rPr>
          <w:rFonts w:hint="eastAsia"/>
          <w:b/>
        </w:rPr>
        <w:t>九、其他事项</w:t>
      </w:r>
    </w:p>
    <w:p w14:paraId="033F067E">
      <w:pPr>
        <w:pStyle w:val="26"/>
        <w:spacing w:line="370" w:lineRule="exact"/>
        <w:rPr>
          <w:rFonts w:hint="eastAsia"/>
          <w:b/>
        </w:rPr>
      </w:pPr>
      <w:r>
        <w:rPr>
          <w:rFonts w:hint="eastAsia"/>
          <w:b/>
        </w:rPr>
        <w:t xml:space="preserve">    （一）中标服务费</w:t>
      </w:r>
    </w:p>
    <w:p w14:paraId="715CDAB4">
      <w:pPr>
        <w:pStyle w:val="26"/>
        <w:spacing w:line="370" w:lineRule="exact"/>
        <w:ind w:firstLine="435"/>
        <w:rPr>
          <w:rFonts w:hint="eastAsia"/>
        </w:rPr>
      </w:pPr>
      <w:r>
        <w:rPr>
          <w:rFonts w:hint="eastAsia"/>
        </w:rPr>
        <w:t>（1）</w:t>
      </w:r>
      <w:bookmarkStart w:id="86" w:name="_Toc254970689"/>
      <w:bookmarkStart w:id="87" w:name="_Toc254970548"/>
      <w:r>
        <w:rPr>
          <w:rFonts w:hint="eastAsia"/>
        </w:rPr>
        <w:t>中标服务费</w:t>
      </w:r>
      <w:r>
        <w:rPr>
          <w:rFonts w:hint="eastAsia"/>
          <w:lang w:val="en-US" w:eastAsia="zh-CN"/>
        </w:rPr>
        <w:t>以</w:t>
      </w:r>
      <w:r>
        <w:rPr>
          <w:rFonts w:hint="eastAsia"/>
        </w:rPr>
        <w:t>中标金额</w:t>
      </w:r>
      <w:r>
        <w:rPr>
          <w:rFonts w:hint="eastAsia"/>
          <w:lang w:val="en-US" w:eastAsia="zh-CN"/>
        </w:rPr>
        <w:t>为基准</w:t>
      </w:r>
      <w:r>
        <w:rPr>
          <w:rFonts w:hint="eastAsia"/>
        </w:rPr>
        <w:t>，</w:t>
      </w:r>
      <w:r>
        <w:rPr>
          <w:rFonts w:hint="eastAsia"/>
          <w:lang w:val="en-US" w:eastAsia="zh-CN"/>
        </w:rPr>
        <w:t>按</w:t>
      </w:r>
      <w:r>
        <w:rPr>
          <w:rFonts w:hint="eastAsia"/>
        </w:rPr>
        <w:t>桂价费〔2011〕55号文服务类差额定率累进标准下浮15%计取。中标人需在中标结果公告发布后，一次性向广西国力招标有限公司付清。</w:t>
      </w:r>
      <w:bookmarkStart w:id="100" w:name="_GoBack"/>
      <w:bookmarkEnd w:id="100"/>
    </w:p>
    <w:p w14:paraId="7F2E34CB">
      <w:pPr>
        <w:pStyle w:val="26"/>
        <w:spacing w:line="370" w:lineRule="exact"/>
        <w:ind w:firstLine="435"/>
        <w:rPr>
          <w:rFonts w:hint="eastAsia"/>
        </w:rPr>
      </w:pPr>
      <w:r>
        <w:rPr>
          <w:rFonts w:hint="eastAsia"/>
        </w:rPr>
        <w:t>（2）代理服务收费标准：</w:t>
      </w:r>
    </w:p>
    <w:tbl>
      <w:tblPr>
        <w:tblStyle w:val="49"/>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794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2FF91CEA">
            <w:pPr>
              <w:rPr>
                <w:rFonts w:hint="eastAsia"/>
                <w:szCs w:val="21"/>
              </w:rPr>
            </w:pPr>
            <w:r>
              <w:rPr>
                <w:rFonts w:hint="eastAsia"/>
                <w:szCs w:val="21"/>
              </w:rPr>
              <w:t xml:space="preserve">               费率</w:t>
            </w:r>
          </w:p>
          <w:p w14:paraId="5D6CA3F7">
            <w:pPr>
              <w:rPr>
                <w:rFonts w:hint="eastAsia"/>
                <w:szCs w:val="21"/>
              </w:rPr>
            </w:pPr>
            <w:r>
              <w:rPr>
                <w:rFonts w:hint="eastAsia"/>
                <w:szCs w:val="21"/>
              </w:rPr>
              <w:t>中标金额</w:t>
            </w:r>
          </w:p>
        </w:tc>
        <w:tc>
          <w:tcPr>
            <w:tcW w:w="1659" w:type="dxa"/>
            <w:vAlign w:val="center"/>
          </w:tcPr>
          <w:p w14:paraId="1D97C0ED">
            <w:pPr>
              <w:ind w:firstLine="105" w:firstLineChars="50"/>
              <w:jc w:val="center"/>
              <w:rPr>
                <w:rFonts w:hint="eastAsia"/>
                <w:szCs w:val="21"/>
              </w:rPr>
            </w:pPr>
            <w:r>
              <w:rPr>
                <w:rFonts w:hint="eastAsia"/>
                <w:szCs w:val="21"/>
              </w:rPr>
              <w:t>货物招标</w:t>
            </w:r>
          </w:p>
        </w:tc>
        <w:tc>
          <w:tcPr>
            <w:tcW w:w="1687" w:type="dxa"/>
            <w:vAlign w:val="center"/>
          </w:tcPr>
          <w:p w14:paraId="5E3D8A20">
            <w:pPr>
              <w:jc w:val="center"/>
              <w:rPr>
                <w:rFonts w:hint="eastAsia"/>
                <w:szCs w:val="21"/>
              </w:rPr>
            </w:pPr>
            <w:r>
              <w:rPr>
                <w:rFonts w:hint="eastAsia"/>
                <w:szCs w:val="21"/>
              </w:rPr>
              <w:t>服务招标</w:t>
            </w:r>
          </w:p>
        </w:tc>
        <w:tc>
          <w:tcPr>
            <w:tcW w:w="1659" w:type="dxa"/>
            <w:vAlign w:val="center"/>
          </w:tcPr>
          <w:p w14:paraId="49A41525">
            <w:pPr>
              <w:jc w:val="center"/>
              <w:rPr>
                <w:rFonts w:hint="eastAsia"/>
                <w:szCs w:val="21"/>
              </w:rPr>
            </w:pPr>
            <w:r>
              <w:rPr>
                <w:rFonts w:hint="eastAsia"/>
                <w:szCs w:val="21"/>
              </w:rPr>
              <w:t>工程招标</w:t>
            </w:r>
          </w:p>
        </w:tc>
      </w:tr>
      <w:tr w14:paraId="5D06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66621F7">
            <w:pPr>
              <w:rPr>
                <w:rFonts w:hint="eastAsia" w:ascii="宋体" w:hAnsi="宋体"/>
                <w:szCs w:val="21"/>
              </w:rPr>
            </w:pPr>
            <w:r>
              <w:rPr>
                <w:rFonts w:hint="eastAsia" w:ascii="宋体" w:hAnsi="宋体"/>
                <w:szCs w:val="21"/>
              </w:rPr>
              <w:t>100万元以下</w:t>
            </w:r>
          </w:p>
        </w:tc>
        <w:tc>
          <w:tcPr>
            <w:tcW w:w="1659" w:type="dxa"/>
          </w:tcPr>
          <w:p w14:paraId="6BAEA473">
            <w:pPr>
              <w:rPr>
                <w:rFonts w:ascii="宋体" w:hAnsi="宋体"/>
                <w:szCs w:val="21"/>
              </w:rPr>
            </w:pPr>
            <w:r>
              <w:rPr>
                <w:rFonts w:hint="eastAsia" w:ascii="宋体" w:hAnsi="宋体" w:cs="宋体"/>
                <w:kern w:val="0"/>
                <w:szCs w:val="21"/>
              </w:rPr>
              <w:t xml:space="preserve">  1.5%                </w:t>
            </w:r>
          </w:p>
        </w:tc>
        <w:tc>
          <w:tcPr>
            <w:tcW w:w="1687" w:type="dxa"/>
          </w:tcPr>
          <w:p w14:paraId="4F096A57">
            <w:pPr>
              <w:ind w:firstLine="210" w:firstLineChars="100"/>
              <w:rPr>
                <w:rFonts w:ascii="宋体" w:hAnsi="宋体"/>
                <w:szCs w:val="21"/>
              </w:rPr>
            </w:pPr>
            <w:r>
              <w:rPr>
                <w:rFonts w:hint="eastAsia" w:ascii="宋体" w:hAnsi="宋体" w:cs="宋体"/>
                <w:kern w:val="0"/>
                <w:szCs w:val="21"/>
              </w:rPr>
              <w:t>1.5%</w:t>
            </w:r>
          </w:p>
        </w:tc>
        <w:tc>
          <w:tcPr>
            <w:tcW w:w="1659" w:type="dxa"/>
          </w:tcPr>
          <w:p w14:paraId="0C7EDDC2">
            <w:pPr>
              <w:ind w:firstLine="210" w:firstLineChars="100"/>
              <w:rPr>
                <w:rFonts w:hint="eastAsia" w:ascii="宋体" w:hAnsi="宋体"/>
                <w:szCs w:val="21"/>
              </w:rPr>
            </w:pPr>
            <w:r>
              <w:rPr>
                <w:rFonts w:hint="eastAsia" w:ascii="宋体" w:hAnsi="宋体" w:cs="宋体"/>
                <w:kern w:val="0"/>
                <w:szCs w:val="21"/>
              </w:rPr>
              <w:t xml:space="preserve">1.0% </w:t>
            </w:r>
          </w:p>
        </w:tc>
      </w:tr>
      <w:tr w14:paraId="48C1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7FA5420">
            <w:pPr>
              <w:rPr>
                <w:rFonts w:hint="eastAsia" w:ascii="宋体" w:hAnsi="宋体"/>
                <w:szCs w:val="21"/>
              </w:rPr>
            </w:pPr>
            <w:r>
              <w:rPr>
                <w:rFonts w:hint="eastAsia" w:ascii="宋体" w:hAnsi="宋体"/>
                <w:szCs w:val="21"/>
              </w:rPr>
              <w:t>100～500万元</w:t>
            </w:r>
          </w:p>
        </w:tc>
        <w:tc>
          <w:tcPr>
            <w:tcW w:w="1659" w:type="dxa"/>
          </w:tcPr>
          <w:p w14:paraId="4AF751B1">
            <w:pPr>
              <w:ind w:firstLine="210" w:firstLineChars="100"/>
              <w:rPr>
                <w:rFonts w:ascii="宋体" w:hAnsi="宋体"/>
                <w:szCs w:val="21"/>
              </w:rPr>
            </w:pPr>
            <w:r>
              <w:rPr>
                <w:rFonts w:hint="eastAsia" w:ascii="宋体" w:hAnsi="宋体" w:cs="宋体"/>
                <w:kern w:val="0"/>
                <w:szCs w:val="21"/>
              </w:rPr>
              <w:t xml:space="preserve">1.1%                 </w:t>
            </w:r>
          </w:p>
        </w:tc>
        <w:tc>
          <w:tcPr>
            <w:tcW w:w="1687" w:type="dxa"/>
          </w:tcPr>
          <w:p w14:paraId="5703C2FC">
            <w:pPr>
              <w:ind w:firstLine="210" w:firstLineChars="100"/>
              <w:rPr>
                <w:rFonts w:ascii="宋体" w:hAnsi="宋体"/>
                <w:szCs w:val="21"/>
              </w:rPr>
            </w:pPr>
            <w:r>
              <w:rPr>
                <w:rFonts w:hint="eastAsia" w:ascii="宋体" w:hAnsi="宋体" w:cs="宋体"/>
                <w:kern w:val="0"/>
                <w:szCs w:val="21"/>
              </w:rPr>
              <w:t>0.8%</w:t>
            </w:r>
          </w:p>
        </w:tc>
        <w:tc>
          <w:tcPr>
            <w:tcW w:w="1659" w:type="dxa"/>
          </w:tcPr>
          <w:p w14:paraId="5B7D7EB0">
            <w:pPr>
              <w:ind w:firstLine="210" w:firstLineChars="100"/>
              <w:rPr>
                <w:rFonts w:hint="eastAsia" w:ascii="宋体" w:hAnsi="宋体"/>
                <w:szCs w:val="21"/>
              </w:rPr>
            </w:pPr>
            <w:r>
              <w:rPr>
                <w:rFonts w:hint="eastAsia" w:ascii="宋体" w:hAnsi="宋体" w:cs="宋体"/>
                <w:kern w:val="0"/>
                <w:szCs w:val="21"/>
              </w:rPr>
              <w:t xml:space="preserve">0.7% </w:t>
            </w:r>
          </w:p>
        </w:tc>
      </w:tr>
      <w:tr w14:paraId="42EE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5878614">
            <w:pPr>
              <w:rPr>
                <w:rFonts w:hint="eastAsia" w:ascii="宋体" w:hAnsi="宋体"/>
                <w:szCs w:val="21"/>
              </w:rPr>
            </w:pPr>
            <w:r>
              <w:rPr>
                <w:rFonts w:hint="eastAsia" w:ascii="宋体" w:hAnsi="宋体"/>
                <w:szCs w:val="21"/>
              </w:rPr>
              <w:t>500～1000万元</w:t>
            </w:r>
          </w:p>
        </w:tc>
        <w:tc>
          <w:tcPr>
            <w:tcW w:w="1659" w:type="dxa"/>
          </w:tcPr>
          <w:p w14:paraId="565BD7CF">
            <w:pPr>
              <w:rPr>
                <w:rFonts w:ascii="宋体" w:hAnsi="宋体"/>
                <w:szCs w:val="21"/>
              </w:rPr>
            </w:pPr>
            <w:r>
              <w:rPr>
                <w:rFonts w:hint="eastAsia" w:ascii="宋体" w:hAnsi="宋体" w:cs="宋体"/>
                <w:kern w:val="0"/>
                <w:szCs w:val="21"/>
              </w:rPr>
              <w:t xml:space="preserve">  0.8%                </w:t>
            </w:r>
          </w:p>
        </w:tc>
        <w:tc>
          <w:tcPr>
            <w:tcW w:w="1687" w:type="dxa"/>
          </w:tcPr>
          <w:p w14:paraId="7DA361D0">
            <w:pPr>
              <w:ind w:firstLine="210" w:firstLineChars="100"/>
              <w:rPr>
                <w:rFonts w:ascii="宋体" w:hAnsi="宋体"/>
                <w:szCs w:val="21"/>
              </w:rPr>
            </w:pPr>
            <w:r>
              <w:rPr>
                <w:rFonts w:hint="eastAsia" w:ascii="宋体" w:hAnsi="宋体" w:cs="宋体"/>
                <w:kern w:val="0"/>
                <w:szCs w:val="21"/>
              </w:rPr>
              <w:t>0.45%</w:t>
            </w:r>
          </w:p>
        </w:tc>
        <w:tc>
          <w:tcPr>
            <w:tcW w:w="1659" w:type="dxa"/>
          </w:tcPr>
          <w:p w14:paraId="5D26F19C">
            <w:pPr>
              <w:ind w:firstLine="210" w:firstLineChars="100"/>
              <w:rPr>
                <w:rFonts w:ascii="宋体" w:hAnsi="宋体"/>
                <w:szCs w:val="21"/>
              </w:rPr>
            </w:pPr>
            <w:r>
              <w:rPr>
                <w:rFonts w:hint="eastAsia" w:ascii="宋体" w:hAnsi="宋体" w:cs="宋体"/>
                <w:kern w:val="0"/>
                <w:szCs w:val="21"/>
              </w:rPr>
              <w:t>0.55%</w:t>
            </w:r>
          </w:p>
        </w:tc>
      </w:tr>
      <w:tr w14:paraId="5107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077697F">
            <w:pPr>
              <w:rPr>
                <w:rFonts w:hint="eastAsia" w:ascii="宋体" w:hAnsi="宋体"/>
                <w:szCs w:val="21"/>
              </w:rPr>
            </w:pPr>
            <w:r>
              <w:rPr>
                <w:rFonts w:hint="eastAsia" w:ascii="宋体" w:hAnsi="宋体"/>
                <w:szCs w:val="21"/>
              </w:rPr>
              <w:t>1000～5000万元</w:t>
            </w:r>
          </w:p>
        </w:tc>
        <w:tc>
          <w:tcPr>
            <w:tcW w:w="1659" w:type="dxa"/>
          </w:tcPr>
          <w:p w14:paraId="68E410F3">
            <w:pPr>
              <w:ind w:firstLine="210" w:firstLineChars="100"/>
              <w:rPr>
                <w:rFonts w:ascii="宋体" w:hAnsi="宋体"/>
                <w:szCs w:val="21"/>
              </w:rPr>
            </w:pPr>
            <w:r>
              <w:rPr>
                <w:rFonts w:hint="eastAsia" w:ascii="宋体" w:hAnsi="宋体" w:cs="宋体"/>
                <w:kern w:val="0"/>
                <w:szCs w:val="21"/>
              </w:rPr>
              <w:t xml:space="preserve">0.5%                </w:t>
            </w:r>
          </w:p>
        </w:tc>
        <w:tc>
          <w:tcPr>
            <w:tcW w:w="1687" w:type="dxa"/>
          </w:tcPr>
          <w:p w14:paraId="452D03A8">
            <w:pPr>
              <w:ind w:firstLine="210" w:firstLineChars="100"/>
              <w:rPr>
                <w:rFonts w:ascii="宋体" w:hAnsi="宋体"/>
                <w:szCs w:val="21"/>
              </w:rPr>
            </w:pPr>
            <w:r>
              <w:rPr>
                <w:rFonts w:hint="eastAsia" w:ascii="宋体" w:hAnsi="宋体" w:cs="宋体"/>
                <w:kern w:val="0"/>
                <w:szCs w:val="21"/>
              </w:rPr>
              <w:t>0.25%</w:t>
            </w:r>
          </w:p>
        </w:tc>
        <w:tc>
          <w:tcPr>
            <w:tcW w:w="1659" w:type="dxa"/>
          </w:tcPr>
          <w:p w14:paraId="6727AEE7">
            <w:pPr>
              <w:ind w:firstLine="210" w:firstLineChars="100"/>
              <w:rPr>
                <w:rFonts w:hint="eastAsia" w:ascii="宋体" w:hAnsi="宋体"/>
                <w:szCs w:val="21"/>
              </w:rPr>
            </w:pPr>
            <w:r>
              <w:rPr>
                <w:rFonts w:hint="eastAsia" w:ascii="宋体" w:hAnsi="宋体" w:cs="宋体"/>
                <w:kern w:val="0"/>
                <w:szCs w:val="21"/>
              </w:rPr>
              <w:t xml:space="preserve">0.35% </w:t>
            </w:r>
          </w:p>
        </w:tc>
      </w:tr>
      <w:tr w14:paraId="1D2E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3C46676">
            <w:pPr>
              <w:rPr>
                <w:rFonts w:hint="eastAsia" w:ascii="宋体" w:hAnsi="宋体"/>
                <w:szCs w:val="21"/>
              </w:rPr>
            </w:pPr>
            <w:r>
              <w:rPr>
                <w:rFonts w:hint="eastAsia" w:ascii="宋体" w:hAnsi="宋体"/>
                <w:szCs w:val="21"/>
              </w:rPr>
              <w:t>5000万元～1亿元</w:t>
            </w:r>
          </w:p>
        </w:tc>
        <w:tc>
          <w:tcPr>
            <w:tcW w:w="1659" w:type="dxa"/>
          </w:tcPr>
          <w:p w14:paraId="5089E7F8">
            <w:pPr>
              <w:ind w:firstLine="210" w:firstLineChars="100"/>
              <w:rPr>
                <w:rFonts w:hint="eastAsia" w:ascii="宋体" w:hAnsi="宋体"/>
                <w:szCs w:val="21"/>
              </w:rPr>
            </w:pPr>
            <w:r>
              <w:rPr>
                <w:rFonts w:hint="eastAsia" w:ascii="宋体" w:hAnsi="宋体" w:cs="宋体"/>
                <w:kern w:val="0"/>
                <w:szCs w:val="21"/>
              </w:rPr>
              <w:t xml:space="preserve">0.25%                 </w:t>
            </w:r>
          </w:p>
        </w:tc>
        <w:tc>
          <w:tcPr>
            <w:tcW w:w="1687" w:type="dxa"/>
          </w:tcPr>
          <w:p w14:paraId="40B15FF3">
            <w:pPr>
              <w:ind w:firstLine="210" w:firstLineChars="100"/>
              <w:rPr>
                <w:rFonts w:ascii="宋体" w:hAnsi="宋体"/>
                <w:szCs w:val="21"/>
              </w:rPr>
            </w:pPr>
            <w:r>
              <w:rPr>
                <w:rFonts w:hint="eastAsia" w:ascii="宋体" w:hAnsi="宋体" w:cs="宋体"/>
                <w:kern w:val="0"/>
                <w:szCs w:val="21"/>
              </w:rPr>
              <w:t>0.1%</w:t>
            </w:r>
          </w:p>
        </w:tc>
        <w:tc>
          <w:tcPr>
            <w:tcW w:w="1659" w:type="dxa"/>
          </w:tcPr>
          <w:p w14:paraId="6AF5E2E4">
            <w:pPr>
              <w:ind w:firstLine="210" w:firstLineChars="100"/>
              <w:rPr>
                <w:rFonts w:ascii="宋体" w:hAnsi="宋体"/>
                <w:szCs w:val="21"/>
              </w:rPr>
            </w:pPr>
            <w:r>
              <w:rPr>
                <w:rFonts w:hint="eastAsia" w:ascii="宋体" w:hAnsi="宋体" w:cs="宋体"/>
                <w:kern w:val="0"/>
                <w:szCs w:val="21"/>
              </w:rPr>
              <w:t>0.2%</w:t>
            </w:r>
          </w:p>
        </w:tc>
      </w:tr>
      <w:tr w14:paraId="697A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77187AB">
            <w:pPr>
              <w:rPr>
                <w:rFonts w:hint="eastAsia" w:ascii="宋体" w:hAnsi="宋体"/>
                <w:szCs w:val="21"/>
              </w:rPr>
            </w:pPr>
            <w:r>
              <w:rPr>
                <w:rFonts w:hint="eastAsia" w:ascii="宋体" w:hAnsi="宋体"/>
                <w:szCs w:val="21"/>
              </w:rPr>
              <w:t>1～5亿元</w:t>
            </w:r>
          </w:p>
        </w:tc>
        <w:tc>
          <w:tcPr>
            <w:tcW w:w="1659" w:type="dxa"/>
          </w:tcPr>
          <w:p w14:paraId="606470EB">
            <w:pPr>
              <w:ind w:firstLine="210" w:firstLineChars="100"/>
              <w:rPr>
                <w:rFonts w:hint="eastAsia" w:ascii="宋体" w:hAnsi="宋体"/>
                <w:szCs w:val="21"/>
              </w:rPr>
            </w:pPr>
            <w:r>
              <w:rPr>
                <w:rFonts w:hint="eastAsia" w:ascii="宋体" w:hAnsi="宋体"/>
                <w:szCs w:val="21"/>
              </w:rPr>
              <w:t>0.05%</w:t>
            </w:r>
          </w:p>
        </w:tc>
        <w:tc>
          <w:tcPr>
            <w:tcW w:w="1687" w:type="dxa"/>
          </w:tcPr>
          <w:p w14:paraId="4DF87096">
            <w:pPr>
              <w:rPr>
                <w:rFonts w:hint="eastAsia" w:ascii="宋体" w:hAnsi="宋体"/>
                <w:szCs w:val="21"/>
              </w:rPr>
            </w:pPr>
            <w:r>
              <w:rPr>
                <w:rFonts w:hint="eastAsia" w:ascii="宋体" w:hAnsi="宋体"/>
                <w:szCs w:val="21"/>
              </w:rPr>
              <w:t xml:space="preserve">  0.05%</w:t>
            </w:r>
          </w:p>
        </w:tc>
        <w:tc>
          <w:tcPr>
            <w:tcW w:w="1659" w:type="dxa"/>
          </w:tcPr>
          <w:p w14:paraId="438F0E20">
            <w:pPr>
              <w:rPr>
                <w:rFonts w:hint="eastAsia" w:ascii="宋体" w:hAnsi="宋体"/>
                <w:szCs w:val="21"/>
              </w:rPr>
            </w:pPr>
            <w:r>
              <w:rPr>
                <w:rFonts w:hint="eastAsia" w:ascii="宋体" w:hAnsi="宋体"/>
                <w:szCs w:val="21"/>
              </w:rPr>
              <w:t xml:space="preserve">  0.05%</w:t>
            </w:r>
          </w:p>
        </w:tc>
      </w:tr>
      <w:tr w14:paraId="15D0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2B59C2">
            <w:pPr>
              <w:rPr>
                <w:rFonts w:hint="eastAsia" w:ascii="宋体" w:hAnsi="宋体"/>
                <w:szCs w:val="21"/>
              </w:rPr>
            </w:pPr>
            <w:r>
              <w:rPr>
                <w:rFonts w:hint="eastAsia" w:ascii="宋体" w:hAnsi="宋体"/>
                <w:szCs w:val="21"/>
              </w:rPr>
              <w:t>5～10亿元</w:t>
            </w:r>
          </w:p>
        </w:tc>
        <w:tc>
          <w:tcPr>
            <w:tcW w:w="1659" w:type="dxa"/>
          </w:tcPr>
          <w:p w14:paraId="76F3F30A">
            <w:pPr>
              <w:ind w:firstLine="105" w:firstLineChars="50"/>
              <w:rPr>
                <w:rFonts w:hint="eastAsia" w:ascii="宋体" w:hAnsi="宋体"/>
                <w:szCs w:val="21"/>
              </w:rPr>
            </w:pPr>
            <w:r>
              <w:rPr>
                <w:rFonts w:hint="eastAsia" w:ascii="宋体" w:hAnsi="宋体"/>
                <w:szCs w:val="21"/>
              </w:rPr>
              <w:t>0.035%</w:t>
            </w:r>
          </w:p>
        </w:tc>
        <w:tc>
          <w:tcPr>
            <w:tcW w:w="1687" w:type="dxa"/>
          </w:tcPr>
          <w:p w14:paraId="15AED556">
            <w:pPr>
              <w:rPr>
                <w:rFonts w:hint="eastAsia" w:ascii="宋体" w:hAnsi="宋体"/>
                <w:szCs w:val="21"/>
              </w:rPr>
            </w:pPr>
            <w:r>
              <w:rPr>
                <w:rFonts w:hint="eastAsia" w:ascii="宋体" w:hAnsi="宋体"/>
                <w:szCs w:val="21"/>
              </w:rPr>
              <w:t xml:space="preserve">  0.035%</w:t>
            </w:r>
          </w:p>
        </w:tc>
        <w:tc>
          <w:tcPr>
            <w:tcW w:w="1659" w:type="dxa"/>
          </w:tcPr>
          <w:p w14:paraId="44B3F075">
            <w:pPr>
              <w:ind w:firstLine="105" w:firstLineChars="50"/>
              <w:rPr>
                <w:rFonts w:ascii="宋体" w:hAnsi="宋体"/>
                <w:szCs w:val="21"/>
              </w:rPr>
            </w:pPr>
            <w:r>
              <w:rPr>
                <w:rFonts w:hint="eastAsia" w:ascii="宋体" w:hAnsi="宋体"/>
                <w:szCs w:val="21"/>
              </w:rPr>
              <w:t>0.035%</w:t>
            </w:r>
          </w:p>
        </w:tc>
      </w:tr>
      <w:tr w14:paraId="15A7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FF6D420">
            <w:pPr>
              <w:rPr>
                <w:rFonts w:hint="eastAsia" w:ascii="宋体" w:hAnsi="宋体"/>
                <w:szCs w:val="21"/>
              </w:rPr>
            </w:pPr>
            <w:r>
              <w:rPr>
                <w:rFonts w:hint="eastAsia" w:ascii="宋体" w:hAnsi="宋体"/>
                <w:szCs w:val="21"/>
              </w:rPr>
              <w:t>10～50亿元</w:t>
            </w:r>
          </w:p>
        </w:tc>
        <w:tc>
          <w:tcPr>
            <w:tcW w:w="1659" w:type="dxa"/>
          </w:tcPr>
          <w:p w14:paraId="1C925B27">
            <w:pPr>
              <w:ind w:firstLine="105" w:firstLineChars="50"/>
              <w:rPr>
                <w:rFonts w:hint="eastAsia" w:ascii="宋体" w:hAnsi="宋体"/>
                <w:szCs w:val="21"/>
              </w:rPr>
            </w:pPr>
            <w:r>
              <w:rPr>
                <w:rFonts w:hint="eastAsia" w:ascii="宋体" w:hAnsi="宋体"/>
                <w:szCs w:val="21"/>
              </w:rPr>
              <w:t>0.008%</w:t>
            </w:r>
          </w:p>
        </w:tc>
        <w:tc>
          <w:tcPr>
            <w:tcW w:w="1687" w:type="dxa"/>
          </w:tcPr>
          <w:p w14:paraId="1BAF9194">
            <w:pPr>
              <w:ind w:firstLine="210" w:firstLineChars="100"/>
              <w:rPr>
                <w:rFonts w:ascii="宋体" w:hAnsi="宋体"/>
                <w:szCs w:val="21"/>
              </w:rPr>
            </w:pPr>
            <w:r>
              <w:rPr>
                <w:rFonts w:hint="eastAsia" w:ascii="宋体" w:hAnsi="宋体"/>
                <w:szCs w:val="21"/>
              </w:rPr>
              <w:t>0.008%</w:t>
            </w:r>
          </w:p>
        </w:tc>
        <w:tc>
          <w:tcPr>
            <w:tcW w:w="1659" w:type="dxa"/>
          </w:tcPr>
          <w:p w14:paraId="73E9614D">
            <w:pPr>
              <w:ind w:firstLine="105" w:firstLineChars="50"/>
              <w:rPr>
                <w:rFonts w:ascii="宋体" w:hAnsi="宋体"/>
                <w:szCs w:val="21"/>
              </w:rPr>
            </w:pPr>
            <w:r>
              <w:rPr>
                <w:rFonts w:hint="eastAsia" w:ascii="宋体" w:hAnsi="宋体"/>
                <w:szCs w:val="21"/>
              </w:rPr>
              <w:t>0.008%</w:t>
            </w:r>
          </w:p>
        </w:tc>
      </w:tr>
      <w:tr w14:paraId="7583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EFCDDAB">
            <w:pPr>
              <w:rPr>
                <w:rFonts w:hint="eastAsia" w:ascii="宋体" w:hAnsi="宋体"/>
                <w:szCs w:val="21"/>
              </w:rPr>
            </w:pPr>
            <w:r>
              <w:rPr>
                <w:rFonts w:hint="eastAsia" w:ascii="宋体" w:hAnsi="宋体"/>
                <w:szCs w:val="21"/>
              </w:rPr>
              <w:t>50～100亿元</w:t>
            </w:r>
          </w:p>
        </w:tc>
        <w:tc>
          <w:tcPr>
            <w:tcW w:w="1659" w:type="dxa"/>
          </w:tcPr>
          <w:p w14:paraId="687C0E5F">
            <w:pPr>
              <w:rPr>
                <w:rFonts w:hint="eastAsia" w:ascii="宋体" w:hAnsi="宋体"/>
                <w:szCs w:val="21"/>
              </w:rPr>
            </w:pPr>
            <w:r>
              <w:rPr>
                <w:rFonts w:hint="eastAsia" w:ascii="宋体" w:hAnsi="宋体"/>
                <w:szCs w:val="21"/>
              </w:rPr>
              <w:t xml:space="preserve"> 0.006%</w:t>
            </w:r>
          </w:p>
        </w:tc>
        <w:tc>
          <w:tcPr>
            <w:tcW w:w="1687" w:type="dxa"/>
          </w:tcPr>
          <w:p w14:paraId="11B29DFD">
            <w:pPr>
              <w:ind w:firstLine="210" w:firstLineChars="100"/>
              <w:rPr>
                <w:rFonts w:ascii="宋体" w:hAnsi="宋体"/>
                <w:szCs w:val="21"/>
              </w:rPr>
            </w:pPr>
            <w:r>
              <w:rPr>
                <w:rFonts w:hint="eastAsia" w:ascii="宋体" w:hAnsi="宋体"/>
                <w:szCs w:val="21"/>
              </w:rPr>
              <w:t>0.006%</w:t>
            </w:r>
          </w:p>
        </w:tc>
        <w:tc>
          <w:tcPr>
            <w:tcW w:w="1659" w:type="dxa"/>
          </w:tcPr>
          <w:p w14:paraId="69C04A07">
            <w:pPr>
              <w:ind w:firstLine="105" w:firstLineChars="50"/>
              <w:rPr>
                <w:rFonts w:ascii="宋体" w:hAnsi="宋体"/>
                <w:szCs w:val="21"/>
              </w:rPr>
            </w:pPr>
            <w:r>
              <w:rPr>
                <w:rFonts w:hint="eastAsia" w:ascii="宋体" w:hAnsi="宋体"/>
                <w:szCs w:val="21"/>
              </w:rPr>
              <w:t>0.006%</w:t>
            </w:r>
          </w:p>
        </w:tc>
      </w:tr>
      <w:tr w14:paraId="1267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56C6BB9">
            <w:pPr>
              <w:rPr>
                <w:rFonts w:hint="eastAsia" w:ascii="宋体" w:hAnsi="宋体"/>
                <w:szCs w:val="21"/>
              </w:rPr>
            </w:pPr>
            <w:r>
              <w:rPr>
                <w:rFonts w:hint="eastAsia" w:ascii="宋体" w:hAnsi="宋体"/>
                <w:szCs w:val="21"/>
              </w:rPr>
              <w:t>100亿以上</w:t>
            </w:r>
          </w:p>
        </w:tc>
        <w:tc>
          <w:tcPr>
            <w:tcW w:w="1659" w:type="dxa"/>
          </w:tcPr>
          <w:p w14:paraId="4BC0555E">
            <w:pPr>
              <w:rPr>
                <w:rFonts w:hint="eastAsia" w:ascii="宋体" w:hAnsi="宋体"/>
                <w:szCs w:val="21"/>
              </w:rPr>
            </w:pPr>
            <w:r>
              <w:rPr>
                <w:rFonts w:hint="eastAsia" w:ascii="宋体" w:hAnsi="宋体"/>
                <w:szCs w:val="21"/>
              </w:rPr>
              <w:t xml:space="preserve"> 0.004%</w:t>
            </w:r>
          </w:p>
        </w:tc>
        <w:tc>
          <w:tcPr>
            <w:tcW w:w="1687" w:type="dxa"/>
          </w:tcPr>
          <w:p w14:paraId="7CE91F6A">
            <w:pPr>
              <w:ind w:firstLine="210" w:firstLineChars="100"/>
              <w:rPr>
                <w:rFonts w:ascii="宋体" w:hAnsi="宋体"/>
                <w:szCs w:val="21"/>
              </w:rPr>
            </w:pPr>
            <w:r>
              <w:rPr>
                <w:rFonts w:hint="eastAsia" w:ascii="宋体" w:hAnsi="宋体"/>
                <w:szCs w:val="21"/>
              </w:rPr>
              <w:t>0.004%</w:t>
            </w:r>
          </w:p>
        </w:tc>
        <w:tc>
          <w:tcPr>
            <w:tcW w:w="1659" w:type="dxa"/>
          </w:tcPr>
          <w:p w14:paraId="21239C2D">
            <w:pPr>
              <w:ind w:firstLine="105" w:firstLineChars="50"/>
              <w:rPr>
                <w:rFonts w:ascii="宋体" w:hAnsi="宋体"/>
                <w:szCs w:val="21"/>
              </w:rPr>
            </w:pPr>
            <w:r>
              <w:rPr>
                <w:rFonts w:hint="eastAsia" w:ascii="宋体" w:hAnsi="宋体"/>
                <w:szCs w:val="21"/>
              </w:rPr>
              <w:t>0.004%</w:t>
            </w:r>
          </w:p>
        </w:tc>
      </w:tr>
    </w:tbl>
    <w:p w14:paraId="62975CBD">
      <w:pPr>
        <w:pStyle w:val="26"/>
        <w:spacing w:line="380" w:lineRule="exact"/>
        <w:ind w:firstLine="435"/>
        <w:rPr>
          <w:rFonts w:hint="eastAsia"/>
        </w:rPr>
      </w:pPr>
    </w:p>
    <w:p w14:paraId="364F2F3F">
      <w:pPr>
        <w:pStyle w:val="26"/>
        <w:spacing w:line="370" w:lineRule="exact"/>
        <w:ind w:firstLine="435"/>
        <w:rPr>
          <w:rFonts w:hint="eastAsia"/>
        </w:rPr>
      </w:pPr>
    </w:p>
    <w:p w14:paraId="737A1B44">
      <w:pPr>
        <w:pStyle w:val="26"/>
        <w:spacing w:line="370" w:lineRule="exact"/>
        <w:ind w:firstLine="435"/>
        <w:rPr>
          <w:rFonts w:hint="eastAsia"/>
        </w:rPr>
      </w:pPr>
      <w:r>
        <w:rPr>
          <w:rFonts w:hint="eastAsia"/>
        </w:rPr>
        <w:t>注</w:t>
      </w:r>
    </w:p>
    <w:p w14:paraId="4A31B634">
      <w:pPr>
        <w:pStyle w:val="26"/>
        <w:spacing w:line="370" w:lineRule="exact"/>
        <w:ind w:firstLine="435"/>
        <w:rPr>
          <w:rFonts w:hint="eastAsia"/>
        </w:rPr>
      </w:pPr>
    </w:p>
    <w:p w14:paraId="7A62F317">
      <w:pPr>
        <w:pStyle w:val="26"/>
        <w:spacing w:line="370" w:lineRule="exact"/>
        <w:ind w:firstLine="435"/>
        <w:rPr>
          <w:rFonts w:hint="eastAsia"/>
        </w:rPr>
      </w:pPr>
    </w:p>
    <w:p w14:paraId="733FDBB6">
      <w:pPr>
        <w:pStyle w:val="26"/>
        <w:spacing w:line="370" w:lineRule="exact"/>
        <w:ind w:firstLine="435"/>
        <w:rPr>
          <w:rFonts w:hint="eastAsia"/>
        </w:rPr>
      </w:pPr>
    </w:p>
    <w:p w14:paraId="1A17074B">
      <w:pPr>
        <w:pStyle w:val="26"/>
        <w:spacing w:line="370" w:lineRule="exact"/>
        <w:ind w:firstLine="435"/>
        <w:rPr>
          <w:rFonts w:hint="eastAsia"/>
        </w:rPr>
      </w:pPr>
    </w:p>
    <w:p w14:paraId="43E337ED">
      <w:pPr>
        <w:pStyle w:val="26"/>
        <w:spacing w:line="370" w:lineRule="exact"/>
        <w:ind w:firstLine="435"/>
        <w:rPr>
          <w:rFonts w:hint="eastAsia"/>
        </w:rPr>
      </w:pPr>
    </w:p>
    <w:p w14:paraId="74F398FA">
      <w:pPr>
        <w:pStyle w:val="26"/>
        <w:spacing w:line="370" w:lineRule="exact"/>
        <w:ind w:firstLine="435"/>
        <w:rPr>
          <w:rFonts w:hint="eastAsia"/>
        </w:rPr>
      </w:pPr>
    </w:p>
    <w:p w14:paraId="7487CCC0">
      <w:pPr>
        <w:pStyle w:val="26"/>
        <w:spacing w:line="370" w:lineRule="exact"/>
        <w:ind w:firstLine="435"/>
        <w:rPr>
          <w:rFonts w:hint="eastAsia"/>
        </w:rPr>
      </w:pPr>
    </w:p>
    <w:p w14:paraId="35E094B4">
      <w:pPr>
        <w:pStyle w:val="26"/>
        <w:spacing w:line="370" w:lineRule="exact"/>
        <w:ind w:firstLine="435"/>
        <w:rPr>
          <w:rFonts w:hint="eastAsia"/>
        </w:rPr>
      </w:pPr>
    </w:p>
    <w:p w14:paraId="416202AD">
      <w:pPr>
        <w:pStyle w:val="26"/>
        <w:spacing w:line="370" w:lineRule="exact"/>
        <w:ind w:firstLine="435"/>
        <w:rPr>
          <w:rFonts w:hint="eastAsia"/>
        </w:rPr>
      </w:pPr>
      <w:r>
        <w:rPr>
          <w:rFonts w:hint="eastAsia"/>
        </w:rPr>
        <w:t>:招标代理服务收费按差额定率累进法计算。</w:t>
      </w:r>
    </w:p>
    <w:p w14:paraId="508FAF3E">
      <w:pPr>
        <w:pStyle w:val="26"/>
        <w:spacing w:line="370" w:lineRule="exact"/>
        <w:ind w:firstLine="435"/>
        <w:rPr>
          <w:rFonts w:hint="eastAsia"/>
        </w:rPr>
      </w:pPr>
      <w:r>
        <w:rPr>
          <w:rFonts w:hint="eastAsia"/>
        </w:rPr>
        <w:t>（3）服务费指定银行账户：</w:t>
      </w:r>
    </w:p>
    <w:p w14:paraId="7387A0FE">
      <w:pPr>
        <w:pStyle w:val="26"/>
        <w:spacing w:line="370" w:lineRule="exact"/>
        <w:ind w:firstLine="435"/>
        <w:rPr>
          <w:rFonts w:hint="eastAsia"/>
        </w:rPr>
      </w:pPr>
      <w:r>
        <w:rPr>
          <w:rFonts w:hint="eastAsia"/>
        </w:rPr>
        <w:t>开户名称：广西国力招标有限公司</w:t>
      </w:r>
    </w:p>
    <w:p w14:paraId="5997DB14">
      <w:pPr>
        <w:pStyle w:val="26"/>
        <w:spacing w:line="370" w:lineRule="exact"/>
        <w:ind w:firstLine="435"/>
        <w:rPr>
          <w:rFonts w:hint="eastAsia"/>
        </w:rPr>
      </w:pPr>
      <w:r>
        <w:rPr>
          <w:rFonts w:hint="eastAsia"/>
        </w:rPr>
        <w:t>开户银行：广西北部湾银行股份有限公司南宁市白沙支行（网银支付可选广西北部湾银行江南支行）</w:t>
      </w:r>
    </w:p>
    <w:p w14:paraId="65419D6F">
      <w:pPr>
        <w:pStyle w:val="26"/>
        <w:spacing w:line="370" w:lineRule="exact"/>
        <w:ind w:firstLine="435"/>
        <w:rPr>
          <w:rFonts w:hint="eastAsia"/>
        </w:rPr>
      </w:pPr>
      <w:r>
        <w:rPr>
          <w:rFonts w:hint="eastAsia"/>
        </w:rPr>
        <w:t xml:space="preserve">银行账号：800109057400039 </w:t>
      </w:r>
    </w:p>
    <w:p w14:paraId="36C8E83D">
      <w:pPr>
        <w:pStyle w:val="26"/>
        <w:spacing w:line="370" w:lineRule="exact"/>
        <w:ind w:firstLine="435"/>
        <w:rPr>
          <w:rFonts w:hint="eastAsia"/>
        </w:rPr>
      </w:pPr>
      <w:r>
        <w:rPr>
          <w:rFonts w:hint="eastAsia"/>
        </w:rPr>
        <w:t>银行行号：313611002051</w:t>
      </w:r>
    </w:p>
    <w:p w14:paraId="47955DDA">
      <w:pPr>
        <w:pStyle w:val="26"/>
        <w:spacing w:line="370" w:lineRule="exact"/>
        <w:ind w:firstLine="435"/>
        <w:rPr>
          <w:rFonts w:hint="eastAsia"/>
        </w:rPr>
      </w:pPr>
      <w:r>
        <w:rPr>
          <w:rFonts w:hint="eastAsia"/>
        </w:rPr>
        <w:t>（4）开具代理服务费发票事宜的联系方式：0771-4915100、4915200。</w:t>
      </w:r>
    </w:p>
    <w:p w14:paraId="539ED7BC">
      <w:pPr>
        <w:pStyle w:val="26"/>
        <w:spacing w:line="370" w:lineRule="exact"/>
        <w:rPr>
          <w:rFonts w:hint="eastAsia"/>
          <w:spacing w:val="-4"/>
        </w:rPr>
      </w:pPr>
      <w:r>
        <w:rPr>
          <w:rFonts w:hint="eastAsia"/>
        </w:rPr>
        <w:t xml:space="preserve">    </w:t>
      </w:r>
      <w:r>
        <w:rPr>
          <w:rFonts w:hint="eastAsia"/>
          <w:b/>
        </w:rPr>
        <w:t>（二）解释权：</w:t>
      </w:r>
      <w:r>
        <w:rPr>
          <w:rFonts w:hint="eastAsia"/>
          <w:spacing w:val="-4"/>
        </w:rPr>
        <w:t>本招标文件解释权属本采购代理机构。</w:t>
      </w:r>
    </w:p>
    <w:p w14:paraId="3BB11BA2">
      <w:pPr>
        <w:pStyle w:val="26"/>
        <w:spacing w:line="380" w:lineRule="exact"/>
      </w:pPr>
      <w:r>
        <w:rPr>
          <w:rFonts w:hint="eastAsia"/>
          <w:spacing w:val="-4"/>
        </w:rPr>
        <w:t xml:space="preserve">   </w:t>
      </w:r>
    </w:p>
    <w:p w14:paraId="504B6A12">
      <w:pPr>
        <w:pStyle w:val="26"/>
        <w:spacing w:line="380" w:lineRule="exact"/>
        <w:ind w:firstLine="420"/>
        <w:rPr>
          <w:rFonts w:hint="eastAsia"/>
        </w:rPr>
      </w:pPr>
    </w:p>
    <w:p w14:paraId="3FDB16D3">
      <w:pPr>
        <w:snapToGrid w:val="0"/>
        <w:rPr>
          <w:rFonts w:hint="eastAsia" w:ascii="楷体" w:eastAsia="楷体"/>
          <w:kern w:val="0"/>
          <w:sz w:val="32"/>
          <w:szCs w:val="32"/>
        </w:rPr>
      </w:pPr>
      <w:r>
        <w:rPr>
          <w:rFonts w:hint="eastAsia" w:ascii="宋体"/>
          <w:kern w:val="0"/>
          <w:sz w:val="20"/>
          <w:szCs w:val="21"/>
        </w:rPr>
        <w:br w:type="page"/>
      </w:r>
      <w:r>
        <w:rPr>
          <w:rFonts w:hint="eastAsia" w:ascii="楷体" w:eastAsia="楷体"/>
          <w:kern w:val="0"/>
          <w:sz w:val="32"/>
          <w:szCs w:val="32"/>
        </w:rPr>
        <w:t>附件1：</w:t>
      </w:r>
    </w:p>
    <w:p w14:paraId="4FCB1202">
      <w:pPr>
        <w:widowControl/>
        <w:shd w:val="clear" w:color="auto" w:fill="FFFFFF"/>
        <w:spacing w:line="720" w:lineRule="auto"/>
        <w:jc w:val="center"/>
        <w:rPr>
          <w:rFonts w:hint="eastAsia" w:ascii="仿宋" w:eastAsia="仿宋" w:cs="宋体"/>
          <w:kern w:val="0"/>
          <w:sz w:val="32"/>
          <w:szCs w:val="32"/>
        </w:rPr>
      </w:pPr>
      <w:r>
        <w:rPr>
          <w:rFonts w:hint="eastAsia" w:ascii="黑体" w:eastAsia="黑体" w:cs="黑体"/>
          <w:kern w:val="0"/>
          <w:sz w:val="32"/>
          <w:szCs w:val="32"/>
        </w:rPr>
        <w:t>广西壮族自治区政府采购项目合同验收书</w:t>
      </w:r>
      <w:r>
        <w:rPr>
          <w:rFonts w:hint="eastAsia" w:ascii="仿宋" w:eastAsia="仿宋" w:cs="宋体"/>
          <w:kern w:val="0"/>
          <w:sz w:val="32"/>
          <w:szCs w:val="32"/>
        </w:rPr>
        <w:t>（格式）</w:t>
      </w:r>
    </w:p>
    <w:p w14:paraId="160DCF68">
      <w:pPr>
        <w:widowControl/>
        <w:shd w:val="clear" w:color="auto" w:fill="FFFFFF"/>
        <w:snapToGrid w:val="0"/>
        <w:spacing w:line="380" w:lineRule="exact"/>
        <w:jc w:val="left"/>
        <w:rPr>
          <w:rFonts w:hint="eastAsia" w:ascii="宋体" w:cs="宋体"/>
          <w:kern w:val="0"/>
          <w:szCs w:val="21"/>
        </w:rPr>
      </w:pPr>
      <w:r>
        <w:rPr>
          <w:rFonts w:hint="eastAsia" w:ascii="宋体" w:cs="宋体"/>
          <w:kern w:val="0"/>
          <w:szCs w:val="21"/>
        </w:rPr>
        <w:t xml:space="preserve">    根据政府采购项目（</w:t>
      </w:r>
      <w:r>
        <w:rPr>
          <w:rFonts w:hint="eastAsia" w:ascii="宋体" w:cs="宋体"/>
          <w:kern w:val="0"/>
          <w:szCs w:val="21"/>
          <w:u w:val="single"/>
        </w:rPr>
        <w:t>采购合同编号：</w:t>
      </w:r>
      <w:r>
        <w:rPr>
          <w:rFonts w:hint="eastAsia" w:ascii="宋体" w:cs="宋体"/>
          <w:kern w:val="0"/>
          <w:szCs w:val="21"/>
          <w:u w:val="single"/>
        </w:rPr>
        <w:softHyphen/>
      </w:r>
      <w:r>
        <w:rPr>
          <w:rFonts w:hint="eastAsia" w:ascii="宋体" w:cs="宋体"/>
          <w:kern w:val="0"/>
          <w:szCs w:val="21"/>
          <w:u w:val="single"/>
        </w:rPr>
        <w:t xml:space="preserve"> </w:t>
      </w:r>
      <w:r>
        <w:rPr>
          <w:rFonts w:hint="eastAsia" w:ascii="宋体" w:cs="宋体"/>
          <w:kern w:val="0"/>
          <w:szCs w:val="21"/>
        </w:rPr>
        <w:t>）的约定，我单位对（</w:t>
      </w:r>
      <w:r>
        <w:rPr>
          <w:rFonts w:hint="eastAsia" w:ascii="宋体" w:cs="宋体"/>
          <w:kern w:val="0"/>
          <w:szCs w:val="21"/>
          <w:u w:val="single"/>
        </w:rPr>
        <w:t xml:space="preserve"> 项目名称 </w:t>
      </w:r>
      <w:r>
        <w:rPr>
          <w:rFonts w:hint="eastAsia" w:ascii="宋体" w:cs="宋体"/>
          <w:kern w:val="0"/>
          <w:szCs w:val="21"/>
        </w:rPr>
        <w:t>） 政府采购项目中标（或成交）供应商（</w:t>
      </w:r>
      <w:r>
        <w:rPr>
          <w:rFonts w:hint="eastAsia" w:ascii="宋体" w:cs="宋体"/>
          <w:kern w:val="0"/>
          <w:szCs w:val="21"/>
          <w:u w:val="single"/>
        </w:rPr>
        <w:t xml:space="preserve"> 公司名称 </w:t>
      </w:r>
      <w:r>
        <w:rPr>
          <w:rFonts w:hint="eastAsia" w:ascii="宋体" w:cs="宋体"/>
          <w:kern w:val="0"/>
          <w:szCs w:val="21"/>
        </w:rPr>
        <w:t>） 提供的货物（或工程、服务）进行了验收，验收情况如下：</w:t>
      </w:r>
    </w:p>
    <w:tbl>
      <w:tblPr>
        <w:tblStyle w:val="49"/>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563E5405">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vAlign w:val="center"/>
          </w:tcPr>
          <w:p w14:paraId="76EDAF97">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验收方式：</w:t>
            </w:r>
          </w:p>
        </w:tc>
        <w:tc>
          <w:tcPr>
            <w:tcW w:w="5838" w:type="dxa"/>
            <w:gridSpan w:val="6"/>
            <w:tcBorders>
              <w:top w:val="single" w:color="auto" w:sz="8" w:space="0"/>
              <w:left w:val="nil"/>
              <w:bottom w:val="single" w:color="auto" w:sz="8" w:space="0"/>
              <w:right w:val="single" w:color="auto" w:sz="8" w:space="0"/>
            </w:tcBorders>
            <w:vAlign w:val="center"/>
          </w:tcPr>
          <w:p w14:paraId="40E47328">
            <w:pPr>
              <w:widowControl/>
              <w:snapToGrid w:val="0"/>
              <w:spacing w:before="100" w:beforeAutospacing="1" w:after="100" w:afterAutospacing="1" w:line="320" w:lineRule="atLeast"/>
              <w:ind w:firstLine="480"/>
              <w:jc w:val="center"/>
              <w:rPr>
                <w:rFonts w:ascii="Verdana" w:hAnsi="Verdana" w:cs="宋体"/>
                <w:kern w:val="0"/>
                <w:szCs w:val="21"/>
              </w:rPr>
            </w:pPr>
            <w:r>
              <w:rPr>
                <w:rFonts w:ascii="Verdana" w:hAnsi="Verdana" w:cs="宋体"/>
                <w:kern w:val="0"/>
                <w:szCs w:val="21"/>
              </w:rPr>
              <w:t>□自行验收 □委托验收</w:t>
            </w:r>
          </w:p>
        </w:tc>
      </w:tr>
      <w:tr w14:paraId="4F716485">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vAlign w:val="center"/>
          </w:tcPr>
          <w:p w14:paraId="7D16E7C5">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序号</w:t>
            </w:r>
          </w:p>
        </w:tc>
        <w:tc>
          <w:tcPr>
            <w:tcW w:w="2159" w:type="dxa"/>
            <w:tcBorders>
              <w:top w:val="nil"/>
              <w:left w:val="nil"/>
              <w:bottom w:val="single" w:color="auto" w:sz="8" w:space="0"/>
              <w:right w:val="single" w:color="auto" w:sz="8" w:space="0"/>
            </w:tcBorders>
            <w:vAlign w:val="center"/>
          </w:tcPr>
          <w:p w14:paraId="21ABDAC5">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名 称</w:t>
            </w:r>
          </w:p>
        </w:tc>
        <w:tc>
          <w:tcPr>
            <w:tcW w:w="3262" w:type="dxa"/>
            <w:gridSpan w:val="3"/>
            <w:tcBorders>
              <w:top w:val="nil"/>
              <w:left w:val="nil"/>
              <w:bottom w:val="single" w:color="auto" w:sz="8" w:space="0"/>
              <w:right w:val="single" w:color="auto" w:sz="8" w:space="0"/>
            </w:tcBorders>
            <w:vAlign w:val="center"/>
          </w:tcPr>
          <w:p w14:paraId="52BC5E9D">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货物型号规格、标准及配置等（或服务内容、标准）</w:t>
            </w:r>
          </w:p>
        </w:tc>
        <w:tc>
          <w:tcPr>
            <w:tcW w:w="970" w:type="dxa"/>
            <w:gridSpan w:val="2"/>
            <w:tcBorders>
              <w:top w:val="nil"/>
              <w:left w:val="nil"/>
              <w:bottom w:val="single" w:color="auto" w:sz="8" w:space="0"/>
              <w:right w:val="single" w:color="auto" w:sz="8" w:space="0"/>
            </w:tcBorders>
            <w:vAlign w:val="center"/>
          </w:tcPr>
          <w:p w14:paraId="20C1B07A">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数量</w:t>
            </w:r>
          </w:p>
        </w:tc>
        <w:tc>
          <w:tcPr>
            <w:tcW w:w="1606" w:type="dxa"/>
            <w:tcBorders>
              <w:top w:val="nil"/>
              <w:left w:val="nil"/>
              <w:bottom w:val="single" w:color="auto" w:sz="8" w:space="0"/>
              <w:right w:val="single" w:color="auto" w:sz="8" w:space="0"/>
            </w:tcBorders>
            <w:vAlign w:val="center"/>
          </w:tcPr>
          <w:p w14:paraId="06F32467">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金 额</w:t>
            </w:r>
          </w:p>
        </w:tc>
      </w:tr>
      <w:tr w14:paraId="15EDC0EE">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5B9C6D30">
            <w:pPr>
              <w:widowControl/>
              <w:spacing w:before="100" w:beforeAutospacing="1" w:after="100" w:afterAutospacing="1" w:line="240" w:lineRule="atLeast"/>
              <w:jc w:val="center"/>
              <w:rPr>
                <w:rFonts w:ascii="Verdana" w:hAnsi="Verdana" w:cs="宋体"/>
                <w:kern w:val="0"/>
                <w:szCs w:val="21"/>
              </w:rPr>
            </w:pPr>
          </w:p>
        </w:tc>
        <w:tc>
          <w:tcPr>
            <w:tcW w:w="2159" w:type="dxa"/>
            <w:tcBorders>
              <w:top w:val="nil"/>
              <w:left w:val="nil"/>
              <w:bottom w:val="single" w:color="auto" w:sz="8" w:space="0"/>
              <w:right w:val="single" w:color="auto" w:sz="8" w:space="0"/>
            </w:tcBorders>
            <w:vAlign w:val="center"/>
          </w:tcPr>
          <w:p w14:paraId="2DD61806">
            <w:pPr>
              <w:widowControl/>
              <w:spacing w:before="100" w:beforeAutospacing="1" w:after="100" w:afterAutospacing="1" w:line="240" w:lineRule="atLeast"/>
              <w:jc w:val="center"/>
              <w:rPr>
                <w:rFonts w:ascii="Verdana" w:hAnsi="Verdana" w:cs="宋体"/>
                <w:kern w:val="0"/>
                <w:szCs w:val="21"/>
              </w:rPr>
            </w:pPr>
          </w:p>
        </w:tc>
        <w:tc>
          <w:tcPr>
            <w:tcW w:w="3262" w:type="dxa"/>
            <w:gridSpan w:val="3"/>
            <w:tcBorders>
              <w:top w:val="nil"/>
              <w:left w:val="nil"/>
              <w:bottom w:val="single" w:color="auto" w:sz="8" w:space="0"/>
              <w:right w:val="single" w:color="auto" w:sz="8" w:space="0"/>
            </w:tcBorders>
            <w:vAlign w:val="center"/>
          </w:tcPr>
          <w:p w14:paraId="6148BC36">
            <w:pPr>
              <w:widowControl/>
              <w:spacing w:before="100" w:beforeAutospacing="1" w:after="100" w:afterAutospacing="1" w:line="240" w:lineRule="atLeast"/>
              <w:jc w:val="center"/>
              <w:rPr>
                <w:rFonts w:ascii="Verdana" w:hAnsi="Verdana" w:cs="宋体"/>
                <w:kern w:val="0"/>
                <w:szCs w:val="21"/>
              </w:rPr>
            </w:pPr>
          </w:p>
        </w:tc>
        <w:tc>
          <w:tcPr>
            <w:tcW w:w="970" w:type="dxa"/>
            <w:gridSpan w:val="2"/>
            <w:tcBorders>
              <w:top w:val="nil"/>
              <w:left w:val="nil"/>
              <w:bottom w:val="single" w:color="auto" w:sz="8" w:space="0"/>
              <w:right w:val="single" w:color="auto" w:sz="8" w:space="0"/>
            </w:tcBorders>
            <w:vAlign w:val="center"/>
          </w:tcPr>
          <w:p w14:paraId="53D8FC1B">
            <w:pPr>
              <w:widowControl/>
              <w:spacing w:before="100" w:beforeAutospacing="1" w:after="100" w:afterAutospacing="1" w:line="240" w:lineRule="atLeast"/>
              <w:jc w:val="center"/>
              <w:rPr>
                <w:rFonts w:ascii="Verdana" w:hAnsi="Verdana" w:cs="宋体"/>
                <w:kern w:val="0"/>
                <w:szCs w:val="21"/>
              </w:rPr>
            </w:pPr>
          </w:p>
        </w:tc>
        <w:tc>
          <w:tcPr>
            <w:tcW w:w="1606" w:type="dxa"/>
            <w:tcBorders>
              <w:top w:val="nil"/>
              <w:left w:val="nil"/>
              <w:bottom w:val="single" w:color="auto" w:sz="8" w:space="0"/>
              <w:right w:val="single" w:color="auto" w:sz="8" w:space="0"/>
            </w:tcBorders>
            <w:vAlign w:val="center"/>
          </w:tcPr>
          <w:p w14:paraId="02CF3DD0">
            <w:pPr>
              <w:widowControl/>
              <w:spacing w:before="100" w:beforeAutospacing="1" w:after="100" w:afterAutospacing="1" w:line="240" w:lineRule="atLeast"/>
              <w:jc w:val="center"/>
              <w:rPr>
                <w:rFonts w:ascii="Verdana" w:hAnsi="Verdana" w:cs="宋体"/>
                <w:kern w:val="0"/>
                <w:szCs w:val="21"/>
              </w:rPr>
            </w:pPr>
          </w:p>
        </w:tc>
      </w:tr>
      <w:tr w14:paraId="534F445D">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413DE9D7">
            <w:pPr>
              <w:widowControl/>
              <w:spacing w:before="100" w:beforeAutospacing="1" w:after="100" w:afterAutospacing="1" w:line="240" w:lineRule="atLeast"/>
              <w:jc w:val="center"/>
              <w:rPr>
                <w:rFonts w:ascii="Verdana" w:hAnsi="Verdana" w:cs="宋体"/>
                <w:kern w:val="0"/>
                <w:szCs w:val="21"/>
              </w:rPr>
            </w:pPr>
          </w:p>
        </w:tc>
        <w:tc>
          <w:tcPr>
            <w:tcW w:w="2159" w:type="dxa"/>
            <w:tcBorders>
              <w:top w:val="nil"/>
              <w:left w:val="nil"/>
              <w:bottom w:val="single" w:color="auto" w:sz="8" w:space="0"/>
              <w:right w:val="single" w:color="auto" w:sz="8" w:space="0"/>
            </w:tcBorders>
            <w:vAlign w:val="center"/>
          </w:tcPr>
          <w:p w14:paraId="2158254B">
            <w:pPr>
              <w:widowControl/>
              <w:spacing w:before="100" w:beforeAutospacing="1" w:after="100" w:afterAutospacing="1" w:line="240" w:lineRule="atLeast"/>
              <w:jc w:val="center"/>
              <w:rPr>
                <w:rFonts w:ascii="Verdana" w:hAnsi="Verdana" w:cs="宋体"/>
                <w:kern w:val="0"/>
                <w:szCs w:val="21"/>
              </w:rPr>
            </w:pPr>
          </w:p>
        </w:tc>
        <w:tc>
          <w:tcPr>
            <w:tcW w:w="3262" w:type="dxa"/>
            <w:gridSpan w:val="3"/>
            <w:tcBorders>
              <w:top w:val="nil"/>
              <w:left w:val="nil"/>
              <w:bottom w:val="single" w:color="auto" w:sz="8" w:space="0"/>
              <w:right w:val="single" w:color="auto" w:sz="8" w:space="0"/>
            </w:tcBorders>
            <w:vAlign w:val="center"/>
          </w:tcPr>
          <w:p w14:paraId="08AFABEF">
            <w:pPr>
              <w:widowControl/>
              <w:spacing w:before="100" w:beforeAutospacing="1" w:after="100" w:afterAutospacing="1" w:line="240" w:lineRule="atLeast"/>
              <w:jc w:val="center"/>
              <w:rPr>
                <w:rFonts w:ascii="Verdana" w:hAnsi="Verdana" w:cs="宋体"/>
                <w:kern w:val="0"/>
                <w:szCs w:val="21"/>
              </w:rPr>
            </w:pPr>
          </w:p>
        </w:tc>
        <w:tc>
          <w:tcPr>
            <w:tcW w:w="970" w:type="dxa"/>
            <w:gridSpan w:val="2"/>
            <w:tcBorders>
              <w:top w:val="nil"/>
              <w:left w:val="nil"/>
              <w:bottom w:val="single" w:color="auto" w:sz="8" w:space="0"/>
              <w:right w:val="single" w:color="auto" w:sz="8" w:space="0"/>
            </w:tcBorders>
            <w:vAlign w:val="center"/>
          </w:tcPr>
          <w:p w14:paraId="10C4EFF9">
            <w:pPr>
              <w:widowControl/>
              <w:spacing w:before="100" w:beforeAutospacing="1" w:after="100" w:afterAutospacing="1" w:line="240" w:lineRule="atLeast"/>
              <w:jc w:val="center"/>
              <w:rPr>
                <w:rFonts w:ascii="Verdana" w:hAnsi="Verdana" w:cs="宋体"/>
                <w:kern w:val="0"/>
                <w:szCs w:val="21"/>
              </w:rPr>
            </w:pPr>
          </w:p>
        </w:tc>
        <w:tc>
          <w:tcPr>
            <w:tcW w:w="1606" w:type="dxa"/>
            <w:tcBorders>
              <w:top w:val="nil"/>
              <w:left w:val="nil"/>
              <w:bottom w:val="single" w:color="auto" w:sz="8" w:space="0"/>
              <w:right w:val="single" w:color="auto" w:sz="8" w:space="0"/>
            </w:tcBorders>
            <w:vAlign w:val="center"/>
          </w:tcPr>
          <w:p w14:paraId="011BC46B">
            <w:pPr>
              <w:widowControl/>
              <w:spacing w:before="100" w:beforeAutospacing="1" w:after="100" w:afterAutospacing="1" w:line="240" w:lineRule="atLeast"/>
              <w:jc w:val="center"/>
              <w:rPr>
                <w:rFonts w:ascii="Verdana" w:hAnsi="Verdana" w:cs="宋体"/>
                <w:kern w:val="0"/>
                <w:szCs w:val="21"/>
              </w:rPr>
            </w:pPr>
          </w:p>
        </w:tc>
      </w:tr>
      <w:tr w14:paraId="1264659E">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13E26A8B">
            <w:pPr>
              <w:widowControl/>
              <w:spacing w:before="100" w:beforeAutospacing="1" w:after="100" w:afterAutospacing="1" w:line="240" w:lineRule="atLeast"/>
              <w:jc w:val="center"/>
              <w:rPr>
                <w:rFonts w:ascii="Verdana" w:hAnsi="Verdana" w:cs="宋体"/>
                <w:kern w:val="0"/>
                <w:szCs w:val="21"/>
              </w:rPr>
            </w:pPr>
          </w:p>
        </w:tc>
        <w:tc>
          <w:tcPr>
            <w:tcW w:w="2159" w:type="dxa"/>
            <w:tcBorders>
              <w:top w:val="nil"/>
              <w:left w:val="nil"/>
              <w:bottom w:val="single" w:color="auto" w:sz="8" w:space="0"/>
              <w:right w:val="single" w:color="auto" w:sz="8" w:space="0"/>
            </w:tcBorders>
            <w:vAlign w:val="center"/>
          </w:tcPr>
          <w:p w14:paraId="49B8DE09">
            <w:pPr>
              <w:widowControl/>
              <w:spacing w:before="100" w:beforeAutospacing="1" w:after="100" w:afterAutospacing="1" w:line="240" w:lineRule="atLeast"/>
              <w:jc w:val="center"/>
              <w:rPr>
                <w:rFonts w:ascii="Verdana" w:hAnsi="Verdana" w:cs="宋体"/>
                <w:kern w:val="0"/>
                <w:szCs w:val="21"/>
              </w:rPr>
            </w:pPr>
          </w:p>
        </w:tc>
        <w:tc>
          <w:tcPr>
            <w:tcW w:w="3262" w:type="dxa"/>
            <w:gridSpan w:val="3"/>
            <w:tcBorders>
              <w:top w:val="nil"/>
              <w:left w:val="nil"/>
              <w:bottom w:val="single" w:color="auto" w:sz="8" w:space="0"/>
              <w:right w:val="single" w:color="auto" w:sz="8" w:space="0"/>
            </w:tcBorders>
            <w:vAlign w:val="center"/>
          </w:tcPr>
          <w:p w14:paraId="3CB1E28A">
            <w:pPr>
              <w:widowControl/>
              <w:spacing w:before="100" w:beforeAutospacing="1" w:after="100" w:afterAutospacing="1" w:line="240" w:lineRule="atLeast"/>
              <w:jc w:val="center"/>
              <w:rPr>
                <w:rFonts w:ascii="Verdana" w:hAnsi="Verdana" w:cs="宋体"/>
                <w:kern w:val="0"/>
                <w:szCs w:val="21"/>
              </w:rPr>
            </w:pPr>
          </w:p>
        </w:tc>
        <w:tc>
          <w:tcPr>
            <w:tcW w:w="970" w:type="dxa"/>
            <w:gridSpan w:val="2"/>
            <w:tcBorders>
              <w:top w:val="nil"/>
              <w:left w:val="nil"/>
              <w:bottom w:val="single" w:color="auto" w:sz="8" w:space="0"/>
              <w:right w:val="single" w:color="auto" w:sz="8" w:space="0"/>
            </w:tcBorders>
            <w:vAlign w:val="center"/>
          </w:tcPr>
          <w:p w14:paraId="0E96B7D3">
            <w:pPr>
              <w:widowControl/>
              <w:spacing w:before="100" w:beforeAutospacing="1" w:after="100" w:afterAutospacing="1" w:line="240" w:lineRule="atLeast"/>
              <w:jc w:val="center"/>
              <w:rPr>
                <w:rFonts w:ascii="Verdana" w:hAnsi="Verdana" w:cs="宋体"/>
                <w:kern w:val="0"/>
                <w:szCs w:val="21"/>
              </w:rPr>
            </w:pPr>
          </w:p>
        </w:tc>
        <w:tc>
          <w:tcPr>
            <w:tcW w:w="1606" w:type="dxa"/>
            <w:tcBorders>
              <w:top w:val="nil"/>
              <w:left w:val="nil"/>
              <w:bottom w:val="single" w:color="auto" w:sz="8" w:space="0"/>
              <w:right w:val="single" w:color="auto" w:sz="8" w:space="0"/>
            </w:tcBorders>
            <w:vAlign w:val="center"/>
          </w:tcPr>
          <w:p w14:paraId="682D2B55">
            <w:pPr>
              <w:widowControl/>
              <w:spacing w:before="100" w:beforeAutospacing="1" w:after="100" w:afterAutospacing="1" w:line="240" w:lineRule="atLeast"/>
              <w:jc w:val="center"/>
              <w:rPr>
                <w:rFonts w:ascii="Verdana" w:hAnsi="Verdana" w:cs="宋体"/>
                <w:kern w:val="0"/>
                <w:szCs w:val="21"/>
              </w:rPr>
            </w:pPr>
          </w:p>
        </w:tc>
      </w:tr>
      <w:tr w14:paraId="712E7F26">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vAlign w:val="center"/>
          </w:tcPr>
          <w:p w14:paraId="1E5D63F6">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合 计</w:t>
            </w:r>
          </w:p>
        </w:tc>
        <w:tc>
          <w:tcPr>
            <w:tcW w:w="970" w:type="dxa"/>
            <w:gridSpan w:val="2"/>
            <w:tcBorders>
              <w:top w:val="nil"/>
              <w:left w:val="nil"/>
              <w:bottom w:val="single" w:color="auto" w:sz="8" w:space="0"/>
              <w:right w:val="single" w:color="auto" w:sz="8" w:space="0"/>
            </w:tcBorders>
            <w:vAlign w:val="center"/>
          </w:tcPr>
          <w:p w14:paraId="18C1BE35">
            <w:pPr>
              <w:widowControl/>
              <w:spacing w:before="100" w:beforeAutospacing="1" w:after="100" w:afterAutospacing="1" w:line="240" w:lineRule="atLeast"/>
              <w:jc w:val="center"/>
              <w:rPr>
                <w:rFonts w:ascii="Verdana" w:hAnsi="Verdana" w:cs="宋体"/>
                <w:kern w:val="0"/>
                <w:szCs w:val="21"/>
              </w:rPr>
            </w:pPr>
          </w:p>
        </w:tc>
        <w:tc>
          <w:tcPr>
            <w:tcW w:w="1606" w:type="dxa"/>
            <w:tcBorders>
              <w:top w:val="nil"/>
              <w:left w:val="nil"/>
              <w:bottom w:val="single" w:color="auto" w:sz="8" w:space="0"/>
              <w:right w:val="single" w:color="auto" w:sz="8" w:space="0"/>
            </w:tcBorders>
            <w:vAlign w:val="center"/>
          </w:tcPr>
          <w:p w14:paraId="73070F70">
            <w:pPr>
              <w:widowControl/>
              <w:spacing w:before="100" w:beforeAutospacing="1" w:after="100" w:afterAutospacing="1" w:line="240" w:lineRule="atLeast"/>
              <w:jc w:val="center"/>
              <w:rPr>
                <w:rFonts w:ascii="Verdana" w:hAnsi="Verdana" w:cs="宋体"/>
                <w:kern w:val="0"/>
                <w:szCs w:val="21"/>
              </w:rPr>
            </w:pPr>
          </w:p>
        </w:tc>
      </w:tr>
      <w:tr w14:paraId="1EC29084">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vAlign w:val="center"/>
          </w:tcPr>
          <w:p w14:paraId="4E3CE9DD">
            <w:pPr>
              <w:widowControl/>
              <w:snapToGrid w:val="0"/>
              <w:spacing w:before="100" w:beforeAutospacing="1" w:after="100" w:afterAutospacing="1" w:line="320" w:lineRule="atLeast"/>
              <w:ind w:firstLine="2"/>
              <w:jc w:val="left"/>
              <w:rPr>
                <w:rFonts w:ascii="Verdana" w:hAnsi="Verdana" w:cs="宋体"/>
                <w:kern w:val="0"/>
                <w:szCs w:val="21"/>
              </w:rPr>
            </w:pPr>
            <w:r>
              <w:rPr>
                <w:rFonts w:ascii="Verdana" w:hAnsi="Verdana" w:cs="宋体"/>
                <w:kern w:val="0"/>
                <w:szCs w:val="21"/>
              </w:rPr>
              <w:t>合计大写金额： 仟 佰 拾 万 仟 佰 拾 元</w:t>
            </w:r>
          </w:p>
        </w:tc>
      </w:tr>
      <w:tr w14:paraId="5177B72E">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vAlign w:val="center"/>
          </w:tcPr>
          <w:p w14:paraId="02D9FA12">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实际供货日期</w:t>
            </w:r>
          </w:p>
        </w:tc>
        <w:tc>
          <w:tcPr>
            <w:tcW w:w="3056" w:type="dxa"/>
            <w:gridSpan w:val="2"/>
            <w:tcBorders>
              <w:top w:val="nil"/>
              <w:left w:val="nil"/>
              <w:bottom w:val="single" w:color="auto" w:sz="8" w:space="0"/>
              <w:right w:val="single" w:color="auto" w:sz="8" w:space="0"/>
            </w:tcBorders>
            <w:vAlign w:val="center"/>
          </w:tcPr>
          <w:p w14:paraId="386C77D3">
            <w:pPr>
              <w:widowControl/>
              <w:spacing w:before="100" w:beforeAutospacing="1" w:after="100" w:afterAutospacing="1" w:line="240" w:lineRule="atLeast"/>
              <w:jc w:val="center"/>
              <w:rPr>
                <w:rFonts w:ascii="Verdana" w:hAnsi="Verdana" w:cs="宋体"/>
                <w:kern w:val="0"/>
                <w:szCs w:val="21"/>
              </w:rPr>
            </w:pPr>
          </w:p>
        </w:tc>
        <w:tc>
          <w:tcPr>
            <w:tcW w:w="2565" w:type="dxa"/>
            <w:gridSpan w:val="3"/>
            <w:tcBorders>
              <w:top w:val="nil"/>
              <w:left w:val="nil"/>
              <w:bottom w:val="single" w:color="auto" w:sz="8" w:space="0"/>
              <w:right w:val="single" w:color="auto" w:sz="8" w:space="0"/>
            </w:tcBorders>
            <w:vAlign w:val="center"/>
          </w:tcPr>
          <w:p w14:paraId="0F6ECD4C">
            <w:pPr>
              <w:widowControl/>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kern w:val="0"/>
                <w:szCs w:val="21"/>
              </w:rPr>
              <w:t>合同交货验收日期</w:t>
            </w:r>
          </w:p>
        </w:tc>
        <w:tc>
          <w:tcPr>
            <w:tcW w:w="2376" w:type="dxa"/>
            <w:gridSpan w:val="2"/>
            <w:tcBorders>
              <w:top w:val="nil"/>
              <w:left w:val="nil"/>
              <w:bottom w:val="single" w:color="auto" w:sz="8" w:space="0"/>
              <w:right w:val="single" w:color="auto" w:sz="8" w:space="0"/>
            </w:tcBorders>
            <w:vAlign w:val="center"/>
          </w:tcPr>
          <w:p w14:paraId="5FA6097F">
            <w:pPr>
              <w:widowControl/>
              <w:spacing w:before="100" w:beforeAutospacing="1" w:after="100" w:afterAutospacing="1" w:line="240" w:lineRule="atLeast"/>
              <w:jc w:val="center"/>
              <w:rPr>
                <w:rFonts w:ascii="Verdana" w:hAnsi="Verdana" w:cs="宋体"/>
                <w:kern w:val="0"/>
                <w:szCs w:val="21"/>
              </w:rPr>
            </w:pPr>
          </w:p>
        </w:tc>
      </w:tr>
      <w:tr w14:paraId="33FD85E5">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tcMar>
              <w:left w:w="108" w:type="dxa"/>
              <w:right w:w="108" w:type="dxa"/>
            </w:tcMar>
            <w:vAlign w:val="center"/>
          </w:tcPr>
          <w:p w14:paraId="690334DB">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验收具体内容</w:t>
            </w:r>
          </w:p>
        </w:tc>
        <w:tc>
          <w:tcPr>
            <w:tcW w:w="7997" w:type="dxa"/>
            <w:gridSpan w:val="7"/>
            <w:tcBorders>
              <w:top w:val="nil"/>
              <w:left w:val="nil"/>
              <w:bottom w:val="single" w:color="auto" w:sz="8" w:space="0"/>
              <w:right w:val="single" w:color="auto" w:sz="8" w:space="0"/>
            </w:tcBorders>
            <w:tcMar>
              <w:left w:w="108" w:type="dxa"/>
              <w:right w:w="108" w:type="dxa"/>
            </w:tcMar>
            <w:vAlign w:val="center"/>
          </w:tcPr>
          <w:p w14:paraId="3122092F">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638EEDC3">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4EA6F2FC">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验收小组意见</w:t>
            </w:r>
          </w:p>
        </w:tc>
        <w:tc>
          <w:tcPr>
            <w:tcW w:w="7997" w:type="dxa"/>
            <w:gridSpan w:val="7"/>
            <w:tcBorders>
              <w:top w:val="nil"/>
              <w:left w:val="nil"/>
              <w:bottom w:val="single" w:color="auto" w:sz="8" w:space="0"/>
              <w:right w:val="single" w:color="auto" w:sz="8" w:space="0"/>
            </w:tcBorders>
            <w:vAlign w:val="center"/>
          </w:tcPr>
          <w:p w14:paraId="4D419FA9">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验收结论性意见：</w:t>
            </w:r>
          </w:p>
        </w:tc>
      </w:tr>
      <w:tr w14:paraId="124C1661">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vAlign w:val="center"/>
          </w:tcPr>
          <w:p w14:paraId="5E205015"/>
        </w:tc>
        <w:tc>
          <w:tcPr>
            <w:tcW w:w="7997" w:type="dxa"/>
            <w:gridSpan w:val="7"/>
            <w:tcBorders>
              <w:top w:val="nil"/>
              <w:left w:val="nil"/>
              <w:bottom w:val="single" w:color="auto" w:sz="8" w:space="0"/>
              <w:right w:val="single" w:color="auto" w:sz="8" w:space="0"/>
            </w:tcBorders>
            <w:vAlign w:val="center"/>
          </w:tcPr>
          <w:p w14:paraId="6E54BA45">
            <w:pPr>
              <w:widowControl/>
              <w:spacing w:before="100" w:beforeAutospacing="1" w:after="100" w:afterAutospacing="1" w:line="320" w:lineRule="atLeast"/>
              <w:ind w:firstLine="96"/>
              <w:jc w:val="left"/>
              <w:rPr>
                <w:rFonts w:ascii="Verdana" w:hAnsi="Verdana" w:cs="宋体"/>
                <w:kern w:val="0"/>
                <w:szCs w:val="21"/>
              </w:rPr>
            </w:pPr>
            <w:r>
              <w:rPr>
                <w:rFonts w:ascii="Verdana" w:hAnsi="Verdana" w:cs="宋体"/>
                <w:kern w:val="0"/>
                <w:szCs w:val="21"/>
              </w:rPr>
              <w:t>有异议的意见和说明理由：</w:t>
            </w:r>
          </w:p>
          <w:p w14:paraId="7E892CEC">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签字：</w:t>
            </w:r>
          </w:p>
        </w:tc>
      </w:tr>
      <w:tr w14:paraId="79DD9968">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20CA0689">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验收小组成员签字：</w:t>
            </w:r>
          </w:p>
        </w:tc>
      </w:tr>
      <w:tr w14:paraId="228C2E34">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545F1A60">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监督人员或其他相关人员签字：</w:t>
            </w:r>
          </w:p>
          <w:p w14:paraId="78187A6C">
            <w:pPr>
              <w:widowControl/>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或受邀机构的意见（盖章）：</w:t>
            </w:r>
          </w:p>
        </w:tc>
      </w:tr>
      <w:tr w14:paraId="6D4089A2">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tcMar>
              <w:left w:w="108" w:type="dxa"/>
              <w:right w:w="108" w:type="dxa"/>
            </w:tcMar>
            <w:vAlign w:val="center"/>
          </w:tcPr>
          <w:p w14:paraId="4D738224">
            <w:pPr>
              <w:widowControl/>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中标或者成交供应商负责人签字或盖章：</w:t>
            </w:r>
          </w:p>
          <w:p w14:paraId="71C2E8C1">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 年 月 日</w:t>
            </w:r>
          </w:p>
        </w:tc>
        <w:tc>
          <w:tcPr>
            <w:tcW w:w="4827" w:type="dxa"/>
            <w:gridSpan w:val="4"/>
            <w:tcBorders>
              <w:top w:val="nil"/>
              <w:left w:val="nil"/>
              <w:bottom w:val="single" w:color="auto" w:sz="8" w:space="0"/>
              <w:right w:val="single" w:color="auto" w:sz="8" w:space="0"/>
            </w:tcBorders>
            <w:vAlign w:val="center"/>
          </w:tcPr>
          <w:p w14:paraId="37851C16">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采购人或受托机构的意见（盖章）：</w:t>
            </w:r>
          </w:p>
          <w:p w14:paraId="49458D6D">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 年 月 日</w:t>
            </w:r>
          </w:p>
        </w:tc>
      </w:tr>
    </w:tbl>
    <w:p w14:paraId="7ECDD33D">
      <w:pPr>
        <w:jc w:val="left"/>
      </w:pPr>
    </w:p>
    <w:p w14:paraId="21D54BDE">
      <w:pPr>
        <w:jc w:val="left"/>
        <w:rPr>
          <w:rFonts w:hint="eastAsia"/>
        </w:rPr>
      </w:pPr>
      <w:r>
        <w:br w:type="page"/>
      </w:r>
      <w:r>
        <w:rPr>
          <w:rFonts w:hint="eastAsia" w:ascii="楷体" w:eastAsia="楷体"/>
          <w:kern w:val="0"/>
          <w:sz w:val="32"/>
          <w:szCs w:val="32"/>
        </w:rPr>
        <w:t>附件2：</w:t>
      </w:r>
    </w:p>
    <w:p w14:paraId="4FBCC4F2">
      <w:pPr>
        <w:jc w:val="center"/>
        <w:rPr>
          <w:rFonts w:hint="eastAsia" w:ascii="黑体" w:eastAsia="黑体"/>
          <w:sz w:val="32"/>
          <w:szCs w:val="32"/>
        </w:rPr>
      </w:pPr>
      <w:r>
        <w:rPr>
          <w:rFonts w:hint="eastAsia" w:ascii="黑体" w:eastAsia="黑体"/>
          <w:sz w:val="32"/>
          <w:szCs w:val="32"/>
        </w:rPr>
        <w:t>政府采购项目履约保证金退付意见书</w:t>
      </w:r>
      <w:r>
        <w:rPr>
          <w:rFonts w:hint="eastAsia" w:ascii="仿宋" w:eastAsia="仿宋" w:cs="宋体"/>
          <w:kern w:val="0"/>
          <w:sz w:val="32"/>
          <w:szCs w:val="32"/>
        </w:rPr>
        <w:t>（格式）</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60FC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518A2E62">
            <w:pPr>
              <w:jc w:val="center"/>
              <w:rPr>
                <w:rFonts w:hint="eastAsia"/>
                <w:szCs w:val="21"/>
              </w:rPr>
            </w:pPr>
            <w:r>
              <w:rPr>
                <w:rFonts w:hint="eastAsia"/>
                <w:szCs w:val="21"/>
              </w:rPr>
              <w:t>供</w:t>
            </w:r>
          </w:p>
          <w:p w14:paraId="411D7C63">
            <w:pPr>
              <w:jc w:val="center"/>
              <w:rPr>
                <w:rFonts w:hint="eastAsia"/>
                <w:szCs w:val="21"/>
              </w:rPr>
            </w:pPr>
            <w:r>
              <w:rPr>
                <w:rFonts w:hint="eastAsia"/>
                <w:szCs w:val="21"/>
              </w:rPr>
              <w:t>应</w:t>
            </w:r>
          </w:p>
          <w:p w14:paraId="1CC54E04">
            <w:pPr>
              <w:jc w:val="center"/>
              <w:rPr>
                <w:rFonts w:hint="eastAsia"/>
                <w:szCs w:val="21"/>
              </w:rPr>
            </w:pPr>
            <w:r>
              <w:rPr>
                <w:rFonts w:hint="eastAsia"/>
                <w:szCs w:val="21"/>
              </w:rPr>
              <w:t>商</w:t>
            </w:r>
          </w:p>
          <w:p w14:paraId="3EF35361">
            <w:pPr>
              <w:jc w:val="center"/>
              <w:rPr>
                <w:rFonts w:hint="eastAsia"/>
                <w:szCs w:val="21"/>
              </w:rPr>
            </w:pPr>
            <w:r>
              <w:rPr>
                <w:rFonts w:hint="eastAsia"/>
                <w:szCs w:val="21"/>
              </w:rPr>
              <w:t>申</w:t>
            </w:r>
          </w:p>
          <w:p w14:paraId="7F1F8356">
            <w:pPr>
              <w:jc w:val="center"/>
              <w:rPr>
                <w:rFonts w:hint="eastAsia"/>
                <w:szCs w:val="21"/>
              </w:rPr>
            </w:pPr>
            <w:r>
              <w:rPr>
                <w:rFonts w:hint="eastAsia"/>
                <w:szCs w:val="21"/>
              </w:rPr>
              <w:t>请</w:t>
            </w:r>
          </w:p>
        </w:tc>
        <w:tc>
          <w:tcPr>
            <w:tcW w:w="8640" w:type="dxa"/>
            <w:vAlign w:val="center"/>
          </w:tcPr>
          <w:p w14:paraId="45649040">
            <w:pPr>
              <w:rPr>
                <w:rFonts w:hint="eastAsia"/>
                <w:szCs w:val="21"/>
              </w:rPr>
            </w:pPr>
            <w:r>
              <w:rPr>
                <w:rFonts w:hint="eastAsia"/>
                <w:szCs w:val="21"/>
              </w:rPr>
              <w:t>项目编号：</w:t>
            </w:r>
          </w:p>
        </w:tc>
      </w:tr>
      <w:tr w14:paraId="26E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6EAFEA0B"/>
        </w:tc>
        <w:tc>
          <w:tcPr>
            <w:tcW w:w="8640" w:type="dxa"/>
            <w:vAlign w:val="center"/>
          </w:tcPr>
          <w:p w14:paraId="4090B3C8">
            <w:pPr>
              <w:rPr>
                <w:rFonts w:hint="eastAsia"/>
                <w:szCs w:val="21"/>
              </w:rPr>
            </w:pPr>
            <w:r>
              <w:rPr>
                <w:rFonts w:hint="eastAsia"/>
                <w:szCs w:val="21"/>
              </w:rPr>
              <w:t>项目名称：</w:t>
            </w:r>
          </w:p>
        </w:tc>
      </w:tr>
      <w:tr w14:paraId="54B4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3E122C3B"/>
        </w:tc>
        <w:tc>
          <w:tcPr>
            <w:tcW w:w="8640" w:type="dxa"/>
          </w:tcPr>
          <w:p w14:paraId="07F7BB1A">
            <w:pPr>
              <w:rPr>
                <w:rFonts w:hint="eastAsia"/>
                <w:szCs w:val="21"/>
              </w:rPr>
            </w:pPr>
            <w:r>
              <w:rPr>
                <w:rFonts w:hint="eastAsia"/>
                <w:szCs w:val="21"/>
              </w:rPr>
              <w:t xml:space="preserve">  </w:t>
            </w:r>
          </w:p>
          <w:p w14:paraId="20906E0C">
            <w:pPr>
              <w:spacing w:line="400" w:lineRule="exact"/>
              <w:ind w:firstLine="420" w:firstLineChars="200"/>
              <w:rPr>
                <w:rFonts w:hint="eastAsia"/>
                <w:szCs w:val="21"/>
              </w:rPr>
            </w:pPr>
            <w:r>
              <w:rPr>
                <w:rFonts w:hint="eastAsia"/>
                <w:szCs w:val="21"/>
              </w:rPr>
              <w:t>该项目已于</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日验收并交付使用。根据合同规定，该项目的履约保证金期限于</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日已满，请将履约保证金</w:t>
            </w:r>
          </w:p>
          <w:p w14:paraId="5E4662BE">
            <w:pPr>
              <w:spacing w:line="400" w:lineRule="exact"/>
              <w:rPr>
                <w:rFonts w:hint="eastAsia"/>
                <w:szCs w:val="21"/>
              </w:rPr>
            </w:pPr>
            <w:r>
              <w:rPr>
                <w:rFonts w:hint="eastAsia"/>
                <w:szCs w:val="21"/>
                <w:u w:val="single"/>
              </w:rPr>
              <w:t xml:space="preserve">                                        </w:t>
            </w:r>
            <w:r>
              <w:rPr>
                <w:rFonts w:hint="eastAsia"/>
                <w:szCs w:val="21"/>
              </w:rPr>
              <w:t>（大写）¥</w:t>
            </w:r>
            <w:r>
              <w:rPr>
                <w:rFonts w:hint="eastAsia"/>
                <w:szCs w:val="21"/>
                <w:u w:val="single"/>
              </w:rPr>
              <w:t xml:space="preserve">          </w:t>
            </w:r>
            <w:r>
              <w:rPr>
                <w:rFonts w:hint="eastAsia"/>
                <w:szCs w:val="21"/>
              </w:rPr>
              <w:t>（小写）退付到达以下账户。</w:t>
            </w:r>
          </w:p>
          <w:p w14:paraId="1777761F">
            <w:pPr>
              <w:spacing w:line="400" w:lineRule="exact"/>
              <w:ind w:firstLine="705"/>
              <w:rPr>
                <w:rFonts w:hint="eastAsia"/>
                <w:szCs w:val="21"/>
              </w:rPr>
            </w:pPr>
            <w:r>
              <w:rPr>
                <w:rFonts w:hint="eastAsia"/>
                <w:szCs w:val="21"/>
              </w:rPr>
              <w:t>单位名称：</w:t>
            </w:r>
          </w:p>
          <w:p w14:paraId="25A8A435">
            <w:pPr>
              <w:spacing w:line="400" w:lineRule="exact"/>
              <w:ind w:firstLine="705"/>
              <w:rPr>
                <w:rFonts w:hint="eastAsia"/>
                <w:szCs w:val="21"/>
              </w:rPr>
            </w:pPr>
            <w:r>
              <w:rPr>
                <w:rFonts w:hint="eastAsia"/>
                <w:szCs w:val="21"/>
              </w:rPr>
              <w:t>开户银行：</w:t>
            </w:r>
          </w:p>
          <w:p w14:paraId="3BE2C922">
            <w:pPr>
              <w:spacing w:line="400" w:lineRule="exact"/>
              <w:ind w:firstLine="705"/>
              <w:rPr>
                <w:rFonts w:hint="eastAsia"/>
                <w:szCs w:val="21"/>
              </w:rPr>
            </w:pPr>
            <w:r>
              <w:rPr>
                <w:rFonts w:hint="eastAsia"/>
                <w:szCs w:val="21"/>
              </w:rPr>
              <w:t>账   号：</w:t>
            </w:r>
          </w:p>
          <w:p w14:paraId="10E49957">
            <w:pPr>
              <w:spacing w:line="400" w:lineRule="exact"/>
              <w:rPr>
                <w:rFonts w:hint="eastAsia"/>
                <w:szCs w:val="21"/>
              </w:rPr>
            </w:pPr>
            <w:r>
              <w:rPr>
                <w:rFonts w:hint="eastAsia"/>
                <w:szCs w:val="21"/>
              </w:rPr>
              <w:t>联系人及电话：</w:t>
            </w:r>
          </w:p>
          <w:p w14:paraId="72F29BFC">
            <w:pPr>
              <w:spacing w:line="400" w:lineRule="exact"/>
              <w:rPr>
                <w:rFonts w:hint="eastAsia"/>
                <w:szCs w:val="21"/>
              </w:rPr>
            </w:pPr>
          </w:p>
          <w:p w14:paraId="582711AE">
            <w:pPr>
              <w:spacing w:line="520" w:lineRule="exact"/>
              <w:jc w:val="center"/>
              <w:rPr>
                <w:rFonts w:hint="eastAsia"/>
                <w:szCs w:val="21"/>
              </w:rPr>
            </w:pPr>
            <w:r>
              <w:rPr>
                <w:rFonts w:hint="eastAsia"/>
                <w:szCs w:val="21"/>
              </w:rPr>
              <w:t xml:space="preserve">                                     供应商签章：</w:t>
            </w:r>
          </w:p>
          <w:p w14:paraId="174ECFED">
            <w:pPr>
              <w:spacing w:line="520" w:lineRule="exact"/>
              <w:jc w:val="center"/>
              <w:rPr>
                <w:rFonts w:hint="eastAsia"/>
                <w:szCs w:val="21"/>
              </w:rPr>
            </w:pPr>
            <w:r>
              <w:rPr>
                <w:rFonts w:hint="eastAsia"/>
                <w:szCs w:val="21"/>
              </w:rPr>
              <w:t xml:space="preserve">                           年    月     日</w:t>
            </w:r>
          </w:p>
        </w:tc>
      </w:tr>
      <w:tr w14:paraId="621D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9290725">
            <w:pPr>
              <w:jc w:val="center"/>
              <w:rPr>
                <w:rFonts w:hint="eastAsia"/>
                <w:szCs w:val="21"/>
              </w:rPr>
            </w:pPr>
            <w:r>
              <w:rPr>
                <w:rFonts w:hint="eastAsia"/>
                <w:szCs w:val="21"/>
              </w:rPr>
              <w:t>采</w:t>
            </w:r>
          </w:p>
          <w:p w14:paraId="7EF31DF7">
            <w:pPr>
              <w:jc w:val="center"/>
              <w:rPr>
                <w:rFonts w:hint="eastAsia"/>
                <w:szCs w:val="21"/>
              </w:rPr>
            </w:pPr>
            <w:r>
              <w:rPr>
                <w:rFonts w:hint="eastAsia"/>
                <w:szCs w:val="21"/>
              </w:rPr>
              <w:t>购</w:t>
            </w:r>
          </w:p>
          <w:p w14:paraId="47F81C21">
            <w:pPr>
              <w:jc w:val="center"/>
              <w:rPr>
                <w:rFonts w:hint="eastAsia"/>
                <w:szCs w:val="21"/>
              </w:rPr>
            </w:pPr>
            <w:r>
              <w:rPr>
                <w:rFonts w:hint="eastAsia"/>
                <w:szCs w:val="21"/>
              </w:rPr>
              <w:t>单</w:t>
            </w:r>
          </w:p>
          <w:p w14:paraId="2E33773B">
            <w:pPr>
              <w:jc w:val="center"/>
              <w:rPr>
                <w:rFonts w:hint="eastAsia"/>
                <w:szCs w:val="21"/>
              </w:rPr>
            </w:pPr>
            <w:r>
              <w:rPr>
                <w:rFonts w:hint="eastAsia"/>
                <w:szCs w:val="21"/>
              </w:rPr>
              <w:t>位</w:t>
            </w:r>
          </w:p>
          <w:p w14:paraId="0B8DE41A">
            <w:pPr>
              <w:jc w:val="center"/>
              <w:rPr>
                <w:rFonts w:hint="eastAsia"/>
                <w:szCs w:val="21"/>
              </w:rPr>
            </w:pPr>
            <w:r>
              <w:rPr>
                <w:rFonts w:hint="eastAsia"/>
                <w:szCs w:val="21"/>
              </w:rPr>
              <w:t>意</w:t>
            </w:r>
          </w:p>
          <w:p w14:paraId="0506E0EE">
            <w:pPr>
              <w:jc w:val="center"/>
              <w:rPr>
                <w:rFonts w:hint="eastAsia"/>
                <w:szCs w:val="21"/>
              </w:rPr>
            </w:pPr>
            <w:r>
              <w:rPr>
                <w:rFonts w:hint="eastAsia"/>
                <w:szCs w:val="21"/>
              </w:rPr>
              <w:t>见</w:t>
            </w:r>
          </w:p>
        </w:tc>
        <w:tc>
          <w:tcPr>
            <w:tcW w:w="8640" w:type="dxa"/>
          </w:tcPr>
          <w:p w14:paraId="1E49461A">
            <w:pPr>
              <w:rPr>
                <w:rFonts w:hint="eastAsia"/>
                <w:szCs w:val="21"/>
              </w:rPr>
            </w:pPr>
          </w:p>
          <w:p w14:paraId="4F7AD1DE">
            <w:pPr>
              <w:rPr>
                <w:rFonts w:hint="eastAsia"/>
                <w:szCs w:val="21"/>
              </w:rPr>
            </w:pPr>
            <w:r>
              <w:rPr>
                <w:rFonts w:hint="eastAsia"/>
                <w:szCs w:val="21"/>
              </w:rPr>
              <w:t>退付意见：是否同意退付履约保证金及退付金额：</w:t>
            </w:r>
          </w:p>
          <w:p w14:paraId="5B51BA90">
            <w:pPr>
              <w:rPr>
                <w:rFonts w:hint="eastAsia"/>
                <w:szCs w:val="21"/>
              </w:rPr>
            </w:pPr>
          </w:p>
          <w:p w14:paraId="77CE7BC4">
            <w:pPr>
              <w:rPr>
                <w:rFonts w:hint="eastAsia"/>
                <w:szCs w:val="21"/>
              </w:rPr>
            </w:pPr>
          </w:p>
          <w:p w14:paraId="7026C293">
            <w:pPr>
              <w:spacing w:line="520" w:lineRule="exact"/>
              <w:rPr>
                <w:rFonts w:hint="eastAsia"/>
                <w:szCs w:val="21"/>
              </w:rPr>
            </w:pPr>
            <w:r>
              <w:rPr>
                <w:rFonts w:hint="eastAsia"/>
                <w:szCs w:val="21"/>
              </w:rPr>
              <w:t>联系人及电话：                                 采购单位签章</w:t>
            </w:r>
          </w:p>
          <w:p w14:paraId="55E4AFBC">
            <w:pPr>
              <w:spacing w:line="520" w:lineRule="exact"/>
              <w:jc w:val="center"/>
              <w:rPr>
                <w:rFonts w:hint="eastAsia"/>
                <w:szCs w:val="21"/>
              </w:rPr>
            </w:pPr>
            <w:r>
              <w:rPr>
                <w:rFonts w:hint="eastAsia"/>
                <w:szCs w:val="21"/>
              </w:rPr>
              <w:t xml:space="preserve">                                        年    月     日</w:t>
            </w:r>
          </w:p>
        </w:tc>
      </w:tr>
      <w:tr w14:paraId="3611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F11E3DA">
            <w:pPr>
              <w:jc w:val="center"/>
              <w:rPr>
                <w:rFonts w:hint="eastAsia"/>
                <w:szCs w:val="21"/>
              </w:rPr>
            </w:pPr>
            <w:r>
              <w:rPr>
                <w:rFonts w:hint="eastAsia"/>
                <w:szCs w:val="21"/>
              </w:rPr>
              <w:t>财</w:t>
            </w:r>
          </w:p>
          <w:p w14:paraId="60FE56BD">
            <w:pPr>
              <w:jc w:val="center"/>
              <w:rPr>
                <w:rFonts w:hint="eastAsia"/>
                <w:szCs w:val="21"/>
              </w:rPr>
            </w:pPr>
            <w:r>
              <w:rPr>
                <w:rFonts w:hint="eastAsia"/>
                <w:szCs w:val="21"/>
              </w:rPr>
              <w:t>务</w:t>
            </w:r>
          </w:p>
          <w:p w14:paraId="5C32D489">
            <w:pPr>
              <w:jc w:val="center"/>
              <w:rPr>
                <w:rFonts w:hint="eastAsia"/>
                <w:szCs w:val="21"/>
              </w:rPr>
            </w:pPr>
            <w:r>
              <w:rPr>
                <w:rFonts w:hint="eastAsia"/>
                <w:szCs w:val="21"/>
              </w:rPr>
              <w:t>部</w:t>
            </w:r>
          </w:p>
          <w:p w14:paraId="5435325A">
            <w:pPr>
              <w:jc w:val="center"/>
              <w:rPr>
                <w:rFonts w:hint="eastAsia"/>
                <w:szCs w:val="21"/>
              </w:rPr>
            </w:pPr>
            <w:r>
              <w:rPr>
                <w:rFonts w:hint="eastAsia"/>
                <w:szCs w:val="21"/>
              </w:rPr>
              <w:t>门</w:t>
            </w:r>
          </w:p>
          <w:p w14:paraId="1E5B4636">
            <w:pPr>
              <w:jc w:val="center"/>
              <w:rPr>
                <w:rFonts w:hint="eastAsia"/>
                <w:szCs w:val="21"/>
              </w:rPr>
            </w:pPr>
            <w:r>
              <w:rPr>
                <w:rFonts w:hint="eastAsia"/>
                <w:szCs w:val="21"/>
              </w:rPr>
              <w:t>意</w:t>
            </w:r>
          </w:p>
          <w:p w14:paraId="7A7FA00C">
            <w:pPr>
              <w:jc w:val="center"/>
              <w:rPr>
                <w:rFonts w:hint="eastAsia"/>
                <w:szCs w:val="21"/>
              </w:rPr>
            </w:pPr>
            <w:r>
              <w:rPr>
                <w:rFonts w:hint="eastAsia"/>
                <w:szCs w:val="21"/>
              </w:rPr>
              <w:t>见</w:t>
            </w:r>
          </w:p>
        </w:tc>
        <w:tc>
          <w:tcPr>
            <w:tcW w:w="8640" w:type="dxa"/>
          </w:tcPr>
          <w:p w14:paraId="65E5392A">
            <w:pPr>
              <w:spacing w:line="640" w:lineRule="exact"/>
              <w:rPr>
                <w:rFonts w:hint="eastAsia"/>
                <w:szCs w:val="21"/>
              </w:rPr>
            </w:pPr>
            <w:r>
              <w:rPr>
                <w:rFonts w:hint="eastAsia"/>
                <w:szCs w:val="21"/>
              </w:rPr>
              <w:t>此表于</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 月 </w:t>
            </w:r>
            <w:r>
              <w:rPr>
                <w:rFonts w:hint="eastAsia"/>
                <w:szCs w:val="21"/>
                <w:u w:val="single"/>
              </w:rPr>
              <w:t xml:space="preserve">   </w:t>
            </w:r>
            <w:r>
              <w:rPr>
                <w:rFonts w:hint="eastAsia"/>
                <w:szCs w:val="21"/>
              </w:rPr>
              <w:t xml:space="preserve"> 日收到。</w:t>
            </w:r>
          </w:p>
          <w:p w14:paraId="46F77F88">
            <w:pPr>
              <w:spacing w:line="640" w:lineRule="exact"/>
              <w:rPr>
                <w:rFonts w:hint="eastAsia"/>
                <w:szCs w:val="21"/>
              </w:rPr>
            </w:pPr>
            <w:r>
              <w:rPr>
                <w:rFonts w:hint="eastAsia"/>
                <w:szCs w:val="21"/>
              </w:rPr>
              <w:t>会计审核：</w:t>
            </w:r>
          </w:p>
          <w:p w14:paraId="52BE862B">
            <w:pPr>
              <w:spacing w:line="640" w:lineRule="exact"/>
              <w:rPr>
                <w:rFonts w:hint="eastAsia"/>
                <w:szCs w:val="21"/>
              </w:rPr>
            </w:pPr>
            <w:r>
              <w:rPr>
                <w:rFonts w:hint="eastAsia"/>
                <w:szCs w:val="21"/>
              </w:rPr>
              <w:t>财务负责人审核：</w:t>
            </w:r>
          </w:p>
          <w:p w14:paraId="0570AC35">
            <w:pPr>
              <w:spacing w:line="640" w:lineRule="exact"/>
              <w:rPr>
                <w:rFonts w:hint="eastAsia"/>
                <w:szCs w:val="21"/>
              </w:rPr>
            </w:pPr>
            <w:r>
              <w:rPr>
                <w:rFonts w:hint="eastAsia"/>
                <w:szCs w:val="21"/>
              </w:rPr>
              <w:t>单位负责人签字：</w:t>
            </w:r>
          </w:p>
          <w:p w14:paraId="3F9FE688">
            <w:pPr>
              <w:spacing w:line="640" w:lineRule="exact"/>
              <w:rPr>
                <w:rFonts w:hint="eastAsia"/>
                <w:szCs w:val="21"/>
              </w:rPr>
            </w:pPr>
            <w:r>
              <w:rPr>
                <w:rFonts w:hint="eastAsia"/>
                <w:szCs w:val="21"/>
              </w:rPr>
              <w:t>出纳办理转账日期：</w:t>
            </w:r>
          </w:p>
        </w:tc>
      </w:tr>
    </w:tbl>
    <w:p w14:paraId="3E8B3D0A">
      <w:pPr>
        <w:spacing w:line="380" w:lineRule="exact"/>
        <w:ind w:left="419" w:leftChars="114" w:hanging="180" w:hangingChars="100"/>
        <w:rPr>
          <w:rFonts w:ascii="宋体"/>
          <w:b/>
          <w:bCs/>
          <w:kern w:val="0"/>
          <w:sz w:val="18"/>
        </w:rPr>
      </w:pPr>
      <w:r>
        <w:rPr>
          <w:rFonts w:hint="eastAsia" w:ascii="宋体"/>
          <w:b/>
          <w:bCs/>
          <w:kern w:val="0"/>
          <w:sz w:val="18"/>
        </w:rPr>
        <w:t>注：供应商凭经采购单位审批的退付意见书办理履约保证金退付事宜。</w:t>
      </w:r>
    </w:p>
    <w:p w14:paraId="623CD5F4">
      <w:pPr>
        <w:jc w:val="left"/>
        <w:rPr>
          <w:rFonts w:hint="eastAsia" w:ascii="楷体" w:eastAsia="楷体"/>
          <w:kern w:val="0"/>
          <w:sz w:val="32"/>
          <w:szCs w:val="32"/>
        </w:rPr>
      </w:pPr>
      <w:r>
        <w:rPr>
          <w:rFonts w:ascii="宋体"/>
          <w:b/>
          <w:bCs/>
          <w:kern w:val="0"/>
          <w:sz w:val="18"/>
        </w:rPr>
        <w:br w:type="page"/>
      </w:r>
      <w:r>
        <w:rPr>
          <w:rFonts w:hint="eastAsia" w:ascii="楷体" w:eastAsia="楷体"/>
          <w:kern w:val="0"/>
          <w:sz w:val="32"/>
          <w:szCs w:val="32"/>
        </w:rPr>
        <w:t>附件3：</w:t>
      </w:r>
    </w:p>
    <w:p w14:paraId="4CBE3653">
      <w:pPr>
        <w:spacing w:line="528" w:lineRule="exact"/>
        <w:ind w:left="1871" w:leftChars="891" w:firstLine="200" w:firstLineChars="50"/>
        <w:rPr>
          <w:rFonts w:ascii="Arial Unicode MS" w:hAnsi="Arial Unicode MS" w:eastAsia="Arial Unicode MS" w:cs="Arial Unicode MS"/>
          <w:sz w:val="40"/>
          <w:szCs w:val="40"/>
        </w:rPr>
      </w:pPr>
      <w:r>
        <w:rPr>
          <w:rFonts w:hint="eastAsia" w:ascii="微软雅黑" w:hAnsi="微软雅黑" w:eastAsia="微软雅黑" w:cs="微软雅黑"/>
          <w:sz w:val="40"/>
          <w:szCs w:val="40"/>
        </w:rPr>
        <w:t>节能产品政府采购品目清单</w:t>
      </w:r>
    </w:p>
    <w:tbl>
      <w:tblPr>
        <w:tblStyle w:val="49"/>
        <w:tblW w:w="9220" w:type="dxa"/>
        <w:tblInd w:w="93" w:type="dxa"/>
        <w:tblLayout w:type="autofit"/>
        <w:tblCellMar>
          <w:top w:w="0" w:type="dxa"/>
          <w:left w:w="108" w:type="dxa"/>
          <w:bottom w:w="0" w:type="dxa"/>
          <w:right w:w="108" w:type="dxa"/>
        </w:tblCellMar>
      </w:tblPr>
      <w:tblGrid>
        <w:gridCol w:w="631"/>
        <w:gridCol w:w="1161"/>
        <w:gridCol w:w="1581"/>
        <w:gridCol w:w="1615"/>
        <w:gridCol w:w="4232"/>
      </w:tblGrid>
      <w:tr w14:paraId="77D658D8">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0065CF46">
            <w:pPr>
              <w:widowControl/>
              <w:jc w:val="center"/>
              <w:rPr>
                <w:rFonts w:ascii="宋体" w:hAnsi="宋体" w:cs="宋体"/>
                <w:b/>
                <w:bCs/>
                <w:kern w:val="0"/>
                <w:szCs w:val="21"/>
              </w:rPr>
            </w:pPr>
            <w:r>
              <w:rPr>
                <w:rFonts w:hint="eastAsia" w:ascii="宋体" w:hAnsi="宋体" w:cs="宋体"/>
                <w:b/>
                <w:bCs/>
                <w:kern w:val="0"/>
                <w:szCs w:val="21"/>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10BE840D">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4540" w:type="dxa"/>
            <w:tcBorders>
              <w:top w:val="single" w:color="000000" w:sz="8" w:space="0"/>
              <w:left w:val="nil"/>
              <w:bottom w:val="single" w:color="000000" w:sz="8" w:space="0"/>
              <w:right w:val="single" w:color="000000" w:sz="8" w:space="0"/>
            </w:tcBorders>
            <w:vAlign w:val="center"/>
          </w:tcPr>
          <w:p w14:paraId="1BFD39E7">
            <w:pPr>
              <w:widowControl/>
              <w:jc w:val="center"/>
              <w:rPr>
                <w:rFonts w:hint="eastAsia" w:ascii="宋体" w:hAnsi="宋体" w:cs="宋体"/>
                <w:b/>
                <w:bCs/>
                <w:kern w:val="0"/>
                <w:szCs w:val="21"/>
              </w:rPr>
            </w:pPr>
            <w:r>
              <w:rPr>
                <w:rFonts w:hint="eastAsia" w:ascii="宋体" w:hAnsi="宋体" w:cs="宋体"/>
                <w:b/>
                <w:bCs/>
                <w:kern w:val="0"/>
                <w:szCs w:val="21"/>
              </w:rPr>
              <w:t>依据的标准</w:t>
            </w:r>
          </w:p>
        </w:tc>
      </w:tr>
      <w:tr w14:paraId="0439BFEF">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2E1F2ECC">
            <w:pPr>
              <w:widowControl/>
              <w:jc w:val="center"/>
              <w:rPr>
                <w:rFonts w:hint="eastAsia" w:ascii="宋体" w:hAnsi="宋体" w:cs="宋体"/>
                <w:kern w:val="0"/>
                <w:szCs w:val="21"/>
              </w:rPr>
            </w:pPr>
            <w:r>
              <w:rPr>
                <w:rFonts w:hint="eastAsia" w:ascii="宋体" w:hAnsi="宋体" w:cs="宋体"/>
                <w:kern w:val="0"/>
                <w:szCs w:val="21"/>
              </w:rPr>
              <w:t>1</w:t>
            </w:r>
          </w:p>
        </w:tc>
        <w:tc>
          <w:tcPr>
            <w:tcW w:w="1080" w:type="dxa"/>
            <w:vMerge w:val="restart"/>
            <w:tcBorders>
              <w:top w:val="nil"/>
              <w:left w:val="single" w:color="000000" w:sz="8" w:space="0"/>
              <w:bottom w:val="single" w:color="000000" w:sz="8" w:space="0"/>
              <w:right w:val="single" w:color="000000" w:sz="8" w:space="0"/>
            </w:tcBorders>
            <w:vAlign w:val="center"/>
          </w:tcPr>
          <w:p w14:paraId="282BB623">
            <w:pPr>
              <w:widowControl/>
              <w:jc w:val="center"/>
              <w:rPr>
                <w:rFonts w:hint="eastAsia" w:ascii="宋体" w:hAnsi="宋体" w:cs="宋体"/>
                <w:kern w:val="0"/>
                <w:szCs w:val="21"/>
              </w:rPr>
            </w:pPr>
            <w:r>
              <w:rPr>
                <w:rFonts w:hint="eastAsia" w:ascii="宋体" w:hAnsi="宋体" w:cs="宋体"/>
                <w:kern w:val="0"/>
                <w:szCs w:val="21"/>
              </w:rPr>
              <w:t>A020101计算机设备</w:t>
            </w:r>
          </w:p>
        </w:tc>
        <w:tc>
          <w:tcPr>
            <w:tcW w:w="1320" w:type="dxa"/>
            <w:tcBorders>
              <w:top w:val="nil"/>
              <w:left w:val="nil"/>
              <w:bottom w:val="single" w:color="000000" w:sz="8" w:space="0"/>
              <w:right w:val="single" w:color="000000" w:sz="8" w:space="0"/>
            </w:tcBorders>
            <w:vAlign w:val="center"/>
          </w:tcPr>
          <w:p w14:paraId="2D563FA9">
            <w:pPr>
              <w:widowControl/>
              <w:jc w:val="center"/>
              <w:rPr>
                <w:rFonts w:hint="eastAsia" w:ascii="宋体" w:hAnsi="宋体" w:cs="宋体"/>
                <w:kern w:val="0"/>
                <w:szCs w:val="21"/>
              </w:rPr>
            </w:pPr>
            <w:r>
              <w:rPr>
                <w:rFonts w:hint="eastAsia" w:ascii="宋体" w:hAnsi="宋体" w:cs="宋体"/>
                <w:kern w:val="0"/>
                <w:szCs w:val="21"/>
              </w:rPr>
              <w:t>★A02010104台式计算机</w:t>
            </w:r>
          </w:p>
        </w:tc>
        <w:tc>
          <w:tcPr>
            <w:tcW w:w="1620" w:type="dxa"/>
            <w:tcBorders>
              <w:top w:val="nil"/>
              <w:left w:val="nil"/>
              <w:bottom w:val="single" w:color="000000" w:sz="8" w:space="0"/>
              <w:right w:val="single" w:color="000000" w:sz="8" w:space="0"/>
            </w:tcBorders>
            <w:vAlign w:val="center"/>
          </w:tcPr>
          <w:p w14:paraId="110702CF">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36EFD5B1">
            <w:pPr>
              <w:widowControl/>
              <w:jc w:val="left"/>
              <w:rPr>
                <w:rFonts w:hint="eastAsia" w:ascii="宋体" w:hAnsi="宋体" w:cs="宋体"/>
                <w:kern w:val="0"/>
                <w:szCs w:val="21"/>
              </w:rPr>
            </w:pPr>
            <w:r>
              <w:rPr>
                <w:rFonts w:hint="eastAsia" w:ascii="宋体" w:hAnsi="宋体" w:cs="宋体"/>
                <w:kern w:val="0"/>
                <w:szCs w:val="21"/>
              </w:rPr>
              <w:t>《微型计算机能效限定值及能效等级》（GB28380）</w:t>
            </w:r>
          </w:p>
        </w:tc>
      </w:tr>
      <w:tr w14:paraId="72E63D1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2AE1D63">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171021F5">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vAlign w:val="center"/>
          </w:tcPr>
          <w:p w14:paraId="78214D9C">
            <w:pPr>
              <w:widowControl/>
              <w:jc w:val="center"/>
              <w:rPr>
                <w:rFonts w:hint="eastAsia" w:ascii="宋体" w:hAnsi="宋体" w:cs="宋体"/>
                <w:kern w:val="0"/>
                <w:szCs w:val="21"/>
              </w:rPr>
            </w:pPr>
            <w:r>
              <w:rPr>
                <w:rFonts w:hint="eastAsia" w:ascii="宋体" w:hAnsi="宋体" w:cs="宋体"/>
                <w:kern w:val="0"/>
                <w:szCs w:val="21"/>
              </w:rPr>
              <w:t>★A02010105便携式计算机</w:t>
            </w:r>
          </w:p>
        </w:tc>
        <w:tc>
          <w:tcPr>
            <w:tcW w:w="1620" w:type="dxa"/>
            <w:tcBorders>
              <w:top w:val="nil"/>
              <w:left w:val="nil"/>
              <w:bottom w:val="single" w:color="000000" w:sz="8" w:space="0"/>
              <w:right w:val="single" w:color="000000" w:sz="8" w:space="0"/>
            </w:tcBorders>
            <w:vAlign w:val="center"/>
          </w:tcPr>
          <w:p w14:paraId="2FD44586">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75297D42">
            <w:pPr>
              <w:widowControl/>
              <w:jc w:val="left"/>
              <w:rPr>
                <w:rFonts w:hint="eastAsia" w:ascii="宋体" w:hAnsi="宋体" w:cs="宋体"/>
                <w:kern w:val="0"/>
                <w:szCs w:val="21"/>
              </w:rPr>
            </w:pPr>
            <w:r>
              <w:rPr>
                <w:rFonts w:hint="eastAsia" w:ascii="宋体" w:hAnsi="宋体" w:cs="宋体"/>
                <w:kern w:val="0"/>
                <w:szCs w:val="21"/>
              </w:rPr>
              <w:t>《微型计算机能效限定值及能效等级》（GB28380）</w:t>
            </w:r>
          </w:p>
        </w:tc>
      </w:tr>
      <w:tr w14:paraId="215D7957">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6168E2F1">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77A6B58F">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vAlign w:val="center"/>
          </w:tcPr>
          <w:p w14:paraId="7BB6A9A2">
            <w:pPr>
              <w:widowControl/>
              <w:jc w:val="center"/>
              <w:rPr>
                <w:rFonts w:hint="eastAsia" w:ascii="宋体" w:hAnsi="宋体" w:cs="宋体"/>
                <w:kern w:val="0"/>
                <w:szCs w:val="21"/>
              </w:rPr>
            </w:pPr>
            <w:r>
              <w:rPr>
                <w:rFonts w:hint="eastAsia" w:ascii="宋体" w:hAnsi="宋体" w:cs="宋体"/>
                <w:kern w:val="0"/>
                <w:szCs w:val="21"/>
              </w:rPr>
              <w:t>★A02010107平板式微型计算机</w:t>
            </w:r>
          </w:p>
        </w:tc>
        <w:tc>
          <w:tcPr>
            <w:tcW w:w="1620" w:type="dxa"/>
            <w:tcBorders>
              <w:top w:val="nil"/>
              <w:left w:val="nil"/>
              <w:bottom w:val="single" w:color="000000" w:sz="8" w:space="0"/>
              <w:right w:val="single" w:color="000000" w:sz="8" w:space="0"/>
            </w:tcBorders>
            <w:vAlign w:val="center"/>
          </w:tcPr>
          <w:p w14:paraId="7BDD2147">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2EDE27DD">
            <w:pPr>
              <w:widowControl/>
              <w:jc w:val="left"/>
              <w:rPr>
                <w:rFonts w:hint="eastAsia" w:ascii="宋体" w:hAnsi="宋体" w:cs="宋体"/>
                <w:kern w:val="0"/>
                <w:szCs w:val="21"/>
              </w:rPr>
            </w:pPr>
            <w:r>
              <w:rPr>
                <w:rFonts w:hint="eastAsia" w:ascii="宋体" w:hAnsi="宋体" w:cs="宋体"/>
                <w:kern w:val="0"/>
                <w:szCs w:val="21"/>
              </w:rPr>
              <w:t>《微型计算机能效限定值及能效等级》（GB28380）</w:t>
            </w:r>
          </w:p>
        </w:tc>
      </w:tr>
      <w:tr w14:paraId="002B752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0382BC9F">
            <w:pPr>
              <w:widowControl/>
              <w:jc w:val="center"/>
              <w:rPr>
                <w:rFonts w:hint="eastAsia" w:ascii="宋体" w:hAnsi="宋体" w:cs="宋体"/>
                <w:kern w:val="0"/>
                <w:szCs w:val="21"/>
              </w:rPr>
            </w:pPr>
            <w:r>
              <w:rPr>
                <w:rFonts w:hint="eastAsia" w:ascii="宋体" w:hAnsi="宋体" w:cs="宋体"/>
                <w:kern w:val="0"/>
                <w:szCs w:val="21"/>
              </w:rPr>
              <w:t>2</w:t>
            </w:r>
          </w:p>
        </w:tc>
        <w:tc>
          <w:tcPr>
            <w:tcW w:w="1080" w:type="dxa"/>
            <w:vMerge w:val="restart"/>
            <w:tcBorders>
              <w:top w:val="nil"/>
              <w:left w:val="single" w:color="000000" w:sz="8" w:space="0"/>
              <w:bottom w:val="single" w:color="000000" w:sz="8" w:space="0"/>
              <w:right w:val="single" w:color="000000" w:sz="8" w:space="0"/>
            </w:tcBorders>
            <w:vAlign w:val="center"/>
          </w:tcPr>
          <w:p w14:paraId="43897290">
            <w:pPr>
              <w:widowControl/>
              <w:jc w:val="center"/>
              <w:rPr>
                <w:rFonts w:hint="eastAsia" w:ascii="宋体" w:hAnsi="宋体" w:cs="宋体"/>
                <w:kern w:val="0"/>
                <w:szCs w:val="21"/>
              </w:rPr>
            </w:pPr>
            <w:r>
              <w:rPr>
                <w:rFonts w:hint="eastAsia" w:ascii="宋体" w:hAnsi="宋体" w:cs="宋体"/>
                <w:kern w:val="0"/>
                <w:szCs w:val="21"/>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5128343E">
            <w:pPr>
              <w:widowControl/>
              <w:jc w:val="center"/>
              <w:rPr>
                <w:rFonts w:hint="eastAsia" w:ascii="宋体" w:hAnsi="宋体" w:cs="宋体"/>
                <w:kern w:val="0"/>
                <w:szCs w:val="21"/>
              </w:rPr>
            </w:pPr>
            <w:r>
              <w:rPr>
                <w:rFonts w:hint="eastAsia" w:ascii="宋体" w:hAnsi="宋体" w:cs="宋体"/>
                <w:kern w:val="0"/>
                <w:szCs w:val="21"/>
              </w:rPr>
              <w:t>A02010601打印设备</w:t>
            </w:r>
          </w:p>
        </w:tc>
        <w:tc>
          <w:tcPr>
            <w:tcW w:w="1620" w:type="dxa"/>
            <w:tcBorders>
              <w:top w:val="nil"/>
              <w:left w:val="nil"/>
              <w:bottom w:val="single" w:color="000000" w:sz="8" w:space="0"/>
              <w:right w:val="single" w:color="000000" w:sz="8" w:space="0"/>
            </w:tcBorders>
            <w:vAlign w:val="center"/>
          </w:tcPr>
          <w:p w14:paraId="70531A5E">
            <w:pPr>
              <w:widowControl/>
              <w:jc w:val="center"/>
              <w:rPr>
                <w:rFonts w:hint="eastAsia" w:ascii="宋体" w:hAnsi="宋体" w:cs="宋体"/>
                <w:kern w:val="0"/>
                <w:szCs w:val="21"/>
              </w:rPr>
            </w:pPr>
            <w:r>
              <w:rPr>
                <w:rFonts w:hint="eastAsia" w:ascii="宋体" w:hAnsi="宋体" w:cs="宋体"/>
                <w:kern w:val="0"/>
                <w:szCs w:val="21"/>
              </w:rPr>
              <w:t>A0201060101喷墨打印机</w:t>
            </w:r>
          </w:p>
        </w:tc>
        <w:tc>
          <w:tcPr>
            <w:tcW w:w="4540" w:type="dxa"/>
            <w:tcBorders>
              <w:top w:val="nil"/>
              <w:left w:val="nil"/>
              <w:bottom w:val="single" w:color="000000" w:sz="8" w:space="0"/>
              <w:right w:val="single" w:color="000000" w:sz="8" w:space="0"/>
            </w:tcBorders>
            <w:vAlign w:val="center"/>
          </w:tcPr>
          <w:p w14:paraId="173A5C40">
            <w:pPr>
              <w:widowControl/>
              <w:jc w:val="left"/>
              <w:rPr>
                <w:rFonts w:hint="eastAsia" w:ascii="宋体" w:hAnsi="宋体" w:cs="宋体"/>
                <w:kern w:val="0"/>
                <w:szCs w:val="21"/>
              </w:rPr>
            </w:pPr>
            <w:r>
              <w:rPr>
                <w:rFonts w:hint="eastAsia" w:ascii="宋体" w:hAnsi="宋体" w:cs="宋体"/>
                <w:kern w:val="0"/>
                <w:szCs w:val="21"/>
              </w:rPr>
              <w:t>《复印机、打印机和传真机能效限定值及能效等级》（GB21521）</w:t>
            </w:r>
          </w:p>
        </w:tc>
      </w:tr>
      <w:tr w14:paraId="485A6CE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9B5566D">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2B840498">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1D43EB76">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vAlign w:val="center"/>
          </w:tcPr>
          <w:p w14:paraId="62AE0E20">
            <w:pPr>
              <w:widowControl/>
              <w:jc w:val="center"/>
              <w:rPr>
                <w:rFonts w:hint="eastAsia" w:ascii="宋体" w:hAnsi="宋体" w:cs="宋体"/>
                <w:kern w:val="0"/>
                <w:szCs w:val="21"/>
              </w:rPr>
            </w:pPr>
            <w:r>
              <w:rPr>
                <w:rFonts w:hint="eastAsia" w:ascii="宋体" w:hAnsi="宋体" w:cs="宋体"/>
                <w:kern w:val="0"/>
                <w:szCs w:val="21"/>
              </w:rPr>
              <w:t>★A0201060102激光打印机</w:t>
            </w:r>
          </w:p>
        </w:tc>
        <w:tc>
          <w:tcPr>
            <w:tcW w:w="4540" w:type="dxa"/>
            <w:tcBorders>
              <w:top w:val="nil"/>
              <w:left w:val="nil"/>
              <w:bottom w:val="single" w:color="000000" w:sz="8" w:space="0"/>
              <w:right w:val="single" w:color="000000" w:sz="8" w:space="0"/>
            </w:tcBorders>
            <w:vAlign w:val="center"/>
          </w:tcPr>
          <w:p w14:paraId="1F5B33AF">
            <w:pPr>
              <w:widowControl/>
              <w:jc w:val="left"/>
              <w:rPr>
                <w:rFonts w:hint="eastAsia" w:ascii="宋体" w:hAnsi="宋体" w:cs="宋体"/>
                <w:kern w:val="0"/>
                <w:szCs w:val="21"/>
              </w:rPr>
            </w:pPr>
            <w:r>
              <w:rPr>
                <w:rFonts w:hint="eastAsia" w:ascii="宋体" w:hAnsi="宋体" w:cs="宋体"/>
                <w:kern w:val="0"/>
                <w:szCs w:val="21"/>
              </w:rPr>
              <w:t>《复印机、打印机和传真机能效限定值及能效等级》（GB21521）</w:t>
            </w:r>
          </w:p>
        </w:tc>
      </w:tr>
      <w:tr w14:paraId="270B9A3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E2F87DD">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16A14C52">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0A7CBF13">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vAlign w:val="center"/>
          </w:tcPr>
          <w:p w14:paraId="2B15F64F">
            <w:pPr>
              <w:widowControl/>
              <w:jc w:val="center"/>
              <w:rPr>
                <w:rFonts w:hint="eastAsia" w:ascii="宋体" w:hAnsi="宋体" w:cs="宋体"/>
                <w:kern w:val="0"/>
                <w:szCs w:val="21"/>
              </w:rPr>
            </w:pPr>
            <w:r>
              <w:rPr>
                <w:rFonts w:hint="eastAsia" w:ascii="宋体" w:hAnsi="宋体" w:cs="宋体"/>
                <w:kern w:val="0"/>
                <w:szCs w:val="21"/>
              </w:rPr>
              <w:t>★A0201060104针式打印机</w:t>
            </w:r>
          </w:p>
        </w:tc>
        <w:tc>
          <w:tcPr>
            <w:tcW w:w="4540" w:type="dxa"/>
            <w:tcBorders>
              <w:top w:val="nil"/>
              <w:left w:val="nil"/>
              <w:bottom w:val="single" w:color="000000" w:sz="8" w:space="0"/>
              <w:right w:val="single" w:color="000000" w:sz="8" w:space="0"/>
            </w:tcBorders>
            <w:vAlign w:val="center"/>
          </w:tcPr>
          <w:p w14:paraId="1A7FC00B">
            <w:pPr>
              <w:widowControl/>
              <w:jc w:val="left"/>
              <w:rPr>
                <w:rFonts w:hint="eastAsia" w:ascii="宋体" w:hAnsi="宋体" w:cs="宋体"/>
                <w:kern w:val="0"/>
                <w:szCs w:val="21"/>
              </w:rPr>
            </w:pPr>
            <w:r>
              <w:rPr>
                <w:rFonts w:hint="eastAsia" w:ascii="宋体" w:hAnsi="宋体" w:cs="宋体"/>
                <w:kern w:val="0"/>
                <w:szCs w:val="21"/>
              </w:rPr>
              <w:t>《复印机、打印机和传真机能效限定值及能效等级》（GB21521）</w:t>
            </w:r>
          </w:p>
        </w:tc>
      </w:tr>
      <w:tr w14:paraId="44F0F50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C03FA15">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01CA4EB8">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vAlign w:val="center"/>
          </w:tcPr>
          <w:p w14:paraId="221E56A4">
            <w:pPr>
              <w:widowControl/>
              <w:jc w:val="center"/>
              <w:rPr>
                <w:rFonts w:hint="eastAsia" w:ascii="宋体" w:hAnsi="宋体" w:cs="宋体"/>
                <w:kern w:val="0"/>
                <w:szCs w:val="21"/>
              </w:rPr>
            </w:pPr>
            <w:r>
              <w:rPr>
                <w:rFonts w:hint="eastAsia" w:ascii="宋体" w:hAnsi="宋体" w:cs="宋体"/>
                <w:kern w:val="0"/>
                <w:szCs w:val="21"/>
              </w:rPr>
              <w:t>A02010604显示设备</w:t>
            </w:r>
          </w:p>
        </w:tc>
        <w:tc>
          <w:tcPr>
            <w:tcW w:w="1620" w:type="dxa"/>
            <w:tcBorders>
              <w:top w:val="nil"/>
              <w:left w:val="nil"/>
              <w:bottom w:val="single" w:color="000000" w:sz="8" w:space="0"/>
              <w:right w:val="single" w:color="000000" w:sz="8" w:space="0"/>
            </w:tcBorders>
            <w:vAlign w:val="center"/>
          </w:tcPr>
          <w:p w14:paraId="7D650342">
            <w:pPr>
              <w:widowControl/>
              <w:jc w:val="center"/>
              <w:rPr>
                <w:rFonts w:hint="eastAsia" w:ascii="宋体" w:hAnsi="宋体" w:cs="宋体"/>
                <w:kern w:val="0"/>
                <w:szCs w:val="21"/>
              </w:rPr>
            </w:pPr>
            <w:r>
              <w:rPr>
                <w:rFonts w:hint="eastAsia" w:ascii="宋体" w:hAnsi="宋体" w:cs="宋体"/>
                <w:kern w:val="0"/>
                <w:szCs w:val="21"/>
              </w:rPr>
              <w:t>★A0201060401液晶显示器</w:t>
            </w:r>
          </w:p>
        </w:tc>
        <w:tc>
          <w:tcPr>
            <w:tcW w:w="4540" w:type="dxa"/>
            <w:tcBorders>
              <w:top w:val="nil"/>
              <w:left w:val="nil"/>
              <w:bottom w:val="single" w:color="000000" w:sz="8" w:space="0"/>
              <w:right w:val="single" w:color="000000" w:sz="8" w:space="0"/>
            </w:tcBorders>
            <w:vAlign w:val="center"/>
          </w:tcPr>
          <w:p w14:paraId="2D45DD91">
            <w:pPr>
              <w:widowControl/>
              <w:jc w:val="left"/>
              <w:rPr>
                <w:rFonts w:hint="eastAsia" w:ascii="宋体" w:hAnsi="宋体" w:cs="宋体"/>
                <w:kern w:val="0"/>
                <w:szCs w:val="21"/>
              </w:rPr>
            </w:pPr>
            <w:r>
              <w:rPr>
                <w:rFonts w:hint="eastAsia" w:ascii="宋体" w:hAnsi="宋体" w:cs="宋体"/>
                <w:kern w:val="0"/>
                <w:szCs w:val="21"/>
              </w:rPr>
              <w:t>《计算机显示器能效限定值及能效等级》（GB21520）</w:t>
            </w:r>
          </w:p>
        </w:tc>
      </w:tr>
      <w:tr w14:paraId="2CAD7908">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5415C08F">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1034650E">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vAlign w:val="center"/>
          </w:tcPr>
          <w:p w14:paraId="6724781F">
            <w:pPr>
              <w:widowControl/>
              <w:jc w:val="center"/>
              <w:rPr>
                <w:rFonts w:hint="eastAsia" w:ascii="宋体" w:hAnsi="宋体" w:cs="宋体"/>
                <w:kern w:val="0"/>
                <w:szCs w:val="21"/>
              </w:rPr>
            </w:pPr>
            <w:r>
              <w:rPr>
                <w:rFonts w:hint="eastAsia" w:ascii="宋体" w:hAnsi="宋体" w:cs="宋体"/>
                <w:kern w:val="0"/>
                <w:szCs w:val="21"/>
              </w:rPr>
              <w:t>A02010609图形图像输入设备</w:t>
            </w:r>
          </w:p>
        </w:tc>
        <w:tc>
          <w:tcPr>
            <w:tcW w:w="1620" w:type="dxa"/>
            <w:tcBorders>
              <w:top w:val="nil"/>
              <w:left w:val="nil"/>
              <w:bottom w:val="single" w:color="000000" w:sz="8" w:space="0"/>
              <w:right w:val="single" w:color="000000" w:sz="8" w:space="0"/>
            </w:tcBorders>
            <w:vAlign w:val="center"/>
          </w:tcPr>
          <w:p w14:paraId="706B830A">
            <w:pPr>
              <w:widowControl/>
              <w:jc w:val="center"/>
              <w:rPr>
                <w:rFonts w:hint="eastAsia" w:ascii="宋体" w:hAnsi="宋体" w:cs="宋体"/>
                <w:kern w:val="0"/>
                <w:szCs w:val="21"/>
              </w:rPr>
            </w:pPr>
            <w:r>
              <w:rPr>
                <w:rFonts w:hint="eastAsia" w:ascii="宋体" w:hAnsi="宋体" w:cs="宋体"/>
                <w:kern w:val="0"/>
                <w:szCs w:val="21"/>
              </w:rPr>
              <w:t>A0201060901扫描仪</w:t>
            </w:r>
          </w:p>
        </w:tc>
        <w:tc>
          <w:tcPr>
            <w:tcW w:w="4540" w:type="dxa"/>
            <w:tcBorders>
              <w:top w:val="nil"/>
              <w:left w:val="nil"/>
              <w:bottom w:val="single" w:color="000000" w:sz="8" w:space="0"/>
              <w:right w:val="single" w:color="000000" w:sz="8" w:space="0"/>
            </w:tcBorders>
            <w:vAlign w:val="center"/>
          </w:tcPr>
          <w:p w14:paraId="5FDCBBE1">
            <w:pPr>
              <w:widowControl/>
              <w:jc w:val="left"/>
              <w:rPr>
                <w:rFonts w:hint="eastAsia" w:ascii="宋体" w:hAnsi="宋体" w:cs="宋体"/>
                <w:kern w:val="0"/>
                <w:szCs w:val="21"/>
              </w:rPr>
            </w:pPr>
            <w:r>
              <w:rPr>
                <w:rFonts w:hint="eastAsia" w:ascii="宋体" w:hAnsi="宋体" w:cs="宋体"/>
                <w:kern w:val="0"/>
                <w:szCs w:val="21"/>
              </w:rPr>
              <w:t>参照《复印机、打印机和传真机能效限定值及能效等级》（GB21521中打印速度为15页/分的针式打印机相关要求中打印速度为15页/分的针式打印机相关要求</w:t>
            </w:r>
          </w:p>
        </w:tc>
      </w:tr>
      <w:tr w14:paraId="0AC4D07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5606549">
            <w:pPr>
              <w:widowControl/>
              <w:jc w:val="center"/>
              <w:rPr>
                <w:rFonts w:hint="eastAsia" w:ascii="宋体" w:hAnsi="宋体" w:cs="宋体"/>
                <w:kern w:val="0"/>
                <w:szCs w:val="21"/>
              </w:rPr>
            </w:pPr>
            <w:r>
              <w:rPr>
                <w:rFonts w:hint="eastAsia" w:ascii="宋体" w:hAnsi="宋体" w:cs="宋体"/>
                <w:kern w:val="0"/>
                <w:szCs w:val="21"/>
              </w:rPr>
              <w:t>3</w:t>
            </w:r>
          </w:p>
        </w:tc>
        <w:tc>
          <w:tcPr>
            <w:tcW w:w="1080" w:type="dxa"/>
            <w:tcBorders>
              <w:top w:val="nil"/>
              <w:left w:val="nil"/>
              <w:bottom w:val="single" w:color="000000" w:sz="8" w:space="0"/>
              <w:right w:val="single" w:color="000000" w:sz="8" w:space="0"/>
            </w:tcBorders>
            <w:vAlign w:val="center"/>
          </w:tcPr>
          <w:p w14:paraId="4C90D7C0">
            <w:pPr>
              <w:widowControl/>
              <w:jc w:val="center"/>
              <w:rPr>
                <w:rFonts w:hint="eastAsia" w:ascii="宋体" w:hAnsi="宋体" w:cs="宋体"/>
                <w:kern w:val="0"/>
                <w:szCs w:val="21"/>
              </w:rPr>
            </w:pPr>
            <w:r>
              <w:rPr>
                <w:rFonts w:hint="eastAsia" w:ascii="宋体" w:hAnsi="宋体" w:cs="宋体"/>
                <w:kern w:val="0"/>
                <w:szCs w:val="21"/>
              </w:rPr>
              <w:t>A020202投影仪</w:t>
            </w:r>
          </w:p>
        </w:tc>
        <w:tc>
          <w:tcPr>
            <w:tcW w:w="1320" w:type="dxa"/>
            <w:tcBorders>
              <w:top w:val="nil"/>
              <w:left w:val="nil"/>
              <w:bottom w:val="single" w:color="000000" w:sz="8" w:space="0"/>
              <w:right w:val="single" w:color="000000" w:sz="8" w:space="0"/>
            </w:tcBorders>
            <w:vAlign w:val="center"/>
          </w:tcPr>
          <w:p w14:paraId="2ACFB1DF">
            <w:pPr>
              <w:widowControl/>
              <w:jc w:val="center"/>
              <w:rPr>
                <w:rFonts w:hint="eastAsia" w:ascii="宋体" w:hAnsi="宋体" w:cs="宋体"/>
                <w:kern w:val="0"/>
                <w:szCs w:val="21"/>
              </w:rPr>
            </w:pPr>
            <w:r>
              <w:rPr>
                <w:rFonts w:hint="eastAsia" w:ascii="宋体" w:hAnsi="宋体" w:cs="宋体"/>
                <w:kern w:val="0"/>
                <w:szCs w:val="21"/>
              </w:rPr>
              <w:t>　</w:t>
            </w:r>
          </w:p>
        </w:tc>
        <w:tc>
          <w:tcPr>
            <w:tcW w:w="1620" w:type="dxa"/>
            <w:tcBorders>
              <w:top w:val="nil"/>
              <w:left w:val="nil"/>
              <w:bottom w:val="single" w:color="000000" w:sz="8" w:space="0"/>
              <w:right w:val="single" w:color="000000" w:sz="8" w:space="0"/>
            </w:tcBorders>
            <w:vAlign w:val="center"/>
          </w:tcPr>
          <w:p w14:paraId="2280BD1E">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6307607B">
            <w:pPr>
              <w:widowControl/>
              <w:jc w:val="left"/>
              <w:rPr>
                <w:rFonts w:hint="eastAsia" w:ascii="宋体" w:hAnsi="宋体" w:cs="宋体"/>
                <w:kern w:val="0"/>
                <w:szCs w:val="21"/>
              </w:rPr>
            </w:pPr>
            <w:r>
              <w:rPr>
                <w:rFonts w:hint="eastAsia" w:ascii="宋体" w:hAnsi="宋体" w:cs="宋体"/>
                <w:kern w:val="0"/>
                <w:szCs w:val="21"/>
              </w:rPr>
              <w:t>《投影机能效限定值及能效等级》（GB32028）</w:t>
            </w:r>
          </w:p>
        </w:tc>
      </w:tr>
      <w:tr w14:paraId="4CCF34D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B56748A">
            <w:pPr>
              <w:widowControl/>
              <w:jc w:val="center"/>
              <w:rPr>
                <w:rFonts w:hint="eastAsia" w:ascii="宋体" w:hAnsi="宋体" w:cs="宋体"/>
                <w:kern w:val="0"/>
                <w:szCs w:val="21"/>
              </w:rPr>
            </w:pPr>
            <w:r>
              <w:rPr>
                <w:rFonts w:hint="eastAsia" w:ascii="宋体" w:hAnsi="宋体" w:cs="宋体"/>
                <w:kern w:val="0"/>
                <w:szCs w:val="21"/>
              </w:rPr>
              <w:t>4</w:t>
            </w:r>
          </w:p>
        </w:tc>
        <w:tc>
          <w:tcPr>
            <w:tcW w:w="1080" w:type="dxa"/>
            <w:tcBorders>
              <w:top w:val="nil"/>
              <w:left w:val="nil"/>
              <w:bottom w:val="single" w:color="000000" w:sz="8" w:space="0"/>
              <w:right w:val="single" w:color="000000" w:sz="8" w:space="0"/>
            </w:tcBorders>
            <w:vAlign w:val="center"/>
          </w:tcPr>
          <w:p w14:paraId="2D7C83FA">
            <w:pPr>
              <w:widowControl/>
              <w:jc w:val="center"/>
              <w:rPr>
                <w:rFonts w:hint="eastAsia" w:ascii="宋体" w:hAnsi="宋体" w:cs="宋体"/>
                <w:kern w:val="0"/>
                <w:szCs w:val="21"/>
              </w:rPr>
            </w:pPr>
            <w:r>
              <w:rPr>
                <w:rFonts w:hint="eastAsia" w:ascii="宋体" w:hAnsi="宋体" w:cs="宋体"/>
                <w:kern w:val="0"/>
                <w:szCs w:val="21"/>
              </w:rPr>
              <w:t>A020204多功能一体机</w:t>
            </w:r>
          </w:p>
        </w:tc>
        <w:tc>
          <w:tcPr>
            <w:tcW w:w="1320" w:type="dxa"/>
            <w:tcBorders>
              <w:top w:val="nil"/>
              <w:left w:val="nil"/>
              <w:bottom w:val="single" w:color="000000" w:sz="8" w:space="0"/>
              <w:right w:val="single" w:color="000000" w:sz="8" w:space="0"/>
            </w:tcBorders>
            <w:vAlign w:val="center"/>
          </w:tcPr>
          <w:p w14:paraId="503A0AF7">
            <w:pPr>
              <w:widowControl/>
              <w:jc w:val="center"/>
              <w:rPr>
                <w:rFonts w:hint="eastAsia" w:ascii="宋体" w:hAnsi="宋体" w:cs="宋体"/>
                <w:kern w:val="0"/>
                <w:szCs w:val="21"/>
              </w:rPr>
            </w:pPr>
            <w:r>
              <w:rPr>
                <w:rFonts w:hint="eastAsia" w:ascii="宋体" w:hAnsi="宋体" w:cs="宋体"/>
                <w:kern w:val="0"/>
                <w:szCs w:val="21"/>
              </w:rPr>
              <w:t>　</w:t>
            </w:r>
          </w:p>
        </w:tc>
        <w:tc>
          <w:tcPr>
            <w:tcW w:w="1620" w:type="dxa"/>
            <w:tcBorders>
              <w:top w:val="nil"/>
              <w:left w:val="nil"/>
              <w:bottom w:val="single" w:color="000000" w:sz="8" w:space="0"/>
              <w:right w:val="single" w:color="000000" w:sz="8" w:space="0"/>
            </w:tcBorders>
            <w:vAlign w:val="center"/>
          </w:tcPr>
          <w:p w14:paraId="1780F05E">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5474073C">
            <w:pPr>
              <w:widowControl/>
              <w:jc w:val="left"/>
              <w:rPr>
                <w:rFonts w:hint="eastAsia" w:ascii="宋体" w:hAnsi="宋体" w:cs="宋体"/>
                <w:kern w:val="0"/>
                <w:szCs w:val="21"/>
              </w:rPr>
            </w:pPr>
            <w:r>
              <w:rPr>
                <w:rFonts w:hint="eastAsia" w:ascii="宋体" w:hAnsi="宋体" w:cs="宋体"/>
                <w:kern w:val="0"/>
                <w:szCs w:val="21"/>
              </w:rPr>
              <w:t>《复印机、打印机和传真机能效限定值及能效等级》（GB21521）</w:t>
            </w:r>
          </w:p>
        </w:tc>
      </w:tr>
      <w:tr w14:paraId="2C596EB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FE8E69E">
            <w:pPr>
              <w:widowControl/>
              <w:jc w:val="center"/>
              <w:rPr>
                <w:rFonts w:hint="eastAsia" w:ascii="宋体" w:hAnsi="宋体" w:cs="宋体"/>
                <w:kern w:val="0"/>
                <w:szCs w:val="21"/>
              </w:rPr>
            </w:pPr>
            <w:r>
              <w:rPr>
                <w:rFonts w:hint="eastAsia" w:ascii="宋体" w:hAnsi="宋体" w:cs="宋体"/>
                <w:kern w:val="0"/>
                <w:szCs w:val="21"/>
              </w:rPr>
              <w:t>5</w:t>
            </w:r>
          </w:p>
        </w:tc>
        <w:tc>
          <w:tcPr>
            <w:tcW w:w="1080" w:type="dxa"/>
            <w:tcBorders>
              <w:top w:val="nil"/>
              <w:left w:val="nil"/>
              <w:bottom w:val="single" w:color="000000" w:sz="8" w:space="0"/>
              <w:right w:val="single" w:color="000000" w:sz="8" w:space="0"/>
            </w:tcBorders>
            <w:vAlign w:val="center"/>
          </w:tcPr>
          <w:p w14:paraId="5C09A4C9">
            <w:pPr>
              <w:widowControl/>
              <w:jc w:val="center"/>
              <w:rPr>
                <w:rFonts w:hint="eastAsia" w:ascii="宋体" w:hAnsi="宋体" w:cs="宋体"/>
                <w:kern w:val="0"/>
                <w:szCs w:val="21"/>
              </w:rPr>
            </w:pPr>
            <w:r>
              <w:rPr>
                <w:rFonts w:hint="eastAsia" w:ascii="宋体" w:hAnsi="宋体" w:cs="宋体"/>
                <w:kern w:val="0"/>
                <w:szCs w:val="21"/>
              </w:rPr>
              <w:t>A020519泵</w:t>
            </w:r>
          </w:p>
        </w:tc>
        <w:tc>
          <w:tcPr>
            <w:tcW w:w="1320" w:type="dxa"/>
            <w:tcBorders>
              <w:top w:val="nil"/>
              <w:left w:val="nil"/>
              <w:bottom w:val="single" w:color="000000" w:sz="8" w:space="0"/>
              <w:right w:val="single" w:color="000000" w:sz="8" w:space="0"/>
            </w:tcBorders>
            <w:vAlign w:val="center"/>
          </w:tcPr>
          <w:p w14:paraId="05468CB4">
            <w:pPr>
              <w:widowControl/>
              <w:jc w:val="center"/>
              <w:rPr>
                <w:rFonts w:hint="eastAsia" w:ascii="宋体" w:hAnsi="宋体" w:cs="宋体"/>
                <w:kern w:val="0"/>
                <w:szCs w:val="21"/>
              </w:rPr>
            </w:pPr>
            <w:r>
              <w:rPr>
                <w:rFonts w:hint="eastAsia" w:ascii="宋体" w:hAnsi="宋体" w:cs="宋体"/>
                <w:kern w:val="0"/>
                <w:szCs w:val="21"/>
              </w:rPr>
              <w:t>A02051901离心泵</w:t>
            </w:r>
          </w:p>
        </w:tc>
        <w:tc>
          <w:tcPr>
            <w:tcW w:w="1620" w:type="dxa"/>
            <w:tcBorders>
              <w:top w:val="nil"/>
              <w:left w:val="nil"/>
              <w:bottom w:val="single" w:color="000000" w:sz="8" w:space="0"/>
              <w:right w:val="single" w:color="000000" w:sz="8" w:space="0"/>
            </w:tcBorders>
            <w:vAlign w:val="center"/>
          </w:tcPr>
          <w:p w14:paraId="086850EC">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140AB169">
            <w:pPr>
              <w:widowControl/>
              <w:jc w:val="left"/>
              <w:rPr>
                <w:rFonts w:hint="eastAsia" w:ascii="宋体" w:hAnsi="宋体" w:cs="宋体"/>
                <w:kern w:val="0"/>
                <w:szCs w:val="21"/>
              </w:rPr>
            </w:pPr>
            <w:r>
              <w:rPr>
                <w:rFonts w:hint="eastAsia" w:ascii="宋体" w:hAnsi="宋体" w:cs="宋体"/>
                <w:kern w:val="0"/>
                <w:szCs w:val="21"/>
              </w:rPr>
              <w:t>《清水离心泵能效限定值及节能评价值》（GB19762）</w:t>
            </w:r>
          </w:p>
        </w:tc>
      </w:tr>
      <w:tr w14:paraId="09DC3F95">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35A7C11D">
            <w:pPr>
              <w:widowControl/>
              <w:jc w:val="center"/>
              <w:rPr>
                <w:rFonts w:hint="eastAsia" w:ascii="宋体" w:hAnsi="宋体" w:cs="宋体"/>
                <w:kern w:val="0"/>
                <w:szCs w:val="21"/>
              </w:rPr>
            </w:pPr>
            <w:r>
              <w:rPr>
                <w:rFonts w:hint="eastAsia" w:ascii="宋体" w:hAnsi="宋体" w:cs="宋体"/>
                <w:kern w:val="0"/>
                <w:szCs w:val="21"/>
              </w:rPr>
              <w:t>6</w:t>
            </w:r>
          </w:p>
        </w:tc>
        <w:tc>
          <w:tcPr>
            <w:tcW w:w="1080" w:type="dxa"/>
            <w:vMerge w:val="restart"/>
            <w:tcBorders>
              <w:top w:val="nil"/>
              <w:left w:val="single" w:color="000000" w:sz="8" w:space="0"/>
              <w:bottom w:val="single" w:color="000000" w:sz="8" w:space="0"/>
              <w:right w:val="single" w:color="000000" w:sz="8" w:space="0"/>
            </w:tcBorders>
            <w:vAlign w:val="center"/>
          </w:tcPr>
          <w:p w14:paraId="579C06B4">
            <w:pPr>
              <w:widowControl/>
              <w:jc w:val="center"/>
              <w:rPr>
                <w:rFonts w:hint="eastAsia" w:ascii="宋体" w:hAnsi="宋体" w:cs="宋体"/>
                <w:kern w:val="0"/>
                <w:szCs w:val="21"/>
              </w:rPr>
            </w:pPr>
            <w:r>
              <w:rPr>
                <w:rFonts w:hint="eastAsia" w:ascii="宋体" w:hAnsi="宋体" w:cs="宋体"/>
                <w:kern w:val="0"/>
                <w:szCs w:val="21"/>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5602FC83">
            <w:pPr>
              <w:widowControl/>
              <w:jc w:val="center"/>
              <w:rPr>
                <w:rFonts w:hint="eastAsia" w:ascii="宋体" w:hAnsi="宋体" w:cs="宋体"/>
                <w:kern w:val="0"/>
                <w:szCs w:val="21"/>
              </w:rPr>
            </w:pPr>
            <w:r>
              <w:rPr>
                <w:rFonts w:hint="eastAsia" w:ascii="宋体" w:hAnsi="宋体" w:cs="宋体"/>
                <w:kern w:val="0"/>
                <w:szCs w:val="21"/>
              </w:rPr>
              <w:t>★A02052301制冷压缩机</w:t>
            </w:r>
          </w:p>
        </w:tc>
        <w:tc>
          <w:tcPr>
            <w:tcW w:w="1620" w:type="dxa"/>
            <w:tcBorders>
              <w:top w:val="nil"/>
              <w:left w:val="nil"/>
              <w:bottom w:val="single" w:color="000000" w:sz="8" w:space="0"/>
              <w:right w:val="single" w:color="000000" w:sz="8" w:space="0"/>
            </w:tcBorders>
            <w:vAlign w:val="center"/>
          </w:tcPr>
          <w:p w14:paraId="5ED888CA">
            <w:pPr>
              <w:widowControl/>
              <w:jc w:val="center"/>
              <w:rPr>
                <w:rFonts w:hint="eastAsia" w:ascii="宋体" w:hAnsi="宋体" w:cs="宋体"/>
                <w:kern w:val="0"/>
                <w:szCs w:val="21"/>
              </w:rPr>
            </w:pPr>
            <w:r>
              <w:rPr>
                <w:rFonts w:hint="eastAsia" w:ascii="宋体" w:hAnsi="宋体" w:cs="宋体"/>
                <w:kern w:val="0"/>
                <w:szCs w:val="21"/>
              </w:rPr>
              <w:t>冷水机组</w:t>
            </w:r>
          </w:p>
        </w:tc>
        <w:tc>
          <w:tcPr>
            <w:tcW w:w="4540" w:type="dxa"/>
            <w:tcBorders>
              <w:top w:val="nil"/>
              <w:left w:val="nil"/>
              <w:bottom w:val="single" w:color="000000" w:sz="8" w:space="0"/>
              <w:right w:val="single" w:color="000000" w:sz="8" w:space="0"/>
            </w:tcBorders>
            <w:vAlign w:val="center"/>
          </w:tcPr>
          <w:p w14:paraId="4B284672">
            <w:pPr>
              <w:widowControl/>
              <w:jc w:val="left"/>
              <w:rPr>
                <w:rFonts w:hint="eastAsia" w:ascii="宋体" w:hAnsi="宋体" w:cs="宋体"/>
                <w:kern w:val="0"/>
                <w:szCs w:val="21"/>
              </w:rPr>
            </w:pPr>
            <w:r>
              <w:rPr>
                <w:rFonts w:hint="eastAsia" w:ascii="宋体" w:hAnsi="宋体" w:cs="宋体"/>
                <w:kern w:val="0"/>
                <w:szCs w:val="21"/>
              </w:rPr>
              <w:t>《冷水机组能效限定值及能效等级》（GB19577），《低环境温度空气源热泵（冷水）机组能效限定值及能效等级》（GB37480）</w:t>
            </w:r>
          </w:p>
        </w:tc>
      </w:tr>
      <w:tr w14:paraId="5345C84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D284D6E">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15A4A9C6">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310A5857">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vAlign w:val="center"/>
          </w:tcPr>
          <w:p w14:paraId="36B685BB">
            <w:pPr>
              <w:widowControl/>
              <w:jc w:val="center"/>
              <w:rPr>
                <w:rFonts w:hint="eastAsia" w:ascii="宋体" w:hAnsi="宋体" w:cs="宋体"/>
                <w:kern w:val="0"/>
                <w:szCs w:val="21"/>
              </w:rPr>
            </w:pPr>
            <w:r>
              <w:rPr>
                <w:rFonts w:hint="eastAsia" w:ascii="宋体" w:hAnsi="宋体" w:cs="宋体"/>
                <w:kern w:val="0"/>
                <w:szCs w:val="21"/>
              </w:rPr>
              <w:t>水源热泵机组</w:t>
            </w:r>
          </w:p>
        </w:tc>
        <w:tc>
          <w:tcPr>
            <w:tcW w:w="4540" w:type="dxa"/>
            <w:tcBorders>
              <w:top w:val="nil"/>
              <w:left w:val="nil"/>
              <w:bottom w:val="single" w:color="000000" w:sz="8" w:space="0"/>
              <w:right w:val="single" w:color="000000" w:sz="8" w:space="0"/>
            </w:tcBorders>
            <w:vAlign w:val="center"/>
          </w:tcPr>
          <w:p w14:paraId="419DBE82">
            <w:pPr>
              <w:widowControl/>
              <w:jc w:val="left"/>
              <w:rPr>
                <w:rFonts w:hint="eastAsia" w:ascii="宋体" w:hAnsi="宋体" w:cs="宋体"/>
                <w:kern w:val="0"/>
                <w:szCs w:val="21"/>
              </w:rPr>
            </w:pPr>
            <w:r>
              <w:rPr>
                <w:rFonts w:hint="eastAsia" w:ascii="宋体" w:hAnsi="宋体" w:cs="宋体"/>
                <w:kern w:val="0"/>
                <w:szCs w:val="21"/>
              </w:rPr>
              <w:t>《水（地）源热泵机组能效限定值及能效等级》（GB30721）</w:t>
            </w:r>
          </w:p>
        </w:tc>
      </w:tr>
      <w:tr w14:paraId="12F6EF8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B550986">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71102A8A">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20020EFE">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vAlign w:val="center"/>
          </w:tcPr>
          <w:p w14:paraId="3E45E037">
            <w:pPr>
              <w:widowControl/>
              <w:jc w:val="center"/>
              <w:rPr>
                <w:rFonts w:hint="eastAsia" w:ascii="宋体" w:hAnsi="宋体" w:cs="宋体"/>
                <w:kern w:val="0"/>
                <w:szCs w:val="21"/>
              </w:rPr>
            </w:pPr>
            <w:r>
              <w:rPr>
                <w:rFonts w:hint="eastAsia" w:ascii="宋体" w:hAnsi="宋体" w:cs="宋体"/>
                <w:kern w:val="0"/>
                <w:szCs w:val="21"/>
              </w:rPr>
              <w:t>溴化锂吸收式冷水机组</w:t>
            </w:r>
          </w:p>
        </w:tc>
        <w:tc>
          <w:tcPr>
            <w:tcW w:w="4540" w:type="dxa"/>
            <w:tcBorders>
              <w:top w:val="nil"/>
              <w:left w:val="nil"/>
              <w:bottom w:val="single" w:color="000000" w:sz="8" w:space="0"/>
              <w:right w:val="single" w:color="000000" w:sz="8" w:space="0"/>
            </w:tcBorders>
            <w:vAlign w:val="center"/>
          </w:tcPr>
          <w:p w14:paraId="54A82149">
            <w:pPr>
              <w:widowControl/>
              <w:jc w:val="left"/>
              <w:rPr>
                <w:rFonts w:hint="eastAsia" w:ascii="宋体" w:hAnsi="宋体" w:cs="宋体"/>
                <w:kern w:val="0"/>
                <w:szCs w:val="21"/>
              </w:rPr>
            </w:pPr>
            <w:r>
              <w:rPr>
                <w:rFonts w:hint="eastAsia" w:ascii="宋体" w:hAnsi="宋体" w:cs="宋体"/>
                <w:kern w:val="0"/>
                <w:szCs w:val="21"/>
              </w:rPr>
              <w:t>《溴化锂吸收式冷水机组能效限定值及能效等级》（GB29540）</w:t>
            </w:r>
          </w:p>
        </w:tc>
      </w:tr>
      <w:tr w14:paraId="7AFCF2E7">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704362A6">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1C88C1EB">
            <w:pPr>
              <w:widowControl/>
              <w:jc w:val="left"/>
              <w:rPr>
                <w:rFonts w:ascii="宋体" w:hAnsi="宋体" w:cs="宋体"/>
                <w:kern w:val="0"/>
                <w:szCs w:val="21"/>
              </w:rPr>
            </w:pPr>
          </w:p>
        </w:tc>
        <w:tc>
          <w:tcPr>
            <w:tcW w:w="1320" w:type="dxa"/>
            <w:vMerge w:val="restart"/>
            <w:tcBorders>
              <w:top w:val="nil"/>
              <w:left w:val="single" w:color="000000" w:sz="8" w:space="0"/>
              <w:bottom w:val="single" w:color="000000" w:sz="8" w:space="0"/>
              <w:right w:val="single" w:color="000000" w:sz="8" w:space="0"/>
            </w:tcBorders>
            <w:vAlign w:val="center"/>
          </w:tcPr>
          <w:p w14:paraId="7CCB253F">
            <w:pPr>
              <w:widowControl/>
              <w:jc w:val="center"/>
              <w:rPr>
                <w:rFonts w:hint="eastAsia" w:ascii="宋体" w:hAnsi="宋体" w:cs="宋体"/>
                <w:kern w:val="0"/>
                <w:szCs w:val="21"/>
              </w:rPr>
            </w:pPr>
            <w:r>
              <w:rPr>
                <w:rFonts w:hint="eastAsia" w:ascii="宋体" w:hAnsi="宋体" w:cs="宋体"/>
                <w:kern w:val="0"/>
                <w:szCs w:val="21"/>
              </w:rPr>
              <w:t>★A02052305空调机组</w:t>
            </w:r>
          </w:p>
        </w:tc>
        <w:tc>
          <w:tcPr>
            <w:tcW w:w="1620" w:type="dxa"/>
            <w:tcBorders>
              <w:top w:val="nil"/>
              <w:left w:val="nil"/>
              <w:bottom w:val="single" w:color="000000" w:sz="8" w:space="0"/>
              <w:right w:val="single" w:color="000000" w:sz="8" w:space="0"/>
            </w:tcBorders>
            <w:vAlign w:val="center"/>
          </w:tcPr>
          <w:p w14:paraId="3D507966">
            <w:pPr>
              <w:widowControl/>
              <w:jc w:val="center"/>
              <w:rPr>
                <w:rFonts w:hint="eastAsia" w:ascii="宋体" w:hAnsi="宋体" w:cs="宋体"/>
                <w:kern w:val="0"/>
                <w:szCs w:val="21"/>
              </w:rPr>
            </w:pPr>
            <w:r>
              <w:rPr>
                <w:rFonts w:hint="eastAsia" w:ascii="宋体" w:hAnsi="宋体" w:cs="宋体"/>
                <w:kern w:val="0"/>
                <w:szCs w:val="21"/>
              </w:rPr>
              <w:t>多联式空调（热泵）机组(制冷量&gt;14000W)</w:t>
            </w:r>
          </w:p>
        </w:tc>
        <w:tc>
          <w:tcPr>
            <w:tcW w:w="4540" w:type="dxa"/>
            <w:tcBorders>
              <w:top w:val="nil"/>
              <w:left w:val="nil"/>
              <w:bottom w:val="single" w:color="000000" w:sz="8" w:space="0"/>
              <w:right w:val="single" w:color="000000" w:sz="8" w:space="0"/>
            </w:tcBorders>
            <w:vAlign w:val="center"/>
          </w:tcPr>
          <w:p w14:paraId="3C2A33B9">
            <w:pPr>
              <w:widowControl/>
              <w:jc w:val="left"/>
              <w:rPr>
                <w:rFonts w:hint="eastAsia" w:ascii="宋体" w:hAnsi="宋体" w:cs="宋体"/>
                <w:kern w:val="0"/>
                <w:szCs w:val="21"/>
              </w:rPr>
            </w:pPr>
            <w:r>
              <w:rPr>
                <w:rFonts w:hint="eastAsia" w:ascii="宋体" w:hAnsi="宋体" w:cs="宋体"/>
                <w:kern w:val="0"/>
                <w:szCs w:val="21"/>
              </w:rPr>
              <w:t>《多联式空调（热泵）机组能效限定值及能源效率等级》（GB21454）</w:t>
            </w:r>
          </w:p>
        </w:tc>
      </w:tr>
      <w:tr w14:paraId="6DBB68B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02F0A50E">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7FC010F4">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0B864422">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vAlign w:val="center"/>
          </w:tcPr>
          <w:p w14:paraId="08EF11F6">
            <w:pPr>
              <w:widowControl/>
              <w:jc w:val="center"/>
              <w:rPr>
                <w:rFonts w:hint="eastAsia" w:ascii="宋体" w:hAnsi="宋体" w:cs="宋体"/>
                <w:kern w:val="0"/>
                <w:szCs w:val="21"/>
              </w:rPr>
            </w:pPr>
            <w:r>
              <w:rPr>
                <w:rFonts w:hint="eastAsia" w:ascii="宋体" w:hAnsi="宋体" w:cs="宋体"/>
                <w:kern w:val="0"/>
                <w:szCs w:val="21"/>
              </w:rPr>
              <w:t>单元式空气调节机(制冷量&gt;14000W</w:t>
            </w:r>
          </w:p>
        </w:tc>
        <w:tc>
          <w:tcPr>
            <w:tcW w:w="4540" w:type="dxa"/>
            <w:tcBorders>
              <w:top w:val="nil"/>
              <w:left w:val="nil"/>
              <w:bottom w:val="single" w:color="000000" w:sz="8" w:space="0"/>
              <w:right w:val="single" w:color="000000" w:sz="8" w:space="0"/>
            </w:tcBorders>
            <w:vAlign w:val="center"/>
          </w:tcPr>
          <w:p w14:paraId="34182471">
            <w:pPr>
              <w:widowControl/>
              <w:jc w:val="left"/>
              <w:rPr>
                <w:rFonts w:hint="eastAsia" w:ascii="宋体" w:hAnsi="宋体" w:cs="宋体"/>
                <w:kern w:val="0"/>
                <w:szCs w:val="21"/>
              </w:rPr>
            </w:pPr>
            <w:r>
              <w:rPr>
                <w:rFonts w:hint="eastAsia" w:ascii="宋体" w:hAnsi="宋体" w:cs="宋体"/>
                <w:kern w:val="0"/>
                <w:szCs w:val="21"/>
              </w:rPr>
              <w:t>《单元式空气调节机能效限定值及能效等级》（GB19576）《风管送风式空调机组能效限定值及能效等级》（GB37479）</w:t>
            </w:r>
          </w:p>
        </w:tc>
      </w:tr>
      <w:tr w14:paraId="0848829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083D17B6">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4E9FE3F8">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vAlign w:val="center"/>
          </w:tcPr>
          <w:p w14:paraId="522EF4D1">
            <w:pPr>
              <w:widowControl/>
              <w:jc w:val="center"/>
              <w:rPr>
                <w:rFonts w:hint="eastAsia" w:ascii="宋体" w:hAnsi="宋体" w:cs="宋体"/>
                <w:kern w:val="0"/>
                <w:szCs w:val="21"/>
              </w:rPr>
            </w:pPr>
            <w:r>
              <w:rPr>
                <w:rFonts w:hint="eastAsia" w:ascii="宋体" w:hAnsi="宋体" w:cs="宋体"/>
                <w:kern w:val="0"/>
                <w:szCs w:val="21"/>
              </w:rPr>
              <w:t>★A02052309专用制冷、空调设备</w:t>
            </w:r>
          </w:p>
        </w:tc>
        <w:tc>
          <w:tcPr>
            <w:tcW w:w="1620" w:type="dxa"/>
            <w:tcBorders>
              <w:top w:val="nil"/>
              <w:left w:val="nil"/>
              <w:bottom w:val="single" w:color="000000" w:sz="8" w:space="0"/>
              <w:right w:val="single" w:color="000000" w:sz="8" w:space="0"/>
            </w:tcBorders>
            <w:vAlign w:val="center"/>
          </w:tcPr>
          <w:p w14:paraId="5CEFB448">
            <w:pPr>
              <w:widowControl/>
              <w:jc w:val="center"/>
              <w:rPr>
                <w:rFonts w:hint="eastAsia" w:ascii="宋体" w:hAnsi="宋体" w:cs="宋体"/>
                <w:kern w:val="0"/>
                <w:szCs w:val="21"/>
              </w:rPr>
            </w:pPr>
            <w:r>
              <w:rPr>
                <w:rFonts w:hint="eastAsia" w:ascii="宋体" w:hAnsi="宋体" w:cs="宋体"/>
                <w:kern w:val="0"/>
                <w:szCs w:val="21"/>
              </w:rPr>
              <w:t>机房空调</w:t>
            </w:r>
          </w:p>
        </w:tc>
        <w:tc>
          <w:tcPr>
            <w:tcW w:w="4540" w:type="dxa"/>
            <w:tcBorders>
              <w:top w:val="nil"/>
              <w:left w:val="nil"/>
              <w:bottom w:val="single" w:color="000000" w:sz="8" w:space="0"/>
              <w:right w:val="single" w:color="000000" w:sz="8" w:space="0"/>
            </w:tcBorders>
            <w:vAlign w:val="center"/>
          </w:tcPr>
          <w:p w14:paraId="3650589E">
            <w:pPr>
              <w:widowControl/>
              <w:jc w:val="left"/>
              <w:rPr>
                <w:rFonts w:hint="eastAsia" w:ascii="宋体" w:hAnsi="宋体" w:cs="宋体"/>
                <w:kern w:val="0"/>
                <w:szCs w:val="21"/>
              </w:rPr>
            </w:pPr>
            <w:r>
              <w:rPr>
                <w:rFonts w:hint="eastAsia" w:ascii="宋体" w:hAnsi="宋体" w:cs="宋体"/>
                <w:kern w:val="0"/>
                <w:szCs w:val="21"/>
              </w:rPr>
              <w:t>《单元式空气调节机能效限定值及能效等级》（GB19576）</w:t>
            </w:r>
          </w:p>
        </w:tc>
      </w:tr>
      <w:tr w14:paraId="6445C53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183C2D21">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18B85D56">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vAlign w:val="center"/>
          </w:tcPr>
          <w:p w14:paraId="4237E876">
            <w:pPr>
              <w:widowControl/>
              <w:jc w:val="center"/>
              <w:rPr>
                <w:rFonts w:hint="eastAsia" w:ascii="宋体" w:hAnsi="宋体" w:cs="宋体"/>
                <w:kern w:val="0"/>
                <w:szCs w:val="21"/>
              </w:rPr>
            </w:pPr>
            <w:r>
              <w:rPr>
                <w:rFonts w:hint="eastAsia" w:ascii="宋体" w:hAnsi="宋体" w:cs="宋体"/>
                <w:kern w:val="0"/>
                <w:szCs w:val="21"/>
              </w:rPr>
              <w:t>A02052399其他制冷空调设备</w:t>
            </w:r>
          </w:p>
        </w:tc>
        <w:tc>
          <w:tcPr>
            <w:tcW w:w="1620" w:type="dxa"/>
            <w:tcBorders>
              <w:top w:val="nil"/>
              <w:left w:val="nil"/>
              <w:bottom w:val="single" w:color="000000" w:sz="8" w:space="0"/>
              <w:right w:val="single" w:color="000000" w:sz="8" w:space="0"/>
            </w:tcBorders>
            <w:vAlign w:val="center"/>
          </w:tcPr>
          <w:p w14:paraId="6CB36798">
            <w:pPr>
              <w:widowControl/>
              <w:jc w:val="center"/>
              <w:rPr>
                <w:rFonts w:hint="eastAsia" w:ascii="宋体" w:hAnsi="宋体" w:cs="宋体"/>
                <w:kern w:val="0"/>
                <w:szCs w:val="21"/>
              </w:rPr>
            </w:pPr>
            <w:r>
              <w:rPr>
                <w:rFonts w:hint="eastAsia" w:ascii="宋体" w:hAnsi="宋体" w:cs="宋体"/>
                <w:kern w:val="0"/>
                <w:szCs w:val="21"/>
              </w:rPr>
              <w:t>冷却塔</w:t>
            </w:r>
          </w:p>
        </w:tc>
        <w:tc>
          <w:tcPr>
            <w:tcW w:w="4540" w:type="dxa"/>
            <w:tcBorders>
              <w:top w:val="nil"/>
              <w:left w:val="nil"/>
              <w:bottom w:val="single" w:color="000000" w:sz="8" w:space="0"/>
              <w:right w:val="single" w:color="000000" w:sz="8" w:space="0"/>
            </w:tcBorders>
            <w:vAlign w:val="center"/>
          </w:tcPr>
          <w:p w14:paraId="467E3A42">
            <w:pPr>
              <w:widowControl/>
              <w:jc w:val="left"/>
              <w:rPr>
                <w:rFonts w:hint="eastAsia" w:ascii="宋体" w:hAnsi="宋体" w:cs="宋体"/>
                <w:kern w:val="0"/>
                <w:szCs w:val="21"/>
              </w:rPr>
            </w:pPr>
            <w:r>
              <w:rPr>
                <w:rFonts w:hint="eastAsia" w:ascii="宋体" w:hAnsi="宋体" w:cs="宋体"/>
                <w:kern w:val="0"/>
                <w:szCs w:val="21"/>
              </w:rPr>
              <w:t>《机械通风冷却塔第1部分：中小型开式冷却塔》（GB/T7190.1）；《机械通风冷却塔第2部分：大型开式冷却塔》（GB/T7190.2）</w:t>
            </w:r>
          </w:p>
        </w:tc>
      </w:tr>
      <w:tr w14:paraId="4D862CB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FCB55A8">
            <w:pPr>
              <w:widowControl/>
              <w:jc w:val="center"/>
              <w:rPr>
                <w:rFonts w:hint="eastAsia" w:ascii="宋体" w:hAnsi="宋体" w:cs="宋体"/>
                <w:kern w:val="0"/>
                <w:szCs w:val="21"/>
              </w:rPr>
            </w:pPr>
            <w:r>
              <w:rPr>
                <w:rFonts w:hint="eastAsia" w:ascii="宋体" w:hAnsi="宋体" w:cs="宋体"/>
                <w:kern w:val="0"/>
                <w:szCs w:val="21"/>
              </w:rPr>
              <w:t>7</w:t>
            </w:r>
          </w:p>
        </w:tc>
        <w:tc>
          <w:tcPr>
            <w:tcW w:w="1080" w:type="dxa"/>
            <w:tcBorders>
              <w:top w:val="nil"/>
              <w:left w:val="nil"/>
              <w:bottom w:val="single" w:color="000000" w:sz="8" w:space="0"/>
              <w:right w:val="single" w:color="000000" w:sz="8" w:space="0"/>
            </w:tcBorders>
            <w:vAlign w:val="center"/>
          </w:tcPr>
          <w:p w14:paraId="3E11ADEB">
            <w:pPr>
              <w:widowControl/>
              <w:jc w:val="center"/>
              <w:rPr>
                <w:rFonts w:hint="eastAsia" w:ascii="宋体" w:hAnsi="宋体" w:cs="宋体"/>
                <w:kern w:val="0"/>
                <w:szCs w:val="21"/>
              </w:rPr>
            </w:pPr>
            <w:r>
              <w:rPr>
                <w:rFonts w:hint="eastAsia" w:ascii="宋体" w:hAnsi="宋体" w:cs="宋体"/>
                <w:kern w:val="0"/>
                <w:szCs w:val="21"/>
              </w:rPr>
              <w:t>A020601电机</w:t>
            </w:r>
          </w:p>
        </w:tc>
        <w:tc>
          <w:tcPr>
            <w:tcW w:w="1320" w:type="dxa"/>
            <w:tcBorders>
              <w:top w:val="nil"/>
              <w:left w:val="nil"/>
              <w:bottom w:val="single" w:color="000000" w:sz="8" w:space="0"/>
              <w:right w:val="single" w:color="000000" w:sz="8" w:space="0"/>
            </w:tcBorders>
            <w:vAlign w:val="center"/>
          </w:tcPr>
          <w:p w14:paraId="6D2F1020">
            <w:pPr>
              <w:widowControl/>
              <w:jc w:val="center"/>
              <w:rPr>
                <w:rFonts w:hint="eastAsia" w:ascii="宋体" w:hAnsi="宋体" w:cs="宋体"/>
                <w:kern w:val="0"/>
                <w:szCs w:val="21"/>
              </w:rPr>
            </w:pPr>
            <w:r>
              <w:rPr>
                <w:rFonts w:hint="eastAsia" w:ascii="宋体" w:hAnsi="宋体" w:cs="宋体"/>
                <w:kern w:val="0"/>
                <w:szCs w:val="21"/>
              </w:rPr>
              <w:t>　</w:t>
            </w:r>
          </w:p>
        </w:tc>
        <w:tc>
          <w:tcPr>
            <w:tcW w:w="1620" w:type="dxa"/>
            <w:tcBorders>
              <w:top w:val="nil"/>
              <w:left w:val="nil"/>
              <w:bottom w:val="single" w:color="000000" w:sz="8" w:space="0"/>
              <w:right w:val="single" w:color="000000" w:sz="8" w:space="0"/>
            </w:tcBorders>
            <w:vAlign w:val="center"/>
          </w:tcPr>
          <w:p w14:paraId="303561CE">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1C9E553E">
            <w:pPr>
              <w:widowControl/>
              <w:jc w:val="left"/>
              <w:rPr>
                <w:rFonts w:hint="eastAsia" w:ascii="宋体" w:hAnsi="宋体" w:cs="宋体"/>
                <w:kern w:val="0"/>
                <w:szCs w:val="21"/>
              </w:rPr>
            </w:pPr>
            <w:r>
              <w:rPr>
                <w:rFonts w:hint="eastAsia" w:ascii="宋体" w:hAnsi="宋体" w:cs="宋体"/>
                <w:kern w:val="0"/>
                <w:szCs w:val="21"/>
              </w:rPr>
              <w:t>《中小型三相异步电动机能效限定值及能效等级》（GB18613）</w:t>
            </w:r>
          </w:p>
        </w:tc>
      </w:tr>
      <w:tr w14:paraId="43CAAD7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004A2CC">
            <w:pPr>
              <w:widowControl/>
              <w:jc w:val="center"/>
              <w:rPr>
                <w:rFonts w:hint="eastAsia" w:ascii="宋体" w:hAnsi="宋体" w:cs="宋体"/>
                <w:kern w:val="0"/>
                <w:szCs w:val="21"/>
              </w:rPr>
            </w:pPr>
            <w:r>
              <w:rPr>
                <w:rFonts w:hint="eastAsia" w:ascii="宋体" w:hAnsi="宋体" w:cs="宋体"/>
                <w:kern w:val="0"/>
                <w:szCs w:val="21"/>
              </w:rPr>
              <w:t>8</w:t>
            </w:r>
          </w:p>
        </w:tc>
        <w:tc>
          <w:tcPr>
            <w:tcW w:w="1080" w:type="dxa"/>
            <w:tcBorders>
              <w:top w:val="nil"/>
              <w:left w:val="nil"/>
              <w:bottom w:val="single" w:color="000000" w:sz="8" w:space="0"/>
              <w:right w:val="single" w:color="000000" w:sz="8" w:space="0"/>
            </w:tcBorders>
            <w:vAlign w:val="center"/>
          </w:tcPr>
          <w:p w14:paraId="73A2082B">
            <w:pPr>
              <w:widowControl/>
              <w:jc w:val="center"/>
              <w:rPr>
                <w:rFonts w:hint="eastAsia" w:ascii="宋体" w:hAnsi="宋体" w:cs="宋体"/>
                <w:kern w:val="0"/>
                <w:szCs w:val="21"/>
              </w:rPr>
            </w:pPr>
            <w:r>
              <w:rPr>
                <w:rFonts w:hint="eastAsia" w:ascii="宋体" w:hAnsi="宋体" w:cs="宋体"/>
                <w:kern w:val="0"/>
                <w:szCs w:val="21"/>
              </w:rPr>
              <w:t>A020602变压器</w:t>
            </w:r>
          </w:p>
        </w:tc>
        <w:tc>
          <w:tcPr>
            <w:tcW w:w="1320" w:type="dxa"/>
            <w:tcBorders>
              <w:top w:val="nil"/>
              <w:left w:val="nil"/>
              <w:bottom w:val="single" w:color="000000" w:sz="8" w:space="0"/>
              <w:right w:val="single" w:color="000000" w:sz="8" w:space="0"/>
            </w:tcBorders>
            <w:vAlign w:val="center"/>
          </w:tcPr>
          <w:p w14:paraId="52CC3F5C">
            <w:pPr>
              <w:widowControl/>
              <w:jc w:val="center"/>
              <w:rPr>
                <w:rFonts w:hint="eastAsia" w:ascii="宋体" w:hAnsi="宋体" w:cs="宋体"/>
                <w:kern w:val="0"/>
                <w:szCs w:val="21"/>
              </w:rPr>
            </w:pPr>
            <w:r>
              <w:rPr>
                <w:rFonts w:hint="eastAsia" w:ascii="宋体" w:hAnsi="宋体" w:cs="宋体"/>
                <w:kern w:val="0"/>
                <w:szCs w:val="21"/>
              </w:rPr>
              <w:t>配电变压器</w:t>
            </w:r>
          </w:p>
        </w:tc>
        <w:tc>
          <w:tcPr>
            <w:tcW w:w="1620" w:type="dxa"/>
            <w:tcBorders>
              <w:top w:val="nil"/>
              <w:left w:val="nil"/>
              <w:bottom w:val="single" w:color="000000" w:sz="8" w:space="0"/>
              <w:right w:val="single" w:color="000000" w:sz="8" w:space="0"/>
            </w:tcBorders>
            <w:vAlign w:val="center"/>
          </w:tcPr>
          <w:p w14:paraId="297F9797">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0B645209">
            <w:pPr>
              <w:widowControl/>
              <w:jc w:val="left"/>
              <w:rPr>
                <w:rFonts w:hint="eastAsia" w:ascii="宋体" w:hAnsi="宋体" w:cs="宋体"/>
                <w:kern w:val="0"/>
                <w:szCs w:val="21"/>
              </w:rPr>
            </w:pPr>
            <w:r>
              <w:rPr>
                <w:rFonts w:hint="eastAsia" w:ascii="宋体" w:hAnsi="宋体" w:cs="宋体"/>
                <w:kern w:val="0"/>
                <w:szCs w:val="21"/>
              </w:rPr>
              <w:t>《三相配电变压器能效限定值及能效等级》（GB20052）</w:t>
            </w:r>
          </w:p>
        </w:tc>
      </w:tr>
      <w:tr w14:paraId="76213FD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F806006">
            <w:pPr>
              <w:widowControl/>
              <w:jc w:val="center"/>
              <w:rPr>
                <w:rFonts w:hint="eastAsia" w:ascii="宋体" w:hAnsi="宋体" w:cs="宋体"/>
                <w:kern w:val="0"/>
                <w:szCs w:val="21"/>
              </w:rPr>
            </w:pPr>
            <w:r>
              <w:rPr>
                <w:rFonts w:hint="eastAsia" w:ascii="宋体" w:hAnsi="宋体" w:cs="宋体"/>
                <w:kern w:val="0"/>
                <w:szCs w:val="21"/>
              </w:rPr>
              <w:t>9</w:t>
            </w:r>
          </w:p>
        </w:tc>
        <w:tc>
          <w:tcPr>
            <w:tcW w:w="1080" w:type="dxa"/>
            <w:tcBorders>
              <w:top w:val="nil"/>
              <w:left w:val="nil"/>
              <w:bottom w:val="single" w:color="000000" w:sz="8" w:space="0"/>
              <w:right w:val="single" w:color="000000" w:sz="8" w:space="0"/>
            </w:tcBorders>
            <w:vAlign w:val="center"/>
          </w:tcPr>
          <w:p w14:paraId="4DB11AF9">
            <w:pPr>
              <w:widowControl/>
              <w:jc w:val="center"/>
              <w:rPr>
                <w:rFonts w:hint="eastAsia" w:ascii="宋体" w:hAnsi="宋体" w:cs="宋体"/>
                <w:kern w:val="0"/>
                <w:szCs w:val="21"/>
              </w:rPr>
            </w:pPr>
            <w:r>
              <w:rPr>
                <w:rFonts w:hint="eastAsia" w:ascii="宋体" w:hAnsi="宋体" w:cs="宋体"/>
                <w:kern w:val="0"/>
                <w:szCs w:val="21"/>
              </w:rPr>
              <w:t>★A020609镇流器</w:t>
            </w:r>
          </w:p>
        </w:tc>
        <w:tc>
          <w:tcPr>
            <w:tcW w:w="1320" w:type="dxa"/>
            <w:tcBorders>
              <w:top w:val="nil"/>
              <w:left w:val="nil"/>
              <w:bottom w:val="single" w:color="000000" w:sz="8" w:space="0"/>
              <w:right w:val="single" w:color="000000" w:sz="8" w:space="0"/>
            </w:tcBorders>
            <w:vAlign w:val="center"/>
          </w:tcPr>
          <w:p w14:paraId="21EC89DD">
            <w:pPr>
              <w:widowControl/>
              <w:jc w:val="center"/>
              <w:rPr>
                <w:rFonts w:hint="eastAsia" w:ascii="宋体" w:hAnsi="宋体" w:cs="宋体"/>
                <w:kern w:val="0"/>
                <w:szCs w:val="21"/>
              </w:rPr>
            </w:pPr>
            <w:r>
              <w:rPr>
                <w:rFonts w:hint="eastAsia" w:ascii="宋体" w:hAnsi="宋体" w:cs="宋体"/>
                <w:kern w:val="0"/>
                <w:szCs w:val="21"/>
              </w:rPr>
              <w:t>管型荧光灯镇流器</w:t>
            </w:r>
          </w:p>
        </w:tc>
        <w:tc>
          <w:tcPr>
            <w:tcW w:w="1620" w:type="dxa"/>
            <w:tcBorders>
              <w:top w:val="nil"/>
              <w:left w:val="nil"/>
              <w:bottom w:val="single" w:color="000000" w:sz="8" w:space="0"/>
              <w:right w:val="single" w:color="000000" w:sz="8" w:space="0"/>
            </w:tcBorders>
            <w:vAlign w:val="center"/>
          </w:tcPr>
          <w:p w14:paraId="3BDD27BF">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3520EA59">
            <w:pPr>
              <w:widowControl/>
              <w:jc w:val="left"/>
              <w:rPr>
                <w:rFonts w:hint="eastAsia" w:ascii="宋体" w:hAnsi="宋体" w:cs="宋体"/>
                <w:kern w:val="0"/>
                <w:szCs w:val="21"/>
              </w:rPr>
            </w:pPr>
            <w:r>
              <w:rPr>
                <w:rFonts w:hint="eastAsia" w:ascii="宋体" w:hAnsi="宋体" w:cs="宋体"/>
                <w:kern w:val="0"/>
                <w:szCs w:val="21"/>
              </w:rPr>
              <w:t>《管形荧光灯镇流器能效限定值及能效等级》（GB17896）</w:t>
            </w:r>
          </w:p>
        </w:tc>
      </w:tr>
      <w:tr w14:paraId="0D9255E3">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4888AD73">
            <w:pPr>
              <w:widowControl/>
              <w:jc w:val="center"/>
              <w:rPr>
                <w:rFonts w:hint="eastAsia" w:ascii="宋体" w:hAnsi="宋体" w:cs="宋体"/>
                <w:kern w:val="0"/>
                <w:szCs w:val="21"/>
              </w:rPr>
            </w:pPr>
            <w:r>
              <w:rPr>
                <w:rFonts w:hint="eastAsia" w:ascii="宋体" w:hAnsi="宋体" w:cs="宋体"/>
                <w:kern w:val="0"/>
                <w:szCs w:val="21"/>
              </w:rPr>
              <w:t>10</w:t>
            </w:r>
          </w:p>
        </w:tc>
        <w:tc>
          <w:tcPr>
            <w:tcW w:w="1080" w:type="dxa"/>
            <w:vMerge w:val="restart"/>
            <w:tcBorders>
              <w:top w:val="nil"/>
              <w:left w:val="single" w:color="000000" w:sz="8" w:space="0"/>
              <w:bottom w:val="single" w:color="000000" w:sz="8" w:space="0"/>
              <w:right w:val="single" w:color="000000" w:sz="8" w:space="0"/>
            </w:tcBorders>
            <w:vAlign w:val="center"/>
          </w:tcPr>
          <w:p w14:paraId="41DCC370">
            <w:pPr>
              <w:widowControl/>
              <w:jc w:val="center"/>
              <w:rPr>
                <w:rFonts w:hint="eastAsia" w:ascii="宋体" w:hAnsi="宋体" w:cs="宋体"/>
                <w:kern w:val="0"/>
                <w:szCs w:val="21"/>
              </w:rPr>
            </w:pPr>
            <w:r>
              <w:rPr>
                <w:rFonts w:hint="eastAsia" w:ascii="宋体" w:hAnsi="宋体" w:cs="宋体"/>
                <w:kern w:val="0"/>
                <w:szCs w:val="21"/>
              </w:rPr>
              <w:t>A020618生活用电器</w:t>
            </w:r>
          </w:p>
        </w:tc>
        <w:tc>
          <w:tcPr>
            <w:tcW w:w="1320" w:type="dxa"/>
            <w:tcBorders>
              <w:top w:val="nil"/>
              <w:left w:val="nil"/>
              <w:bottom w:val="single" w:color="000000" w:sz="8" w:space="0"/>
              <w:right w:val="single" w:color="000000" w:sz="8" w:space="0"/>
            </w:tcBorders>
            <w:vAlign w:val="center"/>
          </w:tcPr>
          <w:p w14:paraId="45BCCDA0">
            <w:pPr>
              <w:widowControl/>
              <w:jc w:val="center"/>
              <w:rPr>
                <w:rFonts w:hint="eastAsia" w:ascii="宋体" w:hAnsi="宋体" w:cs="宋体"/>
                <w:kern w:val="0"/>
                <w:szCs w:val="21"/>
              </w:rPr>
            </w:pPr>
            <w:r>
              <w:rPr>
                <w:rFonts w:hint="eastAsia" w:ascii="宋体" w:hAnsi="宋体" w:cs="宋体"/>
                <w:kern w:val="0"/>
                <w:szCs w:val="21"/>
              </w:rPr>
              <w:t>A0206180101电冰箱</w:t>
            </w:r>
          </w:p>
        </w:tc>
        <w:tc>
          <w:tcPr>
            <w:tcW w:w="1620" w:type="dxa"/>
            <w:tcBorders>
              <w:top w:val="nil"/>
              <w:left w:val="nil"/>
              <w:bottom w:val="single" w:color="000000" w:sz="8" w:space="0"/>
              <w:right w:val="single" w:color="000000" w:sz="8" w:space="0"/>
            </w:tcBorders>
            <w:vAlign w:val="center"/>
          </w:tcPr>
          <w:p w14:paraId="684C5AD1">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61EDE828">
            <w:pPr>
              <w:widowControl/>
              <w:jc w:val="left"/>
              <w:rPr>
                <w:rFonts w:hint="eastAsia" w:ascii="宋体" w:hAnsi="宋体" w:cs="宋体"/>
                <w:kern w:val="0"/>
                <w:szCs w:val="21"/>
              </w:rPr>
            </w:pPr>
            <w:r>
              <w:rPr>
                <w:rFonts w:hint="eastAsia" w:ascii="宋体" w:hAnsi="宋体" w:cs="宋体"/>
                <w:kern w:val="0"/>
                <w:szCs w:val="21"/>
              </w:rPr>
              <w:t>《家用电冰箱耗电量限定值及能效等级》（GB 12021.2）</w:t>
            </w:r>
          </w:p>
        </w:tc>
      </w:tr>
      <w:tr w14:paraId="5A383414">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37B02380">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2F4D8EBB">
            <w:pPr>
              <w:widowControl/>
              <w:jc w:val="left"/>
              <w:rPr>
                <w:rFonts w:ascii="宋体" w:hAnsi="宋体" w:cs="宋体"/>
                <w:kern w:val="0"/>
                <w:szCs w:val="21"/>
              </w:rPr>
            </w:pPr>
          </w:p>
        </w:tc>
        <w:tc>
          <w:tcPr>
            <w:tcW w:w="1320" w:type="dxa"/>
            <w:vMerge w:val="restart"/>
            <w:tcBorders>
              <w:top w:val="nil"/>
              <w:left w:val="single" w:color="000000" w:sz="8" w:space="0"/>
              <w:bottom w:val="single" w:color="000000" w:sz="8" w:space="0"/>
              <w:right w:val="single" w:color="000000" w:sz="8" w:space="0"/>
            </w:tcBorders>
            <w:vAlign w:val="center"/>
          </w:tcPr>
          <w:p w14:paraId="3F60139D">
            <w:pPr>
              <w:widowControl/>
              <w:jc w:val="center"/>
              <w:rPr>
                <w:rFonts w:hint="eastAsia" w:ascii="宋体" w:hAnsi="宋体" w:cs="宋体"/>
                <w:kern w:val="0"/>
                <w:szCs w:val="21"/>
              </w:rPr>
            </w:pPr>
            <w:r>
              <w:rPr>
                <w:rFonts w:hint="eastAsia" w:ascii="宋体" w:hAnsi="宋体" w:cs="宋体"/>
                <w:kern w:val="0"/>
                <w:szCs w:val="21"/>
              </w:rPr>
              <w:t>★A0206180203空调机</w:t>
            </w:r>
          </w:p>
        </w:tc>
        <w:tc>
          <w:tcPr>
            <w:tcW w:w="1620" w:type="dxa"/>
            <w:tcBorders>
              <w:top w:val="nil"/>
              <w:left w:val="nil"/>
              <w:bottom w:val="single" w:color="000000" w:sz="8" w:space="0"/>
              <w:right w:val="single" w:color="000000" w:sz="8" w:space="0"/>
            </w:tcBorders>
            <w:vAlign w:val="center"/>
          </w:tcPr>
          <w:p w14:paraId="21DE62CA">
            <w:pPr>
              <w:widowControl/>
              <w:jc w:val="center"/>
              <w:rPr>
                <w:rFonts w:hint="eastAsia" w:ascii="宋体" w:hAnsi="宋体" w:cs="宋体"/>
                <w:kern w:val="0"/>
                <w:szCs w:val="21"/>
              </w:rPr>
            </w:pPr>
            <w:r>
              <w:rPr>
                <w:rFonts w:hint="eastAsia" w:ascii="宋体" w:hAnsi="宋体" w:cs="宋体"/>
                <w:kern w:val="0"/>
                <w:szCs w:val="21"/>
              </w:rPr>
              <w:t>房间空气调节器</w:t>
            </w:r>
          </w:p>
        </w:tc>
        <w:tc>
          <w:tcPr>
            <w:tcW w:w="4540" w:type="dxa"/>
            <w:tcBorders>
              <w:top w:val="nil"/>
              <w:left w:val="nil"/>
              <w:bottom w:val="single" w:color="000000" w:sz="8" w:space="0"/>
              <w:right w:val="single" w:color="000000" w:sz="8" w:space="0"/>
            </w:tcBorders>
            <w:vAlign w:val="center"/>
          </w:tcPr>
          <w:p w14:paraId="0957306B">
            <w:pPr>
              <w:widowControl/>
              <w:jc w:val="left"/>
              <w:rPr>
                <w:rFonts w:hint="eastAsia" w:ascii="宋体" w:hAnsi="宋体" w:cs="宋体"/>
                <w:kern w:val="0"/>
                <w:szCs w:val="21"/>
              </w:rPr>
            </w:pPr>
            <w:r>
              <w:rPr>
                <w:rFonts w:hint="eastAsia" w:ascii="宋体" w:hAnsi="宋体" w:cs="宋体"/>
                <w:kern w:val="0"/>
                <w:szCs w:val="21"/>
              </w:rPr>
              <w:t>《转速可控型房间空气调节器能效限定值及能效等级》（GB21455-2013），待2019年修订发布后，按《房间空气调节器能效限定值及能效等级》（GB21455-2019实施。</w:t>
            </w:r>
          </w:p>
        </w:tc>
      </w:tr>
      <w:tr w14:paraId="04E806F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464CB946">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5E334459">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01AB3ADA">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vAlign w:val="center"/>
          </w:tcPr>
          <w:p w14:paraId="548E7056">
            <w:pPr>
              <w:widowControl/>
              <w:jc w:val="center"/>
              <w:rPr>
                <w:rFonts w:hint="eastAsia" w:ascii="宋体" w:hAnsi="宋体" w:cs="宋体"/>
                <w:kern w:val="0"/>
                <w:szCs w:val="21"/>
              </w:rPr>
            </w:pPr>
            <w:r>
              <w:rPr>
                <w:rFonts w:hint="eastAsia" w:ascii="宋体" w:hAnsi="宋体" w:cs="宋体"/>
                <w:kern w:val="0"/>
                <w:szCs w:val="21"/>
              </w:rPr>
              <w:t>多联式空调（热泵）机组（制冷量≤ 14000W）</w:t>
            </w:r>
          </w:p>
        </w:tc>
        <w:tc>
          <w:tcPr>
            <w:tcW w:w="4540" w:type="dxa"/>
            <w:tcBorders>
              <w:top w:val="nil"/>
              <w:left w:val="nil"/>
              <w:bottom w:val="single" w:color="000000" w:sz="8" w:space="0"/>
              <w:right w:val="single" w:color="000000" w:sz="8" w:space="0"/>
            </w:tcBorders>
            <w:vAlign w:val="center"/>
          </w:tcPr>
          <w:p w14:paraId="042C1CBE">
            <w:pPr>
              <w:widowControl/>
              <w:jc w:val="left"/>
              <w:rPr>
                <w:rFonts w:hint="eastAsia" w:ascii="宋体" w:hAnsi="宋体" w:cs="宋体"/>
                <w:kern w:val="0"/>
                <w:szCs w:val="21"/>
              </w:rPr>
            </w:pPr>
            <w:r>
              <w:rPr>
                <w:rFonts w:hint="eastAsia" w:ascii="宋体" w:hAnsi="宋体" w:cs="宋体"/>
                <w:kern w:val="0"/>
                <w:szCs w:val="21"/>
              </w:rPr>
              <w:t>《多联式空调（热泵）机组能效限定值及能源效率等级》（GB21454）</w:t>
            </w:r>
          </w:p>
        </w:tc>
      </w:tr>
      <w:tr w14:paraId="1B3F081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0731953C">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5ECA0A2E">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4D1DA37C">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vAlign w:val="center"/>
          </w:tcPr>
          <w:p w14:paraId="6141EC87">
            <w:pPr>
              <w:widowControl/>
              <w:jc w:val="center"/>
              <w:rPr>
                <w:rFonts w:hint="eastAsia" w:ascii="宋体" w:hAnsi="宋体" w:cs="宋体"/>
                <w:kern w:val="0"/>
                <w:szCs w:val="21"/>
              </w:rPr>
            </w:pPr>
            <w:r>
              <w:rPr>
                <w:rFonts w:hint="eastAsia" w:ascii="宋体" w:hAnsi="宋体" w:cs="宋体"/>
                <w:kern w:val="0"/>
                <w:szCs w:val="21"/>
              </w:rPr>
              <w:t>单元式空气调节机(制冷量≤14000W)</w:t>
            </w:r>
          </w:p>
        </w:tc>
        <w:tc>
          <w:tcPr>
            <w:tcW w:w="4540" w:type="dxa"/>
            <w:tcBorders>
              <w:top w:val="nil"/>
              <w:left w:val="nil"/>
              <w:bottom w:val="single" w:color="000000" w:sz="8" w:space="0"/>
              <w:right w:val="single" w:color="000000" w:sz="8" w:space="0"/>
            </w:tcBorders>
            <w:vAlign w:val="center"/>
          </w:tcPr>
          <w:p w14:paraId="765C5899">
            <w:pPr>
              <w:widowControl/>
              <w:jc w:val="left"/>
              <w:rPr>
                <w:rFonts w:hint="eastAsia" w:ascii="宋体" w:hAnsi="宋体" w:cs="宋体"/>
                <w:kern w:val="0"/>
                <w:szCs w:val="21"/>
              </w:rPr>
            </w:pPr>
            <w:r>
              <w:rPr>
                <w:rFonts w:hint="eastAsia" w:ascii="宋体" w:hAnsi="宋体" w:cs="宋体"/>
                <w:kern w:val="0"/>
                <w:szCs w:val="21"/>
              </w:rPr>
              <w:t>《单元式空气调节机能效限定值及能源效率等级》（GB19576）《风管送风式空调机组能效限定值及能效等级》（GB37479）</w:t>
            </w:r>
          </w:p>
        </w:tc>
      </w:tr>
      <w:tr w14:paraId="0315001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3AA4F6C">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7C089E6A">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vAlign w:val="center"/>
          </w:tcPr>
          <w:p w14:paraId="5923D281">
            <w:pPr>
              <w:widowControl/>
              <w:jc w:val="center"/>
              <w:rPr>
                <w:rFonts w:hint="eastAsia" w:ascii="宋体" w:hAnsi="宋体" w:cs="宋体"/>
                <w:kern w:val="0"/>
                <w:szCs w:val="21"/>
              </w:rPr>
            </w:pPr>
            <w:r>
              <w:rPr>
                <w:rFonts w:hint="eastAsia" w:ascii="宋体" w:hAnsi="宋体" w:cs="宋体"/>
                <w:kern w:val="0"/>
                <w:szCs w:val="21"/>
              </w:rPr>
              <w:t>A0206180301洗衣机</w:t>
            </w:r>
          </w:p>
        </w:tc>
        <w:tc>
          <w:tcPr>
            <w:tcW w:w="1620" w:type="dxa"/>
            <w:tcBorders>
              <w:top w:val="nil"/>
              <w:left w:val="nil"/>
              <w:bottom w:val="single" w:color="000000" w:sz="8" w:space="0"/>
              <w:right w:val="single" w:color="000000" w:sz="8" w:space="0"/>
            </w:tcBorders>
            <w:vAlign w:val="center"/>
          </w:tcPr>
          <w:p w14:paraId="5B4AF52E">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294B5C17">
            <w:pPr>
              <w:widowControl/>
              <w:jc w:val="left"/>
              <w:rPr>
                <w:rFonts w:hint="eastAsia" w:ascii="宋体" w:hAnsi="宋体" w:cs="宋体"/>
                <w:kern w:val="0"/>
                <w:szCs w:val="21"/>
              </w:rPr>
            </w:pPr>
            <w:r>
              <w:rPr>
                <w:rFonts w:hint="eastAsia" w:ascii="宋体" w:hAnsi="宋体" w:cs="宋体"/>
                <w:kern w:val="0"/>
                <w:szCs w:val="21"/>
              </w:rPr>
              <w:t>《电动洗衣机能效水效限定值及等级》（GB12021.4）</w:t>
            </w:r>
          </w:p>
        </w:tc>
      </w:tr>
      <w:tr w14:paraId="3C084BC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269137D">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68B63C70">
            <w:pPr>
              <w:widowControl/>
              <w:jc w:val="left"/>
              <w:rPr>
                <w:rFonts w:ascii="宋体" w:hAnsi="宋体" w:cs="宋体"/>
                <w:kern w:val="0"/>
                <w:szCs w:val="21"/>
              </w:rPr>
            </w:pPr>
          </w:p>
        </w:tc>
        <w:tc>
          <w:tcPr>
            <w:tcW w:w="1320" w:type="dxa"/>
            <w:vMerge w:val="restart"/>
            <w:tcBorders>
              <w:top w:val="nil"/>
              <w:left w:val="single" w:color="000000" w:sz="8" w:space="0"/>
              <w:bottom w:val="single" w:color="000000" w:sz="8" w:space="0"/>
              <w:right w:val="single" w:color="000000" w:sz="8" w:space="0"/>
            </w:tcBorders>
            <w:vAlign w:val="center"/>
          </w:tcPr>
          <w:p w14:paraId="7F43B128">
            <w:pPr>
              <w:widowControl/>
              <w:jc w:val="center"/>
              <w:rPr>
                <w:rFonts w:hint="eastAsia" w:ascii="宋体" w:hAnsi="宋体" w:cs="宋体"/>
                <w:kern w:val="0"/>
                <w:szCs w:val="21"/>
              </w:rPr>
            </w:pPr>
            <w:r>
              <w:rPr>
                <w:rFonts w:hint="eastAsia" w:ascii="宋体" w:hAnsi="宋体" w:cs="宋体"/>
                <w:kern w:val="0"/>
                <w:szCs w:val="21"/>
              </w:rPr>
              <w:t>A02061808热水器</w:t>
            </w:r>
          </w:p>
        </w:tc>
        <w:tc>
          <w:tcPr>
            <w:tcW w:w="1620" w:type="dxa"/>
            <w:tcBorders>
              <w:top w:val="nil"/>
              <w:left w:val="nil"/>
              <w:bottom w:val="single" w:color="000000" w:sz="8" w:space="0"/>
              <w:right w:val="single" w:color="000000" w:sz="8" w:space="0"/>
            </w:tcBorders>
            <w:vAlign w:val="center"/>
          </w:tcPr>
          <w:p w14:paraId="24741C5A">
            <w:pPr>
              <w:widowControl/>
              <w:jc w:val="center"/>
              <w:rPr>
                <w:rFonts w:hint="eastAsia" w:ascii="宋体" w:hAnsi="宋体" w:cs="宋体"/>
                <w:kern w:val="0"/>
                <w:szCs w:val="21"/>
              </w:rPr>
            </w:pPr>
            <w:r>
              <w:rPr>
                <w:rFonts w:hint="eastAsia" w:ascii="宋体" w:hAnsi="宋体" w:cs="宋体"/>
                <w:kern w:val="0"/>
                <w:szCs w:val="21"/>
              </w:rPr>
              <w:t>★电热水器</w:t>
            </w:r>
          </w:p>
        </w:tc>
        <w:tc>
          <w:tcPr>
            <w:tcW w:w="4540" w:type="dxa"/>
            <w:tcBorders>
              <w:top w:val="nil"/>
              <w:left w:val="nil"/>
              <w:bottom w:val="single" w:color="000000" w:sz="8" w:space="0"/>
              <w:right w:val="single" w:color="000000" w:sz="8" w:space="0"/>
            </w:tcBorders>
            <w:vAlign w:val="center"/>
          </w:tcPr>
          <w:p w14:paraId="3C602C33">
            <w:pPr>
              <w:widowControl/>
              <w:jc w:val="left"/>
              <w:rPr>
                <w:rFonts w:hint="eastAsia" w:ascii="宋体" w:hAnsi="宋体" w:cs="宋体"/>
                <w:kern w:val="0"/>
                <w:szCs w:val="21"/>
              </w:rPr>
            </w:pPr>
            <w:r>
              <w:rPr>
                <w:rFonts w:hint="eastAsia" w:ascii="宋体" w:hAnsi="宋体" w:cs="宋体"/>
                <w:kern w:val="0"/>
                <w:szCs w:val="21"/>
              </w:rPr>
              <w:t>《储水式电热水器能效限定值及能效等级》（GB21519）</w:t>
            </w:r>
          </w:p>
        </w:tc>
      </w:tr>
      <w:tr w14:paraId="77E6427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F861F6C">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190AA2A2">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6876A530">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vAlign w:val="center"/>
          </w:tcPr>
          <w:p w14:paraId="6FD6AD9A">
            <w:pPr>
              <w:widowControl/>
              <w:jc w:val="center"/>
              <w:rPr>
                <w:rFonts w:hint="eastAsia" w:ascii="宋体" w:hAnsi="宋体" w:cs="宋体"/>
                <w:kern w:val="0"/>
                <w:szCs w:val="21"/>
              </w:rPr>
            </w:pPr>
            <w:r>
              <w:rPr>
                <w:rFonts w:hint="eastAsia" w:ascii="宋体" w:hAnsi="宋体" w:cs="宋体"/>
                <w:kern w:val="0"/>
                <w:szCs w:val="21"/>
              </w:rPr>
              <w:t>燃气热水器</w:t>
            </w:r>
          </w:p>
        </w:tc>
        <w:tc>
          <w:tcPr>
            <w:tcW w:w="4540" w:type="dxa"/>
            <w:tcBorders>
              <w:top w:val="nil"/>
              <w:left w:val="nil"/>
              <w:bottom w:val="single" w:color="000000" w:sz="8" w:space="0"/>
              <w:right w:val="single" w:color="000000" w:sz="8" w:space="0"/>
            </w:tcBorders>
            <w:vAlign w:val="center"/>
          </w:tcPr>
          <w:p w14:paraId="4F901299">
            <w:pPr>
              <w:widowControl/>
              <w:jc w:val="left"/>
              <w:rPr>
                <w:rFonts w:hint="eastAsia" w:ascii="宋体" w:hAnsi="宋体" w:cs="宋体"/>
                <w:kern w:val="0"/>
                <w:szCs w:val="21"/>
              </w:rPr>
            </w:pPr>
            <w:r>
              <w:rPr>
                <w:rFonts w:hint="eastAsia" w:ascii="宋体" w:hAnsi="宋体" w:cs="宋体"/>
                <w:kern w:val="0"/>
                <w:szCs w:val="21"/>
              </w:rPr>
              <w:t>《家用燃气快速热水器和燃气采暖热水炉能效限定值及能效等级》（GB20665）</w:t>
            </w:r>
          </w:p>
        </w:tc>
      </w:tr>
      <w:tr w14:paraId="551FF2D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BFAC439">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1EB86D7E">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5DAA5C27">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vAlign w:val="center"/>
          </w:tcPr>
          <w:p w14:paraId="3A3592DF">
            <w:pPr>
              <w:widowControl/>
              <w:jc w:val="center"/>
              <w:rPr>
                <w:rFonts w:hint="eastAsia" w:ascii="宋体" w:hAnsi="宋体" w:cs="宋体"/>
                <w:kern w:val="0"/>
                <w:szCs w:val="21"/>
              </w:rPr>
            </w:pPr>
            <w:r>
              <w:rPr>
                <w:rFonts w:hint="eastAsia" w:ascii="宋体" w:hAnsi="宋体" w:cs="宋体"/>
                <w:kern w:val="0"/>
                <w:szCs w:val="21"/>
              </w:rPr>
              <w:t>热泵热水器</w:t>
            </w:r>
          </w:p>
        </w:tc>
        <w:tc>
          <w:tcPr>
            <w:tcW w:w="4540" w:type="dxa"/>
            <w:tcBorders>
              <w:top w:val="nil"/>
              <w:left w:val="nil"/>
              <w:bottom w:val="single" w:color="000000" w:sz="8" w:space="0"/>
              <w:right w:val="single" w:color="000000" w:sz="8" w:space="0"/>
            </w:tcBorders>
            <w:vAlign w:val="center"/>
          </w:tcPr>
          <w:p w14:paraId="3794F31D">
            <w:pPr>
              <w:widowControl/>
              <w:jc w:val="left"/>
              <w:rPr>
                <w:rFonts w:hint="eastAsia" w:ascii="宋体" w:hAnsi="宋体" w:cs="宋体"/>
                <w:kern w:val="0"/>
                <w:szCs w:val="21"/>
              </w:rPr>
            </w:pPr>
            <w:r>
              <w:rPr>
                <w:rFonts w:hint="eastAsia" w:ascii="宋体" w:hAnsi="宋体" w:cs="宋体"/>
                <w:kern w:val="0"/>
                <w:szCs w:val="21"/>
              </w:rPr>
              <w:t>《热泵热水机（器）能效限定值及能效等级》（GB29541）</w:t>
            </w:r>
          </w:p>
        </w:tc>
      </w:tr>
      <w:tr w14:paraId="5FDFA8D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14B10BE">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79D354B5">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23A452F7">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vAlign w:val="center"/>
          </w:tcPr>
          <w:p w14:paraId="6A76B2DE">
            <w:pPr>
              <w:widowControl/>
              <w:jc w:val="center"/>
              <w:rPr>
                <w:rFonts w:hint="eastAsia" w:ascii="宋体" w:hAnsi="宋体" w:cs="宋体"/>
                <w:kern w:val="0"/>
                <w:szCs w:val="21"/>
              </w:rPr>
            </w:pPr>
            <w:r>
              <w:rPr>
                <w:rFonts w:hint="eastAsia" w:ascii="宋体" w:hAnsi="宋体" w:cs="宋体"/>
                <w:kern w:val="0"/>
                <w:szCs w:val="21"/>
              </w:rPr>
              <w:t>太阳能热水系统</w:t>
            </w:r>
          </w:p>
        </w:tc>
        <w:tc>
          <w:tcPr>
            <w:tcW w:w="4540" w:type="dxa"/>
            <w:tcBorders>
              <w:top w:val="nil"/>
              <w:left w:val="nil"/>
              <w:bottom w:val="single" w:color="000000" w:sz="8" w:space="0"/>
              <w:right w:val="single" w:color="000000" w:sz="8" w:space="0"/>
            </w:tcBorders>
            <w:vAlign w:val="center"/>
          </w:tcPr>
          <w:p w14:paraId="67E6FFEC">
            <w:pPr>
              <w:widowControl/>
              <w:jc w:val="left"/>
              <w:rPr>
                <w:rFonts w:hint="eastAsia" w:ascii="宋体" w:hAnsi="宋体" w:cs="宋体"/>
                <w:kern w:val="0"/>
                <w:szCs w:val="21"/>
              </w:rPr>
            </w:pPr>
            <w:r>
              <w:rPr>
                <w:rFonts w:hint="eastAsia" w:ascii="宋体" w:hAnsi="宋体" w:cs="宋体"/>
                <w:kern w:val="0"/>
                <w:szCs w:val="21"/>
              </w:rPr>
              <w:t>《家用太阳能热水系统能效限定值及能效等级》（GB26969）</w:t>
            </w:r>
          </w:p>
        </w:tc>
      </w:tr>
      <w:tr w14:paraId="4D36C1E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02243485">
            <w:pPr>
              <w:widowControl/>
              <w:jc w:val="center"/>
              <w:rPr>
                <w:rFonts w:hint="eastAsia" w:ascii="宋体" w:hAnsi="宋体" w:cs="宋体"/>
                <w:kern w:val="0"/>
                <w:szCs w:val="21"/>
              </w:rPr>
            </w:pPr>
            <w:r>
              <w:rPr>
                <w:rFonts w:hint="eastAsia" w:ascii="宋体" w:hAnsi="宋体" w:cs="宋体"/>
                <w:kern w:val="0"/>
                <w:szCs w:val="21"/>
              </w:rPr>
              <w:t>11</w:t>
            </w:r>
          </w:p>
        </w:tc>
        <w:tc>
          <w:tcPr>
            <w:tcW w:w="1080" w:type="dxa"/>
            <w:vMerge w:val="restart"/>
            <w:tcBorders>
              <w:top w:val="nil"/>
              <w:left w:val="single" w:color="000000" w:sz="8" w:space="0"/>
              <w:bottom w:val="single" w:color="000000" w:sz="8" w:space="0"/>
              <w:right w:val="single" w:color="000000" w:sz="8" w:space="0"/>
            </w:tcBorders>
            <w:vAlign w:val="center"/>
          </w:tcPr>
          <w:p w14:paraId="24FAA9B2">
            <w:pPr>
              <w:widowControl/>
              <w:jc w:val="center"/>
              <w:rPr>
                <w:rFonts w:hint="eastAsia" w:ascii="宋体" w:hAnsi="宋体" w:cs="宋体"/>
                <w:kern w:val="0"/>
                <w:szCs w:val="21"/>
              </w:rPr>
            </w:pPr>
            <w:r>
              <w:rPr>
                <w:rFonts w:hint="eastAsia" w:ascii="宋体" w:hAnsi="宋体" w:cs="宋体"/>
                <w:kern w:val="0"/>
                <w:szCs w:val="21"/>
              </w:rPr>
              <w:t>A020619照明设备</w:t>
            </w:r>
          </w:p>
        </w:tc>
        <w:tc>
          <w:tcPr>
            <w:tcW w:w="1320" w:type="dxa"/>
            <w:tcBorders>
              <w:top w:val="nil"/>
              <w:left w:val="nil"/>
              <w:bottom w:val="single" w:color="000000" w:sz="8" w:space="0"/>
              <w:right w:val="single" w:color="000000" w:sz="8" w:space="0"/>
            </w:tcBorders>
            <w:vAlign w:val="center"/>
          </w:tcPr>
          <w:p w14:paraId="745A1F90">
            <w:pPr>
              <w:widowControl/>
              <w:jc w:val="center"/>
              <w:rPr>
                <w:rFonts w:hint="eastAsia" w:ascii="宋体" w:hAnsi="宋体" w:cs="宋体"/>
                <w:kern w:val="0"/>
                <w:szCs w:val="21"/>
              </w:rPr>
            </w:pPr>
            <w:r>
              <w:rPr>
                <w:rFonts w:hint="eastAsia" w:ascii="宋体" w:hAnsi="宋体" w:cs="宋体"/>
                <w:kern w:val="0"/>
                <w:szCs w:val="21"/>
              </w:rPr>
              <w:t>★普通照明用双端荧光灯</w:t>
            </w:r>
          </w:p>
        </w:tc>
        <w:tc>
          <w:tcPr>
            <w:tcW w:w="1620" w:type="dxa"/>
            <w:tcBorders>
              <w:top w:val="nil"/>
              <w:left w:val="nil"/>
              <w:bottom w:val="single" w:color="000000" w:sz="8" w:space="0"/>
              <w:right w:val="single" w:color="000000" w:sz="8" w:space="0"/>
            </w:tcBorders>
            <w:vAlign w:val="center"/>
          </w:tcPr>
          <w:p w14:paraId="22640AE7">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2E276F82">
            <w:pPr>
              <w:widowControl/>
              <w:jc w:val="left"/>
              <w:rPr>
                <w:rFonts w:hint="eastAsia" w:ascii="宋体" w:hAnsi="宋体" w:cs="宋体"/>
                <w:kern w:val="0"/>
                <w:szCs w:val="21"/>
              </w:rPr>
            </w:pPr>
            <w:r>
              <w:rPr>
                <w:rFonts w:hint="eastAsia" w:ascii="宋体" w:hAnsi="宋体" w:cs="宋体"/>
                <w:kern w:val="0"/>
                <w:szCs w:val="21"/>
              </w:rPr>
              <w:t>《普通照明用双端荧光灯能效限定值及能效等级》（GB19043）</w:t>
            </w:r>
          </w:p>
        </w:tc>
      </w:tr>
      <w:tr w14:paraId="0CB11DF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413F437">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09F6BAEB">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vAlign w:val="center"/>
          </w:tcPr>
          <w:p w14:paraId="7255F34B">
            <w:pPr>
              <w:widowControl/>
              <w:jc w:val="center"/>
              <w:rPr>
                <w:rFonts w:hint="eastAsia" w:ascii="宋体" w:hAnsi="宋体" w:cs="宋体"/>
                <w:kern w:val="0"/>
                <w:szCs w:val="21"/>
              </w:rPr>
            </w:pPr>
            <w:r>
              <w:rPr>
                <w:rFonts w:hint="eastAsia" w:ascii="宋体" w:hAnsi="宋体" w:cs="宋体"/>
                <w:kern w:val="0"/>
                <w:szCs w:val="21"/>
              </w:rPr>
              <w:t>LED道路/隧道照明产品</w:t>
            </w:r>
          </w:p>
        </w:tc>
        <w:tc>
          <w:tcPr>
            <w:tcW w:w="1620" w:type="dxa"/>
            <w:tcBorders>
              <w:top w:val="nil"/>
              <w:left w:val="nil"/>
              <w:bottom w:val="single" w:color="000000" w:sz="8" w:space="0"/>
              <w:right w:val="single" w:color="000000" w:sz="8" w:space="0"/>
            </w:tcBorders>
            <w:vAlign w:val="center"/>
          </w:tcPr>
          <w:p w14:paraId="6585B25C">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528B6D99">
            <w:pPr>
              <w:widowControl/>
              <w:jc w:val="left"/>
              <w:rPr>
                <w:rFonts w:hint="eastAsia" w:ascii="宋体" w:hAnsi="宋体" w:cs="宋体"/>
                <w:kern w:val="0"/>
                <w:szCs w:val="21"/>
              </w:rPr>
            </w:pPr>
            <w:r>
              <w:rPr>
                <w:rFonts w:hint="eastAsia" w:ascii="宋体" w:hAnsi="宋体" w:cs="宋体"/>
                <w:kern w:val="0"/>
                <w:szCs w:val="21"/>
              </w:rPr>
              <w:t>《道路和隧道照明用LED灯具能效限定值及能效等级》（GB37478）</w:t>
            </w:r>
          </w:p>
        </w:tc>
      </w:tr>
      <w:tr w14:paraId="4DAE8D4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28A40DE">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7E5C4AEA">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vAlign w:val="center"/>
          </w:tcPr>
          <w:p w14:paraId="076D577B">
            <w:pPr>
              <w:widowControl/>
              <w:jc w:val="center"/>
              <w:rPr>
                <w:rFonts w:hint="eastAsia" w:ascii="宋体" w:hAnsi="宋体" w:cs="宋体"/>
                <w:kern w:val="0"/>
                <w:szCs w:val="21"/>
              </w:rPr>
            </w:pPr>
            <w:r>
              <w:rPr>
                <w:rFonts w:hint="eastAsia" w:ascii="宋体" w:hAnsi="宋体" w:cs="宋体"/>
                <w:kern w:val="0"/>
                <w:szCs w:val="21"/>
              </w:rPr>
              <w:t>LED筒灯</w:t>
            </w:r>
          </w:p>
        </w:tc>
        <w:tc>
          <w:tcPr>
            <w:tcW w:w="1620" w:type="dxa"/>
            <w:tcBorders>
              <w:top w:val="nil"/>
              <w:left w:val="nil"/>
              <w:bottom w:val="single" w:color="000000" w:sz="8" w:space="0"/>
              <w:right w:val="single" w:color="000000" w:sz="8" w:space="0"/>
            </w:tcBorders>
            <w:vAlign w:val="center"/>
          </w:tcPr>
          <w:p w14:paraId="6E2EAE4A">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78B98E12">
            <w:pPr>
              <w:widowControl/>
              <w:jc w:val="left"/>
              <w:rPr>
                <w:rFonts w:hint="eastAsia" w:ascii="宋体" w:hAnsi="宋体" w:cs="宋体"/>
                <w:kern w:val="0"/>
                <w:szCs w:val="21"/>
              </w:rPr>
            </w:pPr>
            <w:r>
              <w:rPr>
                <w:rFonts w:hint="eastAsia" w:ascii="宋体" w:hAnsi="宋体" w:cs="宋体"/>
                <w:kern w:val="0"/>
                <w:szCs w:val="21"/>
              </w:rPr>
              <w:t>《室内照明用LED产品能效限定值及能效等级》（GB30255）</w:t>
            </w:r>
          </w:p>
        </w:tc>
      </w:tr>
      <w:tr w14:paraId="3BE425B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3F912DF4">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15166149">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vAlign w:val="center"/>
          </w:tcPr>
          <w:p w14:paraId="3A20B950">
            <w:pPr>
              <w:widowControl/>
              <w:jc w:val="center"/>
              <w:rPr>
                <w:rFonts w:hint="eastAsia" w:ascii="宋体" w:hAnsi="宋体" w:cs="宋体"/>
                <w:kern w:val="0"/>
                <w:szCs w:val="21"/>
              </w:rPr>
            </w:pPr>
            <w:r>
              <w:rPr>
                <w:rFonts w:hint="eastAsia" w:ascii="宋体" w:hAnsi="宋体" w:cs="宋体"/>
                <w:kern w:val="0"/>
                <w:szCs w:val="21"/>
              </w:rPr>
              <w:t>普通照明用非定向自镇流LED灯</w:t>
            </w:r>
          </w:p>
        </w:tc>
        <w:tc>
          <w:tcPr>
            <w:tcW w:w="1620" w:type="dxa"/>
            <w:tcBorders>
              <w:top w:val="nil"/>
              <w:left w:val="nil"/>
              <w:bottom w:val="single" w:color="000000" w:sz="8" w:space="0"/>
              <w:right w:val="single" w:color="000000" w:sz="8" w:space="0"/>
            </w:tcBorders>
            <w:vAlign w:val="center"/>
          </w:tcPr>
          <w:p w14:paraId="0E655E8C">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7675FD25">
            <w:pPr>
              <w:widowControl/>
              <w:jc w:val="left"/>
              <w:rPr>
                <w:rFonts w:hint="eastAsia" w:ascii="宋体" w:hAnsi="宋体" w:cs="宋体"/>
                <w:kern w:val="0"/>
                <w:szCs w:val="21"/>
              </w:rPr>
            </w:pPr>
            <w:r>
              <w:rPr>
                <w:rFonts w:hint="eastAsia" w:ascii="宋体" w:hAnsi="宋体" w:cs="宋体"/>
                <w:kern w:val="0"/>
                <w:szCs w:val="21"/>
              </w:rPr>
              <w:t>《室内照明用LED产品能效限定值及能效等级》（GB30255）</w:t>
            </w:r>
          </w:p>
        </w:tc>
      </w:tr>
      <w:tr w14:paraId="4F5D14A9">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3A343667">
            <w:pPr>
              <w:widowControl/>
              <w:jc w:val="center"/>
              <w:rPr>
                <w:rFonts w:hint="eastAsia" w:ascii="宋体" w:hAnsi="宋体" w:cs="宋体"/>
                <w:kern w:val="0"/>
                <w:szCs w:val="21"/>
              </w:rPr>
            </w:pPr>
            <w:r>
              <w:rPr>
                <w:rFonts w:hint="eastAsia" w:ascii="宋体" w:hAnsi="宋体" w:cs="宋体"/>
                <w:kern w:val="0"/>
                <w:szCs w:val="21"/>
              </w:rPr>
              <w:t>12</w:t>
            </w:r>
          </w:p>
        </w:tc>
        <w:tc>
          <w:tcPr>
            <w:tcW w:w="1080" w:type="dxa"/>
            <w:tcBorders>
              <w:top w:val="nil"/>
              <w:left w:val="nil"/>
              <w:bottom w:val="single" w:color="000000" w:sz="8" w:space="0"/>
              <w:right w:val="single" w:color="000000" w:sz="8" w:space="0"/>
            </w:tcBorders>
            <w:vAlign w:val="center"/>
          </w:tcPr>
          <w:p w14:paraId="1B48E2A8">
            <w:pPr>
              <w:widowControl/>
              <w:jc w:val="center"/>
              <w:rPr>
                <w:rFonts w:hint="eastAsia" w:ascii="宋体" w:hAnsi="宋体" w:cs="宋体"/>
                <w:kern w:val="0"/>
                <w:szCs w:val="21"/>
              </w:rPr>
            </w:pPr>
            <w:r>
              <w:rPr>
                <w:rFonts w:hint="eastAsia" w:ascii="宋体" w:hAnsi="宋体" w:cs="宋体"/>
                <w:kern w:val="0"/>
                <w:szCs w:val="21"/>
              </w:rPr>
              <w:t>★A020910电视设备</w:t>
            </w:r>
          </w:p>
        </w:tc>
        <w:tc>
          <w:tcPr>
            <w:tcW w:w="1320" w:type="dxa"/>
            <w:tcBorders>
              <w:top w:val="nil"/>
              <w:left w:val="nil"/>
              <w:bottom w:val="single" w:color="000000" w:sz="8" w:space="0"/>
              <w:right w:val="single" w:color="000000" w:sz="8" w:space="0"/>
            </w:tcBorders>
            <w:vAlign w:val="center"/>
          </w:tcPr>
          <w:p w14:paraId="0BD85768">
            <w:pPr>
              <w:widowControl/>
              <w:jc w:val="center"/>
              <w:rPr>
                <w:rFonts w:hint="eastAsia" w:ascii="宋体" w:hAnsi="宋体" w:cs="宋体"/>
                <w:kern w:val="0"/>
                <w:szCs w:val="21"/>
              </w:rPr>
            </w:pPr>
            <w:r>
              <w:rPr>
                <w:rFonts w:hint="eastAsia" w:ascii="宋体" w:hAnsi="宋体" w:cs="宋体"/>
                <w:kern w:val="0"/>
                <w:szCs w:val="21"/>
              </w:rPr>
              <w:t>A02091001普通电视设备（电视机）</w:t>
            </w:r>
          </w:p>
        </w:tc>
        <w:tc>
          <w:tcPr>
            <w:tcW w:w="1620" w:type="dxa"/>
            <w:tcBorders>
              <w:top w:val="nil"/>
              <w:left w:val="nil"/>
              <w:bottom w:val="single" w:color="000000" w:sz="8" w:space="0"/>
              <w:right w:val="single" w:color="000000" w:sz="8" w:space="0"/>
            </w:tcBorders>
            <w:vAlign w:val="center"/>
          </w:tcPr>
          <w:p w14:paraId="0DC6C8E0">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27AE5080">
            <w:pPr>
              <w:widowControl/>
              <w:jc w:val="left"/>
              <w:rPr>
                <w:rFonts w:hint="eastAsia" w:ascii="宋体" w:hAnsi="宋体" w:cs="宋体"/>
                <w:kern w:val="0"/>
                <w:szCs w:val="21"/>
              </w:rPr>
            </w:pPr>
            <w:r>
              <w:rPr>
                <w:rFonts w:hint="eastAsia" w:ascii="宋体" w:hAnsi="宋体" w:cs="宋体"/>
                <w:kern w:val="0"/>
                <w:szCs w:val="21"/>
              </w:rPr>
              <w:t>《平板电视能效限定值及能效等级》（GB24850）</w:t>
            </w:r>
          </w:p>
        </w:tc>
      </w:tr>
      <w:tr w14:paraId="3DAE1918">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7662C10C">
            <w:pPr>
              <w:widowControl/>
              <w:jc w:val="center"/>
              <w:rPr>
                <w:rFonts w:hint="eastAsia" w:ascii="宋体" w:hAnsi="宋体" w:cs="宋体"/>
                <w:kern w:val="0"/>
                <w:szCs w:val="21"/>
              </w:rPr>
            </w:pPr>
            <w:r>
              <w:rPr>
                <w:rFonts w:hint="eastAsia" w:ascii="宋体" w:hAnsi="宋体" w:cs="宋体"/>
                <w:kern w:val="0"/>
                <w:szCs w:val="21"/>
              </w:rPr>
              <w:t>13</w:t>
            </w:r>
          </w:p>
        </w:tc>
        <w:tc>
          <w:tcPr>
            <w:tcW w:w="1080" w:type="dxa"/>
            <w:tcBorders>
              <w:top w:val="nil"/>
              <w:left w:val="nil"/>
              <w:bottom w:val="single" w:color="000000" w:sz="8" w:space="0"/>
              <w:right w:val="single" w:color="000000" w:sz="8" w:space="0"/>
            </w:tcBorders>
            <w:vAlign w:val="center"/>
          </w:tcPr>
          <w:p w14:paraId="2741BCA4">
            <w:pPr>
              <w:widowControl/>
              <w:jc w:val="center"/>
              <w:rPr>
                <w:rFonts w:hint="eastAsia" w:ascii="宋体" w:hAnsi="宋体" w:cs="宋体"/>
                <w:kern w:val="0"/>
                <w:szCs w:val="21"/>
              </w:rPr>
            </w:pPr>
            <w:r>
              <w:rPr>
                <w:rFonts w:hint="eastAsia" w:ascii="宋体" w:hAnsi="宋体" w:cs="宋体"/>
                <w:kern w:val="0"/>
                <w:szCs w:val="21"/>
              </w:rPr>
              <w:t>★A020911视频设备</w:t>
            </w:r>
          </w:p>
        </w:tc>
        <w:tc>
          <w:tcPr>
            <w:tcW w:w="1320" w:type="dxa"/>
            <w:tcBorders>
              <w:top w:val="nil"/>
              <w:left w:val="nil"/>
              <w:bottom w:val="single" w:color="000000" w:sz="8" w:space="0"/>
              <w:right w:val="single" w:color="000000" w:sz="8" w:space="0"/>
            </w:tcBorders>
            <w:vAlign w:val="center"/>
          </w:tcPr>
          <w:p w14:paraId="53107CAF">
            <w:pPr>
              <w:widowControl/>
              <w:jc w:val="center"/>
              <w:rPr>
                <w:rFonts w:hint="eastAsia" w:ascii="宋体" w:hAnsi="宋体" w:cs="宋体"/>
                <w:kern w:val="0"/>
                <w:szCs w:val="21"/>
              </w:rPr>
            </w:pPr>
            <w:r>
              <w:rPr>
                <w:rFonts w:hint="eastAsia" w:ascii="宋体" w:hAnsi="宋体" w:cs="宋体"/>
                <w:kern w:val="0"/>
                <w:szCs w:val="21"/>
              </w:rPr>
              <w:t>A02091107视频监控设备</w:t>
            </w:r>
          </w:p>
        </w:tc>
        <w:tc>
          <w:tcPr>
            <w:tcW w:w="1620" w:type="dxa"/>
            <w:tcBorders>
              <w:top w:val="nil"/>
              <w:left w:val="nil"/>
              <w:bottom w:val="single" w:color="000000" w:sz="8" w:space="0"/>
              <w:right w:val="single" w:color="000000" w:sz="8" w:space="0"/>
            </w:tcBorders>
            <w:vAlign w:val="center"/>
          </w:tcPr>
          <w:p w14:paraId="2BF4E263">
            <w:pPr>
              <w:widowControl/>
              <w:jc w:val="center"/>
              <w:rPr>
                <w:rFonts w:hint="eastAsia" w:ascii="宋体" w:hAnsi="宋体" w:cs="宋体"/>
                <w:kern w:val="0"/>
                <w:szCs w:val="21"/>
              </w:rPr>
            </w:pPr>
            <w:r>
              <w:rPr>
                <w:rFonts w:hint="eastAsia" w:ascii="宋体" w:hAnsi="宋体" w:cs="宋体"/>
                <w:kern w:val="0"/>
                <w:szCs w:val="21"/>
              </w:rPr>
              <w:t>监视器</w:t>
            </w:r>
          </w:p>
        </w:tc>
        <w:tc>
          <w:tcPr>
            <w:tcW w:w="4540" w:type="dxa"/>
            <w:tcBorders>
              <w:top w:val="nil"/>
              <w:left w:val="nil"/>
              <w:bottom w:val="single" w:color="000000" w:sz="8" w:space="0"/>
              <w:right w:val="single" w:color="000000" w:sz="8" w:space="0"/>
            </w:tcBorders>
            <w:vAlign w:val="center"/>
          </w:tcPr>
          <w:p w14:paraId="62AB6401">
            <w:pPr>
              <w:widowControl/>
              <w:jc w:val="left"/>
              <w:rPr>
                <w:rFonts w:hint="eastAsia" w:ascii="宋体" w:hAnsi="宋体" w:cs="宋体"/>
                <w:kern w:val="0"/>
                <w:szCs w:val="21"/>
              </w:rPr>
            </w:pPr>
            <w:r>
              <w:rPr>
                <w:rFonts w:hint="eastAsia" w:ascii="宋体" w:hAnsi="宋体" w:cs="宋体"/>
                <w:kern w:val="0"/>
                <w:szCs w:val="21"/>
              </w:rPr>
              <w:t>以射频信号为主要信号输入的监视器应符合《平板电视能效限定值及能效等级》（GB24850），以数字信号为主要信号输入的监视器应符合《计算机显示器能效限定值及能效等级》（GB21520）</w:t>
            </w:r>
          </w:p>
        </w:tc>
      </w:tr>
      <w:tr w14:paraId="0E13966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A04E565">
            <w:pPr>
              <w:widowControl/>
              <w:jc w:val="center"/>
              <w:rPr>
                <w:rFonts w:hint="eastAsia" w:ascii="宋体" w:hAnsi="宋体" w:cs="宋体"/>
                <w:kern w:val="0"/>
                <w:szCs w:val="21"/>
              </w:rPr>
            </w:pPr>
            <w:r>
              <w:rPr>
                <w:rFonts w:hint="eastAsia" w:ascii="宋体" w:hAnsi="宋体" w:cs="宋体"/>
                <w:kern w:val="0"/>
                <w:szCs w:val="21"/>
              </w:rPr>
              <w:t>14</w:t>
            </w:r>
          </w:p>
        </w:tc>
        <w:tc>
          <w:tcPr>
            <w:tcW w:w="1080" w:type="dxa"/>
            <w:tcBorders>
              <w:top w:val="nil"/>
              <w:left w:val="nil"/>
              <w:bottom w:val="single" w:color="000000" w:sz="8" w:space="0"/>
              <w:right w:val="single" w:color="000000" w:sz="8" w:space="0"/>
            </w:tcBorders>
            <w:vAlign w:val="center"/>
          </w:tcPr>
          <w:p w14:paraId="0142C73E">
            <w:pPr>
              <w:widowControl/>
              <w:jc w:val="center"/>
              <w:rPr>
                <w:rFonts w:hint="eastAsia" w:ascii="宋体" w:hAnsi="宋体" w:cs="宋体"/>
                <w:kern w:val="0"/>
                <w:szCs w:val="21"/>
              </w:rPr>
            </w:pPr>
            <w:r>
              <w:rPr>
                <w:rFonts w:hint="eastAsia" w:ascii="宋体" w:hAnsi="宋体" w:cs="宋体"/>
                <w:kern w:val="0"/>
                <w:szCs w:val="21"/>
              </w:rPr>
              <w:t>A031210饮食炊事机械</w:t>
            </w:r>
          </w:p>
        </w:tc>
        <w:tc>
          <w:tcPr>
            <w:tcW w:w="1320" w:type="dxa"/>
            <w:tcBorders>
              <w:top w:val="nil"/>
              <w:left w:val="nil"/>
              <w:bottom w:val="single" w:color="000000" w:sz="8" w:space="0"/>
              <w:right w:val="single" w:color="000000" w:sz="8" w:space="0"/>
            </w:tcBorders>
            <w:vAlign w:val="center"/>
          </w:tcPr>
          <w:p w14:paraId="16C635C8">
            <w:pPr>
              <w:widowControl/>
              <w:jc w:val="center"/>
              <w:rPr>
                <w:rFonts w:hint="eastAsia" w:ascii="宋体" w:hAnsi="宋体" w:cs="宋体"/>
                <w:kern w:val="0"/>
                <w:szCs w:val="21"/>
              </w:rPr>
            </w:pPr>
            <w:r>
              <w:rPr>
                <w:rFonts w:hint="eastAsia" w:ascii="宋体" w:hAnsi="宋体" w:cs="宋体"/>
                <w:kern w:val="0"/>
                <w:szCs w:val="21"/>
              </w:rPr>
              <w:t>商用燃气灶具</w:t>
            </w:r>
          </w:p>
        </w:tc>
        <w:tc>
          <w:tcPr>
            <w:tcW w:w="1620" w:type="dxa"/>
            <w:tcBorders>
              <w:top w:val="nil"/>
              <w:left w:val="nil"/>
              <w:bottom w:val="single" w:color="000000" w:sz="8" w:space="0"/>
              <w:right w:val="single" w:color="000000" w:sz="8" w:space="0"/>
            </w:tcBorders>
            <w:vAlign w:val="center"/>
          </w:tcPr>
          <w:p w14:paraId="05BE1AEA">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4344F527">
            <w:pPr>
              <w:widowControl/>
              <w:jc w:val="left"/>
              <w:rPr>
                <w:rFonts w:hint="eastAsia" w:ascii="宋体" w:hAnsi="宋体" w:cs="宋体"/>
                <w:kern w:val="0"/>
                <w:szCs w:val="21"/>
              </w:rPr>
            </w:pPr>
            <w:r>
              <w:rPr>
                <w:rFonts w:hint="eastAsia" w:ascii="宋体" w:hAnsi="宋体" w:cs="宋体"/>
                <w:kern w:val="0"/>
                <w:szCs w:val="21"/>
              </w:rPr>
              <w:t>《商用燃气灶具能效限定值及能效等级》（GB30531）</w:t>
            </w:r>
          </w:p>
        </w:tc>
      </w:tr>
      <w:tr w14:paraId="178204BC">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5FF4FB94">
            <w:pPr>
              <w:widowControl/>
              <w:jc w:val="center"/>
              <w:rPr>
                <w:rFonts w:hint="eastAsia" w:ascii="宋体" w:hAnsi="宋体" w:cs="宋体"/>
                <w:kern w:val="0"/>
                <w:szCs w:val="21"/>
              </w:rPr>
            </w:pPr>
            <w:r>
              <w:rPr>
                <w:rFonts w:hint="eastAsia" w:ascii="宋体" w:hAnsi="宋体" w:cs="宋体"/>
                <w:kern w:val="0"/>
                <w:szCs w:val="21"/>
              </w:rPr>
              <w:t>15</w:t>
            </w:r>
          </w:p>
        </w:tc>
        <w:tc>
          <w:tcPr>
            <w:tcW w:w="1080" w:type="dxa"/>
            <w:vMerge w:val="restart"/>
            <w:tcBorders>
              <w:top w:val="nil"/>
              <w:left w:val="single" w:color="000000" w:sz="8" w:space="0"/>
              <w:bottom w:val="single" w:color="000000" w:sz="8" w:space="0"/>
              <w:right w:val="single" w:color="000000" w:sz="8" w:space="0"/>
            </w:tcBorders>
            <w:vAlign w:val="center"/>
          </w:tcPr>
          <w:p w14:paraId="3C44D283">
            <w:pPr>
              <w:widowControl/>
              <w:jc w:val="center"/>
              <w:rPr>
                <w:rFonts w:hint="eastAsia" w:ascii="宋体" w:hAnsi="宋体" w:cs="宋体"/>
                <w:kern w:val="0"/>
                <w:szCs w:val="21"/>
              </w:rPr>
            </w:pPr>
            <w:r>
              <w:rPr>
                <w:rFonts w:hint="eastAsia" w:ascii="宋体" w:hAnsi="宋体" w:cs="宋体"/>
                <w:kern w:val="0"/>
                <w:szCs w:val="21"/>
              </w:rPr>
              <w:t>★A060805便器</w:t>
            </w:r>
          </w:p>
        </w:tc>
        <w:tc>
          <w:tcPr>
            <w:tcW w:w="1320" w:type="dxa"/>
            <w:tcBorders>
              <w:top w:val="nil"/>
              <w:left w:val="nil"/>
              <w:bottom w:val="single" w:color="000000" w:sz="8" w:space="0"/>
              <w:right w:val="single" w:color="000000" w:sz="8" w:space="0"/>
            </w:tcBorders>
            <w:vAlign w:val="center"/>
          </w:tcPr>
          <w:p w14:paraId="1052C008">
            <w:pPr>
              <w:widowControl/>
              <w:jc w:val="center"/>
              <w:rPr>
                <w:rFonts w:hint="eastAsia" w:ascii="宋体" w:hAnsi="宋体" w:cs="宋体"/>
                <w:kern w:val="0"/>
                <w:szCs w:val="21"/>
              </w:rPr>
            </w:pPr>
            <w:r>
              <w:rPr>
                <w:rFonts w:hint="eastAsia" w:ascii="宋体" w:hAnsi="宋体" w:cs="宋体"/>
                <w:kern w:val="0"/>
                <w:szCs w:val="21"/>
              </w:rPr>
              <w:t>坐便器</w:t>
            </w:r>
          </w:p>
        </w:tc>
        <w:tc>
          <w:tcPr>
            <w:tcW w:w="1620" w:type="dxa"/>
            <w:tcBorders>
              <w:top w:val="nil"/>
              <w:left w:val="nil"/>
              <w:bottom w:val="single" w:color="000000" w:sz="8" w:space="0"/>
              <w:right w:val="single" w:color="000000" w:sz="8" w:space="0"/>
            </w:tcBorders>
            <w:vAlign w:val="center"/>
          </w:tcPr>
          <w:p w14:paraId="7D2631AE">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7240A86B">
            <w:pPr>
              <w:widowControl/>
              <w:jc w:val="left"/>
              <w:rPr>
                <w:rFonts w:hint="eastAsia" w:ascii="宋体" w:hAnsi="宋体" w:cs="宋体"/>
                <w:kern w:val="0"/>
                <w:szCs w:val="21"/>
              </w:rPr>
            </w:pPr>
            <w:r>
              <w:rPr>
                <w:rFonts w:hint="eastAsia" w:ascii="宋体" w:hAnsi="宋体" w:cs="宋体"/>
                <w:kern w:val="0"/>
                <w:szCs w:val="21"/>
              </w:rPr>
              <w:t>《坐便器水效限定值及水效等级》（GB25502）</w:t>
            </w:r>
          </w:p>
        </w:tc>
      </w:tr>
      <w:tr w14:paraId="3301E8F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4092DCE">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50D93673">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vAlign w:val="center"/>
          </w:tcPr>
          <w:p w14:paraId="7325C135">
            <w:pPr>
              <w:widowControl/>
              <w:jc w:val="center"/>
              <w:rPr>
                <w:rFonts w:hint="eastAsia" w:ascii="宋体" w:hAnsi="宋体" w:cs="宋体"/>
                <w:kern w:val="0"/>
                <w:szCs w:val="21"/>
              </w:rPr>
            </w:pPr>
            <w:r>
              <w:rPr>
                <w:rFonts w:hint="eastAsia" w:ascii="宋体" w:hAnsi="宋体" w:cs="宋体"/>
                <w:kern w:val="0"/>
                <w:szCs w:val="21"/>
              </w:rPr>
              <w:t>蹲便器</w:t>
            </w:r>
          </w:p>
        </w:tc>
        <w:tc>
          <w:tcPr>
            <w:tcW w:w="1620" w:type="dxa"/>
            <w:tcBorders>
              <w:top w:val="nil"/>
              <w:left w:val="nil"/>
              <w:bottom w:val="single" w:color="000000" w:sz="8" w:space="0"/>
              <w:right w:val="single" w:color="000000" w:sz="8" w:space="0"/>
            </w:tcBorders>
            <w:vAlign w:val="center"/>
          </w:tcPr>
          <w:p w14:paraId="3348DF7B">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0A44927A">
            <w:pPr>
              <w:widowControl/>
              <w:jc w:val="left"/>
              <w:rPr>
                <w:rFonts w:hint="eastAsia" w:ascii="宋体" w:hAnsi="宋体" w:cs="宋体"/>
                <w:kern w:val="0"/>
                <w:szCs w:val="21"/>
              </w:rPr>
            </w:pPr>
            <w:r>
              <w:rPr>
                <w:rFonts w:hint="eastAsia" w:ascii="宋体" w:hAnsi="宋体" w:cs="宋体"/>
                <w:kern w:val="0"/>
                <w:szCs w:val="21"/>
              </w:rPr>
              <w:t>《蹲便器用水效率限定值及用水效率等级》（GB30717）</w:t>
            </w:r>
          </w:p>
        </w:tc>
      </w:tr>
      <w:tr w14:paraId="5A64D04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DB40BF6">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vAlign w:val="center"/>
          </w:tcPr>
          <w:p w14:paraId="28A84A37">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vAlign w:val="center"/>
          </w:tcPr>
          <w:p w14:paraId="056175ED">
            <w:pPr>
              <w:widowControl/>
              <w:jc w:val="center"/>
              <w:rPr>
                <w:rFonts w:hint="eastAsia" w:ascii="宋体" w:hAnsi="宋体" w:cs="宋体"/>
                <w:kern w:val="0"/>
                <w:szCs w:val="21"/>
              </w:rPr>
            </w:pPr>
            <w:r>
              <w:rPr>
                <w:rFonts w:hint="eastAsia" w:ascii="宋体" w:hAnsi="宋体" w:cs="宋体"/>
                <w:kern w:val="0"/>
                <w:szCs w:val="21"/>
              </w:rPr>
              <w:t>小便器</w:t>
            </w:r>
          </w:p>
        </w:tc>
        <w:tc>
          <w:tcPr>
            <w:tcW w:w="1620" w:type="dxa"/>
            <w:tcBorders>
              <w:top w:val="nil"/>
              <w:left w:val="nil"/>
              <w:bottom w:val="single" w:color="000000" w:sz="8" w:space="0"/>
              <w:right w:val="single" w:color="000000" w:sz="8" w:space="0"/>
            </w:tcBorders>
            <w:vAlign w:val="center"/>
          </w:tcPr>
          <w:p w14:paraId="0DB16D10">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460E57BD">
            <w:pPr>
              <w:widowControl/>
              <w:jc w:val="left"/>
              <w:rPr>
                <w:rFonts w:hint="eastAsia" w:ascii="宋体" w:hAnsi="宋体" w:cs="宋体"/>
                <w:kern w:val="0"/>
                <w:szCs w:val="21"/>
              </w:rPr>
            </w:pPr>
            <w:r>
              <w:rPr>
                <w:rFonts w:hint="eastAsia" w:ascii="宋体" w:hAnsi="宋体" w:cs="宋体"/>
                <w:kern w:val="0"/>
                <w:szCs w:val="21"/>
              </w:rPr>
              <w:t>《小便器用水效率限定值及用水效率等级》（GB28377）</w:t>
            </w:r>
          </w:p>
        </w:tc>
      </w:tr>
      <w:tr w14:paraId="31038A7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64E206B">
            <w:pPr>
              <w:widowControl/>
              <w:jc w:val="center"/>
              <w:rPr>
                <w:rFonts w:hint="eastAsia" w:ascii="宋体" w:hAnsi="宋体" w:cs="宋体"/>
                <w:kern w:val="0"/>
                <w:szCs w:val="21"/>
              </w:rPr>
            </w:pPr>
            <w:r>
              <w:rPr>
                <w:rFonts w:hint="eastAsia" w:ascii="宋体" w:hAnsi="宋体" w:cs="宋体"/>
                <w:kern w:val="0"/>
                <w:szCs w:val="21"/>
              </w:rPr>
              <w:t>16</w:t>
            </w:r>
          </w:p>
        </w:tc>
        <w:tc>
          <w:tcPr>
            <w:tcW w:w="1080" w:type="dxa"/>
            <w:tcBorders>
              <w:top w:val="nil"/>
              <w:left w:val="nil"/>
              <w:bottom w:val="single" w:color="000000" w:sz="8" w:space="0"/>
              <w:right w:val="single" w:color="000000" w:sz="8" w:space="0"/>
            </w:tcBorders>
            <w:vAlign w:val="center"/>
          </w:tcPr>
          <w:p w14:paraId="40E33096">
            <w:pPr>
              <w:widowControl/>
              <w:jc w:val="center"/>
              <w:rPr>
                <w:rFonts w:hint="eastAsia" w:ascii="宋体" w:hAnsi="宋体" w:cs="宋体"/>
                <w:kern w:val="0"/>
                <w:szCs w:val="21"/>
              </w:rPr>
            </w:pPr>
            <w:r>
              <w:rPr>
                <w:rFonts w:hint="eastAsia" w:ascii="宋体" w:hAnsi="宋体" w:cs="宋体"/>
                <w:kern w:val="0"/>
                <w:szCs w:val="21"/>
              </w:rPr>
              <w:t>★A060806水嘴</w:t>
            </w:r>
          </w:p>
        </w:tc>
        <w:tc>
          <w:tcPr>
            <w:tcW w:w="1320" w:type="dxa"/>
            <w:tcBorders>
              <w:top w:val="nil"/>
              <w:left w:val="nil"/>
              <w:bottom w:val="single" w:color="000000" w:sz="8" w:space="0"/>
              <w:right w:val="single" w:color="000000" w:sz="8" w:space="0"/>
            </w:tcBorders>
            <w:vAlign w:val="center"/>
          </w:tcPr>
          <w:p w14:paraId="56D5A070">
            <w:pPr>
              <w:widowControl/>
              <w:jc w:val="center"/>
              <w:rPr>
                <w:rFonts w:hint="eastAsia" w:ascii="宋体" w:hAnsi="宋体" w:cs="宋体"/>
                <w:kern w:val="0"/>
                <w:szCs w:val="21"/>
              </w:rPr>
            </w:pPr>
            <w:r>
              <w:rPr>
                <w:rFonts w:hint="eastAsia" w:ascii="宋体" w:hAnsi="宋体" w:cs="宋体"/>
                <w:kern w:val="0"/>
                <w:szCs w:val="21"/>
              </w:rPr>
              <w:t>　</w:t>
            </w:r>
          </w:p>
        </w:tc>
        <w:tc>
          <w:tcPr>
            <w:tcW w:w="1620" w:type="dxa"/>
            <w:tcBorders>
              <w:top w:val="nil"/>
              <w:left w:val="nil"/>
              <w:bottom w:val="single" w:color="000000" w:sz="8" w:space="0"/>
              <w:right w:val="single" w:color="000000" w:sz="8" w:space="0"/>
            </w:tcBorders>
            <w:vAlign w:val="center"/>
          </w:tcPr>
          <w:p w14:paraId="293462B5">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1BE78B6D">
            <w:pPr>
              <w:widowControl/>
              <w:jc w:val="left"/>
              <w:rPr>
                <w:rFonts w:hint="eastAsia" w:ascii="宋体" w:hAnsi="宋体" w:cs="宋体"/>
                <w:kern w:val="0"/>
                <w:szCs w:val="21"/>
              </w:rPr>
            </w:pPr>
            <w:r>
              <w:rPr>
                <w:rFonts w:hint="eastAsia" w:ascii="宋体" w:hAnsi="宋体" w:cs="宋体"/>
                <w:kern w:val="0"/>
                <w:szCs w:val="21"/>
              </w:rPr>
              <w:t>《水嘴用水效率限定值及用水效率等级》（GB 25501）</w:t>
            </w:r>
          </w:p>
        </w:tc>
      </w:tr>
      <w:tr w14:paraId="53D89A8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FF89840">
            <w:pPr>
              <w:widowControl/>
              <w:jc w:val="center"/>
              <w:rPr>
                <w:rFonts w:hint="eastAsia" w:ascii="宋体" w:hAnsi="宋体" w:cs="宋体"/>
                <w:kern w:val="0"/>
                <w:szCs w:val="21"/>
              </w:rPr>
            </w:pPr>
            <w:r>
              <w:rPr>
                <w:rFonts w:hint="eastAsia" w:ascii="宋体" w:hAnsi="宋体" w:cs="宋体"/>
                <w:kern w:val="0"/>
                <w:szCs w:val="21"/>
              </w:rPr>
              <w:t>17</w:t>
            </w:r>
          </w:p>
        </w:tc>
        <w:tc>
          <w:tcPr>
            <w:tcW w:w="1080" w:type="dxa"/>
            <w:tcBorders>
              <w:top w:val="nil"/>
              <w:left w:val="nil"/>
              <w:bottom w:val="single" w:color="000000" w:sz="8" w:space="0"/>
              <w:right w:val="single" w:color="000000" w:sz="8" w:space="0"/>
            </w:tcBorders>
            <w:vAlign w:val="center"/>
          </w:tcPr>
          <w:p w14:paraId="79FDF38C">
            <w:pPr>
              <w:widowControl/>
              <w:jc w:val="center"/>
              <w:rPr>
                <w:rFonts w:hint="eastAsia" w:ascii="宋体" w:hAnsi="宋体" w:cs="宋体"/>
                <w:kern w:val="0"/>
                <w:szCs w:val="21"/>
              </w:rPr>
            </w:pPr>
            <w:r>
              <w:rPr>
                <w:rFonts w:hint="eastAsia" w:ascii="宋体" w:hAnsi="宋体" w:cs="宋体"/>
                <w:kern w:val="0"/>
                <w:szCs w:val="21"/>
              </w:rPr>
              <w:t>A060807便器冲洗阀</w:t>
            </w:r>
          </w:p>
        </w:tc>
        <w:tc>
          <w:tcPr>
            <w:tcW w:w="1320" w:type="dxa"/>
            <w:tcBorders>
              <w:top w:val="nil"/>
              <w:left w:val="nil"/>
              <w:bottom w:val="single" w:color="000000" w:sz="8" w:space="0"/>
              <w:right w:val="single" w:color="000000" w:sz="8" w:space="0"/>
            </w:tcBorders>
            <w:vAlign w:val="center"/>
          </w:tcPr>
          <w:p w14:paraId="642315A5">
            <w:pPr>
              <w:widowControl/>
              <w:jc w:val="center"/>
              <w:rPr>
                <w:rFonts w:hint="eastAsia" w:ascii="宋体" w:hAnsi="宋体" w:cs="宋体"/>
                <w:kern w:val="0"/>
                <w:szCs w:val="21"/>
              </w:rPr>
            </w:pPr>
            <w:r>
              <w:rPr>
                <w:rFonts w:hint="eastAsia" w:ascii="宋体" w:hAnsi="宋体" w:cs="宋体"/>
                <w:kern w:val="0"/>
                <w:szCs w:val="21"/>
              </w:rPr>
              <w:t>　</w:t>
            </w:r>
          </w:p>
        </w:tc>
        <w:tc>
          <w:tcPr>
            <w:tcW w:w="1620" w:type="dxa"/>
            <w:tcBorders>
              <w:top w:val="nil"/>
              <w:left w:val="nil"/>
              <w:bottom w:val="single" w:color="000000" w:sz="8" w:space="0"/>
              <w:right w:val="single" w:color="000000" w:sz="8" w:space="0"/>
            </w:tcBorders>
            <w:vAlign w:val="center"/>
          </w:tcPr>
          <w:p w14:paraId="4722B367">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480EF9A0">
            <w:pPr>
              <w:widowControl/>
              <w:jc w:val="left"/>
              <w:rPr>
                <w:rFonts w:hint="eastAsia" w:ascii="宋体" w:hAnsi="宋体" w:cs="宋体"/>
                <w:kern w:val="0"/>
                <w:szCs w:val="21"/>
              </w:rPr>
            </w:pPr>
            <w:r>
              <w:rPr>
                <w:rFonts w:hint="eastAsia" w:ascii="宋体" w:hAnsi="宋体" w:cs="宋体"/>
                <w:kern w:val="0"/>
                <w:szCs w:val="21"/>
              </w:rPr>
              <w:t>《便器冲洗阀用水效率限定值及用水效率等级》（GB28379）</w:t>
            </w:r>
          </w:p>
        </w:tc>
      </w:tr>
      <w:tr w14:paraId="1D465FE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F2CF17B">
            <w:pPr>
              <w:widowControl/>
              <w:jc w:val="center"/>
              <w:rPr>
                <w:rFonts w:hint="eastAsia" w:ascii="宋体" w:hAnsi="宋体" w:cs="宋体"/>
                <w:kern w:val="0"/>
                <w:szCs w:val="21"/>
              </w:rPr>
            </w:pPr>
            <w:r>
              <w:rPr>
                <w:rFonts w:hint="eastAsia" w:ascii="宋体" w:hAnsi="宋体" w:cs="宋体"/>
                <w:kern w:val="0"/>
                <w:szCs w:val="21"/>
              </w:rPr>
              <w:t>18</w:t>
            </w:r>
          </w:p>
        </w:tc>
        <w:tc>
          <w:tcPr>
            <w:tcW w:w="1080" w:type="dxa"/>
            <w:tcBorders>
              <w:top w:val="nil"/>
              <w:left w:val="nil"/>
              <w:bottom w:val="single" w:color="000000" w:sz="8" w:space="0"/>
              <w:right w:val="single" w:color="000000" w:sz="8" w:space="0"/>
            </w:tcBorders>
            <w:vAlign w:val="center"/>
          </w:tcPr>
          <w:p w14:paraId="13F1E4EE">
            <w:pPr>
              <w:widowControl/>
              <w:jc w:val="center"/>
              <w:rPr>
                <w:rFonts w:hint="eastAsia" w:ascii="宋体" w:hAnsi="宋体" w:cs="宋体"/>
                <w:kern w:val="0"/>
                <w:szCs w:val="21"/>
              </w:rPr>
            </w:pPr>
            <w:r>
              <w:rPr>
                <w:rFonts w:hint="eastAsia" w:ascii="宋体" w:hAnsi="宋体" w:cs="宋体"/>
                <w:kern w:val="0"/>
                <w:szCs w:val="21"/>
              </w:rPr>
              <w:t>A060810淋浴器</w:t>
            </w:r>
          </w:p>
        </w:tc>
        <w:tc>
          <w:tcPr>
            <w:tcW w:w="1320" w:type="dxa"/>
            <w:tcBorders>
              <w:top w:val="nil"/>
              <w:left w:val="nil"/>
              <w:bottom w:val="single" w:color="000000" w:sz="8" w:space="0"/>
              <w:right w:val="single" w:color="000000" w:sz="8" w:space="0"/>
            </w:tcBorders>
            <w:vAlign w:val="center"/>
          </w:tcPr>
          <w:p w14:paraId="436DFF56">
            <w:pPr>
              <w:widowControl/>
              <w:jc w:val="center"/>
              <w:rPr>
                <w:rFonts w:hint="eastAsia" w:ascii="宋体" w:hAnsi="宋体" w:cs="宋体"/>
                <w:kern w:val="0"/>
                <w:szCs w:val="21"/>
              </w:rPr>
            </w:pPr>
            <w:r>
              <w:rPr>
                <w:rFonts w:hint="eastAsia" w:ascii="宋体" w:hAnsi="宋体" w:cs="宋体"/>
                <w:kern w:val="0"/>
                <w:szCs w:val="21"/>
              </w:rPr>
              <w:t>　</w:t>
            </w:r>
          </w:p>
        </w:tc>
        <w:tc>
          <w:tcPr>
            <w:tcW w:w="1620" w:type="dxa"/>
            <w:tcBorders>
              <w:top w:val="nil"/>
              <w:left w:val="nil"/>
              <w:bottom w:val="single" w:color="000000" w:sz="8" w:space="0"/>
              <w:right w:val="single" w:color="000000" w:sz="8" w:space="0"/>
            </w:tcBorders>
            <w:vAlign w:val="center"/>
          </w:tcPr>
          <w:p w14:paraId="744EB816">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vAlign w:val="center"/>
          </w:tcPr>
          <w:p w14:paraId="597E97C8">
            <w:pPr>
              <w:widowControl/>
              <w:jc w:val="left"/>
              <w:rPr>
                <w:rFonts w:hint="eastAsia" w:ascii="宋体" w:hAnsi="宋体" w:cs="宋体"/>
                <w:kern w:val="0"/>
                <w:szCs w:val="21"/>
              </w:rPr>
            </w:pPr>
            <w:r>
              <w:rPr>
                <w:rFonts w:hint="eastAsia" w:ascii="宋体" w:hAnsi="宋体" w:cs="宋体"/>
                <w:kern w:val="0"/>
                <w:szCs w:val="21"/>
              </w:rPr>
              <w:t>《淋浴器用水效率限定值及用水效率等级》（GB28378）</w:t>
            </w:r>
          </w:p>
        </w:tc>
      </w:tr>
    </w:tbl>
    <w:p w14:paraId="64FB5C7F">
      <w:pPr>
        <w:pStyle w:val="19"/>
        <w:spacing w:line="360" w:lineRule="auto"/>
        <w:rPr>
          <w:rFonts w:hint="eastAsia"/>
          <w:spacing w:val="-3"/>
          <w:sz w:val="21"/>
          <w:szCs w:val="21"/>
        </w:rPr>
      </w:pPr>
    </w:p>
    <w:p w14:paraId="32DE0082">
      <w:pPr>
        <w:pStyle w:val="19"/>
        <w:spacing w:line="360" w:lineRule="auto"/>
        <w:rPr>
          <w:rFonts w:ascii="宋体" w:hAnsi="宋体"/>
          <w:sz w:val="21"/>
          <w:szCs w:val="21"/>
        </w:rPr>
      </w:pPr>
      <w:r>
        <w:rPr>
          <w:rFonts w:hint="eastAsia"/>
          <w:spacing w:val="-3"/>
          <w:sz w:val="21"/>
          <w:szCs w:val="21"/>
        </w:rPr>
        <w:t>注：</w:t>
      </w:r>
      <w:r>
        <w:rPr>
          <w:spacing w:val="-3"/>
          <w:sz w:val="21"/>
          <w:szCs w:val="21"/>
        </w:rPr>
        <w:t>1.</w:t>
      </w:r>
      <w:r>
        <w:rPr>
          <w:rFonts w:hint="eastAsia"/>
          <w:spacing w:val="-3"/>
          <w:sz w:val="21"/>
          <w:szCs w:val="21"/>
        </w:rPr>
        <w:t>节能产品认证应依据相关国家标准的最新版本，依据国家标准中二级能效（水效）</w:t>
      </w:r>
      <w:r>
        <w:rPr>
          <w:rFonts w:hint="eastAsia"/>
          <w:sz w:val="21"/>
          <w:szCs w:val="21"/>
        </w:rPr>
        <w:t>指标。</w:t>
      </w:r>
    </w:p>
    <w:p w14:paraId="75B7E6F7">
      <w:pPr>
        <w:jc w:val="left"/>
        <w:rPr>
          <w:b/>
          <w:bCs/>
          <w:szCs w:val="21"/>
        </w:rPr>
      </w:pPr>
      <w:r>
        <w:rPr>
          <w:rFonts w:hint="eastAsia" w:ascii="宋体" w:hAnsi="宋体"/>
          <w:szCs w:val="21"/>
        </w:rPr>
        <w:t xml:space="preserve">    </w:t>
      </w:r>
      <w:r>
        <w:rPr>
          <w:szCs w:val="21"/>
        </w:rPr>
        <w:t>2</w:t>
      </w:r>
      <w:r>
        <w:rPr>
          <w:b/>
          <w:bCs/>
          <w:szCs w:val="21"/>
        </w:rPr>
        <w:t>.</w:t>
      </w:r>
      <w:r>
        <w:rPr>
          <w:rFonts w:hint="eastAsia"/>
          <w:b/>
          <w:bCs/>
          <w:szCs w:val="21"/>
        </w:rPr>
        <w:t>以</w:t>
      </w:r>
      <w:r>
        <w:rPr>
          <w:b/>
          <w:bCs/>
          <w:szCs w:val="21"/>
        </w:rPr>
        <w:t>“</w:t>
      </w:r>
      <w:r>
        <w:rPr>
          <w:rFonts w:hint="eastAsia"/>
          <w:b/>
          <w:bCs/>
          <w:szCs w:val="21"/>
        </w:rPr>
        <w:t>★</w:t>
      </w:r>
      <w:r>
        <w:rPr>
          <w:b/>
          <w:bCs/>
          <w:szCs w:val="21"/>
        </w:rPr>
        <w:t>”</w:t>
      </w:r>
      <w:r>
        <w:rPr>
          <w:rFonts w:hint="eastAsia"/>
          <w:b/>
          <w:bCs/>
          <w:szCs w:val="21"/>
        </w:rPr>
        <w:t>标注的为政府强制采购产品。</w:t>
      </w:r>
    </w:p>
    <w:p w14:paraId="25AEA201">
      <w:pPr>
        <w:jc w:val="left"/>
        <w:rPr>
          <w:rFonts w:hint="eastAsia" w:ascii="宋体"/>
          <w:sz w:val="32"/>
          <w:szCs w:val="32"/>
        </w:rPr>
      </w:pPr>
      <w:r>
        <w:rPr>
          <w:b/>
          <w:bCs/>
          <w:szCs w:val="21"/>
        </w:rPr>
        <w:br w:type="page"/>
      </w:r>
    </w:p>
    <w:p w14:paraId="74D00563">
      <w:pPr>
        <w:spacing w:line="400" w:lineRule="exact"/>
        <w:jc w:val="center"/>
        <w:rPr>
          <w:rFonts w:hint="eastAsia" w:ascii="宋体"/>
          <w:sz w:val="32"/>
          <w:szCs w:val="32"/>
        </w:rPr>
      </w:pPr>
    </w:p>
    <w:p w14:paraId="2152F7EF">
      <w:pPr>
        <w:spacing w:line="400" w:lineRule="exact"/>
        <w:jc w:val="center"/>
        <w:rPr>
          <w:rFonts w:hint="eastAsia" w:ascii="宋体"/>
          <w:sz w:val="32"/>
          <w:szCs w:val="32"/>
        </w:rPr>
      </w:pPr>
    </w:p>
    <w:p w14:paraId="018AA7BA">
      <w:pPr>
        <w:spacing w:line="400" w:lineRule="exact"/>
        <w:jc w:val="center"/>
        <w:rPr>
          <w:rFonts w:hint="eastAsia" w:ascii="宋体"/>
          <w:sz w:val="32"/>
          <w:szCs w:val="32"/>
        </w:rPr>
      </w:pPr>
    </w:p>
    <w:p w14:paraId="7349051D">
      <w:pPr>
        <w:spacing w:line="400" w:lineRule="exact"/>
        <w:jc w:val="center"/>
        <w:rPr>
          <w:rFonts w:hint="eastAsia" w:ascii="宋体"/>
          <w:sz w:val="32"/>
          <w:szCs w:val="32"/>
        </w:rPr>
      </w:pPr>
    </w:p>
    <w:p w14:paraId="187B18A1">
      <w:pPr>
        <w:spacing w:line="400" w:lineRule="exact"/>
        <w:jc w:val="center"/>
        <w:rPr>
          <w:rFonts w:hint="eastAsia" w:ascii="宋体"/>
          <w:sz w:val="32"/>
          <w:szCs w:val="32"/>
        </w:rPr>
      </w:pPr>
    </w:p>
    <w:p w14:paraId="1B2DB23A">
      <w:pPr>
        <w:spacing w:line="400" w:lineRule="exact"/>
        <w:jc w:val="center"/>
        <w:rPr>
          <w:rFonts w:hint="eastAsia" w:ascii="宋体"/>
          <w:sz w:val="32"/>
          <w:szCs w:val="32"/>
        </w:rPr>
      </w:pPr>
    </w:p>
    <w:p w14:paraId="3E729E82">
      <w:pPr>
        <w:spacing w:line="400" w:lineRule="exact"/>
        <w:jc w:val="center"/>
        <w:rPr>
          <w:rFonts w:hint="eastAsia" w:ascii="宋体"/>
          <w:sz w:val="32"/>
          <w:szCs w:val="32"/>
        </w:rPr>
      </w:pPr>
    </w:p>
    <w:p w14:paraId="3BEC0F91">
      <w:pPr>
        <w:spacing w:line="400" w:lineRule="exact"/>
        <w:jc w:val="center"/>
        <w:rPr>
          <w:rFonts w:hint="eastAsia" w:ascii="宋体"/>
          <w:sz w:val="32"/>
          <w:szCs w:val="32"/>
        </w:rPr>
      </w:pPr>
    </w:p>
    <w:p w14:paraId="2366098E">
      <w:pPr>
        <w:spacing w:line="400" w:lineRule="exact"/>
        <w:jc w:val="center"/>
        <w:rPr>
          <w:rFonts w:hint="eastAsia" w:ascii="宋体"/>
          <w:sz w:val="32"/>
          <w:szCs w:val="32"/>
        </w:rPr>
      </w:pPr>
    </w:p>
    <w:p w14:paraId="549A3543">
      <w:pPr>
        <w:spacing w:line="400" w:lineRule="exact"/>
        <w:jc w:val="center"/>
        <w:rPr>
          <w:rFonts w:hint="eastAsia" w:ascii="宋体"/>
          <w:sz w:val="32"/>
          <w:szCs w:val="32"/>
        </w:rPr>
      </w:pPr>
    </w:p>
    <w:p w14:paraId="4A6CE4D4">
      <w:pPr>
        <w:spacing w:line="400" w:lineRule="exact"/>
        <w:jc w:val="center"/>
        <w:rPr>
          <w:rFonts w:hint="eastAsia" w:ascii="宋体"/>
          <w:sz w:val="32"/>
          <w:szCs w:val="32"/>
        </w:rPr>
      </w:pPr>
    </w:p>
    <w:p w14:paraId="0E1C8BB1">
      <w:pPr>
        <w:spacing w:line="400" w:lineRule="exact"/>
        <w:jc w:val="center"/>
        <w:rPr>
          <w:rFonts w:hint="eastAsia" w:ascii="宋体"/>
          <w:sz w:val="32"/>
          <w:szCs w:val="32"/>
        </w:rPr>
      </w:pPr>
    </w:p>
    <w:p w14:paraId="67636BE7">
      <w:pPr>
        <w:spacing w:line="400" w:lineRule="exact"/>
        <w:jc w:val="center"/>
        <w:rPr>
          <w:rFonts w:hint="eastAsia" w:ascii="宋体"/>
          <w:sz w:val="32"/>
          <w:szCs w:val="32"/>
        </w:rPr>
      </w:pPr>
    </w:p>
    <w:p w14:paraId="0F49B1F9">
      <w:pPr>
        <w:spacing w:line="400" w:lineRule="exact"/>
        <w:jc w:val="center"/>
        <w:rPr>
          <w:rFonts w:hint="eastAsia" w:ascii="宋体"/>
          <w:sz w:val="32"/>
          <w:szCs w:val="32"/>
        </w:rPr>
      </w:pPr>
    </w:p>
    <w:bookmarkEnd w:id="86"/>
    <w:bookmarkEnd w:id="87"/>
    <w:p w14:paraId="5AF6FE8C">
      <w:pPr>
        <w:pStyle w:val="46"/>
        <w:rPr>
          <w:rFonts w:hint="eastAsia"/>
          <w:sz w:val="44"/>
          <w:szCs w:val="44"/>
        </w:rPr>
      </w:pPr>
      <w:bookmarkStart w:id="88" w:name="_Toc476436434"/>
      <w:bookmarkStart w:id="89" w:name="_Toc476436175"/>
      <w:r>
        <w:rPr>
          <w:rFonts w:hint="eastAsia"/>
          <w:sz w:val="44"/>
          <w:szCs w:val="44"/>
        </w:rPr>
        <w:t>第四章  评标方法及评分标准</w:t>
      </w:r>
      <w:bookmarkEnd w:id="88"/>
      <w:bookmarkEnd w:id="89"/>
    </w:p>
    <w:p w14:paraId="02B19BA0">
      <w:pPr>
        <w:pStyle w:val="26"/>
        <w:spacing w:line="360" w:lineRule="exact"/>
        <w:rPr>
          <w:rFonts w:hint="eastAsia"/>
          <w:b/>
          <w:bCs/>
        </w:rPr>
      </w:pPr>
      <w:bookmarkStart w:id="90" w:name="_Toc254970549"/>
      <w:bookmarkStart w:id="91" w:name="_Toc254970690"/>
    </w:p>
    <w:p w14:paraId="0741C54A">
      <w:pPr>
        <w:pStyle w:val="26"/>
        <w:spacing w:line="360" w:lineRule="exact"/>
        <w:rPr>
          <w:rFonts w:hint="eastAsia"/>
          <w:b/>
          <w:bCs/>
        </w:rPr>
      </w:pPr>
    </w:p>
    <w:p w14:paraId="24596867">
      <w:pPr>
        <w:pStyle w:val="26"/>
        <w:spacing w:line="360" w:lineRule="exact"/>
        <w:rPr>
          <w:rFonts w:hint="eastAsia"/>
          <w:b/>
          <w:bCs/>
        </w:rPr>
      </w:pPr>
    </w:p>
    <w:p w14:paraId="1E02EDF7">
      <w:pPr>
        <w:pStyle w:val="26"/>
        <w:spacing w:line="360" w:lineRule="exact"/>
        <w:rPr>
          <w:rFonts w:hint="eastAsia"/>
          <w:b/>
          <w:bCs/>
        </w:rPr>
      </w:pPr>
    </w:p>
    <w:p w14:paraId="49B3AECC">
      <w:pPr>
        <w:pStyle w:val="26"/>
        <w:spacing w:line="360" w:lineRule="exact"/>
        <w:rPr>
          <w:rFonts w:hint="eastAsia"/>
          <w:b/>
          <w:bCs/>
        </w:rPr>
      </w:pPr>
    </w:p>
    <w:p w14:paraId="7D3F8BBA">
      <w:pPr>
        <w:pStyle w:val="26"/>
        <w:spacing w:line="360" w:lineRule="exact"/>
        <w:rPr>
          <w:rFonts w:hint="eastAsia"/>
          <w:b/>
          <w:bCs/>
        </w:rPr>
      </w:pPr>
    </w:p>
    <w:p w14:paraId="1E2EF022">
      <w:pPr>
        <w:pStyle w:val="26"/>
        <w:spacing w:line="360" w:lineRule="exact"/>
        <w:rPr>
          <w:rFonts w:hint="eastAsia"/>
          <w:b/>
          <w:bCs/>
        </w:rPr>
      </w:pPr>
    </w:p>
    <w:p w14:paraId="4C84CE54">
      <w:pPr>
        <w:pStyle w:val="26"/>
        <w:spacing w:line="360" w:lineRule="exact"/>
        <w:rPr>
          <w:rFonts w:hint="eastAsia"/>
          <w:b/>
          <w:bCs/>
        </w:rPr>
      </w:pPr>
    </w:p>
    <w:p w14:paraId="31908957">
      <w:pPr>
        <w:pStyle w:val="26"/>
        <w:spacing w:line="360" w:lineRule="exact"/>
        <w:rPr>
          <w:rFonts w:hint="eastAsia"/>
          <w:b/>
          <w:bCs/>
        </w:rPr>
      </w:pPr>
    </w:p>
    <w:p w14:paraId="4FDDD364">
      <w:pPr>
        <w:pStyle w:val="26"/>
        <w:spacing w:line="360" w:lineRule="exact"/>
        <w:rPr>
          <w:rFonts w:hint="eastAsia"/>
          <w:b/>
          <w:bCs/>
        </w:rPr>
      </w:pPr>
    </w:p>
    <w:bookmarkEnd w:id="90"/>
    <w:bookmarkEnd w:id="91"/>
    <w:p w14:paraId="42FFE0B9">
      <w:pPr>
        <w:pStyle w:val="26"/>
        <w:spacing w:line="360" w:lineRule="exact"/>
        <w:ind w:firstLine="3184" w:firstLineChars="995"/>
        <w:rPr>
          <w:rFonts w:hint="eastAsia" w:ascii="仿宋_GB2312" w:eastAsia="仿宋_GB2312"/>
          <w:b/>
          <w:sz w:val="32"/>
          <w:szCs w:val="32"/>
        </w:rPr>
      </w:pPr>
    </w:p>
    <w:p w14:paraId="7FE1F4CC">
      <w:pPr>
        <w:pStyle w:val="26"/>
        <w:spacing w:line="360" w:lineRule="exact"/>
        <w:ind w:firstLine="3184" w:firstLineChars="995"/>
        <w:rPr>
          <w:rFonts w:hint="eastAsia" w:ascii="仿宋_GB2312" w:eastAsia="仿宋_GB2312"/>
          <w:b/>
          <w:sz w:val="32"/>
          <w:szCs w:val="32"/>
        </w:rPr>
      </w:pPr>
    </w:p>
    <w:p w14:paraId="3D946D95">
      <w:pPr>
        <w:pStyle w:val="26"/>
        <w:spacing w:line="360" w:lineRule="exact"/>
        <w:ind w:firstLine="3184" w:firstLineChars="995"/>
        <w:rPr>
          <w:rFonts w:hint="eastAsia" w:ascii="仿宋_GB2312" w:eastAsia="仿宋_GB2312"/>
          <w:b/>
          <w:sz w:val="32"/>
          <w:szCs w:val="32"/>
        </w:rPr>
      </w:pPr>
    </w:p>
    <w:p w14:paraId="6E5A45C4">
      <w:pPr>
        <w:pStyle w:val="26"/>
        <w:spacing w:line="560" w:lineRule="exact"/>
        <w:jc w:val="center"/>
        <w:outlineLvl w:val="1"/>
        <w:rPr>
          <w:rFonts w:hint="eastAsia"/>
          <w:b/>
          <w:sz w:val="32"/>
          <w:szCs w:val="32"/>
        </w:rPr>
      </w:pPr>
      <w:r>
        <w:rPr>
          <w:rFonts w:hint="eastAsia" w:ascii="仿宋_GB2312" w:eastAsia="仿宋_GB2312"/>
          <w:b/>
          <w:sz w:val="32"/>
          <w:szCs w:val="32"/>
        </w:rPr>
        <w:br w:type="page"/>
      </w:r>
      <w:r>
        <w:rPr>
          <w:rFonts w:hint="eastAsia"/>
          <w:b/>
          <w:sz w:val="32"/>
          <w:szCs w:val="32"/>
        </w:rPr>
        <w:t>评标方法及评分标准</w:t>
      </w:r>
    </w:p>
    <w:p w14:paraId="53CEF10D">
      <w:pPr>
        <w:jc w:val="center"/>
        <w:outlineLvl w:val="1"/>
      </w:pPr>
      <w:r>
        <w:rPr>
          <w:rFonts w:hint="eastAsia"/>
          <w:b/>
          <w:sz w:val="32"/>
          <w:szCs w:val="32"/>
        </w:rPr>
        <w:t>（适用于标项一、标项二、标项三）</w:t>
      </w:r>
    </w:p>
    <w:p w14:paraId="711B5428">
      <w:pPr>
        <w:pStyle w:val="41"/>
        <w:spacing w:line="340" w:lineRule="exact"/>
        <w:ind w:left="0"/>
        <w:outlineLvl w:val="1"/>
        <w:rPr>
          <w:rFonts w:hint="eastAsia"/>
          <w:b/>
          <w:bCs/>
          <w:szCs w:val="21"/>
        </w:rPr>
      </w:pPr>
      <w:r>
        <w:rPr>
          <w:rFonts w:hint="eastAsia"/>
          <w:b/>
          <w:bCs/>
          <w:szCs w:val="21"/>
        </w:rPr>
        <w:t>一、评标原则</w:t>
      </w:r>
    </w:p>
    <w:p w14:paraId="20C17C94">
      <w:pPr>
        <w:pStyle w:val="41"/>
        <w:spacing w:line="340" w:lineRule="exact"/>
        <w:ind w:left="0"/>
        <w:rPr>
          <w:rFonts w:hint="eastAsia"/>
          <w:bCs/>
          <w:szCs w:val="21"/>
        </w:rPr>
      </w:pPr>
      <w:r>
        <w:rPr>
          <w:rFonts w:hint="eastAsia"/>
          <w:bCs/>
          <w:szCs w:val="21"/>
        </w:rPr>
        <w:t xml:space="preserve">    （一）评委组成：本招标采购项目的评标委员会由采购人代表和评审专家组成，成员人数应当为七人以上单数。其中，评审专家不得少于成员总数的三分之二。</w:t>
      </w:r>
    </w:p>
    <w:p w14:paraId="70127E5E">
      <w:pPr>
        <w:pStyle w:val="41"/>
        <w:spacing w:line="340" w:lineRule="exact"/>
        <w:ind w:left="0"/>
        <w:rPr>
          <w:b/>
          <w:bCs/>
          <w:strike/>
          <w:szCs w:val="21"/>
        </w:rPr>
      </w:pPr>
      <w:r>
        <w:rPr>
          <w:rFonts w:hint="eastAsia"/>
          <w:bCs/>
          <w:szCs w:val="21"/>
        </w:rPr>
        <w:t xml:space="preserve">    （二）评标依据：评委将以招投标文件为评标依据，对投标人的投标文件内容按百分制打分。</w:t>
      </w:r>
    </w:p>
    <w:p w14:paraId="3F9434C8">
      <w:pPr>
        <w:pStyle w:val="41"/>
        <w:spacing w:line="340" w:lineRule="exact"/>
        <w:ind w:left="0" w:firstLine="420" w:firstLineChars="200"/>
        <w:rPr>
          <w:rFonts w:hint="eastAsia"/>
          <w:bCs/>
          <w:szCs w:val="21"/>
        </w:rPr>
      </w:pPr>
      <w:r>
        <w:rPr>
          <w:rFonts w:hint="eastAsia"/>
          <w:bCs/>
          <w:szCs w:val="21"/>
        </w:rPr>
        <w:t>（三）评标方式：以封闭方式进行。</w:t>
      </w:r>
    </w:p>
    <w:p w14:paraId="6B8E91AF">
      <w:pPr>
        <w:pStyle w:val="41"/>
        <w:spacing w:line="340" w:lineRule="exact"/>
        <w:ind w:left="0"/>
        <w:outlineLvl w:val="1"/>
        <w:rPr>
          <w:b/>
          <w:bCs/>
          <w:szCs w:val="21"/>
        </w:rPr>
      </w:pPr>
      <w:r>
        <w:rPr>
          <w:rFonts w:hint="eastAsia"/>
          <w:b/>
          <w:bCs/>
          <w:szCs w:val="21"/>
        </w:rPr>
        <w:t>二、评标方法</w:t>
      </w:r>
    </w:p>
    <w:p w14:paraId="4D598464">
      <w:pPr>
        <w:pStyle w:val="41"/>
        <w:spacing w:line="340" w:lineRule="exact"/>
        <w:ind w:left="0" w:firstLine="420" w:firstLineChars="200"/>
        <w:rPr>
          <w:bCs/>
          <w:szCs w:val="21"/>
        </w:rPr>
      </w:pPr>
      <w:r>
        <w:rPr>
          <w:rFonts w:hint="eastAsia"/>
          <w:bCs/>
          <w:szCs w:val="21"/>
        </w:rPr>
        <w:t>（一）对进入详评的，采用百分制综合评分法。</w:t>
      </w:r>
    </w:p>
    <w:p w14:paraId="4CBF09BF">
      <w:pPr>
        <w:pStyle w:val="41"/>
        <w:spacing w:line="340" w:lineRule="exact"/>
        <w:ind w:left="0" w:firstLine="420" w:firstLineChars="200"/>
        <w:rPr>
          <w:bCs/>
          <w:szCs w:val="21"/>
        </w:rPr>
      </w:pPr>
      <w:r>
        <w:rPr>
          <w:rFonts w:hint="eastAsia"/>
          <w:bCs/>
          <w:szCs w:val="21"/>
        </w:rPr>
        <w:t>（二）计分办法（按四舍五入取至百分位）：</w:t>
      </w:r>
    </w:p>
    <w:tbl>
      <w:tblPr>
        <w:tblStyle w:val="49"/>
        <w:tblpPr w:leftFromText="181" w:rightFromText="181" w:vertAnchor="text" w:horzAnchor="page" w:tblpX="1222" w:tblpY="18"/>
        <w:tblOverlap w:val="never"/>
        <w:tblW w:w="48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170"/>
        <w:gridCol w:w="1208"/>
        <w:gridCol w:w="6368"/>
      </w:tblGrid>
      <w:tr w14:paraId="1146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9" w:type="pct"/>
            <w:vAlign w:val="center"/>
          </w:tcPr>
          <w:p w14:paraId="1E94B5CD">
            <w:pPr>
              <w:snapToGrid w:val="0"/>
              <w:spacing w:line="380" w:lineRule="exact"/>
              <w:jc w:val="center"/>
              <w:rPr>
                <w:rFonts w:hint="eastAsia" w:ascii="宋体" w:hAnsi="宋体" w:cs="宋体"/>
                <w:b/>
                <w:bCs/>
                <w:szCs w:val="21"/>
              </w:rPr>
            </w:pPr>
            <w:r>
              <w:rPr>
                <w:rFonts w:hint="eastAsia" w:ascii="宋体" w:hAnsi="宋体" w:cs="宋体"/>
                <w:b/>
                <w:bCs/>
                <w:szCs w:val="21"/>
              </w:rPr>
              <w:t>序号</w:t>
            </w:r>
          </w:p>
        </w:tc>
        <w:tc>
          <w:tcPr>
            <w:tcW w:w="614" w:type="pct"/>
            <w:vAlign w:val="center"/>
          </w:tcPr>
          <w:p w14:paraId="155A585A">
            <w:pPr>
              <w:snapToGrid w:val="0"/>
              <w:spacing w:line="380" w:lineRule="exact"/>
              <w:jc w:val="center"/>
              <w:rPr>
                <w:rFonts w:hint="eastAsia" w:ascii="宋体" w:hAnsi="宋体" w:cs="宋体"/>
                <w:b/>
                <w:bCs/>
                <w:szCs w:val="21"/>
              </w:rPr>
            </w:pPr>
            <w:r>
              <w:rPr>
                <w:rFonts w:hint="eastAsia" w:ascii="宋体" w:hAnsi="宋体" w:cs="宋体"/>
                <w:b/>
                <w:bCs/>
                <w:szCs w:val="21"/>
              </w:rPr>
              <w:t>评定项目</w:t>
            </w:r>
          </w:p>
        </w:tc>
        <w:tc>
          <w:tcPr>
            <w:tcW w:w="3976" w:type="pct"/>
            <w:gridSpan w:val="2"/>
            <w:vAlign w:val="center"/>
          </w:tcPr>
          <w:p w14:paraId="4DDBFF54">
            <w:pPr>
              <w:snapToGrid w:val="0"/>
              <w:spacing w:line="380" w:lineRule="exact"/>
              <w:jc w:val="center"/>
              <w:rPr>
                <w:rFonts w:hint="eastAsia" w:ascii="宋体" w:hAnsi="宋体" w:cs="宋体"/>
                <w:b/>
                <w:bCs/>
                <w:szCs w:val="21"/>
              </w:rPr>
            </w:pPr>
            <w:r>
              <w:rPr>
                <w:rFonts w:hint="eastAsia" w:ascii="宋体" w:hAnsi="宋体" w:cs="宋体"/>
                <w:b/>
                <w:bCs/>
                <w:szCs w:val="21"/>
              </w:rPr>
              <w:t>评分标准</w:t>
            </w:r>
          </w:p>
        </w:tc>
      </w:tr>
      <w:tr w14:paraId="4E3C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09" w:type="pct"/>
            <w:vAlign w:val="center"/>
          </w:tcPr>
          <w:p w14:paraId="36FA8517">
            <w:pPr>
              <w:snapToGrid w:val="0"/>
              <w:spacing w:line="380" w:lineRule="exact"/>
              <w:jc w:val="center"/>
              <w:rPr>
                <w:rFonts w:hint="eastAsia" w:ascii="宋体" w:hAnsi="宋体" w:cs="宋体"/>
                <w:szCs w:val="21"/>
              </w:rPr>
            </w:pPr>
            <w:r>
              <w:rPr>
                <w:rFonts w:hint="eastAsia" w:ascii="宋体" w:hAnsi="宋体" w:cs="宋体"/>
                <w:szCs w:val="21"/>
              </w:rPr>
              <w:t>1</w:t>
            </w:r>
          </w:p>
        </w:tc>
        <w:tc>
          <w:tcPr>
            <w:tcW w:w="614" w:type="pct"/>
            <w:vAlign w:val="center"/>
          </w:tcPr>
          <w:p w14:paraId="044CDBDF">
            <w:pPr>
              <w:snapToGrid w:val="0"/>
              <w:spacing w:line="380" w:lineRule="exact"/>
              <w:jc w:val="center"/>
              <w:rPr>
                <w:rFonts w:hint="eastAsia" w:ascii="宋体" w:hAnsi="宋体" w:cs="宋体"/>
                <w:b/>
                <w:bCs/>
                <w:szCs w:val="21"/>
              </w:rPr>
            </w:pPr>
            <w:r>
              <w:rPr>
                <w:rFonts w:hint="eastAsia" w:ascii="宋体" w:hAnsi="宋体" w:cs="宋体"/>
                <w:b/>
                <w:bCs/>
                <w:szCs w:val="21"/>
              </w:rPr>
              <w:t>价格分（满分10分）</w:t>
            </w:r>
          </w:p>
        </w:tc>
        <w:tc>
          <w:tcPr>
            <w:tcW w:w="3976" w:type="pct"/>
            <w:gridSpan w:val="2"/>
            <w:vAlign w:val="center"/>
          </w:tcPr>
          <w:p w14:paraId="197EA733">
            <w:pPr>
              <w:snapToGrid w:val="0"/>
              <w:spacing w:line="400" w:lineRule="exact"/>
              <w:rPr>
                <w:rFonts w:hint="eastAsia" w:ascii="宋体" w:hAnsi="宋体" w:cs="宋体"/>
                <w:bCs/>
                <w:szCs w:val="21"/>
              </w:rPr>
            </w:pPr>
            <w:r>
              <w:rPr>
                <w:rFonts w:hint="eastAsia" w:ascii="宋体" w:hAnsi="宋体" w:cs="宋体"/>
                <w:bCs/>
                <w:szCs w:val="21"/>
              </w:rPr>
              <w:t>（1）评标报价为投标人的投标报价进行政策性扣除后的价格，评标报价只是作为评标时使用。最终中标人的中标金额等于投标报价。</w:t>
            </w:r>
          </w:p>
          <w:p w14:paraId="2459590B">
            <w:pPr>
              <w:snapToGrid w:val="0"/>
              <w:spacing w:line="400" w:lineRule="exact"/>
              <w:rPr>
                <w:rFonts w:hint="eastAsia" w:ascii="宋体" w:hAnsi="宋体" w:cs="宋体"/>
                <w:bCs/>
                <w:szCs w:val="21"/>
              </w:rPr>
            </w:pPr>
            <w:r>
              <w:rPr>
                <w:rFonts w:hint="eastAsia" w:ascii="宋体" w:hAnsi="宋体" w:cs="宋体"/>
                <w:bCs/>
                <w:szCs w:val="21"/>
              </w:rPr>
              <w:t>（2）政策性扣除计算方法。</w:t>
            </w:r>
          </w:p>
          <w:p w14:paraId="154A989C">
            <w:pPr>
              <w:snapToGrid w:val="0"/>
              <w:spacing w:line="400" w:lineRule="exact"/>
              <w:rPr>
                <w:rFonts w:hint="eastAsia" w:ascii="宋体" w:hAnsi="宋体" w:cs="宋体"/>
                <w:szCs w:val="21"/>
              </w:rPr>
            </w:pPr>
            <w:r>
              <w:rPr>
                <w:rFonts w:hint="eastAsia" w:ascii="宋体" w:hAnsi="宋体" w:cs="宋体"/>
                <w:bCs/>
                <w:szCs w:val="21"/>
              </w:rPr>
              <w:t>根据《政府采购促进中小企业发展管理办法》（财库〔2020〕46号）及</w:t>
            </w:r>
            <w:r>
              <w:rPr>
                <w:rFonts w:hint="eastAsia" w:ascii="宋体" w:hAnsi="宋体" w:cs="宋体"/>
                <w:b/>
                <w:bCs/>
                <w:szCs w:val="21"/>
              </w:rPr>
              <w:t>《</w:t>
            </w:r>
            <w:r>
              <w:rPr>
                <w:rFonts w:hint="eastAsia" w:ascii="宋体" w:hAnsi="宋体" w:cs="宋体"/>
                <w:bCs/>
                <w:szCs w:val="21"/>
              </w:rPr>
              <w:t>广西壮族自治区财政厅关于持续优化政府采购营商环境推动高质量发展的通知</w:t>
            </w:r>
            <w:r>
              <w:rPr>
                <w:rFonts w:hint="eastAsia" w:ascii="宋体" w:hAnsi="宋体" w:cs="宋体"/>
                <w:b/>
                <w:bCs/>
                <w:szCs w:val="21"/>
              </w:rPr>
              <w:t>》（</w:t>
            </w:r>
            <w:r>
              <w:rPr>
                <w:rFonts w:hint="eastAsia" w:ascii="宋体" w:hAnsi="宋体" w:cs="宋体"/>
                <w:bCs/>
                <w:szCs w:val="21"/>
              </w:rPr>
              <w:t>桂财采〔2024〕55号</w:t>
            </w:r>
            <w:r>
              <w:rPr>
                <w:rFonts w:hint="eastAsia" w:ascii="宋体" w:hAnsi="宋体" w:cs="宋体"/>
                <w:b/>
                <w:bCs/>
                <w:szCs w:val="21"/>
              </w:rPr>
              <w:t>）</w:t>
            </w:r>
            <w:r>
              <w:rPr>
                <w:rFonts w:hint="eastAsia" w:ascii="宋体" w:hAnsi="宋体" w:cs="宋体"/>
                <w:bCs/>
                <w:szCs w:val="21"/>
              </w:rPr>
              <w:t>的规定，投标人在其投标文件中提供《中小企业声明函》，且其投标全部货物由小微企业制造的，对其投标报价给予</w:t>
            </w:r>
            <w:r>
              <w:rPr>
                <w:rFonts w:hint="eastAsia" w:ascii="宋体" w:hAnsi="宋体" w:cs="宋体"/>
                <w:bCs/>
                <w:szCs w:val="21"/>
                <w:u w:val="single"/>
              </w:rPr>
              <w:t>10%</w:t>
            </w:r>
            <w:r>
              <w:rPr>
                <w:rFonts w:hint="eastAsia" w:ascii="宋体" w:hAnsi="宋体" w:cs="宋体"/>
                <w:bCs/>
                <w:szCs w:val="21"/>
              </w:rPr>
              <w:t>（范围为10%-20%）的扣除，扣除后的价格为评标报价，即评标报价=投标报价×（1-</w:t>
            </w:r>
            <w:r>
              <w:rPr>
                <w:rFonts w:hint="eastAsia" w:ascii="宋体" w:hAnsi="宋体" w:cs="宋体"/>
                <w:bCs/>
                <w:szCs w:val="21"/>
                <w:u w:val="single"/>
              </w:rPr>
              <w:t>10</w:t>
            </w:r>
            <w:r>
              <w:rPr>
                <w:rFonts w:hint="eastAsia" w:ascii="宋体" w:hAnsi="宋体" w:cs="宋体"/>
                <w:bCs/>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szCs w:val="21"/>
                <w:u w:val="single"/>
              </w:rPr>
              <w:t>4</w:t>
            </w:r>
            <w:r>
              <w:rPr>
                <w:rFonts w:hint="eastAsia" w:ascii="宋体" w:hAnsi="宋体" w:cs="宋体"/>
                <w:bCs/>
                <w:szCs w:val="21"/>
              </w:rPr>
              <w:t>%（范围为4%-6%）的扣除，用扣除后的价格参加评审，扣除后的价格为评标报价，即评标报价=投标报价×（1-</w:t>
            </w:r>
            <w:r>
              <w:rPr>
                <w:rFonts w:hint="eastAsia" w:ascii="宋体" w:hAnsi="宋体" w:cs="宋体"/>
                <w:bCs/>
                <w:szCs w:val="21"/>
                <w:u w:val="single"/>
              </w:rPr>
              <w:t>4</w:t>
            </w:r>
            <w:r>
              <w:rPr>
                <w:rFonts w:hint="eastAsia" w:ascii="宋体" w:hAnsi="宋体" w:cs="宋体"/>
                <w:bCs/>
                <w:szCs w:val="21"/>
              </w:rPr>
              <w:t>%）。除上述情况外，评标报价=投标报价。</w:t>
            </w:r>
          </w:p>
          <w:p w14:paraId="2A0F78EF">
            <w:pPr>
              <w:snapToGrid w:val="0"/>
              <w:spacing w:line="400" w:lineRule="exact"/>
              <w:rPr>
                <w:rFonts w:hint="eastAsia" w:ascii="宋体" w:hAnsi="宋体" w:cs="宋体"/>
                <w:bCs/>
                <w:szCs w:val="21"/>
              </w:rPr>
            </w:pPr>
            <w:r>
              <w:rPr>
                <w:rFonts w:hint="eastAsia" w:ascii="宋体" w:hAnsi="宋体" w:cs="宋体"/>
                <w:bCs/>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szCs w:val="21"/>
              </w:rPr>
              <w:t>监狱企业参加政府采购活动时，应当提供由省级以上监狱管理局、戒毒管理局（含新疆生产建设兵团）出具的属于监狱企业的证明文件。</w:t>
            </w:r>
            <w:r>
              <w:rPr>
                <w:rFonts w:hint="eastAsia" w:ascii="宋体" w:hAnsi="宋体" w:cs="宋体"/>
                <w:bCs/>
                <w:szCs w:val="21"/>
              </w:rPr>
              <w:t>监狱企业属于小型、微型企业的，不重复享受政策。</w:t>
            </w:r>
          </w:p>
          <w:p w14:paraId="32C3A305">
            <w:pPr>
              <w:snapToGrid w:val="0"/>
              <w:spacing w:line="400" w:lineRule="exact"/>
              <w:rPr>
                <w:rFonts w:hint="eastAsia" w:ascii="宋体" w:hAnsi="宋体" w:cs="宋体"/>
                <w:bCs/>
                <w:szCs w:val="21"/>
              </w:rPr>
            </w:pPr>
            <w:r>
              <w:rPr>
                <w:rFonts w:hint="eastAsia" w:ascii="宋体" w:hAnsi="宋体" w:cs="宋体"/>
                <w:szCs w:val="21"/>
              </w:rPr>
              <w:t>（4）按照</w:t>
            </w:r>
            <w:r>
              <w:rPr>
                <w:rFonts w:hint="eastAsia" w:ascii="宋体" w:hAnsi="宋体" w:cs="宋体"/>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szCs w:val="21"/>
              </w:rPr>
              <w:t>残疾人福利性单位参加政府采购活动时，应当提供该通知规定的《残疾人福利性单位声明函》，并对声明的真实性负责。</w:t>
            </w:r>
            <w:r>
              <w:rPr>
                <w:rFonts w:hint="eastAsia" w:ascii="宋体" w:hAnsi="宋体" w:cs="宋体"/>
                <w:bCs/>
                <w:szCs w:val="21"/>
              </w:rPr>
              <w:t>残疾人福利性单位属于小型、微型企业的，不重复享受政策。</w:t>
            </w:r>
          </w:p>
          <w:p w14:paraId="4E62713A">
            <w:pPr>
              <w:snapToGrid w:val="0"/>
              <w:spacing w:line="400" w:lineRule="exact"/>
              <w:rPr>
                <w:rFonts w:hint="eastAsia" w:ascii="宋体" w:hAnsi="宋体" w:cs="宋体"/>
                <w:bCs/>
                <w:color w:val="FF0000"/>
                <w:szCs w:val="21"/>
              </w:rPr>
            </w:pPr>
            <w:r>
              <w:rPr>
                <w:rFonts w:hint="eastAsia" w:ascii="宋体" w:hAnsi="宋体" w:cs="宋体"/>
                <w:bCs/>
                <w:szCs w:val="21"/>
              </w:rPr>
              <w:t>（5）</w:t>
            </w:r>
            <w:r>
              <w:rPr>
                <w:rFonts w:hint="eastAsia" w:ascii="宋体" w:hAnsi="宋体" w:cs="宋体"/>
                <w:szCs w:val="21"/>
              </w:rPr>
              <w:t>根据《国务院办公厅关于在政府采购中实施本国产品标准及相关政策的通知》（国办发〔2025〕34号）的规定，供应商对其提供的产品出具符合要求的《关于符合本国产品标准的声明函》，该产品视为本国产品。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8A2BA79">
            <w:pPr>
              <w:snapToGrid w:val="0"/>
              <w:spacing w:line="400" w:lineRule="exact"/>
              <w:rPr>
                <w:rFonts w:hint="eastAsia" w:ascii="宋体" w:hAnsi="宋体" w:cs="宋体"/>
                <w:bCs/>
                <w:szCs w:val="21"/>
              </w:rPr>
            </w:pPr>
            <w:r>
              <w:rPr>
                <w:rFonts w:hint="eastAsia" w:ascii="宋体" w:hAnsi="宋体" w:cs="宋体"/>
                <w:bCs/>
                <w:szCs w:val="21"/>
              </w:rPr>
              <w:t>（6）满足招标文件要求且评标报价最低的评标报价为评标基准价，其价格分为满分。</w:t>
            </w:r>
          </w:p>
          <w:p w14:paraId="0A83E5C7">
            <w:pPr>
              <w:snapToGrid w:val="0"/>
              <w:spacing w:line="400" w:lineRule="exact"/>
              <w:rPr>
                <w:rFonts w:hint="eastAsia" w:ascii="宋体" w:hAnsi="宋体" w:cs="宋体"/>
                <w:bCs/>
                <w:szCs w:val="21"/>
              </w:rPr>
            </w:pPr>
            <w:r>
              <w:rPr>
                <w:rFonts w:hint="eastAsia" w:ascii="宋体" w:hAnsi="宋体" w:cs="宋体"/>
                <w:bCs/>
                <w:szCs w:val="21"/>
              </w:rPr>
              <w:t>（7）价格分计算公式：价格分=（评标基准价／评标报价）×</w:t>
            </w:r>
            <w:r>
              <w:rPr>
                <w:rFonts w:hint="eastAsia" w:ascii="宋体" w:hAnsi="宋体" w:cs="宋体"/>
                <w:bCs/>
                <w:szCs w:val="21"/>
                <w:u w:val="single"/>
              </w:rPr>
              <w:t>10</w:t>
            </w:r>
            <w:r>
              <w:rPr>
                <w:rFonts w:hint="eastAsia" w:ascii="宋体" w:hAnsi="宋体" w:cs="宋体"/>
                <w:bCs/>
                <w:szCs w:val="21"/>
              </w:rPr>
              <w:t xml:space="preserve">分 </w:t>
            </w:r>
            <w:r>
              <w:rPr>
                <w:rFonts w:hint="eastAsia" w:ascii="宋体" w:hAnsi="宋体" w:cs="宋体"/>
                <w:szCs w:val="21"/>
              </w:rPr>
              <w:t xml:space="preserve">  </w:t>
            </w:r>
          </w:p>
          <w:p w14:paraId="3CFE8D15">
            <w:pPr>
              <w:snapToGrid w:val="0"/>
              <w:spacing w:line="380" w:lineRule="exact"/>
              <w:jc w:val="left"/>
              <w:rPr>
                <w:rFonts w:hint="eastAsia" w:ascii="宋体" w:hAnsi="宋体" w:cs="宋体"/>
                <w:szCs w:val="21"/>
              </w:rPr>
            </w:pPr>
            <w:r>
              <w:rPr>
                <w:rFonts w:hint="eastAsia" w:ascii="宋体" w:hAnsi="宋体" w:cs="宋体"/>
                <w:bCs/>
                <w:szCs w:val="21"/>
              </w:rPr>
              <w:t>异常低价审查：具体详见第三章《投标人须知》。</w:t>
            </w:r>
          </w:p>
        </w:tc>
      </w:tr>
      <w:tr w14:paraId="3A4A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9" w:hRule="atLeast"/>
        </w:trPr>
        <w:tc>
          <w:tcPr>
            <w:tcW w:w="409" w:type="pct"/>
            <w:vMerge w:val="restart"/>
            <w:vAlign w:val="center"/>
          </w:tcPr>
          <w:p w14:paraId="46E9F253">
            <w:pPr>
              <w:snapToGrid w:val="0"/>
              <w:spacing w:line="380" w:lineRule="exact"/>
              <w:jc w:val="center"/>
              <w:rPr>
                <w:rFonts w:hint="eastAsia" w:ascii="宋体" w:hAnsi="宋体" w:cs="宋体"/>
                <w:szCs w:val="21"/>
              </w:rPr>
            </w:pPr>
            <w:r>
              <w:rPr>
                <w:rFonts w:hint="eastAsia" w:ascii="宋体" w:hAnsi="宋体" w:cs="宋体"/>
                <w:szCs w:val="21"/>
              </w:rPr>
              <w:t>2</w:t>
            </w:r>
          </w:p>
        </w:tc>
        <w:tc>
          <w:tcPr>
            <w:tcW w:w="614" w:type="pct"/>
            <w:vMerge w:val="restart"/>
            <w:vAlign w:val="center"/>
          </w:tcPr>
          <w:p w14:paraId="536682FA">
            <w:pPr>
              <w:snapToGrid w:val="0"/>
              <w:spacing w:line="380" w:lineRule="exact"/>
              <w:rPr>
                <w:rFonts w:hint="eastAsia" w:ascii="宋体" w:hAnsi="宋体" w:cs="宋体"/>
                <w:szCs w:val="21"/>
              </w:rPr>
            </w:pPr>
            <w:r>
              <w:rPr>
                <w:rFonts w:hint="eastAsia" w:ascii="宋体" w:hAnsi="宋体" w:cs="宋体"/>
                <w:b/>
                <w:bCs/>
                <w:szCs w:val="21"/>
              </w:rPr>
              <w:t>技术分（满分78分）</w:t>
            </w:r>
          </w:p>
        </w:tc>
        <w:tc>
          <w:tcPr>
            <w:tcW w:w="634" w:type="pct"/>
            <w:vAlign w:val="center"/>
          </w:tcPr>
          <w:p w14:paraId="1E7EB9BC">
            <w:pPr>
              <w:snapToGrid w:val="0"/>
              <w:spacing w:line="380" w:lineRule="exact"/>
              <w:rPr>
                <w:rFonts w:hint="eastAsia" w:ascii="宋体" w:hAnsi="宋体" w:cs="宋体"/>
                <w:szCs w:val="21"/>
              </w:rPr>
            </w:pPr>
            <w:r>
              <w:rPr>
                <w:rFonts w:hint="eastAsia" w:ascii="宋体" w:hAnsi="宋体" w:cs="宋体"/>
                <w:szCs w:val="21"/>
              </w:rPr>
              <w:t>服务方案（满分23分）</w:t>
            </w:r>
          </w:p>
        </w:tc>
        <w:tc>
          <w:tcPr>
            <w:tcW w:w="3342" w:type="pct"/>
            <w:vAlign w:val="center"/>
          </w:tcPr>
          <w:p w14:paraId="4FEB8A7F">
            <w:pPr>
              <w:widowControl/>
              <w:spacing w:line="380" w:lineRule="exact"/>
              <w:ind w:firstLine="420" w:firstLineChars="200"/>
              <w:jc w:val="left"/>
              <w:rPr>
                <w:rFonts w:hint="eastAsia" w:ascii="宋体" w:hAnsi="宋体" w:cs="宋体"/>
                <w:szCs w:val="21"/>
              </w:rPr>
            </w:pPr>
            <w:r>
              <w:rPr>
                <w:rFonts w:hint="eastAsia" w:ascii="宋体" w:hAnsi="宋体" w:cs="宋体"/>
                <w:szCs w:val="21"/>
              </w:rPr>
              <w:t>一档（5分）：方案内容简单，基本可行，能满足采购文件要求的。</w:t>
            </w:r>
          </w:p>
          <w:p w14:paraId="0112BB04">
            <w:pPr>
              <w:widowControl/>
              <w:spacing w:line="380" w:lineRule="exact"/>
              <w:ind w:firstLine="420" w:firstLineChars="200"/>
              <w:jc w:val="left"/>
              <w:rPr>
                <w:rFonts w:hint="eastAsia" w:ascii="宋体" w:hAnsi="宋体" w:cs="宋体"/>
                <w:szCs w:val="21"/>
              </w:rPr>
            </w:pPr>
            <w:r>
              <w:rPr>
                <w:rFonts w:hint="eastAsia" w:ascii="宋体" w:hAnsi="宋体" w:cs="宋体"/>
                <w:szCs w:val="21"/>
              </w:rPr>
              <w:t>二档（10分）：本项目服务方案包含算力资源池技术方案设计、组织机构、服务保障措施、技术保障措施设计。明确项目负责人、技术团队、运维团队的职责分工，且团队架构符合AI算力租赁项目的运维需求；具备故障应急处理流程，明确故障分级及响应时效；包含算力资源监控、网络安全防护、数据备份策略，且措施可保障AI推理算力的稳定运行。</w:t>
            </w:r>
          </w:p>
          <w:p w14:paraId="02DDB29F">
            <w:pPr>
              <w:widowControl/>
              <w:spacing w:line="380" w:lineRule="exact"/>
              <w:ind w:firstLine="420" w:firstLineChars="200"/>
              <w:jc w:val="left"/>
              <w:rPr>
                <w:rFonts w:ascii="宋体" w:hAnsi="宋体" w:cs="宋体"/>
                <w:szCs w:val="21"/>
              </w:rPr>
            </w:pPr>
            <w:r>
              <w:rPr>
                <w:rFonts w:hint="eastAsia" w:ascii="宋体" w:hAnsi="宋体" w:cs="宋体"/>
                <w:szCs w:val="21"/>
              </w:rPr>
              <w:t>三档（15分）：方案在满足上一档的基础上，有算力资源池技术方案设计、对提供的</w:t>
            </w:r>
            <w:r>
              <w:rPr>
                <w:rFonts w:hint="eastAsia"/>
              </w:rPr>
              <w:t>软硬件配置清单与</w:t>
            </w:r>
            <w:r>
              <w:rPr>
                <w:rFonts w:hint="eastAsia" w:ascii="宋体" w:hAnsi="宋体" w:cs="宋体"/>
                <w:szCs w:val="21"/>
              </w:rPr>
              <w:t>算力资源池技术方案设计匹配、</w:t>
            </w:r>
            <w:r>
              <w:rPr>
                <w:rFonts w:ascii="宋体" w:hAnsi="宋体" w:cs="宋体"/>
                <w:szCs w:val="21"/>
              </w:rPr>
              <w:t>算力资源池整体物理组网架构，</w:t>
            </w:r>
            <w:r>
              <w:rPr>
                <w:rFonts w:hint="eastAsia" w:ascii="宋体" w:hAnsi="宋体" w:cs="宋体"/>
                <w:szCs w:val="21"/>
              </w:rPr>
              <w:t>产品选型合理；方案包含本项目服务目标、服务内容，项目运维运营，描述AI算力资源池的运维服务内容，包括硬件巡检、软件升级、性能调优；制定月度、季度、年度运维计划，包含算力资源使用率分析、潜在风险排查、优化建议输出，明确服务期满后的存储介质移交流程、数据迁移协助服务、后续技术支持方式。</w:t>
            </w:r>
          </w:p>
          <w:p w14:paraId="61BCE07B">
            <w:pPr>
              <w:widowControl/>
              <w:spacing w:line="380" w:lineRule="exact"/>
              <w:ind w:firstLine="420" w:firstLineChars="200"/>
              <w:jc w:val="left"/>
              <w:rPr>
                <w:rFonts w:hint="eastAsia" w:ascii="宋体" w:hAnsi="宋体" w:cs="宋体"/>
                <w:szCs w:val="21"/>
              </w:rPr>
            </w:pPr>
            <w:r>
              <w:rPr>
                <w:rFonts w:hint="eastAsia" w:ascii="宋体" w:hAnsi="宋体" w:cs="宋体"/>
                <w:szCs w:val="21"/>
              </w:rPr>
              <w:t>四档（23分）：方案在满足上一档的基础上，对项目存在的重点和难点分析准确，提出有实施部署进度计划，确保合同约定提供服务供货时限。具备风险与应急处理方案，针对AI算力资源池的硬件故障、网络中断、性能下降等核心风险，分别制定专项应急预案；每个预案需明确触发条件、应急响应流程、恢复标准；预案需结合项目7×24小时算力保障需求，明确夜间及节假日应急处置机制。有服务监督方案，项目在实施、服务及验收期的工作职责及交付物清单。</w:t>
            </w:r>
          </w:p>
        </w:tc>
      </w:tr>
      <w:tr w14:paraId="5B28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continue"/>
            <w:vAlign w:val="center"/>
          </w:tcPr>
          <w:p w14:paraId="453980A6">
            <w:pPr>
              <w:snapToGrid w:val="0"/>
              <w:spacing w:line="380" w:lineRule="exact"/>
              <w:jc w:val="center"/>
              <w:rPr>
                <w:rFonts w:hint="eastAsia" w:ascii="宋体" w:hAnsi="宋体" w:cs="宋体"/>
                <w:szCs w:val="21"/>
              </w:rPr>
            </w:pPr>
          </w:p>
        </w:tc>
        <w:tc>
          <w:tcPr>
            <w:tcW w:w="614" w:type="pct"/>
            <w:vMerge w:val="continue"/>
            <w:vAlign w:val="center"/>
          </w:tcPr>
          <w:p w14:paraId="60900180">
            <w:pPr>
              <w:snapToGrid w:val="0"/>
              <w:spacing w:line="380" w:lineRule="exact"/>
              <w:rPr>
                <w:rFonts w:hint="eastAsia" w:ascii="宋体" w:hAnsi="宋体" w:cs="宋体"/>
                <w:b/>
                <w:bCs/>
                <w:szCs w:val="21"/>
              </w:rPr>
            </w:pPr>
          </w:p>
        </w:tc>
        <w:tc>
          <w:tcPr>
            <w:tcW w:w="634" w:type="pct"/>
            <w:vAlign w:val="center"/>
          </w:tcPr>
          <w:p w14:paraId="56FC6204">
            <w:pPr>
              <w:widowControl/>
              <w:tabs>
                <w:tab w:val="left" w:pos="2472"/>
              </w:tabs>
              <w:spacing w:line="380" w:lineRule="exact"/>
              <w:jc w:val="left"/>
              <w:rPr>
                <w:rFonts w:hint="eastAsia" w:ascii="宋体" w:hAnsi="宋体" w:cs="宋体"/>
                <w:szCs w:val="21"/>
              </w:rPr>
            </w:pPr>
            <w:r>
              <w:rPr>
                <w:rFonts w:hint="eastAsia" w:ascii="宋体" w:hAnsi="宋体" w:cs="宋体"/>
                <w:szCs w:val="21"/>
              </w:rPr>
              <w:t>技术功能响应分（满分20分）</w:t>
            </w:r>
          </w:p>
        </w:tc>
        <w:tc>
          <w:tcPr>
            <w:tcW w:w="3342" w:type="pct"/>
            <w:vAlign w:val="center"/>
          </w:tcPr>
          <w:p w14:paraId="3F117841">
            <w:pPr>
              <w:widowControl/>
              <w:tabs>
                <w:tab w:val="left" w:pos="2472"/>
              </w:tabs>
              <w:spacing w:line="380" w:lineRule="exact"/>
              <w:ind w:firstLine="420" w:firstLineChars="200"/>
              <w:jc w:val="left"/>
              <w:rPr>
                <w:rFonts w:hint="eastAsia" w:ascii="宋体" w:hAnsi="宋体" w:cs="宋体"/>
                <w:szCs w:val="21"/>
              </w:rPr>
            </w:pPr>
            <w:r>
              <w:rPr>
                <w:rFonts w:hint="eastAsia" w:ascii="宋体" w:hAnsi="宋体" w:cs="宋体"/>
                <w:szCs w:val="21"/>
              </w:rPr>
              <w:t>重要参数（标注“●”的条款）符合采购文件（无负偏离），被评委采纳的，每有1项得1分，满分20分；</w:t>
            </w:r>
          </w:p>
        </w:tc>
      </w:tr>
      <w:tr w14:paraId="4733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continue"/>
            <w:vAlign w:val="center"/>
          </w:tcPr>
          <w:p w14:paraId="4C49A5F5">
            <w:pPr>
              <w:snapToGrid w:val="0"/>
              <w:spacing w:line="380" w:lineRule="exact"/>
              <w:jc w:val="center"/>
              <w:rPr>
                <w:rFonts w:hint="eastAsia" w:ascii="宋体" w:hAnsi="宋体" w:cs="宋体"/>
                <w:szCs w:val="21"/>
              </w:rPr>
            </w:pPr>
          </w:p>
        </w:tc>
        <w:tc>
          <w:tcPr>
            <w:tcW w:w="614" w:type="pct"/>
            <w:vMerge w:val="continue"/>
            <w:vAlign w:val="center"/>
          </w:tcPr>
          <w:p w14:paraId="3F91D80C">
            <w:pPr>
              <w:snapToGrid w:val="0"/>
              <w:spacing w:line="380" w:lineRule="exact"/>
              <w:rPr>
                <w:rFonts w:hint="eastAsia" w:ascii="宋体" w:hAnsi="宋体" w:cs="宋体"/>
                <w:b/>
                <w:bCs/>
                <w:szCs w:val="21"/>
              </w:rPr>
            </w:pPr>
          </w:p>
        </w:tc>
        <w:tc>
          <w:tcPr>
            <w:tcW w:w="634" w:type="pct"/>
            <w:vAlign w:val="center"/>
          </w:tcPr>
          <w:p w14:paraId="28D87C87">
            <w:pPr>
              <w:widowControl/>
              <w:tabs>
                <w:tab w:val="left" w:pos="2472"/>
              </w:tabs>
              <w:spacing w:line="380" w:lineRule="exact"/>
              <w:jc w:val="left"/>
              <w:rPr>
                <w:rFonts w:hint="eastAsia" w:ascii="宋体" w:hAnsi="宋体" w:cs="宋体"/>
                <w:szCs w:val="21"/>
              </w:rPr>
            </w:pPr>
            <w:r>
              <w:rPr>
                <w:rFonts w:hint="eastAsia" w:ascii="宋体" w:hAnsi="宋体" w:cs="宋体"/>
                <w:szCs w:val="21"/>
              </w:rPr>
              <w:t>技术性能配置分（满分11分）</w:t>
            </w:r>
          </w:p>
        </w:tc>
        <w:tc>
          <w:tcPr>
            <w:tcW w:w="3342" w:type="pct"/>
            <w:vAlign w:val="center"/>
          </w:tcPr>
          <w:p w14:paraId="0901341B">
            <w:pPr>
              <w:widowControl/>
              <w:spacing w:line="380" w:lineRule="exact"/>
              <w:ind w:firstLine="420" w:firstLineChars="200"/>
              <w:jc w:val="left"/>
              <w:rPr>
                <w:rFonts w:hint="eastAsia" w:ascii="宋体" w:hAnsi="宋体" w:eastAsia="宋体" w:cs="宋体"/>
                <w:szCs w:val="21"/>
                <w:lang w:eastAsia="zh-CN"/>
              </w:rPr>
            </w:pPr>
            <w:r>
              <w:rPr>
                <w:rFonts w:hint="eastAsia" w:ascii="宋体" w:hAnsi="宋体" w:cs="宋体"/>
                <w:szCs w:val="21"/>
              </w:rPr>
              <w:t>1.为保障算力集群的深度兼容性与性能优化，所投 AI 服务器的CPU 与 AI 算力卡为同一国产厂商自研芯片（需提供芯片原厂出具的“自研证明”及“产品兼容性认证报告或兼容性承诺书”），得5分</w:t>
            </w:r>
            <w:r>
              <w:rPr>
                <w:rFonts w:hint="eastAsia" w:ascii="宋体" w:hAnsi="宋体" w:cs="宋体"/>
                <w:szCs w:val="21"/>
                <w:lang w:eastAsia="zh-CN"/>
              </w:rPr>
              <w:t>。</w:t>
            </w:r>
          </w:p>
          <w:p w14:paraId="7A0335EF">
            <w:pPr>
              <w:widowControl/>
              <w:spacing w:line="380" w:lineRule="exact"/>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rPr>
              <w:t>为提升设备间的兼容性，投标人所投AI算力服务器、AI推理加速存储、参数面交换机、业务面交换机、样本面交换机、带外管理接入交换机均为同一品牌的，得6分；AI推理加速存储、参数面交换机、业务面交换机、样本面交换机、带外管理接入交换机均为同一品牌的，得3分；参数面交换机、业务面交换机、样本面交换机、带外管理接入交换机均为同一品牌的，得1分；其它不得分。(注:同一集团公司下的不同子公司之间的产品品牌不视为同一品牌)。</w:t>
            </w:r>
          </w:p>
        </w:tc>
      </w:tr>
      <w:tr w14:paraId="4E73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409" w:type="pct"/>
            <w:vMerge w:val="continue"/>
            <w:vAlign w:val="center"/>
          </w:tcPr>
          <w:p w14:paraId="5DA5CB1F">
            <w:pPr>
              <w:snapToGrid w:val="0"/>
              <w:spacing w:line="380" w:lineRule="exact"/>
              <w:jc w:val="center"/>
              <w:rPr>
                <w:rFonts w:hint="eastAsia" w:ascii="宋体" w:hAnsi="宋体" w:cs="宋体"/>
                <w:szCs w:val="21"/>
              </w:rPr>
            </w:pPr>
          </w:p>
        </w:tc>
        <w:tc>
          <w:tcPr>
            <w:tcW w:w="614" w:type="pct"/>
            <w:vMerge w:val="continue"/>
            <w:vAlign w:val="center"/>
          </w:tcPr>
          <w:p w14:paraId="36BE17E3">
            <w:pPr>
              <w:snapToGrid w:val="0"/>
              <w:spacing w:line="380" w:lineRule="exact"/>
              <w:jc w:val="center"/>
              <w:rPr>
                <w:rFonts w:hint="eastAsia" w:ascii="宋体" w:hAnsi="宋体" w:cs="宋体"/>
                <w:szCs w:val="21"/>
              </w:rPr>
            </w:pPr>
          </w:p>
        </w:tc>
        <w:tc>
          <w:tcPr>
            <w:tcW w:w="634" w:type="pct"/>
            <w:vAlign w:val="center"/>
          </w:tcPr>
          <w:p w14:paraId="25616562">
            <w:pPr>
              <w:snapToGrid w:val="0"/>
              <w:spacing w:line="380" w:lineRule="exact"/>
              <w:rPr>
                <w:rFonts w:hint="eastAsia" w:ascii="宋体" w:hAnsi="宋体" w:cs="宋体"/>
                <w:szCs w:val="21"/>
              </w:rPr>
            </w:pPr>
            <w:r>
              <w:rPr>
                <w:rFonts w:hint="eastAsia" w:ascii="宋体" w:hAnsi="宋体" w:cs="宋体"/>
                <w:szCs w:val="21"/>
              </w:rPr>
              <w:t>人员资质分（满分8分）</w:t>
            </w:r>
          </w:p>
        </w:tc>
        <w:tc>
          <w:tcPr>
            <w:tcW w:w="3342" w:type="pct"/>
          </w:tcPr>
          <w:p w14:paraId="44C9FB50">
            <w:pPr>
              <w:tabs>
                <w:tab w:val="left" w:pos="2472"/>
              </w:tabs>
              <w:spacing w:line="380" w:lineRule="exact"/>
              <w:ind w:firstLine="420" w:firstLineChars="200"/>
              <w:jc w:val="left"/>
              <w:rPr>
                <w:rFonts w:hint="eastAsia" w:ascii="宋体" w:hAnsi="宋体" w:cs="宋体"/>
                <w:szCs w:val="21"/>
              </w:rPr>
            </w:pPr>
            <w:r>
              <w:rPr>
                <w:rFonts w:hint="eastAsia" w:ascii="宋体" w:hAnsi="宋体" w:cs="宋体"/>
                <w:szCs w:val="21"/>
              </w:rPr>
              <w:t>1.投标人为本项目配备的项目负责人1人，具有省级及以上人力资源和社会保障部门颁发的信息系统项目管理师资质的得1分、具有计算机类或通信类或电子类高级工程师职称证书的得1分，本项最多得2分。</w:t>
            </w:r>
          </w:p>
          <w:p w14:paraId="0C2D43D6">
            <w:pPr>
              <w:tabs>
                <w:tab w:val="left" w:pos="2472"/>
              </w:tabs>
              <w:spacing w:line="380" w:lineRule="exact"/>
              <w:ind w:firstLine="420" w:firstLineChars="200"/>
              <w:jc w:val="left"/>
              <w:rPr>
                <w:rFonts w:hint="eastAsia" w:ascii="宋体" w:hAnsi="宋体" w:cs="宋体"/>
                <w:szCs w:val="21"/>
              </w:rPr>
            </w:pPr>
            <w:r>
              <w:rPr>
                <w:rFonts w:hint="eastAsia" w:ascii="宋体" w:hAnsi="宋体" w:cs="宋体"/>
                <w:szCs w:val="21"/>
              </w:rPr>
              <w:t>2.投标人为本项目配备的运维驻场工程师，具有省级及以上人力资源和社会保障部门颁发的具有计算机类或通信类或电子类高级工程师职称证书中级职称得1分，具有计算机类或通信类或电子类高级证书高级工程师职称证书的驻场人员得2分。</w:t>
            </w:r>
          </w:p>
          <w:p w14:paraId="54B62B53">
            <w:pPr>
              <w:tabs>
                <w:tab w:val="left" w:pos="2472"/>
              </w:tabs>
              <w:spacing w:line="380" w:lineRule="exact"/>
              <w:ind w:firstLine="420" w:firstLineChars="200"/>
              <w:jc w:val="left"/>
              <w:rPr>
                <w:rFonts w:hint="eastAsia" w:ascii="宋体" w:hAnsi="宋体" w:cs="宋体"/>
                <w:szCs w:val="21"/>
              </w:rPr>
            </w:pPr>
            <w:r>
              <w:rPr>
                <w:rFonts w:hint="eastAsia" w:ascii="宋体" w:hAnsi="宋体" w:cs="宋体"/>
                <w:szCs w:val="21"/>
              </w:rPr>
              <w:t>3.‌投标人为本项目配备的</w:t>
            </w:r>
            <w:r>
              <w:rPr>
                <w:rFonts w:hint="eastAsia" w:ascii="宋体" w:hAnsi="宋体" w:cs="宋体"/>
                <w:szCs w:val="21"/>
                <w:lang w:val="zh-CN"/>
              </w:rPr>
              <w:t>网络工程师</w:t>
            </w:r>
            <w:r>
              <w:rPr>
                <w:rFonts w:hint="eastAsia" w:ascii="宋体" w:hAnsi="宋体" w:cs="宋体"/>
                <w:szCs w:val="21"/>
              </w:rPr>
              <w:t>1人，具有省级及以上人力资源和社会保障部门颁发的网络工程师（中级）的得1分，网络规划设计师（高级）得2分。</w:t>
            </w:r>
          </w:p>
          <w:p w14:paraId="1F96625B">
            <w:pPr>
              <w:tabs>
                <w:tab w:val="left" w:pos="2472"/>
              </w:tabs>
              <w:spacing w:line="380" w:lineRule="exact"/>
              <w:ind w:firstLine="420" w:firstLineChars="200"/>
              <w:jc w:val="left"/>
              <w:rPr>
                <w:rFonts w:hint="eastAsia" w:ascii="宋体" w:hAnsi="宋体" w:cs="宋体"/>
                <w:szCs w:val="21"/>
              </w:rPr>
            </w:pPr>
            <w:r>
              <w:rPr>
                <w:rFonts w:hint="eastAsia" w:ascii="宋体" w:hAnsi="宋体" w:cs="宋体"/>
                <w:szCs w:val="21"/>
              </w:rPr>
              <w:t>4.投标人为本项目配备的AI 算力工程师1名1分，所配备的为原厂AI 算力工程师得2分。</w:t>
            </w:r>
          </w:p>
          <w:p w14:paraId="5225269E">
            <w:pPr>
              <w:tabs>
                <w:tab w:val="left" w:pos="2472"/>
              </w:tabs>
              <w:spacing w:line="380" w:lineRule="exact"/>
              <w:ind w:firstLine="420" w:firstLineChars="200"/>
              <w:jc w:val="left"/>
              <w:rPr>
                <w:rFonts w:hint="eastAsia" w:ascii="宋体" w:hAnsi="宋体" w:cs="宋体"/>
                <w:szCs w:val="21"/>
              </w:rPr>
            </w:pPr>
            <w:r>
              <w:rPr>
                <w:rFonts w:hint="eastAsia" w:ascii="宋体" w:hAnsi="宋体" w:cs="宋体"/>
                <w:szCs w:val="21"/>
              </w:rPr>
              <w:t>注：以上人员需提供相关有效的证书复印件和2025年9月至投标文件提交截标时间前半年内任意一个月投标人或原厂为其缴纳社保证明材料复印件或劳动协议复印件或缴纳社保的承诺函并加盖投标人公章，从成立之日起到投标文件提交截止时间止不足要求月数的只需提供从成立之日起依法缴纳社保的相应证明文件并加盖单位公章。（依法无需缴纳社保的需提供相应证明材料）</w:t>
            </w:r>
          </w:p>
        </w:tc>
      </w:tr>
      <w:tr w14:paraId="14AC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continue"/>
            <w:vAlign w:val="center"/>
          </w:tcPr>
          <w:p w14:paraId="15EECFA2">
            <w:pPr>
              <w:snapToGrid w:val="0"/>
              <w:spacing w:line="380" w:lineRule="exact"/>
              <w:jc w:val="center"/>
              <w:rPr>
                <w:rFonts w:hint="eastAsia" w:ascii="宋体" w:hAnsi="宋体" w:cs="宋体"/>
                <w:szCs w:val="21"/>
              </w:rPr>
            </w:pPr>
          </w:p>
        </w:tc>
        <w:tc>
          <w:tcPr>
            <w:tcW w:w="614" w:type="pct"/>
            <w:vMerge w:val="continue"/>
            <w:vAlign w:val="center"/>
          </w:tcPr>
          <w:p w14:paraId="2A3551FD">
            <w:pPr>
              <w:snapToGrid w:val="0"/>
              <w:spacing w:line="380" w:lineRule="exact"/>
              <w:jc w:val="center"/>
              <w:rPr>
                <w:rFonts w:hint="eastAsia" w:ascii="宋体" w:hAnsi="宋体" w:cs="宋体"/>
                <w:szCs w:val="21"/>
              </w:rPr>
            </w:pPr>
          </w:p>
        </w:tc>
        <w:tc>
          <w:tcPr>
            <w:tcW w:w="634" w:type="pct"/>
            <w:vAlign w:val="center"/>
          </w:tcPr>
          <w:p w14:paraId="7EBB2D04">
            <w:pPr>
              <w:snapToGrid w:val="0"/>
              <w:spacing w:line="380" w:lineRule="exact"/>
              <w:jc w:val="center"/>
              <w:rPr>
                <w:rFonts w:hint="eastAsia" w:ascii="宋体" w:hAnsi="宋体" w:cs="宋体"/>
                <w:szCs w:val="21"/>
              </w:rPr>
            </w:pPr>
            <w:r>
              <w:rPr>
                <w:rFonts w:hint="eastAsia" w:ascii="宋体" w:hAnsi="宋体" w:cs="宋体"/>
                <w:szCs w:val="21"/>
              </w:rPr>
              <w:t>售后服务方案（满分16分）</w:t>
            </w:r>
          </w:p>
        </w:tc>
        <w:tc>
          <w:tcPr>
            <w:tcW w:w="3342" w:type="pct"/>
          </w:tcPr>
          <w:p w14:paraId="2E74F879">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一档（5分）：售后服务方案内容包括驻场服务内容、响应时间、故障处理、培训方案、服务质量保证等内容。</w:t>
            </w:r>
            <w:r>
              <w:rPr>
                <w:rFonts w:hint="eastAsia" w:ascii="宋体" w:hAnsi="宋体" w:cs="宋体"/>
                <w:szCs w:val="21"/>
              </w:rPr>
              <w:br w:type="textWrapping"/>
            </w:r>
            <w:r>
              <w:rPr>
                <w:rFonts w:hint="eastAsia" w:ascii="宋体" w:hAnsi="宋体" w:cs="宋体"/>
                <w:szCs w:val="21"/>
              </w:rPr>
              <w:t xml:space="preserve">    二档（10分）：在一档基础上，售后服务方案完整，阐述技术支持内容、方式、保修和系统维护的服务范围、响应时间、服务方式、服务标准。提供了有针对性的培训方案，有培训安排、培训内容、培训方式、培训教材、培训师资方面的描述。售后服务团队应拥有网络、AI方面专家各1名的；提供能证明投标人培训能力的相关材料，包括场地布置及配套设施照片、规模（50人/次）信息化项目培训经验的证明（用户证明</w:t>
            </w:r>
            <w:r>
              <w:rPr>
                <w:rFonts w:hint="eastAsia" w:ascii="宋体" w:hAnsi="宋体" w:cs="宋体"/>
                <w:szCs w:val="21"/>
                <w:lang w:eastAsia="zh-CN"/>
              </w:rPr>
              <w:t>、</w:t>
            </w:r>
            <w:r>
              <w:rPr>
                <w:rFonts w:hint="eastAsia" w:ascii="宋体" w:hAnsi="宋体" w:cs="宋体"/>
                <w:szCs w:val="21"/>
              </w:rPr>
              <w:t>合作协议</w:t>
            </w:r>
            <w:r>
              <w:rPr>
                <w:rFonts w:hint="eastAsia" w:ascii="宋体" w:hAnsi="宋体" w:cs="宋体"/>
                <w:szCs w:val="21"/>
                <w:lang w:eastAsia="zh-CN"/>
              </w:rPr>
              <w:t>或能证明具备培训能力的材料，如培训计划、培训现场照片、签到表等</w:t>
            </w:r>
            <w:r>
              <w:rPr>
                <w:rFonts w:hint="eastAsia" w:ascii="宋体" w:hAnsi="宋体" w:cs="宋体"/>
                <w:szCs w:val="21"/>
              </w:rPr>
              <w:t>）。</w:t>
            </w:r>
          </w:p>
          <w:p w14:paraId="464CBFA4">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 xml:space="preserve"> 三档（16分）：在二档基础上，售后服务指标优于采购需求，售后服务管理流程明晰，有售后服务质量监督及保障机制，有耗材及备品备件优惠措施。售后服务团队应拥有云平台、网络、AI 方面专家各1 名；提供能证明投标人培训能力的相关材料，包括场地布置及配套设施照片、规模（100人/次）信息化项目培训经验的证明（用户证明、合作协议或能证明具备培训能力的材料，如培训计划、培训现场照片、签到表等）。投标人具有完善的备品备件体系，以满足本项目中最终用户单位建设期内对备品备件的需求。</w:t>
            </w:r>
          </w:p>
        </w:tc>
      </w:tr>
      <w:tr w14:paraId="7BED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restart"/>
            <w:vAlign w:val="center"/>
          </w:tcPr>
          <w:p w14:paraId="0E818E74">
            <w:pPr>
              <w:snapToGrid w:val="0"/>
              <w:spacing w:line="380" w:lineRule="exact"/>
              <w:jc w:val="center"/>
              <w:rPr>
                <w:rFonts w:hint="eastAsia" w:ascii="宋体" w:hAnsi="宋体" w:cs="宋体"/>
                <w:szCs w:val="21"/>
              </w:rPr>
            </w:pPr>
            <w:r>
              <w:rPr>
                <w:rFonts w:hint="eastAsia" w:ascii="宋体" w:hAnsi="宋体" w:cs="宋体"/>
                <w:szCs w:val="21"/>
              </w:rPr>
              <w:t>3</w:t>
            </w:r>
          </w:p>
        </w:tc>
        <w:tc>
          <w:tcPr>
            <w:tcW w:w="614" w:type="pct"/>
            <w:vMerge w:val="restart"/>
            <w:vAlign w:val="center"/>
          </w:tcPr>
          <w:p w14:paraId="16C44F24">
            <w:pPr>
              <w:snapToGrid w:val="0"/>
              <w:spacing w:line="380" w:lineRule="exact"/>
              <w:jc w:val="center"/>
              <w:rPr>
                <w:rFonts w:hint="eastAsia" w:ascii="宋体" w:hAnsi="宋体" w:cs="宋体"/>
                <w:szCs w:val="21"/>
              </w:rPr>
            </w:pPr>
            <w:r>
              <w:rPr>
                <w:rFonts w:hint="eastAsia" w:ascii="宋体" w:hAnsi="宋体" w:cs="宋体"/>
                <w:b/>
                <w:bCs/>
                <w:szCs w:val="21"/>
              </w:rPr>
              <w:t>商务分（满分12分）</w:t>
            </w:r>
          </w:p>
        </w:tc>
        <w:tc>
          <w:tcPr>
            <w:tcW w:w="634" w:type="pct"/>
            <w:vAlign w:val="center"/>
          </w:tcPr>
          <w:p w14:paraId="25D04247">
            <w:pPr>
              <w:snapToGrid w:val="0"/>
              <w:spacing w:line="380" w:lineRule="exact"/>
              <w:jc w:val="center"/>
              <w:rPr>
                <w:rFonts w:hint="eastAsia" w:ascii="宋体" w:hAnsi="宋体" w:cs="宋体"/>
                <w:szCs w:val="21"/>
              </w:rPr>
            </w:pPr>
            <w:r>
              <w:rPr>
                <w:rFonts w:hint="eastAsia" w:ascii="宋体" w:hAnsi="宋体" w:cs="宋体"/>
                <w:szCs w:val="21"/>
              </w:rPr>
              <w:t>业绩分（满分9分）</w:t>
            </w:r>
          </w:p>
        </w:tc>
        <w:tc>
          <w:tcPr>
            <w:tcW w:w="3342" w:type="pct"/>
          </w:tcPr>
          <w:p w14:paraId="356D6DB0">
            <w:pPr>
              <w:snapToGrid w:val="0"/>
              <w:spacing w:line="380" w:lineRule="exact"/>
              <w:jc w:val="left"/>
              <w:rPr>
                <w:rFonts w:hint="eastAsia" w:ascii="宋体" w:hAnsi="宋体" w:eastAsia="宋体" w:cs="宋体"/>
                <w:szCs w:val="21"/>
                <w:lang w:val="en-US" w:eastAsia="zh-CN"/>
              </w:rPr>
            </w:pPr>
            <w:r>
              <w:rPr>
                <w:rFonts w:hint="eastAsia" w:ascii="宋体" w:hAnsi="宋体" w:cs="宋体"/>
                <w:szCs w:val="21"/>
              </w:rPr>
              <w:t>2020年1月1日至投标截止时间止，投标人具有类似业绩（</w:t>
            </w:r>
            <w:r>
              <w:rPr>
                <w:rFonts w:hint="eastAsia" w:ascii="宋体" w:hAnsi="宋体" w:cs="宋体"/>
                <w:szCs w:val="21"/>
                <w:lang w:val="en-US" w:eastAsia="zh-CN"/>
              </w:rPr>
              <w:t>标项一：如</w:t>
            </w:r>
            <w:r>
              <w:rPr>
                <w:rFonts w:hint="eastAsia" w:ascii="宋体" w:hAnsi="宋体" w:cs="宋体"/>
                <w:szCs w:val="21"/>
              </w:rPr>
              <w:t>算力租赁</w:t>
            </w:r>
            <w:r>
              <w:rPr>
                <w:rFonts w:hint="eastAsia" w:ascii="宋体" w:hAnsi="宋体" w:cs="宋体"/>
                <w:szCs w:val="21"/>
                <w:lang w:val="en-US" w:eastAsia="zh-CN"/>
              </w:rPr>
              <w:t>或</w:t>
            </w:r>
            <w:r>
              <w:rPr>
                <w:rFonts w:hint="eastAsia" w:ascii="宋体" w:hAnsi="宋体" w:cs="宋体"/>
                <w:szCs w:val="21"/>
              </w:rPr>
              <w:t>算力建设等</w:t>
            </w:r>
            <w:r>
              <w:rPr>
                <w:rFonts w:hint="eastAsia"/>
                <w:lang w:eastAsia="zh-CN"/>
              </w:rPr>
              <w:t>；</w:t>
            </w:r>
            <w:r>
              <w:rPr>
                <w:rFonts w:hint="eastAsia"/>
                <w:lang w:val="en-US" w:eastAsia="zh-CN"/>
              </w:rPr>
              <w:t>标项二、三：如</w:t>
            </w:r>
            <w:r>
              <w:rPr>
                <w:rFonts w:hint="eastAsia" w:ascii="宋体" w:hAnsi="宋体" w:cs="宋体"/>
                <w:szCs w:val="21"/>
              </w:rPr>
              <w:t>算力租赁</w:t>
            </w:r>
            <w:r>
              <w:rPr>
                <w:rFonts w:hint="eastAsia" w:ascii="宋体" w:hAnsi="宋体" w:cs="宋体"/>
                <w:szCs w:val="21"/>
                <w:lang w:val="en-US" w:eastAsia="zh-CN"/>
              </w:rPr>
              <w:t>或</w:t>
            </w:r>
            <w:r>
              <w:rPr>
                <w:rFonts w:hint="eastAsia" w:ascii="宋体" w:hAnsi="宋体" w:cs="宋体"/>
                <w:szCs w:val="21"/>
              </w:rPr>
              <w:t>算力建设、机房租赁等），每提供1个得3分，满分9 分。注：业绩时间以签订合同（协议）时间为准，投标文件提供业绩合同（协议）的关键页（包括采购内容、签约日期、双方盖章）复印件加盖投标人公章，否则不得分。</w:t>
            </w:r>
          </w:p>
        </w:tc>
      </w:tr>
      <w:tr w14:paraId="54E0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9" w:type="pct"/>
            <w:vMerge w:val="continue"/>
            <w:vAlign w:val="center"/>
          </w:tcPr>
          <w:p w14:paraId="6F01034D">
            <w:pPr>
              <w:snapToGrid w:val="0"/>
              <w:spacing w:line="380" w:lineRule="exact"/>
              <w:jc w:val="center"/>
              <w:rPr>
                <w:rFonts w:hint="eastAsia" w:ascii="宋体" w:hAnsi="宋体" w:cs="宋体"/>
                <w:szCs w:val="21"/>
              </w:rPr>
            </w:pPr>
          </w:p>
        </w:tc>
        <w:tc>
          <w:tcPr>
            <w:tcW w:w="614" w:type="pct"/>
            <w:vMerge w:val="continue"/>
            <w:vAlign w:val="center"/>
          </w:tcPr>
          <w:p w14:paraId="40C03719">
            <w:pPr>
              <w:snapToGrid w:val="0"/>
              <w:spacing w:line="380" w:lineRule="exact"/>
              <w:jc w:val="center"/>
              <w:rPr>
                <w:rFonts w:hint="eastAsia" w:ascii="宋体" w:hAnsi="宋体" w:cs="宋体"/>
                <w:szCs w:val="21"/>
              </w:rPr>
            </w:pPr>
          </w:p>
        </w:tc>
        <w:tc>
          <w:tcPr>
            <w:tcW w:w="634" w:type="pct"/>
            <w:vAlign w:val="center"/>
          </w:tcPr>
          <w:p w14:paraId="376B24D4">
            <w:pPr>
              <w:snapToGrid w:val="0"/>
              <w:spacing w:line="380" w:lineRule="exact"/>
              <w:jc w:val="center"/>
              <w:rPr>
                <w:rFonts w:hint="eastAsia" w:ascii="宋体" w:hAnsi="宋体" w:cs="宋体"/>
                <w:szCs w:val="21"/>
              </w:rPr>
            </w:pPr>
            <w:r>
              <w:rPr>
                <w:rFonts w:hint="eastAsia" w:ascii="宋体" w:hAnsi="宋体" w:cs="宋体"/>
                <w:szCs w:val="21"/>
              </w:rPr>
              <w:t>信誉分（满分3分）</w:t>
            </w:r>
          </w:p>
        </w:tc>
        <w:tc>
          <w:tcPr>
            <w:tcW w:w="3342" w:type="pct"/>
          </w:tcPr>
          <w:p w14:paraId="37C128E5">
            <w:pPr>
              <w:wordWrap w:val="0"/>
              <w:snapToGrid w:val="0"/>
              <w:spacing w:line="380" w:lineRule="exact"/>
              <w:jc w:val="left"/>
              <w:rPr>
                <w:rFonts w:hint="eastAsia" w:ascii="宋体" w:hAnsi="宋体" w:cs="宋体"/>
                <w:szCs w:val="21"/>
              </w:rPr>
            </w:pPr>
            <w:r>
              <w:rPr>
                <w:rFonts w:hint="eastAsia" w:ascii="宋体" w:hAnsi="宋体" w:cs="宋体"/>
                <w:szCs w:val="21"/>
              </w:rPr>
              <w:t>（1）投标人具有有效的ISO 9001质量管理体系认证证书得1分。</w:t>
            </w:r>
          </w:p>
          <w:p w14:paraId="5551CD9E">
            <w:pPr>
              <w:wordWrap w:val="0"/>
              <w:snapToGrid w:val="0"/>
              <w:spacing w:line="380" w:lineRule="exact"/>
              <w:jc w:val="left"/>
              <w:rPr>
                <w:rFonts w:hint="eastAsia" w:ascii="宋体" w:hAnsi="宋体" w:cs="宋体"/>
                <w:szCs w:val="21"/>
              </w:rPr>
            </w:pPr>
            <w:r>
              <w:rPr>
                <w:rFonts w:hint="eastAsia" w:ascii="宋体" w:hAnsi="宋体" w:cs="宋体"/>
                <w:szCs w:val="21"/>
              </w:rPr>
              <w:t>（2）投标人具有有效的ISO 27001信息安全管理体系认证证书得1分。</w:t>
            </w:r>
          </w:p>
          <w:p w14:paraId="330A89D0">
            <w:pPr>
              <w:wordWrap w:val="0"/>
              <w:snapToGrid w:val="0"/>
              <w:spacing w:line="380" w:lineRule="exact"/>
              <w:jc w:val="left"/>
              <w:rPr>
                <w:rFonts w:hint="eastAsia" w:ascii="宋体" w:hAnsi="宋体" w:cs="宋体"/>
                <w:szCs w:val="21"/>
              </w:rPr>
            </w:pPr>
            <w:r>
              <w:rPr>
                <w:rFonts w:hint="eastAsia" w:ascii="宋体" w:hAnsi="宋体" w:cs="宋体"/>
                <w:szCs w:val="21"/>
              </w:rPr>
              <w:t>（3）投标人具有有效的ISO 20000信息技术服务管理体系认证证书得1分。</w:t>
            </w:r>
          </w:p>
        </w:tc>
      </w:tr>
      <w:tr w14:paraId="03C5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34B15C6E">
            <w:pPr>
              <w:snapToGrid w:val="0"/>
              <w:spacing w:line="380" w:lineRule="exact"/>
              <w:jc w:val="center"/>
              <w:rPr>
                <w:rFonts w:hint="eastAsia" w:ascii="宋体" w:hAnsi="宋体" w:cs="宋体"/>
                <w:b/>
                <w:bCs/>
                <w:szCs w:val="21"/>
              </w:rPr>
            </w:pPr>
          </w:p>
        </w:tc>
        <w:tc>
          <w:tcPr>
            <w:tcW w:w="614" w:type="pct"/>
            <w:vAlign w:val="center"/>
          </w:tcPr>
          <w:p w14:paraId="119433EC">
            <w:pPr>
              <w:snapToGrid w:val="0"/>
              <w:spacing w:line="380" w:lineRule="exact"/>
              <w:jc w:val="center"/>
              <w:rPr>
                <w:rFonts w:hint="eastAsia" w:ascii="宋体" w:hAnsi="宋体" w:cs="宋体"/>
                <w:b/>
                <w:bCs/>
                <w:szCs w:val="21"/>
              </w:rPr>
            </w:pPr>
            <w:r>
              <w:rPr>
                <w:rFonts w:hint="eastAsia" w:ascii="宋体" w:hAnsi="宋体" w:cs="宋体"/>
                <w:b/>
                <w:bCs/>
                <w:szCs w:val="21"/>
              </w:rPr>
              <w:t>总得分</w:t>
            </w:r>
          </w:p>
        </w:tc>
        <w:tc>
          <w:tcPr>
            <w:tcW w:w="3976" w:type="pct"/>
            <w:gridSpan w:val="2"/>
            <w:vAlign w:val="center"/>
          </w:tcPr>
          <w:p w14:paraId="4A0B8774">
            <w:pPr>
              <w:snapToGrid w:val="0"/>
              <w:spacing w:line="380" w:lineRule="exact"/>
              <w:jc w:val="left"/>
              <w:rPr>
                <w:rFonts w:hint="eastAsia" w:ascii="宋体" w:hAnsi="宋体" w:cs="宋体"/>
                <w:b/>
                <w:bCs/>
                <w:szCs w:val="21"/>
              </w:rPr>
            </w:pPr>
            <w:r>
              <w:rPr>
                <w:rFonts w:hint="eastAsia" w:ascii="宋体" w:hAnsi="宋体" w:cs="宋体"/>
                <w:b/>
                <w:bCs/>
                <w:szCs w:val="21"/>
              </w:rPr>
              <w:t>总得分=1+2+3</w:t>
            </w:r>
          </w:p>
        </w:tc>
      </w:tr>
    </w:tbl>
    <w:p w14:paraId="431C80B1">
      <w:pPr>
        <w:pStyle w:val="41"/>
        <w:spacing w:line="340" w:lineRule="exact"/>
        <w:ind w:left="0"/>
        <w:outlineLvl w:val="1"/>
        <w:rPr>
          <w:rFonts w:hint="eastAsia" w:ascii="宋体" w:hAnsi="宋体"/>
          <w:b/>
          <w:bCs/>
          <w:szCs w:val="21"/>
        </w:rPr>
      </w:pPr>
      <w:r>
        <w:rPr>
          <w:rFonts w:hint="eastAsia" w:ascii="宋体" w:hAnsi="宋体"/>
          <w:b/>
          <w:bCs/>
          <w:szCs w:val="21"/>
        </w:rPr>
        <w:t>三、中标候选供应商推荐原则</w:t>
      </w:r>
    </w:p>
    <w:p w14:paraId="73991FD5">
      <w:pPr>
        <w:pStyle w:val="41"/>
        <w:spacing w:line="340" w:lineRule="exact"/>
        <w:ind w:left="0"/>
        <w:rPr>
          <w:rFonts w:hint="eastAsia" w:ascii="宋体" w:hAnsi="宋体"/>
          <w:bCs/>
        </w:rPr>
      </w:pPr>
      <w:r>
        <w:rPr>
          <w:rFonts w:hint="eastAsia" w:ascii="宋体" w:hAnsi="宋体"/>
          <w:b/>
          <w:bCs/>
          <w:szCs w:val="21"/>
        </w:rPr>
        <w:t xml:space="preserve">    </w:t>
      </w:r>
      <w:r>
        <w:rPr>
          <w:rFonts w:hint="eastAsia" w:ascii="宋体" w:hAnsi="宋体"/>
          <w:bCs/>
          <w:szCs w:val="21"/>
        </w:rPr>
        <w:t>（一）</w:t>
      </w:r>
      <w:r>
        <w:rPr>
          <w:rFonts w:hint="eastAsia" w:ascii="宋体" w:hAnsi="宋体"/>
          <w:bCs/>
        </w:rPr>
        <w:t>评标委员会将根据评审后得分由高到低顺序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392B09DD">
      <w:pPr>
        <w:pStyle w:val="41"/>
        <w:spacing w:line="340" w:lineRule="exact"/>
        <w:ind w:left="0" w:firstLine="420" w:firstLineChars="200"/>
        <w:rPr>
          <w:rFonts w:hint="eastAsia"/>
          <w:b/>
          <w:bCs/>
        </w:rPr>
      </w:pPr>
      <w:r>
        <w:rPr>
          <w:rFonts w:hint="eastAsia" w:ascii="宋体" w:hAnsi="宋体"/>
          <w:bCs/>
        </w:rPr>
        <w:t>采购人应当确定评审委员会推荐排名第一的中标候选人为</w:t>
      </w:r>
      <w:r>
        <w:rPr>
          <w:rFonts w:hint="eastAsia" w:ascii="宋体" w:hAnsi="宋体"/>
        </w:rPr>
        <w:t>中标人</w:t>
      </w:r>
      <w:r>
        <w:rPr>
          <w:rFonts w:hint="eastAsia" w:ascii="宋体" w:hAnsi="宋体"/>
          <w:bCs/>
        </w:rPr>
        <w:t>。排名第一的中标候选人放弃中标、因不可抗力或者自身原因提出不能履行合同，采购人可以确定排名第二的中标候选人为</w:t>
      </w:r>
      <w:r>
        <w:rPr>
          <w:rFonts w:hint="eastAsia" w:ascii="宋体" w:hAnsi="宋体"/>
        </w:rPr>
        <w:t>中标人</w:t>
      </w:r>
      <w:r>
        <w:rPr>
          <w:rFonts w:hint="eastAsia" w:ascii="宋体" w:hAnsi="宋体"/>
          <w:bCs/>
        </w:rPr>
        <w:t>。排名第二的中标候选人因前款规定的同样原因不能签订合同的，采购人、采购代理机构可以确定排名第三的中标候选人为中标人，采购人也可以决定重新采购。对采购过程、中标结果提出的质疑，合格供应商符合法定数量时，可以从合格的中标候选人中另行确定中标供应商的，应当依法另行确定中标供应商；否则应当重新开展采购活动。</w:t>
      </w:r>
    </w:p>
    <w:p w14:paraId="5A3B61D4">
      <w:pPr>
        <w:pStyle w:val="41"/>
        <w:spacing w:line="400" w:lineRule="exact"/>
        <w:ind w:left="0" w:firstLine="420" w:firstLineChars="200"/>
        <w:rPr>
          <w:rFonts w:hint="eastAsia" w:ascii="宋体" w:hAnsi="宋体" w:cs="宋体"/>
          <w:bCs/>
          <w:szCs w:val="21"/>
        </w:rPr>
      </w:pPr>
      <w:r>
        <w:rPr>
          <w:rFonts w:hint="eastAsia" w:ascii="宋体" w:hAnsi="宋体" w:cs="宋体"/>
          <w:bCs/>
          <w:szCs w:val="21"/>
        </w:rPr>
        <w:t>（二）异常低价审查：具体详见第三章《投标人须知》。</w:t>
      </w:r>
    </w:p>
    <w:p w14:paraId="1641286C">
      <w:pPr>
        <w:pStyle w:val="41"/>
        <w:spacing w:line="340" w:lineRule="exact"/>
        <w:ind w:left="0"/>
        <w:rPr>
          <w:rFonts w:hint="eastAsia"/>
        </w:rPr>
      </w:pPr>
      <w:r>
        <w:rPr>
          <w:rFonts w:hint="eastAsia" w:hAnsi="宋体" w:cs="宋体"/>
          <w:b/>
        </w:rPr>
        <w:t xml:space="preserve">    （三）投标人可以对所有标项进行投标，也可以选择某个标项或某几个标项进行投标并报价。为保证履约质量，投标人只能中标项一、标项二、标项三其中一个标项，评标顺序为标项一、标项二、标项三，按标项一、标项二、标项三顺序推荐中标候选人。（即推荐为标项一第一中标候选人后不能再推荐为标项二第一中标候选人，以此类推）。</w:t>
      </w:r>
    </w:p>
    <w:p w14:paraId="4A3F6DE5">
      <w:pPr>
        <w:pStyle w:val="19"/>
        <w:rPr>
          <w:rFonts w:hint="eastAsia" w:ascii="宋体"/>
          <w:sz w:val="32"/>
          <w:szCs w:val="32"/>
        </w:rPr>
      </w:pPr>
      <w:r>
        <w:rPr>
          <w:sz w:val="32"/>
          <w:szCs w:val="32"/>
        </w:rPr>
        <w:br w:type="page"/>
      </w:r>
    </w:p>
    <w:p w14:paraId="6F986DD2">
      <w:pPr>
        <w:pStyle w:val="19"/>
        <w:rPr>
          <w:rFonts w:hint="eastAsia" w:ascii="宋体"/>
          <w:sz w:val="32"/>
          <w:szCs w:val="32"/>
        </w:rPr>
      </w:pPr>
    </w:p>
    <w:p w14:paraId="57AA6ABF">
      <w:pPr>
        <w:pStyle w:val="19"/>
        <w:rPr>
          <w:rFonts w:hint="eastAsia" w:ascii="宋体"/>
          <w:sz w:val="32"/>
          <w:szCs w:val="32"/>
        </w:rPr>
      </w:pPr>
    </w:p>
    <w:p w14:paraId="6A55C250">
      <w:pPr>
        <w:pStyle w:val="19"/>
        <w:rPr>
          <w:rFonts w:hint="eastAsia" w:ascii="宋体"/>
          <w:sz w:val="32"/>
          <w:szCs w:val="32"/>
        </w:rPr>
      </w:pPr>
    </w:p>
    <w:p w14:paraId="3C2512AE">
      <w:pPr>
        <w:pStyle w:val="19"/>
        <w:rPr>
          <w:rFonts w:hint="eastAsia" w:ascii="宋体"/>
          <w:sz w:val="32"/>
          <w:szCs w:val="32"/>
        </w:rPr>
      </w:pPr>
    </w:p>
    <w:p w14:paraId="5D89A579">
      <w:pPr>
        <w:pStyle w:val="19"/>
        <w:rPr>
          <w:rFonts w:hint="eastAsia" w:ascii="宋体"/>
          <w:sz w:val="32"/>
          <w:szCs w:val="32"/>
        </w:rPr>
      </w:pPr>
    </w:p>
    <w:p w14:paraId="61AC9BA0">
      <w:pPr>
        <w:pStyle w:val="19"/>
        <w:rPr>
          <w:rFonts w:hint="eastAsia" w:ascii="宋体"/>
          <w:sz w:val="32"/>
          <w:szCs w:val="32"/>
        </w:rPr>
      </w:pPr>
    </w:p>
    <w:p w14:paraId="60F9DF79">
      <w:pPr>
        <w:pStyle w:val="19"/>
        <w:rPr>
          <w:rFonts w:hint="eastAsia" w:ascii="宋体"/>
          <w:sz w:val="32"/>
          <w:szCs w:val="32"/>
        </w:rPr>
      </w:pPr>
    </w:p>
    <w:p w14:paraId="55772065">
      <w:pPr>
        <w:pStyle w:val="19"/>
        <w:rPr>
          <w:rFonts w:hint="eastAsia" w:ascii="宋体"/>
          <w:sz w:val="32"/>
          <w:szCs w:val="32"/>
        </w:rPr>
      </w:pPr>
    </w:p>
    <w:p w14:paraId="4B81E259">
      <w:pPr>
        <w:pStyle w:val="19"/>
        <w:rPr>
          <w:rFonts w:hint="eastAsia" w:ascii="宋体"/>
          <w:sz w:val="32"/>
          <w:szCs w:val="32"/>
        </w:rPr>
      </w:pPr>
    </w:p>
    <w:p w14:paraId="46D4574D">
      <w:pPr>
        <w:pStyle w:val="19"/>
        <w:rPr>
          <w:rFonts w:hint="eastAsia" w:ascii="宋体"/>
          <w:sz w:val="32"/>
          <w:szCs w:val="32"/>
        </w:rPr>
      </w:pPr>
    </w:p>
    <w:p w14:paraId="0BEF0532">
      <w:pPr>
        <w:pStyle w:val="19"/>
        <w:rPr>
          <w:rFonts w:hint="eastAsia" w:ascii="宋体"/>
          <w:sz w:val="32"/>
          <w:szCs w:val="32"/>
        </w:rPr>
      </w:pPr>
    </w:p>
    <w:p w14:paraId="0755741B">
      <w:pPr>
        <w:pStyle w:val="19"/>
        <w:rPr>
          <w:rFonts w:hint="eastAsia" w:ascii="宋体"/>
          <w:sz w:val="32"/>
          <w:szCs w:val="32"/>
        </w:rPr>
      </w:pPr>
    </w:p>
    <w:p w14:paraId="6A185CED">
      <w:pPr>
        <w:pStyle w:val="19"/>
        <w:rPr>
          <w:rFonts w:hint="eastAsia" w:ascii="宋体"/>
          <w:sz w:val="32"/>
          <w:szCs w:val="32"/>
        </w:rPr>
      </w:pPr>
    </w:p>
    <w:p w14:paraId="388929FE">
      <w:pPr>
        <w:pStyle w:val="19"/>
        <w:rPr>
          <w:rFonts w:hint="eastAsia" w:ascii="宋体"/>
          <w:sz w:val="32"/>
          <w:szCs w:val="32"/>
        </w:rPr>
      </w:pPr>
    </w:p>
    <w:p w14:paraId="7B0FE0B7">
      <w:pPr>
        <w:pStyle w:val="19"/>
        <w:rPr>
          <w:rFonts w:hint="eastAsia" w:ascii="宋体"/>
          <w:sz w:val="32"/>
          <w:szCs w:val="32"/>
        </w:rPr>
      </w:pPr>
    </w:p>
    <w:p w14:paraId="6663AE11">
      <w:pPr>
        <w:pStyle w:val="19"/>
        <w:rPr>
          <w:rFonts w:hint="eastAsia" w:ascii="宋体"/>
          <w:sz w:val="32"/>
          <w:szCs w:val="32"/>
        </w:rPr>
      </w:pPr>
    </w:p>
    <w:p w14:paraId="3DEF1F53">
      <w:pPr>
        <w:pStyle w:val="19"/>
        <w:rPr>
          <w:rFonts w:hint="eastAsia" w:ascii="宋体"/>
          <w:sz w:val="32"/>
          <w:szCs w:val="32"/>
        </w:rPr>
      </w:pPr>
    </w:p>
    <w:p w14:paraId="29CBA82C">
      <w:pPr>
        <w:spacing w:line="400" w:lineRule="exact"/>
        <w:jc w:val="center"/>
        <w:rPr>
          <w:rFonts w:hint="eastAsia" w:ascii="宋体"/>
          <w:sz w:val="32"/>
          <w:szCs w:val="32"/>
        </w:rPr>
      </w:pPr>
    </w:p>
    <w:p w14:paraId="6A0DFAFF">
      <w:pPr>
        <w:spacing w:line="400" w:lineRule="exact"/>
        <w:jc w:val="center"/>
        <w:rPr>
          <w:rFonts w:hint="eastAsia" w:ascii="宋体"/>
          <w:sz w:val="32"/>
          <w:szCs w:val="32"/>
        </w:rPr>
      </w:pPr>
    </w:p>
    <w:p w14:paraId="3DDED0CB">
      <w:pPr>
        <w:spacing w:line="400" w:lineRule="exact"/>
        <w:jc w:val="center"/>
        <w:rPr>
          <w:rFonts w:hint="eastAsia" w:ascii="宋体"/>
          <w:sz w:val="32"/>
          <w:szCs w:val="32"/>
        </w:rPr>
      </w:pPr>
    </w:p>
    <w:p w14:paraId="679B83C3">
      <w:pPr>
        <w:pStyle w:val="46"/>
        <w:rPr>
          <w:rFonts w:hint="eastAsia"/>
          <w:sz w:val="44"/>
          <w:szCs w:val="44"/>
        </w:rPr>
      </w:pPr>
      <w:bookmarkStart w:id="92" w:name="_Toc476436176"/>
      <w:bookmarkStart w:id="93" w:name="_Toc476436435"/>
      <w:r>
        <w:rPr>
          <w:rFonts w:hint="eastAsia"/>
          <w:sz w:val="44"/>
          <w:szCs w:val="44"/>
        </w:rPr>
        <w:t>第五章  政府采购合同主要条款</w:t>
      </w:r>
      <w:bookmarkEnd w:id="92"/>
      <w:bookmarkEnd w:id="93"/>
    </w:p>
    <w:p w14:paraId="29EB9381">
      <w:pPr>
        <w:pStyle w:val="26"/>
        <w:jc w:val="center"/>
        <w:rPr>
          <w:rFonts w:hint="eastAsia"/>
          <w:b/>
          <w:sz w:val="52"/>
          <w:szCs w:val="52"/>
        </w:rPr>
      </w:pPr>
    </w:p>
    <w:p w14:paraId="3C9C3BFD">
      <w:pPr>
        <w:snapToGrid w:val="0"/>
        <w:spacing w:line="360" w:lineRule="exact"/>
        <w:jc w:val="center"/>
        <w:rPr>
          <w:rFonts w:hint="eastAsia"/>
          <w:b/>
          <w:bCs/>
          <w:sz w:val="32"/>
          <w:szCs w:val="32"/>
        </w:rPr>
      </w:pPr>
      <w:r>
        <w:rPr>
          <w:b/>
          <w:sz w:val="52"/>
          <w:szCs w:val="52"/>
        </w:rPr>
        <w:br w:type="page"/>
      </w:r>
      <w:r>
        <w:rPr>
          <w:rFonts w:hint="eastAsia"/>
          <w:b/>
          <w:bCs/>
          <w:sz w:val="32"/>
          <w:szCs w:val="32"/>
        </w:rPr>
        <w:t>广西壮族自治区政府采购合同（格式）</w:t>
      </w:r>
    </w:p>
    <w:p w14:paraId="7DDF0C20">
      <w:pPr>
        <w:jc w:val="center"/>
        <w:rPr>
          <w:rFonts w:hint="eastAsia" w:ascii="宋体" w:hAnsi="宋体"/>
          <w:bCs/>
          <w:szCs w:val="21"/>
        </w:rPr>
      </w:pPr>
    </w:p>
    <w:p w14:paraId="2F408283">
      <w:pPr>
        <w:snapToGrid w:val="0"/>
        <w:spacing w:line="360" w:lineRule="exact"/>
        <w:ind w:right="480" w:firstLine="5985" w:firstLineChars="2850"/>
        <w:rPr>
          <w:rFonts w:hint="eastAsia" w:ascii="宋体" w:hAnsi="宋体"/>
          <w:bCs/>
          <w:szCs w:val="21"/>
          <w:u w:val="single"/>
        </w:rPr>
      </w:pPr>
      <w:r>
        <w:rPr>
          <w:rFonts w:hint="eastAsia" w:ascii="宋体" w:hAnsi="宋体"/>
          <w:bCs/>
          <w:szCs w:val="21"/>
        </w:rPr>
        <w:t>合同编号：</w:t>
      </w:r>
    </w:p>
    <w:p w14:paraId="2AB07612">
      <w:pPr>
        <w:snapToGrid w:val="0"/>
        <w:spacing w:line="360" w:lineRule="exact"/>
        <w:rPr>
          <w:rFonts w:hint="eastAsia" w:ascii="宋体" w:hAnsi="宋体"/>
          <w:szCs w:val="21"/>
        </w:rPr>
      </w:pPr>
    </w:p>
    <w:p w14:paraId="01F98AC8">
      <w:pPr>
        <w:snapToGrid w:val="0"/>
        <w:spacing w:line="340" w:lineRule="exact"/>
        <w:rPr>
          <w:rFonts w:hint="eastAsia" w:ascii="宋体" w:hAnsi="宋体"/>
          <w:szCs w:val="21"/>
          <w:u w:val="single"/>
        </w:rPr>
      </w:pPr>
      <w:r>
        <w:rPr>
          <w:rFonts w:hint="eastAsia" w:ascii="宋体" w:hAnsi="宋体"/>
          <w:szCs w:val="21"/>
        </w:rPr>
        <w:t>采购单位（甲方）</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pacing w:val="-20"/>
          <w:szCs w:val="21"/>
        </w:rPr>
        <w:t>采 购 计 划 号</w:t>
      </w:r>
      <w:r>
        <w:rPr>
          <w:rFonts w:hint="eastAsia" w:ascii="宋体" w:hAnsi="宋体"/>
          <w:szCs w:val="21"/>
          <w:u w:val="single"/>
        </w:rPr>
        <w:t xml:space="preserve">                        </w:t>
      </w:r>
    </w:p>
    <w:p w14:paraId="235791B4">
      <w:pPr>
        <w:snapToGrid w:val="0"/>
        <w:spacing w:line="340" w:lineRule="exact"/>
        <w:rPr>
          <w:rFonts w:hint="eastAsia" w:ascii="宋体" w:hAnsi="宋体"/>
          <w:szCs w:val="21"/>
          <w:u w:val="single"/>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项目名称编号</w:t>
      </w:r>
      <w:r>
        <w:rPr>
          <w:rFonts w:hint="eastAsia" w:ascii="宋体" w:hAnsi="宋体"/>
          <w:szCs w:val="21"/>
          <w:u w:val="single"/>
        </w:rPr>
        <w:t xml:space="preserve">                       </w:t>
      </w:r>
    </w:p>
    <w:p w14:paraId="42BEB190">
      <w:pPr>
        <w:snapToGrid w:val="0"/>
        <w:spacing w:line="340" w:lineRule="exact"/>
        <w:rPr>
          <w:rFonts w:hint="eastAsia" w:ascii="宋体" w:hAnsi="宋体"/>
          <w:szCs w:val="21"/>
          <w:u w:val="single"/>
        </w:rPr>
      </w:pPr>
      <w:r>
        <w:rPr>
          <w:rFonts w:hint="eastAsia" w:ascii="宋体" w:hAnsi="宋体"/>
          <w:szCs w:val="21"/>
        </w:rPr>
        <w:t xml:space="preserve">签  订  地  点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签 订 时 间</w:t>
      </w:r>
      <w:r>
        <w:rPr>
          <w:rFonts w:hint="eastAsia" w:ascii="宋体" w:hAnsi="宋体"/>
          <w:szCs w:val="21"/>
          <w:u w:val="single"/>
        </w:rPr>
        <w:t xml:space="preserve">                       </w:t>
      </w:r>
    </w:p>
    <w:p w14:paraId="4F9D7963">
      <w:pPr>
        <w:snapToGrid w:val="0"/>
        <w:spacing w:line="340" w:lineRule="exact"/>
        <w:ind w:firstLine="420" w:firstLineChars="200"/>
        <w:rPr>
          <w:rFonts w:hint="eastAsia" w:ascii="宋体" w:hAnsi="宋体"/>
          <w:szCs w:val="21"/>
        </w:rPr>
      </w:pPr>
    </w:p>
    <w:p w14:paraId="6A9C0969">
      <w:pPr>
        <w:pStyle w:val="161"/>
        <w:spacing w:line="340" w:lineRule="exact"/>
        <w:ind w:firstLine="420" w:firstLineChars="200"/>
        <w:rPr>
          <w:rFonts w:hint="eastAsia"/>
          <w:sz w:val="21"/>
        </w:rPr>
      </w:pPr>
      <w:r>
        <w:rPr>
          <w:rFonts w:hint="eastAsia"/>
          <w:sz w:val="21"/>
        </w:rPr>
        <w:t>根据《中华人民共和国政府采购法》、《中华人民共和国民法典》等法律、法规规定，按照招标文件规定条款和中标人投标文件及其承诺，甲乙双方签订本合同。</w:t>
      </w:r>
    </w:p>
    <w:p w14:paraId="4BAC1D40">
      <w:pPr>
        <w:numPr>
          <w:ilvl w:val="0"/>
          <w:numId w:val="6"/>
        </w:numPr>
        <w:snapToGrid w:val="0"/>
        <w:spacing w:line="340" w:lineRule="exact"/>
        <w:outlineLvl w:val="0"/>
        <w:rPr>
          <w:rFonts w:hint="eastAsia" w:ascii="宋体" w:hAnsi="宋体"/>
          <w:b/>
          <w:szCs w:val="21"/>
        </w:rPr>
      </w:pPr>
      <w:r>
        <w:rPr>
          <w:rFonts w:hint="eastAsia" w:ascii="宋体" w:hAnsi="宋体"/>
          <w:b/>
          <w:szCs w:val="21"/>
        </w:rPr>
        <w:t>合同标的</w:t>
      </w:r>
    </w:p>
    <w:p w14:paraId="192DDFBB">
      <w:pPr>
        <w:snapToGrid w:val="0"/>
        <w:spacing w:line="340" w:lineRule="exact"/>
        <w:ind w:firstLine="420" w:firstLineChars="200"/>
        <w:outlineLvl w:val="0"/>
        <w:rPr>
          <w:rFonts w:hint="eastAsia" w:ascii="宋体" w:hAnsi="宋体"/>
          <w:b/>
          <w:szCs w:val="21"/>
        </w:rPr>
      </w:pPr>
      <w:r>
        <w:rPr>
          <w:rFonts w:hint="eastAsia" w:ascii="宋体" w:hAnsi="宋体"/>
          <w:b/>
          <w:szCs w:val="21"/>
        </w:rPr>
        <w:t>1、服务名称:</w:t>
      </w:r>
    </w:p>
    <w:p w14:paraId="084D87D1">
      <w:pPr>
        <w:snapToGrid w:val="0"/>
        <w:spacing w:line="340" w:lineRule="exact"/>
        <w:ind w:firstLine="420" w:firstLineChars="200"/>
        <w:outlineLvl w:val="0"/>
        <w:rPr>
          <w:rFonts w:hint="eastAsia" w:ascii="宋体" w:hAnsi="宋体"/>
          <w:b/>
          <w:szCs w:val="21"/>
        </w:rPr>
      </w:pPr>
      <w:r>
        <w:rPr>
          <w:rFonts w:hint="eastAsia" w:ascii="宋体" w:hAnsi="宋体"/>
          <w:b/>
          <w:szCs w:val="21"/>
        </w:rPr>
        <w:t>2、服务数量:</w:t>
      </w:r>
    </w:p>
    <w:p w14:paraId="6F866BEB">
      <w:pPr>
        <w:snapToGrid w:val="0"/>
        <w:spacing w:line="340" w:lineRule="exact"/>
        <w:ind w:firstLine="420" w:firstLineChars="200"/>
        <w:outlineLvl w:val="0"/>
        <w:rPr>
          <w:rFonts w:hint="eastAsia" w:ascii="宋体" w:hAnsi="宋体"/>
          <w:b/>
          <w:szCs w:val="21"/>
        </w:rPr>
      </w:pPr>
      <w:r>
        <w:rPr>
          <w:rFonts w:hint="eastAsia" w:ascii="宋体" w:hAnsi="宋体"/>
          <w:b/>
          <w:szCs w:val="21"/>
        </w:rPr>
        <w:t>3、服务内容:</w:t>
      </w:r>
    </w:p>
    <w:p w14:paraId="164ECEDA">
      <w:pPr>
        <w:snapToGrid w:val="0"/>
        <w:spacing w:line="340" w:lineRule="exact"/>
        <w:ind w:firstLine="420" w:firstLineChars="200"/>
        <w:rPr>
          <w:rFonts w:ascii="宋体" w:hAnsi="宋体"/>
          <w:b/>
          <w:szCs w:val="21"/>
        </w:rPr>
      </w:pPr>
      <w:r>
        <w:rPr>
          <w:rFonts w:hint="eastAsia" w:ascii="宋体" w:hAnsi="宋体"/>
          <w:b/>
          <w:szCs w:val="21"/>
        </w:rPr>
        <w:t>第二条　合同金额（含税价）</w:t>
      </w:r>
    </w:p>
    <w:p w14:paraId="6AB68828">
      <w:pPr>
        <w:snapToGrid w:val="0"/>
        <w:spacing w:line="340" w:lineRule="exact"/>
        <w:ind w:firstLine="420" w:firstLineChars="200"/>
        <w:rPr>
          <w:rFonts w:hint="eastAsia" w:ascii="宋体" w:hAnsi="宋体"/>
          <w:b/>
          <w:szCs w:val="21"/>
        </w:rPr>
      </w:pPr>
      <w:r>
        <w:rPr>
          <w:rFonts w:hint="eastAsia" w:ascii="宋体" w:hAnsi="宋体"/>
          <w:b/>
          <w:szCs w:val="21"/>
        </w:rPr>
        <w:t>本项目合同金额(大写)人民币_________________(</w:t>
      </w:r>
      <w:r>
        <w:rPr>
          <w:rFonts w:hint="eastAsia" w:ascii="宋体" w:hAnsi="宋体"/>
          <w:b/>
          <w:szCs w:val="21"/>
          <w:lang w:val="en-US" w:eastAsia="zh-CN"/>
        </w:rPr>
        <w:t xml:space="preserve"> </w:t>
      </w:r>
      <w:r>
        <w:rPr>
          <w:rFonts w:hint="eastAsia" w:ascii="宋体" w:hAnsi="宋体"/>
          <w:szCs w:val="21"/>
        </w:rPr>
        <w:t>¥</w:t>
      </w:r>
      <w:r>
        <w:rPr>
          <w:rFonts w:hint="eastAsia" w:ascii="宋体" w:hAnsi="宋体"/>
          <w:szCs w:val="21"/>
          <w:u w:val="single"/>
        </w:rPr>
        <w:t xml:space="preserve">           元 )</w:t>
      </w:r>
      <w:r>
        <w:rPr>
          <w:rFonts w:hint="eastAsia" w:ascii="宋体" w:hAnsi="宋体"/>
          <w:szCs w:val="21"/>
        </w:rPr>
        <w:t>。</w:t>
      </w:r>
    </w:p>
    <w:p w14:paraId="7C3CA742">
      <w:pPr>
        <w:snapToGrid w:val="0"/>
        <w:spacing w:line="340" w:lineRule="exact"/>
        <w:ind w:firstLine="420" w:firstLineChars="200"/>
        <w:outlineLvl w:val="0"/>
        <w:rPr>
          <w:rFonts w:hint="eastAsia" w:ascii="宋体" w:hAnsi="宋体"/>
          <w:b/>
          <w:szCs w:val="21"/>
        </w:rPr>
      </w:pPr>
      <w:r>
        <w:rPr>
          <w:rFonts w:hint="eastAsia" w:ascii="宋体" w:hAnsi="宋体"/>
          <w:b/>
          <w:szCs w:val="21"/>
        </w:rPr>
        <w:t>第三条　服务期限及地点</w:t>
      </w:r>
    </w:p>
    <w:p w14:paraId="4993EE94">
      <w:pPr>
        <w:snapToGrid w:val="0"/>
        <w:spacing w:line="340" w:lineRule="exact"/>
        <w:ind w:firstLine="420" w:firstLineChars="200"/>
        <w:outlineLvl w:val="0"/>
        <w:rPr>
          <w:rFonts w:hint="eastAsia" w:ascii="宋体" w:hAnsi="宋体"/>
          <w:b/>
          <w:szCs w:val="21"/>
        </w:rPr>
      </w:pPr>
      <w:r>
        <w:rPr>
          <w:rFonts w:hint="eastAsia" w:ascii="宋体" w:hAnsi="宋体"/>
          <w:b/>
          <w:szCs w:val="21"/>
        </w:rPr>
        <w:t>1、服务期限:</w:t>
      </w:r>
    </w:p>
    <w:p w14:paraId="6F5CB45D">
      <w:pPr>
        <w:snapToGrid w:val="0"/>
        <w:spacing w:line="340" w:lineRule="exact"/>
        <w:ind w:firstLine="420" w:firstLineChars="200"/>
        <w:outlineLvl w:val="0"/>
        <w:rPr>
          <w:rFonts w:hint="eastAsia" w:ascii="宋体" w:hAnsi="宋体"/>
          <w:szCs w:val="21"/>
        </w:rPr>
      </w:pPr>
      <w:r>
        <w:rPr>
          <w:rFonts w:hint="eastAsia" w:ascii="宋体" w:hAnsi="宋体"/>
          <w:b/>
          <w:szCs w:val="21"/>
        </w:rPr>
        <w:t>2、服务地点:</w:t>
      </w:r>
    </w:p>
    <w:p w14:paraId="630FB2E3">
      <w:pPr>
        <w:snapToGrid w:val="0"/>
        <w:spacing w:line="340" w:lineRule="exact"/>
        <w:ind w:firstLine="420" w:firstLineChars="200"/>
        <w:outlineLvl w:val="0"/>
        <w:rPr>
          <w:rFonts w:hint="eastAsia" w:ascii="宋体" w:hAnsi="宋体"/>
          <w:b/>
          <w:szCs w:val="21"/>
        </w:rPr>
      </w:pPr>
      <w:r>
        <w:rPr>
          <w:rFonts w:hint="eastAsia" w:ascii="宋体" w:hAnsi="宋体"/>
          <w:b/>
          <w:szCs w:val="21"/>
        </w:rPr>
        <w:t>第四条　售后服务、质保期</w:t>
      </w:r>
    </w:p>
    <w:p w14:paraId="35C6AFEA">
      <w:pPr>
        <w:snapToGrid w:val="0"/>
        <w:spacing w:line="340" w:lineRule="exact"/>
        <w:ind w:firstLine="420" w:firstLineChars="200"/>
        <w:rPr>
          <w:rFonts w:hint="eastAsia" w:ascii="宋体" w:hAnsi="宋体"/>
          <w:szCs w:val="21"/>
          <w:u w:val="single"/>
        </w:rPr>
      </w:pPr>
      <w:r>
        <w:rPr>
          <w:rFonts w:hint="eastAsia" w:ascii="宋体" w:hAnsi="宋体"/>
          <w:szCs w:val="21"/>
        </w:rPr>
        <w:t>乙方所提供的服务必须与招投标文件和承诺相一致且符合相应的服务规范及标准。</w:t>
      </w:r>
    </w:p>
    <w:p w14:paraId="1DCA2AF3">
      <w:pPr>
        <w:snapToGrid w:val="0"/>
        <w:spacing w:line="340" w:lineRule="exact"/>
        <w:ind w:firstLine="420" w:firstLineChars="200"/>
        <w:outlineLvl w:val="0"/>
        <w:rPr>
          <w:rFonts w:hint="eastAsia" w:ascii="宋体" w:hAnsi="宋体"/>
          <w:szCs w:val="21"/>
        </w:rPr>
      </w:pPr>
      <w:r>
        <w:rPr>
          <w:rFonts w:hint="eastAsia" w:ascii="宋体" w:hAnsi="宋体"/>
          <w:b/>
          <w:szCs w:val="21"/>
        </w:rPr>
        <w:t>第五条　付款方式</w:t>
      </w:r>
    </w:p>
    <w:p w14:paraId="52B6B554">
      <w:pPr>
        <w:snapToGrid w:val="0"/>
        <w:spacing w:line="340" w:lineRule="exact"/>
        <w:ind w:left="-60" w:leftChars="-29" w:firstLine="420" w:firstLineChars="200"/>
        <w:rPr>
          <w:rFonts w:hint="eastAsia" w:ascii="宋体" w:hAnsi="宋体" w:cs="Courier New"/>
          <w:b/>
          <w:szCs w:val="21"/>
        </w:rPr>
      </w:pPr>
      <w:r>
        <w:rPr>
          <w:rFonts w:hint="eastAsia" w:ascii="宋体" w:hAnsi="宋体"/>
          <w:szCs w:val="21"/>
        </w:rPr>
        <w:t>按本项目招标文件及本合同约定的付款条件规定进行缴纳。</w:t>
      </w:r>
    </w:p>
    <w:p w14:paraId="7FEB4598">
      <w:pPr>
        <w:snapToGrid w:val="0"/>
        <w:spacing w:line="340" w:lineRule="exact"/>
        <w:ind w:left="-60" w:leftChars="-29" w:firstLine="420" w:firstLineChars="200"/>
        <w:rPr>
          <w:rFonts w:ascii="宋体" w:hAnsi="宋体" w:cs="Courier New"/>
          <w:b/>
          <w:szCs w:val="21"/>
        </w:rPr>
      </w:pPr>
      <w:r>
        <w:rPr>
          <w:rFonts w:hint="eastAsia" w:ascii="宋体" w:hAnsi="宋体" w:cs="Courier New"/>
          <w:b/>
          <w:szCs w:val="21"/>
        </w:rPr>
        <w:t>第六条　履约保证金：</w:t>
      </w:r>
    </w:p>
    <w:p w14:paraId="70A5C413">
      <w:pPr>
        <w:spacing w:line="340" w:lineRule="exact"/>
        <w:ind w:firstLine="420" w:firstLineChars="200"/>
        <w:contextualSpacing/>
        <w:rPr>
          <w:rFonts w:hint="eastAsia" w:ascii="宋体" w:hAnsi="宋体" w:cs="宋体"/>
          <w:szCs w:val="21"/>
        </w:rPr>
      </w:pPr>
      <w:r>
        <w:rPr>
          <w:rFonts w:hint="eastAsia" w:ascii="宋体" w:hAnsi="宋体" w:cs="宋体"/>
          <w:szCs w:val="21"/>
        </w:rPr>
        <w:t>履约保证金金额：按中标金额的    %收取（中小企业缴纳数额为中标金额的2%）。</w:t>
      </w:r>
    </w:p>
    <w:p w14:paraId="78C0BA94">
      <w:pPr>
        <w:spacing w:line="340" w:lineRule="exact"/>
        <w:ind w:firstLine="420" w:firstLineChars="200"/>
        <w:contextualSpacing/>
        <w:rPr>
          <w:rFonts w:hint="eastAsia" w:ascii="宋体" w:hAnsi="宋体" w:cs="宋体"/>
          <w:szCs w:val="21"/>
        </w:rPr>
      </w:pPr>
      <w:r>
        <w:rPr>
          <w:rFonts w:hint="eastAsia" w:ascii="宋体" w:hAnsi="宋体" w:cs="宋体"/>
          <w:szCs w:val="21"/>
        </w:rPr>
        <w:t xml:space="preserve">履约保证金提交方式：签订合同之日起5个工作日内，支票、汇票、本票、银行转账或者金融机构、担保机构出具的保函等非现金形式。  </w:t>
      </w:r>
    </w:p>
    <w:p w14:paraId="78D309C2">
      <w:pPr>
        <w:spacing w:line="340" w:lineRule="exact"/>
        <w:ind w:firstLine="420" w:firstLineChars="200"/>
        <w:contextualSpacing/>
        <w:jc w:val="left"/>
        <w:rPr>
          <w:rFonts w:hint="eastAsia" w:ascii="宋体" w:hAnsi="宋体" w:cs="宋体"/>
          <w:szCs w:val="21"/>
        </w:rPr>
      </w:pPr>
      <w:r>
        <w:rPr>
          <w:rFonts w:hint="eastAsia" w:ascii="宋体" w:hAnsi="宋体" w:cs="宋体"/>
          <w:szCs w:val="21"/>
        </w:rPr>
        <w:t>履约保证金退付方式、时间及条件：项目完成验收合格后，且乙方无违约情形的，乙方提供《政府采购项目履约保证金退付意见书》及《政府采购项目合同验收报告》，向采购人提出书面申请退还，采购人在收到申请后十个工作日内以银行转账方式无息退还。如果乙方履行合同过程中有违约情形，则采购人有权没收保证金，不予退还。</w:t>
      </w:r>
    </w:p>
    <w:p w14:paraId="5BC50A25">
      <w:pPr>
        <w:spacing w:line="340" w:lineRule="exact"/>
        <w:ind w:firstLine="420" w:firstLineChars="200"/>
        <w:contextualSpacing/>
        <w:rPr>
          <w:rFonts w:hint="eastAsia" w:ascii="宋体" w:hAnsi="宋体" w:cs="宋体"/>
          <w:szCs w:val="21"/>
        </w:rPr>
      </w:pPr>
      <w:r>
        <w:rPr>
          <w:rFonts w:hint="eastAsia" w:ascii="宋体" w:hAnsi="宋体" w:cs="宋体"/>
          <w:szCs w:val="21"/>
        </w:rPr>
        <w:t>不予退还的情形：签订合同后，如乙方不按双方签订的合同规定履约，则其全部履约保证金不予退还。</w:t>
      </w:r>
    </w:p>
    <w:p w14:paraId="01A498AF">
      <w:pPr>
        <w:spacing w:line="340" w:lineRule="exact"/>
        <w:ind w:firstLine="420" w:firstLineChars="200"/>
        <w:contextualSpacing/>
        <w:rPr>
          <w:rFonts w:hint="eastAsia" w:ascii="宋体" w:hAnsi="宋体" w:cs="宋体"/>
          <w:szCs w:val="21"/>
        </w:rPr>
      </w:pPr>
      <w:r>
        <w:rPr>
          <w:rFonts w:hint="eastAsia" w:ascii="宋体" w:hAnsi="宋体" w:cs="宋体"/>
          <w:szCs w:val="21"/>
        </w:rPr>
        <w:t>履约保证金指定账户：</w:t>
      </w:r>
    </w:p>
    <w:p w14:paraId="1BD20E33">
      <w:pPr>
        <w:spacing w:line="340" w:lineRule="exact"/>
        <w:ind w:firstLine="420" w:firstLineChars="200"/>
        <w:contextualSpacing/>
        <w:rPr>
          <w:rFonts w:hint="eastAsia" w:ascii="宋体" w:hAnsi="宋体" w:cs="宋体"/>
          <w:szCs w:val="21"/>
        </w:rPr>
      </w:pPr>
      <w:r>
        <w:rPr>
          <w:rFonts w:hint="eastAsia" w:ascii="宋体" w:hAnsi="宋体" w:cs="宋体"/>
          <w:szCs w:val="21"/>
        </w:rPr>
        <w:t xml:space="preserve">开户名称： 广西壮族自治区公安厅 </w:t>
      </w:r>
    </w:p>
    <w:p w14:paraId="3AFD0B9A">
      <w:pPr>
        <w:spacing w:line="340" w:lineRule="exact"/>
        <w:ind w:firstLine="420" w:firstLineChars="200"/>
        <w:contextualSpacing/>
        <w:rPr>
          <w:rFonts w:hint="eastAsia" w:ascii="宋体" w:hAnsi="宋体" w:cs="宋体"/>
          <w:szCs w:val="21"/>
        </w:rPr>
      </w:pPr>
      <w:r>
        <w:rPr>
          <w:rFonts w:hint="eastAsia" w:ascii="宋体" w:hAnsi="宋体" w:cs="宋体"/>
          <w:szCs w:val="21"/>
        </w:rPr>
        <w:t xml:space="preserve">开户银行： 工行南宁市民乐分理处 </w:t>
      </w:r>
    </w:p>
    <w:p w14:paraId="295A2BE1">
      <w:pPr>
        <w:snapToGrid w:val="0"/>
        <w:spacing w:line="340" w:lineRule="exact"/>
        <w:ind w:left="-60" w:leftChars="-29" w:firstLine="420" w:firstLineChars="200"/>
        <w:rPr>
          <w:rFonts w:ascii="宋体" w:hAnsi="宋体"/>
          <w:szCs w:val="21"/>
        </w:rPr>
      </w:pPr>
      <w:r>
        <w:rPr>
          <w:rFonts w:hint="eastAsia" w:ascii="宋体" w:hAnsi="宋体" w:cs="宋体"/>
          <w:szCs w:val="21"/>
        </w:rPr>
        <w:t xml:space="preserve">银行账号： 2102 1095 2930 0002 294 </w:t>
      </w:r>
    </w:p>
    <w:p w14:paraId="07D0A370">
      <w:pPr>
        <w:snapToGrid w:val="0"/>
        <w:spacing w:line="340" w:lineRule="exact"/>
        <w:ind w:left="-60" w:leftChars="-29" w:firstLine="420" w:firstLineChars="200"/>
        <w:rPr>
          <w:rFonts w:ascii="宋体" w:hAnsi="宋体"/>
          <w:b/>
          <w:szCs w:val="21"/>
        </w:rPr>
      </w:pPr>
      <w:r>
        <w:rPr>
          <w:rFonts w:hint="eastAsia" w:ascii="宋体" w:hAnsi="宋体"/>
          <w:b/>
          <w:szCs w:val="21"/>
        </w:rPr>
        <w:t>第七条  税费本合同执行中相关的一切税费均由乙方负担。</w:t>
      </w:r>
    </w:p>
    <w:p w14:paraId="447EE3F5">
      <w:pPr>
        <w:snapToGrid w:val="0"/>
        <w:spacing w:line="340" w:lineRule="exact"/>
        <w:ind w:left="-60" w:leftChars="-29" w:firstLine="420" w:firstLineChars="200"/>
        <w:rPr>
          <w:b/>
        </w:rPr>
      </w:pPr>
      <w:r>
        <w:rPr>
          <w:rFonts w:hint="eastAsia"/>
          <w:b/>
        </w:rPr>
        <w:t>第八条  验收</w:t>
      </w:r>
    </w:p>
    <w:p w14:paraId="158E60C6">
      <w:pPr>
        <w:snapToGrid w:val="0"/>
        <w:spacing w:line="340" w:lineRule="exact"/>
        <w:ind w:left="-60" w:leftChars="-29" w:firstLine="420" w:firstLineChars="200"/>
      </w:pPr>
      <w:r>
        <w:rPr>
          <w:rFonts w:hint="eastAsia"/>
        </w:rPr>
        <w:t>1. 甲方对乙方提交的服务依据招标文件上的服务要求和国家有关质量标准进行现场初步验收，符合招标文件及本合同约定的技术要求的，给予签收，初步验收不合格的不予签收。</w:t>
      </w:r>
    </w:p>
    <w:p w14:paraId="5C258795">
      <w:pPr>
        <w:snapToGrid w:val="0"/>
        <w:spacing w:line="340" w:lineRule="exact"/>
        <w:ind w:left="-60" w:leftChars="-29" w:firstLine="420" w:firstLineChars="200"/>
      </w:pPr>
      <w:r>
        <w:rPr>
          <w:rFonts w:hint="eastAsia"/>
        </w:rPr>
        <w:t>2. 乙方提交服务成果前应对提交的服务成果作出全面检查和对验收文件进行整理，并列出清单，作为甲方验收和使用的技术条件依据，检验的结果应随服务成果交给甲方。</w:t>
      </w:r>
    </w:p>
    <w:p w14:paraId="23BAEDF1">
      <w:pPr>
        <w:snapToGrid w:val="0"/>
        <w:spacing w:line="340" w:lineRule="exact"/>
        <w:ind w:left="-60" w:leftChars="-29" w:firstLine="420" w:firstLineChars="200"/>
      </w:pPr>
      <w:r>
        <w:rPr>
          <w:rFonts w:hint="eastAsia"/>
        </w:rPr>
        <w:t>3. 对技术复杂的服务，甲方应请国家认可的专业检测机构参与初步验收及最终验收，并由其出具质量检测报告。</w:t>
      </w:r>
    </w:p>
    <w:p w14:paraId="214DAFAE">
      <w:pPr>
        <w:snapToGrid w:val="0"/>
        <w:spacing w:line="340" w:lineRule="exact"/>
        <w:ind w:left="-60" w:leftChars="-29" w:firstLine="420" w:firstLineChars="200"/>
      </w:pPr>
      <w:r>
        <w:rPr>
          <w:rFonts w:hint="eastAsia"/>
        </w:rPr>
        <w:t>4. 验收时乙方必须在现场，验收完毕后作出验收结果报告；验收费用由乙方负责。</w:t>
      </w:r>
    </w:p>
    <w:p w14:paraId="6EA46F12">
      <w:pPr>
        <w:snapToGrid w:val="0"/>
        <w:spacing w:line="340" w:lineRule="exact"/>
        <w:ind w:left="-60" w:leftChars="-29" w:firstLine="420" w:firstLineChars="200"/>
        <w:rPr>
          <w:rFonts w:ascii="宋体" w:hAnsi="宋体"/>
          <w:b/>
          <w:szCs w:val="21"/>
        </w:rPr>
      </w:pPr>
      <w:r>
        <w:rPr>
          <w:rFonts w:hint="eastAsia" w:ascii="宋体" w:hAnsi="宋体"/>
          <w:b/>
          <w:szCs w:val="21"/>
        </w:rPr>
        <w:t>第九条　违约责任</w:t>
      </w:r>
    </w:p>
    <w:p w14:paraId="2F87DB51">
      <w:pPr>
        <w:spacing w:line="380" w:lineRule="exact"/>
        <w:ind w:firstLine="561"/>
        <w:rPr>
          <w:rFonts w:hint="eastAsia" w:ascii="宋体" w:hAnsi="宋体" w:cs="宋体"/>
        </w:rPr>
      </w:pPr>
      <w:r>
        <w:rPr>
          <w:rFonts w:hint="eastAsia" w:ascii="宋体" w:hAnsi="宋体"/>
          <w:szCs w:val="21"/>
        </w:rPr>
        <w:t>1.</w:t>
      </w:r>
      <w:r>
        <w:rPr>
          <w:rFonts w:hint="eastAsia" w:ascii="宋体" w:hAnsi="宋体" w:cs="宋体"/>
        </w:rPr>
        <w:t>乙方需按《采购需求》中“商务要求”合同签订之日起15个日历日内，提供合格的算力服务给甲方，并通过甲方确认，如因乙方原因无法在规定时间内完成交付工作而影响甲方使用的，每延期1天，则乙方按本项目合同0.5%支付违约金给甲方。延期超过30天的，甲方有权按乙方无法正常履约而解除合同，且履约保证金不予退还。已经支付的费用乙方应当全额退还（逾期退还的，按资金占用期间同期银行贷款利息的两倍支付利息），并且乙方应向甲方支付相当于合同金额30%的违约金，违约金不足以赔偿采购人损失的，乙方还须赔偿甲方全部损失。</w:t>
      </w:r>
    </w:p>
    <w:p w14:paraId="6868D945">
      <w:pPr>
        <w:spacing w:line="380" w:lineRule="exact"/>
        <w:ind w:firstLine="561"/>
        <w:rPr>
          <w:rFonts w:hint="eastAsia" w:ascii="宋体" w:hAnsi="宋体" w:cs="宋体"/>
        </w:rPr>
      </w:pPr>
      <w:r>
        <w:rPr>
          <w:rFonts w:hint="eastAsia" w:ascii="宋体" w:hAnsi="宋体" w:cs="宋体"/>
        </w:rPr>
        <w:t>2.乙方所提供的服务成果、数量、技术参数要求等不符合本项目要求的，应及时整改；乙方在甲方规定期限内不能完成整改的或无正当理由拒绝整改或经整改后仍不能达到甲方要求的，甲方有权终止合同，违约责任按照本条第1款执行。</w:t>
      </w:r>
    </w:p>
    <w:p w14:paraId="64A583FB">
      <w:pPr>
        <w:spacing w:line="380" w:lineRule="exact"/>
        <w:ind w:firstLine="561"/>
        <w:rPr>
          <w:rFonts w:hint="eastAsia" w:ascii="宋体" w:hAnsi="宋体" w:cs="宋体"/>
        </w:rPr>
      </w:pPr>
      <w:r>
        <w:rPr>
          <w:rFonts w:hint="eastAsia" w:ascii="宋体" w:hAnsi="宋体" w:cs="宋体"/>
        </w:rPr>
        <w:t>3.乙方中标后被发现其在投标活动中提供任何虚假材料的，甲方有权解除合同，并按照本条第1款追究中标人违约责任。</w:t>
      </w:r>
    </w:p>
    <w:p w14:paraId="67C65290">
      <w:pPr>
        <w:spacing w:line="380" w:lineRule="exact"/>
        <w:ind w:firstLine="561"/>
        <w:rPr>
          <w:rFonts w:hint="eastAsia" w:ascii="宋体" w:hAnsi="宋体" w:cs="宋体"/>
        </w:rPr>
      </w:pPr>
      <w:r>
        <w:rPr>
          <w:rFonts w:hint="eastAsia" w:ascii="宋体" w:hAnsi="宋体" w:cs="宋体"/>
        </w:rPr>
        <w:t>4.甲方有权依据招标文件、投标文件对乙方的服务人员进行管理或要求更换，对于甲方要求更换服务人员的，乙方应无条件及时更换；乙方拒绝更换的，甲方有权终止合同，追回已付款项，并按本合同金额的10%计算违约金。</w:t>
      </w:r>
    </w:p>
    <w:p w14:paraId="2AB86281">
      <w:pPr>
        <w:spacing w:line="380" w:lineRule="exact"/>
        <w:ind w:firstLine="561"/>
        <w:rPr>
          <w:rFonts w:hint="eastAsia" w:ascii="宋体" w:hAnsi="宋体" w:cs="宋体"/>
        </w:rPr>
      </w:pPr>
      <w:r>
        <w:rPr>
          <w:rFonts w:hint="eastAsia" w:ascii="宋体" w:hAnsi="宋体" w:cs="宋体"/>
        </w:rPr>
        <w:t>5.除因甲方自身原因外，若因乙方操作造成采购人系统数据丢失、泄密的，乙方应按合同金额的30%支付违约金，违约金不足以弥补采购人损失的，乙方还应支付赔偿金。</w:t>
      </w:r>
    </w:p>
    <w:p w14:paraId="5AE823C9">
      <w:pPr>
        <w:spacing w:line="380" w:lineRule="exact"/>
        <w:ind w:firstLine="561"/>
        <w:rPr>
          <w:rFonts w:hint="eastAsia" w:ascii="宋体" w:hAnsi="宋体" w:cs="宋体"/>
        </w:rPr>
      </w:pPr>
      <w:r>
        <w:rPr>
          <w:rFonts w:hint="eastAsia" w:ascii="宋体" w:hAnsi="宋体" w:cs="宋体"/>
        </w:rPr>
        <w:t>6.乙方未按本合同和投标文件中规定的服务承诺提供售后服务的，每出现一次，乙方应按合同金额5%支付违约金；若乙方明确拒绝或怠于提供售后服务的，甲方有权聘请第三方机构提供售后服务，因此产生的费用均由乙方承担。</w:t>
      </w:r>
    </w:p>
    <w:p w14:paraId="37A94BB1">
      <w:pPr>
        <w:spacing w:line="380" w:lineRule="exact"/>
        <w:ind w:firstLine="561"/>
        <w:rPr>
          <w:rFonts w:hint="eastAsia" w:ascii="宋体" w:hAnsi="宋体" w:cs="宋体"/>
        </w:rPr>
      </w:pPr>
      <w:r>
        <w:rPr>
          <w:rFonts w:hint="eastAsia" w:ascii="宋体" w:hAnsi="宋体" w:cs="宋体"/>
        </w:rPr>
        <w:t>7.如乙方违反合同约定及甲方要求的信息安全及保密要求，每违反一次收取合同金额2%的违约金，累计不超过合同金额的30%，违约金不足以弥补甲方实际损失的，还应支付赔偿金；情节严重的移交相关部门处理。</w:t>
      </w:r>
    </w:p>
    <w:p w14:paraId="0005472E">
      <w:pPr>
        <w:spacing w:line="380" w:lineRule="exact"/>
        <w:ind w:firstLine="561"/>
        <w:rPr>
          <w:rFonts w:hint="eastAsia" w:ascii="宋体" w:hAnsi="宋体" w:cs="宋体"/>
        </w:rPr>
      </w:pPr>
      <w:r>
        <w:rPr>
          <w:rFonts w:hint="eastAsia" w:ascii="宋体" w:hAnsi="宋体" w:cs="宋体"/>
        </w:rPr>
        <w:t>8.本</w:t>
      </w:r>
      <w:r>
        <w:rPr>
          <w:rFonts w:hint="eastAsia" w:ascii="宋体" w:hAnsi="宋体" w:cs="宋体"/>
          <w:szCs w:val="21"/>
        </w:rPr>
        <w:t>合同项下</w:t>
      </w:r>
      <w:r>
        <w:rPr>
          <w:rFonts w:hint="eastAsia" w:ascii="宋体" w:hAnsi="宋体" w:cs="宋体"/>
        </w:rPr>
        <w:t>所指的损失是指甲方因乙方违约而遭受的全部经济损失（包括但不限于直接损失、间接损失及实现债权的费用，如诉讼费、保全费、财产保全责任险保险费、调查取证费、鉴定费、律师费、差旅费等）。</w:t>
      </w:r>
    </w:p>
    <w:p w14:paraId="5571A962">
      <w:pPr>
        <w:spacing w:line="380" w:lineRule="exact"/>
        <w:ind w:firstLine="561"/>
        <w:rPr>
          <w:rFonts w:hint="eastAsia" w:ascii="宋体" w:hAnsi="宋体" w:cs="宋体"/>
        </w:rPr>
      </w:pPr>
      <w:r>
        <w:rPr>
          <w:rFonts w:hint="eastAsia" w:ascii="宋体" w:hAnsi="宋体" w:cs="宋体"/>
        </w:rPr>
        <w:t>9.甲方有权从未付价款、履约保证金中先行扣除乙方应支付的违约金、赔偿金，不足另补。</w:t>
      </w:r>
    </w:p>
    <w:p w14:paraId="75C1D2DC">
      <w:pPr>
        <w:spacing w:line="380" w:lineRule="exact"/>
        <w:ind w:firstLine="561"/>
        <w:rPr>
          <w:rFonts w:hint="eastAsia" w:ascii="宋体" w:hAnsi="宋体" w:cs="宋体"/>
        </w:rPr>
      </w:pPr>
      <w:r>
        <w:rPr>
          <w:rFonts w:hint="eastAsia" w:ascii="宋体" w:hAnsi="宋体" w:cs="宋体"/>
        </w:rPr>
        <w:t>10.乙方提供的成果如侵犯了第三方合法权益而引发的任何纠纷或诉讼，均由乙方负责交涉并承担全部责任，由此造成甲方损失的，包括但不限于应诉的律师费和诉讼费等，均由乙方全部赔偿。</w:t>
      </w:r>
    </w:p>
    <w:p w14:paraId="5CDE264C">
      <w:pPr>
        <w:snapToGrid w:val="0"/>
        <w:spacing w:line="340" w:lineRule="exact"/>
        <w:ind w:left="-60" w:leftChars="-29" w:firstLine="630" w:firstLineChars="300"/>
        <w:rPr>
          <w:rFonts w:hint="eastAsia" w:ascii="宋体" w:hAnsi="宋体" w:cs="宋体"/>
        </w:rPr>
      </w:pPr>
      <w:r>
        <w:rPr>
          <w:rFonts w:hint="eastAsia" w:ascii="宋体" w:hAnsi="宋体" w:cs="宋体"/>
        </w:rPr>
        <w:t>11.由于甲方的原因造成合同不能如期履行的，双方可根据具体情况顺延合同的履行期，对乙方因此遭受的实际损失，甲方应予以合理补偿。</w:t>
      </w:r>
    </w:p>
    <w:p w14:paraId="7E2BE7DA">
      <w:pPr>
        <w:spacing w:line="380" w:lineRule="exact"/>
        <w:ind w:firstLine="561"/>
        <w:jc w:val="left"/>
        <w:rPr>
          <w:rFonts w:hint="eastAsia" w:ascii="宋体" w:hAnsi="宋体" w:cs="宋体"/>
          <w:szCs w:val="21"/>
        </w:rPr>
      </w:pPr>
      <w:r>
        <w:rPr>
          <w:rFonts w:hint="eastAsia" w:ascii="宋体" w:hAnsi="宋体" w:cs="宋体"/>
          <w:szCs w:val="21"/>
        </w:rPr>
        <w:t>12.其他要求</w:t>
      </w:r>
    </w:p>
    <w:p w14:paraId="3798A4C4">
      <w:pPr>
        <w:spacing w:line="380" w:lineRule="exact"/>
        <w:ind w:firstLine="561"/>
        <w:jc w:val="left"/>
        <w:rPr>
          <w:rFonts w:hint="eastAsia" w:ascii="宋体" w:hAnsi="宋体" w:cs="宋体"/>
          <w:szCs w:val="21"/>
        </w:rPr>
      </w:pPr>
      <w:r>
        <w:rPr>
          <w:rFonts w:hint="eastAsia" w:ascii="宋体" w:hAnsi="宋体" w:cs="宋体"/>
          <w:szCs w:val="21"/>
        </w:rPr>
        <w:t>（1）乙方应针对本项目设置安全负责人岗位，全面负责和管理本项目的网络安全相关工作。</w:t>
      </w:r>
    </w:p>
    <w:p w14:paraId="32B6531D">
      <w:pPr>
        <w:spacing w:line="380" w:lineRule="exact"/>
        <w:ind w:firstLine="561"/>
        <w:jc w:val="left"/>
        <w:rPr>
          <w:rFonts w:hint="eastAsia" w:ascii="宋体" w:hAnsi="宋体" w:cs="宋体"/>
          <w:szCs w:val="21"/>
        </w:rPr>
      </w:pPr>
      <w:r>
        <w:rPr>
          <w:rFonts w:hint="eastAsia" w:ascii="宋体" w:hAnsi="宋体" w:cs="宋体"/>
          <w:szCs w:val="21"/>
        </w:rPr>
        <w:t>（2）乙方应根据甲方数据分类分级情况，采取相应的加密、备份、访问控制及安全审计等措施。</w:t>
      </w:r>
    </w:p>
    <w:p w14:paraId="59F81610">
      <w:pPr>
        <w:spacing w:line="380" w:lineRule="exact"/>
        <w:ind w:firstLine="561"/>
        <w:jc w:val="left"/>
        <w:rPr>
          <w:rFonts w:hint="eastAsia" w:ascii="宋体" w:hAnsi="宋体" w:cs="宋体"/>
          <w:szCs w:val="21"/>
        </w:rPr>
      </w:pPr>
      <w:r>
        <w:rPr>
          <w:rFonts w:hint="eastAsia" w:ascii="宋体" w:hAnsi="宋体" w:cs="宋体"/>
          <w:szCs w:val="21"/>
        </w:rPr>
        <w:t>（3）</w:t>
      </w:r>
      <w:r>
        <w:rPr>
          <w:rFonts w:hint="eastAsia" w:ascii="宋体" w:hAnsi="宋体" w:cs="宋体"/>
        </w:rPr>
        <w:t>乙方</w:t>
      </w:r>
      <w:r>
        <w:rPr>
          <w:rFonts w:hint="eastAsia" w:ascii="宋体" w:hAnsi="宋体" w:cs="宋体"/>
          <w:szCs w:val="21"/>
        </w:rPr>
        <w:t>应与甲方签订数据处理运维安全责任协议。</w:t>
      </w:r>
    </w:p>
    <w:p w14:paraId="7F863599">
      <w:pPr>
        <w:snapToGrid w:val="0"/>
        <w:spacing w:line="340" w:lineRule="exact"/>
        <w:ind w:left="-60" w:leftChars="-29" w:firstLine="630" w:firstLineChars="300"/>
        <w:rPr>
          <w:rFonts w:hint="eastAsia" w:ascii="宋体" w:hAnsi="宋体" w:cs="宋体"/>
        </w:rPr>
      </w:pPr>
      <w:r>
        <w:rPr>
          <w:rFonts w:hint="eastAsia" w:ascii="宋体" w:hAnsi="宋体" w:cs="宋体"/>
          <w:szCs w:val="21"/>
        </w:rPr>
        <w:t>（4）</w:t>
      </w:r>
      <w:r>
        <w:rPr>
          <w:rFonts w:hint="eastAsia" w:ascii="宋体" w:hAnsi="宋体" w:cs="宋体"/>
        </w:rPr>
        <w:t>乙方</w:t>
      </w:r>
      <w:r>
        <w:rPr>
          <w:rFonts w:hint="eastAsia" w:ascii="宋体" w:hAnsi="宋体" w:cs="宋体"/>
          <w:szCs w:val="21"/>
        </w:rPr>
        <w:t>应按照《中华人民共和国网络安全法》《中华人民共和国数据安全法》《中华人民共和国个人信息保护法》《中华人民共和国密码法》《网络数据安全管理条例》《关键信息基础设施安全保护条例》《商用密码管理条例》等法律法规及规章制度的要求，履行网络和数据安全保护义务。</w:t>
      </w:r>
    </w:p>
    <w:p w14:paraId="439EC633">
      <w:pPr>
        <w:snapToGrid w:val="0"/>
        <w:spacing w:line="340" w:lineRule="exact"/>
        <w:ind w:left="-60" w:leftChars="-29" w:firstLine="420" w:firstLineChars="200"/>
        <w:rPr>
          <w:rFonts w:hint="eastAsia"/>
          <w:b/>
        </w:rPr>
      </w:pPr>
      <w:r>
        <w:rPr>
          <w:rFonts w:hint="eastAsia"/>
          <w:b/>
        </w:rPr>
        <w:t>第十条 保密义务</w:t>
      </w:r>
    </w:p>
    <w:p w14:paraId="4CB4189F">
      <w:pPr>
        <w:snapToGrid w:val="0"/>
        <w:spacing w:line="340" w:lineRule="exact"/>
        <w:ind w:left="-60" w:leftChars="-29" w:firstLine="420" w:firstLineChars="200"/>
        <w:rPr>
          <w:rFonts w:hint="eastAsia"/>
          <w:b/>
        </w:rPr>
      </w:pPr>
      <w:r>
        <w:rPr>
          <w:rFonts w:hint="eastAsia"/>
          <w:b/>
        </w:rPr>
        <w:t>1.甲乙双方都负有保守对方的单位机密或商业秘密的义务，保密范围包括但不限于技术情报、数据资料及其他公开后对对方造成影响或损失的秘密。</w:t>
      </w:r>
    </w:p>
    <w:p w14:paraId="17746889">
      <w:pPr>
        <w:snapToGrid w:val="0"/>
        <w:spacing w:line="340" w:lineRule="exact"/>
        <w:ind w:left="-60" w:leftChars="-29" w:firstLine="420" w:firstLineChars="200"/>
        <w:rPr>
          <w:rFonts w:hint="eastAsia"/>
          <w:b/>
        </w:rPr>
      </w:pPr>
      <w:r>
        <w:rPr>
          <w:rFonts w:hint="eastAsia"/>
          <w:b/>
        </w:rPr>
        <w:t>2.如乙方违反合同要求的保密协议，造成重大泄密案事件的，甲方有权解除合同，乙方应按照合同合计金额的10%向甲方支付违约金并承担因此给甲方造成的经济损失。</w:t>
      </w:r>
    </w:p>
    <w:p w14:paraId="6AEB42ED">
      <w:pPr>
        <w:snapToGrid w:val="0"/>
        <w:spacing w:line="340" w:lineRule="exact"/>
        <w:ind w:left="-60" w:leftChars="-29" w:firstLine="420" w:firstLineChars="200"/>
        <w:rPr>
          <w:rFonts w:hint="eastAsia"/>
          <w:b/>
        </w:rPr>
      </w:pPr>
      <w:r>
        <w:rPr>
          <w:rFonts w:hint="eastAsia"/>
          <w:b/>
        </w:rPr>
        <w:t>3.本条款不因合同的变更、解除和终止而失效。</w:t>
      </w:r>
    </w:p>
    <w:p w14:paraId="0B7DFF36">
      <w:pPr>
        <w:snapToGrid w:val="0"/>
        <w:spacing w:line="340" w:lineRule="exact"/>
        <w:ind w:left="-60" w:leftChars="-29" w:firstLine="420" w:firstLineChars="200"/>
        <w:rPr>
          <w:b/>
        </w:rPr>
      </w:pPr>
      <w:r>
        <w:rPr>
          <w:rFonts w:hint="eastAsia" w:ascii="宋体" w:hAnsi="宋体"/>
          <w:b/>
          <w:szCs w:val="21"/>
        </w:rPr>
        <w:t xml:space="preserve">第十一条 </w:t>
      </w:r>
      <w:r>
        <w:rPr>
          <w:rFonts w:hint="eastAsia"/>
          <w:b/>
        </w:rPr>
        <w:t>不可抗力事件处理</w:t>
      </w:r>
    </w:p>
    <w:p w14:paraId="5B32E367">
      <w:pPr>
        <w:snapToGrid w:val="0"/>
        <w:spacing w:line="340" w:lineRule="exact"/>
        <w:ind w:left="-60" w:leftChars="-29" w:firstLine="420" w:firstLineChars="200"/>
      </w:pPr>
      <w:r>
        <w:rPr>
          <w:rFonts w:hint="eastAsia"/>
        </w:rPr>
        <w:t>1. 在合同有效期内，任何一方因不可抗力事件导致不能履行合同，则合同履行期可延长，其延长期与不可抗力影响期相同。</w:t>
      </w:r>
    </w:p>
    <w:p w14:paraId="7BD7C6DA">
      <w:pPr>
        <w:snapToGrid w:val="0"/>
        <w:spacing w:line="340" w:lineRule="exact"/>
        <w:ind w:left="-60" w:leftChars="-29" w:firstLine="420" w:firstLineChars="200"/>
      </w:pPr>
      <w:r>
        <w:rPr>
          <w:rFonts w:hint="eastAsia"/>
        </w:rPr>
        <w:t>2. 不可抗力事件发生后，应立即通知对方，并寄送有关权威机构出具的证明。</w:t>
      </w:r>
    </w:p>
    <w:p w14:paraId="6FEAE536">
      <w:pPr>
        <w:snapToGrid w:val="0"/>
        <w:spacing w:line="340" w:lineRule="exact"/>
        <w:ind w:left="-60" w:leftChars="-29" w:firstLine="420" w:firstLineChars="200"/>
      </w:pPr>
      <w:r>
        <w:rPr>
          <w:rFonts w:hint="eastAsia"/>
        </w:rPr>
        <w:t>3. 不可抗力事件延续一百二十天以上，双方应通过友好协商，确定是否继续履行合同。</w:t>
      </w:r>
    </w:p>
    <w:p w14:paraId="25E4E9A6">
      <w:pPr>
        <w:snapToGrid w:val="0"/>
        <w:spacing w:line="340" w:lineRule="exact"/>
        <w:ind w:left="-60" w:leftChars="-29" w:firstLine="420" w:firstLineChars="200"/>
        <w:rPr>
          <w:rFonts w:ascii="宋体" w:hAnsi="宋体"/>
          <w:b/>
          <w:szCs w:val="21"/>
        </w:rPr>
      </w:pPr>
      <w:r>
        <w:rPr>
          <w:rFonts w:hint="eastAsia" w:ascii="宋体" w:hAnsi="宋体"/>
          <w:b/>
          <w:szCs w:val="21"/>
        </w:rPr>
        <w:t>第十二条  合同争议解决</w:t>
      </w:r>
    </w:p>
    <w:p w14:paraId="66AC41A9">
      <w:pPr>
        <w:snapToGrid w:val="0"/>
        <w:spacing w:line="340" w:lineRule="exact"/>
        <w:ind w:left="-60" w:leftChars="-29" w:firstLine="420" w:firstLineChars="200"/>
        <w:rPr>
          <w:rFonts w:ascii="宋体" w:hAnsi="宋体"/>
          <w:szCs w:val="21"/>
        </w:rPr>
      </w:pPr>
      <w:r>
        <w:rPr>
          <w:rFonts w:hint="eastAsia" w:ascii="宋体" w:hAnsi="宋体"/>
          <w:szCs w:val="21"/>
        </w:rPr>
        <w:t>1、因服务成果质量问题发生争议的，应邀请国家认可的质量检测机构对服务成果质量进行鉴定。服务成果符合标准的，鉴定费由甲方承担；服务成果不符合标准的，鉴定费由乙方承担。</w:t>
      </w:r>
    </w:p>
    <w:p w14:paraId="23FA9C2E">
      <w:pPr>
        <w:snapToGrid w:val="0"/>
        <w:spacing w:line="340" w:lineRule="exact"/>
        <w:ind w:left="-60" w:leftChars="-29" w:firstLine="420" w:firstLineChars="200"/>
        <w:rPr>
          <w:rFonts w:ascii="宋体" w:hAnsi="宋体"/>
          <w:szCs w:val="21"/>
        </w:rPr>
      </w:pPr>
      <w:r>
        <w:rPr>
          <w:rFonts w:hint="eastAsia" w:ascii="宋体" w:hAnsi="宋体"/>
          <w:szCs w:val="21"/>
        </w:rPr>
        <w:t>2、因履行本合同引起的或与本合同有关的争议，甲乙双方应首先通过友好协商解决，如果协商不能解决，向甲方所在地人民法院提起诉讼。</w:t>
      </w:r>
    </w:p>
    <w:p w14:paraId="029730E0">
      <w:pPr>
        <w:snapToGrid w:val="0"/>
        <w:spacing w:line="340" w:lineRule="exact"/>
        <w:ind w:left="-60" w:leftChars="-29" w:firstLine="420" w:firstLineChars="200"/>
        <w:rPr>
          <w:rFonts w:ascii="宋体" w:hAnsi="宋体"/>
          <w:szCs w:val="21"/>
        </w:rPr>
      </w:pPr>
      <w:r>
        <w:rPr>
          <w:rFonts w:hint="eastAsia" w:ascii="宋体" w:hAnsi="宋体"/>
          <w:szCs w:val="21"/>
        </w:rPr>
        <w:t>3、诉讼期间，本合同继续履行。</w:t>
      </w:r>
    </w:p>
    <w:p w14:paraId="3F0797C4">
      <w:pPr>
        <w:snapToGrid w:val="0"/>
        <w:spacing w:line="340" w:lineRule="exact"/>
        <w:ind w:left="-60" w:leftChars="-29" w:firstLine="420" w:firstLineChars="200"/>
        <w:rPr>
          <w:b/>
        </w:rPr>
      </w:pPr>
      <w:r>
        <w:rPr>
          <w:rFonts w:hint="eastAsia"/>
          <w:b/>
        </w:rPr>
        <w:t>第十三条 合同生效及其它</w:t>
      </w:r>
    </w:p>
    <w:p w14:paraId="61FC5FE3">
      <w:pPr>
        <w:snapToGrid w:val="0"/>
        <w:spacing w:line="340" w:lineRule="exact"/>
        <w:ind w:left="-60" w:leftChars="-29" w:firstLine="420" w:firstLineChars="200"/>
        <w:rPr>
          <w:b/>
        </w:rPr>
      </w:pPr>
      <w:r>
        <w:rPr>
          <w:rFonts w:hint="eastAsia"/>
          <w:b/>
        </w:rPr>
        <w:t>1．合同经双方法定代表人(负责人)或授权代表签字并加盖单位公章后生效。</w:t>
      </w:r>
    </w:p>
    <w:p w14:paraId="134423BB">
      <w:pPr>
        <w:snapToGrid w:val="0"/>
        <w:spacing w:line="340" w:lineRule="exact"/>
        <w:ind w:left="-60" w:leftChars="-29" w:firstLine="420" w:firstLineChars="200"/>
        <w:rPr>
          <w:b/>
        </w:rPr>
      </w:pPr>
      <w:r>
        <w:rPr>
          <w:rFonts w:hint="eastAsia"/>
          <w:b/>
        </w:rPr>
        <w:t>2．合同执行中涉及采购资金和采购内容修改或补充的，须签书面补充协议报财政部门备案，方可作为主合同不可分割的一部分。</w:t>
      </w:r>
    </w:p>
    <w:p w14:paraId="79554335">
      <w:pPr>
        <w:snapToGrid w:val="0"/>
        <w:spacing w:line="340" w:lineRule="exact"/>
        <w:ind w:left="-60" w:leftChars="-29" w:firstLine="420" w:firstLineChars="200"/>
        <w:rPr>
          <w:b/>
        </w:rPr>
      </w:pPr>
      <w:r>
        <w:rPr>
          <w:rFonts w:hint="eastAsia"/>
          <w:b/>
        </w:rPr>
        <w:t>3．本合同未尽事宜，遵照《中华人民共和国民法典》有关条文执行。</w:t>
      </w:r>
    </w:p>
    <w:p w14:paraId="6CA3FF8E">
      <w:pPr>
        <w:snapToGrid w:val="0"/>
        <w:spacing w:line="340" w:lineRule="exact"/>
        <w:ind w:left="-60" w:leftChars="-29" w:firstLine="420" w:firstLineChars="200"/>
        <w:rPr>
          <w:rFonts w:ascii="宋体" w:hAnsi="宋体"/>
          <w:b/>
          <w:szCs w:val="21"/>
        </w:rPr>
      </w:pPr>
      <w:r>
        <w:rPr>
          <w:rFonts w:hint="eastAsia" w:ascii="宋体" w:hAnsi="宋体"/>
          <w:b/>
          <w:szCs w:val="21"/>
        </w:rPr>
        <w:t>第十四条　合同的变更、终止与转让</w:t>
      </w:r>
    </w:p>
    <w:p w14:paraId="472F8FBA">
      <w:pPr>
        <w:snapToGrid w:val="0"/>
        <w:spacing w:line="340" w:lineRule="exact"/>
        <w:ind w:left="-60" w:leftChars="-29" w:firstLine="420" w:firstLineChars="200"/>
        <w:rPr>
          <w:rFonts w:ascii="宋体" w:hAnsi="宋体"/>
          <w:szCs w:val="21"/>
        </w:rPr>
      </w:pPr>
      <w:r>
        <w:rPr>
          <w:rFonts w:hint="eastAsia" w:ascii="宋体" w:hAnsi="宋体"/>
          <w:szCs w:val="21"/>
        </w:rPr>
        <w:t>1、除《中华人民共和国政府采购法》第五十条规定的情形外，本合同一经签订，甲乙双方不得擅自变更、中止或终止。</w:t>
      </w:r>
    </w:p>
    <w:p w14:paraId="081C52F5">
      <w:pPr>
        <w:snapToGrid w:val="0"/>
        <w:spacing w:line="340" w:lineRule="exact"/>
        <w:ind w:left="-60" w:leftChars="-29" w:firstLine="420" w:firstLineChars="200"/>
      </w:pPr>
      <w:r>
        <w:rPr>
          <w:rFonts w:hint="eastAsia" w:ascii="宋体" w:hAnsi="宋体"/>
        </w:rPr>
        <w:t>2、乙方不得擅自转让其应</w:t>
      </w:r>
      <w:r>
        <w:rPr>
          <w:rFonts w:hint="eastAsia"/>
        </w:rPr>
        <w:t>履行的合同义务。</w:t>
      </w:r>
    </w:p>
    <w:p w14:paraId="325B833C">
      <w:pPr>
        <w:snapToGrid w:val="0"/>
        <w:spacing w:line="340" w:lineRule="exact"/>
        <w:ind w:left="-60" w:leftChars="-29" w:firstLine="420" w:firstLineChars="200"/>
        <w:rPr>
          <w:rFonts w:ascii="宋体" w:hAnsi="宋体"/>
          <w:b/>
          <w:szCs w:val="21"/>
        </w:rPr>
      </w:pPr>
      <w:r>
        <w:rPr>
          <w:rFonts w:hint="eastAsia" w:ascii="宋体" w:hAnsi="宋体"/>
          <w:b/>
          <w:szCs w:val="21"/>
        </w:rPr>
        <w:t>第十五条　签订本合同依据</w:t>
      </w:r>
    </w:p>
    <w:p w14:paraId="32AF4D65">
      <w:pPr>
        <w:snapToGrid w:val="0"/>
        <w:spacing w:line="340" w:lineRule="exact"/>
        <w:ind w:left="-60" w:leftChars="-29" w:firstLine="420" w:firstLineChars="200"/>
        <w:rPr>
          <w:rFonts w:ascii="宋体" w:hAnsi="宋体"/>
          <w:szCs w:val="21"/>
        </w:rPr>
      </w:pPr>
      <w:r>
        <w:rPr>
          <w:rFonts w:hint="eastAsia" w:ascii="宋体" w:hAnsi="宋体"/>
          <w:szCs w:val="21"/>
        </w:rPr>
        <w:t>1、政府采购招标文件；</w:t>
      </w:r>
    </w:p>
    <w:p w14:paraId="58C65AD9">
      <w:pPr>
        <w:snapToGrid w:val="0"/>
        <w:spacing w:line="340" w:lineRule="exact"/>
        <w:ind w:left="-60" w:leftChars="-29" w:firstLine="420" w:firstLineChars="200"/>
        <w:rPr>
          <w:rFonts w:ascii="宋体" w:hAnsi="宋体"/>
          <w:szCs w:val="21"/>
        </w:rPr>
      </w:pPr>
      <w:r>
        <w:rPr>
          <w:rFonts w:hint="eastAsia" w:ascii="宋体" w:hAnsi="宋体"/>
          <w:szCs w:val="21"/>
        </w:rPr>
        <w:t>2、乙方提供的投标文件；</w:t>
      </w:r>
    </w:p>
    <w:p w14:paraId="24E0917A">
      <w:pPr>
        <w:snapToGrid w:val="0"/>
        <w:spacing w:line="340" w:lineRule="exact"/>
        <w:ind w:left="-60" w:leftChars="-29" w:firstLine="420" w:firstLineChars="200"/>
        <w:rPr>
          <w:rFonts w:ascii="宋体" w:hAnsi="宋体"/>
          <w:szCs w:val="21"/>
        </w:rPr>
      </w:pPr>
      <w:r>
        <w:rPr>
          <w:rFonts w:hint="eastAsia" w:ascii="宋体" w:hAnsi="宋体"/>
          <w:szCs w:val="21"/>
        </w:rPr>
        <w:t>3、中标通知书。</w:t>
      </w:r>
    </w:p>
    <w:p w14:paraId="4FEDE408">
      <w:pPr>
        <w:snapToGrid w:val="0"/>
        <w:spacing w:line="340" w:lineRule="exact"/>
        <w:ind w:left="-60" w:leftChars="-29" w:firstLine="420" w:firstLineChars="200"/>
        <w:rPr>
          <w:rFonts w:ascii="宋体" w:hAnsi="宋体"/>
          <w:szCs w:val="21"/>
        </w:rPr>
      </w:pPr>
      <w:r>
        <w:rPr>
          <w:rFonts w:hint="eastAsia" w:ascii="宋体" w:hAnsi="宋体"/>
          <w:b/>
          <w:szCs w:val="21"/>
        </w:rPr>
        <w:t>第十六条　</w:t>
      </w:r>
      <w:r>
        <w:rPr>
          <w:rFonts w:hint="eastAsia" w:ascii="宋体" w:hAnsi="宋体"/>
          <w:szCs w:val="21"/>
        </w:rPr>
        <w:t>本合同一式四份，具有同等法律效力，</w:t>
      </w:r>
      <w:r>
        <w:rPr>
          <w:rFonts w:hint="eastAsia" w:ascii="宋体" w:hAnsi="宋体"/>
          <w:spacing w:val="4"/>
          <w:szCs w:val="21"/>
        </w:rPr>
        <w:t>广西壮族自治区财政厅政府采购监督管理处、采购代理机构</w:t>
      </w:r>
      <w:r>
        <w:rPr>
          <w:rFonts w:hint="eastAsia" w:ascii="宋体" w:hAnsi="宋体"/>
          <w:szCs w:val="21"/>
        </w:rPr>
        <w:t>各一份，甲乙双方各一份。</w:t>
      </w:r>
    </w:p>
    <w:p w14:paraId="5F8C4017">
      <w:pPr>
        <w:snapToGrid w:val="0"/>
        <w:spacing w:line="340" w:lineRule="exact"/>
        <w:ind w:left="-60" w:leftChars="-29" w:firstLine="420" w:firstLineChars="200"/>
        <w:rPr>
          <w:rFonts w:hint="eastAsia" w:ascii="宋体" w:hAnsi="宋体"/>
          <w:szCs w:val="21"/>
        </w:rPr>
      </w:pPr>
      <w:r>
        <w:rPr>
          <w:rFonts w:hint="eastAsia" w:ascii="宋体" w:hAnsi="宋体"/>
          <w:szCs w:val="21"/>
        </w:rPr>
        <w:t>本合同甲乙双方签字盖章后生效，自签订之日起7个工作日内，采购人应当将合同副本报</w:t>
      </w:r>
      <w:r>
        <w:rPr>
          <w:rFonts w:hint="eastAsia" w:ascii="宋体" w:hAnsi="宋体"/>
          <w:spacing w:val="4"/>
          <w:szCs w:val="21"/>
        </w:rPr>
        <w:t>同级政府采购监督管理部门和有关部门</w:t>
      </w:r>
      <w:r>
        <w:rPr>
          <w:rFonts w:hint="eastAsia" w:ascii="宋体" w:hAnsi="宋体"/>
          <w:szCs w:val="21"/>
        </w:rPr>
        <w:t>备案，并应当自签订之日起2个工作日内，将政府采购合同在省级以上人民政府财政部门指定的媒体上公告。</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6"/>
        <w:gridCol w:w="4941"/>
      </w:tblGrid>
      <w:tr w14:paraId="57F6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4676" w:type="dxa"/>
            <w:vAlign w:val="center"/>
          </w:tcPr>
          <w:p w14:paraId="113B1183">
            <w:pPr>
              <w:snapToGrid w:val="0"/>
              <w:spacing w:line="360" w:lineRule="exact"/>
              <w:rPr>
                <w:rFonts w:hint="eastAsia" w:ascii="宋体" w:hAnsi="宋体"/>
                <w:szCs w:val="21"/>
              </w:rPr>
            </w:pPr>
            <w:r>
              <w:rPr>
                <w:rFonts w:hint="eastAsia" w:ascii="宋体" w:hAnsi="宋体"/>
                <w:szCs w:val="21"/>
              </w:rPr>
              <w:t xml:space="preserve">甲方（章）           </w:t>
            </w:r>
          </w:p>
          <w:p w14:paraId="09E0E3F6">
            <w:pPr>
              <w:snapToGrid w:val="0"/>
              <w:spacing w:line="360" w:lineRule="exact"/>
              <w:rPr>
                <w:rFonts w:hint="eastAsia" w:ascii="宋体" w:hAnsi="宋体"/>
                <w:szCs w:val="21"/>
              </w:rPr>
            </w:pPr>
          </w:p>
          <w:p w14:paraId="1DD073CA">
            <w:pPr>
              <w:snapToGrid w:val="0"/>
              <w:spacing w:line="360" w:lineRule="exact"/>
              <w:rPr>
                <w:rFonts w:hint="eastAsia" w:ascii="宋体" w:hAnsi="宋体"/>
                <w:szCs w:val="21"/>
              </w:rPr>
            </w:pPr>
          </w:p>
          <w:p w14:paraId="753129CE">
            <w:pPr>
              <w:snapToGrid w:val="0"/>
              <w:spacing w:line="360" w:lineRule="exact"/>
              <w:ind w:firstLine="945" w:firstLineChars="450"/>
              <w:jc w:val="right"/>
              <w:rPr>
                <w:rFonts w:hint="eastAsia" w:ascii="宋体" w:hAnsi="宋体"/>
                <w:szCs w:val="21"/>
              </w:rPr>
            </w:pPr>
            <w:r>
              <w:rPr>
                <w:rFonts w:hint="eastAsia" w:ascii="宋体" w:hAnsi="宋体"/>
                <w:szCs w:val="21"/>
              </w:rPr>
              <w:t>年   月   日</w:t>
            </w:r>
          </w:p>
        </w:tc>
        <w:tc>
          <w:tcPr>
            <w:tcW w:w="4941" w:type="dxa"/>
            <w:vAlign w:val="center"/>
          </w:tcPr>
          <w:p w14:paraId="302E4D66">
            <w:pPr>
              <w:snapToGrid w:val="0"/>
              <w:spacing w:line="360" w:lineRule="exact"/>
              <w:rPr>
                <w:rFonts w:hint="eastAsia" w:ascii="宋体" w:hAnsi="宋体"/>
                <w:szCs w:val="21"/>
              </w:rPr>
            </w:pPr>
            <w:r>
              <w:rPr>
                <w:rFonts w:hint="eastAsia" w:ascii="宋体" w:hAnsi="宋体"/>
                <w:szCs w:val="21"/>
              </w:rPr>
              <w:t xml:space="preserve">乙方（章）              </w:t>
            </w:r>
          </w:p>
          <w:p w14:paraId="31CDEC31">
            <w:pPr>
              <w:snapToGrid w:val="0"/>
              <w:spacing w:line="360" w:lineRule="exact"/>
              <w:rPr>
                <w:rFonts w:hint="eastAsia" w:ascii="宋体" w:hAnsi="宋体"/>
                <w:szCs w:val="21"/>
              </w:rPr>
            </w:pPr>
          </w:p>
          <w:p w14:paraId="18FA0239">
            <w:pPr>
              <w:snapToGrid w:val="0"/>
              <w:spacing w:line="360" w:lineRule="exact"/>
              <w:rPr>
                <w:rFonts w:hint="eastAsia" w:ascii="宋体" w:hAnsi="宋体"/>
                <w:szCs w:val="21"/>
              </w:rPr>
            </w:pPr>
          </w:p>
          <w:p w14:paraId="31C774B5">
            <w:pPr>
              <w:snapToGrid w:val="0"/>
              <w:spacing w:line="360" w:lineRule="exact"/>
              <w:jc w:val="right"/>
              <w:rPr>
                <w:rFonts w:hint="eastAsia" w:ascii="宋体" w:hAnsi="宋体"/>
                <w:szCs w:val="21"/>
              </w:rPr>
            </w:pPr>
            <w:r>
              <w:rPr>
                <w:rFonts w:hint="eastAsia" w:ascii="宋体" w:hAnsi="宋体"/>
                <w:szCs w:val="21"/>
              </w:rPr>
              <w:t xml:space="preserve"> 年   月   日</w:t>
            </w:r>
          </w:p>
        </w:tc>
      </w:tr>
      <w:tr w14:paraId="6259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vAlign w:val="center"/>
          </w:tcPr>
          <w:p w14:paraId="7E48DCBD">
            <w:pPr>
              <w:snapToGrid w:val="0"/>
              <w:spacing w:line="360" w:lineRule="exact"/>
              <w:rPr>
                <w:rFonts w:hint="eastAsia" w:ascii="宋体" w:hAnsi="宋体"/>
                <w:szCs w:val="21"/>
              </w:rPr>
            </w:pPr>
            <w:r>
              <w:rPr>
                <w:rFonts w:hint="eastAsia" w:ascii="宋体" w:hAnsi="宋体"/>
                <w:szCs w:val="21"/>
              </w:rPr>
              <w:t>单位地址：</w:t>
            </w:r>
          </w:p>
        </w:tc>
        <w:tc>
          <w:tcPr>
            <w:tcW w:w="4941" w:type="dxa"/>
            <w:vAlign w:val="center"/>
          </w:tcPr>
          <w:p w14:paraId="176E8D64">
            <w:pPr>
              <w:snapToGrid w:val="0"/>
              <w:spacing w:line="360" w:lineRule="exact"/>
              <w:rPr>
                <w:rFonts w:hint="eastAsia" w:ascii="宋体" w:hAnsi="宋体"/>
                <w:szCs w:val="21"/>
              </w:rPr>
            </w:pPr>
            <w:r>
              <w:rPr>
                <w:rFonts w:hint="eastAsia" w:ascii="宋体" w:hAnsi="宋体"/>
                <w:szCs w:val="21"/>
              </w:rPr>
              <w:t>单位地址：</w:t>
            </w:r>
          </w:p>
        </w:tc>
      </w:tr>
      <w:tr w14:paraId="61FE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vAlign w:val="center"/>
          </w:tcPr>
          <w:p w14:paraId="3E1964AD">
            <w:pPr>
              <w:snapToGrid w:val="0"/>
              <w:spacing w:line="360" w:lineRule="exact"/>
              <w:rPr>
                <w:rFonts w:hint="eastAsia" w:ascii="宋体" w:hAnsi="宋体"/>
                <w:szCs w:val="21"/>
              </w:rPr>
            </w:pPr>
            <w:r>
              <w:rPr>
                <w:rFonts w:hint="eastAsia" w:ascii="宋体" w:hAnsi="宋体"/>
                <w:szCs w:val="21"/>
              </w:rPr>
              <w:t>法定代表人(负责人)：</w:t>
            </w:r>
          </w:p>
        </w:tc>
        <w:tc>
          <w:tcPr>
            <w:tcW w:w="4941" w:type="dxa"/>
            <w:vAlign w:val="center"/>
          </w:tcPr>
          <w:p w14:paraId="0ECA7BE3">
            <w:pPr>
              <w:snapToGrid w:val="0"/>
              <w:spacing w:line="360" w:lineRule="exact"/>
              <w:rPr>
                <w:rFonts w:hint="eastAsia" w:ascii="宋体" w:hAnsi="宋体"/>
                <w:szCs w:val="21"/>
              </w:rPr>
            </w:pPr>
            <w:r>
              <w:rPr>
                <w:rFonts w:hint="eastAsia" w:ascii="宋体" w:hAnsi="宋体"/>
                <w:szCs w:val="21"/>
              </w:rPr>
              <w:t>法定代表人(负责人)：</w:t>
            </w:r>
          </w:p>
        </w:tc>
      </w:tr>
      <w:tr w14:paraId="096E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vAlign w:val="center"/>
          </w:tcPr>
          <w:p w14:paraId="6746EF0D">
            <w:pPr>
              <w:snapToGrid w:val="0"/>
              <w:spacing w:line="360" w:lineRule="exact"/>
              <w:rPr>
                <w:rFonts w:hint="eastAsia" w:ascii="宋体" w:hAnsi="宋体"/>
                <w:szCs w:val="21"/>
              </w:rPr>
            </w:pPr>
            <w:r>
              <w:rPr>
                <w:rFonts w:hint="eastAsia" w:ascii="宋体" w:hAnsi="宋体"/>
                <w:szCs w:val="21"/>
              </w:rPr>
              <w:t>委托代理人：</w:t>
            </w:r>
          </w:p>
        </w:tc>
        <w:tc>
          <w:tcPr>
            <w:tcW w:w="4941" w:type="dxa"/>
            <w:vAlign w:val="center"/>
          </w:tcPr>
          <w:p w14:paraId="136386E2">
            <w:pPr>
              <w:snapToGrid w:val="0"/>
              <w:spacing w:line="360" w:lineRule="exact"/>
              <w:rPr>
                <w:rFonts w:hint="eastAsia" w:ascii="宋体" w:hAnsi="宋体"/>
                <w:szCs w:val="21"/>
              </w:rPr>
            </w:pPr>
            <w:r>
              <w:rPr>
                <w:rFonts w:hint="eastAsia" w:ascii="宋体" w:hAnsi="宋体"/>
                <w:szCs w:val="21"/>
              </w:rPr>
              <w:t>委托代理人：</w:t>
            </w:r>
          </w:p>
        </w:tc>
      </w:tr>
      <w:tr w14:paraId="7F53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vAlign w:val="center"/>
          </w:tcPr>
          <w:p w14:paraId="09BEA6F1">
            <w:pPr>
              <w:snapToGrid w:val="0"/>
              <w:spacing w:line="360" w:lineRule="exact"/>
              <w:rPr>
                <w:rFonts w:hint="eastAsia" w:ascii="宋体" w:hAnsi="宋体"/>
                <w:szCs w:val="21"/>
              </w:rPr>
            </w:pPr>
            <w:r>
              <w:rPr>
                <w:rFonts w:hint="eastAsia" w:ascii="宋体" w:hAnsi="宋体"/>
                <w:szCs w:val="21"/>
              </w:rPr>
              <w:t>电话：</w:t>
            </w:r>
          </w:p>
        </w:tc>
        <w:tc>
          <w:tcPr>
            <w:tcW w:w="4941" w:type="dxa"/>
            <w:vAlign w:val="center"/>
          </w:tcPr>
          <w:p w14:paraId="07596D97">
            <w:pPr>
              <w:snapToGrid w:val="0"/>
              <w:spacing w:line="360" w:lineRule="exact"/>
              <w:rPr>
                <w:rFonts w:hint="eastAsia" w:ascii="宋体" w:hAnsi="宋体"/>
                <w:szCs w:val="21"/>
              </w:rPr>
            </w:pPr>
            <w:r>
              <w:rPr>
                <w:rFonts w:hint="eastAsia" w:ascii="宋体" w:hAnsi="宋体"/>
                <w:szCs w:val="21"/>
              </w:rPr>
              <w:t>电话：</w:t>
            </w:r>
          </w:p>
        </w:tc>
      </w:tr>
      <w:tr w14:paraId="198F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vAlign w:val="center"/>
          </w:tcPr>
          <w:p w14:paraId="23BB5F9E">
            <w:pPr>
              <w:snapToGrid w:val="0"/>
              <w:spacing w:line="360" w:lineRule="exact"/>
              <w:rPr>
                <w:rFonts w:hint="eastAsia" w:ascii="宋体" w:hAnsi="宋体"/>
                <w:szCs w:val="21"/>
              </w:rPr>
            </w:pPr>
            <w:r>
              <w:rPr>
                <w:rFonts w:hint="eastAsia" w:ascii="宋体" w:hAnsi="宋体"/>
                <w:szCs w:val="21"/>
              </w:rPr>
              <w:t>电子邮箱：</w:t>
            </w:r>
          </w:p>
        </w:tc>
        <w:tc>
          <w:tcPr>
            <w:tcW w:w="4941" w:type="dxa"/>
            <w:vAlign w:val="center"/>
          </w:tcPr>
          <w:p w14:paraId="7C7BA087">
            <w:pPr>
              <w:snapToGrid w:val="0"/>
              <w:spacing w:line="360" w:lineRule="exact"/>
              <w:rPr>
                <w:rFonts w:hint="eastAsia" w:ascii="宋体" w:hAnsi="宋体"/>
                <w:szCs w:val="21"/>
              </w:rPr>
            </w:pPr>
            <w:r>
              <w:rPr>
                <w:rFonts w:hint="eastAsia" w:ascii="宋体" w:hAnsi="宋体"/>
                <w:szCs w:val="21"/>
              </w:rPr>
              <w:t>电子邮箱：</w:t>
            </w:r>
          </w:p>
        </w:tc>
      </w:tr>
      <w:tr w14:paraId="097C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vAlign w:val="center"/>
          </w:tcPr>
          <w:p w14:paraId="5C324089">
            <w:pPr>
              <w:snapToGrid w:val="0"/>
              <w:spacing w:line="360" w:lineRule="exact"/>
              <w:rPr>
                <w:rFonts w:hint="eastAsia" w:ascii="宋体" w:hAnsi="宋体"/>
                <w:szCs w:val="21"/>
              </w:rPr>
            </w:pPr>
            <w:r>
              <w:rPr>
                <w:rFonts w:hint="eastAsia" w:ascii="宋体" w:hAnsi="宋体"/>
                <w:szCs w:val="21"/>
              </w:rPr>
              <w:t>开户银行：</w:t>
            </w:r>
          </w:p>
        </w:tc>
        <w:tc>
          <w:tcPr>
            <w:tcW w:w="4941" w:type="dxa"/>
            <w:vAlign w:val="center"/>
          </w:tcPr>
          <w:p w14:paraId="6F752FB4">
            <w:pPr>
              <w:snapToGrid w:val="0"/>
              <w:spacing w:line="360" w:lineRule="exact"/>
              <w:rPr>
                <w:rFonts w:hint="eastAsia" w:ascii="宋体" w:hAnsi="宋体"/>
                <w:szCs w:val="21"/>
              </w:rPr>
            </w:pPr>
            <w:r>
              <w:rPr>
                <w:rFonts w:hint="eastAsia" w:ascii="宋体" w:hAnsi="宋体"/>
                <w:szCs w:val="21"/>
              </w:rPr>
              <w:t>开户银行：</w:t>
            </w:r>
          </w:p>
        </w:tc>
      </w:tr>
      <w:tr w14:paraId="7BA1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vAlign w:val="center"/>
          </w:tcPr>
          <w:p w14:paraId="42FEF327">
            <w:pPr>
              <w:snapToGrid w:val="0"/>
              <w:spacing w:line="360" w:lineRule="exact"/>
              <w:rPr>
                <w:rFonts w:hint="eastAsia" w:ascii="宋体" w:hAnsi="宋体"/>
                <w:szCs w:val="21"/>
              </w:rPr>
            </w:pPr>
            <w:r>
              <w:rPr>
                <w:rFonts w:hint="eastAsia" w:ascii="宋体" w:hAnsi="宋体"/>
                <w:szCs w:val="21"/>
              </w:rPr>
              <w:t>账号：</w:t>
            </w:r>
          </w:p>
        </w:tc>
        <w:tc>
          <w:tcPr>
            <w:tcW w:w="4941" w:type="dxa"/>
            <w:vAlign w:val="center"/>
          </w:tcPr>
          <w:p w14:paraId="47A2317C">
            <w:pPr>
              <w:snapToGrid w:val="0"/>
              <w:spacing w:line="360" w:lineRule="exact"/>
              <w:rPr>
                <w:rFonts w:hint="eastAsia" w:ascii="宋体" w:hAnsi="宋体"/>
                <w:szCs w:val="21"/>
              </w:rPr>
            </w:pPr>
            <w:r>
              <w:rPr>
                <w:rFonts w:hint="eastAsia" w:ascii="宋体" w:hAnsi="宋体"/>
                <w:szCs w:val="21"/>
              </w:rPr>
              <w:t>账号：</w:t>
            </w:r>
          </w:p>
        </w:tc>
      </w:tr>
      <w:tr w14:paraId="3EF5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tcPr>
          <w:p w14:paraId="35606D78">
            <w:pPr>
              <w:snapToGrid w:val="0"/>
              <w:spacing w:line="400" w:lineRule="exact"/>
              <w:rPr>
                <w:rFonts w:hint="eastAsia" w:ascii="宋体" w:hAnsi="宋体"/>
                <w:szCs w:val="21"/>
              </w:rPr>
            </w:pPr>
            <w:r>
              <w:rPr>
                <w:rFonts w:hint="eastAsia" w:ascii="宋体" w:hAnsi="宋体"/>
              </w:rPr>
              <w:t>纳税人识别号或统一社会信用代码：</w:t>
            </w:r>
          </w:p>
        </w:tc>
        <w:tc>
          <w:tcPr>
            <w:tcW w:w="4941" w:type="dxa"/>
          </w:tcPr>
          <w:p w14:paraId="1638AC89">
            <w:pPr>
              <w:snapToGrid w:val="0"/>
              <w:spacing w:line="400" w:lineRule="exact"/>
              <w:rPr>
                <w:rFonts w:hint="eastAsia" w:ascii="宋体" w:hAnsi="宋体"/>
                <w:szCs w:val="21"/>
              </w:rPr>
            </w:pPr>
            <w:r>
              <w:rPr>
                <w:rFonts w:hint="eastAsia" w:ascii="宋体" w:hAnsi="宋体"/>
              </w:rPr>
              <w:t>纳税人识别号或统一社会信用代码：</w:t>
            </w:r>
          </w:p>
        </w:tc>
      </w:tr>
      <w:tr w14:paraId="7A18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676" w:type="dxa"/>
            <w:vAlign w:val="center"/>
          </w:tcPr>
          <w:p w14:paraId="64C5DCED">
            <w:pPr>
              <w:snapToGrid w:val="0"/>
              <w:spacing w:line="360" w:lineRule="exact"/>
              <w:rPr>
                <w:rFonts w:hint="eastAsia" w:ascii="宋体" w:hAnsi="宋体"/>
                <w:szCs w:val="21"/>
              </w:rPr>
            </w:pPr>
            <w:r>
              <w:rPr>
                <w:rFonts w:hint="eastAsia" w:ascii="宋体" w:hAnsi="宋体"/>
                <w:szCs w:val="21"/>
              </w:rPr>
              <w:t>邮政编码：</w:t>
            </w:r>
          </w:p>
        </w:tc>
        <w:tc>
          <w:tcPr>
            <w:tcW w:w="4941" w:type="dxa"/>
            <w:vAlign w:val="center"/>
          </w:tcPr>
          <w:p w14:paraId="5BA7CA49">
            <w:pPr>
              <w:snapToGrid w:val="0"/>
              <w:spacing w:line="360" w:lineRule="exact"/>
              <w:rPr>
                <w:rFonts w:hint="eastAsia" w:ascii="宋体" w:hAnsi="宋体"/>
                <w:szCs w:val="21"/>
              </w:rPr>
            </w:pPr>
            <w:r>
              <w:rPr>
                <w:rFonts w:hint="eastAsia" w:ascii="宋体" w:hAnsi="宋体"/>
                <w:szCs w:val="21"/>
              </w:rPr>
              <w:t>邮政编码：</w:t>
            </w:r>
          </w:p>
        </w:tc>
      </w:tr>
    </w:tbl>
    <w:p w14:paraId="079BBEA8">
      <w:pPr>
        <w:spacing w:line="720" w:lineRule="auto"/>
        <w:jc w:val="center"/>
        <w:outlineLvl w:val="1"/>
        <w:rPr>
          <w:rFonts w:hint="eastAsia"/>
          <w:b/>
          <w:sz w:val="28"/>
          <w:szCs w:val="28"/>
        </w:rPr>
      </w:pPr>
      <w:r>
        <w:rPr>
          <w:rFonts w:hint="eastAsia"/>
          <w:b/>
          <w:sz w:val="28"/>
          <w:szCs w:val="28"/>
        </w:rPr>
        <w:t>合 同 附 件</w:t>
      </w:r>
    </w:p>
    <w:tbl>
      <w:tblPr>
        <w:tblStyle w:val="49"/>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7"/>
        <w:gridCol w:w="4859"/>
      </w:tblGrid>
      <w:tr w14:paraId="698E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826" w:type="dxa"/>
            <w:gridSpan w:val="2"/>
            <w:tcBorders>
              <w:top w:val="single" w:color="auto" w:sz="4" w:space="0"/>
              <w:left w:val="single" w:color="auto" w:sz="4" w:space="0"/>
              <w:right w:val="single" w:color="auto" w:sz="4" w:space="0"/>
            </w:tcBorders>
          </w:tcPr>
          <w:p w14:paraId="0A33E277">
            <w:pPr>
              <w:snapToGrid w:val="0"/>
              <w:spacing w:line="360" w:lineRule="exact"/>
              <w:rPr>
                <w:rFonts w:hint="eastAsia"/>
                <w:szCs w:val="21"/>
              </w:rPr>
            </w:pPr>
            <w:r>
              <w:rPr>
                <w:rFonts w:hint="eastAsia"/>
                <w:szCs w:val="21"/>
              </w:rPr>
              <w:t>1、供应商承诺具体事项：详见</w:t>
            </w:r>
            <w:r>
              <w:rPr>
                <w:rFonts w:hint="eastAsia" w:ascii="宋体" w:hAnsi="宋体"/>
                <w:szCs w:val="21"/>
              </w:rPr>
              <w:t>投标文件。</w:t>
            </w:r>
          </w:p>
        </w:tc>
      </w:tr>
      <w:tr w14:paraId="15F8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826" w:type="dxa"/>
            <w:gridSpan w:val="2"/>
            <w:tcBorders>
              <w:top w:val="single" w:color="auto" w:sz="4" w:space="0"/>
              <w:left w:val="single" w:color="auto" w:sz="4" w:space="0"/>
              <w:right w:val="single" w:color="auto" w:sz="4" w:space="0"/>
            </w:tcBorders>
          </w:tcPr>
          <w:p w14:paraId="781E7CFC">
            <w:pPr>
              <w:snapToGrid w:val="0"/>
              <w:spacing w:line="360" w:lineRule="exact"/>
              <w:rPr>
                <w:rFonts w:hint="eastAsia"/>
                <w:szCs w:val="21"/>
              </w:rPr>
            </w:pPr>
            <w:r>
              <w:rPr>
                <w:rFonts w:hint="eastAsia"/>
                <w:szCs w:val="21"/>
              </w:rPr>
              <w:t>2、售后服务具体事项：详见</w:t>
            </w:r>
            <w:r>
              <w:rPr>
                <w:rFonts w:hint="eastAsia" w:ascii="宋体" w:hAnsi="宋体"/>
                <w:szCs w:val="21"/>
              </w:rPr>
              <w:t>投标文件。</w:t>
            </w:r>
          </w:p>
        </w:tc>
      </w:tr>
      <w:tr w14:paraId="0EF3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826" w:type="dxa"/>
            <w:gridSpan w:val="2"/>
            <w:tcBorders>
              <w:top w:val="single" w:color="auto" w:sz="4" w:space="0"/>
              <w:left w:val="single" w:color="auto" w:sz="4" w:space="0"/>
              <w:right w:val="single" w:color="auto" w:sz="4" w:space="0"/>
            </w:tcBorders>
          </w:tcPr>
          <w:p w14:paraId="7CAE9B1A">
            <w:pPr>
              <w:snapToGrid w:val="0"/>
              <w:spacing w:line="360" w:lineRule="exact"/>
              <w:rPr>
                <w:rFonts w:hint="eastAsia"/>
                <w:szCs w:val="21"/>
              </w:rPr>
            </w:pPr>
            <w:r>
              <w:rPr>
                <w:rFonts w:hint="eastAsia"/>
                <w:szCs w:val="21"/>
              </w:rPr>
              <w:t>3、服务期责任：详见</w:t>
            </w:r>
            <w:r>
              <w:rPr>
                <w:rFonts w:hint="eastAsia" w:ascii="宋体" w:hAnsi="宋体"/>
                <w:szCs w:val="21"/>
              </w:rPr>
              <w:t>投标文件。</w:t>
            </w:r>
          </w:p>
        </w:tc>
      </w:tr>
      <w:tr w14:paraId="6802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826" w:type="dxa"/>
            <w:gridSpan w:val="2"/>
            <w:tcBorders>
              <w:top w:val="single" w:color="auto" w:sz="4" w:space="0"/>
              <w:left w:val="single" w:color="auto" w:sz="4" w:space="0"/>
              <w:right w:val="single" w:color="auto" w:sz="4" w:space="0"/>
            </w:tcBorders>
          </w:tcPr>
          <w:p w14:paraId="33E169C6">
            <w:pPr>
              <w:snapToGrid w:val="0"/>
              <w:spacing w:line="360" w:lineRule="exact"/>
              <w:rPr>
                <w:rFonts w:hint="eastAsia"/>
                <w:szCs w:val="21"/>
              </w:rPr>
            </w:pPr>
            <w:r>
              <w:rPr>
                <w:rFonts w:hint="eastAsia"/>
                <w:szCs w:val="21"/>
              </w:rPr>
              <w:t>4、其他具体事项：详见</w:t>
            </w:r>
            <w:r>
              <w:rPr>
                <w:rFonts w:hint="eastAsia" w:ascii="宋体" w:hAnsi="宋体"/>
                <w:szCs w:val="21"/>
              </w:rPr>
              <w:t>投标文件。</w:t>
            </w:r>
          </w:p>
        </w:tc>
      </w:tr>
      <w:tr w14:paraId="65B3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4967" w:type="dxa"/>
            <w:tcBorders>
              <w:top w:val="single" w:color="auto" w:sz="4" w:space="0"/>
              <w:left w:val="single" w:color="auto" w:sz="4" w:space="0"/>
              <w:bottom w:val="single" w:color="auto" w:sz="4" w:space="0"/>
              <w:right w:val="single" w:color="auto" w:sz="4" w:space="0"/>
            </w:tcBorders>
            <w:vAlign w:val="center"/>
          </w:tcPr>
          <w:p w14:paraId="544D7C8B">
            <w:pPr>
              <w:snapToGrid w:val="0"/>
              <w:spacing w:line="360" w:lineRule="exact"/>
              <w:rPr>
                <w:rFonts w:hint="eastAsia"/>
                <w:szCs w:val="21"/>
              </w:rPr>
            </w:pPr>
            <w:r>
              <w:rPr>
                <w:rFonts w:hint="eastAsia"/>
                <w:szCs w:val="21"/>
              </w:rPr>
              <w:t>甲方（章）</w:t>
            </w:r>
          </w:p>
          <w:p w14:paraId="45979C9A">
            <w:pPr>
              <w:snapToGrid w:val="0"/>
              <w:spacing w:line="360" w:lineRule="exact"/>
              <w:ind w:firstLine="422"/>
              <w:rPr>
                <w:rFonts w:hint="eastAsia"/>
                <w:szCs w:val="21"/>
              </w:rPr>
            </w:pPr>
          </w:p>
          <w:p w14:paraId="5FDAA083">
            <w:pPr>
              <w:snapToGrid w:val="0"/>
              <w:spacing w:line="360" w:lineRule="exact"/>
              <w:ind w:firstLine="422"/>
              <w:rPr>
                <w:rFonts w:hint="eastAsia"/>
                <w:szCs w:val="21"/>
              </w:rPr>
            </w:pPr>
          </w:p>
          <w:p w14:paraId="3D679373">
            <w:pPr>
              <w:snapToGrid w:val="0"/>
              <w:spacing w:line="360" w:lineRule="exact"/>
              <w:ind w:firstLine="422"/>
              <w:rPr>
                <w:rFonts w:hint="eastAsia"/>
                <w:szCs w:val="21"/>
              </w:rPr>
            </w:pPr>
            <w:r>
              <w:rPr>
                <w:rFonts w:hint="eastAsia"/>
                <w:szCs w:val="21"/>
              </w:rPr>
              <w:t xml:space="preserve">                      年   月   日 </w:t>
            </w:r>
          </w:p>
        </w:tc>
        <w:tc>
          <w:tcPr>
            <w:tcW w:w="4858" w:type="dxa"/>
            <w:tcBorders>
              <w:top w:val="single" w:color="auto" w:sz="4" w:space="0"/>
              <w:left w:val="single" w:color="auto" w:sz="4" w:space="0"/>
              <w:bottom w:val="single" w:color="auto" w:sz="4" w:space="0"/>
              <w:right w:val="single" w:color="auto" w:sz="4" w:space="0"/>
            </w:tcBorders>
            <w:vAlign w:val="center"/>
          </w:tcPr>
          <w:p w14:paraId="4BC218BD">
            <w:pPr>
              <w:snapToGrid w:val="0"/>
              <w:spacing w:line="360" w:lineRule="exact"/>
              <w:rPr>
                <w:rFonts w:hint="eastAsia"/>
                <w:szCs w:val="21"/>
              </w:rPr>
            </w:pPr>
            <w:r>
              <w:rPr>
                <w:rFonts w:hint="eastAsia"/>
                <w:szCs w:val="21"/>
              </w:rPr>
              <w:t>乙方（章）</w:t>
            </w:r>
          </w:p>
          <w:p w14:paraId="019565D7">
            <w:pPr>
              <w:snapToGrid w:val="0"/>
              <w:spacing w:line="360" w:lineRule="exact"/>
              <w:ind w:firstLine="422"/>
              <w:rPr>
                <w:rFonts w:hint="eastAsia"/>
                <w:szCs w:val="21"/>
              </w:rPr>
            </w:pPr>
          </w:p>
          <w:p w14:paraId="644296AF">
            <w:pPr>
              <w:snapToGrid w:val="0"/>
              <w:spacing w:line="360" w:lineRule="exact"/>
              <w:ind w:firstLine="422"/>
              <w:rPr>
                <w:rFonts w:hint="eastAsia"/>
                <w:szCs w:val="21"/>
              </w:rPr>
            </w:pPr>
          </w:p>
          <w:p w14:paraId="63A2E9AF">
            <w:pPr>
              <w:snapToGrid w:val="0"/>
              <w:spacing w:line="360" w:lineRule="exact"/>
              <w:ind w:firstLine="422"/>
              <w:rPr>
                <w:rFonts w:hint="eastAsia"/>
                <w:szCs w:val="21"/>
              </w:rPr>
            </w:pPr>
            <w:r>
              <w:rPr>
                <w:rFonts w:hint="eastAsia"/>
                <w:szCs w:val="21"/>
              </w:rPr>
              <w:t xml:space="preserve">                       年   月   日</w:t>
            </w:r>
          </w:p>
        </w:tc>
      </w:tr>
    </w:tbl>
    <w:p w14:paraId="7908EDE1">
      <w:pPr>
        <w:snapToGrid w:val="0"/>
        <w:spacing w:line="360" w:lineRule="exact"/>
        <w:rPr>
          <w:rFonts w:hint="eastAsia" w:ascii="宋体"/>
          <w:szCs w:val="21"/>
        </w:rPr>
      </w:pPr>
      <w:r>
        <w:rPr>
          <w:rFonts w:hint="eastAsia" w:ascii="宋体"/>
          <w:szCs w:val="21"/>
        </w:rPr>
        <w:t xml:space="preserve">  注：售后服务事项填不下时可另加附页。</w:t>
      </w:r>
    </w:p>
    <w:p w14:paraId="379EDE3F">
      <w:pPr>
        <w:snapToGrid w:val="0"/>
        <w:spacing w:line="360" w:lineRule="exact"/>
        <w:jc w:val="center"/>
        <w:rPr>
          <w:rFonts w:hint="eastAsia" w:ascii="宋体"/>
          <w:b/>
          <w:szCs w:val="21"/>
        </w:rPr>
      </w:pPr>
    </w:p>
    <w:p w14:paraId="7EC61DD9">
      <w:pPr>
        <w:rPr>
          <w:rFonts w:hint="eastAsia"/>
        </w:rPr>
      </w:pPr>
    </w:p>
    <w:p w14:paraId="1CAE03E1">
      <w:pPr>
        <w:spacing w:line="400" w:lineRule="exact"/>
        <w:jc w:val="center"/>
        <w:rPr>
          <w:rFonts w:hint="eastAsia" w:ascii="宋体"/>
          <w:sz w:val="32"/>
          <w:szCs w:val="32"/>
        </w:rPr>
      </w:pPr>
      <w:r>
        <w:br w:type="page"/>
      </w:r>
    </w:p>
    <w:p w14:paraId="23E18D52">
      <w:pPr>
        <w:spacing w:line="400" w:lineRule="exact"/>
        <w:jc w:val="center"/>
        <w:rPr>
          <w:rFonts w:hint="eastAsia" w:ascii="宋体"/>
          <w:sz w:val="32"/>
          <w:szCs w:val="32"/>
        </w:rPr>
      </w:pPr>
    </w:p>
    <w:p w14:paraId="7B52AF4E">
      <w:pPr>
        <w:spacing w:line="400" w:lineRule="exact"/>
        <w:jc w:val="center"/>
        <w:rPr>
          <w:rFonts w:hint="eastAsia" w:ascii="宋体"/>
          <w:sz w:val="32"/>
          <w:szCs w:val="32"/>
        </w:rPr>
      </w:pPr>
    </w:p>
    <w:p w14:paraId="3AD0C0F1">
      <w:pPr>
        <w:spacing w:line="400" w:lineRule="exact"/>
        <w:jc w:val="center"/>
        <w:rPr>
          <w:rFonts w:hint="eastAsia" w:ascii="宋体"/>
          <w:sz w:val="32"/>
          <w:szCs w:val="32"/>
        </w:rPr>
      </w:pPr>
    </w:p>
    <w:p w14:paraId="31E54928">
      <w:pPr>
        <w:spacing w:line="400" w:lineRule="exact"/>
        <w:jc w:val="center"/>
        <w:rPr>
          <w:rFonts w:hint="eastAsia" w:ascii="宋体"/>
          <w:sz w:val="32"/>
          <w:szCs w:val="32"/>
        </w:rPr>
      </w:pPr>
    </w:p>
    <w:p w14:paraId="7F0A6A48">
      <w:pPr>
        <w:spacing w:line="400" w:lineRule="exact"/>
        <w:jc w:val="center"/>
        <w:rPr>
          <w:rFonts w:hint="eastAsia" w:ascii="宋体"/>
          <w:sz w:val="32"/>
          <w:szCs w:val="32"/>
        </w:rPr>
      </w:pPr>
    </w:p>
    <w:p w14:paraId="722FBC2F">
      <w:pPr>
        <w:spacing w:line="400" w:lineRule="exact"/>
        <w:jc w:val="center"/>
        <w:rPr>
          <w:rFonts w:hint="eastAsia" w:ascii="宋体"/>
          <w:sz w:val="32"/>
          <w:szCs w:val="32"/>
        </w:rPr>
      </w:pPr>
    </w:p>
    <w:p w14:paraId="57F320E5">
      <w:pPr>
        <w:spacing w:line="400" w:lineRule="exact"/>
        <w:jc w:val="center"/>
        <w:rPr>
          <w:rFonts w:hint="eastAsia" w:ascii="宋体"/>
          <w:sz w:val="32"/>
          <w:szCs w:val="32"/>
        </w:rPr>
      </w:pPr>
    </w:p>
    <w:p w14:paraId="2081B59F">
      <w:pPr>
        <w:spacing w:line="400" w:lineRule="exact"/>
        <w:jc w:val="center"/>
        <w:rPr>
          <w:rFonts w:hint="eastAsia" w:ascii="宋体"/>
          <w:sz w:val="32"/>
          <w:szCs w:val="32"/>
        </w:rPr>
      </w:pPr>
    </w:p>
    <w:p w14:paraId="08EC3ECA">
      <w:pPr>
        <w:spacing w:line="400" w:lineRule="exact"/>
        <w:jc w:val="center"/>
        <w:rPr>
          <w:rFonts w:hint="eastAsia" w:ascii="宋体"/>
          <w:sz w:val="32"/>
          <w:szCs w:val="32"/>
        </w:rPr>
      </w:pPr>
    </w:p>
    <w:p w14:paraId="2B9AF6AC">
      <w:pPr>
        <w:spacing w:line="400" w:lineRule="exact"/>
        <w:jc w:val="center"/>
        <w:rPr>
          <w:rFonts w:hint="eastAsia" w:ascii="宋体"/>
          <w:sz w:val="32"/>
          <w:szCs w:val="32"/>
        </w:rPr>
      </w:pPr>
    </w:p>
    <w:p w14:paraId="1EEDAC73">
      <w:pPr>
        <w:spacing w:line="400" w:lineRule="exact"/>
        <w:jc w:val="center"/>
        <w:rPr>
          <w:rFonts w:hint="eastAsia" w:ascii="宋体"/>
          <w:sz w:val="32"/>
          <w:szCs w:val="32"/>
        </w:rPr>
      </w:pPr>
    </w:p>
    <w:p w14:paraId="21062E89">
      <w:pPr>
        <w:spacing w:line="400" w:lineRule="exact"/>
        <w:jc w:val="center"/>
        <w:rPr>
          <w:rFonts w:hint="eastAsia" w:ascii="宋体"/>
          <w:sz w:val="32"/>
          <w:szCs w:val="32"/>
        </w:rPr>
      </w:pPr>
    </w:p>
    <w:p w14:paraId="52153C09">
      <w:pPr>
        <w:spacing w:line="400" w:lineRule="exact"/>
        <w:jc w:val="center"/>
        <w:rPr>
          <w:rFonts w:hint="eastAsia" w:ascii="宋体"/>
          <w:sz w:val="32"/>
          <w:szCs w:val="32"/>
        </w:rPr>
      </w:pPr>
    </w:p>
    <w:p w14:paraId="56F5C029">
      <w:pPr>
        <w:spacing w:line="400" w:lineRule="exact"/>
        <w:jc w:val="center"/>
        <w:rPr>
          <w:rFonts w:hint="eastAsia" w:ascii="宋体"/>
          <w:sz w:val="32"/>
          <w:szCs w:val="32"/>
        </w:rPr>
      </w:pPr>
    </w:p>
    <w:p w14:paraId="6198D87A">
      <w:pPr>
        <w:pStyle w:val="46"/>
        <w:rPr>
          <w:rFonts w:hint="eastAsia"/>
          <w:sz w:val="44"/>
          <w:szCs w:val="44"/>
        </w:rPr>
      </w:pPr>
      <w:bookmarkStart w:id="94" w:name="_Toc476436177"/>
      <w:bookmarkStart w:id="95" w:name="_Toc476436436"/>
      <w:r>
        <w:rPr>
          <w:rFonts w:hint="eastAsia"/>
          <w:sz w:val="44"/>
          <w:szCs w:val="44"/>
        </w:rPr>
        <w:t>第六章　投标文件格式</w:t>
      </w:r>
      <w:bookmarkEnd w:id="94"/>
      <w:bookmarkEnd w:id="95"/>
    </w:p>
    <w:p w14:paraId="7B074F9C">
      <w:pPr>
        <w:rPr>
          <w:rFonts w:hint="eastAsia"/>
        </w:rPr>
      </w:pPr>
    </w:p>
    <w:p w14:paraId="3A3AC3C1">
      <w:pPr>
        <w:rPr>
          <w:rFonts w:hint="eastAsia"/>
        </w:rPr>
      </w:pPr>
      <w:bookmarkStart w:id="96" w:name="_Toc254970697"/>
      <w:bookmarkStart w:id="97" w:name="_Toc254970556"/>
    </w:p>
    <w:p w14:paraId="712FED8D">
      <w:pPr>
        <w:rPr>
          <w:rFonts w:hint="eastAsia"/>
        </w:rPr>
      </w:pPr>
    </w:p>
    <w:p w14:paraId="54BC8711">
      <w:pPr>
        <w:rPr>
          <w:rFonts w:hint="eastAsia"/>
        </w:rPr>
      </w:pPr>
    </w:p>
    <w:p w14:paraId="3DB51177">
      <w:pPr>
        <w:rPr>
          <w:rFonts w:hint="eastAsia"/>
        </w:rPr>
      </w:pPr>
    </w:p>
    <w:p w14:paraId="1FAD9F62">
      <w:pPr>
        <w:rPr>
          <w:rFonts w:hint="eastAsia"/>
        </w:rPr>
      </w:pPr>
    </w:p>
    <w:p w14:paraId="6415FC64">
      <w:pPr>
        <w:rPr>
          <w:rFonts w:hint="eastAsia"/>
        </w:rPr>
      </w:pPr>
    </w:p>
    <w:p w14:paraId="3DDEC1D7">
      <w:pPr>
        <w:rPr>
          <w:rFonts w:hint="eastAsia"/>
        </w:rPr>
      </w:pPr>
    </w:p>
    <w:p w14:paraId="5C657D95">
      <w:pPr>
        <w:rPr>
          <w:rFonts w:hint="eastAsia"/>
        </w:rPr>
      </w:pPr>
    </w:p>
    <w:p w14:paraId="37437310">
      <w:pPr>
        <w:rPr>
          <w:rFonts w:hint="eastAsia"/>
        </w:rPr>
      </w:pPr>
    </w:p>
    <w:p w14:paraId="4AB11D6D">
      <w:pPr>
        <w:rPr>
          <w:rFonts w:hint="eastAsia"/>
        </w:rPr>
      </w:pPr>
    </w:p>
    <w:p w14:paraId="5215DF97">
      <w:pPr>
        <w:rPr>
          <w:rFonts w:hint="eastAsia"/>
        </w:rPr>
      </w:pPr>
    </w:p>
    <w:bookmarkEnd w:id="96"/>
    <w:bookmarkEnd w:id="97"/>
    <w:p w14:paraId="24DDA5FD">
      <w:pPr>
        <w:spacing w:line="720" w:lineRule="auto"/>
        <w:jc w:val="center"/>
        <w:outlineLvl w:val="0"/>
        <w:rPr>
          <w:rFonts w:hint="eastAsia"/>
          <w:sz w:val="32"/>
          <w:szCs w:val="32"/>
        </w:rPr>
      </w:pPr>
      <w:r>
        <w:br w:type="page"/>
      </w:r>
      <w:r>
        <w:rPr>
          <w:rFonts w:hint="eastAsia"/>
          <w:sz w:val="32"/>
          <w:szCs w:val="32"/>
        </w:rPr>
        <w:t>投标文件格式</w:t>
      </w:r>
    </w:p>
    <w:p w14:paraId="7DF98035">
      <w:pPr>
        <w:spacing w:line="480" w:lineRule="auto"/>
        <w:jc w:val="center"/>
        <w:outlineLvl w:val="1"/>
        <w:rPr>
          <w:rFonts w:hint="eastAsia"/>
          <w:b/>
        </w:rPr>
      </w:pPr>
      <w:r>
        <w:rPr>
          <w:rFonts w:hint="eastAsia"/>
          <w:b/>
        </w:rPr>
        <w:t>一、投标文件封面格式</w:t>
      </w:r>
    </w:p>
    <w:p w14:paraId="773EEAEE">
      <w:pPr>
        <w:snapToGrid w:val="0"/>
        <w:spacing w:beforeLines="50" w:after="50" w:line="360" w:lineRule="exact"/>
        <w:rPr>
          <w:rFonts w:hint="eastAsia" w:ascii="仿宋_GB2312" w:eastAsia="仿宋_GB2312"/>
          <w:sz w:val="24"/>
        </w:rPr>
      </w:pPr>
    </w:p>
    <w:p w14:paraId="2CAEE5EA">
      <w:pPr>
        <w:snapToGrid w:val="0"/>
        <w:spacing w:beforeLines="50" w:after="50" w:line="360" w:lineRule="exact"/>
        <w:rPr>
          <w:rFonts w:hint="eastAsia" w:ascii="仿宋_GB2312" w:eastAsia="仿宋_GB2312"/>
          <w:bCs/>
          <w:sz w:val="24"/>
        </w:rPr>
      </w:pPr>
      <w:r>
        <w:rPr>
          <w:rFonts w:hint="eastAsia" w:ascii="仿宋_GB2312" w:eastAsia="仿宋_GB2312"/>
          <w:sz w:val="24"/>
        </w:rPr>
        <w:t xml:space="preserve">                                                   </w:t>
      </w:r>
    </w:p>
    <w:p w14:paraId="376C155D">
      <w:pPr>
        <w:snapToGrid w:val="0"/>
        <w:spacing w:beforeLines="50" w:after="50" w:line="360" w:lineRule="exact"/>
        <w:jc w:val="center"/>
        <w:outlineLvl w:val="1"/>
        <w:rPr>
          <w:rFonts w:hint="eastAsia" w:ascii="宋体"/>
          <w:b/>
          <w:bCs/>
          <w:sz w:val="32"/>
          <w:szCs w:val="32"/>
        </w:rPr>
      </w:pPr>
      <w:r>
        <w:rPr>
          <w:rFonts w:hint="eastAsia" w:ascii="宋体"/>
          <w:b/>
          <w:bCs/>
          <w:sz w:val="32"/>
          <w:szCs w:val="32"/>
        </w:rPr>
        <w:t>投标文件</w:t>
      </w:r>
    </w:p>
    <w:p w14:paraId="5090B04E">
      <w:pPr>
        <w:snapToGrid w:val="0"/>
        <w:spacing w:beforeLines="50" w:after="50" w:line="360" w:lineRule="exact"/>
        <w:rPr>
          <w:rFonts w:hint="eastAsia" w:ascii="仿宋_GB2312" w:eastAsia="仿宋_GB2312"/>
          <w:bCs/>
          <w:sz w:val="24"/>
        </w:rPr>
      </w:pPr>
    </w:p>
    <w:p w14:paraId="0144F9E0">
      <w:pPr>
        <w:snapToGrid w:val="0"/>
        <w:spacing w:beforeLines="50" w:after="50" w:line="360" w:lineRule="exact"/>
        <w:ind w:firstLine="630" w:firstLineChars="300"/>
        <w:rPr>
          <w:rFonts w:hint="eastAsia" w:ascii="宋体"/>
          <w:bCs/>
          <w:szCs w:val="21"/>
        </w:rPr>
      </w:pPr>
      <w:r>
        <w:rPr>
          <w:rFonts w:hint="eastAsia" w:ascii="宋体"/>
          <w:bCs/>
          <w:szCs w:val="21"/>
        </w:rPr>
        <w:t xml:space="preserve">采购项目名称： </w:t>
      </w:r>
    </w:p>
    <w:p w14:paraId="2D7D5651">
      <w:pPr>
        <w:snapToGrid w:val="0"/>
        <w:spacing w:beforeLines="50" w:after="50" w:line="360" w:lineRule="exact"/>
        <w:ind w:firstLine="630" w:firstLineChars="300"/>
        <w:rPr>
          <w:rFonts w:hint="eastAsia" w:ascii="宋体"/>
          <w:bCs/>
          <w:szCs w:val="21"/>
        </w:rPr>
      </w:pPr>
      <w:r>
        <w:rPr>
          <w:rFonts w:hint="eastAsia" w:ascii="宋体"/>
          <w:bCs/>
          <w:szCs w:val="21"/>
        </w:rPr>
        <w:t xml:space="preserve">采购项目编号： </w:t>
      </w:r>
    </w:p>
    <w:p w14:paraId="5086E076">
      <w:pPr>
        <w:snapToGrid w:val="0"/>
        <w:spacing w:beforeLines="50" w:after="50" w:line="360" w:lineRule="exact"/>
        <w:ind w:firstLine="630" w:firstLineChars="300"/>
        <w:rPr>
          <w:rFonts w:hint="eastAsia" w:ascii="宋体"/>
          <w:bCs/>
          <w:szCs w:val="21"/>
        </w:rPr>
      </w:pPr>
      <w:r>
        <w:rPr>
          <w:rFonts w:hint="eastAsia" w:ascii="宋体"/>
          <w:bCs/>
          <w:szCs w:val="21"/>
        </w:rPr>
        <w:t>所投分标（如有）：</w:t>
      </w:r>
    </w:p>
    <w:p w14:paraId="36CA81B1">
      <w:pPr>
        <w:snapToGrid w:val="0"/>
        <w:spacing w:beforeLines="50" w:after="50" w:line="360" w:lineRule="exact"/>
        <w:ind w:firstLine="630" w:firstLineChars="300"/>
        <w:rPr>
          <w:rFonts w:hint="eastAsia" w:ascii="宋体"/>
          <w:bCs/>
          <w:szCs w:val="21"/>
        </w:rPr>
      </w:pPr>
      <w:r>
        <w:rPr>
          <w:rFonts w:hint="eastAsia" w:ascii="宋体"/>
          <w:bCs/>
          <w:szCs w:val="21"/>
        </w:rPr>
        <w:t>投标人名称：（盖章）</w:t>
      </w:r>
    </w:p>
    <w:p w14:paraId="114EF2D3">
      <w:pPr>
        <w:snapToGrid w:val="0"/>
        <w:spacing w:beforeLines="50" w:after="50" w:line="360" w:lineRule="exact"/>
        <w:ind w:firstLine="630" w:firstLineChars="300"/>
        <w:rPr>
          <w:rFonts w:hint="eastAsia" w:ascii="宋体"/>
          <w:bCs/>
          <w:szCs w:val="21"/>
        </w:rPr>
      </w:pPr>
      <w:r>
        <w:rPr>
          <w:rFonts w:hint="eastAsia" w:ascii="宋体"/>
          <w:bCs/>
          <w:szCs w:val="21"/>
        </w:rPr>
        <w:t>投标人地址：</w:t>
      </w:r>
    </w:p>
    <w:p w14:paraId="46A9C749">
      <w:pPr>
        <w:spacing w:line="360" w:lineRule="exact"/>
        <w:rPr>
          <w:rFonts w:hint="eastAsia"/>
        </w:rPr>
      </w:pPr>
      <w:r>
        <w:rPr>
          <w:rFonts w:hint="eastAsia"/>
        </w:rPr>
        <w:t xml:space="preserve">                                                   年  月  日</w:t>
      </w:r>
    </w:p>
    <w:p w14:paraId="14036A49">
      <w:pPr>
        <w:spacing w:line="360" w:lineRule="exact"/>
        <w:rPr>
          <w:rFonts w:hint="eastAsia"/>
        </w:rPr>
      </w:pPr>
    </w:p>
    <w:p w14:paraId="0EDE2F11">
      <w:pPr>
        <w:spacing w:line="360" w:lineRule="exact"/>
        <w:rPr>
          <w:rFonts w:hint="eastAsia"/>
        </w:rPr>
      </w:pPr>
      <w:bookmarkStart w:id="98" w:name="_Toc254970698"/>
      <w:bookmarkStart w:id="99" w:name="_Toc254970557"/>
      <w:r>
        <w:rPr>
          <w:rFonts w:hint="eastAsia" w:ascii="宋体" w:hAnsi="宋体"/>
          <w:bCs/>
          <w:szCs w:val="21"/>
        </w:rPr>
        <w:t>[注：</w:t>
      </w:r>
      <w:r>
        <w:rPr>
          <w:rFonts w:hint="eastAsia" w:ascii="宋体" w:hAnsi="宋体"/>
        </w:rPr>
        <w:t>投标文件由资格文件、商务技术文件、报价文件</w:t>
      </w:r>
      <w:r>
        <w:rPr>
          <w:rFonts w:hint="eastAsia" w:ascii="宋体"/>
          <w:b/>
          <w:szCs w:val="21"/>
        </w:rPr>
        <w:t>三部分</w:t>
      </w:r>
      <w:r>
        <w:rPr>
          <w:rFonts w:hint="eastAsia" w:ascii="宋体"/>
          <w:szCs w:val="21"/>
        </w:rPr>
        <w:t>组成</w:t>
      </w:r>
      <w:r>
        <w:rPr>
          <w:rFonts w:hint="eastAsia" w:ascii="宋体" w:hAnsi="宋体"/>
          <w:bCs/>
          <w:szCs w:val="21"/>
        </w:rPr>
        <w:t>]</w:t>
      </w:r>
    </w:p>
    <w:p w14:paraId="00B1561B">
      <w:pPr>
        <w:spacing w:line="720" w:lineRule="auto"/>
        <w:jc w:val="center"/>
        <w:outlineLvl w:val="1"/>
        <w:rPr>
          <w:rFonts w:hint="eastAsia"/>
          <w:b/>
        </w:rPr>
      </w:pPr>
      <w:r>
        <w:rPr>
          <w:b/>
        </w:rPr>
        <w:br w:type="page"/>
      </w:r>
      <w:r>
        <w:rPr>
          <w:rFonts w:hint="eastAsia"/>
          <w:b/>
        </w:rPr>
        <w:t>二、投标文件目录</w:t>
      </w:r>
    </w:p>
    <w:p w14:paraId="611FE3DE">
      <w:pPr>
        <w:snapToGrid w:val="0"/>
        <w:spacing w:beforeLines="50" w:line="360" w:lineRule="exact"/>
        <w:ind w:firstLine="411" w:firstLineChars="196"/>
        <w:jc w:val="left"/>
        <w:outlineLvl w:val="2"/>
        <w:rPr>
          <w:rFonts w:hint="eastAsia" w:ascii="宋体" w:hAnsi="宋体"/>
          <w:b/>
          <w:szCs w:val="21"/>
        </w:rPr>
      </w:pPr>
      <w:r>
        <w:rPr>
          <w:rFonts w:hint="eastAsia" w:ascii="宋体" w:hAnsi="宋体"/>
          <w:b/>
          <w:szCs w:val="21"/>
        </w:rPr>
        <w:t>1.资格文件：</w:t>
      </w:r>
    </w:p>
    <w:p w14:paraId="5CB69B28">
      <w:pPr>
        <w:snapToGrid w:val="0"/>
        <w:spacing w:line="360" w:lineRule="exact"/>
        <w:ind w:firstLine="411" w:firstLineChars="196"/>
        <w:jc w:val="left"/>
        <w:rPr>
          <w:rFonts w:hint="eastAsia" w:ascii="宋体" w:hAnsi="宋体"/>
          <w:szCs w:val="21"/>
        </w:rPr>
      </w:pPr>
      <w:r>
        <w:rPr>
          <w:rFonts w:hint="eastAsia" w:ascii="宋体" w:hAnsi="宋体"/>
          <w:szCs w:val="21"/>
        </w:rPr>
        <w:t>（1）有效的主体资格证明文件；</w:t>
      </w:r>
    </w:p>
    <w:p w14:paraId="50E3E759">
      <w:pPr>
        <w:spacing w:line="370" w:lineRule="exact"/>
        <w:rPr>
          <w:rFonts w:hint="eastAsia"/>
          <w:b/>
        </w:rPr>
      </w:pPr>
      <w:r>
        <w:rPr>
          <w:rFonts w:hint="eastAsia"/>
          <w:b/>
        </w:rPr>
        <w:t xml:space="preserve">    </w:t>
      </w:r>
      <w:r>
        <w:rPr>
          <w:rFonts w:hint="eastAsia" w:ascii="宋体" w:hAnsi="宋体"/>
        </w:rPr>
        <w:t xml:space="preserve"> 投标人有效的“主体资格证明文件”（如营业执照、事业单位法人证书、执业许可证、自然人身份证等）</w:t>
      </w:r>
      <w:r>
        <w:rPr>
          <w:rFonts w:hint="eastAsia" w:hAnsi="宋体"/>
        </w:rPr>
        <w:t>复印件</w:t>
      </w:r>
      <w:r>
        <w:rPr>
          <w:rFonts w:hint="eastAsia" w:ascii="宋体" w:hAnsi="宋体"/>
        </w:rPr>
        <w:t>，同时要加盖单位公章；</w:t>
      </w:r>
      <w:r>
        <w:rPr>
          <w:rFonts w:hint="eastAsia" w:ascii="宋体" w:hAnsi="宋体"/>
          <w:b/>
        </w:rPr>
        <w:t>（必须提供）</w:t>
      </w:r>
    </w:p>
    <w:p w14:paraId="08AEE0C8">
      <w:pPr>
        <w:snapToGrid w:val="0"/>
        <w:spacing w:line="360" w:lineRule="exact"/>
        <w:ind w:firstLine="411" w:firstLineChars="196"/>
        <w:jc w:val="left"/>
        <w:rPr>
          <w:rFonts w:ascii="宋体" w:hAnsi="宋体"/>
          <w:szCs w:val="21"/>
        </w:rPr>
      </w:pPr>
      <w:r>
        <w:rPr>
          <w:rFonts w:hint="eastAsia" w:ascii="宋体" w:hAnsi="宋体"/>
          <w:szCs w:val="21"/>
        </w:rPr>
        <w:t>（2）投标截止之日前一年内投标人连续三个月的依法缴纳税费或依法免缴税费的证明；无纳税记录的，应提供由投标人所在地的税务部门出具的《依法纳税或依法免税证明》。</w:t>
      </w:r>
      <w:r>
        <w:rPr>
          <w:rFonts w:hint="eastAsia" w:ascii="宋体" w:hAnsi="宋体"/>
          <w:b/>
          <w:szCs w:val="21"/>
        </w:rPr>
        <w:t>（必须提供，新成立单位按实际提供）</w:t>
      </w:r>
    </w:p>
    <w:p w14:paraId="0355AFD5">
      <w:pPr>
        <w:snapToGrid w:val="0"/>
        <w:spacing w:line="360" w:lineRule="exact"/>
        <w:ind w:firstLine="411" w:firstLineChars="196"/>
        <w:jc w:val="left"/>
        <w:rPr>
          <w:rFonts w:hint="eastAsia" w:ascii="宋体" w:hAnsi="宋体"/>
          <w:szCs w:val="21"/>
        </w:rPr>
      </w:pPr>
      <w:r>
        <w:rPr>
          <w:rFonts w:hint="eastAsia" w:ascii="宋体" w:hAnsi="宋体"/>
          <w:szCs w:val="21"/>
        </w:rPr>
        <w:t>（3）投标截止之日前一年内投标人连续三个月的依法缴纳社保费的缴费凭证；无缴费记录的，应提供由投标人所在地社保等相关部门出具的《依法缴纳或依法免缴社保费证明》。</w:t>
      </w:r>
      <w:r>
        <w:rPr>
          <w:rFonts w:hint="eastAsia" w:ascii="宋体" w:hAnsi="宋体"/>
          <w:b/>
          <w:szCs w:val="21"/>
        </w:rPr>
        <w:t>（必须提供，新成立单位按实际提供）</w:t>
      </w:r>
    </w:p>
    <w:p w14:paraId="09F57F02">
      <w:pPr>
        <w:snapToGrid w:val="0"/>
        <w:spacing w:line="360" w:lineRule="exact"/>
        <w:jc w:val="left"/>
        <w:rPr>
          <w:rFonts w:hint="eastAsia" w:ascii="宋体" w:hAnsi="宋体"/>
          <w:b/>
          <w:szCs w:val="21"/>
        </w:rPr>
      </w:pPr>
      <w:r>
        <w:rPr>
          <w:rFonts w:hint="eastAsia" w:ascii="宋体" w:hAnsi="宋体"/>
          <w:b/>
          <w:szCs w:val="21"/>
        </w:rPr>
        <w:t xml:space="preserve">    </w:t>
      </w:r>
      <w:r>
        <w:rPr>
          <w:rFonts w:hint="eastAsia" w:ascii="宋体" w:hAnsi="宋体"/>
          <w:szCs w:val="21"/>
        </w:rPr>
        <w:t>（4）</w:t>
      </w:r>
      <w:r>
        <w:rPr>
          <w:rFonts w:ascii="宋体" w:hAnsi="宋体"/>
          <w:szCs w:val="21"/>
        </w:rPr>
        <w:t>财务状况报告</w:t>
      </w:r>
      <w:r>
        <w:rPr>
          <w:rFonts w:hint="eastAsia" w:ascii="宋体" w:hAnsi="宋体"/>
          <w:szCs w:val="21"/>
        </w:rPr>
        <w:t>。（</w:t>
      </w:r>
      <w:r>
        <w:rPr>
          <w:rFonts w:ascii="宋体" w:hAnsi="宋体"/>
          <w:szCs w:val="21"/>
          <w:u w:val="single"/>
        </w:rPr>
        <w:t>2024</w:t>
      </w:r>
      <w:r>
        <w:rPr>
          <w:rFonts w:hint="eastAsia" w:ascii="宋体" w:hAnsi="宋体"/>
          <w:szCs w:val="21"/>
        </w:rPr>
        <w:t>年度财务报表复印件，或者银行出具的资信证明，或者中国人民银行征信中心出具的信用报告（企业投标的提供企业信用报告，自然人投标的提供个人信用报告</w:t>
      </w:r>
      <w:r>
        <w:rPr>
          <w:rFonts w:hint="eastAsia" w:ascii="宋体" w:hAnsi="宋体"/>
        </w:rPr>
        <w:t>，投标人</w:t>
      </w:r>
      <w:r>
        <w:rPr>
          <w:rFonts w:ascii="宋体" w:hAnsi="宋体"/>
        </w:rPr>
        <w:t>属于成立时间在规定年度之后的法人或其他组织</w:t>
      </w:r>
      <w:r>
        <w:rPr>
          <w:rFonts w:hint="eastAsia" w:ascii="宋体" w:hAnsi="宋体"/>
        </w:rPr>
        <w:t>，需提供成立之日起至投标截止时间前的月报表</w:t>
      </w:r>
      <w:r>
        <w:rPr>
          <w:rFonts w:hint="eastAsia" w:ascii="宋体" w:hAnsi="宋体"/>
          <w:szCs w:val="21"/>
        </w:rPr>
        <w:t>或银行出具的资信证明或者中国人民银行征信中心出具的企业信用报告；资信证明应在有效期内，未注明有效期的，银行出具时间至投标截止时间不超过一年）</w:t>
      </w:r>
      <w:r>
        <w:rPr>
          <w:rFonts w:hint="eastAsia" w:ascii="宋体" w:hAnsi="宋体"/>
          <w:b/>
          <w:szCs w:val="21"/>
        </w:rPr>
        <w:t>（格式自拟，必须提供）</w:t>
      </w:r>
    </w:p>
    <w:p w14:paraId="35BBEDE4">
      <w:pPr>
        <w:snapToGrid w:val="0"/>
        <w:spacing w:line="360" w:lineRule="exact"/>
        <w:ind w:firstLine="411" w:firstLineChars="196"/>
        <w:jc w:val="left"/>
        <w:rPr>
          <w:rFonts w:hint="eastAsia" w:ascii="宋体" w:hAnsi="宋体" w:cs="宋体"/>
          <w:b/>
          <w:kern w:val="0"/>
          <w:szCs w:val="21"/>
        </w:rPr>
      </w:pPr>
      <w:r>
        <w:rPr>
          <w:rFonts w:hint="eastAsia" w:ascii="宋体" w:hAnsi="宋体" w:cs="宋体"/>
          <w:kern w:val="0"/>
          <w:szCs w:val="21"/>
        </w:rPr>
        <w:t>（5）</w:t>
      </w:r>
      <w:r>
        <w:rPr>
          <w:rFonts w:ascii="宋体" w:hAnsi="宋体"/>
          <w:szCs w:val="21"/>
        </w:rPr>
        <w:t>具备履行合同所必需的设备和专业技术能力的证明材料</w:t>
      </w:r>
      <w:r>
        <w:rPr>
          <w:rFonts w:hint="eastAsia" w:ascii="宋体" w:hAnsi="宋体" w:cs="宋体"/>
          <w:kern w:val="0"/>
          <w:szCs w:val="21"/>
        </w:rPr>
        <w:t>。</w:t>
      </w:r>
      <w:r>
        <w:rPr>
          <w:rFonts w:hint="eastAsia" w:ascii="宋体" w:hAnsi="宋体"/>
          <w:b/>
          <w:szCs w:val="21"/>
        </w:rPr>
        <w:t>（内容、格式自拟，必须提供）</w:t>
      </w:r>
    </w:p>
    <w:p w14:paraId="7570FC04">
      <w:pPr>
        <w:snapToGrid w:val="0"/>
        <w:spacing w:line="360" w:lineRule="exact"/>
        <w:ind w:firstLine="411" w:firstLineChars="196"/>
        <w:jc w:val="left"/>
        <w:rPr>
          <w:rFonts w:hint="eastAsia" w:ascii="宋体" w:hAnsi="宋体"/>
          <w:szCs w:val="21"/>
        </w:rPr>
      </w:pPr>
      <w:r>
        <w:rPr>
          <w:rFonts w:hint="eastAsia" w:ascii="宋体" w:hAnsi="宋体" w:cs="宋体"/>
          <w:kern w:val="0"/>
          <w:szCs w:val="21"/>
        </w:rPr>
        <w:t>（6）</w:t>
      </w:r>
      <w:r>
        <w:rPr>
          <w:rFonts w:hint="eastAsia" w:ascii="宋体" w:hAnsi="宋体"/>
          <w:szCs w:val="21"/>
        </w:rPr>
        <w:t>参加政府采购活动前三年内在经营活动中没有重大违法记录和不良信用记录的书面声明。（</w:t>
      </w:r>
      <w:r>
        <w:rPr>
          <w:rFonts w:hint="eastAsia" w:ascii="宋体" w:hAnsi="宋体"/>
          <w:b/>
          <w:szCs w:val="21"/>
        </w:rPr>
        <w:t>格式自拟，必须提供</w:t>
      </w:r>
      <w:r>
        <w:rPr>
          <w:rFonts w:hint="eastAsia" w:ascii="宋体" w:hAnsi="宋体"/>
          <w:szCs w:val="21"/>
        </w:rPr>
        <w:t>）</w:t>
      </w:r>
    </w:p>
    <w:p w14:paraId="161867BA">
      <w:pPr>
        <w:snapToGrid w:val="0"/>
        <w:spacing w:line="360" w:lineRule="exact"/>
        <w:ind w:firstLine="411" w:firstLineChars="196"/>
        <w:jc w:val="left"/>
        <w:rPr>
          <w:rFonts w:hint="eastAsia" w:ascii="宋体" w:hAnsi="宋体"/>
          <w:b/>
          <w:szCs w:val="21"/>
        </w:rPr>
      </w:pPr>
      <w:r>
        <w:rPr>
          <w:rFonts w:hint="eastAsia" w:ascii="宋体" w:hAnsi="宋体"/>
          <w:b/>
          <w:szCs w:val="21"/>
        </w:rPr>
        <w:t>注：采购人或采购代理机构在资格审查结束前对供应商进行信用查询</w:t>
      </w:r>
    </w:p>
    <w:p w14:paraId="24505EC1">
      <w:pPr>
        <w:snapToGrid w:val="0"/>
        <w:spacing w:line="360" w:lineRule="exact"/>
        <w:ind w:firstLine="411" w:firstLineChars="196"/>
        <w:jc w:val="left"/>
        <w:rPr>
          <w:rFonts w:hint="eastAsia" w:ascii="宋体" w:hAnsi="宋体"/>
          <w:b/>
          <w:szCs w:val="21"/>
        </w:rPr>
      </w:pPr>
      <w:r>
        <w:rPr>
          <w:rFonts w:hint="eastAsia" w:ascii="宋体" w:hAnsi="宋体"/>
          <w:b/>
          <w:szCs w:val="21"/>
        </w:rPr>
        <w:t>查询渠道：“信用中国”网站(www.creditchina.gov.cn) 、中国政府采购网(www.ccgp.gov.cn)</w:t>
      </w:r>
    </w:p>
    <w:p w14:paraId="2C3FA529">
      <w:pPr>
        <w:snapToGrid w:val="0"/>
        <w:spacing w:line="360" w:lineRule="exact"/>
        <w:ind w:firstLine="411" w:firstLineChars="196"/>
        <w:jc w:val="left"/>
        <w:rPr>
          <w:rFonts w:hint="eastAsia" w:ascii="宋体" w:hAnsi="宋体"/>
          <w:b/>
          <w:szCs w:val="21"/>
        </w:rPr>
      </w:pPr>
      <w:r>
        <w:rPr>
          <w:rFonts w:hint="eastAsia" w:ascii="宋体" w:hAnsi="宋体"/>
          <w:b/>
          <w:szCs w:val="21"/>
        </w:rPr>
        <w:t>查询截止时间：资格审查结束前。</w:t>
      </w:r>
    </w:p>
    <w:p w14:paraId="0493BD9E">
      <w:pPr>
        <w:snapToGrid w:val="0"/>
        <w:spacing w:line="360" w:lineRule="exact"/>
        <w:ind w:firstLine="411" w:firstLineChars="196"/>
        <w:jc w:val="left"/>
        <w:rPr>
          <w:rFonts w:hint="eastAsia" w:ascii="宋体" w:hAnsi="宋体"/>
          <w:b/>
          <w:szCs w:val="21"/>
        </w:rPr>
      </w:pPr>
      <w:r>
        <w:rPr>
          <w:rFonts w:hint="eastAsia" w:ascii="宋体" w:hAnsi="宋体"/>
          <w:b/>
          <w:szCs w:val="21"/>
        </w:rPr>
        <w:t>查询记录和证据留存方式：在查询网站中直接打印查询记录，打印材料作为评审资料保存。</w:t>
      </w:r>
    </w:p>
    <w:p w14:paraId="7408AE2A">
      <w:pPr>
        <w:snapToGrid w:val="0"/>
        <w:spacing w:line="360" w:lineRule="exact"/>
        <w:ind w:firstLine="411" w:firstLineChars="196"/>
        <w:jc w:val="left"/>
        <w:rPr>
          <w:rFonts w:hint="eastAsia" w:ascii="宋体" w:hAnsi="宋体"/>
          <w:szCs w:val="21"/>
        </w:rPr>
      </w:pPr>
      <w:r>
        <w:rPr>
          <w:rFonts w:hint="eastAsia" w:ascii="宋体" w:hAnsi="宋体"/>
          <w:b/>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3AA28778">
      <w:pPr>
        <w:pStyle w:val="26"/>
        <w:snapToGrid w:val="0"/>
        <w:spacing w:line="370" w:lineRule="exact"/>
        <w:ind w:firstLine="420" w:firstLineChars="200"/>
        <w:jc w:val="left"/>
        <w:outlineLvl w:val="2"/>
        <w:rPr>
          <w:rFonts w:hint="eastAsia"/>
          <w:b/>
        </w:rPr>
      </w:pPr>
      <w:r>
        <w:rPr>
          <w:rFonts w:hint="eastAsia"/>
          <w:b/>
        </w:rPr>
        <w:t>2.商务技术文件：</w:t>
      </w:r>
    </w:p>
    <w:p w14:paraId="1DDDF967">
      <w:pPr>
        <w:ind w:firstLine="420" w:firstLineChars="200"/>
        <w:rPr>
          <w:rFonts w:hint="eastAsia" w:ascii="宋体" w:hAnsi="宋体"/>
          <w:b/>
        </w:rPr>
      </w:pPr>
      <w:r>
        <w:rPr>
          <w:rFonts w:hint="eastAsia" w:ascii="宋体" w:hAnsi="宋体"/>
          <w:b/>
        </w:rPr>
        <w:t>2.1商务文件：</w:t>
      </w:r>
    </w:p>
    <w:p w14:paraId="670D8331">
      <w:pPr>
        <w:snapToGrid w:val="0"/>
        <w:spacing w:line="370" w:lineRule="exact"/>
        <w:ind w:firstLine="411" w:firstLineChars="196"/>
        <w:jc w:val="left"/>
        <w:rPr>
          <w:rFonts w:hint="eastAsia" w:ascii="宋体"/>
          <w:szCs w:val="21"/>
        </w:rPr>
      </w:pPr>
      <w:r>
        <w:rPr>
          <w:rFonts w:hint="eastAsia" w:ascii="宋体"/>
          <w:szCs w:val="21"/>
        </w:rPr>
        <w:t>（1）</w:t>
      </w:r>
      <w:r>
        <w:rPr>
          <w:rFonts w:hint="eastAsia" w:ascii="宋体" w:hAnsi="宋体"/>
          <w:szCs w:val="21"/>
        </w:rPr>
        <w:t>投标保证金的提交凭证</w:t>
      </w:r>
      <w:r>
        <w:rPr>
          <w:rFonts w:hint="eastAsia" w:ascii="宋体"/>
          <w:szCs w:val="21"/>
        </w:rPr>
        <w:t>；</w:t>
      </w:r>
      <w:r>
        <w:rPr>
          <w:rFonts w:hint="eastAsia" w:ascii="宋体"/>
          <w:b/>
          <w:szCs w:val="21"/>
        </w:rPr>
        <w:t>（必须提供）</w:t>
      </w:r>
    </w:p>
    <w:p w14:paraId="48C04DB8">
      <w:pPr>
        <w:snapToGrid w:val="0"/>
        <w:spacing w:line="370" w:lineRule="exact"/>
        <w:ind w:firstLine="411" w:firstLineChars="196"/>
        <w:jc w:val="left"/>
        <w:rPr>
          <w:rFonts w:hint="eastAsia" w:ascii="宋体"/>
          <w:szCs w:val="21"/>
        </w:rPr>
      </w:pPr>
      <w:r>
        <w:rPr>
          <w:rFonts w:hint="eastAsia" w:ascii="宋体"/>
          <w:szCs w:val="21"/>
        </w:rPr>
        <w:t>（2）投标声明书 (格式见第六章)；</w:t>
      </w:r>
      <w:r>
        <w:rPr>
          <w:rFonts w:hint="eastAsia" w:ascii="宋体"/>
          <w:b/>
          <w:szCs w:val="21"/>
        </w:rPr>
        <w:t>（必须提供）</w:t>
      </w:r>
    </w:p>
    <w:p w14:paraId="22F1ED5F">
      <w:pPr>
        <w:snapToGrid w:val="0"/>
        <w:spacing w:line="370" w:lineRule="exact"/>
        <w:ind w:firstLine="411" w:firstLineChars="196"/>
        <w:jc w:val="left"/>
        <w:rPr>
          <w:rFonts w:hint="eastAsia" w:ascii="宋体"/>
          <w:szCs w:val="21"/>
        </w:rPr>
      </w:pPr>
      <w:r>
        <w:rPr>
          <w:rFonts w:hint="eastAsia" w:ascii="宋体"/>
          <w:szCs w:val="21"/>
        </w:rPr>
        <w:t>（3）法定代表人(负责人)授权委托书和委托代理人身份证正、反面复印件（格式见第六章)</w:t>
      </w:r>
      <w:r>
        <w:rPr>
          <w:rFonts w:hint="eastAsia" w:ascii="宋体"/>
          <w:b/>
          <w:szCs w:val="21"/>
        </w:rPr>
        <w:t>（委托时必须提供）</w:t>
      </w:r>
      <w:r>
        <w:rPr>
          <w:rFonts w:hint="eastAsia" w:ascii="宋体"/>
          <w:szCs w:val="21"/>
        </w:rPr>
        <w:t>；</w:t>
      </w:r>
    </w:p>
    <w:p w14:paraId="46FC23DF">
      <w:pPr>
        <w:snapToGrid w:val="0"/>
        <w:spacing w:line="370" w:lineRule="exact"/>
        <w:ind w:firstLine="411" w:firstLineChars="196"/>
        <w:jc w:val="left"/>
        <w:rPr>
          <w:rFonts w:hint="eastAsia" w:ascii="宋体"/>
          <w:szCs w:val="21"/>
        </w:rPr>
      </w:pPr>
      <w:r>
        <w:rPr>
          <w:rFonts w:hint="eastAsia" w:ascii="宋体"/>
          <w:szCs w:val="21"/>
        </w:rPr>
        <w:t>（4）法定代表人(负责人)身份证明书（格式见附件)、法定代表人（负责人）有效身份证正反面复印件</w:t>
      </w:r>
      <w:r>
        <w:rPr>
          <w:rFonts w:hint="eastAsia" w:ascii="宋体"/>
          <w:b/>
          <w:szCs w:val="21"/>
        </w:rPr>
        <w:t>（必须提供）</w:t>
      </w:r>
      <w:r>
        <w:rPr>
          <w:rFonts w:hint="eastAsia" w:ascii="宋体"/>
          <w:szCs w:val="21"/>
        </w:rPr>
        <w:t xml:space="preserve">； </w:t>
      </w:r>
    </w:p>
    <w:p w14:paraId="00916651">
      <w:pPr>
        <w:snapToGrid w:val="0"/>
        <w:spacing w:line="370" w:lineRule="exact"/>
        <w:ind w:firstLine="411" w:firstLineChars="196"/>
        <w:jc w:val="left"/>
        <w:rPr>
          <w:rFonts w:hint="eastAsia" w:ascii="宋体"/>
          <w:b/>
          <w:szCs w:val="21"/>
        </w:rPr>
      </w:pPr>
      <w:r>
        <w:rPr>
          <w:rFonts w:hint="eastAsia" w:ascii="宋体"/>
          <w:szCs w:val="21"/>
        </w:rPr>
        <w:t>（5）商务响应表（格式见第六章）；</w:t>
      </w:r>
      <w:r>
        <w:rPr>
          <w:rFonts w:hint="eastAsia" w:ascii="宋体"/>
          <w:b/>
          <w:szCs w:val="21"/>
        </w:rPr>
        <w:t>（必须提供）</w:t>
      </w:r>
    </w:p>
    <w:p w14:paraId="66F360F5">
      <w:pPr>
        <w:snapToGrid w:val="0"/>
        <w:spacing w:line="370" w:lineRule="exact"/>
        <w:ind w:firstLine="411" w:firstLineChars="196"/>
        <w:jc w:val="left"/>
        <w:rPr>
          <w:rFonts w:hint="eastAsia" w:ascii="宋体"/>
          <w:b/>
          <w:szCs w:val="21"/>
        </w:rPr>
      </w:pPr>
      <w:r>
        <w:rPr>
          <w:rFonts w:hint="eastAsia" w:ascii="宋体"/>
          <w:szCs w:val="21"/>
        </w:rPr>
        <w:t>（6）招标项目采购需求中要求必须提供的材料等；</w:t>
      </w:r>
      <w:r>
        <w:rPr>
          <w:rFonts w:hint="eastAsia"/>
        </w:rPr>
        <w:t>（招标项目采购需求中要求必须提供的材料，据实提供）</w:t>
      </w:r>
    </w:p>
    <w:p w14:paraId="32B62614">
      <w:pPr>
        <w:snapToGrid w:val="0"/>
        <w:spacing w:line="370" w:lineRule="exact"/>
        <w:ind w:firstLine="411" w:firstLineChars="196"/>
        <w:jc w:val="left"/>
        <w:rPr>
          <w:rFonts w:hint="eastAsia" w:ascii="宋体"/>
          <w:b/>
          <w:szCs w:val="21"/>
        </w:rPr>
      </w:pPr>
      <w:r>
        <w:rPr>
          <w:rFonts w:hint="eastAsia" w:ascii="宋体"/>
          <w:szCs w:val="21"/>
        </w:rPr>
        <w:t>（7）具备法律、行政法规规定的其他条件的证明材料。</w:t>
      </w:r>
      <w:r>
        <w:rPr>
          <w:rFonts w:hint="eastAsia" w:ascii="宋体"/>
          <w:b/>
          <w:szCs w:val="21"/>
        </w:rPr>
        <w:t xml:space="preserve"> (如有规定,则必须提供)</w:t>
      </w:r>
    </w:p>
    <w:p w14:paraId="137164FB">
      <w:pPr>
        <w:snapToGrid w:val="0"/>
        <w:spacing w:line="370" w:lineRule="exact"/>
        <w:ind w:firstLine="411" w:firstLineChars="196"/>
        <w:jc w:val="left"/>
        <w:rPr>
          <w:rFonts w:hint="eastAsia" w:ascii="宋体"/>
          <w:b/>
          <w:bCs/>
          <w:szCs w:val="21"/>
        </w:rPr>
      </w:pPr>
      <w:r>
        <w:rPr>
          <w:rFonts w:hint="eastAsia" w:ascii="宋体"/>
          <w:b/>
          <w:bCs/>
          <w:szCs w:val="21"/>
        </w:rPr>
        <w:t xml:space="preserve">可作为投标人资信评分的资质证明材料（可选）  </w:t>
      </w:r>
    </w:p>
    <w:p w14:paraId="2C062512">
      <w:pPr>
        <w:snapToGrid w:val="0"/>
        <w:spacing w:line="370" w:lineRule="exact"/>
        <w:ind w:firstLine="411" w:firstLineChars="196"/>
        <w:jc w:val="left"/>
        <w:rPr>
          <w:rFonts w:hint="eastAsia" w:ascii="宋体"/>
          <w:szCs w:val="21"/>
        </w:rPr>
      </w:pPr>
      <w:r>
        <w:rPr>
          <w:rFonts w:hint="eastAsia" w:ascii="宋体"/>
          <w:szCs w:val="21"/>
        </w:rPr>
        <w:t>（8）类似成功案例的业绩（投标人同类项目实施情况一览表、合同扫描件等，格式可自行调整）；</w:t>
      </w:r>
    </w:p>
    <w:p w14:paraId="4BFBEBA4">
      <w:pPr>
        <w:snapToGrid w:val="0"/>
        <w:spacing w:line="370" w:lineRule="exact"/>
        <w:ind w:firstLine="411" w:firstLineChars="196"/>
        <w:jc w:val="left"/>
        <w:rPr>
          <w:rFonts w:hint="eastAsia" w:ascii="宋体"/>
          <w:szCs w:val="21"/>
        </w:rPr>
      </w:pPr>
      <w:r>
        <w:rPr>
          <w:rFonts w:hint="eastAsia" w:ascii="宋体"/>
          <w:szCs w:val="21"/>
        </w:rPr>
        <w:t>（9）其他特殊资质证书；</w:t>
      </w:r>
    </w:p>
    <w:p w14:paraId="74920E4A">
      <w:pPr>
        <w:snapToGrid w:val="0"/>
        <w:spacing w:line="370" w:lineRule="exact"/>
        <w:ind w:firstLine="411" w:firstLineChars="196"/>
        <w:jc w:val="left"/>
        <w:rPr>
          <w:rFonts w:hint="eastAsia" w:ascii="宋体" w:hAnsi="宋体"/>
          <w:szCs w:val="21"/>
        </w:rPr>
      </w:pPr>
      <w:r>
        <w:rPr>
          <w:rFonts w:hint="eastAsia" w:ascii="宋体"/>
          <w:szCs w:val="21"/>
        </w:rPr>
        <w:t>（10）投标</w:t>
      </w:r>
      <w:r>
        <w:rPr>
          <w:rFonts w:hint="eastAsia" w:ascii="宋体" w:hAnsi="宋体"/>
          <w:szCs w:val="21"/>
        </w:rPr>
        <w:t>人质量管理和质量保证体系等方面的认证证书；</w:t>
      </w:r>
    </w:p>
    <w:p w14:paraId="24F4D800">
      <w:pPr>
        <w:snapToGrid w:val="0"/>
        <w:spacing w:line="370" w:lineRule="exact"/>
        <w:ind w:firstLine="411" w:firstLineChars="196"/>
        <w:jc w:val="left"/>
        <w:rPr>
          <w:rFonts w:hint="eastAsia" w:ascii="宋体" w:hAnsi="宋体"/>
          <w:szCs w:val="21"/>
        </w:rPr>
      </w:pPr>
      <w:r>
        <w:rPr>
          <w:rFonts w:hint="eastAsia" w:ascii="宋体" w:hAnsi="宋体"/>
          <w:szCs w:val="21"/>
        </w:rPr>
        <w:t>（11）投标人认为可以证明其能力或业绩的其他材料；</w:t>
      </w:r>
    </w:p>
    <w:p w14:paraId="4250EFA9">
      <w:pPr>
        <w:snapToGrid w:val="0"/>
        <w:spacing w:line="370" w:lineRule="exact"/>
        <w:ind w:firstLine="411" w:firstLineChars="196"/>
        <w:jc w:val="left"/>
        <w:rPr>
          <w:rFonts w:hint="eastAsia" w:ascii="宋体" w:hAnsi="宋体"/>
          <w:szCs w:val="21"/>
        </w:rPr>
      </w:pPr>
      <w:r>
        <w:rPr>
          <w:rFonts w:hint="eastAsia" w:ascii="宋体" w:hAnsi="宋体"/>
          <w:szCs w:val="21"/>
        </w:rPr>
        <w:t>（12）投标人关于服务升级以及本单位债务纠纷、违法违规记录等方面的情况（内容见投标声明书）；</w:t>
      </w:r>
    </w:p>
    <w:p w14:paraId="2DC845B3">
      <w:pPr>
        <w:snapToGrid w:val="0"/>
        <w:spacing w:line="370" w:lineRule="exact"/>
        <w:ind w:firstLine="411" w:firstLineChars="196"/>
        <w:jc w:val="left"/>
        <w:rPr>
          <w:rFonts w:hint="eastAsia" w:ascii="宋体" w:hAnsi="宋体"/>
          <w:szCs w:val="21"/>
        </w:rPr>
      </w:pPr>
      <w:r>
        <w:rPr>
          <w:rFonts w:hint="eastAsia" w:ascii="宋体" w:hAnsi="宋体"/>
          <w:szCs w:val="21"/>
        </w:rPr>
        <w:t>（13）投标人情况介绍。</w:t>
      </w:r>
    </w:p>
    <w:p w14:paraId="7F33C3CC">
      <w:pPr>
        <w:snapToGrid w:val="0"/>
        <w:spacing w:line="370" w:lineRule="exact"/>
        <w:ind w:firstLine="411" w:firstLineChars="196"/>
        <w:jc w:val="left"/>
        <w:rPr>
          <w:rFonts w:hint="eastAsia" w:ascii="宋体" w:hAnsi="宋体"/>
          <w:szCs w:val="21"/>
        </w:rPr>
      </w:pPr>
      <w:r>
        <w:rPr>
          <w:rFonts w:hint="eastAsia" w:ascii="宋体"/>
          <w:szCs w:val="21"/>
        </w:rPr>
        <w:t>（14）投标人认为需要提供的其他材料。</w:t>
      </w:r>
    </w:p>
    <w:p w14:paraId="3EBCA14A">
      <w:pPr>
        <w:snapToGrid w:val="0"/>
        <w:spacing w:line="370" w:lineRule="exact"/>
        <w:ind w:firstLine="411" w:firstLineChars="196"/>
        <w:jc w:val="left"/>
        <w:rPr>
          <w:rFonts w:hint="eastAsia" w:ascii="宋体" w:hAnsi="宋体"/>
          <w:b/>
          <w:szCs w:val="21"/>
        </w:rPr>
      </w:pPr>
      <w:r>
        <w:rPr>
          <w:rFonts w:hint="eastAsia" w:ascii="宋体" w:hAnsi="宋体"/>
          <w:szCs w:val="21"/>
        </w:rPr>
        <w:t>（15）中小企业声明函。</w:t>
      </w:r>
      <w:r>
        <w:rPr>
          <w:rFonts w:hint="eastAsia" w:ascii="宋体" w:hAnsi="宋体"/>
          <w:b/>
          <w:szCs w:val="21"/>
        </w:rPr>
        <w:t>（按最新相关政策执行，格式见第六章，如有请提供）</w:t>
      </w:r>
    </w:p>
    <w:p w14:paraId="3432B064">
      <w:pPr>
        <w:snapToGrid w:val="0"/>
        <w:spacing w:line="370" w:lineRule="exact"/>
        <w:ind w:firstLine="420" w:firstLineChars="200"/>
        <w:jc w:val="left"/>
        <w:rPr>
          <w:rFonts w:hint="eastAsia"/>
          <w:b/>
          <w:bCs/>
        </w:rPr>
      </w:pPr>
      <w:r>
        <w:rPr>
          <w:rFonts w:hint="eastAsia" w:ascii="宋体" w:hAnsi="宋体" w:cs="宋体"/>
          <w:szCs w:val="21"/>
        </w:rPr>
        <w:t>（16）本国产品适用政府采购</w:t>
      </w:r>
      <w:r>
        <w:rPr>
          <w:rFonts w:hint="eastAsia"/>
        </w:rPr>
        <w:t>政策相关资料</w:t>
      </w:r>
      <w:r>
        <w:rPr>
          <w:rFonts w:hint="eastAsia"/>
          <w:b/>
          <w:bCs/>
        </w:rPr>
        <w:t>（格式见第六章，如有请提供）</w:t>
      </w:r>
    </w:p>
    <w:p w14:paraId="7BC74BC8">
      <w:pPr>
        <w:tabs>
          <w:tab w:val="center" w:pos="5025"/>
        </w:tabs>
        <w:snapToGrid w:val="0"/>
        <w:spacing w:line="370" w:lineRule="exact"/>
        <w:ind w:firstLine="411" w:firstLineChars="196"/>
        <w:jc w:val="left"/>
        <w:rPr>
          <w:rFonts w:hint="eastAsia" w:ascii="宋体"/>
          <w:b/>
          <w:bCs/>
          <w:szCs w:val="21"/>
        </w:rPr>
      </w:pPr>
      <w:r>
        <w:rPr>
          <w:rFonts w:hint="eastAsia" w:ascii="宋体"/>
          <w:b/>
          <w:bCs/>
          <w:szCs w:val="21"/>
        </w:rPr>
        <w:t>2.2技术文件：</w:t>
      </w:r>
      <w:r>
        <w:rPr>
          <w:rFonts w:ascii="宋体"/>
          <w:b/>
          <w:bCs/>
          <w:szCs w:val="21"/>
        </w:rPr>
        <w:tab/>
      </w:r>
    </w:p>
    <w:p w14:paraId="63E84429">
      <w:pPr>
        <w:snapToGrid w:val="0"/>
        <w:spacing w:line="370" w:lineRule="exact"/>
        <w:ind w:firstLine="411" w:firstLineChars="196"/>
        <w:jc w:val="left"/>
        <w:rPr>
          <w:rFonts w:hint="eastAsia" w:ascii="宋体"/>
          <w:szCs w:val="21"/>
        </w:rPr>
      </w:pPr>
      <w:r>
        <w:rPr>
          <w:rFonts w:hint="eastAsia" w:ascii="宋体"/>
          <w:szCs w:val="21"/>
        </w:rPr>
        <w:t>（1）服务响应表；</w:t>
      </w:r>
      <w:r>
        <w:rPr>
          <w:rFonts w:hint="eastAsia" w:ascii="宋体"/>
          <w:b/>
          <w:szCs w:val="21"/>
        </w:rPr>
        <w:t>（必须提供）</w:t>
      </w:r>
    </w:p>
    <w:p w14:paraId="3A980A0B">
      <w:pPr>
        <w:snapToGrid w:val="0"/>
        <w:spacing w:line="370" w:lineRule="exact"/>
        <w:ind w:firstLine="420" w:firstLineChars="200"/>
        <w:jc w:val="left"/>
        <w:rPr>
          <w:rFonts w:hint="eastAsia" w:ascii="宋体"/>
          <w:szCs w:val="21"/>
        </w:rPr>
      </w:pPr>
      <w:r>
        <w:rPr>
          <w:rFonts w:hint="eastAsia" w:ascii="宋体"/>
          <w:szCs w:val="21"/>
        </w:rPr>
        <w:t>（2）</w:t>
      </w:r>
      <w:r>
        <w:rPr>
          <w:rFonts w:hint="eastAsia"/>
        </w:rPr>
        <w:t>服务方案</w:t>
      </w:r>
      <w:r>
        <w:rPr>
          <w:rFonts w:hint="eastAsia" w:ascii="宋体" w:hAnsi="宋体"/>
          <w:szCs w:val="21"/>
        </w:rPr>
        <w:t>；</w:t>
      </w:r>
      <w:r>
        <w:rPr>
          <w:rFonts w:hint="eastAsia" w:ascii="宋体" w:hAnsi="宋体"/>
          <w:b/>
          <w:szCs w:val="21"/>
        </w:rPr>
        <w:t>（格式自拟，</w:t>
      </w:r>
      <w:r>
        <w:rPr>
          <w:rFonts w:hint="eastAsia" w:ascii="宋体"/>
          <w:b/>
          <w:szCs w:val="21"/>
        </w:rPr>
        <w:t>必须提供</w:t>
      </w:r>
      <w:r>
        <w:rPr>
          <w:rFonts w:hint="eastAsia" w:ascii="宋体" w:hAnsi="宋体"/>
          <w:b/>
          <w:szCs w:val="21"/>
        </w:rPr>
        <w:t>）</w:t>
      </w:r>
    </w:p>
    <w:p w14:paraId="2A9CC749">
      <w:pPr>
        <w:snapToGrid w:val="0"/>
        <w:spacing w:line="370" w:lineRule="exact"/>
        <w:ind w:firstLine="420" w:firstLineChars="200"/>
        <w:jc w:val="left"/>
        <w:rPr>
          <w:rFonts w:hint="eastAsia" w:ascii="宋体"/>
          <w:szCs w:val="21"/>
        </w:rPr>
      </w:pPr>
      <w:r>
        <w:rPr>
          <w:rFonts w:hint="eastAsia" w:ascii="宋体"/>
          <w:szCs w:val="21"/>
        </w:rPr>
        <w:t>（3）</w:t>
      </w:r>
      <w:r>
        <w:rPr>
          <w:rFonts w:hint="eastAsia" w:ascii="宋体" w:hAnsi="宋体"/>
          <w:szCs w:val="21"/>
        </w:rPr>
        <w:t>投标人拥有主要服务设施的情况和现状（格式自拟）及项目实施人员一览表</w:t>
      </w:r>
      <w:r>
        <w:rPr>
          <w:rFonts w:hint="eastAsia" w:ascii="宋体"/>
          <w:szCs w:val="21"/>
        </w:rPr>
        <w:t>；</w:t>
      </w:r>
    </w:p>
    <w:p w14:paraId="2C11D9F0">
      <w:pPr>
        <w:snapToGrid w:val="0"/>
        <w:spacing w:line="370" w:lineRule="exact"/>
        <w:ind w:firstLine="420" w:firstLineChars="200"/>
        <w:jc w:val="left"/>
        <w:rPr>
          <w:rFonts w:hint="eastAsia" w:ascii="宋体"/>
          <w:szCs w:val="21"/>
        </w:rPr>
      </w:pPr>
      <w:r>
        <w:rPr>
          <w:rFonts w:hint="eastAsia" w:ascii="宋体"/>
          <w:szCs w:val="21"/>
        </w:rPr>
        <w:t>（4）优惠条件：投标人承诺给予招标人的各种优惠条件；</w:t>
      </w:r>
    </w:p>
    <w:p w14:paraId="7A610710">
      <w:pPr>
        <w:snapToGrid w:val="0"/>
        <w:spacing w:line="370" w:lineRule="exact"/>
        <w:ind w:firstLine="420" w:firstLineChars="200"/>
        <w:jc w:val="left"/>
        <w:rPr>
          <w:rFonts w:hint="eastAsia" w:ascii="宋体"/>
          <w:szCs w:val="21"/>
        </w:rPr>
      </w:pPr>
      <w:r>
        <w:rPr>
          <w:rFonts w:hint="eastAsia" w:ascii="宋体"/>
          <w:szCs w:val="21"/>
        </w:rPr>
        <w:t>（5）投标人对本项目的合理化建议和改进措施；</w:t>
      </w:r>
    </w:p>
    <w:p w14:paraId="1FA6B3A0">
      <w:pPr>
        <w:snapToGrid w:val="0"/>
        <w:spacing w:line="370" w:lineRule="exact"/>
        <w:ind w:firstLine="420" w:firstLineChars="200"/>
        <w:jc w:val="left"/>
        <w:rPr>
          <w:rFonts w:hint="eastAsia" w:ascii="宋体"/>
          <w:szCs w:val="21"/>
        </w:rPr>
      </w:pPr>
      <w:r>
        <w:rPr>
          <w:rFonts w:hint="eastAsia" w:ascii="宋体"/>
          <w:szCs w:val="21"/>
        </w:rPr>
        <w:t>（6）投标人认为需要提供的其他材料；</w:t>
      </w:r>
    </w:p>
    <w:p w14:paraId="42CDC7AA">
      <w:pPr>
        <w:snapToGrid w:val="0"/>
        <w:spacing w:line="370" w:lineRule="exact"/>
        <w:ind w:firstLine="420" w:firstLineChars="200"/>
        <w:jc w:val="left"/>
        <w:rPr>
          <w:rFonts w:hint="eastAsia" w:ascii="宋体"/>
          <w:szCs w:val="21"/>
        </w:rPr>
      </w:pPr>
      <w:r>
        <w:rPr>
          <w:rFonts w:hint="eastAsia" w:ascii="宋体"/>
          <w:szCs w:val="21"/>
        </w:rPr>
        <w:t>（7）招标项目采购需求中要求必须提供的材料。</w:t>
      </w:r>
      <w:r>
        <w:rPr>
          <w:rFonts w:hint="eastAsia"/>
        </w:rPr>
        <w:t>（招标项目采购需求中要求必须提供的材料，据实提供）</w:t>
      </w:r>
    </w:p>
    <w:p w14:paraId="50E178CF">
      <w:pPr>
        <w:snapToGrid w:val="0"/>
        <w:spacing w:line="370" w:lineRule="exact"/>
        <w:ind w:firstLine="420" w:firstLineChars="200"/>
        <w:jc w:val="left"/>
        <w:outlineLvl w:val="2"/>
        <w:rPr>
          <w:rFonts w:hint="eastAsia" w:ascii="宋体"/>
          <w:b/>
          <w:szCs w:val="21"/>
        </w:rPr>
      </w:pPr>
      <w:r>
        <w:rPr>
          <w:rFonts w:hint="eastAsia" w:ascii="宋体"/>
          <w:b/>
          <w:szCs w:val="21"/>
        </w:rPr>
        <w:t>3.报价文件：</w:t>
      </w:r>
    </w:p>
    <w:p w14:paraId="1F3C8F5B">
      <w:pPr>
        <w:snapToGrid w:val="0"/>
        <w:spacing w:line="370" w:lineRule="exact"/>
        <w:ind w:firstLine="420" w:firstLineChars="200"/>
        <w:jc w:val="left"/>
        <w:rPr>
          <w:rFonts w:hint="eastAsia" w:ascii="宋体"/>
          <w:szCs w:val="21"/>
        </w:rPr>
      </w:pPr>
      <w:r>
        <w:rPr>
          <w:rFonts w:hint="eastAsia" w:ascii="宋体"/>
          <w:szCs w:val="21"/>
        </w:rPr>
        <w:t xml:space="preserve">（1）投标函（格式见第六章）； </w:t>
      </w:r>
    </w:p>
    <w:p w14:paraId="2AA07493">
      <w:pPr>
        <w:snapToGrid w:val="0"/>
        <w:spacing w:line="370" w:lineRule="exact"/>
        <w:ind w:firstLine="420" w:firstLineChars="200"/>
        <w:jc w:val="left"/>
        <w:rPr>
          <w:rFonts w:hint="eastAsia" w:ascii="宋体"/>
          <w:szCs w:val="21"/>
        </w:rPr>
      </w:pPr>
      <w:r>
        <w:rPr>
          <w:rFonts w:hint="eastAsia" w:ascii="宋体"/>
          <w:szCs w:val="21"/>
        </w:rPr>
        <w:t>（2）投标报价明细表（格式见第六章）；</w:t>
      </w:r>
    </w:p>
    <w:p w14:paraId="48C95718">
      <w:pPr>
        <w:snapToGrid w:val="0"/>
        <w:spacing w:line="370" w:lineRule="exact"/>
        <w:ind w:firstLine="420" w:firstLineChars="200"/>
        <w:jc w:val="left"/>
        <w:rPr>
          <w:rFonts w:hint="eastAsia" w:ascii="宋体"/>
          <w:szCs w:val="21"/>
        </w:rPr>
      </w:pPr>
      <w:r>
        <w:rPr>
          <w:rFonts w:hint="eastAsia" w:ascii="宋体"/>
          <w:szCs w:val="21"/>
        </w:rPr>
        <w:t>（3）投标人针对报价需要说明的其他文件和说明；（格式自拟）</w:t>
      </w:r>
    </w:p>
    <w:p w14:paraId="796FF1EB">
      <w:pPr>
        <w:snapToGrid w:val="0"/>
        <w:spacing w:line="370" w:lineRule="exact"/>
        <w:ind w:firstLine="420" w:firstLineChars="200"/>
        <w:jc w:val="left"/>
        <w:rPr>
          <w:rFonts w:hint="eastAsia" w:ascii="宋体"/>
          <w:szCs w:val="21"/>
        </w:rPr>
      </w:pPr>
      <w:r>
        <w:rPr>
          <w:rFonts w:hint="eastAsia" w:ascii="宋体"/>
          <w:szCs w:val="21"/>
        </w:rPr>
        <w:t>（4）开标一览表（格式见第六章）。</w:t>
      </w:r>
    </w:p>
    <w:p w14:paraId="29A7BC24">
      <w:pPr>
        <w:tabs>
          <w:tab w:val="left" w:pos="3870"/>
          <w:tab w:val="left" w:pos="4085"/>
        </w:tabs>
        <w:snapToGrid w:val="0"/>
        <w:spacing w:line="370" w:lineRule="exact"/>
        <w:ind w:firstLine="420" w:firstLineChars="200"/>
        <w:jc w:val="left"/>
        <w:rPr>
          <w:rFonts w:hint="eastAsia" w:ascii="宋体"/>
          <w:szCs w:val="21"/>
        </w:rPr>
      </w:pPr>
      <w:r>
        <w:rPr>
          <w:rFonts w:hint="eastAsia" w:ascii="宋体"/>
          <w:szCs w:val="21"/>
        </w:rPr>
        <w:t>▲</w:t>
      </w:r>
      <w:r>
        <w:rPr>
          <w:rFonts w:hint="eastAsia" w:ascii="宋体"/>
          <w:b/>
          <w:bCs/>
          <w:szCs w:val="21"/>
        </w:rPr>
        <w:t>注：法定代表人(负责人)授权委托书、投标声明书、投标函、开标一览表必须按照招标文件格式要求签署和加盖单位公章，否则作投标无效处理。</w:t>
      </w:r>
    </w:p>
    <w:p w14:paraId="7321DC81">
      <w:pPr>
        <w:snapToGrid w:val="0"/>
        <w:spacing w:before="50" w:afterLines="50" w:line="360" w:lineRule="exact"/>
        <w:jc w:val="left"/>
        <w:outlineLvl w:val="0"/>
        <w:rPr>
          <w:rFonts w:hint="eastAsia" w:ascii="宋体" w:hAnsi="宋体"/>
          <w:szCs w:val="21"/>
        </w:rPr>
      </w:pPr>
    </w:p>
    <w:p w14:paraId="6B105D3E">
      <w:pPr>
        <w:snapToGrid w:val="0"/>
        <w:spacing w:before="50" w:afterLines="50" w:line="360" w:lineRule="exact"/>
        <w:jc w:val="center"/>
        <w:outlineLvl w:val="1"/>
        <w:rPr>
          <w:rFonts w:hint="eastAsia" w:ascii="宋体" w:hAnsi="宋体"/>
          <w:b/>
          <w:szCs w:val="21"/>
        </w:rPr>
      </w:pPr>
      <w:r>
        <w:rPr>
          <w:rFonts w:ascii="宋体" w:hAnsi="宋体"/>
          <w:b/>
          <w:szCs w:val="21"/>
        </w:rPr>
        <w:br w:type="page"/>
      </w:r>
      <w:r>
        <w:rPr>
          <w:rFonts w:hint="eastAsia" w:ascii="宋体" w:hAnsi="宋体"/>
          <w:b/>
          <w:szCs w:val="21"/>
        </w:rPr>
        <w:t>三、投标文件格式</w:t>
      </w:r>
    </w:p>
    <w:p w14:paraId="217D95CC">
      <w:pPr>
        <w:snapToGrid w:val="0"/>
        <w:spacing w:before="50" w:afterLines="50" w:line="360" w:lineRule="exact"/>
        <w:jc w:val="left"/>
        <w:outlineLvl w:val="2"/>
        <w:rPr>
          <w:rFonts w:hint="eastAsia" w:ascii="宋体" w:hAnsi="宋体"/>
          <w:b/>
          <w:bCs/>
          <w:szCs w:val="21"/>
        </w:rPr>
      </w:pPr>
      <w:r>
        <w:rPr>
          <w:rFonts w:hint="eastAsia" w:ascii="宋体" w:hAnsi="宋体"/>
          <w:b/>
          <w:szCs w:val="21"/>
        </w:rPr>
        <w:t>一）</w:t>
      </w:r>
      <w:r>
        <w:rPr>
          <w:rFonts w:hint="eastAsia" w:ascii="宋体" w:hAnsi="宋体"/>
          <w:b/>
          <w:bCs/>
          <w:szCs w:val="21"/>
        </w:rPr>
        <w:t>资格文件部分（格式）</w:t>
      </w:r>
    </w:p>
    <w:p w14:paraId="2D4195B9">
      <w:pPr>
        <w:snapToGrid w:val="0"/>
        <w:spacing w:line="360" w:lineRule="exact"/>
        <w:ind w:firstLine="210" w:firstLineChars="100"/>
        <w:jc w:val="left"/>
        <w:rPr>
          <w:rFonts w:hint="eastAsia" w:ascii="宋体" w:hAnsi="宋体"/>
          <w:szCs w:val="21"/>
        </w:rPr>
      </w:pPr>
      <w:r>
        <w:rPr>
          <w:rFonts w:hint="eastAsia" w:ascii="宋体" w:hAnsi="宋体"/>
          <w:szCs w:val="21"/>
        </w:rPr>
        <w:t>（1）有效的主体资格证明文件；</w:t>
      </w:r>
    </w:p>
    <w:p w14:paraId="252E8771">
      <w:pPr>
        <w:snapToGrid w:val="0"/>
        <w:spacing w:line="360" w:lineRule="exact"/>
        <w:ind w:firstLine="210" w:firstLineChars="100"/>
        <w:jc w:val="left"/>
        <w:rPr>
          <w:rFonts w:hint="eastAsia" w:ascii="宋体" w:hAnsi="宋体"/>
          <w:b/>
          <w:szCs w:val="21"/>
        </w:rPr>
      </w:pPr>
      <w:r>
        <w:rPr>
          <w:rFonts w:hint="eastAsia" w:ascii="宋体" w:hAnsi="宋体"/>
          <w:b/>
          <w:szCs w:val="21"/>
        </w:rPr>
        <w:t xml:space="preserve"> </w:t>
      </w:r>
      <w:r>
        <w:rPr>
          <w:rFonts w:hint="eastAsia" w:ascii="宋体" w:hAnsi="宋体"/>
          <w:szCs w:val="21"/>
        </w:rPr>
        <w:t>投标人有效的“主体资格证明文件”（如营业执照、事业单位法人证书、执业许可证、自然人身份证等）复印件，同时要加盖单位公章；</w:t>
      </w:r>
      <w:r>
        <w:rPr>
          <w:rFonts w:hint="eastAsia" w:ascii="宋体" w:hAnsi="宋体"/>
          <w:b/>
          <w:szCs w:val="21"/>
        </w:rPr>
        <w:t>（必须提供）</w:t>
      </w:r>
    </w:p>
    <w:p w14:paraId="6390C4B7">
      <w:pPr>
        <w:snapToGrid w:val="0"/>
        <w:spacing w:line="360" w:lineRule="exact"/>
        <w:ind w:firstLine="210" w:firstLineChars="100"/>
        <w:jc w:val="left"/>
        <w:rPr>
          <w:rFonts w:hint="eastAsia" w:ascii="宋体" w:hAnsi="宋体"/>
          <w:b/>
          <w:szCs w:val="21"/>
        </w:rPr>
      </w:pPr>
    </w:p>
    <w:p w14:paraId="522EB9D1">
      <w:pPr>
        <w:snapToGrid w:val="0"/>
        <w:spacing w:line="360" w:lineRule="exact"/>
        <w:ind w:firstLine="210" w:firstLineChars="100"/>
        <w:jc w:val="left"/>
        <w:rPr>
          <w:rFonts w:hint="eastAsia" w:ascii="宋体" w:hAnsi="宋体"/>
          <w:b/>
          <w:szCs w:val="21"/>
        </w:rPr>
      </w:pPr>
      <w:r>
        <w:rPr>
          <w:rFonts w:hint="eastAsia" w:ascii="宋体" w:hAnsi="宋体"/>
          <w:szCs w:val="21"/>
        </w:rPr>
        <w:t>（2）投标截止之日前一年内投标人连续三个月的依法缴纳税费或依法免缴税费的证明；无纳税记录的，应提供由投标人所在地的税务部门出具的《依法纳税或依法免税证明》。</w:t>
      </w:r>
      <w:r>
        <w:rPr>
          <w:rFonts w:hint="eastAsia" w:ascii="宋体" w:hAnsi="宋体"/>
          <w:b/>
          <w:szCs w:val="21"/>
        </w:rPr>
        <w:t>（必须提供，新成立单位按实际提供）</w:t>
      </w:r>
    </w:p>
    <w:p w14:paraId="2731B760">
      <w:pPr>
        <w:snapToGrid w:val="0"/>
        <w:spacing w:line="360" w:lineRule="exact"/>
        <w:ind w:firstLine="210" w:firstLineChars="100"/>
        <w:jc w:val="left"/>
        <w:rPr>
          <w:rFonts w:ascii="宋体" w:hAnsi="宋体"/>
          <w:szCs w:val="21"/>
        </w:rPr>
      </w:pPr>
    </w:p>
    <w:p w14:paraId="3A1ABD3A">
      <w:pPr>
        <w:snapToGrid w:val="0"/>
        <w:spacing w:line="360" w:lineRule="exact"/>
        <w:ind w:firstLine="210" w:firstLineChars="100"/>
        <w:jc w:val="left"/>
        <w:rPr>
          <w:rFonts w:hint="eastAsia" w:ascii="宋体" w:hAnsi="宋体"/>
          <w:b/>
          <w:szCs w:val="21"/>
        </w:rPr>
      </w:pPr>
      <w:r>
        <w:rPr>
          <w:rFonts w:hint="eastAsia" w:ascii="宋体" w:hAnsi="宋体"/>
          <w:szCs w:val="21"/>
        </w:rPr>
        <w:t>（3）投标截止之日前一年内投标人连续三个月的依法缴纳社保费的缴费凭证；无缴费记录的，应提供由投标人所在地社保等相关部门出具的《依法缴纳或依法免缴社保费证明》。</w:t>
      </w:r>
      <w:r>
        <w:rPr>
          <w:rFonts w:hint="eastAsia" w:ascii="宋体" w:hAnsi="宋体"/>
          <w:b/>
          <w:szCs w:val="21"/>
        </w:rPr>
        <w:t>（必须提供，新成立单位按实际提供）</w:t>
      </w:r>
    </w:p>
    <w:p w14:paraId="51DBEA09">
      <w:pPr>
        <w:snapToGrid w:val="0"/>
        <w:spacing w:line="360" w:lineRule="exact"/>
        <w:ind w:firstLine="210" w:firstLineChars="100"/>
        <w:jc w:val="left"/>
        <w:rPr>
          <w:rFonts w:hint="eastAsia" w:ascii="宋体" w:hAnsi="宋体"/>
          <w:szCs w:val="21"/>
        </w:rPr>
      </w:pPr>
    </w:p>
    <w:p w14:paraId="2D0C03B9">
      <w:pPr>
        <w:snapToGrid w:val="0"/>
        <w:spacing w:line="360" w:lineRule="exact"/>
        <w:ind w:firstLine="210" w:firstLineChars="100"/>
        <w:jc w:val="left"/>
        <w:rPr>
          <w:rFonts w:hint="eastAsia" w:ascii="宋体" w:hAnsi="宋体"/>
          <w:b/>
          <w:szCs w:val="21"/>
        </w:rPr>
      </w:pPr>
      <w:r>
        <w:rPr>
          <w:rFonts w:hint="eastAsia" w:ascii="宋体" w:hAnsi="宋体"/>
          <w:szCs w:val="21"/>
        </w:rPr>
        <w:t>（4）</w:t>
      </w:r>
      <w:r>
        <w:rPr>
          <w:rFonts w:ascii="宋体" w:hAnsi="宋体"/>
          <w:szCs w:val="21"/>
        </w:rPr>
        <w:t>财务状况报告</w:t>
      </w:r>
      <w:r>
        <w:rPr>
          <w:rFonts w:hint="eastAsia" w:ascii="宋体" w:hAnsi="宋体"/>
          <w:szCs w:val="21"/>
        </w:rPr>
        <w:t>。（</w:t>
      </w:r>
      <w:r>
        <w:rPr>
          <w:rFonts w:ascii="宋体" w:hAnsi="宋体"/>
          <w:szCs w:val="21"/>
          <w:u w:val="single"/>
        </w:rPr>
        <w:t>2024</w:t>
      </w:r>
      <w:r>
        <w:rPr>
          <w:rFonts w:hint="eastAsia" w:ascii="宋体" w:hAnsi="宋体"/>
          <w:szCs w:val="21"/>
        </w:rPr>
        <w:t>年度财务报表复印件，或者银行出具的资信证明，或者中国人民银行征信中心出具的信用报告（企业投标的提供企业信用报告，自然人投标的提供个人信用报告</w:t>
      </w:r>
      <w:r>
        <w:rPr>
          <w:rFonts w:hint="eastAsia" w:ascii="宋体" w:hAnsi="宋体"/>
        </w:rPr>
        <w:t>，投标人</w:t>
      </w:r>
      <w:r>
        <w:rPr>
          <w:rFonts w:ascii="宋体" w:hAnsi="宋体"/>
        </w:rPr>
        <w:t>属于成立时间在规定年度之后的法人或其他组织</w:t>
      </w:r>
      <w:r>
        <w:rPr>
          <w:rFonts w:hint="eastAsia" w:ascii="宋体" w:hAnsi="宋体"/>
        </w:rPr>
        <w:t>，需提供成立之日起至投标截止时间前的月报表</w:t>
      </w:r>
      <w:r>
        <w:rPr>
          <w:rFonts w:hint="eastAsia" w:ascii="宋体" w:hAnsi="宋体"/>
          <w:szCs w:val="21"/>
        </w:rPr>
        <w:t>或银行出具的资信证明或者中国人民银行征信中心出具的企业信用报告；资信证明应在有效期内，未注明有效期的，银行出具时间至投标截止时间不超过一年）</w:t>
      </w:r>
      <w:r>
        <w:rPr>
          <w:rFonts w:hint="eastAsia" w:ascii="宋体" w:hAnsi="宋体"/>
          <w:b/>
          <w:szCs w:val="21"/>
        </w:rPr>
        <w:t>（格式自拟，必须提供）</w:t>
      </w:r>
    </w:p>
    <w:p w14:paraId="64527188">
      <w:pPr>
        <w:snapToGrid w:val="0"/>
        <w:spacing w:line="360" w:lineRule="exact"/>
        <w:ind w:firstLine="210" w:firstLineChars="100"/>
        <w:jc w:val="left"/>
        <w:rPr>
          <w:rFonts w:hint="eastAsia" w:ascii="宋体" w:hAnsi="宋体"/>
          <w:b/>
          <w:szCs w:val="21"/>
        </w:rPr>
      </w:pPr>
    </w:p>
    <w:p w14:paraId="43AC7AF4">
      <w:pPr>
        <w:snapToGrid w:val="0"/>
        <w:spacing w:line="360" w:lineRule="exact"/>
        <w:ind w:firstLine="210" w:firstLineChars="100"/>
        <w:jc w:val="left"/>
        <w:rPr>
          <w:rFonts w:hint="eastAsia" w:ascii="宋体" w:hAnsi="宋体"/>
          <w:b/>
          <w:szCs w:val="21"/>
        </w:rPr>
      </w:pPr>
      <w:r>
        <w:rPr>
          <w:rFonts w:hint="eastAsia" w:ascii="宋体" w:hAnsi="宋体"/>
          <w:szCs w:val="21"/>
        </w:rPr>
        <w:t>（5）</w:t>
      </w:r>
      <w:r>
        <w:rPr>
          <w:rFonts w:ascii="宋体" w:hAnsi="宋体"/>
          <w:szCs w:val="21"/>
        </w:rPr>
        <w:t>具备履行合同所必需的设备和专业技术能力的证明材料</w:t>
      </w:r>
      <w:r>
        <w:rPr>
          <w:rFonts w:hint="eastAsia" w:ascii="宋体" w:hAnsi="宋体"/>
          <w:szCs w:val="21"/>
        </w:rPr>
        <w:t>。</w:t>
      </w:r>
      <w:r>
        <w:rPr>
          <w:rFonts w:hint="eastAsia" w:ascii="宋体" w:hAnsi="宋体"/>
          <w:b/>
          <w:szCs w:val="21"/>
        </w:rPr>
        <w:t>（内容、格式自拟，必须提供）</w:t>
      </w:r>
    </w:p>
    <w:p w14:paraId="284F14EE">
      <w:pPr>
        <w:snapToGrid w:val="0"/>
        <w:spacing w:line="360" w:lineRule="exact"/>
        <w:ind w:firstLine="210" w:firstLineChars="100"/>
        <w:jc w:val="left"/>
        <w:rPr>
          <w:rFonts w:hint="eastAsia" w:ascii="宋体" w:hAnsi="宋体"/>
          <w:b/>
          <w:szCs w:val="21"/>
        </w:rPr>
      </w:pPr>
    </w:p>
    <w:p w14:paraId="2A21948B">
      <w:pPr>
        <w:snapToGrid w:val="0"/>
        <w:spacing w:line="360" w:lineRule="exact"/>
        <w:ind w:firstLine="210" w:firstLineChars="100"/>
        <w:jc w:val="left"/>
        <w:rPr>
          <w:rFonts w:hint="eastAsia" w:ascii="宋体" w:hAnsi="宋体"/>
          <w:szCs w:val="21"/>
        </w:rPr>
      </w:pPr>
      <w:r>
        <w:rPr>
          <w:rFonts w:hint="eastAsia" w:ascii="宋体" w:hAnsi="宋体"/>
          <w:szCs w:val="21"/>
        </w:rPr>
        <w:t>（6）参加政府采购活动前三年内在经营活动中没有重大违法记录和不良信用记录的书面声明。（</w:t>
      </w:r>
      <w:r>
        <w:rPr>
          <w:rFonts w:hint="eastAsia" w:ascii="宋体" w:hAnsi="宋体"/>
          <w:b/>
          <w:szCs w:val="21"/>
        </w:rPr>
        <w:t>格式自拟，必须提供</w:t>
      </w:r>
      <w:r>
        <w:rPr>
          <w:rFonts w:hint="eastAsia" w:ascii="宋体" w:hAnsi="宋体"/>
          <w:szCs w:val="21"/>
        </w:rPr>
        <w:t>）</w:t>
      </w:r>
    </w:p>
    <w:p w14:paraId="2E8EB4AF">
      <w:pPr>
        <w:snapToGrid w:val="0"/>
        <w:spacing w:line="360" w:lineRule="exact"/>
        <w:ind w:firstLine="210" w:firstLineChars="100"/>
        <w:jc w:val="left"/>
        <w:rPr>
          <w:rFonts w:hint="eastAsia" w:ascii="宋体" w:hAnsi="宋体"/>
          <w:szCs w:val="21"/>
        </w:rPr>
      </w:pPr>
    </w:p>
    <w:p w14:paraId="0F29B99F">
      <w:pPr>
        <w:snapToGrid w:val="0"/>
        <w:spacing w:line="360" w:lineRule="exact"/>
        <w:ind w:firstLine="210" w:firstLineChars="100"/>
        <w:jc w:val="left"/>
        <w:rPr>
          <w:rFonts w:hint="eastAsia" w:ascii="宋体" w:hAnsi="宋体"/>
          <w:b/>
          <w:szCs w:val="21"/>
        </w:rPr>
      </w:pPr>
      <w:r>
        <w:rPr>
          <w:rFonts w:hint="eastAsia" w:ascii="宋体" w:hAnsi="宋体"/>
          <w:b/>
          <w:szCs w:val="21"/>
        </w:rPr>
        <w:t>注：采购人或采购代理机构在资格审查结束前对供应商进行信用查询</w:t>
      </w:r>
    </w:p>
    <w:p w14:paraId="385F9D8C">
      <w:pPr>
        <w:snapToGrid w:val="0"/>
        <w:spacing w:line="360" w:lineRule="exact"/>
        <w:ind w:firstLine="210" w:firstLineChars="100"/>
        <w:jc w:val="left"/>
        <w:rPr>
          <w:rFonts w:hint="eastAsia" w:ascii="宋体" w:hAnsi="宋体"/>
          <w:b/>
          <w:szCs w:val="21"/>
        </w:rPr>
      </w:pPr>
      <w:r>
        <w:rPr>
          <w:rFonts w:hint="eastAsia" w:ascii="宋体" w:hAnsi="宋体"/>
          <w:b/>
          <w:szCs w:val="21"/>
        </w:rPr>
        <w:t>查询渠道：“信用中国”网站(www.creditchina.gov.cn) 、中国政府采购网(www.ccgp.gov.cn)</w:t>
      </w:r>
    </w:p>
    <w:p w14:paraId="675E9DC8">
      <w:pPr>
        <w:snapToGrid w:val="0"/>
        <w:spacing w:line="360" w:lineRule="exact"/>
        <w:ind w:firstLine="210" w:firstLineChars="100"/>
        <w:jc w:val="left"/>
        <w:rPr>
          <w:rFonts w:hint="eastAsia" w:ascii="宋体" w:hAnsi="宋体"/>
          <w:b/>
          <w:szCs w:val="21"/>
        </w:rPr>
      </w:pPr>
      <w:r>
        <w:rPr>
          <w:rFonts w:hint="eastAsia" w:ascii="宋体" w:hAnsi="宋体"/>
          <w:b/>
          <w:szCs w:val="21"/>
        </w:rPr>
        <w:t>查询截止时间：资格审查结束前。</w:t>
      </w:r>
    </w:p>
    <w:p w14:paraId="06BEC05D">
      <w:pPr>
        <w:snapToGrid w:val="0"/>
        <w:spacing w:line="360" w:lineRule="exact"/>
        <w:ind w:firstLine="210" w:firstLineChars="100"/>
        <w:jc w:val="left"/>
        <w:rPr>
          <w:rFonts w:hint="eastAsia" w:ascii="宋体" w:hAnsi="宋体"/>
          <w:b/>
          <w:szCs w:val="21"/>
        </w:rPr>
      </w:pPr>
      <w:r>
        <w:rPr>
          <w:rFonts w:hint="eastAsia" w:ascii="宋体" w:hAnsi="宋体"/>
          <w:b/>
          <w:szCs w:val="21"/>
        </w:rPr>
        <w:t>查询记录和证据留存方式：在查询网站中直接打印查询记录，打印材料作为评审资料保存。</w:t>
      </w:r>
    </w:p>
    <w:p w14:paraId="2F99ABA6">
      <w:pPr>
        <w:snapToGrid w:val="0"/>
        <w:spacing w:line="360" w:lineRule="exact"/>
        <w:ind w:firstLine="210" w:firstLineChars="100"/>
        <w:jc w:val="left"/>
        <w:rPr>
          <w:rFonts w:hint="eastAsia" w:ascii="宋体" w:cs="宋体"/>
          <w:b/>
          <w:kern w:val="0"/>
          <w:szCs w:val="21"/>
        </w:rPr>
      </w:pPr>
      <w:r>
        <w:rPr>
          <w:rFonts w:hint="eastAsia" w:ascii="宋体" w:hAnsi="宋体"/>
          <w:b/>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58AA8496">
      <w:pPr>
        <w:snapToGrid w:val="0"/>
        <w:spacing w:before="50" w:afterLines="50" w:line="360" w:lineRule="exact"/>
        <w:jc w:val="left"/>
        <w:outlineLvl w:val="0"/>
        <w:rPr>
          <w:rFonts w:hint="eastAsia" w:ascii="宋体" w:cs="宋体"/>
          <w:kern w:val="0"/>
          <w:szCs w:val="21"/>
        </w:rPr>
      </w:pPr>
    </w:p>
    <w:p w14:paraId="4618C26D">
      <w:pPr>
        <w:snapToGrid w:val="0"/>
        <w:spacing w:before="50" w:afterLines="50" w:line="360" w:lineRule="exact"/>
        <w:jc w:val="left"/>
        <w:outlineLvl w:val="0"/>
        <w:rPr>
          <w:rFonts w:hint="eastAsia" w:ascii="宋体" w:hAnsi="宋体"/>
          <w:szCs w:val="21"/>
        </w:rPr>
      </w:pPr>
    </w:p>
    <w:p w14:paraId="4E2A66A7">
      <w:pPr>
        <w:spacing w:line="360" w:lineRule="exact"/>
        <w:outlineLvl w:val="2"/>
        <w:rPr>
          <w:rFonts w:hint="eastAsia"/>
          <w:b/>
        </w:rPr>
      </w:pPr>
      <w:r>
        <w:rPr>
          <w:b/>
        </w:rPr>
        <w:br w:type="page"/>
      </w:r>
      <w:r>
        <w:rPr>
          <w:rFonts w:hint="eastAsia"/>
          <w:b/>
        </w:rPr>
        <w:t>二）商务技术文件部分（格式）</w:t>
      </w:r>
    </w:p>
    <w:p w14:paraId="47759D44">
      <w:pPr>
        <w:spacing w:line="360" w:lineRule="exact"/>
        <w:rPr>
          <w:rFonts w:hint="eastAsia" w:ascii="宋体" w:hAnsi="宋体"/>
          <w:b/>
        </w:rPr>
      </w:pPr>
      <w:r>
        <w:rPr>
          <w:rFonts w:hint="eastAsia" w:ascii="宋体" w:hAnsi="宋体"/>
          <w:b/>
        </w:rPr>
        <w:t>1.商务文件：</w:t>
      </w:r>
    </w:p>
    <w:p w14:paraId="334F7787">
      <w:pPr>
        <w:spacing w:line="360" w:lineRule="exact"/>
        <w:rPr>
          <w:rFonts w:hint="eastAsia" w:ascii="宋体" w:hAnsi="宋体"/>
          <w:b/>
        </w:rPr>
      </w:pPr>
    </w:p>
    <w:p w14:paraId="1C40343F">
      <w:pPr>
        <w:spacing w:line="360" w:lineRule="exact"/>
        <w:rPr>
          <w:rFonts w:hint="eastAsia"/>
        </w:rPr>
      </w:pPr>
      <w:r>
        <w:rPr>
          <w:rFonts w:hint="eastAsia"/>
        </w:rPr>
        <w:t xml:space="preserve">    （1）</w:t>
      </w:r>
      <w:r>
        <w:rPr>
          <w:rFonts w:hint="eastAsia" w:ascii="宋体" w:hAnsi="宋体"/>
          <w:szCs w:val="21"/>
        </w:rPr>
        <w:t>投标保证金的提交凭证</w:t>
      </w:r>
      <w:r>
        <w:rPr>
          <w:rFonts w:hint="eastAsia" w:ascii="宋体" w:cs="宋体"/>
          <w:kern w:val="0"/>
          <w:szCs w:val="21"/>
        </w:rPr>
        <w:t>；</w:t>
      </w:r>
      <w:r>
        <w:rPr>
          <w:rFonts w:hint="eastAsia" w:ascii="宋体" w:cs="宋体"/>
          <w:b/>
          <w:kern w:val="0"/>
          <w:szCs w:val="21"/>
        </w:rPr>
        <w:t>（必须提供）</w:t>
      </w:r>
    </w:p>
    <w:p w14:paraId="3598D3FC">
      <w:pPr>
        <w:spacing w:line="360" w:lineRule="exact"/>
        <w:rPr>
          <w:rFonts w:hint="eastAsia"/>
        </w:rPr>
      </w:pPr>
    </w:p>
    <w:p w14:paraId="41BD81D1">
      <w:pPr>
        <w:spacing w:line="360" w:lineRule="exact"/>
        <w:rPr>
          <w:rFonts w:hint="eastAsia"/>
        </w:rPr>
      </w:pPr>
      <w:r>
        <w:rPr>
          <w:rFonts w:hint="eastAsia"/>
        </w:rPr>
        <w:t xml:space="preserve">    （2）投标声明书格式：</w:t>
      </w:r>
    </w:p>
    <w:p w14:paraId="1CCB1185">
      <w:pPr>
        <w:snapToGrid w:val="0"/>
        <w:spacing w:beforeLines="50" w:after="50" w:line="360" w:lineRule="exact"/>
        <w:jc w:val="center"/>
        <w:rPr>
          <w:rFonts w:hint="eastAsia" w:ascii="宋体"/>
          <w:b/>
          <w:sz w:val="30"/>
          <w:szCs w:val="30"/>
        </w:rPr>
      </w:pPr>
      <w:r>
        <w:rPr>
          <w:rFonts w:hint="eastAsia" w:ascii="宋体"/>
          <w:b/>
          <w:sz w:val="30"/>
          <w:szCs w:val="30"/>
        </w:rPr>
        <w:t>投标声明书</w:t>
      </w:r>
    </w:p>
    <w:p w14:paraId="42FC3458">
      <w:pPr>
        <w:spacing w:line="400" w:lineRule="exact"/>
        <w:rPr>
          <w:rFonts w:hint="eastAsia"/>
        </w:rPr>
      </w:pPr>
      <w:r>
        <w:rPr>
          <w:rFonts w:hint="eastAsia"/>
        </w:rPr>
        <w:t>致：</w:t>
      </w:r>
      <w:r>
        <w:rPr>
          <w:rFonts w:hint="eastAsia"/>
          <w:u w:val="single"/>
        </w:rPr>
        <w:t xml:space="preserve"> 广西国力招标有限公司 </w:t>
      </w:r>
    </w:p>
    <w:p w14:paraId="4C75CB79">
      <w:pPr>
        <w:spacing w:line="400" w:lineRule="exact"/>
        <w:rPr>
          <w:rFonts w:hint="eastAsia"/>
        </w:rPr>
      </w:pPr>
      <w:r>
        <w:rPr>
          <w:rFonts w:hint="eastAsia"/>
        </w:rPr>
        <w:t xml:space="preserve">    </w:t>
      </w:r>
      <w:r>
        <w:rPr>
          <w:rFonts w:hint="eastAsia"/>
          <w:u w:val="single"/>
        </w:rPr>
        <w:t xml:space="preserve">                </w:t>
      </w:r>
      <w:r>
        <w:rPr>
          <w:rFonts w:hint="eastAsia"/>
        </w:rPr>
        <w:t>（投标人名称）系中华人民共和国合法企业，经营地址</w:t>
      </w:r>
      <w:r>
        <w:rPr>
          <w:rFonts w:hint="eastAsia"/>
          <w:u w:val="single"/>
        </w:rPr>
        <w:t xml:space="preserve">                               </w:t>
      </w:r>
      <w:r>
        <w:rPr>
          <w:rFonts w:hint="eastAsia"/>
        </w:rPr>
        <w:t>。</w:t>
      </w:r>
    </w:p>
    <w:p w14:paraId="41353BC6">
      <w:pPr>
        <w:spacing w:line="400" w:lineRule="exact"/>
        <w:rPr>
          <w:rFonts w:hint="eastAsia"/>
        </w:rPr>
      </w:pPr>
      <w:r>
        <w:rPr>
          <w:rFonts w:hint="eastAsia"/>
        </w:rPr>
        <w:t xml:space="preserve">    我</w:t>
      </w:r>
      <w:r>
        <w:rPr>
          <w:rFonts w:hint="eastAsia"/>
          <w:u w:val="single"/>
        </w:rPr>
        <w:t xml:space="preserve">           </w:t>
      </w:r>
      <w:r>
        <w:rPr>
          <w:rFonts w:hint="eastAsia"/>
        </w:rPr>
        <w:t>（姓名）系</w:t>
      </w:r>
      <w:r>
        <w:rPr>
          <w:rFonts w:hint="eastAsia"/>
          <w:u w:val="single"/>
        </w:rPr>
        <w:t xml:space="preserve">                    </w:t>
      </w:r>
      <w:r>
        <w:rPr>
          <w:rFonts w:hint="eastAsia"/>
        </w:rPr>
        <w:t>（投标人名称）的法定代表人（负责人），我方愿意参加贵方组织的</w:t>
      </w:r>
      <w:r>
        <w:rPr>
          <w:rFonts w:hint="eastAsia"/>
          <w:u w:val="single"/>
        </w:rPr>
        <w:t xml:space="preserve">                     </w:t>
      </w:r>
      <w:r>
        <w:rPr>
          <w:rFonts w:hint="eastAsia"/>
        </w:rPr>
        <w:t>项目的投标，为便于贵方公正、择优地确定中标人及其服务，我方就本次投标有关事项郑重声明如下：</w:t>
      </w:r>
    </w:p>
    <w:p w14:paraId="69508E7A">
      <w:pPr>
        <w:spacing w:line="400" w:lineRule="exact"/>
        <w:rPr>
          <w:rFonts w:hint="eastAsia"/>
        </w:rPr>
      </w:pPr>
      <w:r>
        <w:rPr>
          <w:rFonts w:hint="eastAsia"/>
        </w:rPr>
        <w:t xml:space="preserve">    1.我方向贵方提交的所有投标文件、资料都是准确的和真实的。</w:t>
      </w:r>
    </w:p>
    <w:p w14:paraId="2D2AFFB5">
      <w:pPr>
        <w:spacing w:line="400" w:lineRule="exact"/>
        <w:rPr>
          <w:rFonts w:hint="eastAsia"/>
        </w:rPr>
      </w:pPr>
      <w:r>
        <w:rPr>
          <w:rFonts w:hint="eastAsia"/>
        </w:rPr>
        <w:t xml:space="preserve">    2.我方在获知本项目采购信息后，与采购人聘请的为此项目提供咨询服务的公司及其附属机构没有任何联系。</w:t>
      </w:r>
    </w:p>
    <w:p w14:paraId="78CD8A71">
      <w:pPr>
        <w:spacing w:line="400" w:lineRule="exact"/>
        <w:rPr>
          <w:rFonts w:hint="eastAsia"/>
        </w:rPr>
      </w:pPr>
      <w:r>
        <w:rPr>
          <w:rFonts w:hint="eastAsia"/>
        </w:rPr>
        <w:t xml:space="preserve">    3.我方此次向贵方提供的服务名称为：</w:t>
      </w:r>
      <w:r>
        <w:rPr>
          <w:rFonts w:hint="eastAsia"/>
          <w:u w:val="single"/>
        </w:rPr>
        <w:t xml:space="preserve">                            </w:t>
      </w:r>
      <w:r>
        <w:rPr>
          <w:rFonts w:hint="eastAsia"/>
        </w:rPr>
        <w:t>。</w:t>
      </w:r>
    </w:p>
    <w:p w14:paraId="6929727E">
      <w:pPr>
        <w:spacing w:line="400" w:lineRule="exact"/>
        <w:rPr>
          <w:rFonts w:hint="eastAsia"/>
        </w:rPr>
      </w:pPr>
      <w:r>
        <w:rPr>
          <w:rFonts w:hint="eastAsia"/>
        </w:rPr>
        <w:t xml:space="preserve">    4.我方诚意提请贵方关注：近期有关该服务等方面的重大决策和事项有：</w:t>
      </w:r>
    </w:p>
    <w:p w14:paraId="30BCB1A8">
      <w:pPr>
        <w:spacing w:line="400" w:lineRule="exact"/>
        <w:rPr>
          <w:rFonts w:hint="eastAsia"/>
          <w:u w:val="single"/>
        </w:rPr>
      </w:pPr>
      <w:r>
        <w:rPr>
          <w:rFonts w:hint="eastAsia"/>
        </w:rPr>
        <w:t>　　</w:t>
      </w:r>
      <w:r>
        <w:rPr>
          <w:rFonts w:hint="eastAsia"/>
          <w:u w:val="single"/>
        </w:rPr>
        <w:t>　　　　　　　　　　　　　　　　　　　　　　　　　</w:t>
      </w:r>
    </w:p>
    <w:p w14:paraId="044CE94E">
      <w:pPr>
        <w:spacing w:line="400" w:lineRule="exact"/>
        <w:rPr>
          <w:rFonts w:hint="eastAsia"/>
          <w:u w:val="single"/>
        </w:rPr>
      </w:pPr>
      <w:r>
        <w:rPr>
          <w:rFonts w:hint="eastAsia"/>
        </w:rPr>
        <w:t>　　</w:t>
      </w:r>
      <w:r>
        <w:rPr>
          <w:rFonts w:hint="eastAsia"/>
          <w:u w:val="single"/>
        </w:rPr>
        <w:t>　　　　　　　　　　　　　　　　　　　　　　　　　</w:t>
      </w:r>
    </w:p>
    <w:p w14:paraId="4848F7EE">
      <w:pPr>
        <w:spacing w:line="400" w:lineRule="exact"/>
        <w:rPr>
          <w:rFonts w:hint="eastAsia"/>
        </w:rPr>
      </w:pPr>
      <w:r>
        <w:rPr>
          <w:rFonts w:hint="eastAsia"/>
        </w:rPr>
        <w:t xml:space="preserve">    5.我方</w:t>
      </w:r>
      <w:r>
        <w:t>参加政府采购活动前</w:t>
      </w:r>
      <w:r>
        <w:rPr>
          <w:rFonts w:hint="eastAsia"/>
        </w:rPr>
        <w:t>三</w:t>
      </w:r>
      <w:r>
        <w:t>年内在经营活动中重大违法记录</w:t>
      </w:r>
      <w:r>
        <w:rPr>
          <w:rFonts w:hint="eastAsia"/>
        </w:rPr>
        <w:t>情况：</w:t>
      </w:r>
    </w:p>
    <w:p w14:paraId="3978A700">
      <w:pPr>
        <w:spacing w:line="400" w:lineRule="exact"/>
        <w:rPr>
          <w:rFonts w:hint="eastAsia"/>
          <w:u w:val="single"/>
        </w:rPr>
      </w:pPr>
      <w:r>
        <w:rPr>
          <w:rFonts w:hint="eastAsia"/>
        </w:rPr>
        <w:t>　　</w:t>
      </w:r>
      <w:r>
        <w:rPr>
          <w:rFonts w:hint="eastAsia"/>
          <w:u w:val="single"/>
        </w:rPr>
        <w:t>　　　　　　　　　　　　　　　　　　　　　　　　　</w:t>
      </w:r>
    </w:p>
    <w:p w14:paraId="2D4CABF5">
      <w:pPr>
        <w:spacing w:line="400" w:lineRule="exact"/>
        <w:rPr>
          <w:rFonts w:hint="eastAsia"/>
        </w:rPr>
      </w:pPr>
      <w:r>
        <w:rPr>
          <w:rFonts w:hint="eastAsia"/>
        </w:rPr>
        <w:t xml:space="preserve">    6.以上事项如有虚假或隐瞒，我方愿意承担一切后果。</w:t>
      </w:r>
    </w:p>
    <w:p w14:paraId="58623B7B">
      <w:pPr>
        <w:spacing w:line="400" w:lineRule="exact"/>
        <w:rPr>
          <w:rFonts w:hint="eastAsia"/>
        </w:rPr>
      </w:pPr>
    </w:p>
    <w:p w14:paraId="606973BC">
      <w:pPr>
        <w:spacing w:line="400" w:lineRule="exact"/>
        <w:rPr>
          <w:rFonts w:hint="eastAsia"/>
        </w:rPr>
      </w:pPr>
      <w:r>
        <w:rPr>
          <w:rFonts w:hint="eastAsia"/>
        </w:rPr>
        <w:t xml:space="preserve">                                               法定代表人（负责人）签字或盖章：</w:t>
      </w:r>
      <w:r>
        <w:rPr>
          <w:rFonts w:hint="eastAsia"/>
          <w:u w:val="single"/>
        </w:rPr>
        <w:t xml:space="preserve">             </w:t>
      </w:r>
    </w:p>
    <w:p w14:paraId="2DF57FCD">
      <w:pPr>
        <w:spacing w:line="400" w:lineRule="exact"/>
        <w:rPr>
          <w:rFonts w:hint="eastAsia"/>
        </w:rPr>
      </w:pPr>
      <w:r>
        <w:rPr>
          <w:rFonts w:hint="eastAsia"/>
        </w:rPr>
        <w:t xml:space="preserve">                                               投标人名称（</w:t>
      </w:r>
      <w:r>
        <w:rPr>
          <w:rFonts w:hint="eastAsia" w:ascii="宋体"/>
          <w:szCs w:val="21"/>
        </w:rPr>
        <w:t>盖章</w:t>
      </w:r>
      <w:r>
        <w:rPr>
          <w:rFonts w:hint="eastAsia"/>
        </w:rPr>
        <w:t>）：</w:t>
      </w:r>
      <w:r>
        <w:rPr>
          <w:rFonts w:hint="eastAsia"/>
          <w:u w:val="single"/>
        </w:rPr>
        <w:t xml:space="preserve">               </w:t>
      </w:r>
    </w:p>
    <w:p w14:paraId="107CD183">
      <w:pPr>
        <w:spacing w:line="400" w:lineRule="exact"/>
        <w:rPr>
          <w:rFonts w:hint="eastAsia"/>
        </w:rPr>
      </w:pPr>
      <w:r>
        <w:rPr>
          <w:rFonts w:hint="eastAsia"/>
        </w:rPr>
        <w:t xml:space="preserve">                                                                          年    月    日</w:t>
      </w:r>
    </w:p>
    <w:p w14:paraId="58B2925A">
      <w:pPr>
        <w:spacing w:line="400" w:lineRule="exact"/>
        <w:rPr>
          <w:rFonts w:hint="eastAsia"/>
          <w:b/>
        </w:rPr>
      </w:pPr>
    </w:p>
    <w:p w14:paraId="4C653011">
      <w:pPr>
        <w:spacing w:line="400" w:lineRule="exact"/>
        <w:rPr>
          <w:b/>
        </w:rPr>
      </w:pPr>
      <w:r>
        <w:rPr>
          <w:b/>
        </w:rPr>
        <w:t>重大违法记录，是指供应商因违法经营受到刑事处罚或者责令停产停业、吊销许可证或者执照、较大数额罚款等行政处罚。</w:t>
      </w:r>
    </w:p>
    <w:p w14:paraId="503BAA21">
      <w:pPr>
        <w:snapToGrid w:val="0"/>
        <w:spacing w:before="50" w:afterLines="50" w:line="340" w:lineRule="exact"/>
        <w:jc w:val="left"/>
        <w:rPr>
          <w:rFonts w:hint="eastAsia" w:ascii="宋体"/>
          <w:szCs w:val="21"/>
        </w:rPr>
      </w:pPr>
      <w:r>
        <w:rPr>
          <w:rFonts w:hint="eastAsia" w:ascii="宋体"/>
          <w:b/>
          <w:szCs w:val="21"/>
        </w:rPr>
        <w:br w:type="page"/>
      </w:r>
      <w:r>
        <w:rPr>
          <w:rFonts w:hint="eastAsia" w:ascii="宋体"/>
          <w:b/>
          <w:szCs w:val="21"/>
        </w:rPr>
        <w:t xml:space="preserve">    </w:t>
      </w:r>
      <w:r>
        <w:rPr>
          <w:rFonts w:hint="eastAsia" w:ascii="宋体"/>
          <w:szCs w:val="21"/>
        </w:rPr>
        <w:t>(3) 法定代表人(负责人)授权委托书格式：</w:t>
      </w:r>
    </w:p>
    <w:p w14:paraId="064B0BE6">
      <w:pPr>
        <w:snapToGrid w:val="0"/>
        <w:spacing w:beforeLines="50" w:after="50" w:line="340" w:lineRule="exact"/>
        <w:jc w:val="center"/>
        <w:rPr>
          <w:rFonts w:hint="eastAsia" w:ascii="宋体"/>
          <w:b/>
          <w:sz w:val="30"/>
          <w:szCs w:val="30"/>
        </w:rPr>
      </w:pPr>
      <w:r>
        <w:rPr>
          <w:rFonts w:hint="eastAsia" w:ascii="宋体"/>
          <w:b/>
          <w:sz w:val="30"/>
          <w:szCs w:val="30"/>
        </w:rPr>
        <w:t>法定代表人(负责人)授权委托书</w:t>
      </w:r>
    </w:p>
    <w:p w14:paraId="0BF2CBDA">
      <w:pPr>
        <w:spacing w:line="400" w:lineRule="exact"/>
        <w:rPr>
          <w:rFonts w:hint="eastAsia"/>
        </w:rPr>
      </w:pPr>
      <w:r>
        <w:rPr>
          <w:rFonts w:hint="eastAsia"/>
        </w:rPr>
        <w:t>致：</w:t>
      </w:r>
      <w:r>
        <w:rPr>
          <w:rFonts w:hint="eastAsia"/>
          <w:u w:val="single"/>
        </w:rPr>
        <w:t xml:space="preserve"> 广西国力招标有限公司 </w:t>
      </w:r>
    </w:p>
    <w:p w14:paraId="299B71BC">
      <w:pPr>
        <w:spacing w:line="400" w:lineRule="exact"/>
        <w:rPr>
          <w:rFonts w:hint="eastAsia"/>
        </w:rPr>
      </w:pPr>
      <w:r>
        <w:rPr>
          <w:rFonts w:hint="eastAsia"/>
        </w:rPr>
        <w:t xml:space="preserve">    我</w:t>
      </w:r>
      <w:r>
        <w:rPr>
          <w:rFonts w:hint="eastAsia"/>
          <w:u w:val="single"/>
        </w:rPr>
        <w:t xml:space="preserve">             </w:t>
      </w:r>
      <w:r>
        <w:rPr>
          <w:rFonts w:hint="eastAsia"/>
        </w:rPr>
        <w:t>（姓名）系</w:t>
      </w:r>
      <w:r>
        <w:rPr>
          <w:rFonts w:hint="eastAsia"/>
          <w:u w:val="single"/>
        </w:rPr>
        <w:t xml:space="preserve">                </w:t>
      </w:r>
      <w:r>
        <w:rPr>
          <w:rFonts w:hint="eastAsia"/>
        </w:rPr>
        <w:t>（投标人名称）的法定代表人（负责人），现授权委托本单位在职职工</w:t>
      </w:r>
      <w:r>
        <w:rPr>
          <w:rFonts w:hint="eastAsia"/>
          <w:u w:val="single"/>
        </w:rPr>
        <w:t xml:space="preserve">           </w:t>
      </w:r>
      <w:r>
        <w:rPr>
          <w:rFonts w:hint="eastAsia"/>
        </w:rPr>
        <w:t>（姓名）以我方的名义参加</w:t>
      </w:r>
      <w:r>
        <w:rPr>
          <w:rFonts w:hint="eastAsia"/>
          <w:u w:val="single"/>
        </w:rPr>
        <w:t xml:space="preserve">                </w:t>
      </w:r>
      <w:r>
        <w:rPr>
          <w:rFonts w:hint="eastAsia"/>
        </w:rPr>
        <w:t>项目的投标活动，并代表我方全权办理针对上述项目的投标、开标、评标、签约等具体事务和签署相关文件。</w:t>
      </w:r>
    </w:p>
    <w:p w14:paraId="5AE03F61">
      <w:pPr>
        <w:spacing w:line="400" w:lineRule="exact"/>
        <w:rPr>
          <w:rFonts w:hint="eastAsia"/>
        </w:rPr>
      </w:pPr>
      <w:r>
        <w:rPr>
          <w:rFonts w:hint="eastAsia"/>
        </w:rPr>
        <w:t xml:space="preserve">    我方对被授权人的签名事项负全部责任。</w:t>
      </w:r>
    </w:p>
    <w:p w14:paraId="07726DD0">
      <w:pPr>
        <w:spacing w:line="400" w:lineRule="exact"/>
        <w:rPr>
          <w:rFonts w:hint="eastAsia"/>
        </w:rPr>
      </w:pPr>
      <w:r>
        <w:rPr>
          <w:rFonts w:hint="eastAsia"/>
        </w:rPr>
        <w:t xml:space="preserve">    </w:t>
      </w:r>
      <w:r>
        <w:rPr>
          <w:rFonts w:hint="eastAsia"/>
          <w:u w:val="single"/>
        </w:rPr>
        <w:t>在撤销授权的书面通知以前，本授权书一直有效。</w:t>
      </w:r>
      <w:r>
        <w:rPr>
          <w:rFonts w:hint="eastAsia"/>
        </w:rPr>
        <w:t>被授权人在授权书有效期内签署的所有文件不因授权的撤销而失效。</w:t>
      </w:r>
    </w:p>
    <w:p w14:paraId="4F60378A">
      <w:pPr>
        <w:spacing w:line="400" w:lineRule="exact"/>
        <w:rPr>
          <w:rFonts w:hint="eastAsia"/>
        </w:rPr>
      </w:pPr>
      <w:r>
        <w:rPr>
          <w:rFonts w:hint="eastAsia"/>
        </w:rPr>
        <w:t xml:space="preserve">    被授权人无转委托权，特此委托。</w:t>
      </w:r>
    </w:p>
    <w:p w14:paraId="1BDAE526">
      <w:pPr>
        <w:spacing w:line="400" w:lineRule="exact"/>
        <w:rPr>
          <w:rFonts w:hint="eastAsia"/>
        </w:rPr>
      </w:pPr>
    </w:p>
    <w:p w14:paraId="231CF3D2">
      <w:pPr>
        <w:spacing w:line="400" w:lineRule="exact"/>
        <w:rPr>
          <w:rFonts w:hint="eastAsia"/>
        </w:rPr>
      </w:pPr>
      <w:r>
        <w:rPr>
          <w:rFonts w:hint="eastAsia"/>
        </w:rPr>
        <w:t>被授权人签字或盖章：</w:t>
      </w:r>
      <w:r>
        <w:rPr>
          <w:rFonts w:hint="eastAsia"/>
          <w:u w:val="single"/>
        </w:rPr>
        <w:t xml:space="preserve">            </w:t>
      </w:r>
      <w:r>
        <w:rPr>
          <w:rFonts w:hint="eastAsia"/>
        </w:rPr>
        <w:t xml:space="preserve">              法定代表人（负责人）签字或盖章：</w:t>
      </w:r>
      <w:r>
        <w:rPr>
          <w:rFonts w:hint="eastAsia"/>
          <w:u w:val="single"/>
        </w:rPr>
        <w:t xml:space="preserve">            </w:t>
      </w:r>
    </w:p>
    <w:p w14:paraId="2EA8D421">
      <w:pPr>
        <w:spacing w:line="400" w:lineRule="exact"/>
        <w:rPr>
          <w:rFonts w:hint="eastAsia"/>
          <w:u w:val="single"/>
        </w:rPr>
      </w:pPr>
      <w:r>
        <w:rPr>
          <w:rFonts w:hint="eastAsia"/>
        </w:rPr>
        <w:t>所在部门职务：</w:t>
      </w:r>
      <w:r>
        <w:rPr>
          <w:rFonts w:hint="eastAsia"/>
          <w:u w:val="single"/>
        </w:rPr>
        <w:t xml:space="preserve">                  </w:t>
      </w:r>
      <w:r>
        <w:rPr>
          <w:rFonts w:hint="eastAsia"/>
        </w:rPr>
        <w:t xml:space="preserve">              职务：</w:t>
      </w:r>
      <w:r>
        <w:rPr>
          <w:rFonts w:hint="eastAsia"/>
          <w:u w:val="single"/>
        </w:rPr>
        <w:t xml:space="preserve">               </w:t>
      </w:r>
    </w:p>
    <w:p w14:paraId="5F02B157">
      <w:pPr>
        <w:spacing w:line="400" w:lineRule="exact"/>
        <w:rPr>
          <w:rFonts w:hint="eastAsia"/>
        </w:rPr>
      </w:pPr>
      <w:r>
        <w:rPr>
          <w:rFonts w:hint="eastAsia"/>
        </w:rPr>
        <w:t>被授权人身份证号码：</w:t>
      </w:r>
      <w:r>
        <w:rPr>
          <w:rFonts w:hint="eastAsia"/>
          <w:u w:val="single"/>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5"/>
      </w:tblGrid>
      <w:tr w14:paraId="325A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5" w:type="dxa"/>
          </w:tcPr>
          <w:p w14:paraId="187DF179">
            <w:pPr>
              <w:spacing w:line="400" w:lineRule="exact"/>
              <w:rPr>
                <w:rFonts w:hint="eastAsia"/>
              </w:rPr>
            </w:pPr>
            <w:r>
              <w:rPr>
                <w:rFonts w:hint="eastAsia"/>
              </w:rPr>
              <w:t>贴附“委托代理人有效身份证复印件”（正反两面）</w:t>
            </w:r>
          </w:p>
        </w:tc>
      </w:tr>
    </w:tbl>
    <w:p w14:paraId="33D0A6FC">
      <w:pPr>
        <w:spacing w:line="400" w:lineRule="exact"/>
        <w:rPr>
          <w:rFonts w:hint="eastAsia"/>
        </w:rPr>
      </w:pPr>
      <w:r>
        <w:rPr>
          <w:rFonts w:hint="eastAsia"/>
        </w:rPr>
        <w:t xml:space="preserve">                                                      投标人名称（</w:t>
      </w:r>
      <w:r>
        <w:rPr>
          <w:rFonts w:hint="eastAsia" w:ascii="宋体"/>
          <w:szCs w:val="21"/>
        </w:rPr>
        <w:t>盖章</w:t>
      </w:r>
      <w:r>
        <w:rPr>
          <w:rFonts w:hint="eastAsia"/>
        </w:rPr>
        <w:t>）：</w:t>
      </w:r>
    </w:p>
    <w:p w14:paraId="3EA4050F">
      <w:pPr>
        <w:spacing w:line="400" w:lineRule="exact"/>
        <w:rPr>
          <w:rFonts w:hint="eastAsia"/>
        </w:rPr>
      </w:pPr>
      <w:r>
        <w:rPr>
          <w:rFonts w:hint="eastAsia"/>
        </w:rPr>
        <w:t xml:space="preserve">                                                                   年    月    日</w:t>
      </w:r>
    </w:p>
    <w:p w14:paraId="1347DE80">
      <w:pPr>
        <w:snapToGrid w:val="0"/>
        <w:spacing w:before="50" w:afterLines="50" w:line="400" w:lineRule="exact"/>
        <w:jc w:val="left"/>
        <w:rPr>
          <w:rFonts w:hint="eastAsia" w:ascii="宋体"/>
          <w:szCs w:val="21"/>
        </w:rPr>
      </w:pPr>
      <w:r>
        <w:rPr>
          <w:rFonts w:hint="eastAsia" w:ascii="宋体"/>
          <w:szCs w:val="21"/>
        </w:rPr>
        <w:t xml:space="preserve">    （4）法定代表人（负责人）身份证明书</w:t>
      </w:r>
    </w:p>
    <w:p w14:paraId="47F4EE15">
      <w:pPr>
        <w:spacing w:beforeLines="100" w:afterLines="50" w:line="400" w:lineRule="exact"/>
        <w:ind w:left="540"/>
        <w:jc w:val="center"/>
        <w:outlineLvl w:val="1"/>
        <w:rPr>
          <w:rFonts w:hint="eastAsia" w:ascii="黑体" w:eastAsia="黑体"/>
          <w:sz w:val="28"/>
          <w:szCs w:val="28"/>
        </w:rPr>
      </w:pPr>
      <w:r>
        <w:rPr>
          <w:rFonts w:hint="eastAsia" w:ascii="宋体"/>
          <w:b/>
          <w:sz w:val="32"/>
          <w:szCs w:val="32"/>
        </w:rPr>
        <w:t>法定代表人（负责人）身份证明书</w:t>
      </w:r>
    </w:p>
    <w:p w14:paraId="624A2C67">
      <w:pPr>
        <w:spacing w:line="400" w:lineRule="exact"/>
        <w:ind w:left="540"/>
        <w:outlineLvl w:val="0"/>
        <w:rPr>
          <w:rFonts w:hint="eastAsia" w:ascii="宋体"/>
          <w:sz w:val="24"/>
        </w:rPr>
      </w:pPr>
      <w:r>
        <w:rPr>
          <w:rFonts w:hint="eastAsia" w:ascii="宋体"/>
          <w:sz w:val="24"/>
        </w:rPr>
        <w:t>投 标 人：</w:t>
      </w:r>
      <w:r>
        <w:rPr>
          <w:rFonts w:hint="eastAsia" w:ascii="宋体"/>
          <w:sz w:val="24"/>
          <w:u w:val="single"/>
        </w:rPr>
        <w:t xml:space="preserve">                                                        </w:t>
      </w:r>
    </w:p>
    <w:p w14:paraId="3B14D8D9">
      <w:pPr>
        <w:spacing w:line="400" w:lineRule="exact"/>
        <w:ind w:left="540"/>
        <w:outlineLvl w:val="0"/>
        <w:rPr>
          <w:rFonts w:hint="eastAsia" w:ascii="宋体"/>
          <w:sz w:val="24"/>
        </w:rPr>
      </w:pPr>
      <w:r>
        <w:rPr>
          <w:rFonts w:hint="eastAsia" w:ascii="宋体"/>
          <w:sz w:val="24"/>
        </w:rPr>
        <w:t>单位性质：</w:t>
      </w:r>
      <w:r>
        <w:rPr>
          <w:rFonts w:hint="eastAsia" w:ascii="宋体"/>
          <w:sz w:val="24"/>
          <w:u w:val="single"/>
        </w:rPr>
        <w:t xml:space="preserve">                                                        </w:t>
      </w:r>
    </w:p>
    <w:p w14:paraId="4065B3FD">
      <w:pPr>
        <w:spacing w:line="400" w:lineRule="exact"/>
        <w:ind w:left="540"/>
        <w:outlineLvl w:val="0"/>
        <w:rPr>
          <w:rFonts w:hint="eastAsia" w:ascii="宋体"/>
          <w:sz w:val="24"/>
        </w:rPr>
      </w:pPr>
      <w:r>
        <w:rPr>
          <w:rFonts w:hint="eastAsia" w:ascii="宋体"/>
          <w:sz w:val="24"/>
        </w:rPr>
        <w:t>地    址：</w:t>
      </w:r>
      <w:r>
        <w:rPr>
          <w:rFonts w:hint="eastAsia" w:ascii="宋体"/>
          <w:sz w:val="24"/>
          <w:u w:val="single"/>
        </w:rPr>
        <w:t xml:space="preserve">                                                        </w:t>
      </w:r>
    </w:p>
    <w:p w14:paraId="5E1D7802">
      <w:pPr>
        <w:spacing w:line="400" w:lineRule="exact"/>
        <w:ind w:left="540"/>
        <w:outlineLvl w:val="0"/>
        <w:rPr>
          <w:rFonts w:hint="eastAsia" w:ascii="宋体"/>
          <w:sz w:val="24"/>
        </w:rPr>
      </w:pPr>
      <w:r>
        <w:rPr>
          <w:rFonts w:hint="eastAsia" w:ascii="宋体"/>
          <w:sz w:val="24"/>
        </w:rPr>
        <w:t>成立时间：</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5EC42EAF">
      <w:pPr>
        <w:spacing w:line="400" w:lineRule="exact"/>
        <w:ind w:left="540"/>
        <w:outlineLvl w:val="0"/>
        <w:rPr>
          <w:rFonts w:hint="eastAsia" w:ascii="宋体"/>
          <w:sz w:val="24"/>
        </w:rPr>
      </w:pPr>
      <w:r>
        <w:rPr>
          <w:rFonts w:hint="eastAsia" w:ascii="宋体"/>
          <w:sz w:val="24"/>
        </w:rPr>
        <w:t>经营期限：</w:t>
      </w:r>
      <w:r>
        <w:rPr>
          <w:rFonts w:hint="eastAsia" w:ascii="宋体"/>
          <w:sz w:val="24"/>
          <w:u w:val="single"/>
        </w:rPr>
        <w:t xml:space="preserve">                                                        </w:t>
      </w:r>
    </w:p>
    <w:p w14:paraId="37D20333">
      <w:pPr>
        <w:spacing w:line="400" w:lineRule="exact"/>
        <w:ind w:left="540"/>
        <w:outlineLvl w:val="0"/>
        <w:rPr>
          <w:rFonts w:hint="eastAsia" w:ascii="宋体"/>
          <w:sz w:val="24"/>
        </w:rPr>
      </w:pPr>
      <w:r>
        <w:rPr>
          <w:rFonts w:hint="eastAsia" w:ascii="宋体"/>
          <w:sz w:val="24"/>
        </w:rPr>
        <w:t>姓    名：</w:t>
      </w:r>
      <w:r>
        <w:rPr>
          <w:rFonts w:hint="eastAsia" w:ascii="宋体"/>
          <w:sz w:val="24"/>
          <w:u w:val="single"/>
        </w:rPr>
        <w:t xml:space="preserve">                          </w:t>
      </w:r>
      <w:r>
        <w:rPr>
          <w:rFonts w:hint="eastAsia" w:ascii="宋体"/>
          <w:sz w:val="24"/>
        </w:rPr>
        <w:t>性      别：</w:t>
      </w:r>
      <w:r>
        <w:rPr>
          <w:rFonts w:hint="eastAsia" w:ascii="宋体"/>
          <w:sz w:val="24"/>
          <w:u w:val="single"/>
        </w:rPr>
        <w:t xml:space="preserve">                </w:t>
      </w:r>
    </w:p>
    <w:p w14:paraId="274B87DD">
      <w:pPr>
        <w:spacing w:line="400" w:lineRule="exact"/>
        <w:ind w:left="540"/>
        <w:outlineLvl w:val="0"/>
        <w:rPr>
          <w:rFonts w:hint="eastAsia" w:ascii="宋体"/>
          <w:sz w:val="24"/>
          <w:u w:val="single"/>
        </w:rPr>
      </w:pPr>
      <w:r>
        <w:rPr>
          <w:rFonts w:hint="eastAsia" w:ascii="宋体"/>
          <w:sz w:val="24"/>
        </w:rPr>
        <w:t>年    龄：</w:t>
      </w:r>
      <w:r>
        <w:rPr>
          <w:rFonts w:hint="eastAsia" w:ascii="宋体"/>
          <w:sz w:val="24"/>
          <w:u w:val="single"/>
        </w:rPr>
        <w:t xml:space="preserve">                          </w:t>
      </w:r>
      <w:r>
        <w:rPr>
          <w:rFonts w:hint="eastAsia" w:ascii="宋体"/>
          <w:sz w:val="24"/>
        </w:rPr>
        <w:t>职      务：</w:t>
      </w:r>
      <w:r>
        <w:rPr>
          <w:rFonts w:hint="eastAsia" w:ascii="宋体"/>
          <w:sz w:val="24"/>
          <w:u w:val="single"/>
        </w:rPr>
        <w:t xml:space="preserve">                </w:t>
      </w:r>
    </w:p>
    <w:p w14:paraId="2E1D8E10">
      <w:pPr>
        <w:spacing w:line="400" w:lineRule="exact"/>
        <w:ind w:left="540"/>
        <w:outlineLvl w:val="0"/>
        <w:rPr>
          <w:rFonts w:hint="eastAsia" w:ascii="宋体"/>
          <w:sz w:val="24"/>
        </w:rPr>
      </w:pPr>
      <w:r>
        <w:rPr>
          <w:rFonts w:hint="eastAsia" w:ascii="宋体"/>
          <w:sz w:val="24"/>
        </w:rPr>
        <w:t>身份证</w:t>
      </w:r>
      <w:r>
        <w:rPr>
          <w:rFonts w:hint="eastAsia"/>
          <w:sz w:val="24"/>
        </w:rPr>
        <w:t>号码：</w:t>
      </w:r>
      <w:r>
        <w:rPr>
          <w:rFonts w:hint="eastAsia"/>
          <w:sz w:val="24"/>
          <w:u w:val="single"/>
        </w:rPr>
        <w:t xml:space="preserve">                                 </w:t>
      </w:r>
    </w:p>
    <w:p w14:paraId="6CE0194C">
      <w:pPr>
        <w:spacing w:line="400" w:lineRule="exact"/>
        <w:ind w:left="540"/>
        <w:outlineLvl w:val="0"/>
        <w:rPr>
          <w:rFonts w:hint="eastAsia" w:ascii="宋体"/>
          <w:sz w:val="24"/>
        </w:rPr>
      </w:pPr>
      <w:r>
        <w:rPr>
          <w:rFonts w:hint="eastAsia" w:ascii="宋体"/>
          <w:sz w:val="24"/>
        </w:rPr>
        <w:t>系</w:t>
      </w:r>
      <w:r>
        <w:rPr>
          <w:rFonts w:hint="eastAsia" w:ascii="宋体"/>
          <w:sz w:val="24"/>
          <w:u w:val="single"/>
        </w:rPr>
        <w:t xml:space="preserve">                                                 </w:t>
      </w:r>
      <w:r>
        <w:rPr>
          <w:rFonts w:hint="eastAsia" w:ascii="宋体"/>
          <w:sz w:val="24"/>
        </w:rPr>
        <w:t>（投标人名称）的法定代表人（负责人）。</w:t>
      </w:r>
    </w:p>
    <w:p w14:paraId="6BFF701D">
      <w:pPr>
        <w:spacing w:line="400" w:lineRule="exact"/>
        <w:ind w:left="540"/>
        <w:outlineLvl w:val="0"/>
        <w:rPr>
          <w:rFonts w:hint="eastAsia" w:ascii="宋体"/>
          <w:sz w:val="24"/>
        </w:rPr>
      </w:pPr>
      <w:r>
        <w:rPr>
          <w:rFonts w:hint="eastAsia" w:ascii="宋体"/>
          <w:sz w:val="24"/>
        </w:rPr>
        <w:t>特此证明。</w:t>
      </w:r>
    </w:p>
    <w:p w14:paraId="31645660">
      <w:pPr>
        <w:spacing w:line="400" w:lineRule="exact"/>
        <w:ind w:left="540"/>
        <w:outlineLvl w:val="0"/>
        <w:rPr>
          <w:rFonts w:hint="eastAsia" w:ascii="宋体"/>
          <w:sz w:val="24"/>
        </w:rPr>
      </w:pPr>
      <w:r>
        <w:rPr>
          <w:rFonts w:hint="eastAsia" w:ascii="宋体"/>
          <w:sz w:val="24"/>
        </w:rPr>
        <w:t>附件：法定代表人（负责人）有效身份证正反面复印件</w:t>
      </w:r>
    </w:p>
    <w:p w14:paraId="6DF2A46D">
      <w:pPr>
        <w:wordWrap w:val="0"/>
        <w:spacing w:line="400" w:lineRule="exact"/>
        <w:ind w:left="540"/>
        <w:jc w:val="right"/>
        <w:outlineLvl w:val="0"/>
        <w:rPr>
          <w:rFonts w:hint="eastAsia" w:ascii="宋体"/>
          <w:sz w:val="24"/>
        </w:rPr>
      </w:pPr>
      <w:r>
        <w:rPr>
          <w:rFonts w:hint="eastAsia" w:ascii="宋体"/>
          <w:sz w:val="24"/>
        </w:rPr>
        <w:t>投标人名称（盖章）</w:t>
      </w:r>
      <w:r>
        <w:rPr>
          <w:rFonts w:hint="eastAsia" w:ascii="宋体"/>
          <w:sz w:val="24"/>
          <w:u w:val="single"/>
        </w:rPr>
        <w:t xml:space="preserve">                          </w:t>
      </w:r>
    </w:p>
    <w:p w14:paraId="7118E412">
      <w:pPr>
        <w:snapToGrid w:val="0"/>
        <w:spacing w:beforeLines="50" w:after="50" w:line="400" w:lineRule="exact"/>
        <w:ind w:left="540"/>
        <w:jc w:val="right"/>
        <w:outlineLvl w:val="0"/>
        <w:rPr>
          <w:rFonts w:hint="eastAsia" w:ascii="宋体"/>
          <w:sz w:val="30"/>
          <w:szCs w:val="20"/>
        </w:rPr>
      </w:pP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2F004620">
      <w:pPr>
        <w:numPr>
          <w:ilvl w:val="0"/>
          <w:numId w:val="7"/>
        </w:numPr>
        <w:snapToGrid w:val="0"/>
        <w:spacing w:line="360" w:lineRule="exact"/>
        <w:jc w:val="left"/>
        <w:rPr>
          <w:rFonts w:hint="eastAsia" w:ascii="宋体"/>
          <w:szCs w:val="21"/>
        </w:rPr>
      </w:pPr>
      <w:r>
        <w:rPr>
          <w:rFonts w:hint="eastAsia" w:ascii="宋体"/>
          <w:szCs w:val="21"/>
        </w:rPr>
        <w:t>商务响应表格式：</w:t>
      </w:r>
      <w:bookmarkEnd w:id="98"/>
      <w:bookmarkEnd w:id="99"/>
    </w:p>
    <w:p w14:paraId="71DDC648">
      <w:pPr>
        <w:pStyle w:val="8"/>
        <w:ind w:firstLine="0"/>
        <w:rPr>
          <w:u w:val="single"/>
        </w:rPr>
      </w:pPr>
      <w:r>
        <w:rPr>
          <w:rFonts w:hint="eastAsia"/>
        </w:rPr>
        <w:t>标项</w:t>
      </w:r>
      <w:r>
        <w:rPr>
          <w:rFonts w:hint="eastAsia"/>
          <w:u w:val="single"/>
        </w:rPr>
        <w:t xml:space="preserve">     </w:t>
      </w: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14:paraId="1B1F9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14:paraId="185C6374">
            <w:pPr>
              <w:snapToGrid w:val="0"/>
              <w:spacing w:beforeLines="50" w:line="360" w:lineRule="exact"/>
              <w:jc w:val="center"/>
              <w:rPr>
                <w:rFonts w:hint="eastAsia" w:ascii="宋体"/>
                <w:szCs w:val="21"/>
              </w:rPr>
            </w:pPr>
            <w:r>
              <w:rPr>
                <w:rFonts w:hint="eastAsia" w:ascii="宋体"/>
                <w:szCs w:val="21"/>
              </w:rPr>
              <w:t>项目</w:t>
            </w:r>
          </w:p>
        </w:tc>
        <w:tc>
          <w:tcPr>
            <w:tcW w:w="3600" w:type="dxa"/>
            <w:tcBorders>
              <w:top w:val="single" w:color="auto" w:sz="4" w:space="0"/>
              <w:left w:val="single" w:color="auto" w:sz="4" w:space="0"/>
              <w:bottom w:val="single" w:color="auto" w:sz="4" w:space="0"/>
              <w:right w:val="single" w:color="auto" w:sz="4" w:space="0"/>
            </w:tcBorders>
          </w:tcPr>
          <w:p w14:paraId="1E798E5A">
            <w:pPr>
              <w:snapToGrid w:val="0"/>
              <w:spacing w:beforeLines="50" w:line="360" w:lineRule="exact"/>
              <w:jc w:val="center"/>
              <w:rPr>
                <w:rFonts w:hint="eastAsia" w:ascii="宋体"/>
                <w:szCs w:val="21"/>
              </w:rPr>
            </w:pPr>
            <w:r>
              <w:rPr>
                <w:rFonts w:hint="eastAsia" w:asci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14:paraId="78A624F7">
            <w:pPr>
              <w:snapToGrid w:val="0"/>
              <w:spacing w:beforeLines="50" w:line="360" w:lineRule="exact"/>
              <w:jc w:val="center"/>
              <w:rPr>
                <w:rFonts w:hint="eastAsia" w:ascii="宋体"/>
                <w:szCs w:val="21"/>
              </w:rPr>
            </w:pPr>
            <w:r>
              <w:rPr>
                <w:rFonts w:hint="eastAsia" w:asci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14:paraId="181428A3">
            <w:pPr>
              <w:snapToGrid w:val="0"/>
              <w:spacing w:beforeLines="50" w:line="360" w:lineRule="exact"/>
              <w:jc w:val="center"/>
              <w:rPr>
                <w:rFonts w:hint="eastAsia" w:ascii="宋体"/>
                <w:szCs w:val="21"/>
              </w:rPr>
            </w:pPr>
            <w:r>
              <w:rPr>
                <w:rFonts w:hint="eastAsia" w:ascii="宋体"/>
                <w:szCs w:val="21"/>
              </w:rPr>
              <w:t>投标人的承诺或说明</w:t>
            </w:r>
          </w:p>
        </w:tc>
      </w:tr>
      <w:tr w14:paraId="58FCD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vAlign w:val="center"/>
          </w:tcPr>
          <w:p w14:paraId="40B3F091">
            <w:pPr>
              <w:tabs>
                <w:tab w:val="left" w:pos="180"/>
                <w:tab w:val="left" w:pos="1620"/>
              </w:tabs>
              <w:spacing w:line="400" w:lineRule="exact"/>
              <w:jc w:val="center"/>
              <w:rPr>
                <w:rFonts w:hint="eastAsia"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14:paraId="28A20C58">
            <w:pPr>
              <w:rPr>
                <w:rFonts w:hint="eastAsia"/>
              </w:rPr>
            </w:pPr>
          </w:p>
        </w:tc>
        <w:tc>
          <w:tcPr>
            <w:tcW w:w="1440" w:type="dxa"/>
            <w:tcBorders>
              <w:top w:val="single" w:color="auto" w:sz="4" w:space="0"/>
              <w:left w:val="single" w:color="auto" w:sz="4" w:space="0"/>
              <w:bottom w:val="single" w:color="auto" w:sz="4" w:space="0"/>
              <w:right w:val="single" w:color="auto" w:sz="4" w:space="0"/>
            </w:tcBorders>
            <w:vAlign w:val="center"/>
          </w:tcPr>
          <w:p w14:paraId="5A7E9D10">
            <w:pPr>
              <w:jc w:val="center"/>
              <w:rPr>
                <w:rFonts w:hint="eastAsia"/>
              </w:rPr>
            </w:pPr>
          </w:p>
        </w:tc>
        <w:tc>
          <w:tcPr>
            <w:tcW w:w="2880" w:type="dxa"/>
            <w:tcBorders>
              <w:top w:val="single" w:color="auto" w:sz="4" w:space="0"/>
              <w:left w:val="single" w:color="auto" w:sz="4" w:space="0"/>
              <w:bottom w:val="single" w:color="auto" w:sz="4" w:space="0"/>
              <w:right w:val="single" w:color="auto" w:sz="4" w:space="0"/>
            </w:tcBorders>
          </w:tcPr>
          <w:p w14:paraId="4E7233DB">
            <w:pPr>
              <w:rPr>
                <w:rFonts w:hint="eastAsia"/>
              </w:rPr>
            </w:pPr>
          </w:p>
        </w:tc>
      </w:tr>
      <w:tr w14:paraId="1BFB6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vAlign w:val="center"/>
          </w:tcPr>
          <w:p w14:paraId="4909CA2B">
            <w:pPr>
              <w:tabs>
                <w:tab w:val="left" w:pos="180"/>
                <w:tab w:val="left" w:pos="1620"/>
              </w:tabs>
              <w:spacing w:line="400" w:lineRule="exact"/>
              <w:jc w:val="center"/>
              <w:rPr>
                <w:rFonts w:hint="eastAsia"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14:paraId="611D34B7">
            <w:pPr>
              <w:rPr>
                <w:rFonts w:hint="eastAsia"/>
              </w:rPr>
            </w:pPr>
          </w:p>
        </w:tc>
        <w:tc>
          <w:tcPr>
            <w:tcW w:w="1440" w:type="dxa"/>
            <w:tcBorders>
              <w:top w:val="single" w:color="auto" w:sz="4" w:space="0"/>
              <w:left w:val="single" w:color="auto" w:sz="4" w:space="0"/>
              <w:bottom w:val="single" w:color="auto" w:sz="4" w:space="0"/>
              <w:right w:val="single" w:color="auto" w:sz="4" w:space="0"/>
            </w:tcBorders>
            <w:vAlign w:val="center"/>
          </w:tcPr>
          <w:p w14:paraId="2E943013">
            <w:pPr>
              <w:jc w:val="center"/>
              <w:rPr>
                <w:rFonts w:hint="eastAsia"/>
              </w:rPr>
            </w:pPr>
          </w:p>
        </w:tc>
        <w:tc>
          <w:tcPr>
            <w:tcW w:w="2880" w:type="dxa"/>
            <w:tcBorders>
              <w:top w:val="single" w:color="auto" w:sz="4" w:space="0"/>
              <w:left w:val="single" w:color="auto" w:sz="4" w:space="0"/>
              <w:bottom w:val="single" w:color="auto" w:sz="4" w:space="0"/>
              <w:right w:val="single" w:color="auto" w:sz="4" w:space="0"/>
            </w:tcBorders>
          </w:tcPr>
          <w:p w14:paraId="4240F4D1">
            <w:pPr>
              <w:rPr>
                <w:rFonts w:hint="eastAsia"/>
              </w:rPr>
            </w:pPr>
          </w:p>
        </w:tc>
      </w:tr>
      <w:tr w14:paraId="40C60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vAlign w:val="center"/>
          </w:tcPr>
          <w:p w14:paraId="55888E40">
            <w:pPr>
              <w:spacing w:line="400" w:lineRule="exact"/>
              <w:jc w:val="center"/>
              <w:rPr>
                <w:rFonts w:hint="eastAsia" w:ascii="新宋体" w:eastAsia="新宋体"/>
                <w:szCs w:val="21"/>
              </w:rPr>
            </w:pPr>
          </w:p>
        </w:tc>
        <w:tc>
          <w:tcPr>
            <w:tcW w:w="3600" w:type="dxa"/>
            <w:tcBorders>
              <w:top w:val="single" w:color="auto" w:sz="4" w:space="0"/>
              <w:left w:val="single" w:color="auto" w:sz="4" w:space="0"/>
              <w:bottom w:val="single" w:color="auto" w:sz="4" w:space="0"/>
              <w:right w:val="single" w:color="auto" w:sz="4" w:space="0"/>
            </w:tcBorders>
          </w:tcPr>
          <w:p w14:paraId="2B17A3AD">
            <w:pPr>
              <w:rPr>
                <w:rFonts w:hint="eastAsia"/>
              </w:rPr>
            </w:pPr>
          </w:p>
        </w:tc>
        <w:tc>
          <w:tcPr>
            <w:tcW w:w="1440" w:type="dxa"/>
            <w:tcBorders>
              <w:top w:val="single" w:color="auto" w:sz="4" w:space="0"/>
              <w:left w:val="single" w:color="auto" w:sz="4" w:space="0"/>
              <w:bottom w:val="single" w:color="auto" w:sz="4" w:space="0"/>
              <w:right w:val="single" w:color="auto" w:sz="4" w:space="0"/>
            </w:tcBorders>
            <w:vAlign w:val="center"/>
          </w:tcPr>
          <w:p w14:paraId="39D8BDFE">
            <w:pPr>
              <w:jc w:val="center"/>
              <w:rPr>
                <w:rFonts w:hint="eastAsia"/>
              </w:rPr>
            </w:pPr>
          </w:p>
        </w:tc>
        <w:tc>
          <w:tcPr>
            <w:tcW w:w="2880" w:type="dxa"/>
            <w:tcBorders>
              <w:top w:val="single" w:color="auto" w:sz="4" w:space="0"/>
              <w:left w:val="single" w:color="auto" w:sz="4" w:space="0"/>
              <w:bottom w:val="single" w:color="auto" w:sz="4" w:space="0"/>
              <w:right w:val="single" w:color="auto" w:sz="4" w:space="0"/>
            </w:tcBorders>
          </w:tcPr>
          <w:p w14:paraId="1C7956A4">
            <w:pPr>
              <w:rPr>
                <w:rFonts w:hint="eastAsia"/>
              </w:rPr>
            </w:pPr>
          </w:p>
        </w:tc>
      </w:tr>
      <w:tr w14:paraId="1B9A6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vAlign w:val="center"/>
          </w:tcPr>
          <w:p w14:paraId="7464BFB2">
            <w:pPr>
              <w:spacing w:line="400" w:lineRule="exact"/>
              <w:jc w:val="center"/>
              <w:rPr>
                <w:rFonts w:hint="eastAsia" w:ascii="新宋体" w:eastAsia="新宋体"/>
                <w:szCs w:val="21"/>
              </w:rPr>
            </w:pPr>
          </w:p>
        </w:tc>
        <w:tc>
          <w:tcPr>
            <w:tcW w:w="3600" w:type="dxa"/>
            <w:tcBorders>
              <w:top w:val="single" w:color="auto" w:sz="4" w:space="0"/>
              <w:left w:val="single" w:color="auto" w:sz="4" w:space="0"/>
              <w:bottom w:val="single" w:color="auto" w:sz="4" w:space="0"/>
              <w:right w:val="single" w:color="auto" w:sz="4" w:space="0"/>
            </w:tcBorders>
          </w:tcPr>
          <w:p w14:paraId="4AEC7ECB">
            <w:pPr>
              <w:rPr>
                <w:rFonts w:hint="eastAsia"/>
              </w:rPr>
            </w:pPr>
          </w:p>
        </w:tc>
        <w:tc>
          <w:tcPr>
            <w:tcW w:w="1440" w:type="dxa"/>
            <w:tcBorders>
              <w:top w:val="single" w:color="auto" w:sz="4" w:space="0"/>
              <w:left w:val="single" w:color="auto" w:sz="4" w:space="0"/>
              <w:bottom w:val="single" w:color="auto" w:sz="4" w:space="0"/>
              <w:right w:val="single" w:color="auto" w:sz="4" w:space="0"/>
            </w:tcBorders>
            <w:vAlign w:val="center"/>
          </w:tcPr>
          <w:p w14:paraId="4A8DC3E4">
            <w:pPr>
              <w:jc w:val="center"/>
              <w:rPr>
                <w:rFonts w:hint="eastAsia"/>
              </w:rPr>
            </w:pPr>
          </w:p>
        </w:tc>
        <w:tc>
          <w:tcPr>
            <w:tcW w:w="2880" w:type="dxa"/>
            <w:tcBorders>
              <w:top w:val="single" w:color="auto" w:sz="4" w:space="0"/>
              <w:left w:val="single" w:color="auto" w:sz="4" w:space="0"/>
              <w:bottom w:val="single" w:color="auto" w:sz="4" w:space="0"/>
              <w:right w:val="single" w:color="auto" w:sz="4" w:space="0"/>
            </w:tcBorders>
          </w:tcPr>
          <w:p w14:paraId="4D1B40D3">
            <w:pPr>
              <w:rPr>
                <w:rFonts w:hint="eastAsia"/>
              </w:rPr>
            </w:pPr>
          </w:p>
        </w:tc>
      </w:tr>
      <w:tr w14:paraId="3B990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vAlign w:val="center"/>
          </w:tcPr>
          <w:p w14:paraId="215BD352">
            <w:pPr>
              <w:tabs>
                <w:tab w:val="left" w:pos="180"/>
                <w:tab w:val="left" w:pos="1620"/>
              </w:tabs>
              <w:spacing w:line="400" w:lineRule="exact"/>
              <w:jc w:val="center"/>
              <w:rPr>
                <w:rFonts w:hint="eastAsia"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14:paraId="70824395">
            <w:pPr>
              <w:rPr>
                <w:rFonts w:hint="eastAsia"/>
              </w:rPr>
            </w:pPr>
          </w:p>
        </w:tc>
        <w:tc>
          <w:tcPr>
            <w:tcW w:w="1440" w:type="dxa"/>
            <w:tcBorders>
              <w:top w:val="single" w:color="auto" w:sz="4" w:space="0"/>
              <w:left w:val="single" w:color="auto" w:sz="4" w:space="0"/>
              <w:bottom w:val="single" w:color="auto" w:sz="4" w:space="0"/>
              <w:right w:val="single" w:color="auto" w:sz="4" w:space="0"/>
            </w:tcBorders>
            <w:vAlign w:val="center"/>
          </w:tcPr>
          <w:p w14:paraId="1649307F">
            <w:pPr>
              <w:jc w:val="center"/>
              <w:rPr>
                <w:rFonts w:hint="eastAsia"/>
              </w:rPr>
            </w:pPr>
          </w:p>
        </w:tc>
        <w:tc>
          <w:tcPr>
            <w:tcW w:w="2880" w:type="dxa"/>
            <w:tcBorders>
              <w:top w:val="single" w:color="auto" w:sz="4" w:space="0"/>
              <w:left w:val="single" w:color="auto" w:sz="4" w:space="0"/>
              <w:bottom w:val="single" w:color="auto" w:sz="4" w:space="0"/>
              <w:right w:val="single" w:color="auto" w:sz="4" w:space="0"/>
            </w:tcBorders>
          </w:tcPr>
          <w:p w14:paraId="1709ECBC">
            <w:pPr>
              <w:rPr>
                <w:rFonts w:hint="eastAsia"/>
              </w:rPr>
            </w:pPr>
          </w:p>
        </w:tc>
      </w:tr>
      <w:tr w14:paraId="28AEB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14:paraId="029D0591">
            <w:pPr>
              <w:jc w:val="center"/>
              <w:rPr>
                <w:rFonts w:hint="eastAsia"/>
              </w:rPr>
            </w:pPr>
            <w:r>
              <w:rPr>
                <w:rFonts w:hint="eastAsia"/>
              </w:rPr>
              <w:t>…</w:t>
            </w:r>
          </w:p>
        </w:tc>
        <w:tc>
          <w:tcPr>
            <w:tcW w:w="3600" w:type="dxa"/>
            <w:tcBorders>
              <w:top w:val="single" w:color="auto" w:sz="4" w:space="0"/>
              <w:left w:val="single" w:color="auto" w:sz="4" w:space="0"/>
              <w:bottom w:val="single" w:color="auto" w:sz="4" w:space="0"/>
              <w:right w:val="single" w:color="auto" w:sz="4" w:space="0"/>
            </w:tcBorders>
          </w:tcPr>
          <w:p w14:paraId="3B734ADB">
            <w:pPr>
              <w:rPr>
                <w:rFonts w:hint="eastAsia"/>
              </w:rPr>
            </w:pPr>
          </w:p>
        </w:tc>
        <w:tc>
          <w:tcPr>
            <w:tcW w:w="1440" w:type="dxa"/>
            <w:tcBorders>
              <w:top w:val="single" w:color="auto" w:sz="4" w:space="0"/>
              <w:left w:val="single" w:color="auto" w:sz="4" w:space="0"/>
              <w:bottom w:val="single" w:color="auto" w:sz="4" w:space="0"/>
              <w:right w:val="single" w:color="auto" w:sz="4" w:space="0"/>
            </w:tcBorders>
            <w:vAlign w:val="center"/>
          </w:tcPr>
          <w:p w14:paraId="39A95E9C">
            <w:pPr>
              <w:jc w:val="center"/>
              <w:rPr>
                <w:rFonts w:hint="eastAsia"/>
              </w:rPr>
            </w:pPr>
          </w:p>
        </w:tc>
        <w:tc>
          <w:tcPr>
            <w:tcW w:w="2880" w:type="dxa"/>
            <w:tcBorders>
              <w:top w:val="single" w:color="auto" w:sz="4" w:space="0"/>
              <w:left w:val="single" w:color="auto" w:sz="4" w:space="0"/>
              <w:bottom w:val="single" w:color="auto" w:sz="4" w:space="0"/>
              <w:right w:val="single" w:color="auto" w:sz="4" w:space="0"/>
            </w:tcBorders>
          </w:tcPr>
          <w:p w14:paraId="3D8BF57C">
            <w:pPr>
              <w:rPr>
                <w:rFonts w:hint="eastAsia"/>
              </w:rPr>
            </w:pPr>
          </w:p>
        </w:tc>
      </w:tr>
    </w:tbl>
    <w:p w14:paraId="13B25207">
      <w:pPr>
        <w:snapToGrid w:val="0"/>
        <w:spacing w:before="50" w:after="50" w:line="360" w:lineRule="exact"/>
        <w:ind w:firstLine="210" w:firstLineChars="100"/>
        <w:rPr>
          <w:rFonts w:hint="eastAsia" w:ascii="宋体"/>
          <w:szCs w:val="21"/>
        </w:rPr>
      </w:pPr>
    </w:p>
    <w:p w14:paraId="5EC3C5CD">
      <w:pPr>
        <w:snapToGrid w:val="0"/>
        <w:spacing w:before="50" w:after="50" w:line="360" w:lineRule="exact"/>
        <w:ind w:firstLine="210" w:firstLineChars="100"/>
        <w:rPr>
          <w:rFonts w:hint="eastAsia" w:ascii="宋体"/>
          <w:spacing w:val="20"/>
          <w:szCs w:val="21"/>
          <w:u w:val="single"/>
        </w:rPr>
      </w:pPr>
      <w:r>
        <w:rPr>
          <w:rFonts w:hint="eastAsia" w:ascii="宋体"/>
          <w:szCs w:val="21"/>
        </w:rPr>
        <w:t>法定代表人（负责人）或委托代理人签字或盖章</w:t>
      </w:r>
      <w:r>
        <w:rPr>
          <w:rFonts w:hint="eastAsia" w:ascii="宋体"/>
          <w:spacing w:val="20"/>
          <w:szCs w:val="21"/>
        </w:rPr>
        <w:t>：</w:t>
      </w:r>
      <w:r>
        <w:rPr>
          <w:rFonts w:hint="eastAsia" w:ascii="宋体"/>
          <w:spacing w:val="20"/>
          <w:szCs w:val="21"/>
          <w:u w:val="single"/>
        </w:rPr>
        <w:t xml:space="preserve">           </w:t>
      </w:r>
    </w:p>
    <w:p w14:paraId="526609FD">
      <w:pPr>
        <w:snapToGrid w:val="0"/>
        <w:spacing w:before="50" w:after="50" w:line="360" w:lineRule="exact"/>
        <w:ind w:firstLine="210" w:firstLineChars="100"/>
        <w:rPr>
          <w:rFonts w:hint="eastAsia" w:ascii="宋体"/>
          <w:b/>
          <w:szCs w:val="21"/>
        </w:rPr>
      </w:pPr>
      <w:r>
        <w:rPr>
          <w:rFonts w:hint="eastAsia"/>
        </w:rPr>
        <w:t>投标人名称（</w:t>
      </w:r>
      <w:r>
        <w:rPr>
          <w:rFonts w:hint="eastAsia" w:ascii="宋体"/>
          <w:szCs w:val="21"/>
        </w:rPr>
        <w:t>盖章</w:t>
      </w:r>
      <w:r>
        <w:rPr>
          <w:rFonts w:hint="eastAsia"/>
        </w:rPr>
        <w:t>）</w:t>
      </w:r>
      <w:r>
        <w:rPr>
          <w:rFonts w:hint="eastAsia" w:ascii="宋体"/>
          <w:spacing w:val="20"/>
          <w:szCs w:val="21"/>
        </w:rPr>
        <w:t>：</w:t>
      </w:r>
      <w:r>
        <w:rPr>
          <w:rFonts w:hint="eastAsia" w:ascii="宋体"/>
          <w:spacing w:val="20"/>
          <w:szCs w:val="21"/>
          <w:u w:val="single"/>
        </w:rPr>
        <w:t xml:space="preserve">            </w:t>
      </w:r>
      <w:r>
        <w:rPr>
          <w:rFonts w:hint="eastAsia" w:ascii="宋体"/>
          <w:spacing w:val="20"/>
          <w:szCs w:val="21"/>
        </w:rPr>
        <w:t xml:space="preserve">                 日 期：</w:t>
      </w:r>
      <w:r>
        <w:rPr>
          <w:rFonts w:hint="eastAsia" w:ascii="宋体"/>
          <w:spacing w:val="20"/>
          <w:szCs w:val="21"/>
          <w:u w:val="single"/>
        </w:rPr>
        <w:t xml:space="preserve">          </w:t>
      </w:r>
    </w:p>
    <w:p w14:paraId="5B5BCF20">
      <w:pPr>
        <w:spacing w:line="360" w:lineRule="exact"/>
        <w:rPr>
          <w:rFonts w:hint="eastAsia"/>
        </w:rPr>
      </w:pPr>
    </w:p>
    <w:p w14:paraId="00951D98">
      <w:pPr>
        <w:spacing w:line="360" w:lineRule="exact"/>
        <w:rPr>
          <w:rFonts w:hint="eastAsia"/>
        </w:rPr>
      </w:pPr>
    </w:p>
    <w:p w14:paraId="0A061274">
      <w:pPr>
        <w:spacing w:line="360" w:lineRule="exact"/>
        <w:rPr>
          <w:rFonts w:hint="eastAsia"/>
        </w:rPr>
      </w:pPr>
      <w:r>
        <w:rPr>
          <w:rFonts w:hint="eastAsia"/>
        </w:rPr>
        <w:t xml:space="preserve">    （6）招标项目采购需求中要求必须提供的材料等（招标项目采购需求中要求必须提供的材料，据实提供）</w:t>
      </w:r>
    </w:p>
    <w:p w14:paraId="1D299E59">
      <w:pPr>
        <w:rPr>
          <w:rFonts w:hint="eastAsia"/>
        </w:rPr>
      </w:pPr>
    </w:p>
    <w:p w14:paraId="674FDDEA">
      <w:pPr>
        <w:rPr>
          <w:rFonts w:hint="eastAsia"/>
        </w:rPr>
      </w:pPr>
    </w:p>
    <w:p w14:paraId="77BF073B">
      <w:pPr>
        <w:rPr>
          <w:rFonts w:hint="eastAsia"/>
        </w:rPr>
      </w:pPr>
      <w:r>
        <w:rPr>
          <w:rFonts w:hint="eastAsia"/>
        </w:rPr>
        <w:t xml:space="preserve">    （7）具备法律、行政法规规定的其他条件的证明材料（格式自拟）</w:t>
      </w:r>
    </w:p>
    <w:p w14:paraId="6FF9E056">
      <w:pPr>
        <w:rPr>
          <w:rFonts w:hint="eastAsia"/>
        </w:rPr>
      </w:pPr>
    </w:p>
    <w:p w14:paraId="20CC3686">
      <w:pPr>
        <w:rPr>
          <w:rFonts w:hint="eastAsia"/>
        </w:rPr>
      </w:pPr>
    </w:p>
    <w:p w14:paraId="6669274F">
      <w:pPr>
        <w:spacing w:line="360" w:lineRule="exact"/>
      </w:pPr>
      <w:r>
        <w:rPr>
          <w:rFonts w:hint="eastAsia"/>
        </w:rPr>
        <w:t xml:space="preserve">    </w:t>
      </w:r>
    </w:p>
    <w:p w14:paraId="6264D2C5">
      <w:pPr>
        <w:spacing w:line="360" w:lineRule="exact"/>
        <w:rPr>
          <w:rFonts w:hint="eastAsia" w:ascii="宋体"/>
          <w:szCs w:val="21"/>
        </w:rPr>
      </w:pPr>
      <w:r>
        <w:br w:type="page"/>
      </w:r>
      <w:r>
        <w:rPr>
          <w:rFonts w:hint="eastAsia"/>
        </w:rPr>
        <w:t>（8）</w:t>
      </w:r>
      <w:r>
        <w:rPr>
          <w:rFonts w:hint="eastAsia" w:ascii="宋体"/>
          <w:szCs w:val="21"/>
        </w:rPr>
        <w:t>类似成功案例的业绩（投标人同类项目实施情况一览表、合同扫描件等，格式可自行调整）；</w:t>
      </w:r>
    </w:p>
    <w:p w14:paraId="49F102EF">
      <w:pPr>
        <w:pStyle w:val="8"/>
        <w:ind w:firstLine="210" w:firstLineChars="100"/>
        <w:rPr>
          <w:u w:val="single"/>
        </w:rPr>
      </w:pPr>
      <w:r>
        <w:rPr>
          <w:rFonts w:hint="eastAsia"/>
        </w:rPr>
        <w:t>标项</w:t>
      </w:r>
      <w:r>
        <w:rPr>
          <w:rFonts w:hint="eastAsia"/>
          <w:u w:val="single"/>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5"/>
        <w:gridCol w:w="1985"/>
        <w:gridCol w:w="1701"/>
        <w:gridCol w:w="1134"/>
        <w:gridCol w:w="1559"/>
        <w:gridCol w:w="1806"/>
      </w:tblGrid>
      <w:tr w14:paraId="59051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440"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14:paraId="23F8322E">
            <w:pPr>
              <w:snapToGrid w:val="0"/>
              <w:spacing w:line="360" w:lineRule="exact"/>
              <w:jc w:val="center"/>
              <w:rPr>
                <w:rFonts w:hint="eastAsia" w:ascii="宋体"/>
                <w:szCs w:val="21"/>
              </w:rPr>
            </w:pPr>
            <w:r>
              <w:rPr>
                <w:rFonts w:hint="eastAsia" w:ascii="宋体"/>
                <w:szCs w:val="21"/>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371F4A1A">
            <w:pPr>
              <w:snapToGrid w:val="0"/>
              <w:spacing w:line="360" w:lineRule="exact"/>
              <w:jc w:val="center"/>
              <w:rPr>
                <w:rFonts w:hint="eastAsia" w:ascii="宋体"/>
                <w:szCs w:val="21"/>
              </w:rPr>
            </w:pPr>
            <w:r>
              <w:rPr>
                <w:rFonts w:hint="eastAsia" w:ascii="宋体"/>
                <w:szCs w:val="21"/>
              </w:rPr>
              <w:t>采购单位名称</w:t>
            </w:r>
          </w:p>
        </w:tc>
        <w:tc>
          <w:tcPr>
            <w:tcW w:w="1701" w:type="dxa"/>
            <w:tcBorders>
              <w:top w:val="single" w:color="auto" w:sz="4" w:space="0"/>
              <w:left w:val="single" w:color="auto" w:sz="4" w:space="0"/>
              <w:bottom w:val="single" w:color="auto" w:sz="4" w:space="0"/>
              <w:right w:val="single" w:color="auto" w:sz="4" w:space="0"/>
            </w:tcBorders>
            <w:vAlign w:val="center"/>
          </w:tcPr>
          <w:p w14:paraId="5EE44F4B">
            <w:pPr>
              <w:snapToGrid w:val="0"/>
              <w:spacing w:line="360" w:lineRule="exact"/>
              <w:jc w:val="center"/>
              <w:rPr>
                <w:rFonts w:hint="eastAsia" w:ascii="宋体"/>
                <w:szCs w:val="21"/>
              </w:rPr>
            </w:pPr>
            <w:r>
              <w:rPr>
                <w:rFonts w:hint="eastAsia" w:ascii="宋体"/>
                <w:szCs w:val="21"/>
              </w:rPr>
              <w:t>服务或项目名称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1F9C73EC">
            <w:pPr>
              <w:snapToGrid w:val="0"/>
              <w:spacing w:line="360" w:lineRule="exact"/>
              <w:jc w:val="center"/>
              <w:rPr>
                <w:rFonts w:hint="eastAsia" w:ascii="宋体"/>
                <w:szCs w:val="21"/>
              </w:rPr>
            </w:pPr>
            <w:r>
              <w:rPr>
                <w:rFonts w:hint="eastAsia" w:ascii="宋体"/>
                <w:szCs w:val="21"/>
              </w:rPr>
              <w:t>采购数量</w:t>
            </w:r>
          </w:p>
        </w:tc>
        <w:tc>
          <w:tcPr>
            <w:tcW w:w="1559" w:type="dxa"/>
            <w:tcBorders>
              <w:top w:val="single" w:color="auto" w:sz="4" w:space="0"/>
              <w:left w:val="single" w:color="auto" w:sz="4" w:space="0"/>
              <w:bottom w:val="single" w:color="auto" w:sz="4" w:space="0"/>
              <w:right w:val="single" w:color="auto" w:sz="4" w:space="0"/>
            </w:tcBorders>
            <w:vAlign w:val="center"/>
          </w:tcPr>
          <w:p w14:paraId="6FA1473A">
            <w:pPr>
              <w:snapToGrid w:val="0"/>
              <w:spacing w:line="360" w:lineRule="exact"/>
              <w:jc w:val="center"/>
              <w:rPr>
                <w:rFonts w:hint="eastAsia" w:ascii="宋体"/>
                <w:szCs w:val="21"/>
              </w:rPr>
            </w:pPr>
            <w:r>
              <w:rPr>
                <w:rFonts w:hint="eastAsia" w:ascii="宋体"/>
                <w:szCs w:val="21"/>
              </w:rPr>
              <w:t>合同金额</w:t>
            </w:r>
          </w:p>
        </w:tc>
        <w:tc>
          <w:tcPr>
            <w:tcW w:w="1806" w:type="dxa"/>
            <w:tcBorders>
              <w:top w:val="single" w:color="auto" w:sz="4" w:space="0"/>
              <w:left w:val="single" w:color="auto" w:sz="4" w:space="0"/>
              <w:right w:val="single" w:color="auto" w:sz="4" w:space="0"/>
            </w:tcBorders>
            <w:vAlign w:val="center"/>
          </w:tcPr>
          <w:p w14:paraId="037539BB">
            <w:pPr>
              <w:snapToGrid w:val="0"/>
              <w:spacing w:line="360" w:lineRule="exact"/>
              <w:jc w:val="center"/>
              <w:rPr>
                <w:rFonts w:hint="eastAsia" w:ascii="宋体"/>
                <w:szCs w:val="21"/>
              </w:rPr>
            </w:pPr>
            <w:r>
              <w:rPr>
                <w:rFonts w:hint="eastAsia" w:ascii="宋体"/>
                <w:szCs w:val="21"/>
              </w:rPr>
              <w:t>采购单位联系人及联系电话</w:t>
            </w:r>
          </w:p>
        </w:tc>
      </w:tr>
      <w:tr w14:paraId="4E442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15" w:type="dxa"/>
            <w:tcBorders>
              <w:top w:val="single" w:color="auto" w:sz="4" w:space="0"/>
              <w:left w:val="single" w:color="auto" w:sz="4" w:space="0"/>
              <w:bottom w:val="single" w:color="auto" w:sz="4" w:space="0"/>
              <w:right w:val="single" w:color="auto" w:sz="4" w:space="0"/>
            </w:tcBorders>
          </w:tcPr>
          <w:p w14:paraId="45A411BD">
            <w:pPr>
              <w:snapToGrid w:val="0"/>
              <w:spacing w:line="360" w:lineRule="exact"/>
              <w:jc w:val="left"/>
              <w:rPr>
                <w:rFonts w:hint="eastAsia" w:ascii="宋体"/>
                <w:szCs w:val="21"/>
              </w:rPr>
            </w:pPr>
          </w:p>
        </w:tc>
        <w:tc>
          <w:tcPr>
            <w:tcW w:w="1985" w:type="dxa"/>
            <w:tcBorders>
              <w:top w:val="single" w:color="auto" w:sz="4" w:space="0"/>
              <w:left w:val="single" w:color="auto" w:sz="4" w:space="0"/>
              <w:bottom w:val="single" w:color="auto" w:sz="4" w:space="0"/>
              <w:right w:val="single" w:color="auto" w:sz="4" w:space="0"/>
            </w:tcBorders>
          </w:tcPr>
          <w:p w14:paraId="0303158D">
            <w:pPr>
              <w:snapToGrid w:val="0"/>
              <w:spacing w:line="360" w:lineRule="exact"/>
              <w:jc w:val="left"/>
              <w:rPr>
                <w:rFonts w:hint="eastAsia" w:ascii="宋体"/>
                <w:szCs w:val="21"/>
              </w:rPr>
            </w:pPr>
          </w:p>
        </w:tc>
        <w:tc>
          <w:tcPr>
            <w:tcW w:w="1701" w:type="dxa"/>
            <w:tcBorders>
              <w:top w:val="single" w:color="auto" w:sz="4" w:space="0"/>
              <w:left w:val="single" w:color="auto" w:sz="4" w:space="0"/>
              <w:bottom w:val="single" w:color="auto" w:sz="4" w:space="0"/>
              <w:right w:val="single" w:color="auto" w:sz="4" w:space="0"/>
            </w:tcBorders>
          </w:tcPr>
          <w:p w14:paraId="1C7302AC">
            <w:pPr>
              <w:snapToGrid w:val="0"/>
              <w:spacing w:line="360" w:lineRule="exact"/>
              <w:jc w:val="left"/>
              <w:rPr>
                <w:rFonts w:hint="eastAsia" w:ascii="宋体"/>
                <w:szCs w:val="21"/>
              </w:rPr>
            </w:pPr>
          </w:p>
        </w:tc>
        <w:tc>
          <w:tcPr>
            <w:tcW w:w="1134" w:type="dxa"/>
            <w:tcBorders>
              <w:top w:val="single" w:color="auto" w:sz="4" w:space="0"/>
              <w:left w:val="single" w:color="auto" w:sz="4" w:space="0"/>
              <w:bottom w:val="single" w:color="auto" w:sz="4" w:space="0"/>
              <w:right w:val="single" w:color="auto" w:sz="4" w:space="0"/>
            </w:tcBorders>
          </w:tcPr>
          <w:p w14:paraId="70C12B6F">
            <w:pPr>
              <w:snapToGrid w:val="0"/>
              <w:spacing w:line="360" w:lineRule="exact"/>
              <w:jc w:val="left"/>
              <w:rPr>
                <w:rFonts w:hint="eastAsia" w:ascii="宋体"/>
                <w:szCs w:val="21"/>
              </w:rPr>
            </w:pPr>
          </w:p>
        </w:tc>
        <w:tc>
          <w:tcPr>
            <w:tcW w:w="1559" w:type="dxa"/>
            <w:tcBorders>
              <w:top w:val="single" w:color="auto" w:sz="4" w:space="0"/>
              <w:left w:val="single" w:color="auto" w:sz="4" w:space="0"/>
              <w:bottom w:val="single" w:color="auto" w:sz="4" w:space="0"/>
              <w:right w:val="single" w:color="auto" w:sz="4" w:space="0"/>
            </w:tcBorders>
          </w:tcPr>
          <w:p w14:paraId="784C0DEC">
            <w:pPr>
              <w:snapToGrid w:val="0"/>
              <w:spacing w:line="360" w:lineRule="exact"/>
              <w:jc w:val="left"/>
              <w:rPr>
                <w:rFonts w:hint="eastAsia" w:ascii="宋体"/>
                <w:szCs w:val="21"/>
              </w:rPr>
            </w:pPr>
          </w:p>
        </w:tc>
        <w:tc>
          <w:tcPr>
            <w:tcW w:w="1806" w:type="dxa"/>
            <w:tcBorders>
              <w:top w:val="single" w:color="auto" w:sz="4" w:space="0"/>
              <w:left w:val="single" w:color="auto" w:sz="4" w:space="0"/>
              <w:bottom w:val="single" w:color="auto" w:sz="4" w:space="0"/>
              <w:right w:val="single" w:color="auto" w:sz="4" w:space="0"/>
            </w:tcBorders>
          </w:tcPr>
          <w:p w14:paraId="1006A503">
            <w:pPr>
              <w:snapToGrid w:val="0"/>
              <w:spacing w:line="360" w:lineRule="exact"/>
              <w:jc w:val="left"/>
              <w:rPr>
                <w:rFonts w:hint="eastAsia" w:ascii="宋体"/>
                <w:szCs w:val="21"/>
              </w:rPr>
            </w:pPr>
          </w:p>
        </w:tc>
      </w:tr>
      <w:tr w14:paraId="7C0C0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14:paraId="4351E6CC">
            <w:pPr>
              <w:snapToGrid w:val="0"/>
              <w:spacing w:before="50" w:afterLines="50" w:line="360" w:lineRule="exact"/>
              <w:jc w:val="left"/>
              <w:rPr>
                <w:rFonts w:hint="eastAsia" w:ascii="宋体"/>
                <w:szCs w:val="21"/>
              </w:rPr>
            </w:pPr>
          </w:p>
        </w:tc>
        <w:tc>
          <w:tcPr>
            <w:tcW w:w="1985" w:type="dxa"/>
            <w:tcBorders>
              <w:top w:val="single" w:color="auto" w:sz="4" w:space="0"/>
              <w:left w:val="single" w:color="auto" w:sz="4" w:space="0"/>
              <w:bottom w:val="single" w:color="auto" w:sz="4" w:space="0"/>
              <w:right w:val="single" w:color="auto" w:sz="4" w:space="0"/>
            </w:tcBorders>
          </w:tcPr>
          <w:p w14:paraId="75B31F26">
            <w:pPr>
              <w:snapToGrid w:val="0"/>
              <w:spacing w:before="50" w:afterLines="50" w:line="360" w:lineRule="exact"/>
              <w:jc w:val="left"/>
              <w:rPr>
                <w:rFonts w:hint="eastAsia" w:ascii="宋体"/>
                <w:szCs w:val="21"/>
              </w:rPr>
            </w:pPr>
          </w:p>
        </w:tc>
        <w:tc>
          <w:tcPr>
            <w:tcW w:w="1701" w:type="dxa"/>
            <w:tcBorders>
              <w:top w:val="single" w:color="auto" w:sz="4" w:space="0"/>
              <w:left w:val="single" w:color="auto" w:sz="4" w:space="0"/>
              <w:bottom w:val="single" w:color="auto" w:sz="4" w:space="0"/>
              <w:right w:val="single" w:color="auto" w:sz="4" w:space="0"/>
            </w:tcBorders>
          </w:tcPr>
          <w:p w14:paraId="5AC72C26">
            <w:pPr>
              <w:snapToGrid w:val="0"/>
              <w:spacing w:before="50" w:afterLines="50" w:line="360" w:lineRule="exact"/>
              <w:jc w:val="left"/>
              <w:rPr>
                <w:rFonts w:hint="eastAsia" w:ascii="宋体"/>
                <w:szCs w:val="21"/>
              </w:rPr>
            </w:pPr>
          </w:p>
        </w:tc>
        <w:tc>
          <w:tcPr>
            <w:tcW w:w="1134" w:type="dxa"/>
            <w:tcBorders>
              <w:top w:val="single" w:color="auto" w:sz="4" w:space="0"/>
              <w:left w:val="single" w:color="auto" w:sz="4" w:space="0"/>
              <w:bottom w:val="single" w:color="auto" w:sz="4" w:space="0"/>
              <w:right w:val="single" w:color="auto" w:sz="4" w:space="0"/>
            </w:tcBorders>
          </w:tcPr>
          <w:p w14:paraId="4CDA4938">
            <w:pPr>
              <w:snapToGrid w:val="0"/>
              <w:spacing w:before="50" w:afterLines="50" w:line="360" w:lineRule="exact"/>
              <w:jc w:val="left"/>
              <w:rPr>
                <w:rFonts w:hint="eastAsia" w:ascii="宋体"/>
                <w:szCs w:val="21"/>
              </w:rPr>
            </w:pPr>
          </w:p>
        </w:tc>
        <w:tc>
          <w:tcPr>
            <w:tcW w:w="1559" w:type="dxa"/>
            <w:tcBorders>
              <w:top w:val="single" w:color="auto" w:sz="4" w:space="0"/>
              <w:left w:val="single" w:color="auto" w:sz="4" w:space="0"/>
              <w:bottom w:val="single" w:color="auto" w:sz="4" w:space="0"/>
              <w:right w:val="single" w:color="auto" w:sz="4" w:space="0"/>
            </w:tcBorders>
          </w:tcPr>
          <w:p w14:paraId="6A4329E8">
            <w:pPr>
              <w:snapToGrid w:val="0"/>
              <w:spacing w:before="50" w:afterLines="50" w:line="360" w:lineRule="exact"/>
              <w:jc w:val="left"/>
              <w:rPr>
                <w:rFonts w:hint="eastAsia" w:ascii="宋体"/>
                <w:szCs w:val="21"/>
              </w:rPr>
            </w:pPr>
          </w:p>
        </w:tc>
        <w:tc>
          <w:tcPr>
            <w:tcW w:w="1806" w:type="dxa"/>
            <w:tcBorders>
              <w:top w:val="single" w:color="auto" w:sz="4" w:space="0"/>
              <w:left w:val="single" w:color="auto" w:sz="4" w:space="0"/>
              <w:bottom w:val="single" w:color="auto" w:sz="4" w:space="0"/>
              <w:right w:val="single" w:color="auto" w:sz="4" w:space="0"/>
            </w:tcBorders>
          </w:tcPr>
          <w:p w14:paraId="38DB2A77">
            <w:pPr>
              <w:snapToGrid w:val="0"/>
              <w:spacing w:before="50" w:afterLines="50" w:line="360" w:lineRule="exact"/>
              <w:jc w:val="left"/>
              <w:rPr>
                <w:rFonts w:hint="eastAsia" w:ascii="宋体"/>
                <w:szCs w:val="21"/>
              </w:rPr>
            </w:pPr>
          </w:p>
        </w:tc>
      </w:tr>
      <w:tr w14:paraId="128DC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815" w:type="dxa"/>
            <w:tcBorders>
              <w:top w:val="single" w:color="auto" w:sz="4" w:space="0"/>
              <w:left w:val="single" w:color="auto" w:sz="4" w:space="0"/>
              <w:bottom w:val="single" w:color="auto" w:sz="4" w:space="0"/>
              <w:right w:val="single" w:color="auto" w:sz="4" w:space="0"/>
            </w:tcBorders>
          </w:tcPr>
          <w:p w14:paraId="467ECFF7">
            <w:pPr>
              <w:snapToGrid w:val="0"/>
              <w:spacing w:before="50" w:afterLines="50" w:line="360" w:lineRule="exact"/>
              <w:jc w:val="left"/>
              <w:rPr>
                <w:rFonts w:hint="eastAsia" w:ascii="宋体"/>
                <w:szCs w:val="21"/>
              </w:rPr>
            </w:pPr>
          </w:p>
        </w:tc>
        <w:tc>
          <w:tcPr>
            <w:tcW w:w="1985" w:type="dxa"/>
            <w:tcBorders>
              <w:top w:val="single" w:color="auto" w:sz="4" w:space="0"/>
              <w:left w:val="single" w:color="auto" w:sz="4" w:space="0"/>
              <w:bottom w:val="single" w:color="auto" w:sz="4" w:space="0"/>
              <w:right w:val="single" w:color="auto" w:sz="4" w:space="0"/>
            </w:tcBorders>
          </w:tcPr>
          <w:p w14:paraId="6343706E">
            <w:pPr>
              <w:snapToGrid w:val="0"/>
              <w:spacing w:before="50" w:afterLines="50" w:line="360" w:lineRule="exact"/>
              <w:jc w:val="left"/>
              <w:rPr>
                <w:rFonts w:hint="eastAsia" w:ascii="宋体"/>
                <w:szCs w:val="21"/>
              </w:rPr>
            </w:pPr>
          </w:p>
        </w:tc>
        <w:tc>
          <w:tcPr>
            <w:tcW w:w="1701" w:type="dxa"/>
            <w:tcBorders>
              <w:top w:val="single" w:color="auto" w:sz="4" w:space="0"/>
              <w:left w:val="single" w:color="auto" w:sz="4" w:space="0"/>
              <w:bottom w:val="single" w:color="auto" w:sz="4" w:space="0"/>
              <w:right w:val="single" w:color="auto" w:sz="4" w:space="0"/>
            </w:tcBorders>
          </w:tcPr>
          <w:p w14:paraId="1A0997E2">
            <w:pPr>
              <w:snapToGrid w:val="0"/>
              <w:spacing w:before="50" w:afterLines="50" w:line="360" w:lineRule="exact"/>
              <w:jc w:val="left"/>
              <w:rPr>
                <w:rFonts w:hint="eastAsia" w:ascii="宋体"/>
                <w:szCs w:val="21"/>
              </w:rPr>
            </w:pPr>
          </w:p>
        </w:tc>
        <w:tc>
          <w:tcPr>
            <w:tcW w:w="1134" w:type="dxa"/>
            <w:tcBorders>
              <w:top w:val="single" w:color="auto" w:sz="4" w:space="0"/>
              <w:left w:val="single" w:color="auto" w:sz="4" w:space="0"/>
              <w:bottom w:val="single" w:color="auto" w:sz="4" w:space="0"/>
              <w:right w:val="single" w:color="auto" w:sz="4" w:space="0"/>
            </w:tcBorders>
          </w:tcPr>
          <w:p w14:paraId="5F6F8AFD">
            <w:pPr>
              <w:snapToGrid w:val="0"/>
              <w:spacing w:before="50" w:afterLines="50" w:line="360" w:lineRule="exact"/>
              <w:jc w:val="left"/>
              <w:rPr>
                <w:rFonts w:hint="eastAsia" w:ascii="宋体"/>
                <w:szCs w:val="21"/>
              </w:rPr>
            </w:pPr>
          </w:p>
        </w:tc>
        <w:tc>
          <w:tcPr>
            <w:tcW w:w="1559" w:type="dxa"/>
            <w:tcBorders>
              <w:top w:val="single" w:color="auto" w:sz="4" w:space="0"/>
              <w:left w:val="single" w:color="auto" w:sz="4" w:space="0"/>
              <w:bottom w:val="single" w:color="auto" w:sz="4" w:space="0"/>
              <w:right w:val="single" w:color="auto" w:sz="4" w:space="0"/>
            </w:tcBorders>
          </w:tcPr>
          <w:p w14:paraId="55E285D2">
            <w:pPr>
              <w:snapToGrid w:val="0"/>
              <w:spacing w:before="50" w:afterLines="50" w:line="360" w:lineRule="exact"/>
              <w:jc w:val="left"/>
              <w:rPr>
                <w:rFonts w:hint="eastAsia" w:ascii="宋体"/>
                <w:szCs w:val="21"/>
              </w:rPr>
            </w:pPr>
          </w:p>
        </w:tc>
        <w:tc>
          <w:tcPr>
            <w:tcW w:w="1806" w:type="dxa"/>
            <w:tcBorders>
              <w:top w:val="single" w:color="auto" w:sz="4" w:space="0"/>
              <w:left w:val="single" w:color="auto" w:sz="4" w:space="0"/>
              <w:bottom w:val="single" w:color="auto" w:sz="4" w:space="0"/>
              <w:right w:val="single" w:color="auto" w:sz="4" w:space="0"/>
            </w:tcBorders>
          </w:tcPr>
          <w:p w14:paraId="3B95BDCC">
            <w:pPr>
              <w:snapToGrid w:val="0"/>
              <w:spacing w:before="50" w:afterLines="50" w:line="360" w:lineRule="exact"/>
              <w:jc w:val="left"/>
              <w:rPr>
                <w:rFonts w:hint="eastAsia" w:ascii="宋体"/>
                <w:szCs w:val="21"/>
              </w:rPr>
            </w:pPr>
          </w:p>
        </w:tc>
      </w:tr>
      <w:tr w14:paraId="7128E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14:paraId="5DB9E00A">
            <w:pPr>
              <w:snapToGrid w:val="0"/>
              <w:spacing w:before="50" w:afterLines="50" w:line="360" w:lineRule="exact"/>
              <w:jc w:val="left"/>
              <w:rPr>
                <w:rFonts w:hint="eastAsia" w:ascii="宋体"/>
                <w:szCs w:val="21"/>
              </w:rPr>
            </w:pPr>
          </w:p>
        </w:tc>
        <w:tc>
          <w:tcPr>
            <w:tcW w:w="1985" w:type="dxa"/>
            <w:tcBorders>
              <w:top w:val="single" w:color="auto" w:sz="4" w:space="0"/>
              <w:left w:val="single" w:color="auto" w:sz="4" w:space="0"/>
              <w:bottom w:val="single" w:color="auto" w:sz="4" w:space="0"/>
              <w:right w:val="single" w:color="auto" w:sz="4" w:space="0"/>
            </w:tcBorders>
          </w:tcPr>
          <w:p w14:paraId="151F53B0">
            <w:pPr>
              <w:snapToGrid w:val="0"/>
              <w:spacing w:before="50" w:afterLines="50" w:line="360" w:lineRule="exact"/>
              <w:jc w:val="left"/>
              <w:rPr>
                <w:rFonts w:hint="eastAsia" w:ascii="宋体"/>
                <w:szCs w:val="21"/>
              </w:rPr>
            </w:pPr>
          </w:p>
        </w:tc>
        <w:tc>
          <w:tcPr>
            <w:tcW w:w="1701" w:type="dxa"/>
            <w:tcBorders>
              <w:top w:val="single" w:color="auto" w:sz="4" w:space="0"/>
              <w:left w:val="single" w:color="auto" w:sz="4" w:space="0"/>
              <w:bottom w:val="single" w:color="auto" w:sz="4" w:space="0"/>
              <w:right w:val="single" w:color="auto" w:sz="4" w:space="0"/>
            </w:tcBorders>
          </w:tcPr>
          <w:p w14:paraId="3B31D801">
            <w:pPr>
              <w:snapToGrid w:val="0"/>
              <w:spacing w:before="50" w:afterLines="50" w:line="360" w:lineRule="exact"/>
              <w:jc w:val="left"/>
              <w:rPr>
                <w:rFonts w:hint="eastAsia" w:ascii="宋体"/>
                <w:szCs w:val="21"/>
              </w:rPr>
            </w:pPr>
          </w:p>
        </w:tc>
        <w:tc>
          <w:tcPr>
            <w:tcW w:w="1134" w:type="dxa"/>
            <w:tcBorders>
              <w:top w:val="single" w:color="auto" w:sz="4" w:space="0"/>
              <w:left w:val="single" w:color="auto" w:sz="4" w:space="0"/>
              <w:bottom w:val="single" w:color="auto" w:sz="4" w:space="0"/>
              <w:right w:val="single" w:color="auto" w:sz="4" w:space="0"/>
            </w:tcBorders>
          </w:tcPr>
          <w:p w14:paraId="3E63735F">
            <w:pPr>
              <w:snapToGrid w:val="0"/>
              <w:spacing w:before="50" w:afterLines="50" w:line="360" w:lineRule="exact"/>
              <w:jc w:val="left"/>
              <w:rPr>
                <w:rFonts w:hint="eastAsia" w:ascii="宋体"/>
                <w:szCs w:val="21"/>
              </w:rPr>
            </w:pPr>
          </w:p>
        </w:tc>
        <w:tc>
          <w:tcPr>
            <w:tcW w:w="1559" w:type="dxa"/>
            <w:tcBorders>
              <w:top w:val="single" w:color="auto" w:sz="4" w:space="0"/>
              <w:left w:val="single" w:color="auto" w:sz="4" w:space="0"/>
              <w:bottom w:val="single" w:color="auto" w:sz="4" w:space="0"/>
              <w:right w:val="single" w:color="auto" w:sz="4" w:space="0"/>
            </w:tcBorders>
          </w:tcPr>
          <w:p w14:paraId="6FFFF17E">
            <w:pPr>
              <w:snapToGrid w:val="0"/>
              <w:spacing w:before="50" w:afterLines="50" w:line="360" w:lineRule="exact"/>
              <w:jc w:val="left"/>
              <w:rPr>
                <w:rFonts w:hint="eastAsia" w:ascii="宋体"/>
                <w:szCs w:val="21"/>
              </w:rPr>
            </w:pPr>
          </w:p>
        </w:tc>
        <w:tc>
          <w:tcPr>
            <w:tcW w:w="1806" w:type="dxa"/>
            <w:tcBorders>
              <w:top w:val="single" w:color="auto" w:sz="4" w:space="0"/>
              <w:left w:val="single" w:color="auto" w:sz="4" w:space="0"/>
              <w:bottom w:val="single" w:color="auto" w:sz="4" w:space="0"/>
              <w:right w:val="single" w:color="auto" w:sz="4" w:space="0"/>
            </w:tcBorders>
          </w:tcPr>
          <w:p w14:paraId="7E8AF8B7">
            <w:pPr>
              <w:snapToGrid w:val="0"/>
              <w:spacing w:before="50" w:afterLines="50" w:line="360" w:lineRule="exact"/>
              <w:jc w:val="left"/>
              <w:rPr>
                <w:rFonts w:hint="eastAsia" w:ascii="宋体"/>
                <w:szCs w:val="21"/>
              </w:rPr>
            </w:pPr>
          </w:p>
        </w:tc>
      </w:tr>
      <w:tr w14:paraId="19B02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14:paraId="730B3DFD">
            <w:pPr>
              <w:snapToGrid w:val="0"/>
              <w:spacing w:before="50" w:afterLines="50" w:line="360" w:lineRule="exact"/>
              <w:jc w:val="left"/>
              <w:rPr>
                <w:rFonts w:hint="eastAsia" w:ascii="宋体"/>
                <w:szCs w:val="21"/>
              </w:rPr>
            </w:pPr>
          </w:p>
        </w:tc>
        <w:tc>
          <w:tcPr>
            <w:tcW w:w="1985" w:type="dxa"/>
            <w:tcBorders>
              <w:top w:val="single" w:color="auto" w:sz="4" w:space="0"/>
              <w:left w:val="single" w:color="auto" w:sz="4" w:space="0"/>
              <w:bottom w:val="single" w:color="auto" w:sz="4" w:space="0"/>
              <w:right w:val="single" w:color="auto" w:sz="4" w:space="0"/>
            </w:tcBorders>
          </w:tcPr>
          <w:p w14:paraId="10390511">
            <w:pPr>
              <w:snapToGrid w:val="0"/>
              <w:spacing w:before="50" w:afterLines="50" w:line="360" w:lineRule="exact"/>
              <w:jc w:val="left"/>
              <w:rPr>
                <w:rFonts w:hint="eastAsia" w:ascii="宋体"/>
                <w:szCs w:val="21"/>
              </w:rPr>
            </w:pPr>
          </w:p>
        </w:tc>
        <w:tc>
          <w:tcPr>
            <w:tcW w:w="1701" w:type="dxa"/>
            <w:tcBorders>
              <w:top w:val="single" w:color="auto" w:sz="4" w:space="0"/>
              <w:left w:val="single" w:color="auto" w:sz="4" w:space="0"/>
              <w:bottom w:val="single" w:color="auto" w:sz="4" w:space="0"/>
              <w:right w:val="single" w:color="auto" w:sz="4" w:space="0"/>
            </w:tcBorders>
          </w:tcPr>
          <w:p w14:paraId="6870649E">
            <w:pPr>
              <w:snapToGrid w:val="0"/>
              <w:spacing w:before="50" w:afterLines="50" w:line="360" w:lineRule="exact"/>
              <w:jc w:val="left"/>
              <w:rPr>
                <w:rFonts w:hint="eastAsia" w:ascii="宋体"/>
                <w:szCs w:val="21"/>
              </w:rPr>
            </w:pPr>
          </w:p>
        </w:tc>
        <w:tc>
          <w:tcPr>
            <w:tcW w:w="1134" w:type="dxa"/>
            <w:tcBorders>
              <w:top w:val="single" w:color="auto" w:sz="4" w:space="0"/>
              <w:left w:val="single" w:color="auto" w:sz="4" w:space="0"/>
              <w:bottom w:val="single" w:color="auto" w:sz="4" w:space="0"/>
              <w:right w:val="single" w:color="auto" w:sz="4" w:space="0"/>
            </w:tcBorders>
          </w:tcPr>
          <w:p w14:paraId="6E3AA0D3">
            <w:pPr>
              <w:snapToGrid w:val="0"/>
              <w:spacing w:before="50" w:afterLines="50" w:line="360" w:lineRule="exact"/>
              <w:jc w:val="left"/>
              <w:rPr>
                <w:rFonts w:hint="eastAsia" w:ascii="宋体"/>
                <w:szCs w:val="21"/>
              </w:rPr>
            </w:pPr>
          </w:p>
        </w:tc>
        <w:tc>
          <w:tcPr>
            <w:tcW w:w="1559" w:type="dxa"/>
            <w:tcBorders>
              <w:top w:val="single" w:color="auto" w:sz="4" w:space="0"/>
              <w:left w:val="single" w:color="auto" w:sz="4" w:space="0"/>
              <w:bottom w:val="single" w:color="auto" w:sz="4" w:space="0"/>
              <w:right w:val="single" w:color="auto" w:sz="4" w:space="0"/>
            </w:tcBorders>
          </w:tcPr>
          <w:p w14:paraId="6AC93793">
            <w:pPr>
              <w:snapToGrid w:val="0"/>
              <w:spacing w:before="50" w:afterLines="50" w:line="360" w:lineRule="exact"/>
              <w:jc w:val="left"/>
              <w:rPr>
                <w:rFonts w:hint="eastAsia" w:ascii="宋体"/>
                <w:szCs w:val="21"/>
              </w:rPr>
            </w:pPr>
          </w:p>
        </w:tc>
        <w:tc>
          <w:tcPr>
            <w:tcW w:w="1806" w:type="dxa"/>
            <w:tcBorders>
              <w:top w:val="single" w:color="auto" w:sz="4" w:space="0"/>
              <w:left w:val="single" w:color="auto" w:sz="4" w:space="0"/>
              <w:bottom w:val="single" w:color="auto" w:sz="4" w:space="0"/>
              <w:right w:val="single" w:color="auto" w:sz="4" w:space="0"/>
            </w:tcBorders>
          </w:tcPr>
          <w:p w14:paraId="5C789B02">
            <w:pPr>
              <w:snapToGrid w:val="0"/>
              <w:spacing w:before="50" w:afterLines="50" w:line="360" w:lineRule="exact"/>
              <w:jc w:val="left"/>
              <w:rPr>
                <w:rFonts w:hint="eastAsia" w:ascii="宋体"/>
                <w:szCs w:val="21"/>
              </w:rPr>
            </w:pPr>
          </w:p>
        </w:tc>
      </w:tr>
    </w:tbl>
    <w:p w14:paraId="34BAE9BE">
      <w:pPr>
        <w:pStyle w:val="14"/>
        <w:snapToGrid w:val="0"/>
        <w:spacing w:line="360" w:lineRule="exact"/>
        <w:rPr>
          <w:rFonts w:hint="eastAsia" w:ascii="宋体" w:eastAsia="宋体"/>
          <w:sz w:val="21"/>
          <w:szCs w:val="21"/>
        </w:rPr>
      </w:pPr>
    </w:p>
    <w:p w14:paraId="7BE0E3F4">
      <w:pPr>
        <w:pStyle w:val="14"/>
        <w:snapToGrid w:val="0"/>
        <w:spacing w:line="360" w:lineRule="exact"/>
        <w:rPr>
          <w:rFonts w:hint="eastAsia" w:ascii="宋体" w:eastAsia="宋体"/>
          <w:sz w:val="21"/>
          <w:szCs w:val="21"/>
          <w:u w:val="single"/>
        </w:rPr>
      </w:pPr>
      <w:r>
        <w:rPr>
          <w:rFonts w:hint="eastAsia" w:ascii="宋体" w:eastAsia="宋体"/>
          <w:sz w:val="21"/>
          <w:szCs w:val="21"/>
        </w:rPr>
        <w:t xml:space="preserve">  法定代表人(负责人)签字或盖章：</w:t>
      </w:r>
      <w:r>
        <w:rPr>
          <w:rFonts w:hint="eastAsia" w:ascii="宋体" w:eastAsia="宋体"/>
          <w:sz w:val="21"/>
          <w:szCs w:val="21"/>
          <w:u w:val="single"/>
        </w:rPr>
        <w:t>　　　    　　</w:t>
      </w:r>
    </w:p>
    <w:p w14:paraId="1EDEAF9C">
      <w:pPr>
        <w:snapToGrid w:val="0"/>
        <w:spacing w:before="50" w:line="360" w:lineRule="exact"/>
        <w:jc w:val="left"/>
        <w:rPr>
          <w:rFonts w:hint="eastAsia" w:ascii="宋体"/>
          <w:szCs w:val="21"/>
        </w:rPr>
      </w:pPr>
      <w:r>
        <w:rPr>
          <w:rFonts w:hint="eastAsia" w:ascii="宋体"/>
          <w:szCs w:val="21"/>
        </w:rPr>
        <w:t xml:space="preserve">  </w:t>
      </w:r>
      <w:r>
        <w:rPr>
          <w:rFonts w:hint="eastAsia"/>
        </w:rPr>
        <w:t>投标人名称（</w:t>
      </w:r>
      <w:r>
        <w:rPr>
          <w:rFonts w:hint="eastAsia" w:ascii="宋体"/>
          <w:szCs w:val="21"/>
        </w:rPr>
        <w:t>盖章</w:t>
      </w:r>
      <w:r>
        <w:rPr>
          <w:rFonts w:hint="eastAsia"/>
        </w:rPr>
        <w:t>）</w:t>
      </w:r>
      <w:r>
        <w:rPr>
          <w:rFonts w:hint="eastAsia" w:ascii="宋体"/>
          <w:szCs w:val="21"/>
        </w:rPr>
        <w:t>：</w:t>
      </w:r>
      <w:r>
        <w:rPr>
          <w:rFonts w:hint="eastAsia" w:ascii="宋体"/>
          <w:szCs w:val="21"/>
          <w:u w:val="single"/>
        </w:rPr>
        <w:t xml:space="preserve">                 </w:t>
      </w:r>
      <w:r>
        <w:rPr>
          <w:rFonts w:hint="eastAsia" w:ascii="宋体"/>
          <w:szCs w:val="21"/>
        </w:rPr>
        <w:t xml:space="preserve">                                     年    月  日</w:t>
      </w:r>
    </w:p>
    <w:p w14:paraId="3463E545">
      <w:pPr>
        <w:rPr>
          <w:rFonts w:hint="eastAsia"/>
        </w:rPr>
      </w:pPr>
    </w:p>
    <w:p w14:paraId="519476E2">
      <w:pPr>
        <w:rPr>
          <w:rFonts w:hint="eastAsia"/>
        </w:rPr>
      </w:pPr>
    </w:p>
    <w:p w14:paraId="03FB72E1">
      <w:pPr>
        <w:spacing w:line="300" w:lineRule="exact"/>
        <w:ind w:firstLine="420"/>
        <w:rPr>
          <w:rFonts w:hint="eastAsia" w:ascii="宋体" w:hAnsi="宋体"/>
        </w:rPr>
      </w:pPr>
      <w:r>
        <w:rPr>
          <w:rFonts w:hint="eastAsia" w:ascii="宋体" w:hAnsi="宋体"/>
        </w:rPr>
        <w:t>（9）其他特殊资质证书；</w:t>
      </w:r>
    </w:p>
    <w:p w14:paraId="3920E5D0">
      <w:pPr>
        <w:spacing w:line="300" w:lineRule="exact"/>
        <w:ind w:firstLine="420"/>
        <w:rPr>
          <w:rFonts w:hint="eastAsia" w:ascii="宋体" w:hAnsi="宋体"/>
        </w:rPr>
      </w:pPr>
    </w:p>
    <w:p w14:paraId="3602947E">
      <w:pPr>
        <w:spacing w:line="300" w:lineRule="exact"/>
        <w:rPr>
          <w:rFonts w:hint="eastAsia" w:ascii="宋体" w:hAnsi="宋体"/>
        </w:rPr>
      </w:pPr>
    </w:p>
    <w:p w14:paraId="4C264ECE">
      <w:pPr>
        <w:spacing w:line="300" w:lineRule="exact"/>
        <w:ind w:firstLine="405"/>
        <w:rPr>
          <w:rFonts w:hint="eastAsia" w:ascii="宋体" w:hAnsi="宋体"/>
        </w:rPr>
      </w:pPr>
      <w:r>
        <w:rPr>
          <w:rFonts w:hint="eastAsia" w:ascii="宋体" w:hAnsi="宋体"/>
        </w:rPr>
        <w:t>（10）投标人质量管理和质量保证体系等方面的认证证书</w:t>
      </w:r>
    </w:p>
    <w:p w14:paraId="09EE56EA">
      <w:pPr>
        <w:spacing w:line="300" w:lineRule="exact"/>
        <w:ind w:firstLine="405"/>
        <w:rPr>
          <w:rFonts w:hint="eastAsia" w:ascii="宋体" w:hAnsi="宋体"/>
        </w:rPr>
      </w:pPr>
    </w:p>
    <w:p w14:paraId="17E48D7A">
      <w:pPr>
        <w:spacing w:line="300" w:lineRule="exact"/>
        <w:rPr>
          <w:rFonts w:hint="eastAsia" w:ascii="宋体" w:hAnsi="宋体"/>
        </w:rPr>
      </w:pPr>
    </w:p>
    <w:p w14:paraId="6A79ED2B">
      <w:pPr>
        <w:spacing w:line="300" w:lineRule="exact"/>
        <w:ind w:firstLine="405"/>
        <w:rPr>
          <w:rFonts w:hint="eastAsia" w:ascii="宋体" w:hAnsi="宋体"/>
        </w:rPr>
      </w:pPr>
      <w:r>
        <w:rPr>
          <w:rFonts w:hint="eastAsia" w:ascii="宋体" w:hAnsi="宋体"/>
        </w:rPr>
        <w:t>（11）投标人认为可以证明其能力或业绩的其他材料（格式自拟）</w:t>
      </w:r>
    </w:p>
    <w:p w14:paraId="1C2CBD92">
      <w:pPr>
        <w:spacing w:line="300" w:lineRule="exact"/>
        <w:ind w:firstLine="405"/>
        <w:rPr>
          <w:rFonts w:hint="eastAsia" w:ascii="宋体" w:hAnsi="宋体"/>
        </w:rPr>
      </w:pPr>
    </w:p>
    <w:p w14:paraId="36BD8A82">
      <w:pPr>
        <w:spacing w:line="300" w:lineRule="exact"/>
        <w:rPr>
          <w:rFonts w:hint="eastAsia" w:ascii="宋体" w:hAnsi="宋体"/>
        </w:rPr>
      </w:pPr>
    </w:p>
    <w:p w14:paraId="7BFDD81A">
      <w:pPr>
        <w:spacing w:line="300" w:lineRule="exact"/>
        <w:ind w:firstLine="435"/>
        <w:rPr>
          <w:rFonts w:hint="eastAsia" w:ascii="宋体" w:hAnsi="宋体"/>
          <w:szCs w:val="21"/>
        </w:rPr>
      </w:pPr>
      <w:r>
        <w:rPr>
          <w:rFonts w:hint="eastAsia" w:ascii="宋体" w:hAnsi="宋体"/>
        </w:rPr>
        <w:t>（12）</w:t>
      </w:r>
      <w:r>
        <w:rPr>
          <w:rFonts w:hint="eastAsia" w:ascii="宋体" w:hAnsi="宋体"/>
          <w:szCs w:val="21"/>
        </w:rPr>
        <w:t>投标人关于服务升级以及本单位债务纠纷、违法违规记录等方面的情况（内容见投标声明书）</w:t>
      </w:r>
    </w:p>
    <w:p w14:paraId="7DB6776B">
      <w:pPr>
        <w:spacing w:line="300" w:lineRule="exact"/>
        <w:ind w:firstLine="435"/>
        <w:rPr>
          <w:rFonts w:hint="eastAsia" w:ascii="宋体" w:hAnsi="宋体"/>
        </w:rPr>
      </w:pPr>
    </w:p>
    <w:p w14:paraId="725BCD59">
      <w:pPr>
        <w:snapToGrid w:val="0"/>
        <w:spacing w:line="300" w:lineRule="exact"/>
        <w:ind w:firstLine="411" w:firstLineChars="196"/>
        <w:jc w:val="left"/>
        <w:rPr>
          <w:rFonts w:hint="eastAsia" w:ascii="宋体" w:hAnsi="宋体"/>
          <w:szCs w:val="21"/>
        </w:rPr>
      </w:pPr>
    </w:p>
    <w:p w14:paraId="08879A92">
      <w:pPr>
        <w:spacing w:line="300" w:lineRule="exact"/>
        <w:ind w:firstLine="435"/>
        <w:rPr>
          <w:rFonts w:hint="eastAsia" w:ascii="宋体" w:hAnsi="宋体"/>
        </w:rPr>
      </w:pPr>
      <w:r>
        <w:rPr>
          <w:rFonts w:hint="eastAsia" w:ascii="宋体" w:hAnsi="宋体"/>
        </w:rPr>
        <w:t>（13）投标人情况介绍（主要服务、技术力量、企业规模、经营业绩等，格式自拟）</w:t>
      </w:r>
    </w:p>
    <w:p w14:paraId="3D27BB47">
      <w:pPr>
        <w:spacing w:line="300" w:lineRule="exact"/>
        <w:ind w:firstLine="435"/>
        <w:rPr>
          <w:rFonts w:hint="eastAsia" w:ascii="宋体" w:hAnsi="宋体"/>
        </w:rPr>
      </w:pPr>
    </w:p>
    <w:p w14:paraId="7E19FC1A">
      <w:pPr>
        <w:spacing w:line="300" w:lineRule="exact"/>
        <w:ind w:firstLine="435"/>
        <w:rPr>
          <w:rFonts w:hint="eastAsia" w:ascii="宋体" w:hAnsi="宋体"/>
        </w:rPr>
      </w:pPr>
    </w:p>
    <w:p w14:paraId="7979B88D">
      <w:pPr>
        <w:snapToGrid w:val="0"/>
        <w:spacing w:line="300" w:lineRule="exact"/>
        <w:ind w:firstLine="411" w:firstLineChars="196"/>
        <w:jc w:val="left"/>
        <w:rPr>
          <w:rFonts w:hint="eastAsia" w:ascii="宋体" w:hAnsi="宋体"/>
          <w:szCs w:val="21"/>
        </w:rPr>
      </w:pPr>
      <w:r>
        <w:rPr>
          <w:rFonts w:hint="eastAsia" w:ascii="宋体"/>
          <w:szCs w:val="21"/>
        </w:rPr>
        <w:t>（14）投标人认为需要提供的其他材料。</w:t>
      </w:r>
    </w:p>
    <w:p w14:paraId="11C8931F">
      <w:pPr>
        <w:snapToGrid w:val="0"/>
        <w:spacing w:line="300" w:lineRule="exact"/>
        <w:ind w:firstLine="411" w:firstLineChars="196"/>
        <w:jc w:val="left"/>
        <w:rPr>
          <w:rFonts w:hint="eastAsia" w:ascii="宋体"/>
          <w:szCs w:val="21"/>
        </w:rPr>
      </w:pPr>
      <w:r>
        <w:rPr>
          <w:rFonts w:ascii="宋体" w:hAnsi="宋体"/>
          <w:szCs w:val="21"/>
        </w:rPr>
        <w:br w:type="page"/>
      </w:r>
      <w:r>
        <w:rPr>
          <w:rFonts w:hint="eastAsia" w:ascii="宋体" w:hAnsi="宋体"/>
          <w:szCs w:val="21"/>
        </w:rPr>
        <w:t>（15</w:t>
      </w:r>
      <w:r>
        <w:rPr>
          <w:rFonts w:hint="eastAsia" w:ascii="宋体"/>
          <w:szCs w:val="21"/>
        </w:rPr>
        <w:t>）中小企业声明函。</w:t>
      </w:r>
    </w:p>
    <w:p w14:paraId="7AE30F01">
      <w:pPr>
        <w:pStyle w:val="26"/>
        <w:spacing w:line="440" w:lineRule="exact"/>
        <w:jc w:val="center"/>
        <w:outlineLvl w:val="0"/>
        <w:rPr>
          <w:rFonts w:hint="eastAsia" w:hAnsi="宋体"/>
          <w:b/>
          <w:bCs/>
          <w:sz w:val="30"/>
          <w:szCs w:val="30"/>
        </w:rPr>
      </w:pPr>
      <w:r>
        <w:rPr>
          <w:rFonts w:hAnsi="宋体"/>
          <w:b/>
          <w:bCs/>
          <w:sz w:val="30"/>
          <w:szCs w:val="30"/>
        </w:rPr>
        <w:t>中小企业声明函（</w:t>
      </w:r>
      <w:r>
        <w:rPr>
          <w:rFonts w:hint="eastAsia" w:hAnsi="宋体"/>
          <w:b/>
          <w:bCs/>
          <w:sz w:val="30"/>
          <w:szCs w:val="30"/>
        </w:rPr>
        <w:t>服务</w:t>
      </w:r>
      <w:r>
        <w:rPr>
          <w:rFonts w:hAnsi="宋体"/>
          <w:b/>
          <w:bCs/>
          <w:sz w:val="30"/>
          <w:szCs w:val="30"/>
        </w:rPr>
        <w:t>）</w:t>
      </w:r>
    </w:p>
    <w:p w14:paraId="4D7036F1">
      <w:pPr>
        <w:spacing w:line="440" w:lineRule="exact"/>
      </w:pPr>
    </w:p>
    <w:p w14:paraId="5C49DA13">
      <w:pPr>
        <w:pStyle w:val="26"/>
        <w:spacing w:line="440" w:lineRule="exact"/>
        <w:ind w:firstLine="525" w:firstLineChars="250"/>
        <w:jc w:val="left"/>
        <w:rPr>
          <w:rFonts w:hint="eastAsia"/>
        </w:rPr>
      </w:pPr>
      <w:r>
        <w:rPr>
          <w:rFonts w:hint="eastAsia"/>
        </w:rPr>
        <w:t>本公司（联合体）郑重声明，根据《政府采购促进中小企业发展管理办法》（财库﹝2020﹞46 号）的规定，本公司（联合体）参加</w:t>
      </w:r>
      <w:r>
        <w:rPr>
          <w:rFonts w:hint="eastAsia"/>
          <w:u w:val="single"/>
        </w:rPr>
        <w:t>（单位名称）</w:t>
      </w:r>
      <w:r>
        <w:rPr>
          <w:rFonts w:hint="eastAsia"/>
        </w:rPr>
        <w:t>的</w:t>
      </w:r>
      <w:r>
        <w:rPr>
          <w:rFonts w:hint="eastAsia"/>
          <w:u w:val="single"/>
        </w:rPr>
        <w:t>（项目名称）</w:t>
      </w:r>
      <w:r>
        <w:rPr>
          <w:rFonts w:hint="eastAsia"/>
        </w:rPr>
        <w:t>采购活动，服务全部由符合政策要求的中小企业承接。相关企业（含联合体中的中小</w:t>
      </w:r>
      <w:r>
        <w:rPr>
          <w:rFonts w:hint="eastAsia" w:hAnsi="宋体" w:cs="宋体"/>
          <w:kern w:val="24"/>
        </w:rPr>
        <w:t>（小微）</w:t>
      </w:r>
      <w:r>
        <w:rPr>
          <w:rFonts w:hint="eastAsia"/>
        </w:rPr>
        <w:t>企业、签订分包意向协议的中小</w:t>
      </w:r>
      <w:r>
        <w:rPr>
          <w:rFonts w:hint="eastAsia" w:hAnsi="宋体" w:cs="宋体"/>
          <w:kern w:val="24"/>
        </w:rPr>
        <w:t>（小微）</w:t>
      </w:r>
      <w:r>
        <w:rPr>
          <w:rFonts w:hint="eastAsia"/>
        </w:rPr>
        <w:t>企业）的具体情况如下：</w:t>
      </w:r>
    </w:p>
    <w:p w14:paraId="004385A5">
      <w:pPr>
        <w:pStyle w:val="26"/>
        <w:spacing w:line="440" w:lineRule="exact"/>
        <w:ind w:firstLine="420" w:firstLineChars="200"/>
        <w:jc w:val="left"/>
        <w:rPr>
          <w:rFonts w:hint="eastAsia"/>
        </w:rPr>
      </w:pPr>
      <w:r>
        <w:rPr>
          <w:rFonts w:hint="eastAsia"/>
        </w:rPr>
        <w:t>1.</w:t>
      </w:r>
      <w:r>
        <w:rPr>
          <w:rFonts w:hint="eastAsia"/>
          <w:u w:val="single"/>
        </w:rPr>
        <w:t xml:space="preserve">（标的名称） </w:t>
      </w:r>
      <w:r>
        <w:rPr>
          <w:rFonts w:hint="eastAsia"/>
        </w:rPr>
        <w:t>，属于</w:t>
      </w:r>
      <w:r>
        <w:rPr>
          <w:rFonts w:hint="eastAsia"/>
          <w:u w:val="single"/>
        </w:rPr>
        <w:t>（采购文件中明确的所属行业）</w:t>
      </w:r>
      <w:r>
        <w:rPr>
          <w:rFonts w:hint="eastAsia"/>
        </w:rPr>
        <w:t>；承接企业为</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r>
        <w:rPr>
          <w:rFonts w:hint="eastAsia"/>
        </w:rPr>
        <w:t xml:space="preserve">； </w:t>
      </w:r>
    </w:p>
    <w:p w14:paraId="40FD0B20">
      <w:pPr>
        <w:pStyle w:val="26"/>
        <w:spacing w:line="440" w:lineRule="exact"/>
        <w:ind w:firstLine="420" w:firstLineChars="200"/>
        <w:jc w:val="left"/>
        <w:rPr>
          <w:rFonts w:hint="eastAsia"/>
        </w:rPr>
      </w:pPr>
      <w:r>
        <w:rPr>
          <w:rFonts w:hint="eastAsia"/>
        </w:rPr>
        <w:t>2.</w:t>
      </w:r>
      <w:r>
        <w:rPr>
          <w:rFonts w:hint="eastAsia"/>
          <w:u w:val="single"/>
        </w:rPr>
        <w:t xml:space="preserve">（标的名称） </w:t>
      </w:r>
      <w:r>
        <w:rPr>
          <w:rFonts w:hint="eastAsia"/>
        </w:rPr>
        <w:t>，属于</w:t>
      </w:r>
      <w:r>
        <w:rPr>
          <w:rFonts w:hint="eastAsia"/>
          <w:u w:val="single"/>
        </w:rPr>
        <w:t>（采购文件中明确的所属行业）</w:t>
      </w:r>
      <w:r>
        <w:rPr>
          <w:rFonts w:hint="eastAsia"/>
        </w:rPr>
        <w:t>；承接企业为（企业名称），从业人员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r>
        <w:rPr>
          <w:rFonts w:hint="eastAsia"/>
        </w:rPr>
        <w:t>；</w:t>
      </w:r>
    </w:p>
    <w:p w14:paraId="7FC7CE33">
      <w:pPr>
        <w:pStyle w:val="26"/>
        <w:spacing w:line="440" w:lineRule="exact"/>
        <w:ind w:firstLine="420" w:firstLineChars="200"/>
        <w:jc w:val="left"/>
        <w:rPr>
          <w:rFonts w:hint="eastAsia"/>
        </w:rPr>
      </w:pPr>
      <w:r>
        <w:rPr>
          <w:rFonts w:hint="eastAsia"/>
        </w:rPr>
        <w:t>……</w:t>
      </w:r>
    </w:p>
    <w:p w14:paraId="1E7D5687">
      <w:pPr>
        <w:pStyle w:val="26"/>
        <w:spacing w:line="440" w:lineRule="exact"/>
        <w:ind w:firstLine="420" w:firstLineChars="200"/>
        <w:jc w:val="left"/>
        <w:rPr>
          <w:rFonts w:hint="eastAsia"/>
        </w:rPr>
      </w:pPr>
      <w:r>
        <w:rPr>
          <w:rFonts w:hint="eastAsia"/>
        </w:rPr>
        <w:t>以上企业，不属于大</w:t>
      </w:r>
      <w:r>
        <w:rPr>
          <w:rFonts w:hint="eastAsia" w:hAnsi="宋体" w:cs="宋体"/>
          <w:kern w:val="24"/>
        </w:rPr>
        <w:t>（中）</w:t>
      </w:r>
      <w:r>
        <w:rPr>
          <w:rFonts w:hint="eastAsia"/>
        </w:rPr>
        <w:t>企业的分支机构，不存在控股股东为大</w:t>
      </w:r>
      <w:r>
        <w:rPr>
          <w:rFonts w:hint="eastAsia" w:hAnsi="宋体" w:cs="宋体"/>
          <w:kern w:val="24"/>
        </w:rPr>
        <w:t>（中）</w:t>
      </w:r>
      <w:r>
        <w:rPr>
          <w:rFonts w:hint="eastAsia"/>
        </w:rPr>
        <w:t>企业的情形，也不存在与大</w:t>
      </w:r>
      <w:r>
        <w:rPr>
          <w:rFonts w:hint="eastAsia" w:hAnsi="宋体" w:cs="宋体"/>
          <w:kern w:val="24"/>
        </w:rPr>
        <w:t>（中）</w:t>
      </w:r>
      <w:r>
        <w:rPr>
          <w:rFonts w:hint="eastAsia"/>
        </w:rPr>
        <w:t>企业的负责人为同一人的情形。</w:t>
      </w:r>
    </w:p>
    <w:p w14:paraId="411775C6">
      <w:pPr>
        <w:pStyle w:val="26"/>
        <w:spacing w:line="440" w:lineRule="exact"/>
        <w:ind w:firstLine="420" w:firstLineChars="200"/>
        <w:jc w:val="left"/>
        <w:rPr>
          <w:rFonts w:hint="eastAsia"/>
        </w:rPr>
      </w:pPr>
      <w:r>
        <w:rPr>
          <w:rFonts w:hint="eastAsia"/>
        </w:rPr>
        <w:t>本企业对上述声明内容的真实性负责。如有虚假，将依法承担相应责任。</w:t>
      </w:r>
    </w:p>
    <w:p w14:paraId="4479316E">
      <w:pPr>
        <w:pStyle w:val="26"/>
        <w:spacing w:line="440" w:lineRule="exact"/>
        <w:ind w:firstLine="420" w:firstLineChars="200"/>
        <w:jc w:val="left"/>
        <w:rPr>
          <w:rFonts w:hint="eastAsia"/>
        </w:rPr>
      </w:pPr>
    </w:p>
    <w:p w14:paraId="08141792">
      <w:pPr>
        <w:pStyle w:val="26"/>
        <w:spacing w:line="440" w:lineRule="exact"/>
        <w:ind w:firstLine="4620" w:firstLineChars="2200"/>
        <w:jc w:val="left"/>
        <w:rPr>
          <w:rFonts w:hint="eastAsia"/>
        </w:rPr>
      </w:pPr>
      <w:r>
        <w:rPr>
          <w:rFonts w:hint="eastAsia"/>
        </w:rPr>
        <w:t>企业名称（盖章）：</w:t>
      </w:r>
    </w:p>
    <w:p w14:paraId="30331FA0">
      <w:pPr>
        <w:pStyle w:val="26"/>
        <w:spacing w:line="440" w:lineRule="exact"/>
        <w:ind w:firstLine="4620" w:firstLineChars="2200"/>
        <w:jc w:val="left"/>
        <w:rPr>
          <w:rFonts w:hint="eastAsia"/>
        </w:rPr>
      </w:pPr>
      <w:r>
        <w:rPr>
          <w:rFonts w:hint="eastAsia"/>
        </w:rPr>
        <w:t>日 期：</w:t>
      </w:r>
    </w:p>
    <w:p w14:paraId="7F8B7F38">
      <w:pPr>
        <w:snapToGrid w:val="0"/>
        <w:spacing w:line="380" w:lineRule="exact"/>
        <w:ind w:firstLine="411" w:firstLineChars="196"/>
        <w:jc w:val="left"/>
        <w:rPr>
          <w:rFonts w:hint="eastAsia" w:ascii="宋体"/>
          <w:szCs w:val="21"/>
        </w:rPr>
      </w:pPr>
    </w:p>
    <w:p w14:paraId="6BC65421">
      <w:pPr>
        <w:snapToGrid w:val="0"/>
        <w:spacing w:line="340" w:lineRule="exact"/>
        <w:ind w:firstLine="352" w:firstLineChars="196"/>
        <w:jc w:val="left"/>
        <w:rPr>
          <w:rFonts w:hint="eastAsia"/>
          <w:sz w:val="18"/>
          <w:szCs w:val="18"/>
        </w:rPr>
      </w:pPr>
      <w:r>
        <w:rPr>
          <w:rFonts w:hint="eastAsia"/>
          <w:sz w:val="18"/>
          <w:szCs w:val="18"/>
        </w:rPr>
        <w:t>注：1、从业人员、营业收入、资产总额填报上一年度数据，无上一年度数据的新成立企业可不填报。</w:t>
      </w:r>
    </w:p>
    <w:p w14:paraId="1E1965DF">
      <w:pPr>
        <w:snapToGrid w:val="0"/>
        <w:spacing w:line="340" w:lineRule="exact"/>
        <w:ind w:firstLine="712" w:firstLineChars="396"/>
        <w:jc w:val="left"/>
        <w:rPr>
          <w:rFonts w:hint="eastAsia"/>
          <w:sz w:val="18"/>
          <w:szCs w:val="18"/>
        </w:rPr>
      </w:pPr>
      <w:r>
        <w:rPr>
          <w:rFonts w:hint="eastAsia"/>
          <w:sz w:val="18"/>
          <w:szCs w:val="18"/>
        </w:rPr>
        <w:t>2、请根据自己的真实情况出具《中小企业声明函》。依法享受中小企业优惠政策的，采购人或者采购代理机构在公告中标结果时，同时公告其《中小企业声明函》，接受社会监督。</w:t>
      </w:r>
    </w:p>
    <w:p w14:paraId="07728450">
      <w:pPr>
        <w:snapToGrid w:val="0"/>
        <w:spacing w:line="340" w:lineRule="exact"/>
        <w:ind w:firstLine="712" w:firstLineChars="396"/>
        <w:jc w:val="left"/>
        <w:rPr>
          <w:rFonts w:hint="eastAsia" w:ascii="宋体"/>
          <w:szCs w:val="21"/>
        </w:rPr>
      </w:pPr>
      <w:r>
        <w:rPr>
          <w:rFonts w:hint="eastAsia"/>
          <w:sz w:val="18"/>
          <w:szCs w:val="18"/>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51F8851C">
      <w:pPr>
        <w:spacing w:line="528" w:lineRule="exact"/>
        <w:ind w:left="1871" w:leftChars="891" w:firstLine="525" w:firstLineChars="250"/>
        <w:rPr>
          <w:rFonts w:hint="eastAsia" w:ascii="宋体"/>
          <w:sz w:val="18"/>
          <w:szCs w:val="18"/>
        </w:rPr>
      </w:pPr>
      <w:r>
        <w:br w:type="page"/>
      </w:r>
    </w:p>
    <w:p w14:paraId="38295CDC">
      <w:pPr>
        <w:spacing w:line="528" w:lineRule="exact"/>
        <w:ind w:firstLine="2400" w:firstLineChars="600"/>
        <w:rPr>
          <w:rFonts w:ascii="宋体" w:hAnsi="宋体" w:cs="Arial Unicode MS"/>
          <w:sz w:val="40"/>
          <w:szCs w:val="40"/>
        </w:rPr>
      </w:pPr>
      <w:r>
        <w:rPr>
          <w:rFonts w:hint="eastAsia" w:ascii="宋体" w:hAnsi="宋体" w:cs="微软雅黑"/>
          <w:sz w:val="40"/>
          <w:szCs w:val="40"/>
        </w:rPr>
        <w:t>中小微企业划型标准</w:t>
      </w:r>
    </w:p>
    <w:tbl>
      <w:tblPr>
        <w:tblStyle w:val="49"/>
        <w:tblW w:w="8591" w:type="dxa"/>
        <w:tblInd w:w="250" w:type="dxa"/>
        <w:tblLayout w:type="fixed"/>
        <w:tblCellMar>
          <w:top w:w="0" w:type="dxa"/>
          <w:left w:w="108" w:type="dxa"/>
          <w:bottom w:w="0" w:type="dxa"/>
          <w:right w:w="108" w:type="dxa"/>
        </w:tblCellMar>
      </w:tblPr>
      <w:tblGrid>
        <w:gridCol w:w="1831"/>
        <w:gridCol w:w="1489"/>
        <w:gridCol w:w="983"/>
        <w:gridCol w:w="1743"/>
        <w:gridCol w:w="1549"/>
        <w:gridCol w:w="996"/>
      </w:tblGrid>
      <w:tr w14:paraId="71BBA6B7">
        <w:tblPrEx>
          <w:tblCellMar>
            <w:top w:w="0" w:type="dxa"/>
            <w:left w:w="108" w:type="dxa"/>
            <w:bottom w:w="0" w:type="dxa"/>
            <w:right w:w="108" w:type="dxa"/>
          </w:tblCellMar>
        </w:tblPrEx>
        <w:trPr>
          <w:trHeight w:val="287" w:hRule="atLeast"/>
        </w:trPr>
        <w:tc>
          <w:tcPr>
            <w:tcW w:w="1831" w:type="dxa"/>
            <w:tcBorders>
              <w:top w:val="single" w:color="auto" w:sz="4" w:space="0"/>
              <w:left w:val="single" w:color="auto" w:sz="4" w:space="0"/>
              <w:bottom w:val="single" w:color="auto" w:sz="4" w:space="0"/>
              <w:right w:val="single" w:color="auto" w:sz="4" w:space="0"/>
            </w:tcBorders>
            <w:vAlign w:val="center"/>
          </w:tcPr>
          <w:p w14:paraId="6C923821">
            <w:pPr>
              <w:widowControl/>
              <w:jc w:val="left"/>
              <w:rPr>
                <w:rFonts w:ascii="宋体" w:hAnsi="宋体" w:cs="宋体"/>
                <w:b/>
                <w:kern w:val="0"/>
                <w:sz w:val="24"/>
              </w:rPr>
            </w:pPr>
            <w:r>
              <w:rPr>
                <w:rFonts w:hint="eastAsia" w:ascii="宋体" w:hAnsi="宋体" w:cs="宋体"/>
                <w:b/>
                <w:kern w:val="0"/>
                <w:sz w:val="24"/>
              </w:rPr>
              <w:t>行业名称</w:t>
            </w:r>
          </w:p>
        </w:tc>
        <w:tc>
          <w:tcPr>
            <w:tcW w:w="1489" w:type="dxa"/>
            <w:tcBorders>
              <w:top w:val="single" w:color="auto" w:sz="4" w:space="0"/>
              <w:left w:val="nil"/>
              <w:bottom w:val="single" w:color="auto" w:sz="4" w:space="0"/>
              <w:right w:val="single" w:color="auto" w:sz="4" w:space="0"/>
            </w:tcBorders>
            <w:vAlign w:val="center"/>
          </w:tcPr>
          <w:p w14:paraId="32E4382D">
            <w:pPr>
              <w:widowControl/>
              <w:jc w:val="left"/>
              <w:rPr>
                <w:rFonts w:hint="eastAsia" w:ascii="宋体" w:hAnsi="宋体" w:cs="宋体"/>
                <w:b/>
                <w:kern w:val="0"/>
                <w:sz w:val="24"/>
              </w:rPr>
            </w:pPr>
            <w:r>
              <w:rPr>
                <w:rFonts w:hint="eastAsia" w:ascii="宋体" w:hAnsi="宋体" w:cs="宋体"/>
                <w:b/>
                <w:kern w:val="0"/>
                <w:sz w:val="24"/>
              </w:rPr>
              <w:t>指标名称</w:t>
            </w:r>
          </w:p>
        </w:tc>
        <w:tc>
          <w:tcPr>
            <w:tcW w:w="983" w:type="dxa"/>
            <w:tcBorders>
              <w:top w:val="single" w:color="auto" w:sz="4" w:space="0"/>
              <w:left w:val="nil"/>
              <w:bottom w:val="single" w:color="auto" w:sz="4" w:space="0"/>
              <w:right w:val="single" w:color="auto" w:sz="4" w:space="0"/>
            </w:tcBorders>
            <w:vAlign w:val="center"/>
          </w:tcPr>
          <w:p w14:paraId="06E02508">
            <w:pPr>
              <w:widowControl/>
              <w:jc w:val="left"/>
              <w:rPr>
                <w:rFonts w:hint="eastAsia" w:ascii="宋体" w:hAnsi="宋体" w:cs="宋体"/>
                <w:b/>
                <w:kern w:val="0"/>
                <w:sz w:val="24"/>
              </w:rPr>
            </w:pPr>
            <w:r>
              <w:rPr>
                <w:rFonts w:hint="eastAsia" w:ascii="宋体" w:hAnsi="宋体" w:cs="宋体"/>
                <w:b/>
                <w:kern w:val="0"/>
                <w:sz w:val="24"/>
              </w:rPr>
              <w:t>计量单位</w:t>
            </w:r>
          </w:p>
        </w:tc>
        <w:tc>
          <w:tcPr>
            <w:tcW w:w="1743" w:type="dxa"/>
            <w:tcBorders>
              <w:top w:val="single" w:color="auto" w:sz="4" w:space="0"/>
              <w:left w:val="nil"/>
              <w:bottom w:val="single" w:color="auto" w:sz="4" w:space="0"/>
              <w:right w:val="single" w:color="auto" w:sz="4" w:space="0"/>
            </w:tcBorders>
            <w:vAlign w:val="center"/>
          </w:tcPr>
          <w:p w14:paraId="1FCC618E">
            <w:pPr>
              <w:widowControl/>
              <w:jc w:val="left"/>
              <w:rPr>
                <w:rFonts w:hint="eastAsia" w:ascii="宋体" w:hAnsi="宋体" w:cs="宋体"/>
                <w:b/>
                <w:kern w:val="0"/>
                <w:sz w:val="24"/>
              </w:rPr>
            </w:pPr>
            <w:r>
              <w:rPr>
                <w:rFonts w:hint="eastAsia" w:ascii="宋体" w:hAnsi="宋体" w:cs="宋体"/>
                <w:b/>
                <w:kern w:val="0"/>
                <w:sz w:val="24"/>
              </w:rPr>
              <w:t>中型</w:t>
            </w:r>
          </w:p>
        </w:tc>
        <w:tc>
          <w:tcPr>
            <w:tcW w:w="1549" w:type="dxa"/>
            <w:tcBorders>
              <w:top w:val="single" w:color="auto" w:sz="4" w:space="0"/>
              <w:left w:val="nil"/>
              <w:bottom w:val="single" w:color="auto" w:sz="4" w:space="0"/>
              <w:right w:val="single" w:color="auto" w:sz="4" w:space="0"/>
            </w:tcBorders>
            <w:vAlign w:val="center"/>
          </w:tcPr>
          <w:p w14:paraId="56CD6912">
            <w:pPr>
              <w:widowControl/>
              <w:jc w:val="left"/>
              <w:rPr>
                <w:rFonts w:hint="eastAsia" w:ascii="宋体" w:hAnsi="宋体" w:cs="宋体"/>
                <w:b/>
                <w:kern w:val="0"/>
                <w:sz w:val="24"/>
              </w:rPr>
            </w:pPr>
            <w:r>
              <w:rPr>
                <w:rFonts w:hint="eastAsia" w:ascii="宋体" w:hAnsi="宋体" w:cs="宋体"/>
                <w:b/>
                <w:kern w:val="0"/>
                <w:sz w:val="24"/>
              </w:rPr>
              <w:t>小型</w:t>
            </w:r>
          </w:p>
        </w:tc>
        <w:tc>
          <w:tcPr>
            <w:tcW w:w="996" w:type="dxa"/>
            <w:tcBorders>
              <w:top w:val="single" w:color="auto" w:sz="4" w:space="0"/>
              <w:left w:val="nil"/>
              <w:bottom w:val="single" w:color="auto" w:sz="4" w:space="0"/>
              <w:right w:val="single" w:color="auto" w:sz="4" w:space="0"/>
            </w:tcBorders>
            <w:vAlign w:val="center"/>
          </w:tcPr>
          <w:p w14:paraId="5D8772C3">
            <w:pPr>
              <w:widowControl/>
              <w:jc w:val="left"/>
              <w:rPr>
                <w:rFonts w:hint="eastAsia" w:ascii="宋体" w:hAnsi="宋体" w:cs="宋体"/>
                <w:b/>
                <w:kern w:val="0"/>
                <w:sz w:val="24"/>
              </w:rPr>
            </w:pPr>
            <w:r>
              <w:rPr>
                <w:rFonts w:hint="eastAsia" w:ascii="宋体" w:hAnsi="宋体" w:cs="宋体"/>
                <w:b/>
                <w:kern w:val="0"/>
                <w:sz w:val="24"/>
              </w:rPr>
              <w:t>微型</w:t>
            </w:r>
          </w:p>
        </w:tc>
      </w:tr>
      <w:tr w14:paraId="1550D75D">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vAlign w:val="bottom"/>
          </w:tcPr>
          <w:p w14:paraId="3387D268">
            <w:pPr>
              <w:widowControl/>
              <w:jc w:val="center"/>
              <w:rPr>
                <w:rFonts w:hint="eastAsia" w:ascii="宋体" w:hAnsi="宋体" w:cs="宋体"/>
                <w:b/>
                <w:bCs/>
                <w:kern w:val="0"/>
                <w:sz w:val="18"/>
                <w:szCs w:val="18"/>
              </w:rPr>
            </w:pPr>
            <w:r>
              <w:rPr>
                <w:rFonts w:hint="eastAsia" w:ascii="宋体" w:hAnsi="宋体" w:cs="宋体"/>
                <w:b/>
                <w:bCs/>
                <w:kern w:val="0"/>
                <w:sz w:val="18"/>
                <w:szCs w:val="18"/>
              </w:rPr>
              <w:t>农、林、牧、渔</w:t>
            </w:r>
          </w:p>
        </w:tc>
        <w:tc>
          <w:tcPr>
            <w:tcW w:w="1489" w:type="dxa"/>
            <w:tcBorders>
              <w:top w:val="nil"/>
              <w:left w:val="nil"/>
              <w:bottom w:val="single" w:color="auto" w:sz="4" w:space="0"/>
              <w:right w:val="single" w:color="auto" w:sz="4" w:space="0"/>
            </w:tcBorders>
            <w:vAlign w:val="center"/>
          </w:tcPr>
          <w:p w14:paraId="37E41AD6">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23259362">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20D106C5">
            <w:pPr>
              <w:widowControl/>
              <w:jc w:val="left"/>
              <w:rPr>
                <w:rFonts w:hint="eastAsia" w:ascii="宋体" w:hAnsi="宋体" w:cs="宋体"/>
                <w:kern w:val="0"/>
                <w:sz w:val="18"/>
                <w:szCs w:val="18"/>
              </w:rPr>
            </w:pPr>
            <w:r>
              <w:rPr>
                <w:rFonts w:hint="eastAsia" w:ascii="宋体" w:hAnsi="宋体" w:cs="宋体"/>
                <w:kern w:val="0"/>
                <w:sz w:val="18"/>
                <w:szCs w:val="18"/>
              </w:rPr>
              <w:t>500≤Y＜20000</w:t>
            </w:r>
          </w:p>
        </w:tc>
        <w:tc>
          <w:tcPr>
            <w:tcW w:w="1549" w:type="dxa"/>
            <w:tcBorders>
              <w:top w:val="nil"/>
              <w:left w:val="nil"/>
              <w:bottom w:val="single" w:color="auto" w:sz="4" w:space="0"/>
              <w:right w:val="single" w:color="auto" w:sz="4" w:space="0"/>
            </w:tcBorders>
            <w:vAlign w:val="center"/>
          </w:tcPr>
          <w:p w14:paraId="7EB95E8F">
            <w:pPr>
              <w:widowControl/>
              <w:jc w:val="left"/>
              <w:rPr>
                <w:rFonts w:hint="eastAsia" w:ascii="宋体" w:hAnsi="宋体" w:cs="宋体"/>
                <w:kern w:val="0"/>
                <w:sz w:val="18"/>
                <w:szCs w:val="18"/>
              </w:rPr>
            </w:pPr>
            <w:r>
              <w:rPr>
                <w:rFonts w:hint="eastAsia" w:ascii="宋体" w:hAnsi="宋体" w:cs="宋体"/>
                <w:kern w:val="0"/>
                <w:sz w:val="18"/>
                <w:szCs w:val="18"/>
              </w:rPr>
              <w:t>50≤Y＜500</w:t>
            </w:r>
          </w:p>
        </w:tc>
        <w:tc>
          <w:tcPr>
            <w:tcW w:w="996" w:type="dxa"/>
            <w:tcBorders>
              <w:top w:val="nil"/>
              <w:left w:val="nil"/>
              <w:bottom w:val="single" w:color="auto" w:sz="4" w:space="0"/>
              <w:right w:val="single" w:color="auto" w:sz="4" w:space="0"/>
            </w:tcBorders>
            <w:vAlign w:val="center"/>
          </w:tcPr>
          <w:p w14:paraId="0130A7BF">
            <w:pPr>
              <w:widowControl/>
              <w:jc w:val="left"/>
              <w:rPr>
                <w:rFonts w:hint="eastAsia" w:ascii="宋体" w:hAnsi="宋体" w:cs="宋体"/>
                <w:kern w:val="0"/>
                <w:sz w:val="18"/>
                <w:szCs w:val="18"/>
              </w:rPr>
            </w:pPr>
            <w:r>
              <w:rPr>
                <w:rFonts w:hint="eastAsia" w:ascii="宋体" w:hAnsi="宋体" w:cs="宋体"/>
                <w:kern w:val="0"/>
                <w:sz w:val="18"/>
                <w:szCs w:val="18"/>
              </w:rPr>
              <w:t>Y＜50</w:t>
            </w:r>
          </w:p>
        </w:tc>
      </w:tr>
      <w:tr w14:paraId="6277B742">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009B1099">
            <w:pPr>
              <w:widowControl/>
              <w:jc w:val="center"/>
              <w:rPr>
                <w:rFonts w:hint="eastAsia" w:ascii="宋体" w:hAnsi="宋体" w:cs="宋体"/>
                <w:b/>
                <w:bCs/>
                <w:kern w:val="0"/>
                <w:sz w:val="18"/>
                <w:szCs w:val="18"/>
              </w:rPr>
            </w:pPr>
            <w:r>
              <w:rPr>
                <w:rFonts w:hint="eastAsia" w:ascii="宋体" w:hAnsi="宋体" w:cs="宋体"/>
                <w:b/>
                <w:bCs/>
                <w:kern w:val="0"/>
                <w:sz w:val="18"/>
                <w:szCs w:val="18"/>
              </w:rPr>
              <w:t>工业</w:t>
            </w:r>
          </w:p>
        </w:tc>
        <w:tc>
          <w:tcPr>
            <w:tcW w:w="1489" w:type="dxa"/>
            <w:tcBorders>
              <w:top w:val="nil"/>
              <w:left w:val="nil"/>
              <w:bottom w:val="single" w:color="auto" w:sz="4" w:space="0"/>
              <w:right w:val="single" w:color="auto" w:sz="4" w:space="0"/>
            </w:tcBorders>
            <w:vAlign w:val="center"/>
          </w:tcPr>
          <w:p w14:paraId="6A9BF7A3">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4FCA5E11">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5F35F57C">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549" w:type="dxa"/>
            <w:tcBorders>
              <w:top w:val="nil"/>
              <w:left w:val="nil"/>
              <w:bottom w:val="single" w:color="auto" w:sz="4" w:space="0"/>
              <w:right w:val="single" w:color="auto" w:sz="4" w:space="0"/>
            </w:tcBorders>
            <w:vAlign w:val="center"/>
          </w:tcPr>
          <w:p w14:paraId="7D8810B6">
            <w:pPr>
              <w:widowControl/>
              <w:jc w:val="left"/>
              <w:rPr>
                <w:rFonts w:hint="eastAsia" w:ascii="宋体" w:hAnsi="宋体" w:cs="宋体"/>
                <w:kern w:val="0"/>
                <w:sz w:val="18"/>
                <w:szCs w:val="18"/>
              </w:rPr>
            </w:pPr>
            <w:r>
              <w:rPr>
                <w:rFonts w:hint="eastAsia" w:ascii="宋体" w:hAnsi="宋体" w:cs="宋体"/>
                <w:kern w:val="0"/>
                <w:sz w:val="18"/>
                <w:szCs w:val="18"/>
              </w:rPr>
              <w:t>20≤X＜300</w:t>
            </w:r>
          </w:p>
        </w:tc>
        <w:tc>
          <w:tcPr>
            <w:tcW w:w="996" w:type="dxa"/>
            <w:tcBorders>
              <w:top w:val="nil"/>
              <w:left w:val="nil"/>
              <w:bottom w:val="single" w:color="auto" w:sz="4" w:space="0"/>
              <w:right w:val="single" w:color="auto" w:sz="4" w:space="0"/>
            </w:tcBorders>
            <w:vAlign w:val="center"/>
          </w:tcPr>
          <w:p w14:paraId="21557B88">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53245F7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75BC7380">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6A58A264">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3333011F">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5CD908DC">
            <w:pPr>
              <w:widowControl/>
              <w:jc w:val="left"/>
              <w:rPr>
                <w:rFonts w:hint="eastAsia" w:ascii="宋体" w:hAnsi="宋体" w:cs="宋体"/>
                <w:kern w:val="0"/>
                <w:sz w:val="18"/>
                <w:szCs w:val="18"/>
              </w:rPr>
            </w:pPr>
            <w:r>
              <w:rPr>
                <w:rFonts w:hint="eastAsia" w:ascii="宋体" w:hAnsi="宋体" w:cs="宋体"/>
                <w:kern w:val="0"/>
                <w:sz w:val="18"/>
                <w:szCs w:val="18"/>
              </w:rPr>
              <w:t>2000≤Y＜40000</w:t>
            </w:r>
          </w:p>
        </w:tc>
        <w:tc>
          <w:tcPr>
            <w:tcW w:w="1549" w:type="dxa"/>
            <w:tcBorders>
              <w:top w:val="nil"/>
              <w:left w:val="nil"/>
              <w:bottom w:val="single" w:color="auto" w:sz="4" w:space="0"/>
              <w:right w:val="single" w:color="auto" w:sz="4" w:space="0"/>
            </w:tcBorders>
            <w:vAlign w:val="center"/>
          </w:tcPr>
          <w:p w14:paraId="5324088D">
            <w:pPr>
              <w:widowControl/>
              <w:jc w:val="left"/>
              <w:rPr>
                <w:rFonts w:hint="eastAsia" w:ascii="宋体" w:hAnsi="宋体" w:cs="宋体"/>
                <w:kern w:val="0"/>
                <w:sz w:val="18"/>
                <w:szCs w:val="18"/>
              </w:rPr>
            </w:pPr>
            <w:r>
              <w:rPr>
                <w:rFonts w:hint="eastAsia" w:ascii="宋体" w:hAnsi="宋体" w:cs="宋体"/>
                <w:kern w:val="0"/>
                <w:sz w:val="18"/>
                <w:szCs w:val="18"/>
              </w:rPr>
              <w:t>300≤Y＜2000</w:t>
            </w:r>
          </w:p>
        </w:tc>
        <w:tc>
          <w:tcPr>
            <w:tcW w:w="996" w:type="dxa"/>
            <w:tcBorders>
              <w:top w:val="nil"/>
              <w:left w:val="nil"/>
              <w:bottom w:val="single" w:color="auto" w:sz="4" w:space="0"/>
              <w:right w:val="single" w:color="auto" w:sz="4" w:space="0"/>
            </w:tcBorders>
            <w:vAlign w:val="center"/>
          </w:tcPr>
          <w:p w14:paraId="39DD652A">
            <w:pPr>
              <w:widowControl/>
              <w:jc w:val="left"/>
              <w:rPr>
                <w:rFonts w:hint="eastAsia" w:ascii="宋体" w:hAnsi="宋体" w:cs="宋体"/>
                <w:kern w:val="0"/>
                <w:sz w:val="18"/>
                <w:szCs w:val="18"/>
              </w:rPr>
            </w:pPr>
            <w:r>
              <w:rPr>
                <w:rFonts w:hint="eastAsia" w:ascii="宋体" w:hAnsi="宋体" w:cs="宋体"/>
                <w:kern w:val="0"/>
                <w:sz w:val="18"/>
                <w:szCs w:val="18"/>
              </w:rPr>
              <w:t>Y＜300</w:t>
            </w:r>
          </w:p>
        </w:tc>
      </w:tr>
      <w:tr w14:paraId="3082E69F">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072B26C4">
            <w:pPr>
              <w:widowControl/>
              <w:jc w:val="center"/>
              <w:rPr>
                <w:rFonts w:hint="eastAsia" w:ascii="宋体" w:hAnsi="宋体" w:cs="宋体"/>
                <w:b/>
                <w:bCs/>
                <w:kern w:val="0"/>
                <w:sz w:val="18"/>
                <w:szCs w:val="18"/>
              </w:rPr>
            </w:pPr>
            <w:r>
              <w:rPr>
                <w:rFonts w:hint="eastAsia" w:ascii="宋体" w:hAnsi="宋体" w:cs="宋体"/>
                <w:b/>
                <w:bCs/>
                <w:kern w:val="0"/>
                <w:sz w:val="18"/>
                <w:szCs w:val="18"/>
              </w:rPr>
              <w:t>建筑业</w:t>
            </w:r>
          </w:p>
        </w:tc>
        <w:tc>
          <w:tcPr>
            <w:tcW w:w="1489" w:type="dxa"/>
            <w:tcBorders>
              <w:top w:val="nil"/>
              <w:left w:val="nil"/>
              <w:bottom w:val="single" w:color="auto" w:sz="4" w:space="0"/>
              <w:right w:val="single" w:color="auto" w:sz="4" w:space="0"/>
            </w:tcBorders>
            <w:vAlign w:val="center"/>
          </w:tcPr>
          <w:p w14:paraId="48C4B1A5">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77B95372">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1D2795FA">
            <w:pPr>
              <w:widowControl/>
              <w:jc w:val="left"/>
              <w:rPr>
                <w:rFonts w:hint="eastAsia" w:ascii="宋体" w:hAnsi="宋体" w:cs="宋体"/>
                <w:kern w:val="0"/>
                <w:sz w:val="18"/>
                <w:szCs w:val="18"/>
              </w:rPr>
            </w:pPr>
            <w:r>
              <w:rPr>
                <w:rFonts w:hint="eastAsia" w:ascii="宋体" w:hAnsi="宋体" w:cs="宋体"/>
                <w:kern w:val="0"/>
                <w:sz w:val="18"/>
                <w:szCs w:val="18"/>
              </w:rPr>
              <w:t>6000≤Y＜80000</w:t>
            </w:r>
          </w:p>
        </w:tc>
        <w:tc>
          <w:tcPr>
            <w:tcW w:w="1549" w:type="dxa"/>
            <w:tcBorders>
              <w:top w:val="nil"/>
              <w:left w:val="nil"/>
              <w:bottom w:val="single" w:color="auto" w:sz="4" w:space="0"/>
              <w:right w:val="single" w:color="auto" w:sz="4" w:space="0"/>
            </w:tcBorders>
            <w:vAlign w:val="center"/>
          </w:tcPr>
          <w:p w14:paraId="083CC564">
            <w:pPr>
              <w:widowControl/>
              <w:jc w:val="left"/>
              <w:rPr>
                <w:rFonts w:hint="eastAsia" w:ascii="宋体" w:hAnsi="宋体" w:cs="宋体"/>
                <w:kern w:val="0"/>
                <w:sz w:val="18"/>
                <w:szCs w:val="18"/>
              </w:rPr>
            </w:pPr>
            <w:r>
              <w:rPr>
                <w:rFonts w:hint="eastAsia" w:ascii="宋体" w:hAnsi="宋体" w:cs="宋体"/>
                <w:kern w:val="0"/>
                <w:sz w:val="18"/>
                <w:szCs w:val="18"/>
              </w:rPr>
              <w:t>300≤Y＜6000</w:t>
            </w:r>
          </w:p>
        </w:tc>
        <w:tc>
          <w:tcPr>
            <w:tcW w:w="996" w:type="dxa"/>
            <w:tcBorders>
              <w:top w:val="nil"/>
              <w:left w:val="nil"/>
              <w:bottom w:val="single" w:color="auto" w:sz="4" w:space="0"/>
              <w:right w:val="single" w:color="auto" w:sz="4" w:space="0"/>
            </w:tcBorders>
            <w:vAlign w:val="center"/>
          </w:tcPr>
          <w:p w14:paraId="584B13F7">
            <w:pPr>
              <w:widowControl/>
              <w:jc w:val="left"/>
              <w:rPr>
                <w:rFonts w:hint="eastAsia" w:ascii="宋体" w:hAnsi="宋体" w:cs="宋体"/>
                <w:kern w:val="0"/>
                <w:sz w:val="18"/>
                <w:szCs w:val="18"/>
              </w:rPr>
            </w:pPr>
            <w:r>
              <w:rPr>
                <w:rFonts w:hint="eastAsia" w:ascii="宋体" w:hAnsi="宋体" w:cs="宋体"/>
                <w:kern w:val="0"/>
                <w:sz w:val="18"/>
                <w:szCs w:val="18"/>
              </w:rPr>
              <w:t>Y＜300</w:t>
            </w:r>
          </w:p>
        </w:tc>
      </w:tr>
      <w:tr w14:paraId="0E9673AA">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391023CA">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27E57077">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983" w:type="dxa"/>
            <w:tcBorders>
              <w:top w:val="nil"/>
              <w:left w:val="nil"/>
              <w:bottom w:val="single" w:color="auto" w:sz="4" w:space="0"/>
              <w:right w:val="single" w:color="auto" w:sz="4" w:space="0"/>
            </w:tcBorders>
            <w:vAlign w:val="center"/>
          </w:tcPr>
          <w:p w14:paraId="2057AFBE">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4DFB9B88">
            <w:pPr>
              <w:widowControl/>
              <w:jc w:val="left"/>
              <w:rPr>
                <w:rFonts w:hint="eastAsia" w:ascii="宋体" w:hAnsi="宋体" w:cs="宋体"/>
                <w:kern w:val="0"/>
                <w:sz w:val="18"/>
                <w:szCs w:val="18"/>
              </w:rPr>
            </w:pPr>
            <w:r>
              <w:rPr>
                <w:rFonts w:hint="eastAsia" w:ascii="宋体" w:hAnsi="宋体" w:cs="宋体"/>
                <w:kern w:val="0"/>
                <w:sz w:val="18"/>
                <w:szCs w:val="18"/>
              </w:rPr>
              <w:t>5000≤Z＜80000</w:t>
            </w:r>
          </w:p>
        </w:tc>
        <w:tc>
          <w:tcPr>
            <w:tcW w:w="1549" w:type="dxa"/>
            <w:tcBorders>
              <w:top w:val="nil"/>
              <w:left w:val="nil"/>
              <w:bottom w:val="single" w:color="auto" w:sz="4" w:space="0"/>
              <w:right w:val="single" w:color="auto" w:sz="4" w:space="0"/>
            </w:tcBorders>
            <w:vAlign w:val="center"/>
          </w:tcPr>
          <w:p w14:paraId="611EB757">
            <w:pPr>
              <w:widowControl/>
              <w:jc w:val="left"/>
              <w:rPr>
                <w:rFonts w:hint="eastAsia" w:ascii="宋体" w:hAnsi="宋体" w:cs="宋体"/>
                <w:kern w:val="0"/>
                <w:sz w:val="18"/>
                <w:szCs w:val="18"/>
              </w:rPr>
            </w:pPr>
            <w:r>
              <w:rPr>
                <w:rFonts w:hint="eastAsia" w:ascii="宋体" w:hAnsi="宋体" w:cs="宋体"/>
                <w:kern w:val="0"/>
                <w:sz w:val="18"/>
                <w:szCs w:val="18"/>
              </w:rPr>
              <w:t>300≤Z＜5000</w:t>
            </w:r>
          </w:p>
        </w:tc>
        <w:tc>
          <w:tcPr>
            <w:tcW w:w="996" w:type="dxa"/>
            <w:tcBorders>
              <w:top w:val="nil"/>
              <w:left w:val="nil"/>
              <w:bottom w:val="single" w:color="auto" w:sz="4" w:space="0"/>
              <w:right w:val="single" w:color="auto" w:sz="4" w:space="0"/>
            </w:tcBorders>
            <w:vAlign w:val="center"/>
          </w:tcPr>
          <w:p w14:paraId="5E8D3A25">
            <w:pPr>
              <w:widowControl/>
              <w:jc w:val="left"/>
              <w:rPr>
                <w:rFonts w:hint="eastAsia" w:ascii="宋体" w:hAnsi="宋体" w:cs="宋体"/>
                <w:kern w:val="0"/>
                <w:sz w:val="18"/>
                <w:szCs w:val="18"/>
              </w:rPr>
            </w:pPr>
            <w:r>
              <w:rPr>
                <w:rFonts w:hint="eastAsia" w:ascii="宋体" w:hAnsi="宋体" w:cs="宋体"/>
                <w:kern w:val="0"/>
                <w:sz w:val="18"/>
                <w:szCs w:val="18"/>
              </w:rPr>
              <w:t>Z＜300</w:t>
            </w:r>
          </w:p>
        </w:tc>
      </w:tr>
      <w:tr w14:paraId="24E83E04">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16A0897D">
            <w:pPr>
              <w:widowControl/>
              <w:jc w:val="center"/>
              <w:rPr>
                <w:rFonts w:hint="eastAsia" w:ascii="宋体" w:hAnsi="宋体" w:cs="宋体"/>
                <w:b/>
                <w:bCs/>
                <w:kern w:val="0"/>
                <w:sz w:val="18"/>
                <w:szCs w:val="18"/>
              </w:rPr>
            </w:pPr>
            <w:r>
              <w:rPr>
                <w:rFonts w:hint="eastAsia" w:ascii="宋体" w:hAnsi="宋体" w:cs="宋体"/>
                <w:b/>
                <w:bCs/>
                <w:kern w:val="0"/>
                <w:sz w:val="18"/>
                <w:szCs w:val="18"/>
              </w:rPr>
              <w:t>批发业</w:t>
            </w:r>
          </w:p>
        </w:tc>
        <w:tc>
          <w:tcPr>
            <w:tcW w:w="1489" w:type="dxa"/>
            <w:tcBorders>
              <w:top w:val="nil"/>
              <w:left w:val="nil"/>
              <w:bottom w:val="single" w:color="auto" w:sz="4" w:space="0"/>
              <w:right w:val="single" w:color="auto" w:sz="4" w:space="0"/>
            </w:tcBorders>
            <w:vAlign w:val="center"/>
          </w:tcPr>
          <w:p w14:paraId="567BCD67">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3B19CF9B">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3292F552">
            <w:pPr>
              <w:widowControl/>
              <w:jc w:val="left"/>
              <w:rPr>
                <w:rFonts w:hint="eastAsia" w:ascii="宋体" w:hAnsi="宋体" w:cs="宋体"/>
                <w:kern w:val="0"/>
                <w:sz w:val="18"/>
                <w:szCs w:val="18"/>
              </w:rPr>
            </w:pPr>
            <w:r>
              <w:rPr>
                <w:rFonts w:hint="eastAsia" w:ascii="宋体" w:hAnsi="宋体" w:cs="宋体"/>
                <w:kern w:val="0"/>
                <w:sz w:val="18"/>
                <w:szCs w:val="18"/>
              </w:rPr>
              <w:t>20≤X＜200</w:t>
            </w:r>
          </w:p>
        </w:tc>
        <w:tc>
          <w:tcPr>
            <w:tcW w:w="1549" w:type="dxa"/>
            <w:tcBorders>
              <w:top w:val="nil"/>
              <w:left w:val="nil"/>
              <w:bottom w:val="single" w:color="auto" w:sz="4" w:space="0"/>
              <w:right w:val="single" w:color="auto" w:sz="4" w:space="0"/>
            </w:tcBorders>
            <w:vAlign w:val="center"/>
          </w:tcPr>
          <w:p w14:paraId="034E7737">
            <w:pPr>
              <w:widowControl/>
              <w:jc w:val="left"/>
              <w:rPr>
                <w:rFonts w:hint="eastAsia" w:ascii="宋体" w:hAnsi="宋体" w:cs="宋体"/>
                <w:kern w:val="0"/>
                <w:sz w:val="18"/>
                <w:szCs w:val="18"/>
              </w:rPr>
            </w:pPr>
            <w:r>
              <w:rPr>
                <w:rFonts w:hint="eastAsia" w:ascii="宋体" w:hAnsi="宋体" w:cs="宋体"/>
                <w:kern w:val="0"/>
                <w:sz w:val="18"/>
                <w:szCs w:val="18"/>
              </w:rPr>
              <w:t>5≤X＜20</w:t>
            </w:r>
          </w:p>
        </w:tc>
        <w:tc>
          <w:tcPr>
            <w:tcW w:w="996" w:type="dxa"/>
            <w:tcBorders>
              <w:top w:val="nil"/>
              <w:left w:val="nil"/>
              <w:bottom w:val="single" w:color="auto" w:sz="4" w:space="0"/>
              <w:right w:val="single" w:color="auto" w:sz="4" w:space="0"/>
            </w:tcBorders>
            <w:vAlign w:val="center"/>
          </w:tcPr>
          <w:p w14:paraId="33D0DB60">
            <w:pPr>
              <w:widowControl/>
              <w:jc w:val="left"/>
              <w:rPr>
                <w:rFonts w:hint="eastAsia" w:ascii="宋体" w:hAnsi="宋体" w:cs="宋体"/>
                <w:kern w:val="0"/>
                <w:sz w:val="18"/>
                <w:szCs w:val="18"/>
              </w:rPr>
            </w:pPr>
            <w:r>
              <w:rPr>
                <w:rFonts w:hint="eastAsia" w:ascii="宋体" w:hAnsi="宋体" w:cs="宋体"/>
                <w:kern w:val="0"/>
                <w:sz w:val="18"/>
                <w:szCs w:val="18"/>
              </w:rPr>
              <w:t>X＜5</w:t>
            </w:r>
          </w:p>
        </w:tc>
      </w:tr>
      <w:tr w14:paraId="5EC50898">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3134250D">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117241F6">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3B69F425">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25334149">
            <w:pPr>
              <w:widowControl/>
              <w:jc w:val="left"/>
              <w:rPr>
                <w:rFonts w:hint="eastAsia" w:ascii="宋体" w:hAnsi="宋体" w:cs="宋体"/>
                <w:kern w:val="0"/>
                <w:sz w:val="18"/>
                <w:szCs w:val="18"/>
              </w:rPr>
            </w:pPr>
            <w:r>
              <w:rPr>
                <w:rFonts w:hint="eastAsia" w:ascii="宋体" w:hAnsi="宋体" w:cs="宋体"/>
                <w:kern w:val="0"/>
                <w:sz w:val="18"/>
                <w:szCs w:val="18"/>
              </w:rPr>
              <w:t>5000≤Y＜40000</w:t>
            </w:r>
          </w:p>
        </w:tc>
        <w:tc>
          <w:tcPr>
            <w:tcW w:w="1549" w:type="dxa"/>
            <w:tcBorders>
              <w:top w:val="nil"/>
              <w:left w:val="nil"/>
              <w:bottom w:val="single" w:color="auto" w:sz="4" w:space="0"/>
              <w:right w:val="single" w:color="auto" w:sz="4" w:space="0"/>
            </w:tcBorders>
            <w:vAlign w:val="center"/>
          </w:tcPr>
          <w:p w14:paraId="51529B8F">
            <w:pPr>
              <w:widowControl/>
              <w:jc w:val="left"/>
              <w:rPr>
                <w:rFonts w:hint="eastAsia" w:ascii="宋体" w:hAnsi="宋体" w:cs="宋体"/>
                <w:kern w:val="0"/>
                <w:sz w:val="18"/>
                <w:szCs w:val="18"/>
              </w:rPr>
            </w:pPr>
            <w:r>
              <w:rPr>
                <w:rFonts w:hint="eastAsia" w:ascii="宋体" w:hAnsi="宋体" w:cs="宋体"/>
                <w:kern w:val="0"/>
                <w:sz w:val="18"/>
                <w:szCs w:val="18"/>
              </w:rPr>
              <w:t>1000≤Y＜5000</w:t>
            </w:r>
          </w:p>
        </w:tc>
        <w:tc>
          <w:tcPr>
            <w:tcW w:w="996" w:type="dxa"/>
            <w:tcBorders>
              <w:top w:val="nil"/>
              <w:left w:val="nil"/>
              <w:bottom w:val="single" w:color="auto" w:sz="4" w:space="0"/>
              <w:right w:val="single" w:color="auto" w:sz="4" w:space="0"/>
            </w:tcBorders>
            <w:vAlign w:val="center"/>
          </w:tcPr>
          <w:p w14:paraId="6B203731">
            <w:pPr>
              <w:widowControl/>
              <w:jc w:val="left"/>
              <w:rPr>
                <w:rFonts w:hint="eastAsia" w:ascii="宋体" w:hAnsi="宋体" w:cs="宋体"/>
                <w:kern w:val="0"/>
                <w:sz w:val="18"/>
                <w:szCs w:val="18"/>
              </w:rPr>
            </w:pPr>
            <w:r>
              <w:rPr>
                <w:rFonts w:hint="eastAsia" w:ascii="宋体" w:hAnsi="宋体" w:cs="宋体"/>
                <w:kern w:val="0"/>
                <w:sz w:val="18"/>
                <w:szCs w:val="18"/>
              </w:rPr>
              <w:t>Y＜1000</w:t>
            </w:r>
          </w:p>
        </w:tc>
      </w:tr>
      <w:tr w14:paraId="59E79407">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2573E921">
            <w:pPr>
              <w:widowControl/>
              <w:jc w:val="center"/>
              <w:rPr>
                <w:rFonts w:hint="eastAsia" w:ascii="宋体" w:hAnsi="宋体" w:cs="宋体"/>
                <w:b/>
                <w:bCs/>
                <w:kern w:val="0"/>
                <w:sz w:val="18"/>
                <w:szCs w:val="18"/>
              </w:rPr>
            </w:pPr>
            <w:r>
              <w:rPr>
                <w:rFonts w:hint="eastAsia" w:ascii="宋体" w:hAnsi="宋体" w:cs="宋体"/>
                <w:b/>
                <w:bCs/>
                <w:kern w:val="0"/>
                <w:sz w:val="18"/>
                <w:szCs w:val="18"/>
              </w:rPr>
              <w:t>零售业</w:t>
            </w:r>
          </w:p>
        </w:tc>
        <w:tc>
          <w:tcPr>
            <w:tcW w:w="1489" w:type="dxa"/>
            <w:tcBorders>
              <w:top w:val="nil"/>
              <w:left w:val="nil"/>
              <w:bottom w:val="single" w:color="auto" w:sz="4" w:space="0"/>
              <w:right w:val="single" w:color="auto" w:sz="4" w:space="0"/>
            </w:tcBorders>
            <w:vAlign w:val="center"/>
          </w:tcPr>
          <w:p w14:paraId="1D82483E">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03A84844">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67C7953B">
            <w:pPr>
              <w:widowControl/>
              <w:jc w:val="left"/>
              <w:rPr>
                <w:rFonts w:hint="eastAsia" w:ascii="宋体" w:hAnsi="宋体" w:cs="宋体"/>
                <w:kern w:val="0"/>
                <w:sz w:val="18"/>
                <w:szCs w:val="18"/>
              </w:rPr>
            </w:pPr>
            <w:r>
              <w:rPr>
                <w:rFonts w:hint="eastAsia" w:ascii="宋体" w:hAnsi="宋体" w:cs="宋体"/>
                <w:kern w:val="0"/>
                <w:sz w:val="18"/>
                <w:szCs w:val="18"/>
              </w:rPr>
              <w:t>50≤X＜300</w:t>
            </w:r>
          </w:p>
        </w:tc>
        <w:tc>
          <w:tcPr>
            <w:tcW w:w="1549" w:type="dxa"/>
            <w:tcBorders>
              <w:top w:val="nil"/>
              <w:left w:val="nil"/>
              <w:bottom w:val="single" w:color="auto" w:sz="4" w:space="0"/>
              <w:right w:val="single" w:color="auto" w:sz="4" w:space="0"/>
            </w:tcBorders>
            <w:vAlign w:val="center"/>
          </w:tcPr>
          <w:p w14:paraId="02AA5848">
            <w:pPr>
              <w:widowControl/>
              <w:jc w:val="left"/>
              <w:rPr>
                <w:rFonts w:hint="eastAsia" w:ascii="宋体" w:hAnsi="宋体" w:cs="宋体"/>
                <w:kern w:val="0"/>
                <w:sz w:val="18"/>
                <w:szCs w:val="18"/>
              </w:rPr>
            </w:pPr>
            <w:r>
              <w:rPr>
                <w:rFonts w:hint="eastAsia" w:ascii="宋体" w:hAnsi="宋体" w:cs="宋体"/>
                <w:kern w:val="0"/>
                <w:sz w:val="18"/>
                <w:szCs w:val="18"/>
              </w:rPr>
              <w:t>10≤X＜50</w:t>
            </w:r>
          </w:p>
        </w:tc>
        <w:tc>
          <w:tcPr>
            <w:tcW w:w="996" w:type="dxa"/>
            <w:tcBorders>
              <w:top w:val="nil"/>
              <w:left w:val="nil"/>
              <w:bottom w:val="single" w:color="auto" w:sz="4" w:space="0"/>
              <w:right w:val="single" w:color="auto" w:sz="4" w:space="0"/>
            </w:tcBorders>
            <w:vAlign w:val="center"/>
          </w:tcPr>
          <w:p w14:paraId="49F7862F">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6F33C7EA">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6C3D8292">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76567B8C">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21B65903">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568E0942">
            <w:pPr>
              <w:widowControl/>
              <w:jc w:val="left"/>
              <w:rPr>
                <w:rFonts w:hint="eastAsia" w:ascii="宋体" w:hAnsi="宋体" w:cs="宋体"/>
                <w:kern w:val="0"/>
                <w:sz w:val="18"/>
                <w:szCs w:val="18"/>
              </w:rPr>
            </w:pPr>
            <w:r>
              <w:rPr>
                <w:rFonts w:hint="eastAsia" w:ascii="宋体" w:hAnsi="宋体" w:cs="宋体"/>
                <w:kern w:val="0"/>
                <w:sz w:val="18"/>
                <w:szCs w:val="18"/>
              </w:rPr>
              <w:t>500≤Y＜20000</w:t>
            </w:r>
          </w:p>
        </w:tc>
        <w:tc>
          <w:tcPr>
            <w:tcW w:w="1549" w:type="dxa"/>
            <w:tcBorders>
              <w:top w:val="nil"/>
              <w:left w:val="nil"/>
              <w:bottom w:val="single" w:color="auto" w:sz="4" w:space="0"/>
              <w:right w:val="single" w:color="auto" w:sz="4" w:space="0"/>
            </w:tcBorders>
            <w:vAlign w:val="center"/>
          </w:tcPr>
          <w:p w14:paraId="242B3558">
            <w:pPr>
              <w:widowControl/>
              <w:jc w:val="left"/>
              <w:rPr>
                <w:rFonts w:hint="eastAsia" w:ascii="宋体" w:hAnsi="宋体" w:cs="宋体"/>
                <w:kern w:val="0"/>
                <w:sz w:val="18"/>
                <w:szCs w:val="18"/>
              </w:rPr>
            </w:pPr>
            <w:r>
              <w:rPr>
                <w:rFonts w:hint="eastAsia" w:ascii="宋体" w:hAnsi="宋体" w:cs="宋体"/>
                <w:kern w:val="0"/>
                <w:sz w:val="18"/>
                <w:szCs w:val="18"/>
              </w:rPr>
              <w:t>100≤Y＜500</w:t>
            </w:r>
          </w:p>
        </w:tc>
        <w:tc>
          <w:tcPr>
            <w:tcW w:w="996" w:type="dxa"/>
            <w:tcBorders>
              <w:top w:val="nil"/>
              <w:left w:val="nil"/>
              <w:bottom w:val="single" w:color="auto" w:sz="4" w:space="0"/>
              <w:right w:val="single" w:color="auto" w:sz="4" w:space="0"/>
            </w:tcBorders>
            <w:vAlign w:val="center"/>
          </w:tcPr>
          <w:p w14:paraId="6F06D25C">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0CF5230D">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581B5503">
            <w:pPr>
              <w:widowControl/>
              <w:jc w:val="center"/>
              <w:rPr>
                <w:rFonts w:hint="eastAsia" w:ascii="宋体" w:hAnsi="宋体" w:cs="宋体"/>
                <w:b/>
                <w:bCs/>
                <w:kern w:val="0"/>
                <w:sz w:val="18"/>
                <w:szCs w:val="18"/>
              </w:rPr>
            </w:pPr>
            <w:r>
              <w:rPr>
                <w:rFonts w:hint="eastAsia" w:ascii="宋体" w:hAnsi="宋体" w:cs="宋体"/>
                <w:b/>
                <w:bCs/>
                <w:kern w:val="0"/>
                <w:sz w:val="18"/>
                <w:szCs w:val="18"/>
              </w:rPr>
              <w:t>交通运输业</w:t>
            </w:r>
          </w:p>
        </w:tc>
        <w:tc>
          <w:tcPr>
            <w:tcW w:w="1489" w:type="dxa"/>
            <w:tcBorders>
              <w:top w:val="nil"/>
              <w:left w:val="nil"/>
              <w:bottom w:val="single" w:color="auto" w:sz="4" w:space="0"/>
              <w:right w:val="single" w:color="auto" w:sz="4" w:space="0"/>
            </w:tcBorders>
            <w:vAlign w:val="center"/>
          </w:tcPr>
          <w:p w14:paraId="44FC91DF">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3488EC10">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67E461FF">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549" w:type="dxa"/>
            <w:tcBorders>
              <w:top w:val="nil"/>
              <w:left w:val="nil"/>
              <w:bottom w:val="single" w:color="auto" w:sz="4" w:space="0"/>
              <w:right w:val="single" w:color="auto" w:sz="4" w:space="0"/>
            </w:tcBorders>
            <w:vAlign w:val="center"/>
          </w:tcPr>
          <w:p w14:paraId="271D12F9">
            <w:pPr>
              <w:widowControl/>
              <w:jc w:val="left"/>
              <w:rPr>
                <w:rFonts w:hint="eastAsia" w:ascii="宋体" w:hAnsi="宋体" w:cs="宋体"/>
                <w:kern w:val="0"/>
                <w:sz w:val="18"/>
                <w:szCs w:val="18"/>
              </w:rPr>
            </w:pPr>
            <w:r>
              <w:rPr>
                <w:rFonts w:hint="eastAsia" w:ascii="宋体" w:hAnsi="宋体" w:cs="宋体"/>
                <w:kern w:val="0"/>
                <w:sz w:val="18"/>
                <w:szCs w:val="18"/>
              </w:rPr>
              <w:t>20≤X＜300</w:t>
            </w:r>
          </w:p>
        </w:tc>
        <w:tc>
          <w:tcPr>
            <w:tcW w:w="996" w:type="dxa"/>
            <w:tcBorders>
              <w:top w:val="nil"/>
              <w:left w:val="nil"/>
              <w:bottom w:val="single" w:color="auto" w:sz="4" w:space="0"/>
              <w:right w:val="single" w:color="auto" w:sz="4" w:space="0"/>
            </w:tcBorders>
            <w:vAlign w:val="center"/>
          </w:tcPr>
          <w:p w14:paraId="7E594ABA">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4F87647D">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2DBF7172">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4470914E">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10DB3967">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12BB4CBF">
            <w:pPr>
              <w:widowControl/>
              <w:jc w:val="left"/>
              <w:rPr>
                <w:rFonts w:hint="eastAsia" w:ascii="宋体" w:hAnsi="宋体" w:cs="宋体"/>
                <w:kern w:val="0"/>
                <w:sz w:val="18"/>
                <w:szCs w:val="18"/>
              </w:rPr>
            </w:pPr>
            <w:r>
              <w:rPr>
                <w:rFonts w:hint="eastAsia" w:ascii="宋体" w:hAnsi="宋体" w:cs="宋体"/>
                <w:kern w:val="0"/>
                <w:sz w:val="18"/>
                <w:szCs w:val="18"/>
              </w:rPr>
              <w:t>3000≤Y＜30000</w:t>
            </w:r>
          </w:p>
        </w:tc>
        <w:tc>
          <w:tcPr>
            <w:tcW w:w="1549" w:type="dxa"/>
            <w:tcBorders>
              <w:top w:val="nil"/>
              <w:left w:val="nil"/>
              <w:bottom w:val="single" w:color="auto" w:sz="4" w:space="0"/>
              <w:right w:val="single" w:color="auto" w:sz="4" w:space="0"/>
            </w:tcBorders>
            <w:vAlign w:val="center"/>
          </w:tcPr>
          <w:p w14:paraId="4B1F6F5A">
            <w:pPr>
              <w:widowControl/>
              <w:jc w:val="left"/>
              <w:rPr>
                <w:rFonts w:hint="eastAsia" w:ascii="宋体" w:hAnsi="宋体" w:cs="宋体"/>
                <w:kern w:val="0"/>
                <w:sz w:val="18"/>
                <w:szCs w:val="18"/>
              </w:rPr>
            </w:pPr>
            <w:r>
              <w:rPr>
                <w:rFonts w:hint="eastAsia" w:ascii="宋体" w:hAnsi="宋体" w:cs="宋体"/>
                <w:kern w:val="0"/>
                <w:sz w:val="18"/>
                <w:szCs w:val="18"/>
              </w:rPr>
              <w:t>200≤Y＜3000</w:t>
            </w:r>
          </w:p>
        </w:tc>
        <w:tc>
          <w:tcPr>
            <w:tcW w:w="996" w:type="dxa"/>
            <w:tcBorders>
              <w:top w:val="nil"/>
              <w:left w:val="nil"/>
              <w:bottom w:val="single" w:color="auto" w:sz="4" w:space="0"/>
              <w:right w:val="single" w:color="auto" w:sz="4" w:space="0"/>
            </w:tcBorders>
            <w:vAlign w:val="center"/>
          </w:tcPr>
          <w:p w14:paraId="2C45468F">
            <w:pPr>
              <w:widowControl/>
              <w:jc w:val="left"/>
              <w:rPr>
                <w:rFonts w:hint="eastAsia" w:ascii="宋体" w:hAnsi="宋体" w:cs="宋体"/>
                <w:kern w:val="0"/>
                <w:sz w:val="18"/>
                <w:szCs w:val="18"/>
              </w:rPr>
            </w:pPr>
            <w:r>
              <w:rPr>
                <w:rFonts w:hint="eastAsia" w:ascii="宋体" w:hAnsi="宋体" w:cs="宋体"/>
                <w:kern w:val="0"/>
                <w:sz w:val="18"/>
                <w:szCs w:val="18"/>
              </w:rPr>
              <w:t>Y＜200</w:t>
            </w:r>
          </w:p>
        </w:tc>
      </w:tr>
      <w:tr w14:paraId="61A88477">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53515D00">
            <w:pPr>
              <w:widowControl/>
              <w:jc w:val="center"/>
              <w:rPr>
                <w:rFonts w:hint="eastAsia" w:ascii="宋体" w:hAnsi="宋体" w:cs="宋体"/>
                <w:b/>
                <w:bCs/>
                <w:kern w:val="0"/>
                <w:sz w:val="18"/>
                <w:szCs w:val="18"/>
              </w:rPr>
            </w:pPr>
            <w:r>
              <w:rPr>
                <w:rFonts w:hint="eastAsia" w:ascii="宋体" w:hAnsi="宋体" w:cs="宋体"/>
                <w:b/>
                <w:bCs/>
                <w:kern w:val="0"/>
                <w:sz w:val="18"/>
                <w:szCs w:val="18"/>
              </w:rPr>
              <w:t>仓储业</w:t>
            </w:r>
          </w:p>
        </w:tc>
        <w:tc>
          <w:tcPr>
            <w:tcW w:w="1489" w:type="dxa"/>
            <w:tcBorders>
              <w:top w:val="nil"/>
              <w:left w:val="nil"/>
              <w:bottom w:val="single" w:color="auto" w:sz="4" w:space="0"/>
              <w:right w:val="single" w:color="auto" w:sz="4" w:space="0"/>
            </w:tcBorders>
            <w:vAlign w:val="center"/>
          </w:tcPr>
          <w:p w14:paraId="24AF18DC">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51A7A737">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3DE76181">
            <w:pPr>
              <w:widowControl/>
              <w:jc w:val="left"/>
              <w:rPr>
                <w:rFonts w:hint="eastAsia" w:ascii="宋体" w:hAnsi="宋体" w:cs="宋体"/>
                <w:kern w:val="0"/>
                <w:sz w:val="18"/>
                <w:szCs w:val="18"/>
              </w:rPr>
            </w:pPr>
            <w:r>
              <w:rPr>
                <w:rFonts w:hint="eastAsia" w:ascii="宋体" w:hAnsi="宋体" w:cs="宋体"/>
                <w:kern w:val="0"/>
                <w:sz w:val="18"/>
                <w:szCs w:val="18"/>
              </w:rPr>
              <w:t>100≤X＜200</w:t>
            </w:r>
          </w:p>
        </w:tc>
        <w:tc>
          <w:tcPr>
            <w:tcW w:w="1549" w:type="dxa"/>
            <w:tcBorders>
              <w:top w:val="nil"/>
              <w:left w:val="nil"/>
              <w:bottom w:val="single" w:color="auto" w:sz="4" w:space="0"/>
              <w:right w:val="single" w:color="auto" w:sz="4" w:space="0"/>
            </w:tcBorders>
            <w:vAlign w:val="center"/>
          </w:tcPr>
          <w:p w14:paraId="45EE39D2">
            <w:pPr>
              <w:widowControl/>
              <w:jc w:val="left"/>
              <w:rPr>
                <w:rFonts w:hint="eastAsia" w:ascii="宋体" w:hAnsi="宋体" w:cs="宋体"/>
                <w:kern w:val="0"/>
                <w:sz w:val="18"/>
                <w:szCs w:val="18"/>
              </w:rPr>
            </w:pPr>
            <w:r>
              <w:rPr>
                <w:rFonts w:hint="eastAsia" w:ascii="宋体" w:hAnsi="宋体" w:cs="宋体"/>
                <w:kern w:val="0"/>
                <w:sz w:val="18"/>
                <w:szCs w:val="18"/>
              </w:rPr>
              <w:t>20≤X＜100</w:t>
            </w:r>
          </w:p>
        </w:tc>
        <w:tc>
          <w:tcPr>
            <w:tcW w:w="996" w:type="dxa"/>
            <w:tcBorders>
              <w:top w:val="nil"/>
              <w:left w:val="nil"/>
              <w:bottom w:val="single" w:color="auto" w:sz="4" w:space="0"/>
              <w:right w:val="single" w:color="auto" w:sz="4" w:space="0"/>
            </w:tcBorders>
            <w:vAlign w:val="center"/>
          </w:tcPr>
          <w:p w14:paraId="638737A4">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1E3CF726">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514B4A5F">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0DAEC653">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4FB5A3D1">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6047D3C0">
            <w:pPr>
              <w:widowControl/>
              <w:jc w:val="left"/>
              <w:rPr>
                <w:rFonts w:hint="eastAsia" w:ascii="宋体" w:hAnsi="宋体" w:cs="宋体"/>
                <w:kern w:val="0"/>
                <w:sz w:val="18"/>
                <w:szCs w:val="18"/>
              </w:rPr>
            </w:pPr>
            <w:r>
              <w:rPr>
                <w:rFonts w:hint="eastAsia" w:ascii="宋体" w:hAnsi="宋体" w:cs="宋体"/>
                <w:kern w:val="0"/>
                <w:sz w:val="18"/>
                <w:szCs w:val="18"/>
              </w:rPr>
              <w:t>1000≤Y＜30000</w:t>
            </w:r>
          </w:p>
        </w:tc>
        <w:tc>
          <w:tcPr>
            <w:tcW w:w="1549" w:type="dxa"/>
            <w:tcBorders>
              <w:top w:val="nil"/>
              <w:left w:val="nil"/>
              <w:bottom w:val="single" w:color="auto" w:sz="4" w:space="0"/>
              <w:right w:val="single" w:color="auto" w:sz="4" w:space="0"/>
            </w:tcBorders>
            <w:vAlign w:val="center"/>
          </w:tcPr>
          <w:p w14:paraId="63F1FEEE">
            <w:pPr>
              <w:widowControl/>
              <w:jc w:val="left"/>
              <w:rPr>
                <w:rFonts w:hint="eastAsia" w:ascii="宋体" w:hAnsi="宋体" w:cs="宋体"/>
                <w:kern w:val="0"/>
                <w:sz w:val="18"/>
                <w:szCs w:val="18"/>
              </w:rPr>
            </w:pPr>
            <w:r>
              <w:rPr>
                <w:rFonts w:hint="eastAsia" w:ascii="宋体" w:hAnsi="宋体" w:cs="宋体"/>
                <w:kern w:val="0"/>
                <w:sz w:val="18"/>
                <w:szCs w:val="18"/>
              </w:rPr>
              <w:t>100≤Y＜1000</w:t>
            </w:r>
          </w:p>
        </w:tc>
        <w:tc>
          <w:tcPr>
            <w:tcW w:w="996" w:type="dxa"/>
            <w:tcBorders>
              <w:top w:val="nil"/>
              <w:left w:val="nil"/>
              <w:bottom w:val="single" w:color="auto" w:sz="4" w:space="0"/>
              <w:right w:val="single" w:color="auto" w:sz="4" w:space="0"/>
            </w:tcBorders>
            <w:vAlign w:val="center"/>
          </w:tcPr>
          <w:p w14:paraId="35C47C9A">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6D213F03">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48E567DC">
            <w:pPr>
              <w:widowControl/>
              <w:jc w:val="center"/>
              <w:rPr>
                <w:rFonts w:hint="eastAsia" w:ascii="宋体" w:hAnsi="宋体" w:cs="宋体"/>
                <w:b/>
                <w:bCs/>
                <w:kern w:val="0"/>
                <w:sz w:val="18"/>
                <w:szCs w:val="18"/>
              </w:rPr>
            </w:pPr>
            <w:r>
              <w:rPr>
                <w:rFonts w:hint="eastAsia" w:ascii="宋体" w:hAnsi="宋体" w:cs="宋体"/>
                <w:b/>
                <w:bCs/>
                <w:kern w:val="0"/>
                <w:sz w:val="18"/>
                <w:szCs w:val="18"/>
              </w:rPr>
              <w:t>邮政业</w:t>
            </w:r>
          </w:p>
        </w:tc>
        <w:tc>
          <w:tcPr>
            <w:tcW w:w="1489" w:type="dxa"/>
            <w:tcBorders>
              <w:top w:val="nil"/>
              <w:left w:val="nil"/>
              <w:bottom w:val="single" w:color="auto" w:sz="4" w:space="0"/>
              <w:right w:val="single" w:color="auto" w:sz="4" w:space="0"/>
            </w:tcBorders>
            <w:vAlign w:val="center"/>
          </w:tcPr>
          <w:p w14:paraId="0360E5B1">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1255E246">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1B2F7EDB">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549" w:type="dxa"/>
            <w:tcBorders>
              <w:top w:val="nil"/>
              <w:left w:val="nil"/>
              <w:bottom w:val="single" w:color="auto" w:sz="4" w:space="0"/>
              <w:right w:val="single" w:color="auto" w:sz="4" w:space="0"/>
            </w:tcBorders>
            <w:vAlign w:val="center"/>
          </w:tcPr>
          <w:p w14:paraId="39603A1C">
            <w:pPr>
              <w:widowControl/>
              <w:jc w:val="left"/>
              <w:rPr>
                <w:rFonts w:hint="eastAsia" w:ascii="宋体" w:hAnsi="宋体" w:cs="宋体"/>
                <w:kern w:val="0"/>
                <w:sz w:val="18"/>
                <w:szCs w:val="18"/>
              </w:rPr>
            </w:pPr>
            <w:r>
              <w:rPr>
                <w:rFonts w:hint="eastAsia" w:ascii="宋体" w:hAnsi="宋体" w:cs="宋体"/>
                <w:kern w:val="0"/>
                <w:sz w:val="18"/>
                <w:szCs w:val="18"/>
              </w:rPr>
              <w:t>20≤X＜300</w:t>
            </w:r>
          </w:p>
        </w:tc>
        <w:tc>
          <w:tcPr>
            <w:tcW w:w="996" w:type="dxa"/>
            <w:tcBorders>
              <w:top w:val="nil"/>
              <w:left w:val="nil"/>
              <w:bottom w:val="single" w:color="auto" w:sz="4" w:space="0"/>
              <w:right w:val="single" w:color="auto" w:sz="4" w:space="0"/>
            </w:tcBorders>
            <w:vAlign w:val="center"/>
          </w:tcPr>
          <w:p w14:paraId="1464BCB6">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1D7595C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467168C4">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2979AD19">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3828F3B5">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4EE72EC3">
            <w:pPr>
              <w:widowControl/>
              <w:jc w:val="left"/>
              <w:rPr>
                <w:rFonts w:hint="eastAsia" w:ascii="宋体" w:hAnsi="宋体" w:cs="宋体"/>
                <w:kern w:val="0"/>
                <w:sz w:val="18"/>
                <w:szCs w:val="18"/>
              </w:rPr>
            </w:pPr>
            <w:r>
              <w:rPr>
                <w:rFonts w:hint="eastAsia" w:ascii="宋体" w:hAnsi="宋体" w:cs="宋体"/>
                <w:kern w:val="0"/>
                <w:sz w:val="18"/>
                <w:szCs w:val="18"/>
              </w:rPr>
              <w:t>2000≤Y＜30000</w:t>
            </w:r>
          </w:p>
        </w:tc>
        <w:tc>
          <w:tcPr>
            <w:tcW w:w="1549" w:type="dxa"/>
            <w:tcBorders>
              <w:top w:val="nil"/>
              <w:left w:val="nil"/>
              <w:bottom w:val="single" w:color="auto" w:sz="4" w:space="0"/>
              <w:right w:val="single" w:color="auto" w:sz="4" w:space="0"/>
            </w:tcBorders>
            <w:vAlign w:val="center"/>
          </w:tcPr>
          <w:p w14:paraId="7636DFA8">
            <w:pPr>
              <w:widowControl/>
              <w:jc w:val="left"/>
              <w:rPr>
                <w:rFonts w:hint="eastAsia" w:ascii="宋体" w:hAnsi="宋体" w:cs="宋体"/>
                <w:kern w:val="0"/>
                <w:sz w:val="18"/>
                <w:szCs w:val="18"/>
              </w:rPr>
            </w:pPr>
            <w:r>
              <w:rPr>
                <w:rFonts w:hint="eastAsia" w:ascii="宋体" w:hAnsi="宋体" w:cs="宋体"/>
                <w:kern w:val="0"/>
                <w:sz w:val="18"/>
                <w:szCs w:val="18"/>
              </w:rPr>
              <w:t>100≤Y＜2000</w:t>
            </w:r>
          </w:p>
        </w:tc>
        <w:tc>
          <w:tcPr>
            <w:tcW w:w="996" w:type="dxa"/>
            <w:tcBorders>
              <w:top w:val="nil"/>
              <w:left w:val="nil"/>
              <w:bottom w:val="single" w:color="auto" w:sz="4" w:space="0"/>
              <w:right w:val="single" w:color="auto" w:sz="4" w:space="0"/>
            </w:tcBorders>
            <w:vAlign w:val="center"/>
          </w:tcPr>
          <w:p w14:paraId="41B72902">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6C6F479C">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1020D67B">
            <w:pPr>
              <w:widowControl/>
              <w:jc w:val="center"/>
              <w:rPr>
                <w:rFonts w:hint="eastAsia" w:ascii="宋体" w:hAnsi="宋体" w:cs="宋体"/>
                <w:b/>
                <w:bCs/>
                <w:kern w:val="0"/>
                <w:sz w:val="18"/>
                <w:szCs w:val="18"/>
              </w:rPr>
            </w:pPr>
            <w:r>
              <w:rPr>
                <w:rFonts w:hint="eastAsia" w:ascii="宋体" w:hAnsi="宋体" w:cs="宋体"/>
                <w:b/>
                <w:bCs/>
                <w:kern w:val="0"/>
                <w:sz w:val="18"/>
                <w:szCs w:val="18"/>
              </w:rPr>
              <w:t>住宿业</w:t>
            </w:r>
          </w:p>
        </w:tc>
        <w:tc>
          <w:tcPr>
            <w:tcW w:w="1489" w:type="dxa"/>
            <w:tcBorders>
              <w:top w:val="nil"/>
              <w:left w:val="nil"/>
              <w:bottom w:val="single" w:color="auto" w:sz="4" w:space="0"/>
              <w:right w:val="single" w:color="auto" w:sz="4" w:space="0"/>
            </w:tcBorders>
            <w:vAlign w:val="center"/>
          </w:tcPr>
          <w:p w14:paraId="040AC106">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5E459836">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67C6F21C">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vAlign w:val="center"/>
          </w:tcPr>
          <w:p w14:paraId="1863613A">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vAlign w:val="center"/>
          </w:tcPr>
          <w:p w14:paraId="6D995315">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5B24775F">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795D9A29">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71DEB023">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63665B8C">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4A5E3F99">
            <w:pPr>
              <w:widowControl/>
              <w:jc w:val="left"/>
              <w:rPr>
                <w:rFonts w:hint="eastAsia" w:ascii="宋体" w:hAnsi="宋体" w:cs="宋体"/>
                <w:kern w:val="0"/>
                <w:sz w:val="18"/>
                <w:szCs w:val="18"/>
              </w:rPr>
            </w:pPr>
            <w:r>
              <w:rPr>
                <w:rFonts w:hint="eastAsia" w:ascii="宋体" w:hAnsi="宋体" w:cs="宋体"/>
                <w:kern w:val="0"/>
                <w:sz w:val="18"/>
                <w:szCs w:val="18"/>
              </w:rPr>
              <w:t>2000≤Y＜10000</w:t>
            </w:r>
          </w:p>
        </w:tc>
        <w:tc>
          <w:tcPr>
            <w:tcW w:w="1549" w:type="dxa"/>
            <w:tcBorders>
              <w:top w:val="nil"/>
              <w:left w:val="nil"/>
              <w:bottom w:val="single" w:color="auto" w:sz="4" w:space="0"/>
              <w:right w:val="single" w:color="auto" w:sz="4" w:space="0"/>
            </w:tcBorders>
            <w:vAlign w:val="center"/>
          </w:tcPr>
          <w:p w14:paraId="013C48EF">
            <w:pPr>
              <w:widowControl/>
              <w:jc w:val="left"/>
              <w:rPr>
                <w:rFonts w:hint="eastAsia" w:ascii="宋体" w:hAnsi="宋体" w:cs="宋体"/>
                <w:kern w:val="0"/>
                <w:sz w:val="18"/>
                <w:szCs w:val="18"/>
              </w:rPr>
            </w:pPr>
            <w:r>
              <w:rPr>
                <w:rFonts w:hint="eastAsia" w:ascii="宋体" w:hAnsi="宋体" w:cs="宋体"/>
                <w:kern w:val="0"/>
                <w:sz w:val="18"/>
                <w:szCs w:val="18"/>
              </w:rPr>
              <w:t>100≤Y＜2000</w:t>
            </w:r>
          </w:p>
        </w:tc>
        <w:tc>
          <w:tcPr>
            <w:tcW w:w="996" w:type="dxa"/>
            <w:tcBorders>
              <w:top w:val="nil"/>
              <w:left w:val="nil"/>
              <w:bottom w:val="single" w:color="auto" w:sz="4" w:space="0"/>
              <w:right w:val="single" w:color="auto" w:sz="4" w:space="0"/>
            </w:tcBorders>
            <w:vAlign w:val="center"/>
          </w:tcPr>
          <w:p w14:paraId="56E05D0F">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25EAC3CD">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537C6910">
            <w:pPr>
              <w:widowControl/>
              <w:jc w:val="center"/>
              <w:rPr>
                <w:rFonts w:hint="eastAsia" w:ascii="宋体" w:hAnsi="宋体" w:cs="宋体"/>
                <w:b/>
                <w:bCs/>
                <w:kern w:val="0"/>
                <w:sz w:val="18"/>
                <w:szCs w:val="18"/>
              </w:rPr>
            </w:pPr>
            <w:r>
              <w:rPr>
                <w:rFonts w:hint="eastAsia" w:ascii="宋体" w:hAnsi="宋体" w:cs="宋体"/>
                <w:b/>
                <w:bCs/>
                <w:kern w:val="0"/>
                <w:sz w:val="18"/>
                <w:szCs w:val="18"/>
              </w:rPr>
              <w:t>餐饮业</w:t>
            </w:r>
          </w:p>
        </w:tc>
        <w:tc>
          <w:tcPr>
            <w:tcW w:w="1489" w:type="dxa"/>
            <w:tcBorders>
              <w:top w:val="nil"/>
              <w:left w:val="nil"/>
              <w:bottom w:val="single" w:color="auto" w:sz="4" w:space="0"/>
              <w:right w:val="single" w:color="auto" w:sz="4" w:space="0"/>
            </w:tcBorders>
            <w:vAlign w:val="center"/>
          </w:tcPr>
          <w:p w14:paraId="0411EC29">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4DD93BE4">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29B692CB">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vAlign w:val="center"/>
          </w:tcPr>
          <w:p w14:paraId="1ED7BA7D">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vAlign w:val="center"/>
          </w:tcPr>
          <w:p w14:paraId="446B5ED1">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719CEB5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71042151">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512AE50C">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45ED54EE">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03541BEB">
            <w:pPr>
              <w:widowControl/>
              <w:jc w:val="left"/>
              <w:rPr>
                <w:rFonts w:hint="eastAsia" w:ascii="宋体" w:hAnsi="宋体" w:cs="宋体"/>
                <w:kern w:val="0"/>
                <w:sz w:val="18"/>
                <w:szCs w:val="18"/>
              </w:rPr>
            </w:pPr>
            <w:r>
              <w:rPr>
                <w:rFonts w:hint="eastAsia" w:ascii="宋体" w:hAnsi="宋体" w:cs="宋体"/>
                <w:kern w:val="0"/>
                <w:sz w:val="18"/>
                <w:szCs w:val="18"/>
              </w:rPr>
              <w:t>2000≤Y＜10000</w:t>
            </w:r>
          </w:p>
        </w:tc>
        <w:tc>
          <w:tcPr>
            <w:tcW w:w="1549" w:type="dxa"/>
            <w:tcBorders>
              <w:top w:val="nil"/>
              <w:left w:val="nil"/>
              <w:bottom w:val="single" w:color="auto" w:sz="4" w:space="0"/>
              <w:right w:val="single" w:color="auto" w:sz="4" w:space="0"/>
            </w:tcBorders>
            <w:vAlign w:val="center"/>
          </w:tcPr>
          <w:p w14:paraId="4C12DDE8">
            <w:pPr>
              <w:widowControl/>
              <w:jc w:val="left"/>
              <w:rPr>
                <w:rFonts w:hint="eastAsia" w:ascii="宋体" w:hAnsi="宋体" w:cs="宋体"/>
                <w:kern w:val="0"/>
                <w:sz w:val="18"/>
                <w:szCs w:val="18"/>
              </w:rPr>
            </w:pPr>
            <w:r>
              <w:rPr>
                <w:rFonts w:hint="eastAsia" w:ascii="宋体" w:hAnsi="宋体" w:cs="宋体"/>
                <w:kern w:val="0"/>
                <w:sz w:val="18"/>
                <w:szCs w:val="18"/>
              </w:rPr>
              <w:t>100≤Y＜2000</w:t>
            </w:r>
          </w:p>
        </w:tc>
        <w:tc>
          <w:tcPr>
            <w:tcW w:w="996" w:type="dxa"/>
            <w:tcBorders>
              <w:top w:val="nil"/>
              <w:left w:val="nil"/>
              <w:bottom w:val="single" w:color="auto" w:sz="4" w:space="0"/>
              <w:right w:val="single" w:color="auto" w:sz="4" w:space="0"/>
            </w:tcBorders>
            <w:vAlign w:val="center"/>
          </w:tcPr>
          <w:p w14:paraId="6D0D80F0">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394018DD">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4685CD7C">
            <w:pPr>
              <w:widowControl/>
              <w:jc w:val="center"/>
              <w:rPr>
                <w:rFonts w:hint="eastAsia" w:ascii="宋体" w:hAnsi="宋体" w:cs="宋体"/>
                <w:b/>
                <w:bCs/>
                <w:kern w:val="0"/>
                <w:sz w:val="18"/>
                <w:szCs w:val="18"/>
              </w:rPr>
            </w:pPr>
            <w:r>
              <w:rPr>
                <w:rFonts w:hint="eastAsia" w:ascii="宋体" w:hAnsi="宋体" w:cs="宋体"/>
                <w:b/>
                <w:bCs/>
                <w:kern w:val="0"/>
                <w:sz w:val="18"/>
                <w:szCs w:val="18"/>
              </w:rPr>
              <w:t>信息传输业</w:t>
            </w:r>
          </w:p>
        </w:tc>
        <w:tc>
          <w:tcPr>
            <w:tcW w:w="1489" w:type="dxa"/>
            <w:tcBorders>
              <w:top w:val="nil"/>
              <w:left w:val="nil"/>
              <w:bottom w:val="single" w:color="auto" w:sz="4" w:space="0"/>
              <w:right w:val="single" w:color="auto" w:sz="4" w:space="0"/>
            </w:tcBorders>
            <w:vAlign w:val="center"/>
          </w:tcPr>
          <w:p w14:paraId="23609DC2">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4C6104F0">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76E5BE3C">
            <w:pPr>
              <w:widowControl/>
              <w:jc w:val="left"/>
              <w:rPr>
                <w:rFonts w:hint="eastAsia" w:ascii="宋体" w:hAnsi="宋体" w:cs="宋体"/>
                <w:kern w:val="0"/>
                <w:sz w:val="18"/>
                <w:szCs w:val="18"/>
              </w:rPr>
            </w:pPr>
            <w:r>
              <w:rPr>
                <w:rFonts w:hint="eastAsia" w:ascii="宋体" w:hAnsi="宋体" w:cs="宋体"/>
                <w:kern w:val="0"/>
                <w:sz w:val="18"/>
                <w:szCs w:val="18"/>
              </w:rPr>
              <w:t>100≤X＜2000</w:t>
            </w:r>
          </w:p>
        </w:tc>
        <w:tc>
          <w:tcPr>
            <w:tcW w:w="1549" w:type="dxa"/>
            <w:tcBorders>
              <w:top w:val="nil"/>
              <w:left w:val="nil"/>
              <w:bottom w:val="single" w:color="auto" w:sz="4" w:space="0"/>
              <w:right w:val="single" w:color="auto" w:sz="4" w:space="0"/>
            </w:tcBorders>
            <w:vAlign w:val="center"/>
          </w:tcPr>
          <w:p w14:paraId="299AF477">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vAlign w:val="center"/>
          </w:tcPr>
          <w:p w14:paraId="6EA4B8BD">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53B198E4">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25A2FB04">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46BBD1FA">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43F8CDE5">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1939EAC8">
            <w:pPr>
              <w:widowControl/>
              <w:jc w:val="left"/>
              <w:rPr>
                <w:rFonts w:hint="eastAsia" w:ascii="宋体" w:hAnsi="宋体" w:cs="宋体"/>
                <w:kern w:val="0"/>
                <w:sz w:val="18"/>
                <w:szCs w:val="18"/>
              </w:rPr>
            </w:pPr>
            <w:r>
              <w:rPr>
                <w:rFonts w:hint="eastAsia" w:ascii="宋体" w:hAnsi="宋体" w:cs="宋体"/>
                <w:kern w:val="0"/>
                <w:sz w:val="18"/>
                <w:szCs w:val="18"/>
              </w:rPr>
              <w:t>1000≤Y＜100000</w:t>
            </w:r>
          </w:p>
        </w:tc>
        <w:tc>
          <w:tcPr>
            <w:tcW w:w="1549" w:type="dxa"/>
            <w:tcBorders>
              <w:top w:val="nil"/>
              <w:left w:val="nil"/>
              <w:bottom w:val="single" w:color="auto" w:sz="4" w:space="0"/>
              <w:right w:val="single" w:color="auto" w:sz="4" w:space="0"/>
            </w:tcBorders>
            <w:vAlign w:val="center"/>
          </w:tcPr>
          <w:p w14:paraId="7DCB8ACA">
            <w:pPr>
              <w:widowControl/>
              <w:jc w:val="left"/>
              <w:rPr>
                <w:rFonts w:hint="eastAsia" w:ascii="宋体" w:hAnsi="宋体" w:cs="宋体"/>
                <w:kern w:val="0"/>
                <w:sz w:val="18"/>
                <w:szCs w:val="18"/>
              </w:rPr>
            </w:pPr>
            <w:r>
              <w:rPr>
                <w:rFonts w:hint="eastAsia" w:ascii="宋体" w:hAnsi="宋体" w:cs="宋体"/>
                <w:kern w:val="0"/>
                <w:sz w:val="18"/>
                <w:szCs w:val="18"/>
              </w:rPr>
              <w:t>100≤Y＜1000</w:t>
            </w:r>
          </w:p>
        </w:tc>
        <w:tc>
          <w:tcPr>
            <w:tcW w:w="996" w:type="dxa"/>
            <w:tcBorders>
              <w:top w:val="nil"/>
              <w:left w:val="nil"/>
              <w:bottom w:val="single" w:color="auto" w:sz="4" w:space="0"/>
              <w:right w:val="single" w:color="auto" w:sz="4" w:space="0"/>
            </w:tcBorders>
            <w:vAlign w:val="center"/>
          </w:tcPr>
          <w:p w14:paraId="22A63CD9">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26D5098E">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03445DD7">
            <w:pPr>
              <w:widowControl/>
              <w:jc w:val="center"/>
              <w:rPr>
                <w:rFonts w:hint="eastAsia" w:ascii="宋体" w:hAnsi="宋体" w:cs="宋体"/>
                <w:b/>
                <w:bCs/>
                <w:kern w:val="0"/>
                <w:sz w:val="18"/>
                <w:szCs w:val="18"/>
              </w:rPr>
            </w:pPr>
            <w:r>
              <w:rPr>
                <w:rFonts w:hint="eastAsia" w:ascii="宋体" w:hAnsi="宋体" w:cs="宋体"/>
                <w:b/>
                <w:bCs/>
                <w:kern w:val="0"/>
                <w:sz w:val="18"/>
                <w:szCs w:val="18"/>
              </w:rPr>
              <w:t>软件和信息技术服务业</w:t>
            </w:r>
          </w:p>
        </w:tc>
        <w:tc>
          <w:tcPr>
            <w:tcW w:w="1489" w:type="dxa"/>
            <w:tcBorders>
              <w:top w:val="nil"/>
              <w:left w:val="nil"/>
              <w:bottom w:val="single" w:color="auto" w:sz="4" w:space="0"/>
              <w:right w:val="single" w:color="auto" w:sz="4" w:space="0"/>
            </w:tcBorders>
            <w:vAlign w:val="center"/>
          </w:tcPr>
          <w:p w14:paraId="6C5791D7">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00F76474">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46F3AEDA">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vAlign w:val="center"/>
          </w:tcPr>
          <w:p w14:paraId="5F43A3CE">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vAlign w:val="center"/>
          </w:tcPr>
          <w:p w14:paraId="58FFF736">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01C864E7">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6F388687">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7F460DEE">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6BB4FD8C">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6EDF6BD6">
            <w:pPr>
              <w:widowControl/>
              <w:jc w:val="left"/>
              <w:rPr>
                <w:rFonts w:hint="eastAsia" w:ascii="宋体" w:hAnsi="宋体" w:cs="宋体"/>
                <w:kern w:val="0"/>
                <w:sz w:val="18"/>
                <w:szCs w:val="18"/>
              </w:rPr>
            </w:pPr>
            <w:r>
              <w:rPr>
                <w:rFonts w:hint="eastAsia" w:ascii="宋体" w:hAnsi="宋体" w:cs="宋体"/>
                <w:kern w:val="0"/>
                <w:sz w:val="18"/>
                <w:szCs w:val="18"/>
              </w:rPr>
              <w:t>1000≤Y＜10000</w:t>
            </w:r>
          </w:p>
        </w:tc>
        <w:tc>
          <w:tcPr>
            <w:tcW w:w="1549" w:type="dxa"/>
            <w:tcBorders>
              <w:top w:val="nil"/>
              <w:left w:val="nil"/>
              <w:bottom w:val="single" w:color="auto" w:sz="4" w:space="0"/>
              <w:right w:val="single" w:color="auto" w:sz="4" w:space="0"/>
            </w:tcBorders>
            <w:vAlign w:val="center"/>
          </w:tcPr>
          <w:p w14:paraId="63E2FC33">
            <w:pPr>
              <w:widowControl/>
              <w:jc w:val="left"/>
              <w:rPr>
                <w:rFonts w:hint="eastAsia" w:ascii="宋体" w:hAnsi="宋体" w:cs="宋体"/>
                <w:kern w:val="0"/>
                <w:sz w:val="18"/>
                <w:szCs w:val="18"/>
              </w:rPr>
            </w:pPr>
            <w:r>
              <w:rPr>
                <w:rFonts w:hint="eastAsia" w:ascii="宋体" w:hAnsi="宋体" w:cs="宋体"/>
                <w:kern w:val="0"/>
                <w:sz w:val="18"/>
                <w:szCs w:val="18"/>
              </w:rPr>
              <w:t>50≤Y＜1000</w:t>
            </w:r>
          </w:p>
        </w:tc>
        <w:tc>
          <w:tcPr>
            <w:tcW w:w="996" w:type="dxa"/>
            <w:tcBorders>
              <w:top w:val="nil"/>
              <w:left w:val="nil"/>
              <w:bottom w:val="single" w:color="auto" w:sz="4" w:space="0"/>
              <w:right w:val="single" w:color="auto" w:sz="4" w:space="0"/>
            </w:tcBorders>
            <w:vAlign w:val="center"/>
          </w:tcPr>
          <w:p w14:paraId="103D3315">
            <w:pPr>
              <w:widowControl/>
              <w:jc w:val="left"/>
              <w:rPr>
                <w:rFonts w:hint="eastAsia" w:ascii="宋体" w:hAnsi="宋体" w:cs="宋体"/>
                <w:kern w:val="0"/>
                <w:sz w:val="18"/>
                <w:szCs w:val="18"/>
              </w:rPr>
            </w:pPr>
            <w:r>
              <w:rPr>
                <w:rFonts w:hint="eastAsia" w:ascii="宋体" w:hAnsi="宋体" w:cs="宋体"/>
                <w:kern w:val="0"/>
                <w:sz w:val="18"/>
                <w:szCs w:val="18"/>
              </w:rPr>
              <w:t>Y＜50</w:t>
            </w:r>
          </w:p>
        </w:tc>
      </w:tr>
      <w:tr w14:paraId="1E2AE623">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54DD9178">
            <w:pPr>
              <w:widowControl/>
              <w:jc w:val="center"/>
              <w:rPr>
                <w:rFonts w:hint="eastAsia" w:ascii="宋体" w:hAnsi="宋体" w:cs="宋体"/>
                <w:b/>
                <w:bCs/>
                <w:kern w:val="0"/>
                <w:sz w:val="18"/>
                <w:szCs w:val="18"/>
              </w:rPr>
            </w:pPr>
            <w:r>
              <w:rPr>
                <w:rFonts w:hint="eastAsia" w:ascii="宋体" w:hAnsi="宋体" w:cs="宋体"/>
                <w:b/>
                <w:bCs/>
                <w:kern w:val="0"/>
                <w:sz w:val="18"/>
                <w:szCs w:val="18"/>
              </w:rPr>
              <w:t>房地产开发经营</w:t>
            </w:r>
          </w:p>
        </w:tc>
        <w:tc>
          <w:tcPr>
            <w:tcW w:w="1489" w:type="dxa"/>
            <w:tcBorders>
              <w:top w:val="nil"/>
              <w:left w:val="nil"/>
              <w:bottom w:val="single" w:color="auto" w:sz="4" w:space="0"/>
              <w:right w:val="single" w:color="auto" w:sz="4" w:space="0"/>
            </w:tcBorders>
            <w:vAlign w:val="center"/>
          </w:tcPr>
          <w:p w14:paraId="3FA6F5CB">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17F85B1E">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453C52FB">
            <w:pPr>
              <w:widowControl/>
              <w:jc w:val="left"/>
              <w:rPr>
                <w:rFonts w:hint="eastAsia" w:ascii="宋体" w:hAnsi="宋体" w:cs="宋体"/>
                <w:kern w:val="0"/>
                <w:sz w:val="18"/>
                <w:szCs w:val="18"/>
              </w:rPr>
            </w:pPr>
            <w:r>
              <w:rPr>
                <w:rFonts w:hint="eastAsia" w:ascii="宋体" w:hAnsi="宋体" w:cs="宋体"/>
                <w:kern w:val="0"/>
                <w:sz w:val="18"/>
                <w:szCs w:val="18"/>
              </w:rPr>
              <w:t>1000≤Y＜200000</w:t>
            </w:r>
          </w:p>
        </w:tc>
        <w:tc>
          <w:tcPr>
            <w:tcW w:w="1549" w:type="dxa"/>
            <w:tcBorders>
              <w:top w:val="nil"/>
              <w:left w:val="nil"/>
              <w:bottom w:val="single" w:color="auto" w:sz="4" w:space="0"/>
              <w:right w:val="single" w:color="auto" w:sz="4" w:space="0"/>
            </w:tcBorders>
            <w:vAlign w:val="center"/>
          </w:tcPr>
          <w:p w14:paraId="3ADFAD31">
            <w:pPr>
              <w:widowControl/>
              <w:jc w:val="left"/>
              <w:rPr>
                <w:rFonts w:hint="eastAsia" w:ascii="宋体" w:hAnsi="宋体" w:cs="宋体"/>
                <w:kern w:val="0"/>
                <w:sz w:val="18"/>
                <w:szCs w:val="18"/>
              </w:rPr>
            </w:pPr>
            <w:r>
              <w:rPr>
                <w:rFonts w:hint="eastAsia" w:ascii="宋体" w:hAnsi="宋体" w:cs="宋体"/>
                <w:kern w:val="0"/>
                <w:sz w:val="18"/>
                <w:szCs w:val="18"/>
              </w:rPr>
              <w:t>100≤X＜1000</w:t>
            </w:r>
          </w:p>
        </w:tc>
        <w:tc>
          <w:tcPr>
            <w:tcW w:w="996" w:type="dxa"/>
            <w:tcBorders>
              <w:top w:val="nil"/>
              <w:left w:val="nil"/>
              <w:bottom w:val="single" w:color="auto" w:sz="4" w:space="0"/>
              <w:right w:val="single" w:color="auto" w:sz="4" w:space="0"/>
            </w:tcBorders>
            <w:vAlign w:val="center"/>
          </w:tcPr>
          <w:p w14:paraId="3B95C41E">
            <w:pPr>
              <w:widowControl/>
              <w:jc w:val="left"/>
              <w:rPr>
                <w:rFonts w:hint="eastAsia" w:ascii="宋体" w:hAnsi="宋体" w:cs="宋体"/>
                <w:kern w:val="0"/>
                <w:sz w:val="18"/>
                <w:szCs w:val="18"/>
              </w:rPr>
            </w:pPr>
            <w:r>
              <w:rPr>
                <w:rFonts w:hint="eastAsia" w:ascii="宋体" w:hAnsi="宋体" w:cs="宋体"/>
                <w:kern w:val="0"/>
                <w:sz w:val="18"/>
                <w:szCs w:val="18"/>
              </w:rPr>
              <w:t>X＜100</w:t>
            </w:r>
          </w:p>
        </w:tc>
      </w:tr>
      <w:tr w14:paraId="46417234">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56B6512E">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47AC5637">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983" w:type="dxa"/>
            <w:tcBorders>
              <w:top w:val="nil"/>
              <w:left w:val="nil"/>
              <w:bottom w:val="single" w:color="auto" w:sz="4" w:space="0"/>
              <w:right w:val="single" w:color="auto" w:sz="4" w:space="0"/>
            </w:tcBorders>
            <w:vAlign w:val="center"/>
          </w:tcPr>
          <w:p w14:paraId="4C44DDDC">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2ABD3A40">
            <w:pPr>
              <w:widowControl/>
              <w:jc w:val="left"/>
              <w:rPr>
                <w:rFonts w:hint="eastAsia" w:ascii="宋体" w:hAnsi="宋体" w:cs="宋体"/>
                <w:kern w:val="0"/>
                <w:sz w:val="18"/>
                <w:szCs w:val="18"/>
              </w:rPr>
            </w:pPr>
            <w:r>
              <w:rPr>
                <w:rFonts w:hint="eastAsia" w:ascii="宋体" w:hAnsi="宋体" w:cs="宋体"/>
                <w:kern w:val="0"/>
                <w:sz w:val="18"/>
                <w:szCs w:val="18"/>
              </w:rPr>
              <w:t>5000≤Z＜10000</w:t>
            </w:r>
          </w:p>
        </w:tc>
        <w:tc>
          <w:tcPr>
            <w:tcW w:w="1549" w:type="dxa"/>
            <w:tcBorders>
              <w:top w:val="nil"/>
              <w:left w:val="nil"/>
              <w:bottom w:val="single" w:color="auto" w:sz="4" w:space="0"/>
              <w:right w:val="single" w:color="auto" w:sz="4" w:space="0"/>
            </w:tcBorders>
            <w:vAlign w:val="center"/>
          </w:tcPr>
          <w:p w14:paraId="16B465FA">
            <w:pPr>
              <w:widowControl/>
              <w:jc w:val="left"/>
              <w:rPr>
                <w:rFonts w:hint="eastAsia" w:ascii="宋体" w:hAnsi="宋体" w:cs="宋体"/>
                <w:kern w:val="0"/>
                <w:sz w:val="18"/>
                <w:szCs w:val="18"/>
              </w:rPr>
            </w:pPr>
            <w:r>
              <w:rPr>
                <w:rFonts w:hint="eastAsia" w:ascii="宋体" w:hAnsi="宋体" w:cs="宋体"/>
                <w:kern w:val="0"/>
                <w:sz w:val="18"/>
                <w:szCs w:val="18"/>
              </w:rPr>
              <w:t>2000≤Y＜5000</w:t>
            </w:r>
          </w:p>
        </w:tc>
        <w:tc>
          <w:tcPr>
            <w:tcW w:w="996" w:type="dxa"/>
            <w:tcBorders>
              <w:top w:val="nil"/>
              <w:left w:val="nil"/>
              <w:bottom w:val="single" w:color="auto" w:sz="4" w:space="0"/>
              <w:right w:val="single" w:color="auto" w:sz="4" w:space="0"/>
            </w:tcBorders>
            <w:vAlign w:val="center"/>
          </w:tcPr>
          <w:p w14:paraId="53545C4E">
            <w:pPr>
              <w:widowControl/>
              <w:jc w:val="left"/>
              <w:rPr>
                <w:rFonts w:hint="eastAsia" w:ascii="宋体" w:hAnsi="宋体" w:cs="宋体"/>
                <w:kern w:val="0"/>
                <w:sz w:val="18"/>
                <w:szCs w:val="18"/>
              </w:rPr>
            </w:pPr>
            <w:r>
              <w:rPr>
                <w:rFonts w:hint="eastAsia" w:ascii="宋体" w:hAnsi="宋体" w:cs="宋体"/>
                <w:kern w:val="0"/>
                <w:sz w:val="18"/>
                <w:szCs w:val="18"/>
              </w:rPr>
              <w:t>Y＜2000</w:t>
            </w:r>
          </w:p>
        </w:tc>
      </w:tr>
      <w:tr w14:paraId="642D7A99">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4250E750">
            <w:pPr>
              <w:widowControl/>
              <w:jc w:val="center"/>
              <w:rPr>
                <w:rFonts w:hint="eastAsia" w:ascii="宋体" w:hAnsi="宋体" w:cs="宋体"/>
                <w:b/>
                <w:bCs/>
                <w:kern w:val="0"/>
                <w:sz w:val="18"/>
                <w:szCs w:val="18"/>
              </w:rPr>
            </w:pPr>
            <w:r>
              <w:rPr>
                <w:rFonts w:hint="eastAsia" w:ascii="宋体" w:hAnsi="宋体" w:cs="宋体"/>
                <w:b/>
                <w:bCs/>
                <w:kern w:val="0"/>
                <w:sz w:val="18"/>
                <w:szCs w:val="18"/>
              </w:rPr>
              <w:t>物业管理</w:t>
            </w:r>
          </w:p>
        </w:tc>
        <w:tc>
          <w:tcPr>
            <w:tcW w:w="1489" w:type="dxa"/>
            <w:tcBorders>
              <w:top w:val="nil"/>
              <w:left w:val="nil"/>
              <w:bottom w:val="single" w:color="auto" w:sz="4" w:space="0"/>
              <w:right w:val="single" w:color="auto" w:sz="4" w:space="0"/>
            </w:tcBorders>
            <w:vAlign w:val="center"/>
          </w:tcPr>
          <w:p w14:paraId="70A72218">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640FE878">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6C8E733C">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549" w:type="dxa"/>
            <w:tcBorders>
              <w:top w:val="nil"/>
              <w:left w:val="nil"/>
              <w:bottom w:val="single" w:color="auto" w:sz="4" w:space="0"/>
              <w:right w:val="single" w:color="auto" w:sz="4" w:space="0"/>
            </w:tcBorders>
            <w:vAlign w:val="center"/>
          </w:tcPr>
          <w:p w14:paraId="49A392C8">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996" w:type="dxa"/>
            <w:tcBorders>
              <w:top w:val="nil"/>
              <w:left w:val="nil"/>
              <w:bottom w:val="single" w:color="auto" w:sz="4" w:space="0"/>
              <w:right w:val="single" w:color="auto" w:sz="4" w:space="0"/>
            </w:tcBorders>
            <w:vAlign w:val="center"/>
          </w:tcPr>
          <w:p w14:paraId="4CD6CBDA">
            <w:pPr>
              <w:widowControl/>
              <w:jc w:val="left"/>
              <w:rPr>
                <w:rFonts w:hint="eastAsia" w:ascii="宋体" w:hAnsi="宋体" w:cs="宋体"/>
                <w:kern w:val="0"/>
                <w:sz w:val="18"/>
                <w:szCs w:val="18"/>
              </w:rPr>
            </w:pPr>
            <w:r>
              <w:rPr>
                <w:rFonts w:hint="eastAsia" w:ascii="宋体" w:hAnsi="宋体" w:cs="宋体"/>
                <w:kern w:val="0"/>
                <w:sz w:val="18"/>
                <w:szCs w:val="18"/>
              </w:rPr>
              <w:t>X＜100</w:t>
            </w:r>
          </w:p>
        </w:tc>
      </w:tr>
      <w:tr w14:paraId="206CE87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6360E94D">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38DB202F">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vAlign w:val="center"/>
          </w:tcPr>
          <w:p w14:paraId="3ED9D4E7">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4A2012EA">
            <w:pPr>
              <w:widowControl/>
              <w:jc w:val="left"/>
              <w:rPr>
                <w:rFonts w:hint="eastAsia" w:ascii="宋体" w:hAnsi="宋体" w:cs="宋体"/>
                <w:kern w:val="0"/>
                <w:sz w:val="18"/>
                <w:szCs w:val="18"/>
              </w:rPr>
            </w:pPr>
            <w:r>
              <w:rPr>
                <w:rFonts w:hint="eastAsia" w:ascii="宋体" w:hAnsi="宋体" w:cs="宋体"/>
                <w:kern w:val="0"/>
                <w:sz w:val="18"/>
                <w:szCs w:val="18"/>
              </w:rPr>
              <w:t>1000≤Y＜5000</w:t>
            </w:r>
          </w:p>
        </w:tc>
        <w:tc>
          <w:tcPr>
            <w:tcW w:w="1549" w:type="dxa"/>
            <w:tcBorders>
              <w:top w:val="nil"/>
              <w:left w:val="nil"/>
              <w:bottom w:val="single" w:color="auto" w:sz="4" w:space="0"/>
              <w:right w:val="single" w:color="auto" w:sz="4" w:space="0"/>
            </w:tcBorders>
            <w:vAlign w:val="center"/>
          </w:tcPr>
          <w:p w14:paraId="31EC6591">
            <w:pPr>
              <w:widowControl/>
              <w:jc w:val="left"/>
              <w:rPr>
                <w:rFonts w:hint="eastAsia" w:ascii="宋体" w:hAnsi="宋体" w:cs="宋体"/>
                <w:kern w:val="0"/>
                <w:sz w:val="18"/>
                <w:szCs w:val="18"/>
              </w:rPr>
            </w:pPr>
            <w:r>
              <w:rPr>
                <w:rFonts w:hint="eastAsia" w:ascii="宋体" w:hAnsi="宋体" w:cs="宋体"/>
                <w:kern w:val="0"/>
                <w:sz w:val="18"/>
                <w:szCs w:val="18"/>
              </w:rPr>
              <w:t>500≤Y＜1000</w:t>
            </w:r>
          </w:p>
        </w:tc>
        <w:tc>
          <w:tcPr>
            <w:tcW w:w="996" w:type="dxa"/>
            <w:tcBorders>
              <w:top w:val="nil"/>
              <w:left w:val="nil"/>
              <w:bottom w:val="single" w:color="auto" w:sz="4" w:space="0"/>
              <w:right w:val="single" w:color="auto" w:sz="4" w:space="0"/>
            </w:tcBorders>
            <w:vAlign w:val="center"/>
          </w:tcPr>
          <w:p w14:paraId="69CDCF45">
            <w:pPr>
              <w:widowControl/>
              <w:jc w:val="left"/>
              <w:rPr>
                <w:rFonts w:hint="eastAsia" w:ascii="宋体" w:hAnsi="宋体" w:cs="宋体"/>
                <w:kern w:val="0"/>
                <w:sz w:val="18"/>
                <w:szCs w:val="18"/>
              </w:rPr>
            </w:pPr>
            <w:r>
              <w:rPr>
                <w:rFonts w:hint="eastAsia" w:ascii="宋体" w:hAnsi="宋体" w:cs="宋体"/>
                <w:kern w:val="0"/>
                <w:sz w:val="18"/>
                <w:szCs w:val="18"/>
              </w:rPr>
              <w:t>Y＜500</w:t>
            </w:r>
          </w:p>
        </w:tc>
      </w:tr>
      <w:tr w14:paraId="60DA9B3F">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6F25EF79">
            <w:pPr>
              <w:widowControl/>
              <w:jc w:val="center"/>
              <w:rPr>
                <w:rFonts w:hint="eastAsia" w:ascii="宋体" w:hAnsi="宋体" w:cs="宋体"/>
                <w:b/>
                <w:bCs/>
                <w:kern w:val="0"/>
                <w:sz w:val="18"/>
                <w:szCs w:val="18"/>
              </w:rPr>
            </w:pPr>
            <w:r>
              <w:rPr>
                <w:rFonts w:hint="eastAsia" w:ascii="宋体" w:hAnsi="宋体" w:cs="宋体"/>
                <w:b/>
                <w:bCs/>
                <w:kern w:val="0"/>
                <w:sz w:val="18"/>
                <w:szCs w:val="18"/>
              </w:rPr>
              <w:t>租赁和商务服务业</w:t>
            </w:r>
          </w:p>
        </w:tc>
        <w:tc>
          <w:tcPr>
            <w:tcW w:w="1489" w:type="dxa"/>
            <w:tcBorders>
              <w:top w:val="nil"/>
              <w:left w:val="nil"/>
              <w:bottom w:val="single" w:color="auto" w:sz="4" w:space="0"/>
              <w:right w:val="single" w:color="auto" w:sz="4" w:space="0"/>
            </w:tcBorders>
            <w:vAlign w:val="center"/>
          </w:tcPr>
          <w:p w14:paraId="2A93D298">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0CA53741">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5E63DED6">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vAlign w:val="center"/>
          </w:tcPr>
          <w:p w14:paraId="00D8B55E">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vAlign w:val="center"/>
          </w:tcPr>
          <w:p w14:paraId="27B7982F">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697B0583">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58C76D6B">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vAlign w:val="center"/>
          </w:tcPr>
          <w:p w14:paraId="3E5021A5">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983" w:type="dxa"/>
            <w:tcBorders>
              <w:top w:val="nil"/>
              <w:left w:val="nil"/>
              <w:bottom w:val="single" w:color="auto" w:sz="4" w:space="0"/>
              <w:right w:val="single" w:color="auto" w:sz="4" w:space="0"/>
            </w:tcBorders>
            <w:vAlign w:val="center"/>
          </w:tcPr>
          <w:p w14:paraId="1596870A">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vAlign w:val="center"/>
          </w:tcPr>
          <w:p w14:paraId="3EF9929E">
            <w:pPr>
              <w:widowControl/>
              <w:jc w:val="left"/>
              <w:rPr>
                <w:rFonts w:hint="eastAsia" w:ascii="宋体" w:hAnsi="宋体" w:cs="宋体"/>
                <w:kern w:val="0"/>
                <w:sz w:val="18"/>
                <w:szCs w:val="18"/>
              </w:rPr>
            </w:pPr>
            <w:r>
              <w:rPr>
                <w:rFonts w:hint="eastAsia" w:ascii="宋体" w:hAnsi="宋体" w:cs="宋体"/>
                <w:kern w:val="0"/>
                <w:sz w:val="18"/>
                <w:szCs w:val="18"/>
              </w:rPr>
              <w:t>8000≤Z＜120000</w:t>
            </w:r>
          </w:p>
        </w:tc>
        <w:tc>
          <w:tcPr>
            <w:tcW w:w="1549" w:type="dxa"/>
            <w:tcBorders>
              <w:top w:val="nil"/>
              <w:left w:val="nil"/>
              <w:bottom w:val="single" w:color="auto" w:sz="4" w:space="0"/>
              <w:right w:val="single" w:color="auto" w:sz="4" w:space="0"/>
            </w:tcBorders>
            <w:vAlign w:val="center"/>
          </w:tcPr>
          <w:p w14:paraId="0458685E">
            <w:pPr>
              <w:widowControl/>
              <w:jc w:val="left"/>
              <w:rPr>
                <w:rFonts w:hint="eastAsia" w:ascii="宋体" w:hAnsi="宋体" w:cs="宋体"/>
                <w:kern w:val="0"/>
                <w:sz w:val="18"/>
                <w:szCs w:val="18"/>
              </w:rPr>
            </w:pPr>
            <w:r>
              <w:rPr>
                <w:rFonts w:hint="eastAsia" w:ascii="宋体" w:hAnsi="宋体" w:cs="宋体"/>
                <w:kern w:val="0"/>
                <w:sz w:val="18"/>
                <w:szCs w:val="18"/>
              </w:rPr>
              <w:t>100≤Z＜8000</w:t>
            </w:r>
          </w:p>
        </w:tc>
        <w:tc>
          <w:tcPr>
            <w:tcW w:w="996" w:type="dxa"/>
            <w:tcBorders>
              <w:top w:val="nil"/>
              <w:left w:val="nil"/>
              <w:bottom w:val="single" w:color="auto" w:sz="4" w:space="0"/>
              <w:right w:val="single" w:color="auto" w:sz="4" w:space="0"/>
            </w:tcBorders>
            <w:vAlign w:val="center"/>
          </w:tcPr>
          <w:p w14:paraId="600B745E">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2E1BBD00">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vAlign w:val="bottom"/>
          </w:tcPr>
          <w:p w14:paraId="1DF2F45A">
            <w:pPr>
              <w:widowControl/>
              <w:jc w:val="center"/>
              <w:rPr>
                <w:rFonts w:hint="eastAsia" w:ascii="宋体" w:hAnsi="宋体" w:cs="宋体"/>
                <w:b/>
                <w:bCs/>
                <w:kern w:val="0"/>
                <w:sz w:val="18"/>
                <w:szCs w:val="18"/>
              </w:rPr>
            </w:pPr>
            <w:r>
              <w:rPr>
                <w:rFonts w:hint="eastAsia" w:ascii="宋体" w:hAnsi="宋体" w:cs="宋体"/>
                <w:b/>
                <w:bCs/>
                <w:kern w:val="0"/>
                <w:sz w:val="18"/>
                <w:szCs w:val="18"/>
              </w:rPr>
              <w:t>其他未列明行业</w:t>
            </w:r>
          </w:p>
        </w:tc>
        <w:tc>
          <w:tcPr>
            <w:tcW w:w="1489" w:type="dxa"/>
            <w:tcBorders>
              <w:top w:val="nil"/>
              <w:left w:val="nil"/>
              <w:bottom w:val="single" w:color="auto" w:sz="4" w:space="0"/>
              <w:right w:val="single" w:color="auto" w:sz="4" w:space="0"/>
            </w:tcBorders>
            <w:vAlign w:val="center"/>
          </w:tcPr>
          <w:p w14:paraId="78E5BB60">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vAlign w:val="center"/>
          </w:tcPr>
          <w:p w14:paraId="1689DBEE">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vAlign w:val="center"/>
          </w:tcPr>
          <w:p w14:paraId="17309D5D">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vAlign w:val="center"/>
          </w:tcPr>
          <w:p w14:paraId="28AA92F7">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vAlign w:val="center"/>
          </w:tcPr>
          <w:p w14:paraId="7CF8CB33">
            <w:pPr>
              <w:widowControl/>
              <w:jc w:val="left"/>
              <w:rPr>
                <w:rFonts w:hint="eastAsia" w:ascii="宋体" w:hAnsi="宋体" w:cs="宋体"/>
                <w:kern w:val="0"/>
                <w:sz w:val="18"/>
                <w:szCs w:val="18"/>
              </w:rPr>
            </w:pPr>
            <w:r>
              <w:rPr>
                <w:rFonts w:hint="eastAsia" w:ascii="宋体" w:hAnsi="宋体" w:cs="宋体"/>
                <w:kern w:val="0"/>
                <w:sz w:val="18"/>
                <w:szCs w:val="18"/>
              </w:rPr>
              <w:t>X＜10</w:t>
            </w:r>
          </w:p>
        </w:tc>
      </w:tr>
    </w:tbl>
    <w:p w14:paraId="2B06E366">
      <w:pPr>
        <w:snapToGrid w:val="0"/>
        <w:spacing w:line="380" w:lineRule="exact"/>
        <w:ind w:firstLine="411" w:firstLineChars="196"/>
        <w:jc w:val="left"/>
        <w:rPr>
          <w:rFonts w:hint="eastAsia" w:ascii="宋体"/>
          <w:sz w:val="18"/>
          <w:szCs w:val="18"/>
        </w:rPr>
      </w:pPr>
      <w:r>
        <w:rPr>
          <w:rFonts w:hint="eastAsia" w:ascii="宋体" w:hAnsi="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48CA531">
      <w:pPr>
        <w:spacing w:line="720" w:lineRule="auto"/>
        <w:rPr>
          <w:rFonts w:hint="eastAsia"/>
        </w:rPr>
      </w:pPr>
      <w:r>
        <w:br w:type="page"/>
      </w:r>
      <w:r>
        <w:rPr>
          <w:rFonts w:hint="eastAsia"/>
        </w:rPr>
        <w:t>本国产品适用政府采购政策相关资料。</w:t>
      </w:r>
    </w:p>
    <w:p w14:paraId="01379664">
      <w:pPr>
        <w:spacing w:line="720" w:lineRule="auto"/>
        <w:jc w:val="center"/>
        <w:rPr>
          <w:rFonts w:hint="eastAsia" w:ascii="宋体" w:hAnsi="宋体" w:cs="宋体"/>
          <w:sz w:val="28"/>
          <w:szCs w:val="28"/>
        </w:rPr>
      </w:pPr>
      <w:r>
        <w:rPr>
          <w:rFonts w:hint="eastAsia" w:ascii="宋体" w:hAnsi="宋体" w:cs="宋体"/>
          <w:sz w:val="28"/>
          <w:szCs w:val="28"/>
        </w:rPr>
        <w:t>1）关于符合本国产品标准的声明函</w:t>
      </w:r>
    </w:p>
    <w:p w14:paraId="444FE371">
      <w:pPr>
        <w:pStyle w:val="44"/>
        <w:shd w:val="clear" w:color="auto" w:fill="FFFFFF"/>
        <w:spacing w:before="0" w:beforeAutospacing="0" w:after="0" w:afterAutospacing="0" w:line="480" w:lineRule="exact"/>
        <w:ind w:firstLine="420" w:firstLineChars="200"/>
        <w:rPr>
          <w:rFonts w:hint="eastAsia" w:hAnsi="宋体" w:cs="宋体"/>
          <w:color w:val="333333"/>
          <w:sz w:val="21"/>
          <w:szCs w:val="21"/>
        </w:rPr>
      </w:pPr>
      <w:r>
        <w:rPr>
          <w:rFonts w:hint="eastAsia" w:hAnsi="宋体" w:cs="宋体"/>
          <w:color w:val="333333"/>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5F10C76">
      <w:pPr>
        <w:pStyle w:val="44"/>
        <w:shd w:val="clear" w:color="auto" w:fill="FFFFFF"/>
        <w:spacing w:before="0" w:beforeAutospacing="0" w:after="0" w:afterAutospacing="0" w:line="480" w:lineRule="exact"/>
        <w:ind w:firstLine="420" w:firstLineChars="200"/>
        <w:rPr>
          <w:rFonts w:hint="eastAsia" w:hAnsi="宋体" w:cs="宋体"/>
          <w:color w:val="333333"/>
          <w:sz w:val="21"/>
          <w:szCs w:val="21"/>
        </w:rPr>
      </w:pPr>
      <w:r>
        <w:rPr>
          <w:rFonts w:hint="eastAsia" w:hAnsi="宋体" w:cs="宋体"/>
          <w:color w:val="333333"/>
          <w:sz w:val="21"/>
          <w:szCs w:val="21"/>
          <w:shd w:val="clear" w:color="auto" w:fill="FFFFFF"/>
        </w:rPr>
        <w:t>1.</w:t>
      </w:r>
      <w:r>
        <w:rPr>
          <w:rStyle w:val="55"/>
          <w:rFonts w:hint="eastAsia" w:hAnsi="宋体" w:cs="宋体"/>
          <w:color w:val="333333"/>
          <w:sz w:val="21"/>
          <w:szCs w:val="21"/>
          <w:shd w:val="clear" w:color="auto" w:fill="FFFFFF"/>
        </w:rPr>
        <w:t>（产品名称1）</w:t>
      </w:r>
      <w:r>
        <w:rPr>
          <w:rStyle w:val="55"/>
          <w:rFonts w:hint="eastAsia" w:hAnsi="宋体" w:cs="宋体"/>
          <w:color w:val="333333"/>
          <w:sz w:val="21"/>
          <w:szCs w:val="21"/>
          <w:shd w:val="clear" w:color="auto" w:fill="FFFFFF"/>
          <w:vertAlign w:val="superscript"/>
        </w:rPr>
        <w:t>1</w:t>
      </w:r>
      <w:r>
        <w:rPr>
          <w:rFonts w:hint="eastAsia" w:hAnsi="宋体" w:cs="宋体"/>
          <w:color w:val="333333"/>
          <w:sz w:val="21"/>
          <w:szCs w:val="21"/>
          <w:shd w:val="clear" w:color="auto" w:fill="FFFFFF"/>
        </w:rPr>
        <w:t>，生产厂为</w:t>
      </w:r>
      <w:r>
        <w:rPr>
          <w:rStyle w:val="55"/>
          <w:rFonts w:hint="eastAsia" w:hAnsi="宋体" w:cs="宋体"/>
          <w:color w:val="333333"/>
          <w:sz w:val="21"/>
          <w:szCs w:val="21"/>
          <w:shd w:val="clear" w:color="auto" w:fill="FFFFFF"/>
        </w:rPr>
        <w:t>（厂名）</w:t>
      </w:r>
      <w:r>
        <w:rPr>
          <w:rStyle w:val="55"/>
          <w:rFonts w:hint="eastAsia" w:hAnsi="宋体" w:cs="宋体"/>
          <w:color w:val="333333"/>
          <w:sz w:val="21"/>
          <w:szCs w:val="21"/>
          <w:shd w:val="clear" w:color="auto" w:fill="FFFFFF"/>
          <w:vertAlign w:val="superscript"/>
        </w:rPr>
        <w:t>2</w:t>
      </w:r>
      <w:r>
        <w:rPr>
          <w:rFonts w:hint="eastAsia" w:hAnsi="宋体" w:cs="宋体"/>
          <w:color w:val="333333"/>
          <w:sz w:val="21"/>
          <w:szCs w:val="21"/>
          <w:shd w:val="clear" w:color="auto" w:fill="FFFFFF"/>
        </w:rPr>
        <w:t>，厂址为</w:t>
      </w:r>
      <w:r>
        <w:rPr>
          <w:rStyle w:val="55"/>
          <w:rFonts w:hint="eastAsia" w:hAnsi="宋体" w:cs="宋体"/>
          <w:color w:val="333333"/>
          <w:sz w:val="21"/>
          <w:szCs w:val="21"/>
          <w:shd w:val="clear" w:color="auto" w:fill="FFFFFF"/>
        </w:rPr>
        <w:t>（生产厂址）</w:t>
      </w:r>
      <w:r>
        <w:rPr>
          <w:rFonts w:hint="eastAsia" w:hAnsi="宋体" w:cs="宋体"/>
          <w:color w:val="333333"/>
          <w:sz w:val="21"/>
          <w:szCs w:val="21"/>
          <w:shd w:val="clear" w:color="auto" w:fill="FFFFFF"/>
        </w:rPr>
        <w:t>。</w:t>
      </w:r>
      <w:r>
        <w:rPr>
          <w:rStyle w:val="55"/>
          <w:rFonts w:hint="eastAsia" w:hAnsi="宋体" w:cs="宋体"/>
          <w:color w:val="333333"/>
          <w:sz w:val="21"/>
          <w:szCs w:val="21"/>
          <w:shd w:val="clear" w:color="auto" w:fill="FFFFFF"/>
        </w:rPr>
        <w:t>（产品名称1）</w:t>
      </w:r>
      <w:r>
        <w:rPr>
          <w:rFonts w:hint="eastAsia" w:hAnsi="宋体" w:cs="宋体"/>
          <w:color w:val="333333"/>
          <w:sz w:val="21"/>
          <w:szCs w:val="21"/>
          <w:shd w:val="clear" w:color="auto" w:fill="FFFFFF"/>
        </w:rPr>
        <w:t>的中国境内生产的组件成本占比≥</w:t>
      </w:r>
      <w:r>
        <w:rPr>
          <w:rStyle w:val="55"/>
          <w:rFonts w:hint="eastAsia" w:hAnsi="宋体" w:cs="宋体"/>
          <w:color w:val="333333"/>
          <w:sz w:val="21"/>
          <w:szCs w:val="21"/>
          <w:shd w:val="clear" w:color="auto" w:fill="FFFFFF"/>
        </w:rPr>
        <w:t>（规定比例）</w:t>
      </w:r>
      <w:r>
        <w:rPr>
          <w:rStyle w:val="55"/>
          <w:rFonts w:hint="eastAsia" w:hAnsi="宋体" w:cs="宋体"/>
          <w:color w:val="333333"/>
          <w:sz w:val="21"/>
          <w:szCs w:val="21"/>
          <w:shd w:val="clear" w:color="auto" w:fill="FFFFFF"/>
          <w:vertAlign w:val="superscript"/>
        </w:rPr>
        <w:t>3</w:t>
      </w:r>
      <w:r>
        <w:rPr>
          <w:rFonts w:hint="eastAsia" w:hAnsi="宋体" w:cs="宋体"/>
          <w:color w:val="333333"/>
          <w:sz w:val="21"/>
          <w:szCs w:val="21"/>
          <w:shd w:val="clear" w:color="auto" w:fill="FFFFFF"/>
        </w:rPr>
        <w:t>。</w:t>
      </w:r>
      <w:r>
        <w:rPr>
          <w:rStyle w:val="55"/>
          <w:rFonts w:hint="eastAsia" w:hAnsi="宋体" w:cs="宋体"/>
          <w:color w:val="333333"/>
          <w:sz w:val="21"/>
          <w:szCs w:val="21"/>
          <w:shd w:val="clear" w:color="auto" w:fill="FFFFFF"/>
        </w:rPr>
        <w:t>（产品名称1）</w:t>
      </w:r>
      <w:r>
        <w:rPr>
          <w:rFonts w:hint="eastAsia" w:hAnsi="宋体" w:cs="宋体"/>
          <w:color w:val="333333"/>
          <w:sz w:val="21"/>
          <w:szCs w:val="21"/>
          <w:shd w:val="clear" w:color="auto" w:fill="FFFFFF"/>
        </w:rPr>
        <w:t>的</w:t>
      </w:r>
      <w:r>
        <w:rPr>
          <w:rStyle w:val="55"/>
          <w:rFonts w:hint="eastAsia" w:hAnsi="宋体" w:cs="宋体"/>
          <w:color w:val="333333"/>
          <w:sz w:val="21"/>
          <w:szCs w:val="21"/>
          <w:shd w:val="clear" w:color="auto" w:fill="FFFFFF"/>
        </w:rPr>
        <w:t>（关键组件）</w:t>
      </w:r>
      <w:r>
        <w:rPr>
          <w:rStyle w:val="55"/>
          <w:rFonts w:hint="eastAsia" w:hAnsi="宋体" w:cs="宋体"/>
          <w:color w:val="333333"/>
          <w:sz w:val="21"/>
          <w:szCs w:val="21"/>
          <w:shd w:val="clear" w:color="auto" w:fill="FFFFFF"/>
          <w:vertAlign w:val="superscript"/>
        </w:rPr>
        <w:t>4</w:t>
      </w:r>
      <w:r>
        <w:rPr>
          <w:rFonts w:hint="eastAsia" w:hAnsi="宋体" w:cs="宋体"/>
          <w:color w:val="333333"/>
          <w:sz w:val="21"/>
          <w:szCs w:val="21"/>
          <w:shd w:val="clear" w:color="auto" w:fill="FFFFFF"/>
        </w:rPr>
        <w:t>在中国境内生产。</w:t>
      </w:r>
      <w:r>
        <w:rPr>
          <w:rStyle w:val="55"/>
          <w:rFonts w:hint="eastAsia" w:hAnsi="宋体" w:cs="宋体"/>
          <w:color w:val="333333"/>
          <w:sz w:val="21"/>
          <w:szCs w:val="21"/>
          <w:shd w:val="clear" w:color="auto" w:fill="FFFFFF"/>
        </w:rPr>
        <w:t>（产品名称1）</w:t>
      </w:r>
      <w:r>
        <w:rPr>
          <w:rFonts w:hint="eastAsia" w:hAnsi="宋体" w:cs="宋体"/>
          <w:color w:val="333333"/>
          <w:sz w:val="21"/>
          <w:szCs w:val="21"/>
          <w:shd w:val="clear" w:color="auto" w:fill="FFFFFF"/>
        </w:rPr>
        <w:t>的</w:t>
      </w:r>
      <w:r>
        <w:rPr>
          <w:rStyle w:val="55"/>
          <w:rFonts w:hint="eastAsia" w:hAnsi="宋体" w:cs="宋体"/>
          <w:color w:val="333333"/>
          <w:sz w:val="21"/>
          <w:szCs w:val="21"/>
          <w:shd w:val="clear" w:color="auto" w:fill="FFFFFF"/>
        </w:rPr>
        <w:t>（关键工序）</w:t>
      </w:r>
      <w:r>
        <w:rPr>
          <w:rStyle w:val="55"/>
          <w:rFonts w:hint="eastAsia" w:hAnsi="宋体" w:cs="宋体"/>
          <w:color w:val="333333"/>
          <w:sz w:val="21"/>
          <w:szCs w:val="21"/>
          <w:shd w:val="clear" w:color="auto" w:fill="FFFFFF"/>
          <w:vertAlign w:val="superscript"/>
        </w:rPr>
        <w:t>5</w:t>
      </w:r>
      <w:r>
        <w:rPr>
          <w:rFonts w:hint="eastAsia" w:hAnsi="宋体" w:cs="宋体"/>
          <w:color w:val="333333"/>
          <w:sz w:val="21"/>
          <w:szCs w:val="21"/>
          <w:shd w:val="clear" w:color="auto" w:fill="FFFFFF"/>
        </w:rPr>
        <w:t>在中国境内完成。</w:t>
      </w:r>
    </w:p>
    <w:p w14:paraId="7C60DF29">
      <w:pPr>
        <w:pStyle w:val="44"/>
        <w:shd w:val="clear" w:color="auto" w:fill="FFFFFF"/>
        <w:spacing w:before="0" w:beforeAutospacing="0" w:after="0" w:afterAutospacing="0" w:line="480" w:lineRule="exact"/>
        <w:ind w:firstLine="420" w:firstLineChars="200"/>
        <w:rPr>
          <w:rFonts w:hint="eastAsia" w:hAnsi="宋体" w:cs="宋体"/>
          <w:color w:val="333333"/>
          <w:sz w:val="21"/>
          <w:szCs w:val="21"/>
        </w:rPr>
      </w:pPr>
      <w:r>
        <w:rPr>
          <w:rFonts w:hint="eastAsia" w:hAnsi="宋体" w:cs="宋体"/>
          <w:color w:val="333333"/>
          <w:sz w:val="21"/>
          <w:szCs w:val="21"/>
          <w:shd w:val="clear" w:color="auto" w:fill="FFFFFF"/>
        </w:rPr>
        <w:t>2.</w:t>
      </w:r>
      <w:r>
        <w:rPr>
          <w:rStyle w:val="55"/>
          <w:rFonts w:hint="eastAsia" w:hAnsi="宋体" w:cs="宋体"/>
          <w:color w:val="333333"/>
          <w:sz w:val="21"/>
          <w:szCs w:val="21"/>
          <w:shd w:val="clear" w:color="auto" w:fill="FFFFFF"/>
        </w:rPr>
        <w:t>（产品名称2）</w:t>
      </w:r>
      <w:r>
        <w:rPr>
          <w:rFonts w:hint="eastAsia" w:hAnsi="宋体" w:cs="宋体"/>
          <w:color w:val="333333"/>
          <w:sz w:val="21"/>
          <w:szCs w:val="21"/>
          <w:shd w:val="clear" w:color="auto" w:fill="FFFFFF"/>
        </w:rPr>
        <w:t>，生产厂为</w:t>
      </w:r>
      <w:r>
        <w:rPr>
          <w:rStyle w:val="55"/>
          <w:rFonts w:hint="eastAsia" w:hAnsi="宋体" w:cs="宋体"/>
          <w:color w:val="333333"/>
          <w:sz w:val="21"/>
          <w:szCs w:val="21"/>
          <w:shd w:val="clear" w:color="auto" w:fill="FFFFFF"/>
        </w:rPr>
        <w:t>（厂名）</w:t>
      </w:r>
      <w:r>
        <w:rPr>
          <w:rFonts w:hint="eastAsia" w:hAnsi="宋体" w:cs="宋体"/>
          <w:color w:val="333333"/>
          <w:sz w:val="21"/>
          <w:szCs w:val="21"/>
          <w:shd w:val="clear" w:color="auto" w:fill="FFFFFF"/>
        </w:rPr>
        <w:t>，厂址为</w:t>
      </w:r>
      <w:r>
        <w:rPr>
          <w:rStyle w:val="55"/>
          <w:rFonts w:hint="eastAsia" w:hAnsi="宋体" w:cs="宋体"/>
          <w:color w:val="333333"/>
          <w:sz w:val="21"/>
          <w:szCs w:val="21"/>
          <w:shd w:val="clear" w:color="auto" w:fill="FFFFFF"/>
        </w:rPr>
        <w:t>（生产厂址）</w:t>
      </w:r>
      <w:r>
        <w:rPr>
          <w:rFonts w:hint="eastAsia" w:hAnsi="宋体" w:cs="宋体"/>
          <w:color w:val="333333"/>
          <w:sz w:val="21"/>
          <w:szCs w:val="21"/>
          <w:shd w:val="clear" w:color="auto" w:fill="FFFFFF"/>
        </w:rPr>
        <w:t>。</w:t>
      </w:r>
      <w:r>
        <w:rPr>
          <w:rStyle w:val="55"/>
          <w:rFonts w:hint="eastAsia" w:hAnsi="宋体" w:cs="宋体"/>
          <w:color w:val="333333"/>
          <w:sz w:val="21"/>
          <w:szCs w:val="21"/>
          <w:shd w:val="clear" w:color="auto" w:fill="FFFFFF"/>
        </w:rPr>
        <w:t>（产品名称2）</w:t>
      </w:r>
      <w:r>
        <w:rPr>
          <w:rFonts w:hint="eastAsia" w:hAnsi="宋体" w:cs="宋体"/>
          <w:color w:val="333333"/>
          <w:sz w:val="21"/>
          <w:szCs w:val="21"/>
          <w:shd w:val="clear" w:color="auto" w:fill="FFFFFF"/>
        </w:rPr>
        <w:t>的中国境内生产的组件成本占比≥</w:t>
      </w:r>
      <w:r>
        <w:rPr>
          <w:rStyle w:val="55"/>
          <w:rFonts w:hint="eastAsia" w:hAnsi="宋体" w:cs="宋体"/>
          <w:color w:val="333333"/>
          <w:sz w:val="21"/>
          <w:szCs w:val="21"/>
          <w:shd w:val="clear" w:color="auto" w:fill="FFFFFF"/>
        </w:rPr>
        <w:t>（规定比例）</w:t>
      </w:r>
      <w:r>
        <w:rPr>
          <w:rFonts w:hint="eastAsia" w:hAnsi="宋体" w:cs="宋体"/>
          <w:color w:val="333333"/>
          <w:sz w:val="21"/>
          <w:szCs w:val="21"/>
          <w:shd w:val="clear" w:color="auto" w:fill="FFFFFF"/>
        </w:rPr>
        <w:t>。</w:t>
      </w:r>
      <w:r>
        <w:rPr>
          <w:rStyle w:val="55"/>
          <w:rFonts w:hint="eastAsia" w:hAnsi="宋体" w:cs="宋体"/>
          <w:color w:val="333333"/>
          <w:sz w:val="21"/>
          <w:szCs w:val="21"/>
          <w:shd w:val="clear" w:color="auto" w:fill="FFFFFF"/>
        </w:rPr>
        <w:t>（产品名称2）</w:t>
      </w:r>
      <w:r>
        <w:rPr>
          <w:rFonts w:hint="eastAsia" w:hAnsi="宋体" w:cs="宋体"/>
          <w:color w:val="333333"/>
          <w:sz w:val="21"/>
          <w:szCs w:val="21"/>
          <w:shd w:val="clear" w:color="auto" w:fill="FFFFFF"/>
        </w:rPr>
        <w:t>的</w:t>
      </w:r>
      <w:r>
        <w:rPr>
          <w:rStyle w:val="55"/>
          <w:rFonts w:hint="eastAsia" w:hAnsi="宋体" w:cs="宋体"/>
          <w:color w:val="333333"/>
          <w:sz w:val="21"/>
          <w:szCs w:val="21"/>
          <w:shd w:val="clear" w:color="auto" w:fill="FFFFFF"/>
        </w:rPr>
        <w:t>（关键组件）</w:t>
      </w:r>
      <w:r>
        <w:rPr>
          <w:rFonts w:hint="eastAsia" w:hAnsi="宋体" w:cs="宋体"/>
          <w:color w:val="333333"/>
          <w:sz w:val="21"/>
          <w:szCs w:val="21"/>
          <w:shd w:val="clear" w:color="auto" w:fill="FFFFFF"/>
        </w:rPr>
        <w:t>在中国境内生产。</w:t>
      </w:r>
      <w:r>
        <w:rPr>
          <w:rStyle w:val="55"/>
          <w:rFonts w:hint="eastAsia" w:hAnsi="宋体" w:cs="宋体"/>
          <w:color w:val="333333"/>
          <w:sz w:val="21"/>
          <w:szCs w:val="21"/>
          <w:shd w:val="clear" w:color="auto" w:fill="FFFFFF"/>
        </w:rPr>
        <w:t>（产品名称2）</w:t>
      </w:r>
      <w:r>
        <w:rPr>
          <w:rFonts w:hint="eastAsia" w:hAnsi="宋体" w:cs="宋体"/>
          <w:color w:val="333333"/>
          <w:sz w:val="21"/>
          <w:szCs w:val="21"/>
          <w:shd w:val="clear" w:color="auto" w:fill="FFFFFF"/>
        </w:rPr>
        <w:t>的</w:t>
      </w:r>
      <w:r>
        <w:rPr>
          <w:rStyle w:val="55"/>
          <w:rFonts w:hint="eastAsia" w:hAnsi="宋体" w:cs="宋体"/>
          <w:color w:val="333333"/>
          <w:sz w:val="21"/>
          <w:szCs w:val="21"/>
          <w:shd w:val="clear" w:color="auto" w:fill="FFFFFF"/>
        </w:rPr>
        <w:t>（关键工序）</w:t>
      </w:r>
      <w:r>
        <w:rPr>
          <w:rFonts w:hint="eastAsia" w:hAnsi="宋体" w:cs="宋体"/>
          <w:color w:val="333333"/>
          <w:sz w:val="21"/>
          <w:szCs w:val="21"/>
          <w:shd w:val="clear" w:color="auto" w:fill="FFFFFF"/>
        </w:rPr>
        <w:t>在中国境内完成。</w:t>
      </w:r>
    </w:p>
    <w:p w14:paraId="1111A53F">
      <w:pPr>
        <w:pStyle w:val="44"/>
        <w:shd w:val="clear" w:color="auto" w:fill="FFFFFF"/>
        <w:spacing w:before="0" w:beforeAutospacing="0" w:after="0" w:afterAutospacing="0" w:line="480" w:lineRule="exact"/>
        <w:ind w:firstLine="420" w:firstLineChars="200"/>
        <w:rPr>
          <w:rFonts w:hint="eastAsia" w:hAnsi="宋体" w:cs="宋体"/>
          <w:color w:val="333333"/>
          <w:sz w:val="21"/>
          <w:szCs w:val="21"/>
        </w:rPr>
      </w:pPr>
      <w:r>
        <w:rPr>
          <w:rFonts w:hint="eastAsia" w:hAnsi="宋体" w:cs="宋体"/>
          <w:color w:val="333333"/>
          <w:sz w:val="21"/>
          <w:szCs w:val="21"/>
          <w:shd w:val="clear" w:color="auto" w:fill="FFFFFF"/>
        </w:rPr>
        <w:t>……</w:t>
      </w:r>
    </w:p>
    <w:p w14:paraId="2D7D97E2">
      <w:pPr>
        <w:pStyle w:val="44"/>
        <w:shd w:val="clear" w:color="auto" w:fill="FFFFFF"/>
        <w:spacing w:before="0" w:beforeAutospacing="0" w:after="0" w:afterAutospacing="0" w:line="480" w:lineRule="exact"/>
        <w:ind w:firstLine="420" w:firstLineChars="200"/>
        <w:rPr>
          <w:rFonts w:hint="eastAsia" w:hAnsi="宋体" w:cs="宋体"/>
          <w:color w:val="333333"/>
          <w:sz w:val="21"/>
          <w:szCs w:val="21"/>
        </w:rPr>
      </w:pPr>
      <w:r>
        <w:rPr>
          <w:rFonts w:hint="eastAsia" w:hAnsi="宋体" w:cs="宋体"/>
          <w:color w:val="333333"/>
          <w:sz w:val="21"/>
          <w:szCs w:val="21"/>
          <w:shd w:val="clear" w:color="auto" w:fill="FFFFFF"/>
        </w:rPr>
        <w:t>本公司（单位）对上述声明内容的真实性负责。如有虚假，愿承担相应法律责任。</w:t>
      </w:r>
    </w:p>
    <w:p w14:paraId="1D9156E1">
      <w:pPr>
        <w:pStyle w:val="44"/>
        <w:shd w:val="clear" w:color="auto" w:fill="FFFFFF"/>
        <w:spacing w:before="0" w:beforeAutospacing="0" w:after="0" w:afterAutospacing="0" w:line="480" w:lineRule="exact"/>
        <w:ind w:firstLine="420" w:firstLineChars="200"/>
        <w:rPr>
          <w:rFonts w:hint="eastAsia" w:hAnsi="宋体" w:cs="宋体"/>
          <w:color w:val="333333"/>
          <w:sz w:val="21"/>
          <w:szCs w:val="21"/>
          <w:shd w:val="clear" w:color="auto" w:fill="FFFFFF"/>
        </w:rPr>
      </w:pPr>
    </w:p>
    <w:p w14:paraId="7B199425">
      <w:pPr>
        <w:pStyle w:val="44"/>
        <w:shd w:val="clear" w:color="auto" w:fill="FFFFFF"/>
        <w:spacing w:before="0" w:beforeAutospacing="0" w:after="0" w:afterAutospacing="0" w:line="480" w:lineRule="exact"/>
        <w:ind w:firstLine="420" w:firstLineChars="200"/>
        <w:rPr>
          <w:rFonts w:hint="eastAsia" w:hAnsi="宋体" w:cs="宋体"/>
          <w:color w:val="333333"/>
          <w:sz w:val="21"/>
          <w:szCs w:val="21"/>
        </w:rPr>
      </w:pPr>
      <w:r>
        <w:rPr>
          <w:rFonts w:hint="eastAsia" w:hAnsi="宋体" w:cs="宋体"/>
          <w:color w:val="333333"/>
          <w:sz w:val="21"/>
          <w:szCs w:val="21"/>
          <w:shd w:val="clear" w:color="auto" w:fill="FFFFFF"/>
        </w:rPr>
        <w:t>公司（单位）名称（盖章）：      </w:t>
      </w:r>
    </w:p>
    <w:p w14:paraId="17450905">
      <w:pPr>
        <w:pStyle w:val="44"/>
        <w:shd w:val="clear" w:color="auto" w:fill="FFFFFF"/>
        <w:spacing w:before="0" w:beforeAutospacing="0" w:after="0" w:afterAutospacing="0" w:line="480" w:lineRule="exact"/>
        <w:ind w:firstLine="420" w:firstLineChars="200"/>
        <w:rPr>
          <w:rFonts w:hint="eastAsia" w:hAnsi="宋体" w:cs="宋体"/>
          <w:color w:val="333333"/>
          <w:sz w:val="21"/>
          <w:szCs w:val="21"/>
        </w:rPr>
      </w:pPr>
      <w:r>
        <w:rPr>
          <w:rFonts w:hint="eastAsia" w:hAnsi="宋体" w:cs="宋体"/>
          <w:color w:val="333333"/>
          <w:sz w:val="21"/>
          <w:szCs w:val="21"/>
          <w:shd w:val="clear" w:color="auto" w:fill="FFFFFF"/>
        </w:rPr>
        <w:t>日期：　　　年　　月　日    </w:t>
      </w:r>
    </w:p>
    <w:p w14:paraId="63EF588D">
      <w:pPr>
        <w:spacing w:line="400" w:lineRule="exact"/>
        <w:ind w:firstLine="420" w:firstLineChars="200"/>
        <w:jc w:val="left"/>
        <w:rPr>
          <w:rFonts w:hint="eastAsia" w:ascii="宋体" w:hAnsi="宋体" w:cs="宋体"/>
          <w:color w:val="000000"/>
          <w:szCs w:val="21"/>
        </w:rPr>
      </w:pPr>
    </w:p>
    <w:p w14:paraId="63527361">
      <w:pPr>
        <w:spacing w:line="400" w:lineRule="exact"/>
        <w:ind w:firstLine="420" w:firstLineChars="200"/>
        <w:jc w:val="left"/>
        <w:rPr>
          <w:rFonts w:hint="eastAsia" w:ascii="宋体" w:hAnsi="宋体" w:cs="宋体"/>
          <w:color w:val="000000"/>
          <w:szCs w:val="21"/>
        </w:rPr>
      </w:pPr>
    </w:p>
    <w:p w14:paraId="1BDC29ED">
      <w:pPr>
        <w:spacing w:line="480" w:lineRule="exact"/>
        <w:ind w:firstLine="420" w:firstLineChars="200"/>
        <w:jc w:val="left"/>
        <w:rPr>
          <w:rFonts w:hint="eastAsia" w:ascii="宋体" w:hAnsi="宋体" w:cs="宋体"/>
          <w:color w:val="000000"/>
          <w:szCs w:val="21"/>
        </w:rPr>
      </w:pPr>
      <w:r>
        <w:rPr>
          <w:rFonts w:hint="eastAsia" w:ascii="宋体" w:hAnsi="宋体" w:cs="宋体"/>
          <w:color w:val="000000"/>
          <w:szCs w:val="21"/>
        </w:rPr>
        <w:t xml:space="preserve">关于符合本国产品标准的声明函说明： </w:t>
      </w:r>
    </w:p>
    <w:p w14:paraId="28B94E6D">
      <w:pPr>
        <w:pStyle w:val="44"/>
        <w:shd w:val="clear" w:color="auto" w:fill="FFFFFF"/>
        <w:spacing w:before="0" w:beforeAutospacing="0" w:after="0" w:afterAutospacing="0" w:line="480" w:lineRule="exact"/>
        <w:ind w:firstLine="420"/>
        <w:rPr>
          <w:rFonts w:hint="eastAsia" w:hAnsi="宋体" w:cs="宋体"/>
          <w:color w:val="333333"/>
          <w:sz w:val="21"/>
          <w:szCs w:val="21"/>
        </w:rPr>
      </w:pPr>
      <w:r>
        <w:rPr>
          <w:rFonts w:hint="eastAsia" w:hAnsi="宋体" w:cs="宋体"/>
          <w:color w:val="333333"/>
          <w:sz w:val="21"/>
          <w:szCs w:val="21"/>
          <w:shd w:val="clear" w:color="auto" w:fill="FFFFFF"/>
        </w:rPr>
        <w:t>1.产品如有型号，请在“产品名称”栏一并填写。</w:t>
      </w:r>
    </w:p>
    <w:p w14:paraId="6D22B7B4">
      <w:pPr>
        <w:pStyle w:val="44"/>
        <w:shd w:val="clear" w:color="auto" w:fill="FFFFFF"/>
        <w:spacing w:before="0" w:beforeAutospacing="0" w:after="0" w:afterAutospacing="0" w:line="480" w:lineRule="exact"/>
        <w:ind w:firstLine="420"/>
        <w:rPr>
          <w:rFonts w:hint="eastAsia" w:hAnsi="宋体" w:cs="宋体"/>
          <w:color w:val="333333"/>
          <w:sz w:val="21"/>
          <w:szCs w:val="21"/>
        </w:rPr>
      </w:pPr>
      <w:r>
        <w:rPr>
          <w:rFonts w:hint="eastAsia" w:hAnsi="宋体" w:cs="宋体"/>
          <w:color w:val="333333"/>
          <w:sz w:val="21"/>
          <w:szCs w:val="21"/>
          <w:shd w:val="clear" w:color="auto" w:fill="FFFFFF"/>
        </w:rPr>
        <w:t>2.生产厂名与厂址应与生产厂营业执照载明的相关信息保持一致。</w:t>
      </w:r>
    </w:p>
    <w:p w14:paraId="773B4E68">
      <w:pPr>
        <w:pStyle w:val="44"/>
        <w:shd w:val="clear" w:color="auto" w:fill="FFFFFF"/>
        <w:spacing w:before="0" w:beforeAutospacing="0" w:after="0" w:afterAutospacing="0" w:line="480" w:lineRule="exact"/>
        <w:ind w:firstLine="420"/>
        <w:rPr>
          <w:rFonts w:hint="eastAsia" w:hAnsi="宋体" w:cs="宋体"/>
          <w:color w:val="333333"/>
          <w:sz w:val="21"/>
          <w:szCs w:val="21"/>
        </w:rPr>
      </w:pPr>
      <w:r>
        <w:rPr>
          <w:rFonts w:hint="eastAsia" w:hAnsi="宋体" w:cs="宋体"/>
          <w:color w:val="333333"/>
          <w:sz w:val="21"/>
          <w:szCs w:val="21"/>
          <w:shd w:val="clear" w:color="auto" w:fill="FFFFFF"/>
        </w:rPr>
        <w:t>3.该产品的中国境内生产的组件成本占比相关要求实施前，“规定比例”栏可不填，下同。</w:t>
      </w:r>
    </w:p>
    <w:p w14:paraId="43035228">
      <w:pPr>
        <w:pStyle w:val="44"/>
        <w:shd w:val="clear" w:color="auto" w:fill="FFFFFF"/>
        <w:spacing w:before="0" w:beforeAutospacing="0" w:after="0" w:afterAutospacing="0" w:line="480" w:lineRule="exact"/>
        <w:ind w:firstLine="420"/>
        <w:rPr>
          <w:rFonts w:hint="eastAsia" w:hAnsi="宋体" w:cs="宋体"/>
          <w:color w:val="333333"/>
          <w:sz w:val="21"/>
          <w:szCs w:val="21"/>
        </w:rPr>
      </w:pPr>
      <w:r>
        <w:rPr>
          <w:rFonts w:hint="eastAsia" w:hAnsi="宋体" w:cs="宋体"/>
          <w:color w:val="333333"/>
          <w:sz w:val="21"/>
          <w:szCs w:val="21"/>
          <w:shd w:val="clear" w:color="auto" w:fill="FFFFFF"/>
        </w:rPr>
        <w:t>4.该产品的关键组件要求实施前，“关键组件”栏可不填，下同。</w:t>
      </w:r>
    </w:p>
    <w:p w14:paraId="1FDB44D6">
      <w:pPr>
        <w:pStyle w:val="44"/>
        <w:shd w:val="clear" w:color="auto" w:fill="FFFFFF"/>
        <w:spacing w:before="0" w:beforeAutospacing="0" w:after="0" w:afterAutospacing="0" w:line="480" w:lineRule="exact"/>
        <w:ind w:firstLine="420"/>
        <w:rPr>
          <w:rFonts w:hint="eastAsia" w:hAnsi="宋体" w:cs="宋体"/>
          <w:color w:val="333333"/>
          <w:sz w:val="21"/>
          <w:szCs w:val="21"/>
        </w:rPr>
      </w:pPr>
      <w:r>
        <w:rPr>
          <w:rFonts w:hint="eastAsia" w:hAnsi="宋体" w:cs="宋体"/>
          <w:color w:val="333333"/>
          <w:sz w:val="21"/>
          <w:szCs w:val="21"/>
          <w:shd w:val="clear" w:color="auto" w:fill="FFFFFF"/>
        </w:rPr>
        <w:t>5.该产品的关键工序要求实施前，“关键工序”栏可不填，下同。</w:t>
      </w:r>
    </w:p>
    <w:p w14:paraId="56F57B9A">
      <w:pPr>
        <w:spacing w:line="720" w:lineRule="auto"/>
        <w:jc w:val="center"/>
        <w:rPr>
          <w:rFonts w:ascii="宋体" w:hAnsi="宋体" w:cs="宋体"/>
          <w:b/>
          <w:bCs/>
          <w:color w:val="000000"/>
          <w:sz w:val="28"/>
          <w:szCs w:val="28"/>
        </w:rPr>
      </w:pPr>
      <w:r>
        <w:br w:type="page"/>
      </w:r>
      <w:r>
        <w:rPr>
          <w:rFonts w:hint="eastAsia" w:ascii="宋体" w:hAnsi="宋体" w:cs="宋体"/>
          <w:b/>
          <w:bCs/>
          <w:color w:val="000000"/>
          <w:sz w:val="28"/>
          <w:szCs w:val="28"/>
        </w:rPr>
        <w:t>2）</w:t>
      </w:r>
      <w:r>
        <w:rPr>
          <w:rFonts w:ascii="宋体" w:hAnsi="宋体" w:cs="宋体"/>
          <w:b/>
          <w:bCs/>
          <w:color w:val="000000"/>
          <w:sz w:val="28"/>
          <w:szCs w:val="28"/>
        </w:rPr>
        <w:t>关于本国产品比例的承诺函（如适用）</w:t>
      </w:r>
    </w:p>
    <w:p w14:paraId="55EBB7A4">
      <w:pPr>
        <w:spacing w:line="400" w:lineRule="exact"/>
        <w:ind w:firstLine="420" w:firstLineChars="200"/>
        <w:jc w:val="left"/>
        <w:rPr>
          <w:rFonts w:hint="eastAsia" w:ascii="宋体" w:hAnsi="宋体" w:cs="宋体"/>
          <w:color w:val="333333"/>
          <w:kern w:val="0"/>
          <w:szCs w:val="21"/>
          <w:shd w:val="clear" w:color="auto" w:fill="FFFFFF"/>
        </w:rPr>
      </w:pPr>
      <w:r>
        <w:rPr>
          <w:rFonts w:hint="eastAsia" w:ascii="宋体" w:hAnsi="宋体" w:cs="宋体"/>
          <w:color w:val="333333"/>
          <w:kern w:val="0"/>
          <w:szCs w:val="21"/>
          <w:shd w:val="clear" w:color="auto" w:fill="FFFFFF"/>
        </w:rPr>
        <w:t>本公司(单位)郑重声明，根据《国务院办公厅关于在政府采购中实施本国产品标准及相关政策的通知》(国办发(2025)34号)的规定，本公司(单位)提供的符合本国产品标准的产品成本之和占提供的全部产品成本之和的比例达到 80%以上。</w:t>
      </w:r>
    </w:p>
    <w:p w14:paraId="0D3A1AB9">
      <w:pPr>
        <w:spacing w:line="400" w:lineRule="exact"/>
        <w:ind w:firstLine="420" w:firstLineChars="200"/>
        <w:jc w:val="left"/>
        <w:rPr>
          <w:rFonts w:hint="eastAsia" w:ascii="宋体" w:hAnsi="宋体" w:cs="宋体"/>
          <w:color w:val="333333"/>
          <w:kern w:val="0"/>
          <w:szCs w:val="21"/>
          <w:shd w:val="clear" w:color="auto" w:fill="FFFFFF"/>
        </w:rPr>
      </w:pPr>
      <w:r>
        <w:rPr>
          <w:rFonts w:hint="eastAsia" w:ascii="宋体" w:hAnsi="宋体" w:cs="宋体"/>
          <w:color w:val="333333"/>
          <w:kern w:val="0"/>
          <w:szCs w:val="21"/>
          <w:shd w:val="clear" w:color="auto" w:fill="FFFFFF"/>
        </w:rPr>
        <w:t>本公司(单位)对上述承诺内容的真实性负责。如有虚假，愿承担相应法律责任。</w:t>
      </w:r>
    </w:p>
    <w:p w14:paraId="1CBEAC15">
      <w:pPr>
        <w:pStyle w:val="44"/>
        <w:shd w:val="clear" w:color="auto" w:fill="FFFFFF"/>
        <w:spacing w:before="0" w:beforeAutospacing="0" w:after="0" w:afterAutospacing="0" w:line="480" w:lineRule="exact"/>
        <w:rPr>
          <w:rFonts w:hint="eastAsia" w:hAnsi="宋体" w:cs="宋体"/>
          <w:color w:val="333333"/>
          <w:sz w:val="21"/>
          <w:szCs w:val="21"/>
          <w:shd w:val="clear" w:color="auto" w:fill="FFFFFF"/>
        </w:rPr>
      </w:pPr>
    </w:p>
    <w:p w14:paraId="1E92E99B">
      <w:pPr>
        <w:pStyle w:val="44"/>
        <w:shd w:val="clear" w:color="auto" w:fill="FFFFFF"/>
        <w:spacing w:before="0" w:beforeAutospacing="0" w:after="0" w:afterAutospacing="0" w:line="480" w:lineRule="exact"/>
        <w:ind w:firstLine="210" w:firstLineChars="100"/>
        <w:rPr>
          <w:rFonts w:hint="eastAsia" w:hAnsi="宋体" w:cs="宋体"/>
          <w:color w:val="333333"/>
          <w:sz w:val="21"/>
          <w:szCs w:val="21"/>
        </w:rPr>
      </w:pPr>
      <w:r>
        <w:rPr>
          <w:rFonts w:hint="eastAsia" w:hAnsi="宋体" w:cs="宋体"/>
          <w:color w:val="333333"/>
          <w:sz w:val="21"/>
          <w:szCs w:val="21"/>
          <w:shd w:val="clear" w:color="auto" w:fill="FFFFFF"/>
        </w:rPr>
        <w:t>公司（单位）名称（盖章）：      </w:t>
      </w:r>
    </w:p>
    <w:p w14:paraId="592AB428">
      <w:pPr>
        <w:spacing w:line="720" w:lineRule="auto"/>
        <w:ind w:firstLine="210" w:firstLineChars="100"/>
        <w:rPr>
          <w:rFonts w:hint="eastAsia" w:ascii="宋体" w:hAnsi="宋体" w:cs="宋体"/>
          <w:color w:val="000000"/>
          <w:sz w:val="24"/>
        </w:rPr>
      </w:pPr>
      <w:r>
        <w:rPr>
          <w:rFonts w:hint="eastAsia" w:ascii="宋体" w:hAnsi="宋体" w:cs="宋体"/>
          <w:color w:val="333333"/>
          <w:szCs w:val="21"/>
          <w:shd w:val="clear" w:color="auto" w:fill="FFFFFF"/>
        </w:rPr>
        <w:t>日期：　　　年　　 月 　日   </w:t>
      </w:r>
    </w:p>
    <w:p w14:paraId="3C6A61F1">
      <w:pPr>
        <w:spacing w:line="720" w:lineRule="auto"/>
        <w:rPr>
          <w:rFonts w:hint="eastAsia"/>
          <w:b/>
        </w:rPr>
      </w:pPr>
      <w:r>
        <w:rPr>
          <w:rFonts w:hint="eastAsia" w:ascii="宋体" w:hAnsi="宋体" w:cs="宋体"/>
          <w:color w:val="333333"/>
          <w:kern w:val="0"/>
          <w:szCs w:val="21"/>
          <w:shd w:val="clear" w:color="auto" w:fill="FFFFFF"/>
        </w:rPr>
        <w:t>注：当采购项目或采购包中含有多种产品，符合有关政策的，供应商还应当提供本承诺函。</w:t>
      </w:r>
      <w:r>
        <w:br w:type="page"/>
      </w:r>
      <w:r>
        <w:rPr>
          <w:rFonts w:hint="eastAsia"/>
          <w:b/>
        </w:rPr>
        <w:t>2.技术文件部分（格式）</w:t>
      </w:r>
    </w:p>
    <w:p w14:paraId="758F68C2">
      <w:pPr>
        <w:spacing w:line="360" w:lineRule="exact"/>
        <w:ind w:firstLine="420"/>
        <w:rPr>
          <w:rFonts w:hint="eastAsia"/>
        </w:rPr>
      </w:pPr>
      <w:r>
        <w:rPr>
          <w:rFonts w:hint="eastAsia"/>
        </w:rPr>
        <w:t>（1）服务响应表格式：</w:t>
      </w:r>
    </w:p>
    <w:p w14:paraId="417B6A66">
      <w:pPr>
        <w:pStyle w:val="8"/>
        <w:ind w:firstLine="0"/>
        <w:rPr>
          <w:rFonts w:hint="eastAsia"/>
        </w:rPr>
      </w:pPr>
      <w:r>
        <w:rPr>
          <w:rFonts w:hint="eastAsia"/>
        </w:rPr>
        <w:t>标项</w:t>
      </w:r>
      <w:r>
        <w:rPr>
          <w:rFonts w:hint="eastAsia"/>
          <w:u w:val="single"/>
        </w:rPr>
        <w:t xml:space="preserve">     </w:t>
      </w:r>
      <w:r>
        <w:rPr>
          <w:rFonts w:hint="eastAsia"/>
        </w:rPr>
        <w:t xml:space="preserve"> </w:t>
      </w:r>
    </w:p>
    <w:tbl>
      <w:tblPr>
        <w:tblStyle w:val="4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14:paraId="5C5B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01" w:type="dxa"/>
            <w:tcBorders>
              <w:top w:val="single" w:color="auto" w:sz="4" w:space="0"/>
              <w:left w:val="single" w:color="auto" w:sz="4" w:space="0"/>
              <w:bottom w:val="single" w:color="auto" w:sz="4" w:space="0"/>
              <w:right w:val="single" w:color="auto" w:sz="4" w:space="0"/>
            </w:tcBorders>
            <w:vAlign w:val="center"/>
          </w:tcPr>
          <w:p w14:paraId="7960A974">
            <w:pPr>
              <w:pStyle w:val="26"/>
              <w:spacing w:line="400" w:lineRule="exact"/>
              <w:jc w:val="center"/>
              <w:rPr>
                <w:rFonts w:hint="eastAsia" w:cs="Courier New"/>
              </w:rPr>
            </w:pPr>
            <w:r>
              <w:rPr>
                <w:rFonts w:hint="eastAsia" w:cs="Courier New"/>
              </w:rPr>
              <w:t>项号</w:t>
            </w:r>
          </w:p>
        </w:tc>
        <w:tc>
          <w:tcPr>
            <w:tcW w:w="3600" w:type="dxa"/>
            <w:tcBorders>
              <w:top w:val="single" w:color="auto" w:sz="4" w:space="0"/>
              <w:left w:val="single" w:color="auto" w:sz="4" w:space="0"/>
              <w:bottom w:val="single" w:color="auto" w:sz="4" w:space="0"/>
              <w:right w:val="single" w:color="auto" w:sz="4" w:space="0"/>
            </w:tcBorders>
            <w:vAlign w:val="center"/>
          </w:tcPr>
          <w:p w14:paraId="348FE69F">
            <w:pPr>
              <w:pStyle w:val="26"/>
              <w:spacing w:line="400" w:lineRule="exact"/>
              <w:jc w:val="center"/>
              <w:rPr>
                <w:rFonts w:ascii="Times New Roman" w:cs="Courier New"/>
              </w:rPr>
            </w:pPr>
            <w:r>
              <w:rPr>
                <w:rFonts w:ascii="Times New Roman" w:cs="Courier New"/>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14:paraId="50D907FC">
            <w:pPr>
              <w:pStyle w:val="26"/>
              <w:spacing w:line="400" w:lineRule="exact"/>
              <w:jc w:val="center"/>
              <w:rPr>
                <w:rFonts w:ascii="Times New Roman" w:cs="Courier New"/>
              </w:rPr>
            </w:pPr>
            <w:r>
              <w:rPr>
                <w:rFonts w:hAnsi="宋体" w:cs="Courier New"/>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14:paraId="5392FFC1">
            <w:pPr>
              <w:pStyle w:val="26"/>
              <w:spacing w:line="400" w:lineRule="exact"/>
              <w:jc w:val="center"/>
              <w:rPr>
                <w:rFonts w:ascii="Times New Roman" w:cs="Courier New"/>
              </w:rPr>
            </w:pPr>
            <w:r>
              <w:rPr>
                <w:rFonts w:ascii="Times New Roman" w:cs="Courier New"/>
              </w:rPr>
              <w:t>偏离说明</w:t>
            </w:r>
          </w:p>
        </w:tc>
      </w:tr>
      <w:tr w14:paraId="4AA9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tcPr>
          <w:p w14:paraId="65B74AE8">
            <w:pPr>
              <w:pStyle w:val="26"/>
              <w:spacing w:line="600" w:lineRule="exact"/>
              <w:ind w:left="5250"/>
              <w:jc w:val="center"/>
              <w:rPr>
                <w:rFonts w:ascii="Times New Roman" w:cs="Courier New"/>
              </w:rPr>
            </w:pPr>
          </w:p>
        </w:tc>
        <w:tc>
          <w:tcPr>
            <w:tcW w:w="3600" w:type="dxa"/>
            <w:tcBorders>
              <w:top w:val="single" w:color="auto" w:sz="4" w:space="0"/>
              <w:left w:val="single" w:color="auto" w:sz="4" w:space="0"/>
              <w:bottom w:val="single" w:color="auto" w:sz="4" w:space="0"/>
              <w:right w:val="single" w:color="auto" w:sz="4" w:space="0"/>
            </w:tcBorders>
            <w:vAlign w:val="center"/>
          </w:tcPr>
          <w:p w14:paraId="0EE7816D">
            <w:pPr>
              <w:pStyle w:val="26"/>
              <w:spacing w:line="600" w:lineRule="exact"/>
              <w:ind w:left="5250"/>
              <w:jc w:val="center"/>
              <w:rPr>
                <w:rFonts w:ascii="Times New Roman" w:cs="Courier New"/>
              </w:rPr>
            </w:pPr>
          </w:p>
        </w:tc>
        <w:tc>
          <w:tcPr>
            <w:tcW w:w="3600" w:type="dxa"/>
            <w:tcBorders>
              <w:top w:val="single" w:color="auto" w:sz="4" w:space="0"/>
              <w:left w:val="single" w:color="auto" w:sz="4" w:space="0"/>
              <w:bottom w:val="single" w:color="auto" w:sz="4" w:space="0"/>
              <w:right w:val="single" w:color="auto" w:sz="4" w:space="0"/>
            </w:tcBorders>
            <w:vAlign w:val="center"/>
          </w:tcPr>
          <w:p w14:paraId="0428266E">
            <w:pPr>
              <w:pStyle w:val="26"/>
              <w:spacing w:line="600" w:lineRule="exact"/>
              <w:ind w:left="5250"/>
              <w:jc w:val="center"/>
              <w:rPr>
                <w:rFonts w:ascii="Times New Roman" w:cs="Courier New"/>
              </w:rPr>
            </w:pPr>
          </w:p>
        </w:tc>
        <w:tc>
          <w:tcPr>
            <w:tcW w:w="1573" w:type="dxa"/>
            <w:tcBorders>
              <w:top w:val="single" w:color="auto" w:sz="4" w:space="0"/>
              <w:left w:val="single" w:color="auto" w:sz="4" w:space="0"/>
              <w:bottom w:val="single" w:color="auto" w:sz="4" w:space="0"/>
              <w:right w:val="single" w:color="auto" w:sz="4" w:space="0"/>
            </w:tcBorders>
            <w:vAlign w:val="center"/>
          </w:tcPr>
          <w:p w14:paraId="777A49A7">
            <w:pPr>
              <w:pStyle w:val="26"/>
              <w:spacing w:line="600" w:lineRule="exact"/>
              <w:ind w:left="5250"/>
              <w:jc w:val="center"/>
              <w:rPr>
                <w:rFonts w:ascii="Times New Roman" w:cs="Courier New"/>
              </w:rPr>
            </w:pPr>
          </w:p>
        </w:tc>
      </w:tr>
      <w:tr w14:paraId="7C94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tcPr>
          <w:p w14:paraId="006FEB62">
            <w:pPr>
              <w:pStyle w:val="26"/>
              <w:spacing w:line="600" w:lineRule="exact"/>
              <w:ind w:left="5250"/>
              <w:jc w:val="center"/>
              <w:rPr>
                <w:rFonts w:ascii="Times New Roman" w:cs="Courier New"/>
              </w:rPr>
            </w:pPr>
          </w:p>
        </w:tc>
        <w:tc>
          <w:tcPr>
            <w:tcW w:w="3600" w:type="dxa"/>
            <w:tcBorders>
              <w:top w:val="single" w:color="auto" w:sz="4" w:space="0"/>
              <w:left w:val="single" w:color="auto" w:sz="4" w:space="0"/>
              <w:bottom w:val="single" w:color="auto" w:sz="4" w:space="0"/>
              <w:right w:val="single" w:color="auto" w:sz="4" w:space="0"/>
            </w:tcBorders>
            <w:vAlign w:val="center"/>
          </w:tcPr>
          <w:p w14:paraId="063A8847">
            <w:pPr>
              <w:pStyle w:val="26"/>
              <w:spacing w:line="600" w:lineRule="exact"/>
              <w:ind w:left="5250"/>
              <w:jc w:val="center"/>
              <w:rPr>
                <w:rFonts w:ascii="Times New Roman" w:cs="Courier New"/>
              </w:rPr>
            </w:pPr>
          </w:p>
        </w:tc>
        <w:tc>
          <w:tcPr>
            <w:tcW w:w="3600" w:type="dxa"/>
            <w:tcBorders>
              <w:top w:val="single" w:color="auto" w:sz="4" w:space="0"/>
              <w:left w:val="single" w:color="auto" w:sz="4" w:space="0"/>
              <w:bottom w:val="single" w:color="auto" w:sz="4" w:space="0"/>
              <w:right w:val="single" w:color="auto" w:sz="4" w:space="0"/>
            </w:tcBorders>
            <w:vAlign w:val="center"/>
          </w:tcPr>
          <w:p w14:paraId="6F1C73B1">
            <w:pPr>
              <w:pStyle w:val="26"/>
              <w:spacing w:line="600" w:lineRule="exact"/>
              <w:ind w:left="5250"/>
              <w:jc w:val="center"/>
              <w:rPr>
                <w:rFonts w:ascii="Times New Roman" w:cs="Courier New"/>
              </w:rPr>
            </w:pPr>
          </w:p>
        </w:tc>
        <w:tc>
          <w:tcPr>
            <w:tcW w:w="1573" w:type="dxa"/>
            <w:tcBorders>
              <w:top w:val="single" w:color="auto" w:sz="4" w:space="0"/>
              <w:left w:val="single" w:color="auto" w:sz="4" w:space="0"/>
              <w:bottom w:val="single" w:color="auto" w:sz="4" w:space="0"/>
              <w:right w:val="single" w:color="auto" w:sz="4" w:space="0"/>
            </w:tcBorders>
            <w:vAlign w:val="center"/>
          </w:tcPr>
          <w:p w14:paraId="63E56463">
            <w:pPr>
              <w:pStyle w:val="26"/>
              <w:spacing w:line="600" w:lineRule="exact"/>
              <w:ind w:left="5250"/>
              <w:jc w:val="center"/>
              <w:rPr>
                <w:rFonts w:ascii="Times New Roman" w:cs="Courier New"/>
              </w:rPr>
            </w:pPr>
          </w:p>
        </w:tc>
      </w:tr>
      <w:tr w14:paraId="3A82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tcPr>
          <w:p w14:paraId="0DEDE065">
            <w:pPr>
              <w:pStyle w:val="26"/>
              <w:spacing w:line="600" w:lineRule="exact"/>
              <w:ind w:left="5250"/>
              <w:rPr>
                <w:rFonts w:ascii="Times New Roman" w:cs="Courier New"/>
              </w:rPr>
            </w:pPr>
          </w:p>
        </w:tc>
        <w:tc>
          <w:tcPr>
            <w:tcW w:w="3600" w:type="dxa"/>
            <w:tcBorders>
              <w:top w:val="single" w:color="auto" w:sz="4" w:space="0"/>
              <w:left w:val="single" w:color="auto" w:sz="4" w:space="0"/>
              <w:bottom w:val="single" w:color="auto" w:sz="4" w:space="0"/>
              <w:right w:val="single" w:color="auto" w:sz="4" w:space="0"/>
            </w:tcBorders>
          </w:tcPr>
          <w:p w14:paraId="39B4F29C">
            <w:pPr>
              <w:pStyle w:val="26"/>
              <w:spacing w:line="600" w:lineRule="exact"/>
              <w:ind w:left="5250"/>
              <w:rPr>
                <w:rFonts w:ascii="Times New Roman" w:cs="Courier New"/>
              </w:rPr>
            </w:pPr>
          </w:p>
        </w:tc>
        <w:tc>
          <w:tcPr>
            <w:tcW w:w="3600" w:type="dxa"/>
            <w:tcBorders>
              <w:top w:val="single" w:color="auto" w:sz="4" w:space="0"/>
              <w:left w:val="single" w:color="auto" w:sz="4" w:space="0"/>
              <w:bottom w:val="single" w:color="auto" w:sz="4" w:space="0"/>
              <w:right w:val="single" w:color="auto" w:sz="4" w:space="0"/>
            </w:tcBorders>
          </w:tcPr>
          <w:p w14:paraId="76D5D15A">
            <w:pPr>
              <w:pStyle w:val="26"/>
              <w:spacing w:line="600" w:lineRule="exact"/>
              <w:ind w:left="5250"/>
              <w:rPr>
                <w:rFonts w:ascii="Times New Roman" w:cs="Courier New"/>
              </w:rPr>
            </w:pPr>
          </w:p>
        </w:tc>
        <w:tc>
          <w:tcPr>
            <w:tcW w:w="1573" w:type="dxa"/>
            <w:tcBorders>
              <w:top w:val="single" w:color="auto" w:sz="4" w:space="0"/>
              <w:left w:val="single" w:color="auto" w:sz="4" w:space="0"/>
              <w:bottom w:val="single" w:color="auto" w:sz="4" w:space="0"/>
              <w:right w:val="single" w:color="auto" w:sz="4" w:space="0"/>
            </w:tcBorders>
          </w:tcPr>
          <w:p w14:paraId="7198BF74">
            <w:pPr>
              <w:pStyle w:val="26"/>
              <w:spacing w:line="600" w:lineRule="exact"/>
              <w:ind w:left="5250"/>
              <w:rPr>
                <w:rFonts w:ascii="Times New Roman" w:cs="Courier New"/>
              </w:rPr>
            </w:pPr>
          </w:p>
        </w:tc>
      </w:tr>
      <w:tr w14:paraId="0A8C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tcPr>
          <w:p w14:paraId="24ED84B2">
            <w:pPr>
              <w:pStyle w:val="26"/>
              <w:spacing w:line="600" w:lineRule="exact"/>
              <w:ind w:left="5250"/>
              <w:rPr>
                <w:rFonts w:ascii="Times New Roman" w:cs="Courier New"/>
              </w:rPr>
            </w:pPr>
          </w:p>
        </w:tc>
        <w:tc>
          <w:tcPr>
            <w:tcW w:w="3600" w:type="dxa"/>
            <w:tcBorders>
              <w:top w:val="single" w:color="auto" w:sz="4" w:space="0"/>
              <w:left w:val="single" w:color="auto" w:sz="4" w:space="0"/>
              <w:bottom w:val="single" w:color="auto" w:sz="4" w:space="0"/>
              <w:right w:val="single" w:color="auto" w:sz="4" w:space="0"/>
            </w:tcBorders>
          </w:tcPr>
          <w:p w14:paraId="61E292AF">
            <w:pPr>
              <w:pStyle w:val="26"/>
              <w:spacing w:line="600" w:lineRule="exact"/>
              <w:ind w:left="5250"/>
              <w:rPr>
                <w:rFonts w:ascii="Times New Roman" w:cs="Courier New"/>
              </w:rPr>
            </w:pPr>
          </w:p>
        </w:tc>
        <w:tc>
          <w:tcPr>
            <w:tcW w:w="3600" w:type="dxa"/>
            <w:tcBorders>
              <w:top w:val="single" w:color="auto" w:sz="4" w:space="0"/>
              <w:left w:val="single" w:color="auto" w:sz="4" w:space="0"/>
              <w:bottom w:val="single" w:color="auto" w:sz="4" w:space="0"/>
              <w:right w:val="single" w:color="auto" w:sz="4" w:space="0"/>
            </w:tcBorders>
          </w:tcPr>
          <w:p w14:paraId="73DC7393">
            <w:pPr>
              <w:pStyle w:val="26"/>
              <w:spacing w:line="600" w:lineRule="exact"/>
              <w:ind w:left="5250"/>
              <w:rPr>
                <w:rFonts w:ascii="Times New Roman" w:cs="Courier New"/>
              </w:rPr>
            </w:pPr>
          </w:p>
        </w:tc>
        <w:tc>
          <w:tcPr>
            <w:tcW w:w="1573" w:type="dxa"/>
            <w:tcBorders>
              <w:top w:val="single" w:color="auto" w:sz="4" w:space="0"/>
              <w:left w:val="single" w:color="auto" w:sz="4" w:space="0"/>
              <w:bottom w:val="single" w:color="auto" w:sz="4" w:space="0"/>
              <w:right w:val="single" w:color="auto" w:sz="4" w:space="0"/>
            </w:tcBorders>
          </w:tcPr>
          <w:p w14:paraId="5913315A">
            <w:pPr>
              <w:pStyle w:val="26"/>
              <w:spacing w:line="600" w:lineRule="exact"/>
              <w:ind w:left="5250"/>
              <w:rPr>
                <w:rFonts w:ascii="Times New Roman" w:cs="Courier New"/>
              </w:rPr>
            </w:pPr>
          </w:p>
        </w:tc>
      </w:tr>
      <w:tr w14:paraId="78B3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tcPr>
          <w:p w14:paraId="5D088475">
            <w:pPr>
              <w:pStyle w:val="26"/>
              <w:spacing w:line="600" w:lineRule="exact"/>
              <w:ind w:left="5250"/>
              <w:rPr>
                <w:rFonts w:ascii="Times New Roman" w:cs="Courier New"/>
              </w:rPr>
            </w:pPr>
          </w:p>
        </w:tc>
        <w:tc>
          <w:tcPr>
            <w:tcW w:w="3600" w:type="dxa"/>
            <w:tcBorders>
              <w:top w:val="single" w:color="auto" w:sz="4" w:space="0"/>
              <w:left w:val="single" w:color="auto" w:sz="4" w:space="0"/>
              <w:bottom w:val="single" w:color="auto" w:sz="4" w:space="0"/>
              <w:right w:val="single" w:color="auto" w:sz="4" w:space="0"/>
            </w:tcBorders>
          </w:tcPr>
          <w:p w14:paraId="5DFB305D">
            <w:pPr>
              <w:pStyle w:val="26"/>
              <w:spacing w:line="600" w:lineRule="exact"/>
              <w:ind w:left="5250"/>
              <w:rPr>
                <w:rFonts w:ascii="Times New Roman" w:cs="Courier New"/>
              </w:rPr>
            </w:pPr>
          </w:p>
        </w:tc>
        <w:tc>
          <w:tcPr>
            <w:tcW w:w="3600" w:type="dxa"/>
            <w:tcBorders>
              <w:top w:val="single" w:color="auto" w:sz="4" w:space="0"/>
              <w:left w:val="single" w:color="auto" w:sz="4" w:space="0"/>
              <w:bottom w:val="single" w:color="auto" w:sz="4" w:space="0"/>
              <w:right w:val="single" w:color="auto" w:sz="4" w:space="0"/>
            </w:tcBorders>
          </w:tcPr>
          <w:p w14:paraId="5F88DDBA">
            <w:pPr>
              <w:pStyle w:val="26"/>
              <w:spacing w:line="600" w:lineRule="exact"/>
              <w:ind w:left="5250"/>
              <w:rPr>
                <w:rFonts w:ascii="Times New Roman" w:cs="Courier New"/>
              </w:rPr>
            </w:pPr>
          </w:p>
        </w:tc>
        <w:tc>
          <w:tcPr>
            <w:tcW w:w="1573" w:type="dxa"/>
            <w:tcBorders>
              <w:top w:val="single" w:color="auto" w:sz="4" w:space="0"/>
              <w:left w:val="single" w:color="auto" w:sz="4" w:space="0"/>
              <w:bottom w:val="single" w:color="auto" w:sz="4" w:space="0"/>
              <w:right w:val="single" w:color="auto" w:sz="4" w:space="0"/>
            </w:tcBorders>
          </w:tcPr>
          <w:p w14:paraId="6C654A0E">
            <w:pPr>
              <w:pStyle w:val="26"/>
              <w:spacing w:line="600" w:lineRule="exact"/>
              <w:ind w:left="5250"/>
              <w:rPr>
                <w:rFonts w:ascii="Times New Roman" w:cs="Courier New"/>
              </w:rPr>
            </w:pPr>
          </w:p>
        </w:tc>
      </w:tr>
      <w:tr w14:paraId="50B1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tcPr>
          <w:p w14:paraId="3D90A876">
            <w:pPr>
              <w:pStyle w:val="26"/>
              <w:spacing w:line="600" w:lineRule="exact"/>
              <w:ind w:left="5250"/>
              <w:rPr>
                <w:rFonts w:ascii="Times New Roman" w:cs="Courier New"/>
              </w:rPr>
            </w:pPr>
          </w:p>
        </w:tc>
        <w:tc>
          <w:tcPr>
            <w:tcW w:w="3600" w:type="dxa"/>
            <w:tcBorders>
              <w:top w:val="single" w:color="auto" w:sz="4" w:space="0"/>
              <w:left w:val="single" w:color="auto" w:sz="4" w:space="0"/>
              <w:bottom w:val="single" w:color="auto" w:sz="4" w:space="0"/>
              <w:right w:val="single" w:color="auto" w:sz="4" w:space="0"/>
            </w:tcBorders>
          </w:tcPr>
          <w:p w14:paraId="26BB64F3">
            <w:pPr>
              <w:pStyle w:val="26"/>
              <w:spacing w:line="600" w:lineRule="exact"/>
              <w:ind w:left="5250"/>
              <w:rPr>
                <w:rFonts w:ascii="Times New Roman" w:cs="Courier New"/>
              </w:rPr>
            </w:pPr>
          </w:p>
        </w:tc>
        <w:tc>
          <w:tcPr>
            <w:tcW w:w="3600" w:type="dxa"/>
            <w:tcBorders>
              <w:top w:val="single" w:color="auto" w:sz="4" w:space="0"/>
              <w:left w:val="single" w:color="auto" w:sz="4" w:space="0"/>
              <w:bottom w:val="single" w:color="auto" w:sz="4" w:space="0"/>
              <w:right w:val="single" w:color="auto" w:sz="4" w:space="0"/>
            </w:tcBorders>
          </w:tcPr>
          <w:p w14:paraId="34121A5B">
            <w:pPr>
              <w:pStyle w:val="26"/>
              <w:spacing w:line="600" w:lineRule="exact"/>
              <w:ind w:left="5250"/>
              <w:rPr>
                <w:rFonts w:ascii="Times New Roman" w:cs="Courier New"/>
              </w:rPr>
            </w:pPr>
          </w:p>
        </w:tc>
        <w:tc>
          <w:tcPr>
            <w:tcW w:w="1573" w:type="dxa"/>
            <w:tcBorders>
              <w:top w:val="single" w:color="auto" w:sz="4" w:space="0"/>
              <w:left w:val="single" w:color="auto" w:sz="4" w:space="0"/>
              <w:bottom w:val="single" w:color="auto" w:sz="4" w:space="0"/>
              <w:right w:val="single" w:color="auto" w:sz="4" w:space="0"/>
            </w:tcBorders>
          </w:tcPr>
          <w:p w14:paraId="2575CAFF">
            <w:pPr>
              <w:pStyle w:val="26"/>
              <w:spacing w:line="600" w:lineRule="exact"/>
              <w:ind w:left="5250"/>
              <w:rPr>
                <w:rFonts w:ascii="Times New Roman" w:cs="Courier New"/>
              </w:rPr>
            </w:pPr>
          </w:p>
        </w:tc>
      </w:tr>
    </w:tbl>
    <w:p w14:paraId="0B97E556">
      <w:pPr>
        <w:spacing w:line="400" w:lineRule="exact"/>
        <w:rPr>
          <w:rFonts w:hint="eastAsia"/>
        </w:rPr>
      </w:pPr>
      <w:r>
        <w:rPr>
          <w:rFonts w:hint="eastAsia"/>
        </w:rPr>
        <w:t xml:space="preserve">   </w:t>
      </w:r>
    </w:p>
    <w:p w14:paraId="79D1669A">
      <w:pPr>
        <w:spacing w:line="360" w:lineRule="exact"/>
        <w:rPr>
          <w:rFonts w:hint="eastAsia"/>
          <w:b/>
        </w:rPr>
      </w:pPr>
      <w:r>
        <w:rPr>
          <w:rFonts w:hint="eastAsia"/>
          <w:b/>
        </w:rPr>
        <w:t>注：投标人应根据提供的服务、对照招标文件要求在服务响应表中详细列明招标要求及投标提供的服务的响应情况，并填写“</w:t>
      </w:r>
      <w:r>
        <w:rPr>
          <w:b/>
          <w:sz w:val="24"/>
        </w:rPr>
        <w:t>偏离说明</w:t>
      </w:r>
      <w:r>
        <w:rPr>
          <w:rFonts w:hint="eastAsia"/>
          <w:b/>
          <w:sz w:val="24"/>
        </w:rPr>
        <w:t>”</w:t>
      </w:r>
      <w:r>
        <w:rPr>
          <w:rFonts w:hint="eastAsia"/>
          <w:b/>
        </w:rPr>
        <w:t>。“</w:t>
      </w:r>
      <w:r>
        <w:rPr>
          <w:rFonts w:hint="eastAsia"/>
          <w:b/>
          <w:sz w:val="24"/>
        </w:rPr>
        <w:t>偏离</w:t>
      </w:r>
      <w:r>
        <w:rPr>
          <w:b/>
          <w:sz w:val="24"/>
        </w:rPr>
        <w:t>说明</w:t>
      </w:r>
      <w:r>
        <w:rPr>
          <w:rFonts w:hint="eastAsia"/>
          <w:b/>
        </w:rPr>
        <w:t>”栏注明“正偏离”、“负偏离”或“无偏离”。投标所提供的服务与招标要求相同的为无偏离，投标所提供的服务高于招标要求的为正偏离，低于招标要求的为负偏离。</w:t>
      </w:r>
    </w:p>
    <w:p w14:paraId="5D610C8C">
      <w:pPr>
        <w:rPr>
          <w:rFonts w:hint="eastAsia"/>
        </w:rPr>
      </w:pPr>
    </w:p>
    <w:p w14:paraId="4ACCC32A">
      <w:pPr>
        <w:spacing w:line="400" w:lineRule="exact"/>
        <w:rPr>
          <w:rFonts w:hint="eastAsia"/>
          <w:u w:val="single"/>
        </w:rPr>
      </w:pPr>
      <w:r>
        <w:rPr>
          <w:rFonts w:hint="eastAsia"/>
        </w:rPr>
        <w:t>法定代表人（负责人）或委托代理人签字或盖章：</w:t>
      </w:r>
      <w:r>
        <w:rPr>
          <w:rFonts w:hint="eastAsia"/>
          <w:u w:val="single"/>
        </w:rPr>
        <w:t xml:space="preserve">                 </w:t>
      </w:r>
    </w:p>
    <w:p w14:paraId="6B4E6DF6">
      <w:pPr>
        <w:spacing w:line="400" w:lineRule="exact"/>
        <w:rPr>
          <w:rFonts w:hint="eastAsia"/>
        </w:rPr>
      </w:pPr>
      <w:r>
        <w:rPr>
          <w:rFonts w:hint="eastAsia"/>
        </w:rPr>
        <w:t>投标人名称（</w:t>
      </w:r>
      <w:r>
        <w:rPr>
          <w:rFonts w:hint="eastAsia" w:ascii="宋体"/>
          <w:szCs w:val="21"/>
        </w:rPr>
        <w:t>盖章</w:t>
      </w:r>
      <w:r>
        <w:rPr>
          <w:rFonts w:hint="eastAsia"/>
        </w:rPr>
        <w:t>）：</w:t>
      </w:r>
      <w:r>
        <w:rPr>
          <w:rFonts w:hint="eastAsia"/>
          <w:u w:val="single"/>
        </w:rPr>
        <w:t xml:space="preserve">                </w:t>
      </w:r>
      <w:r>
        <w:rPr>
          <w:rFonts w:hint="eastAsia"/>
        </w:rPr>
        <w:t xml:space="preserve">          日 期：</w:t>
      </w:r>
      <w:r>
        <w:rPr>
          <w:rFonts w:hint="eastAsia"/>
          <w:u w:val="single"/>
        </w:rPr>
        <w:t xml:space="preserve">              </w:t>
      </w:r>
    </w:p>
    <w:p w14:paraId="443B681D">
      <w:pPr>
        <w:rPr>
          <w:rFonts w:hint="eastAsia"/>
        </w:rPr>
      </w:pPr>
    </w:p>
    <w:p w14:paraId="2F2EF93B">
      <w:pPr>
        <w:spacing w:line="400" w:lineRule="exact"/>
        <w:rPr>
          <w:rFonts w:hint="eastAsia" w:ascii="宋体"/>
          <w:spacing w:val="20"/>
          <w:szCs w:val="21"/>
          <w:u w:val="single"/>
        </w:rPr>
      </w:pPr>
      <w:r>
        <w:rPr>
          <w:rFonts w:hint="eastAsia"/>
        </w:rPr>
        <w:t xml:space="preserve">    </w:t>
      </w:r>
    </w:p>
    <w:p w14:paraId="3265D8C2">
      <w:pPr>
        <w:spacing w:line="360" w:lineRule="exact"/>
        <w:rPr>
          <w:rFonts w:hint="eastAsia"/>
        </w:rPr>
      </w:pPr>
      <w:r>
        <w:rPr>
          <w:rFonts w:hint="eastAsia"/>
        </w:rPr>
        <w:t xml:space="preserve">    （2）服务方案</w:t>
      </w:r>
      <w:r>
        <w:rPr>
          <w:rFonts w:hint="eastAsia" w:ascii="宋体" w:hAnsi="宋体"/>
          <w:szCs w:val="21"/>
        </w:rPr>
        <w:t>；</w:t>
      </w:r>
      <w:r>
        <w:rPr>
          <w:rFonts w:hint="eastAsia" w:ascii="宋体" w:hAnsi="宋体"/>
          <w:b/>
          <w:szCs w:val="21"/>
        </w:rPr>
        <w:t>（格式自拟，</w:t>
      </w:r>
      <w:r>
        <w:rPr>
          <w:rFonts w:hint="eastAsia" w:ascii="宋体"/>
          <w:b/>
          <w:szCs w:val="21"/>
        </w:rPr>
        <w:t>必须提供</w:t>
      </w:r>
      <w:r>
        <w:rPr>
          <w:rFonts w:hint="eastAsia" w:ascii="宋体" w:hAnsi="宋体"/>
          <w:b/>
          <w:szCs w:val="21"/>
        </w:rPr>
        <w:t>）</w:t>
      </w:r>
    </w:p>
    <w:p w14:paraId="2B68FCA0">
      <w:pPr>
        <w:rPr>
          <w:rFonts w:hint="eastAsia"/>
        </w:rPr>
      </w:pPr>
    </w:p>
    <w:p w14:paraId="16236DD7">
      <w:pPr>
        <w:spacing w:line="360" w:lineRule="exact"/>
        <w:rPr>
          <w:rFonts w:hint="eastAsia"/>
        </w:rPr>
      </w:pPr>
      <w:r>
        <w:rPr>
          <w:rFonts w:hint="eastAsia"/>
        </w:rPr>
        <w:t xml:space="preserve">    （3）投标人拥有主要服务设施的情况和现状（格式自拟）及项目实施人员一览表</w:t>
      </w:r>
    </w:p>
    <w:p w14:paraId="72039D75">
      <w:pPr>
        <w:spacing w:line="360" w:lineRule="exact"/>
        <w:jc w:val="center"/>
        <w:outlineLvl w:val="0"/>
        <w:rPr>
          <w:rFonts w:hint="eastAsia"/>
          <w:b/>
        </w:rPr>
      </w:pPr>
      <w:r>
        <w:rPr>
          <w:rFonts w:hint="eastAsia"/>
          <w:b/>
        </w:rPr>
        <w:t>项目实施人员（主要从业人员及其技术资格）一览表</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14:paraId="25A8C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vAlign w:val="center"/>
          </w:tcPr>
          <w:p w14:paraId="7D2372FE">
            <w:pPr>
              <w:snapToGrid w:val="0"/>
              <w:spacing w:beforeLines="50" w:after="50" w:line="360" w:lineRule="exact"/>
              <w:jc w:val="center"/>
              <w:rPr>
                <w:rFonts w:hint="eastAsia" w:ascii="宋体"/>
                <w:szCs w:val="21"/>
              </w:rPr>
            </w:pPr>
            <w:r>
              <w:rPr>
                <w:rFonts w:hint="eastAsia" w:asci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14:paraId="7D4D6111">
            <w:pPr>
              <w:snapToGrid w:val="0"/>
              <w:spacing w:beforeLines="50" w:after="50" w:line="360" w:lineRule="exact"/>
              <w:jc w:val="center"/>
              <w:rPr>
                <w:rFonts w:hint="eastAsia" w:ascii="宋体"/>
                <w:szCs w:val="21"/>
              </w:rPr>
            </w:pPr>
            <w:r>
              <w:rPr>
                <w:rFonts w:hint="eastAsia" w:ascii="宋体"/>
                <w:szCs w:val="21"/>
              </w:rPr>
              <w:t>职务</w:t>
            </w:r>
          </w:p>
        </w:tc>
        <w:tc>
          <w:tcPr>
            <w:tcW w:w="2160" w:type="dxa"/>
            <w:tcBorders>
              <w:top w:val="single" w:color="auto" w:sz="4" w:space="0"/>
              <w:left w:val="single" w:color="auto" w:sz="4" w:space="0"/>
              <w:bottom w:val="single" w:color="auto" w:sz="4" w:space="0"/>
              <w:right w:val="single" w:color="auto" w:sz="4" w:space="0"/>
            </w:tcBorders>
            <w:vAlign w:val="center"/>
          </w:tcPr>
          <w:p w14:paraId="46330C0B">
            <w:pPr>
              <w:snapToGrid w:val="0"/>
              <w:spacing w:beforeLines="50" w:after="50" w:line="360" w:lineRule="exact"/>
              <w:jc w:val="center"/>
              <w:rPr>
                <w:rFonts w:hint="eastAsia" w:ascii="宋体"/>
                <w:szCs w:val="21"/>
              </w:rPr>
            </w:pPr>
            <w:r>
              <w:rPr>
                <w:rFonts w:hint="eastAsia" w:ascii="宋体"/>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14:paraId="778F62F6">
            <w:pPr>
              <w:snapToGrid w:val="0"/>
              <w:spacing w:beforeLines="50" w:after="50" w:line="360" w:lineRule="exact"/>
              <w:jc w:val="center"/>
              <w:rPr>
                <w:rFonts w:hint="eastAsia" w:ascii="宋体"/>
                <w:szCs w:val="21"/>
              </w:rPr>
            </w:pPr>
            <w:r>
              <w:rPr>
                <w:rFonts w:hint="eastAsia" w:ascii="宋体"/>
                <w:szCs w:val="21"/>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14:paraId="27CA1C53">
            <w:pPr>
              <w:snapToGrid w:val="0"/>
              <w:spacing w:beforeLines="50" w:after="50" w:line="200" w:lineRule="exact"/>
              <w:jc w:val="center"/>
              <w:rPr>
                <w:rFonts w:hint="eastAsia" w:ascii="宋体"/>
                <w:bCs/>
                <w:szCs w:val="21"/>
              </w:rPr>
            </w:pPr>
            <w:r>
              <w:rPr>
                <w:rFonts w:hint="eastAsia" w:ascii="宋体"/>
                <w:bCs/>
                <w:szCs w:val="21"/>
              </w:rPr>
              <w:t>参加本单位</w:t>
            </w:r>
          </w:p>
          <w:p w14:paraId="2291CD63">
            <w:pPr>
              <w:snapToGrid w:val="0"/>
              <w:spacing w:beforeLines="50" w:after="50" w:line="200" w:lineRule="exact"/>
              <w:jc w:val="center"/>
              <w:rPr>
                <w:rFonts w:hint="eastAsia" w:ascii="宋体"/>
                <w:bCs/>
                <w:szCs w:val="21"/>
              </w:rPr>
            </w:pPr>
            <w:r>
              <w:rPr>
                <w:rFonts w:hint="eastAsia" w:ascii="宋体"/>
                <w:bCs/>
                <w:szCs w:val="21"/>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14:paraId="0EBC9F2C">
            <w:pPr>
              <w:snapToGrid w:val="0"/>
              <w:spacing w:beforeLines="50" w:after="50" w:line="360" w:lineRule="exact"/>
              <w:jc w:val="center"/>
              <w:rPr>
                <w:rFonts w:hint="eastAsia" w:ascii="宋体"/>
                <w:bCs/>
                <w:szCs w:val="21"/>
              </w:rPr>
            </w:pPr>
            <w:r>
              <w:rPr>
                <w:rFonts w:hint="eastAsia" w:ascii="宋体"/>
                <w:bCs/>
                <w:szCs w:val="21"/>
              </w:rPr>
              <w:t>劳动合同编号</w:t>
            </w:r>
          </w:p>
        </w:tc>
      </w:tr>
      <w:tr w14:paraId="71B51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tcPr>
          <w:p w14:paraId="121E6E05">
            <w:pPr>
              <w:snapToGrid w:val="0"/>
              <w:spacing w:beforeLines="50" w:after="50" w:line="360" w:lineRule="exact"/>
              <w:rPr>
                <w:rFonts w:hint="eastAsia" w:ascii="宋体"/>
                <w:szCs w:val="21"/>
              </w:rPr>
            </w:pPr>
          </w:p>
        </w:tc>
        <w:tc>
          <w:tcPr>
            <w:tcW w:w="900" w:type="dxa"/>
            <w:tcBorders>
              <w:top w:val="single" w:color="auto" w:sz="4" w:space="0"/>
              <w:left w:val="single" w:color="auto" w:sz="4" w:space="0"/>
              <w:bottom w:val="single" w:color="auto" w:sz="4" w:space="0"/>
              <w:right w:val="single" w:color="auto" w:sz="4" w:space="0"/>
            </w:tcBorders>
          </w:tcPr>
          <w:p w14:paraId="5ACAF6EF">
            <w:pPr>
              <w:snapToGrid w:val="0"/>
              <w:spacing w:beforeLines="50" w:after="50" w:line="360" w:lineRule="exact"/>
              <w:rPr>
                <w:rFonts w:hint="eastAsia" w:ascii="宋体"/>
                <w:szCs w:val="21"/>
              </w:rPr>
            </w:pPr>
          </w:p>
        </w:tc>
        <w:tc>
          <w:tcPr>
            <w:tcW w:w="2160" w:type="dxa"/>
            <w:tcBorders>
              <w:top w:val="single" w:color="auto" w:sz="4" w:space="0"/>
              <w:left w:val="single" w:color="auto" w:sz="4" w:space="0"/>
              <w:bottom w:val="single" w:color="auto" w:sz="4" w:space="0"/>
              <w:right w:val="single" w:color="auto" w:sz="4" w:space="0"/>
            </w:tcBorders>
          </w:tcPr>
          <w:p w14:paraId="6B042B83">
            <w:pPr>
              <w:snapToGrid w:val="0"/>
              <w:spacing w:beforeLines="50" w:after="50" w:line="360" w:lineRule="exact"/>
              <w:rPr>
                <w:rFonts w:hint="eastAsia" w:ascii="宋体"/>
                <w:szCs w:val="21"/>
              </w:rPr>
            </w:pPr>
          </w:p>
        </w:tc>
        <w:tc>
          <w:tcPr>
            <w:tcW w:w="1516" w:type="dxa"/>
            <w:tcBorders>
              <w:top w:val="single" w:color="auto" w:sz="4" w:space="0"/>
              <w:left w:val="single" w:color="auto" w:sz="4" w:space="0"/>
              <w:bottom w:val="single" w:color="auto" w:sz="4" w:space="0"/>
              <w:right w:val="single" w:color="auto" w:sz="4" w:space="0"/>
            </w:tcBorders>
          </w:tcPr>
          <w:p w14:paraId="0F361EE0">
            <w:pPr>
              <w:snapToGrid w:val="0"/>
              <w:spacing w:beforeLines="50" w:after="50" w:line="360" w:lineRule="exact"/>
              <w:rPr>
                <w:rFonts w:hint="eastAsia" w:ascii="宋体"/>
                <w:szCs w:val="21"/>
              </w:rPr>
            </w:pPr>
          </w:p>
        </w:tc>
        <w:tc>
          <w:tcPr>
            <w:tcW w:w="2084" w:type="dxa"/>
            <w:tcBorders>
              <w:top w:val="single" w:color="auto" w:sz="4" w:space="0"/>
              <w:left w:val="single" w:color="auto" w:sz="4" w:space="0"/>
              <w:bottom w:val="single" w:color="auto" w:sz="4" w:space="0"/>
              <w:right w:val="single" w:color="auto" w:sz="4" w:space="0"/>
            </w:tcBorders>
          </w:tcPr>
          <w:p w14:paraId="2ABEB00C">
            <w:pPr>
              <w:snapToGrid w:val="0"/>
              <w:spacing w:beforeLines="50" w:after="50" w:line="360" w:lineRule="exact"/>
              <w:rPr>
                <w:rFonts w:hint="eastAsia" w:ascii="宋体"/>
                <w:szCs w:val="21"/>
              </w:rPr>
            </w:pPr>
          </w:p>
        </w:tc>
        <w:tc>
          <w:tcPr>
            <w:tcW w:w="1980" w:type="dxa"/>
            <w:tcBorders>
              <w:top w:val="single" w:color="auto" w:sz="4" w:space="0"/>
              <w:left w:val="single" w:color="auto" w:sz="4" w:space="0"/>
              <w:bottom w:val="single" w:color="auto" w:sz="4" w:space="0"/>
              <w:right w:val="single" w:color="auto" w:sz="4" w:space="0"/>
            </w:tcBorders>
          </w:tcPr>
          <w:p w14:paraId="1F39A405">
            <w:pPr>
              <w:snapToGrid w:val="0"/>
              <w:spacing w:beforeLines="50" w:after="50" w:line="360" w:lineRule="exact"/>
              <w:rPr>
                <w:rFonts w:hint="eastAsia" w:ascii="宋体"/>
                <w:szCs w:val="21"/>
              </w:rPr>
            </w:pPr>
          </w:p>
        </w:tc>
      </w:tr>
      <w:tr w14:paraId="0DBAD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tcPr>
          <w:p w14:paraId="7A3E09AE">
            <w:pPr>
              <w:snapToGrid w:val="0"/>
              <w:spacing w:beforeLines="50" w:after="50" w:line="360" w:lineRule="exact"/>
              <w:rPr>
                <w:rFonts w:hint="eastAsia" w:ascii="宋体"/>
                <w:szCs w:val="21"/>
              </w:rPr>
            </w:pPr>
          </w:p>
        </w:tc>
        <w:tc>
          <w:tcPr>
            <w:tcW w:w="900" w:type="dxa"/>
            <w:tcBorders>
              <w:top w:val="single" w:color="auto" w:sz="4" w:space="0"/>
              <w:left w:val="single" w:color="auto" w:sz="4" w:space="0"/>
              <w:bottom w:val="single" w:color="auto" w:sz="4" w:space="0"/>
              <w:right w:val="single" w:color="auto" w:sz="4" w:space="0"/>
            </w:tcBorders>
          </w:tcPr>
          <w:p w14:paraId="788417A3">
            <w:pPr>
              <w:snapToGrid w:val="0"/>
              <w:spacing w:beforeLines="50" w:after="50" w:line="360" w:lineRule="exact"/>
              <w:rPr>
                <w:rFonts w:hint="eastAsia" w:ascii="宋体"/>
                <w:szCs w:val="21"/>
              </w:rPr>
            </w:pPr>
          </w:p>
        </w:tc>
        <w:tc>
          <w:tcPr>
            <w:tcW w:w="2160" w:type="dxa"/>
            <w:tcBorders>
              <w:top w:val="single" w:color="auto" w:sz="4" w:space="0"/>
              <w:left w:val="single" w:color="auto" w:sz="4" w:space="0"/>
              <w:bottom w:val="single" w:color="auto" w:sz="4" w:space="0"/>
              <w:right w:val="single" w:color="auto" w:sz="4" w:space="0"/>
            </w:tcBorders>
          </w:tcPr>
          <w:p w14:paraId="30CE9143">
            <w:pPr>
              <w:snapToGrid w:val="0"/>
              <w:spacing w:beforeLines="50" w:after="50" w:line="360" w:lineRule="exact"/>
              <w:rPr>
                <w:rFonts w:hint="eastAsia" w:ascii="宋体"/>
                <w:szCs w:val="21"/>
              </w:rPr>
            </w:pPr>
          </w:p>
        </w:tc>
        <w:tc>
          <w:tcPr>
            <w:tcW w:w="1516" w:type="dxa"/>
            <w:tcBorders>
              <w:top w:val="single" w:color="auto" w:sz="4" w:space="0"/>
              <w:left w:val="single" w:color="auto" w:sz="4" w:space="0"/>
              <w:bottom w:val="single" w:color="auto" w:sz="4" w:space="0"/>
              <w:right w:val="single" w:color="auto" w:sz="4" w:space="0"/>
            </w:tcBorders>
          </w:tcPr>
          <w:p w14:paraId="097F419D">
            <w:pPr>
              <w:snapToGrid w:val="0"/>
              <w:spacing w:beforeLines="50" w:after="50" w:line="360" w:lineRule="exact"/>
              <w:rPr>
                <w:rFonts w:hint="eastAsia" w:ascii="宋体"/>
                <w:szCs w:val="21"/>
              </w:rPr>
            </w:pPr>
          </w:p>
        </w:tc>
        <w:tc>
          <w:tcPr>
            <w:tcW w:w="2084" w:type="dxa"/>
            <w:tcBorders>
              <w:top w:val="single" w:color="auto" w:sz="4" w:space="0"/>
              <w:left w:val="single" w:color="auto" w:sz="4" w:space="0"/>
              <w:bottom w:val="single" w:color="auto" w:sz="4" w:space="0"/>
              <w:right w:val="single" w:color="auto" w:sz="4" w:space="0"/>
            </w:tcBorders>
          </w:tcPr>
          <w:p w14:paraId="10EDC38D">
            <w:pPr>
              <w:snapToGrid w:val="0"/>
              <w:spacing w:beforeLines="50" w:after="50" w:line="360" w:lineRule="exact"/>
              <w:rPr>
                <w:rFonts w:hint="eastAsia" w:ascii="宋体"/>
                <w:szCs w:val="21"/>
              </w:rPr>
            </w:pPr>
          </w:p>
        </w:tc>
        <w:tc>
          <w:tcPr>
            <w:tcW w:w="1980" w:type="dxa"/>
            <w:tcBorders>
              <w:top w:val="single" w:color="auto" w:sz="4" w:space="0"/>
              <w:left w:val="single" w:color="auto" w:sz="4" w:space="0"/>
              <w:bottom w:val="single" w:color="auto" w:sz="4" w:space="0"/>
              <w:right w:val="single" w:color="auto" w:sz="4" w:space="0"/>
            </w:tcBorders>
          </w:tcPr>
          <w:p w14:paraId="3F851B82">
            <w:pPr>
              <w:snapToGrid w:val="0"/>
              <w:spacing w:beforeLines="50" w:after="50" w:line="360" w:lineRule="exact"/>
              <w:rPr>
                <w:rFonts w:hint="eastAsia" w:ascii="宋体"/>
                <w:szCs w:val="21"/>
              </w:rPr>
            </w:pPr>
          </w:p>
        </w:tc>
      </w:tr>
      <w:tr w14:paraId="342B8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tcPr>
          <w:p w14:paraId="02150220">
            <w:pPr>
              <w:snapToGrid w:val="0"/>
              <w:spacing w:beforeLines="50" w:after="50" w:line="360" w:lineRule="exact"/>
              <w:rPr>
                <w:rFonts w:hint="eastAsia" w:ascii="宋体"/>
                <w:szCs w:val="21"/>
              </w:rPr>
            </w:pPr>
          </w:p>
        </w:tc>
        <w:tc>
          <w:tcPr>
            <w:tcW w:w="900" w:type="dxa"/>
            <w:tcBorders>
              <w:top w:val="single" w:color="auto" w:sz="4" w:space="0"/>
              <w:left w:val="single" w:color="auto" w:sz="4" w:space="0"/>
              <w:bottom w:val="single" w:color="auto" w:sz="4" w:space="0"/>
              <w:right w:val="single" w:color="auto" w:sz="4" w:space="0"/>
            </w:tcBorders>
          </w:tcPr>
          <w:p w14:paraId="2FC96619">
            <w:pPr>
              <w:snapToGrid w:val="0"/>
              <w:spacing w:beforeLines="50" w:after="50" w:line="360" w:lineRule="exact"/>
              <w:rPr>
                <w:rFonts w:hint="eastAsia" w:ascii="宋体"/>
                <w:szCs w:val="21"/>
              </w:rPr>
            </w:pPr>
          </w:p>
        </w:tc>
        <w:tc>
          <w:tcPr>
            <w:tcW w:w="2160" w:type="dxa"/>
            <w:tcBorders>
              <w:top w:val="single" w:color="auto" w:sz="4" w:space="0"/>
              <w:left w:val="single" w:color="auto" w:sz="4" w:space="0"/>
              <w:bottom w:val="single" w:color="auto" w:sz="4" w:space="0"/>
              <w:right w:val="single" w:color="auto" w:sz="4" w:space="0"/>
            </w:tcBorders>
          </w:tcPr>
          <w:p w14:paraId="2139BFF5">
            <w:pPr>
              <w:pStyle w:val="28"/>
              <w:snapToGrid w:val="0"/>
              <w:spacing w:beforeLines="50" w:after="50" w:line="360" w:lineRule="exact"/>
              <w:ind w:left="5250"/>
              <w:rPr>
                <w:rFonts w:hint="eastAsia"/>
              </w:rPr>
            </w:pPr>
          </w:p>
        </w:tc>
        <w:tc>
          <w:tcPr>
            <w:tcW w:w="1516" w:type="dxa"/>
            <w:tcBorders>
              <w:top w:val="single" w:color="auto" w:sz="4" w:space="0"/>
              <w:left w:val="single" w:color="auto" w:sz="4" w:space="0"/>
              <w:bottom w:val="single" w:color="auto" w:sz="4" w:space="0"/>
              <w:right w:val="single" w:color="auto" w:sz="4" w:space="0"/>
            </w:tcBorders>
          </w:tcPr>
          <w:p w14:paraId="05268026">
            <w:pPr>
              <w:snapToGrid w:val="0"/>
              <w:spacing w:beforeLines="50" w:after="50" w:line="360" w:lineRule="exact"/>
              <w:rPr>
                <w:rFonts w:hint="eastAsia" w:ascii="宋体"/>
                <w:szCs w:val="21"/>
              </w:rPr>
            </w:pPr>
          </w:p>
        </w:tc>
        <w:tc>
          <w:tcPr>
            <w:tcW w:w="2084" w:type="dxa"/>
            <w:tcBorders>
              <w:top w:val="single" w:color="auto" w:sz="4" w:space="0"/>
              <w:left w:val="single" w:color="auto" w:sz="4" w:space="0"/>
              <w:bottom w:val="single" w:color="auto" w:sz="4" w:space="0"/>
              <w:right w:val="single" w:color="auto" w:sz="4" w:space="0"/>
            </w:tcBorders>
          </w:tcPr>
          <w:p w14:paraId="67B02F97">
            <w:pPr>
              <w:snapToGrid w:val="0"/>
              <w:spacing w:beforeLines="50" w:after="50" w:line="360" w:lineRule="exact"/>
              <w:rPr>
                <w:rFonts w:hint="eastAsia" w:ascii="宋体"/>
                <w:szCs w:val="21"/>
              </w:rPr>
            </w:pPr>
          </w:p>
        </w:tc>
        <w:tc>
          <w:tcPr>
            <w:tcW w:w="1980" w:type="dxa"/>
            <w:tcBorders>
              <w:top w:val="single" w:color="auto" w:sz="4" w:space="0"/>
              <w:left w:val="single" w:color="auto" w:sz="4" w:space="0"/>
              <w:bottom w:val="single" w:color="auto" w:sz="4" w:space="0"/>
              <w:right w:val="single" w:color="auto" w:sz="4" w:space="0"/>
            </w:tcBorders>
          </w:tcPr>
          <w:p w14:paraId="170A3DF0">
            <w:pPr>
              <w:snapToGrid w:val="0"/>
              <w:spacing w:beforeLines="50" w:after="50" w:line="360" w:lineRule="exact"/>
              <w:rPr>
                <w:rFonts w:hint="eastAsia" w:ascii="宋体"/>
                <w:szCs w:val="21"/>
              </w:rPr>
            </w:pPr>
          </w:p>
        </w:tc>
      </w:tr>
    </w:tbl>
    <w:p w14:paraId="5CE9E4BE">
      <w:pPr>
        <w:snapToGrid w:val="0"/>
        <w:spacing w:before="50" w:after="50" w:line="360" w:lineRule="exact"/>
        <w:rPr>
          <w:rFonts w:hint="eastAsia" w:ascii="宋体"/>
          <w:spacing w:val="20"/>
          <w:szCs w:val="21"/>
          <w:u w:val="single"/>
        </w:rPr>
      </w:pPr>
      <w:r>
        <w:rPr>
          <w:rFonts w:hint="eastAsia" w:ascii="宋体"/>
          <w:szCs w:val="21"/>
        </w:rPr>
        <w:t>法定代表人（负责人）或委托代理人签字或盖章</w:t>
      </w:r>
      <w:r>
        <w:rPr>
          <w:rFonts w:hint="eastAsia" w:ascii="宋体"/>
          <w:spacing w:val="20"/>
          <w:szCs w:val="21"/>
        </w:rPr>
        <w:t>：</w:t>
      </w:r>
      <w:r>
        <w:rPr>
          <w:rFonts w:hint="eastAsia" w:ascii="宋体"/>
          <w:spacing w:val="20"/>
          <w:szCs w:val="21"/>
          <w:u w:val="single"/>
        </w:rPr>
        <w:t xml:space="preserve">        </w:t>
      </w:r>
    </w:p>
    <w:p w14:paraId="5458AAB6">
      <w:pPr>
        <w:snapToGrid w:val="0"/>
        <w:spacing w:before="50" w:after="50" w:line="360" w:lineRule="exact"/>
        <w:rPr>
          <w:rFonts w:hint="eastAsia" w:ascii="宋体"/>
          <w:szCs w:val="21"/>
        </w:rPr>
      </w:pPr>
      <w:r>
        <w:rPr>
          <w:rFonts w:hint="eastAsia"/>
        </w:rPr>
        <w:t>投标人名称（</w:t>
      </w:r>
      <w:r>
        <w:rPr>
          <w:rFonts w:hint="eastAsia" w:ascii="宋体"/>
          <w:szCs w:val="21"/>
        </w:rPr>
        <w:t>盖章</w:t>
      </w:r>
      <w:r>
        <w:rPr>
          <w:rFonts w:hint="eastAsia"/>
        </w:rPr>
        <w:t>）</w:t>
      </w:r>
      <w:r>
        <w:rPr>
          <w:rFonts w:hint="eastAsia" w:ascii="宋体"/>
          <w:spacing w:val="20"/>
          <w:szCs w:val="21"/>
        </w:rPr>
        <w:t>：</w:t>
      </w:r>
      <w:r>
        <w:rPr>
          <w:rFonts w:hint="eastAsia" w:ascii="宋体"/>
          <w:spacing w:val="20"/>
          <w:szCs w:val="21"/>
          <w:u w:val="single"/>
        </w:rPr>
        <w:t xml:space="preserve">            </w:t>
      </w:r>
      <w:r>
        <w:rPr>
          <w:rFonts w:hint="eastAsia" w:ascii="宋体"/>
          <w:spacing w:val="20"/>
          <w:szCs w:val="21"/>
        </w:rPr>
        <w:t xml:space="preserve">            日 期：</w:t>
      </w:r>
      <w:r>
        <w:rPr>
          <w:rFonts w:hint="eastAsia" w:ascii="宋体"/>
          <w:spacing w:val="20"/>
          <w:szCs w:val="21"/>
          <w:u w:val="single"/>
        </w:rPr>
        <w:t xml:space="preserve">            </w:t>
      </w:r>
    </w:p>
    <w:p w14:paraId="652B2ADF">
      <w:pPr>
        <w:rPr>
          <w:rFonts w:hint="eastAsia"/>
        </w:rPr>
      </w:pPr>
    </w:p>
    <w:p w14:paraId="7FDDF108">
      <w:pPr>
        <w:rPr>
          <w:rFonts w:hint="eastAsia"/>
        </w:rPr>
      </w:pPr>
    </w:p>
    <w:p w14:paraId="6EA22C51">
      <w:pPr>
        <w:spacing w:line="360" w:lineRule="exact"/>
        <w:rPr>
          <w:rFonts w:hint="eastAsia"/>
        </w:rPr>
      </w:pPr>
      <w:r>
        <w:rPr>
          <w:rFonts w:hint="eastAsia"/>
        </w:rPr>
        <w:t xml:space="preserve">    （4）优惠条件：投标人承诺给予招标人的各种优惠条件</w:t>
      </w:r>
    </w:p>
    <w:p w14:paraId="15D2DF7C">
      <w:pPr>
        <w:rPr>
          <w:rFonts w:hint="eastAsia"/>
        </w:rPr>
      </w:pPr>
    </w:p>
    <w:p w14:paraId="2AC32EAC">
      <w:pPr>
        <w:rPr>
          <w:rFonts w:hint="eastAsia"/>
        </w:rPr>
      </w:pPr>
      <w:r>
        <w:rPr>
          <w:rFonts w:hint="eastAsia"/>
        </w:rPr>
        <w:t xml:space="preserve">    （5）投标人对本项目的合理化建议和改进措施（格式自拟）</w:t>
      </w:r>
    </w:p>
    <w:p w14:paraId="58AF9F0E">
      <w:pPr>
        <w:rPr>
          <w:rFonts w:hint="eastAsia"/>
        </w:rPr>
      </w:pPr>
    </w:p>
    <w:p w14:paraId="6889B6FA">
      <w:pPr>
        <w:rPr>
          <w:rFonts w:hint="eastAsia"/>
        </w:rPr>
      </w:pPr>
      <w:r>
        <w:rPr>
          <w:rFonts w:hint="eastAsia"/>
        </w:rPr>
        <w:t xml:space="preserve">    （6）投标人认为需要提供的其他材料（格式自拟）</w:t>
      </w:r>
    </w:p>
    <w:p w14:paraId="04443628">
      <w:pPr>
        <w:rPr>
          <w:rFonts w:hint="eastAsia"/>
        </w:rPr>
      </w:pPr>
    </w:p>
    <w:p w14:paraId="3671BDE4">
      <w:pPr>
        <w:spacing w:line="360" w:lineRule="exact"/>
      </w:pPr>
      <w:r>
        <w:rPr>
          <w:rFonts w:hint="eastAsia"/>
        </w:rPr>
        <w:t xml:space="preserve">    （7）招标项目采购需求中要求必须提供的材料（招标项目采购需求中要求必须提供的材料，据实提供）</w:t>
      </w:r>
    </w:p>
    <w:p w14:paraId="6DFDF1E2">
      <w:pPr>
        <w:spacing w:line="720" w:lineRule="auto"/>
        <w:outlineLvl w:val="0"/>
        <w:rPr>
          <w:rFonts w:hint="eastAsia"/>
          <w:b/>
        </w:rPr>
      </w:pPr>
      <w:r>
        <w:br w:type="page"/>
      </w:r>
      <w:r>
        <w:rPr>
          <w:rFonts w:hint="eastAsia"/>
          <w:b/>
        </w:rPr>
        <w:t>三）报价文件部分 （格式）</w:t>
      </w:r>
    </w:p>
    <w:p w14:paraId="391F3BB8">
      <w:pPr>
        <w:rPr>
          <w:rFonts w:hint="eastAsia"/>
        </w:rPr>
      </w:pPr>
      <w:r>
        <w:rPr>
          <w:rFonts w:hint="eastAsia"/>
        </w:rPr>
        <w:t xml:space="preserve">    （1）投标函格式</w:t>
      </w:r>
    </w:p>
    <w:p w14:paraId="2F96DE2C">
      <w:pPr>
        <w:snapToGrid w:val="0"/>
        <w:spacing w:beforeLines="50" w:after="50" w:line="360" w:lineRule="exact"/>
        <w:jc w:val="center"/>
        <w:outlineLvl w:val="0"/>
        <w:rPr>
          <w:rFonts w:hint="eastAsia" w:ascii="宋体"/>
          <w:b/>
          <w:szCs w:val="21"/>
        </w:rPr>
      </w:pPr>
      <w:r>
        <w:rPr>
          <w:rFonts w:hint="eastAsia" w:ascii="宋体"/>
          <w:b/>
          <w:szCs w:val="21"/>
        </w:rPr>
        <w:t>投 标 函</w:t>
      </w:r>
    </w:p>
    <w:p w14:paraId="5B276F27">
      <w:pPr>
        <w:snapToGrid w:val="0"/>
        <w:spacing w:line="400" w:lineRule="exact"/>
        <w:rPr>
          <w:rFonts w:hint="eastAsia" w:ascii="宋体"/>
          <w:szCs w:val="21"/>
        </w:rPr>
      </w:pPr>
      <w:r>
        <w:rPr>
          <w:rFonts w:hint="eastAsia" w:ascii="宋体"/>
          <w:szCs w:val="21"/>
        </w:rPr>
        <w:t>致：</w:t>
      </w:r>
      <w:r>
        <w:rPr>
          <w:rFonts w:hint="eastAsia" w:ascii="宋体"/>
          <w:szCs w:val="21"/>
          <w:u w:val="single"/>
        </w:rPr>
        <w:t xml:space="preserve"> </w:t>
      </w:r>
      <w:r>
        <w:rPr>
          <w:rFonts w:hint="eastAsia"/>
          <w:u w:val="single"/>
        </w:rPr>
        <w:t xml:space="preserve">广西国力招标有限公司 </w:t>
      </w:r>
    </w:p>
    <w:p w14:paraId="0D1320F1">
      <w:pPr>
        <w:snapToGrid w:val="0"/>
        <w:spacing w:line="400" w:lineRule="exact"/>
        <w:rPr>
          <w:rFonts w:hint="eastAsia" w:ascii="宋体"/>
          <w:szCs w:val="21"/>
        </w:rPr>
      </w:pPr>
      <w:r>
        <w:rPr>
          <w:rFonts w:hint="eastAsia" w:ascii="宋体"/>
          <w:szCs w:val="21"/>
        </w:rPr>
        <w:t xml:space="preserve">    根据贵方为</w:t>
      </w:r>
      <w:r>
        <w:rPr>
          <w:rFonts w:hint="eastAsia" w:ascii="宋体"/>
          <w:szCs w:val="21"/>
          <w:u w:val="single"/>
        </w:rPr>
        <w:t xml:space="preserve">               </w:t>
      </w:r>
      <w:r>
        <w:rPr>
          <w:rFonts w:hint="eastAsia" w:ascii="宋体"/>
          <w:szCs w:val="21"/>
        </w:rPr>
        <w:t>项目的招标公告（项目编号：</w:t>
      </w:r>
      <w:r>
        <w:rPr>
          <w:rFonts w:hint="eastAsia" w:ascii="宋体"/>
          <w:szCs w:val="21"/>
          <w:u w:val="single"/>
        </w:rPr>
        <w:t xml:space="preserve">            </w:t>
      </w:r>
      <w:r>
        <w:rPr>
          <w:rFonts w:hint="eastAsia" w:ascii="宋体"/>
          <w:szCs w:val="21"/>
        </w:rPr>
        <w:t>），签字代表</w:t>
      </w:r>
      <w:r>
        <w:rPr>
          <w:rFonts w:hint="eastAsia" w:ascii="宋体"/>
          <w:szCs w:val="21"/>
          <w:u w:val="single"/>
        </w:rPr>
        <w:t xml:space="preserve">        </w:t>
      </w:r>
      <w:r>
        <w:rPr>
          <w:rFonts w:hint="eastAsia" w:ascii="宋体"/>
          <w:szCs w:val="21"/>
        </w:rPr>
        <w:t>（全名）经正式授权并代表投标人</w:t>
      </w:r>
      <w:r>
        <w:rPr>
          <w:rFonts w:hint="eastAsia" w:ascii="宋体"/>
          <w:szCs w:val="21"/>
          <w:u w:val="single"/>
        </w:rPr>
        <w:t xml:space="preserve">                      </w:t>
      </w:r>
      <w:r>
        <w:rPr>
          <w:rFonts w:hint="eastAsia" w:ascii="宋体"/>
          <w:szCs w:val="21"/>
        </w:rPr>
        <w:t>（投标人名称）</w:t>
      </w:r>
      <w:r>
        <w:rPr>
          <w:rFonts w:hint="eastAsia" w:ascii="宋体" w:hAnsi="宋体"/>
          <w:szCs w:val="21"/>
        </w:rPr>
        <w:t>上传并提交加密的电子投标文件一份。</w:t>
      </w:r>
    </w:p>
    <w:p w14:paraId="149D9339">
      <w:pPr>
        <w:snapToGrid w:val="0"/>
        <w:spacing w:line="400" w:lineRule="exact"/>
        <w:rPr>
          <w:rFonts w:hint="eastAsia" w:ascii="宋体"/>
          <w:szCs w:val="21"/>
        </w:rPr>
      </w:pPr>
      <w:r>
        <w:rPr>
          <w:rFonts w:hint="eastAsia" w:ascii="宋体"/>
          <w:szCs w:val="21"/>
        </w:rPr>
        <w:t xml:space="preserve">    据此函，签字代表宣布同意如下：</w:t>
      </w:r>
    </w:p>
    <w:p w14:paraId="35F972C5">
      <w:pPr>
        <w:snapToGrid w:val="0"/>
        <w:spacing w:line="400" w:lineRule="exact"/>
        <w:rPr>
          <w:rFonts w:hint="eastAsia" w:ascii="宋体"/>
          <w:szCs w:val="21"/>
        </w:rPr>
      </w:pPr>
      <w:r>
        <w:rPr>
          <w:rFonts w:hint="eastAsia" w:ascii="宋体"/>
          <w:szCs w:val="21"/>
        </w:rPr>
        <w:t xml:space="preserve">    1.投标人已详细审查全部“招标文件”，包括修改文件（如有的话）以及全部参考资料和有关附件，已经了解我方对于招标文件、采购过程、采购结果有依法进行询问、质疑、投诉的权利及相关渠道和要求。</w:t>
      </w:r>
    </w:p>
    <w:p w14:paraId="0BF3A54D">
      <w:pPr>
        <w:snapToGrid w:val="0"/>
        <w:spacing w:line="400" w:lineRule="exact"/>
        <w:rPr>
          <w:rFonts w:hint="eastAsia" w:ascii="宋体"/>
          <w:szCs w:val="21"/>
        </w:rPr>
      </w:pPr>
      <w:r>
        <w:rPr>
          <w:rFonts w:hint="eastAsia" w:ascii="宋体"/>
          <w:szCs w:val="21"/>
        </w:rPr>
        <w:t xml:space="preserve">    2.投标人在投标之前已经与贵方进行了充分的沟通，完全理解并接受招标文件的各项规定和要求，对招标文件的合理性、合法性不再有异议。</w:t>
      </w:r>
    </w:p>
    <w:p w14:paraId="087717FB">
      <w:pPr>
        <w:snapToGrid w:val="0"/>
        <w:spacing w:line="400" w:lineRule="exact"/>
        <w:rPr>
          <w:rFonts w:hint="eastAsia" w:ascii="宋体"/>
          <w:szCs w:val="21"/>
        </w:rPr>
      </w:pPr>
      <w:r>
        <w:rPr>
          <w:rFonts w:hint="eastAsia" w:ascii="宋体"/>
          <w:szCs w:val="21"/>
        </w:rPr>
        <w:t xml:space="preserve">    3.本投标有效期自提交投标文件截止之日起</w:t>
      </w:r>
      <w:r>
        <w:rPr>
          <w:rFonts w:hint="eastAsia" w:ascii="宋体"/>
          <w:szCs w:val="21"/>
          <w:u w:val="single"/>
        </w:rPr>
        <w:t xml:space="preserve">         </w:t>
      </w:r>
      <w:r>
        <w:rPr>
          <w:rFonts w:hint="eastAsia" w:ascii="宋体"/>
          <w:szCs w:val="21"/>
        </w:rPr>
        <w:t>天。</w:t>
      </w:r>
    </w:p>
    <w:p w14:paraId="619495A6">
      <w:pPr>
        <w:snapToGrid w:val="0"/>
        <w:spacing w:line="400" w:lineRule="exact"/>
        <w:rPr>
          <w:rFonts w:hint="eastAsia" w:ascii="宋体"/>
          <w:szCs w:val="21"/>
        </w:rPr>
      </w:pPr>
      <w:r>
        <w:rPr>
          <w:rFonts w:hint="eastAsia" w:ascii="宋体"/>
          <w:szCs w:val="21"/>
        </w:rPr>
        <w:t xml:space="preserve">    4.如中标，本投标文件至本项目合同履行完毕止均保持有效，本投标人将按“招标文件”及政府采购法律、法规的规定履行合同责任和义务。</w:t>
      </w:r>
    </w:p>
    <w:p w14:paraId="60A539A2">
      <w:pPr>
        <w:snapToGrid w:val="0"/>
        <w:spacing w:line="400" w:lineRule="exact"/>
        <w:rPr>
          <w:rFonts w:hint="eastAsia" w:ascii="宋体"/>
          <w:szCs w:val="21"/>
        </w:rPr>
      </w:pPr>
      <w:r>
        <w:rPr>
          <w:rFonts w:hint="eastAsia" w:ascii="宋体"/>
          <w:szCs w:val="21"/>
        </w:rPr>
        <w:t xml:space="preserve">    5.投标人同意按照贵方要求提供与投标有关的一切数据或资料。</w:t>
      </w:r>
    </w:p>
    <w:p w14:paraId="20E189BA">
      <w:pPr>
        <w:snapToGrid w:val="0"/>
        <w:spacing w:line="400" w:lineRule="exact"/>
        <w:rPr>
          <w:rFonts w:hint="eastAsia" w:ascii="宋体"/>
          <w:szCs w:val="21"/>
        </w:rPr>
      </w:pPr>
      <w:r>
        <w:rPr>
          <w:rFonts w:hint="eastAsia" w:ascii="宋体"/>
          <w:szCs w:val="21"/>
        </w:rPr>
        <w:t xml:space="preserve">    6.与本投标有关的一切正式往来信函请寄：</w:t>
      </w:r>
    </w:p>
    <w:p w14:paraId="3275D1A5">
      <w:pPr>
        <w:snapToGrid w:val="0"/>
        <w:spacing w:line="400" w:lineRule="exact"/>
        <w:rPr>
          <w:rFonts w:hint="eastAsia" w:ascii="宋体"/>
          <w:szCs w:val="21"/>
        </w:rPr>
      </w:pPr>
    </w:p>
    <w:p w14:paraId="647314B6">
      <w:pPr>
        <w:snapToGrid w:val="0"/>
        <w:spacing w:line="400" w:lineRule="exact"/>
        <w:rPr>
          <w:rFonts w:hint="eastAsia" w:ascii="宋体"/>
          <w:szCs w:val="21"/>
          <w:u w:val="single"/>
        </w:rPr>
      </w:pPr>
      <w:r>
        <w:rPr>
          <w:rFonts w:hint="eastAsia" w:ascii="宋体"/>
          <w:szCs w:val="21"/>
        </w:rPr>
        <w:t>地址：</w:t>
      </w:r>
      <w:r>
        <w:rPr>
          <w:rFonts w:hint="eastAsia" w:ascii="宋体"/>
          <w:szCs w:val="21"/>
          <w:u w:val="single"/>
        </w:rPr>
        <w:t xml:space="preserve">                         </w:t>
      </w:r>
      <w:r>
        <w:rPr>
          <w:rFonts w:hint="eastAsia" w:ascii="宋体"/>
          <w:szCs w:val="21"/>
        </w:rPr>
        <w:t>邮编：</w:t>
      </w:r>
      <w:r>
        <w:rPr>
          <w:rFonts w:hint="eastAsia" w:ascii="宋体"/>
          <w:szCs w:val="21"/>
          <w:u w:val="single"/>
        </w:rPr>
        <w:t xml:space="preserve">            </w:t>
      </w:r>
      <w:r>
        <w:rPr>
          <w:rFonts w:hint="eastAsia" w:ascii="宋体"/>
          <w:szCs w:val="21"/>
        </w:rPr>
        <w:t xml:space="preserve">   电话：</w:t>
      </w:r>
      <w:r>
        <w:rPr>
          <w:rFonts w:hint="eastAsia" w:ascii="宋体"/>
          <w:szCs w:val="21"/>
          <w:u w:val="single"/>
        </w:rPr>
        <w:t xml:space="preserve">               </w:t>
      </w:r>
    </w:p>
    <w:p w14:paraId="2944AC7B">
      <w:pPr>
        <w:snapToGrid w:val="0"/>
        <w:spacing w:line="400" w:lineRule="exact"/>
        <w:rPr>
          <w:rFonts w:hint="eastAsia" w:ascii="宋体"/>
          <w:szCs w:val="21"/>
          <w:u w:val="single"/>
        </w:rPr>
      </w:pPr>
      <w:r>
        <w:rPr>
          <w:rFonts w:hint="eastAsia" w:ascii="宋体"/>
          <w:szCs w:val="21"/>
        </w:rPr>
        <w:t>传真：</w:t>
      </w:r>
      <w:r>
        <w:rPr>
          <w:rFonts w:hint="eastAsia" w:ascii="宋体"/>
          <w:szCs w:val="21"/>
          <w:u w:val="single"/>
        </w:rPr>
        <w:t xml:space="preserve">               </w:t>
      </w:r>
      <w:r>
        <w:rPr>
          <w:rFonts w:hint="eastAsia" w:ascii="宋体"/>
          <w:szCs w:val="21"/>
        </w:rPr>
        <w:t>投标人代表姓名：</w:t>
      </w:r>
      <w:r>
        <w:rPr>
          <w:rFonts w:hint="eastAsia" w:ascii="宋体"/>
          <w:szCs w:val="21"/>
          <w:u w:val="single"/>
        </w:rPr>
        <w:t xml:space="preserve">            </w:t>
      </w:r>
      <w:r>
        <w:rPr>
          <w:rFonts w:hint="eastAsia" w:ascii="宋体"/>
          <w:szCs w:val="21"/>
        </w:rPr>
        <w:t xml:space="preserve">  职务：</w:t>
      </w:r>
      <w:r>
        <w:rPr>
          <w:rFonts w:hint="eastAsia" w:ascii="宋体"/>
          <w:szCs w:val="21"/>
          <w:u w:val="single"/>
        </w:rPr>
        <w:t xml:space="preserve">               </w:t>
      </w:r>
    </w:p>
    <w:p w14:paraId="29D2588B">
      <w:pPr>
        <w:snapToGrid w:val="0"/>
        <w:spacing w:line="400" w:lineRule="exact"/>
        <w:rPr>
          <w:rFonts w:hint="eastAsia" w:ascii="宋体"/>
          <w:szCs w:val="21"/>
        </w:rPr>
      </w:pPr>
      <w:r>
        <w:rPr>
          <w:rFonts w:hint="eastAsia" w:ascii="宋体"/>
          <w:szCs w:val="21"/>
        </w:rPr>
        <w:t>开户银行：</w:t>
      </w:r>
      <w:r>
        <w:rPr>
          <w:rFonts w:hint="eastAsia" w:ascii="宋体"/>
          <w:szCs w:val="21"/>
          <w:u w:val="single"/>
        </w:rPr>
        <w:t xml:space="preserve">                      </w:t>
      </w:r>
      <w:r>
        <w:rPr>
          <w:rFonts w:hint="eastAsia" w:ascii="宋体"/>
          <w:szCs w:val="21"/>
        </w:rPr>
        <w:t xml:space="preserve">   银行账号：</w:t>
      </w:r>
      <w:r>
        <w:rPr>
          <w:rFonts w:hint="eastAsia" w:ascii="宋体"/>
          <w:szCs w:val="21"/>
          <w:u w:val="single"/>
        </w:rPr>
        <w:t xml:space="preserve">                    </w:t>
      </w:r>
      <w:r>
        <w:rPr>
          <w:rFonts w:hint="eastAsia" w:ascii="宋体"/>
          <w:szCs w:val="21"/>
        </w:rPr>
        <w:t xml:space="preserve"> </w:t>
      </w:r>
    </w:p>
    <w:p w14:paraId="3AE23248">
      <w:pPr>
        <w:snapToGrid w:val="0"/>
        <w:spacing w:line="400" w:lineRule="exact"/>
        <w:rPr>
          <w:rFonts w:hint="eastAsia" w:ascii="宋体"/>
          <w:szCs w:val="21"/>
        </w:rPr>
      </w:pPr>
    </w:p>
    <w:p w14:paraId="74E89C05">
      <w:pPr>
        <w:snapToGrid w:val="0"/>
        <w:spacing w:line="400" w:lineRule="exact"/>
        <w:rPr>
          <w:rFonts w:hint="eastAsia" w:ascii="宋体"/>
          <w:szCs w:val="21"/>
        </w:rPr>
      </w:pPr>
      <w:r>
        <w:rPr>
          <w:rFonts w:hint="eastAsia" w:ascii="宋体"/>
          <w:szCs w:val="21"/>
        </w:rPr>
        <w:t>法定代表人（负责人）或委托代理人签字或盖章:</w:t>
      </w:r>
      <w:r>
        <w:rPr>
          <w:rFonts w:hint="eastAsia" w:ascii="宋体"/>
          <w:szCs w:val="21"/>
          <w:u w:val="single"/>
        </w:rPr>
        <w:t xml:space="preserve">                </w:t>
      </w:r>
      <w:r>
        <w:rPr>
          <w:rFonts w:hint="eastAsia" w:ascii="宋体"/>
          <w:szCs w:val="21"/>
        </w:rPr>
        <w:t xml:space="preserve">      </w:t>
      </w:r>
    </w:p>
    <w:p w14:paraId="42E154FE">
      <w:pPr>
        <w:snapToGrid w:val="0"/>
        <w:spacing w:line="400" w:lineRule="exact"/>
        <w:rPr>
          <w:rFonts w:hint="eastAsia" w:ascii="宋体"/>
          <w:szCs w:val="21"/>
        </w:rPr>
      </w:pPr>
      <w:r>
        <w:rPr>
          <w:rFonts w:hint="eastAsia"/>
        </w:rPr>
        <w:t>投标人名称（</w:t>
      </w:r>
      <w:r>
        <w:rPr>
          <w:rFonts w:hint="eastAsia" w:ascii="宋体"/>
          <w:szCs w:val="21"/>
        </w:rPr>
        <w:t>盖章</w:t>
      </w:r>
      <w:r>
        <w:rPr>
          <w:rFonts w:hint="eastAsia"/>
        </w:rPr>
        <w:t>）</w:t>
      </w:r>
      <w:r>
        <w:rPr>
          <w:rFonts w:hint="eastAsia" w:ascii="宋体"/>
          <w:szCs w:val="21"/>
        </w:rPr>
        <w:t>:</w:t>
      </w:r>
      <w:r>
        <w:rPr>
          <w:rFonts w:hint="eastAsia" w:ascii="宋体"/>
          <w:szCs w:val="21"/>
          <w:u w:val="single"/>
        </w:rPr>
        <w:t xml:space="preserve">              </w:t>
      </w:r>
    </w:p>
    <w:p w14:paraId="1890CE94">
      <w:pPr>
        <w:snapToGrid w:val="0"/>
        <w:spacing w:line="400" w:lineRule="exact"/>
        <w:jc w:val="left"/>
        <w:rPr>
          <w:rFonts w:hint="eastAsia" w:ascii="宋体"/>
          <w:szCs w:val="21"/>
        </w:rPr>
      </w:pPr>
      <w:r>
        <w:rPr>
          <w:rFonts w:hint="eastAsia" w:ascii="宋体"/>
          <w:szCs w:val="21"/>
        </w:rPr>
        <w:t>日期:</w:t>
      </w: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14:paraId="6078DE17">
      <w:pPr>
        <w:rPr>
          <w:rFonts w:hint="eastAsia"/>
        </w:rPr>
      </w:pPr>
    </w:p>
    <w:p w14:paraId="38CE5D4B">
      <w:pPr>
        <w:rPr>
          <w:rFonts w:hint="eastAsia"/>
        </w:rPr>
      </w:pPr>
    </w:p>
    <w:p w14:paraId="024E4F1D">
      <w:pPr>
        <w:rPr>
          <w:rFonts w:hint="eastAsia"/>
        </w:rPr>
      </w:pPr>
    </w:p>
    <w:p w14:paraId="621AD47A">
      <w:pPr>
        <w:spacing w:line="720" w:lineRule="auto"/>
        <w:outlineLvl w:val="0"/>
        <w:rPr>
          <w:rFonts w:hint="eastAsia"/>
        </w:rPr>
      </w:pPr>
      <w:r>
        <w:br w:type="page"/>
      </w:r>
      <w:r>
        <w:rPr>
          <w:rFonts w:hint="eastAsia"/>
        </w:rPr>
        <w:t xml:space="preserve">    （2）投标报价明细表格式</w:t>
      </w:r>
    </w:p>
    <w:p w14:paraId="6FE16BBA">
      <w:pPr>
        <w:spacing w:line="360" w:lineRule="exact"/>
        <w:jc w:val="center"/>
        <w:outlineLvl w:val="0"/>
        <w:rPr>
          <w:rFonts w:hint="eastAsia"/>
          <w:b/>
        </w:rPr>
      </w:pPr>
      <w:r>
        <w:rPr>
          <w:rFonts w:hint="eastAsia"/>
          <w:b/>
        </w:rPr>
        <w:t>投标报价明细表</w:t>
      </w:r>
    </w:p>
    <w:p w14:paraId="7F6C4EC7">
      <w:pPr>
        <w:pStyle w:val="8"/>
        <w:ind w:firstLine="0"/>
        <w:rPr>
          <w:rFonts w:hint="eastAsia"/>
        </w:rPr>
      </w:pPr>
      <w:r>
        <w:rPr>
          <w:rFonts w:hint="eastAsia"/>
        </w:rPr>
        <w:t xml:space="preserve">   标项</w:t>
      </w:r>
      <w:r>
        <w:rPr>
          <w:rFonts w:hint="eastAsia"/>
          <w:u w:val="single"/>
        </w:rPr>
        <w:t xml:space="preserve">     </w:t>
      </w:r>
      <w:r>
        <w:rPr>
          <w:rFonts w:hint="eastAsia"/>
        </w:rPr>
        <w:t xml:space="preserve">                                               金额单位：人民币（元）</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2381"/>
        <w:gridCol w:w="3183"/>
        <w:gridCol w:w="2041"/>
        <w:gridCol w:w="1244"/>
      </w:tblGrid>
      <w:tr w14:paraId="2B763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442532A0">
            <w:pPr>
              <w:snapToGrid w:val="0"/>
              <w:spacing w:before="50" w:after="50" w:line="360" w:lineRule="exact"/>
              <w:rPr>
                <w:rFonts w:hint="eastAsia" w:ascii="宋体" w:hAnsi="宋体"/>
                <w:szCs w:val="21"/>
              </w:rPr>
            </w:pPr>
            <w:r>
              <w:rPr>
                <w:rFonts w:hint="eastAsia" w:ascii="宋体" w:hAnsi="宋体"/>
                <w:szCs w:val="21"/>
              </w:rPr>
              <w:t>序号</w:t>
            </w:r>
          </w:p>
        </w:tc>
        <w:tc>
          <w:tcPr>
            <w:tcW w:w="2381" w:type="dxa"/>
            <w:tcBorders>
              <w:top w:val="single" w:color="auto" w:sz="4" w:space="0"/>
              <w:left w:val="single" w:color="auto" w:sz="4" w:space="0"/>
              <w:bottom w:val="single" w:color="auto" w:sz="4" w:space="0"/>
              <w:right w:val="single" w:color="auto" w:sz="4" w:space="0"/>
            </w:tcBorders>
            <w:vAlign w:val="center"/>
          </w:tcPr>
          <w:p w14:paraId="614CE0F1">
            <w:pPr>
              <w:snapToGrid w:val="0"/>
              <w:spacing w:before="50" w:after="50" w:line="360" w:lineRule="exact"/>
              <w:jc w:val="center"/>
              <w:rPr>
                <w:rFonts w:hint="eastAsia" w:ascii="宋体" w:hAnsi="宋体"/>
                <w:szCs w:val="21"/>
              </w:rPr>
            </w:pPr>
            <w:r>
              <w:rPr>
                <w:rFonts w:hint="eastAsia" w:ascii="宋体" w:hAnsi="宋体"/>
                <w:szCs w:val="21"/>
              </w:rPr>
              <w:t>服务项目名称</w:t>
            </w:r>
          </w:p>
        </w:tc>
        <w:tc>
          <w:tcPr>
            <w:tcW w:w="3183" w:type="dxa"/>
            <w:tcBorders>
              <w:top w:val="single" w:color="auto" w:sz="4" w:space="0"/>
              <w:left w:val="single" w:color="auto" w:sz="4" w:space="0"/>
              <w:bottom w:val="single" w:color="auto" w:sz="4" w:space="0"/>
              <w:right w:val="single" w:color="auto" w:sz="4" w:space="0"/>
            </w:tcBorders>
            <w:vAlign w:val="center"/>
          </w:tcPr>
          <w:p w14:paraId="0147A72E">
            <w:pPr>
              <w:snapToGrid w:val="0"/>
              <w:spacing w:before="50" w:after="50" w:line="360" w:lineRule="exact"/>
              <w:jc w:val="center"/>
              <w:rPr>
                <w:rFonts w:hint="eastAsia" w:ascii="宋体" w:hAnsi="宋体"/>
                <w:szCs w:val="21"/>
              </w:rPr>
            </w:pPr>
            <w:r>
              <w:rPr>
                <w:rFonts w:hint="eastAsia" w:ascii="宋体" w:hAnsi="宋体"/>
                <w:szCs w:val="21"/>
              </w:rPr>
              <w:t>服务内容</w:t>
            </w:r>
          </w:p>
        </w:tc>
        <w:tc>
          <w:tcPr>
            <w:tcW w:w="2041" w:type="dxa"/>
            <w:tcBorders>
              <w:top w:val="single" w:color="auto" w:sz="4" w:space="0"/>
              <w:left w:val="single" w:color="auto" w:sz="4" w:space="0"/>
              <w:bottom w:val="single" w:color="auto" w:sz="4" w:space="0"/>
              <w:right w:val="single" w:color="auto" w:sz="4" w:space="0"/>
            </w:tcBorders>
            <w:vAlign w:val="center"/>
          </w:tcPr>
          <w:p w14:paraId="7517F89F">
            <w:pPr>
              <w:snapToGrid w:val="0"/>
              <w:spacing w:before="50" w:after="50" w:line="360" w:lineRule="exact"/>
              <w:jc w:val="center"/>
              <w:rPr>
                <w:rFonts w:hint="eastAsia" w:ascii="宋体" w:hAnsi="宋体"/>
                <w:szCs w:val="21"/>
              </w:rPr>
            </w:pPr>
            <w:r>
              <w:rPr>
                <w:rFonts w:hint="eastAsia" w:ascii="宋体" w:hAnsi="宋体"/>
                <w:szCs w:val="21"/>
              </w:rPr>
              <w:t>投标报价（元）</w:t>
            </w:r>
          </w:p>
        </w:tc>
        <w:tc>
          <w:tcPr>
            <w:tcW w:w="1242" w:type="dxa"/>
            <w:tcBorders>
              <w:top w:val="single" w:color="auto" w:sz="4" w:space="0"/>
              <w:left w:val="single" w:color="auto" w:sz="4" w:space="0"/>
              <w:bottom w:val="single" w:color="auto" w:sz="4" w:space="0"/>
              <w:right w:val="single" w:color="auto" w:sz="4" w:space="0"/>
            </w:tcBorders>
            <w:vAlign w:val="center"/>
          </w:tcPr>
          <w:p w14:paraId="730A82BE">
            <w:pPr>
              <w:snapToGrid w:val="0"/>
              <w:spacing w:before="50" w:after="50" w:line="360" w:lineRule="exact"/>
              <w:jc w:val="center"/>
              <w:rPr>
                <w:rFonts w:hint="eastAsia" w:ascii="宋体" w:hAnsi="宋体"/>
                <w:szCs w:val="21"/>
              </w:rPr>
            </w:pPr>
            <w:r>
              <w:rPr>
                <w:rFonts w:hint="eastAsia" w:ascii="宋体" w:hAnsi="宋体"/>
                <w:szCs w:val="21"/>
              </w:rPr>
              <w:t>备注</w:t>
            </w:r>
          </w:p>
        </w:tc>
      </w:tr>
      <w:tr w14:paraId="1C9A5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48098A24">
            <w:pPr>
              <w:jc w:val="center"/>
              <w:rPr>
                <w:rFonts w:hint="eastAsia"/>
              </w:rPr>
            </w:pPr>
          </w:p>
        </w:tc>
        <w:tc>
          <w:tcPr>
            <w:tcW w:w="2381" w:type="dxa"/>
            <w:tcBorders>
              <w:top w:val="single" w:color="auto" w:sz="4" w:space="0"/>
              <w:left w:val="single" w:color="auto" w:sz="4" w:space="0"/>
              <w:bottom w:val="single" w:color="auto" w:sz="4" w:space="0"/>
              <w:right w:val="single" w:color="auto" w:sz="4" w:space="0"/>
            </w:tcBorders>
            <w:vAlign w:val="center"/>
          </w:tcPr>
          <w:p w14:paraId="312AF66F">
            <w:pPr>
              <w:jc w:val="center"/>
              <w:rPr>
                <w:rFonts w:hint="eastAsia"/>
              </w:rPr>
            </w:pPr>
          </w:p>
        </w:tc>
        <w:tc>
          <w:tcPr>
            <w:tcW w:w="3183" w:type="dxa"/>
            <w:tcBorders>
              <w:top w:val="single" w:color="auto" w:sz="4" w:space="0"/>
              <w:left w:val="single" w:color="auto" w:sz="4" w:space="0"/>
              <w:bottom w:val="single" w:color="auto" w:sz="4" w:space="0"/>
              <w:right w:val="single" w:color="auto" w:sz="4" w:space="0"/>
            </w:tcBorders>
            <w:vAlign w:val="center"/>
          </w:tcPr>
          <w:p w14:paraId="0D81E00F">
            <w:pPr>
              <w:jc w:val="center"/>
              <w:rPr>
                <w:rFonts w:hint="eastAsia"/>
              </w:rPr>
            </w:pPr>
          </w:p>
        </w:tc>
        <w:tc>
          <w:tcPr>
            <w:tcW w:w="2041" w:type="dxa"/>
            <w:tcBorders>
              <w:top w:val="single" w:color="auto" w:sz="4" w:space="0"/>
              <w:left w:val="single" w:color="auto" w:sz="4" w:space="0"/>
              <w:bottom w:val="single" w:color="auto" w:sz="4" w:space="0"/>
              <w:right w:val="single" w:color="auto" w:sz="4" w:space="0"/>
            </w:tcBorders>
            <w:vAlign w:val="center"/>
          </w:tcPr>
          <w:p w14:paraId="44A2C94D">
            <w:pPr>
              <w:jc w:val="center"/>
              <w:rPr>
                <w:rFonts w:hint="eastAsia"/>
              </w:rPr>
            </w:pPr>
          </w:p>
        </w:tc>
        <w:tc>
          <w:tcPr>
            <w:tcW w:w="1242" w:type="dxa"/>
            <w:tcBorders>
              <w:top w:val="single" w:color="auto" w:sz="4" w:space="0"/>
              <w:left w:val="single" w:color="auto" w:sz="4" w:space="0"/>
              <w:bottom w:val="single" w:color="auto" w:sz="4" w:space="0"/>
              <w:right w:val="single" w:color="auto" w:sz="4" w:space="0"/>
            </w:tcBorders>
            <w:vAlign w:val="center"/>
          </w:tcPr>
          <w:p w14:paraId="0B9E139D">
            <w:pPr>
              <w:jc w:val="center"/>
              <w:rPr>
                <w:rFonts w:hint="eastAsia"/>
              </w:rPr>
            </w:pPr>
          </w:p>
        </w:tc>
      </w:tr>
      <w:tr w14:paraId="76471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6D842369">
            <w:pPr>
              <w:jc w:val="center"/>
              <w:rPr>
                <w:rFonts w:hint="eastAsia"/>
              </w:rPr>
            </w:pPr>
          </w:p>
        </w:tc>
        <w:tc>
          <w:tcPr>
            <w:tcW w:w="2381" w:type="dxa"/>
            <w:tcBorders>
              <w:top w:val="single" w:color="auto" w:sz="4" w:space="0"/>
              <w:left w:val="single" w:color="auto" w:sz="4" w:space="0"/>
              <w:bottom w:val="single" w:color="auto" w:sz="4" w:space="0"/>
              <w:right w:val="single" w:color="auto" w:sz="4" w:space="0"/>
            </w:tcBorders>
            <w:vAlign w:val="center"/>
          </w:tcPr>
          <w:p w14:paraId="01AE647C">
            <w:pPr>
              <w:jc w:val="center"/>
              <w:rPr>
                <w:rFonts w:hint="eastAsia"/>
              </w:rPr>
            </w:pPr>
          </w:p>
        </w:tc>
        <w:tc>
          <w:tcPr>
            <w:tcW w:w="3183" w:type="dxa"/>
            <w:tcBorders>
              <w:top w:val="single" w:color="auto" w:sz="4" w:space="0"/>
              <w:left w:val="single" w:color="auto" w:sz="4" w:space="0"/>
              <w:bottom w:val="single" w:color="auto" w:sz="4" w:space="0"/>
              <w:right w:val="single" w:color="auto" w:sz="4" w:space="0"/>
            </w:tcBorders>
            <w:vAlign w:val="center"/>
          </w:tcPr>
          <w:p w14:paraId="324A8B84">
            <w:pPr>
              <w:jc w:val="center"/>
              <w:rPr>
                <w:rFonts w:hint="eastAsia"/>
              </w:rPr>
            </w:pPr>
          </w:p>
        </w:tc>
        <w:tc>
          <w:tcPr>
            <w:tcW w:w="2041" w:type="dxa"/>
            <w:tcBorders>
              <w:top w:val="single" w:color="auto" w:sz="4" w:space="0"/>
              <w:left w:val="single" w:color="auto" w:sz="4" w:space="0"/>
              <w:bottom w:val="single" w:color="auto" w:sz="4" w:space="0"/>
              <w:right w:val="single" w:color="auto" w:sz="4" w:space="0"/>
            </w:tcBorders>
            <w:vAlign w:val="center"/>
          </w:tcPr>
          <w:p w14:paraId="77822119">
            <w:pPr>
              <w:jc w:val="center"/>
              <w:rPr>
                <w:rFonts w:hint="eastAsia"/>
              </w:rPr>
            </w:pPr>
          </w:p>
        </w:tc>
        <w:tc>
          <w:tcPr>
            <w:tcW w:w="1242" w:type="dxa"/>
            <w:tcBorders>
              <w:top w:val="single" w:color="auto" w:sz="4" w:space="0"/>
              <w:left w:val="single" w:color="auto" w:sz="4" w:space="0"/>
              <w:bottom w:val="single" w:color="auto" w:sz="4" w:space="0"/>
              <w:right w:val="single" w:color="auto" w:sz="4" w:space="0"/>
            </w:tcBorders>
            <w:vAlign w:val="center"/>
          </w:tcPr>
          <w:p w14:paraId="50BDC818">
            <w:pPr>
              <w:jc w:val="center"/>
              <w:rPr>
                <w:rFonts w:hint="eastAsia"/>
              </w:rPr>
            </w:pPr>
          </w:p>
        </w:tc>
      </w:tr>
      <w:tr w14:paraId="5D3CDD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183B0E62">
            <w:pPr>
              <w:jc w:val="center"/>
              <w:rPr>
                <w:rFonts w:hint="eastAsia"/>
              </w:rPr>
            </w:pPr>
          </w:p>
        </w:tc>
        <w:tc>
          <w:tcPr>
            <w:tcW w:w="2381" w:type="dxa"/>
            <w:tcBorders>
              <w:top w:val="single" w:color="auto" w:sz="4" w:space="0"/>
              <w:left w:val="single" w:color="auto" w:sz="4" w:space="0"/>
              <w:bottom w:val="single" w:color="auto" w:sz="4" w:space="0"/>
              <w:right w:val="single" w:color="auto" w:sz="4" w:space="0"/>
            </w:tcBorders>
            <w:vAlign w:val="center"/>
          </w:tcPr>
          <w:p w14:paraId="67312D8B">
            <w:pPr>
              <w:jc w:val="center"/>
              <w:rPr>
                <w:rFonts w:hint="eastAsia"/>
              </w:rPr>
            </w:pPr>
          </w:p>
        </w:tc>
        <w:tc>
          <w:tcPr>
            <w:tcW w:w="3183" w:type="dxa"/>
            <w:tcBorders>
              <w:top w:val="single" w:color="auto" w:sz="4" w:space="0"/>
              <w:left w:val="single" w:color="auto" w:sz="4" w:space="0"/>
              <w:bottom w:val="single" w:color="auto" w:sz="4" w:space="0"/>
              <w:right w:val="single" w:color="auto" w:sz="4" w:space="0"/>
            </w:tcBorders>
            <w:vAlign w:val="center"/>
          </w:tcPr>
          <w:p w14:paraId="21E33F0F">
            <w:pPr>
              <w:jc w:val="center"/>
              <w:rPr>
                <w:rFonts w:hint="eastAsia"/>
              </w:rPr>
            </w:pPr>
          </w:p>
        </w:tc>
        <w:tc>
          <w:tcPr>
            <w:tcW w:w="2041" w:type="dxa"/>
            <w:tcBorders>
              <w:top w:val="single" w:color="auto" w:sz="4" w:space="0"/>
              <w:left w:val="single" w:color="auto" w:sz="4" w:space="0"/>
              <w:bottom w:val="single" w:color="auto" w:sz="4" w:space="0"/>
              <w:right w:val="single" w:color="auto" w:sz="4" w:space="0"/>
            </w:tcBorders>
            <w:vAlign w:val="center"/>
          </w:tcPr>
          <w:p w14:paraId="1CE16705">
            <w:pPr>
              <w:jc w:val="center"/>
              <w:rPr>
                <w:rFonts w:hint="eastAsia"/>
              </w:rPr>
            </w:pPr>
          </w:p>
        </w:tc>
        <w:tc>
          <w:tcPr>
            <w:tcW w:w="1242" w:type="dxa"/>
            <w:tcBorders>
              <w:top w:val="single" w:color="auto" w:sz="4" w:space="0"/>
              <w:left w:val="single" w:color="auto" w:sz="4" w:space="0"/>
              <w:bottom w:val="single" w:color="auto" w:sz="4" w:space="0"/>
              <w:right w:val="single" w:color="auto" w:sz="4" w:space="0"/>
            </w:tcBorders>
            <w:vAlign w:val="center"/>
          </w:tcPr>
          <w:p w14:paraId="2DE79B71">
            <w:pPr>
              <w:jc w:val="center"/>
              <w:rPr>
                <w:rFonts w:hint="eastAsia"/>
              </w:rPr>
            </w:pPr>
          </w:p>
        </w:tc>
      </w:tr>
      <w:tr w14:paraId="4A45B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9579" w:type="dxa"/>
            <w:gridSpan w:val="5"/>
            <w:tcBorders>
              <w:top w:val="single" w:color="auto" w:sz="4" w:space="0"/>
              <w:left w:val="single" w:color="auto" w:sz="4" w:space="0"/>
              <w:bottom w:val="single" w:color="auto" w:sz="4" w:space="0"/>
              <w:right w:val="single" w:color="auto" w:sz="4" w:space="0"/>
            </w:tcBorders>
            <w:vAlign w:val="center"/>
          </w:tcPr>
          <w:p w14:paraId="5E00E645">
            <w:pPr>
              <w:snapToGrid w:val="0"/>
              <w:spacing w:before="50" w:after="50" w:line="360" w:lineRule="exact"/>
              <w:rPr>
                <w:rFonts w:hint="eastAsia" w:ascii="宋体" w:hAnsi="宋体"/>
                <w:szCs w:val="21"/>
                <w:u w:val="single"/>
              </w:rPr>
            </w:pPr>
            <w:r>
              <w:rPr>
                <w:rFonts w:hint="eastAsia" w:hAnsi="宋体"/>
              </w:rPr>
              <w:t>投标总价（</w:t>
            </w:r>
            <w:r>
              <w:rPr>
                <w:rFonts w:hint="eastAsia" w:ascii="宋体" w:hAnsi="宋体"/>
                <w:szCs w:val="21"/>
              </w:rPr>
              <w:t>合计金额大写）：                               ¥</w:t>
            </w:r>
            <w:r>
              <w:rPr>
                <w:rFonts w:hint="eastAsia" w:ascii="宋体" w:hAnsi="宋体"/>
                <w:szCs w:val="21"/>
                <w:u w:val="single"/>
              </w:rPr>
              <w:t xml:space="preserve">            </w:t>
            </w:r>
          </w:p>
        </w:tc>
      </w:tr>
    </w:tbl>
    <w:p w14:paraId="60974C72">
      <w:pPr>
        <w:rPr>
          <w:rFonts w:hint="eastAsia"/>
        </w:rPr>
      </w:pPr>
    </w:p>
    <w:p w14:paraId="1B5D2344">
      <w:pPr>
        <w:snapToGrid w:val="0"/>
        <w:spacing w:before="50" w:after="50" w:line="360" w:lineRule="exact"/>
        <w:rPr>
          <w:rFonts w:hint="eastAsia" w:ascii="宋体"/>
          <w:spacing w:val="20"/>
          <w:szCs w:val="21"/>
          <w:u w:val="single"/>
        </w:rPr>
      </w:pPr>
      <w:r>
        <w:rPr>
          <w:rFonts w:hint="eastAsia" w:ascii="宋体"/>
          <w:szCs w:val="21"/>
        </w:rPr>
        <w:t>法定代表人（负责人）或委托代理人签字或盖章</w:t>
      </w:r>
      <w:r>
        <w:rPr>
          <w:rFonts w:hint="eastAsia" w:ascii="宋体"/>
          <w:spacing w:val="20"/>
          <w:szCs w:val="21"/>
        </w:rPr>
        <w:t>：</w:t>
      </w:r>
      <w:r>
        <w:rPr>
          <w:rFonts w:hint="eastAsia" w:ascii="宋体"/>
          <w:spacing w:val="20"/>
          <w:szCs w:val="21"/>
          <w:u w:val="single"/>
        </w:rPr>
        <w:t xml:space="preserve">            </w:t>
      </w:r>
    </w:p>
    <w:p w14:paraId="6B6846D4">
      <w:pPr>
        <w:rPr>
          <w:rFonts w:hint="eastAsia"/>
        </w:rPr>
      </w:pPr>
      <w:r>
        <w:rPr>
          <w:rFonts w:hint="eastAsia"/>
        </w:rPr>
        <w:t>投标人名称（</w:t>
      </w:r>
      <w:r>
        <w:rPr>
          <w:rFonts w:hint="eastAsia" w:ascii="宋体"/>
          <w:szCs w:val="21"/>
        </w:rPr>
        <w:t>盖章</w:t>
      </w:r>
      <w:r>
        <w:rPr>
          <w:rFonts w:hint="eastAsia"/>
        </w:rPr>
        <w:t>）：</w:t>
      </w:r>
      <w:r>
        <w:rPr>
          <w:rFonts w:hint="eastAsia"/>
          <w:u w:val="single"/>
        </w:rPr>
        <w:t xml:space="preserve">                        </w:t>
      </w:r>
      <w:r>
        <w:rPr>
          <w:rFonts w:hint="eastAsia"/>
        </w:rPr>
        <w:t xml:space="preserve">           日  期：</w:t>
      </w:r>
      <w:r>
        <w:rPr>
          <w:rFonts w:hint="eastAsia"/>
          <w:u w:val="single"/>
        </w:rPr>
        <w:t xml:space="preserve">                    </w:t>
      </w:r>
    </w:p>
    <w:p w14:paraId="0167A478">
      <w:pPr>
        <w:rPr>
          <w:rFonts w:hint="eastAsia"/>
        </w:rPr>
      </w:pPr>
    </w:p>
    <w:p w14:paraId="196E6BB7"/>
    <w:p w14:paraId="761FC365"/>
    <w:p w14:paraId="3DED8DEF"/>
    <w:p w14:paraId="614B4116"/>
    <w:p w14:paraId="7F249448"/>
    <w:p w14:paraId="3EB8DE8C"/>
    <w:p w14:paraId="3F800AEB"/>
    <w:p w14:paraId="6408F018">
      <w:pPr>
        <w:rPr>
          <w:rFonts w:hint="eastAsia"/>
        </w:rPr>
      </w:pPr>
    </w:p>
    <w:p w14:paraId="7BC7048A">
      <w:pPr>
        <w:rPr>
          <w:rFonts w:hint="eastAsia"/>
        </w:rPr>
      </w:pPr>
      <w:r>
        <w:rPr>
          <w:rFonts w:hint="eastAsia"/>
        </w:rPr>
        <w:t xml:space="preserve">    （3）投标人针对报价需要说明的其他文件和说明（格式自拟）</w:t>
      </w:r>
    </w:p>
    <w:p w14:paraId="1046A87E">
      <w:pPr>
        <w:spacing w:line="720" w:lineRule="auto"/>
      </w:pPr>
      <w:r>
        <w:rPr>
          <w:rFonts w:hint="eastAsia"/>
        </w:rPr>
        <w:t xml:space="preserve">    </w:t>
      </w:r>
    </w:p>
    <w:p w14:paraId="4CB86693">
      <w:pPr>
        <w:spacing w:line="720" w:lineRule="auto"/>
        <w:rPr>
          <w:rFonts w:hint="eastAsia"/>
          <w:b/>
        </w:rPr>
      </w:pPr>
      <w:r>
        <w:br w:type="page"/>
      </w:r>
      <w:r>
        <w:rPr>
          <w:rFonts w:hint="eastAsia"/>
          <w:b/>
        </w:rPr>
        <w:t>（4）开标一览表</w:t>
      </w:r>
    </w:p>
    <w:p w14:paraId="256E91EF">
      <w:pPr>
        <w:jc w:val="center"/>
        <w:outlineLvl w:val="0"/>
        <w:rPr>
          <w:rFonts w:hint="eastAsia"/>
          <w:b/>
        </w:rPr>
      </w:pPr>
      <w:r>
        <w:rPr>
          <w:rFonts w:hint="eastAsia"/>
          <w:b/>
        </w:rPr>
        <w:t>开标一览表</w:t>
      </w:r>
    </w:p>
    <w:p w14:paraId="5833CD38">
      <w:pPr>
        <w:spacing w:line="360" w:lineRule="exact"/>
        <w:rPr>
          <w:rFonts w:hint="eastAsia"/>
        </w:rPr>
      </w:pPr>
      <w:r>
        <w:rPr>
          <w:rFonts w:hint="eastAsia"/>
        </w:rPr>
        <w:t>采购项目名称：</w:t>
      </w:r>
    </w:p>
    <w:p w14:paraId="778A1871">
      <w:pPr>
        <w:spacing w:line="360" w:lineRule="exact"/>
        <w:rPr>
          <w:rFonts w:hint="eastAsia"/>
        </w:rPr>
      </w:pPr>
      <w:r>
        <w:rPr>
          <w:rFonts w:hint="eastAsia"/>
        </w:rPr>
        <w:t>采购项目编号：</w:t>
      </w:r>
    </w:p>
    <w:p w14:paraId="485D35CC">
      <w:pPr>
        <w:pStyle w:val="8"/>
        <w:ind w:firstLine="0"/>
        <w:rPr>
          <w:rFonts w:hint="eastAsia"/>
        </w:rPr>
      </w:pPr>
      <w:r>
        <w:rPr>
          <w:rFonts w:hint="eastAsia"/>
        </w:rPr>
        <w:t>标项</w:t>
      </w:r>
      <w:r>
        <w:rPr>
          <w:rFonts w:hint="eastAsia"/>
          <w:u w:val="single"/>
        </w:rPr>
        <w:t xml:space="preserve">     </w:t>
      </w:r>
      <w:r>
        <w:rPr>
          <w:rFonts w:hint="eastAsia"/>
        </w:rPr>
        <w:t xml:space="preserve">                                                    金额单位：人民币（元）</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0"/>
        <w:gridCol w:w="2412"/>
        <w:gridCol w:w="3224"/>
        <w:gridCol w:w="2068"/>
        <w:gridCol w:w="1256"/>
      </w:tblGrid>
      <w:tr w14:paraId="4E8EF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483BCA5A">
            <w:pPr>
              <w:snapToGrid w:val="0"/>
              <w:spacing w:before="50" w:after="50" w:line="360" w:lineRule="exact"/>
              <w:rPr>
                <w:rFonts w:hint="eastAsia" w:ascii="宋体" w:hAnsi="宋体"/>
                <w:szCs w:val="21"/>
              </w:rPr>
            </w:pPr>
            <w:r>
              <w:rPr>
                <w:rFonts w:hint="eastAsia" w:ascii="宋体" w:hAnsi="宋体"/>
                <w:szCs w:val="21"/>
              </w:rPr>
              <w:t>序号</w:t>
            </w:r>
          </w:p>
        </w:tc>
        <w:tc>
          <w:tcPr>
            <w:tcW w:w="2412" w:type="dxa"/>
            <w:tcBorders>
              <w:top w:val="single" w:color="auto" w:sz="4" w:space="0"/>
              <w:left w:val="single" w:color="auto" w:sz="4" w:space="0"/>
              <w:bottom w:val="single" w:color="auto" w:sz="4" w:space="0"/>
              <w:right w:val="single" w:color="auto" w:sz="4" w:space="0"/>
            </w:tcBorders>
            <w:vAlign w:val="center"/>
          </w:tcPr>
          <w:p w14:paraId="407EA45F">
            <w:pPr>
              <w:snapToGrid w:val="0"/>
              <w:spacing w:before="50" w:after="50" w:line="360" w:lineRule="exact"/>
              <w:jc w:val="center"/>
              <w:rPr>
                <w:rFonts w:hint="eastAsia" w:ascii="宋体" w:hAnsi="宋体"/>
                <w:szCs w:val="21"/>
              </w:rPr>
            </w:pPr>
            <w:r>
              <w:rPr>
                <w:rFonts w:hint="eastAsia" w:ascii="宋体" w:hAnsi="宋体"/>
                <w:szCs w:val="21"/>
              </w:rPr>
              <w:t>服务项目名称</w:t>
            </w:r>
          </w:p>
        </w:tc>
        <w:tc>
          <w:tcPr>
            <w:tcW w:w="3224" w:type="dxa"/>
            <w:tcBorders>
              <w:top w:val="single" w:color="auto" w:sz="4" w:space="0"/>
              <w:left w:val="single" w:color="auto" w:sz="4" w:space="0"/>
              <w:bottom w:val="single" w:color="auto" w:sz="4" w:space="0"/>
              <w:right w:val="single" w:color="auto" w:sz="4" w:space="0"/>
            </w:tcBorders>
            <w:vAlign w:val="center"/>
          </w:tcPr>
          <w:p w14:paraId="7894BC47">
            <w:pPr>
              <w:snapToGrid w:val="0"/>
              <w:spacing w:before="50" w:after="50" w:line="360" w:lineRule="exact"/>
              <w:jc w:val="center"/>
              <w:rPr>
                <w:rFonts w:hint="eastAsia" w:ascii="宋体" w:hAnsi="宋体"/>
                <w:szCs w:val="21"/>
              </w:rPr>
            </w:pPr>
            <w:r>
              <w:rPr>
                <w:rFonts w:hint="eastAsia" w:ascii="宋体" w:hAnsi="宋体"/>
                <w:szCs w:val="21"/>
              </w:rPr>
              <w:t>服务内容</w:t>
            </w:r>
          </w:p>
        </w:tc>
        <w:tc>
          <w:tcPr>
            <w:tcW w:w="2068" w:type="dxa"/>
            <w:tcBorders>
              <w:top w:val="single" w:color="auto" w:sz="4" w:space="0"/>
              <w:left w:val="single" w:color="auto" w:sz="4" w:space="0"/>
              <w:bottom w:val="single" w:color="auto" w:sz="4" w:space="0"/>
              <w:right w:val="single" w:color="auto" w:sz="4" w:space="0"/>
            </w:tcBorders>
            <w:vAlign w:val="center"/>
          </w:tcPr>
          <w:p w14:paraId="34E47258">
            <w:pPr>
              <w:snapToGrid w:val="0"/>
              <w:spacing w:before="50" w:after="50" w:line="360" w:lineRule="exact"/>
              <w:jc w:val="center"/>
              <w:rPr>
                <w:rFonts w:hint="eastAsia" w:ascii="宋体" w:hAnsi="宋体"/>
                <w:szCs w:val="21"/>
              </w:rPr>
            </w:pPr>
            <w:r>
              <w:rPr>
                <w:rFonts w:hint="eastAsia" w:ascii="宋体" w:hAnsi="宋体"/>
                <w:szCs w:val="21"/>
              </w:rPr>
              <w:t>投标报价（元）</w:t>
            </w:r>
          </w:p>
        </w:tc>
        <w:tc>
          <w:tcPr>
            <w:tcW w:w="1256" w:type="dxa"/>
            <w:tcBorders>
              <w:top w:val="single" w:color="auto" w:sz="4" w:space="0"/>
              <w:left w:val="single" w:color="auto" w:sz="4" w:space="0"/>
              <w:bottom w:val="single" w:color="auto" w:sz="4" w:space="0"/>
              <w:right w:val="single" w:color="auto" w:sz="4" w:space="0"/>
            </w:tcBorders>
            <w:vAlign w:val="center"/>
          </w:tcPr>
          <w:p w14:paraId="6C19868B">
            <w:pPr>
              <w:snapToGrid w:val="0"/>
              <w:spacing w:before="50" w:after="50" w:line="360" w:lineRule="exact"/>
              <w:jc w:val="center"/>
              <w:rPr>
                <w:rFonts w:hint="eastAsia" w:ascii="宋体" w:hAnsi="宋体"/>
                <w:szCs w:val="21"/>
              </w:rPr>
            </w:pPr>
            <w:r>
              <w:rPr>
                <w:rFonts w:hint="eastAsia" w:ascii="宋体" w:hAnsi="宋体"/>
                <w:szCs w:val="21"/>
              </w:rPr>
              <w:t>备注</w:t>
            </w:r>
          </w:p>
        </w:tc>
      </w:tr>
      <w:tr w14:paraId="16AD6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623AF704">
            <w:pPr>
              <w:jc w:val="center"/>
              <w:rPr>
                <w:rFonts w:hint="eastAsia"/>
              </w:rPr>
            </w:pPr>
          </w:p>
        </w:tc>
        <w:tc>
          <w:tcPr>
            <w:tcW w:w="2412" w:type="dxa"/>
            <w:tcBorders>
              <w:top w:val="single" w:color="auto" w:sz="4" w:space="0"/>
              <w:left w:val="single" w:color="auto" w:sz="4" w:space="0"/>
              <w:bottom w:val="single" w:color="auto" w:sz="4" w:space="0"/>
              <w:right w:val="single" w:color="auto" w:sz="4" w:space="0"/>
            </w:tcBorders>
            <w:vAlign w:val="center"/>
          </w:tcPr>
          <w:p w14:paraId="197C281C">
            <w:pPr>
              <w:jc w:val="center"/>
              <w:rPr>
                <w:rFonts w:hint="eastAsia"/>
              </w:rPr>
            </w:pPr>
          </w:p>
        </w:tc>
        <w:tc>
          <w:tcPr>
            <w:tcW w:w="3224" w:type="dxa"/>
            <w:tcBorders>
              <w:top w:val="single" w:color="auto" w:sz="4" w:space="0"/>
              <w:left w:val="single" w:color="auto" w:sz="4" w:space="0"/>
              <w:bottom w:val="single" w:color="auto" w:sz="4" w:space="0"/>
              <w:right w:val="single" w:color="auto" w:sz="4" w:space="0"/>
            </w:tcBorders>
            <w:vAlign w:val="center"/>
          </w:tcPr>
          <w:p w14:paraId="23FE887A">
            <w:pPr>
              <w:jc w:val="center"/>
              <w:rPr>
                <w:rFonts w:hint="eastAsia"/>
              </w:rPr>
            </w:pPr>
          </w:p>
        </w:tc>
        <w:tc>
          <w:tcPr>
            <w:tcW w:w="2068" w:type="dxa"/>
            <w:tcBorders>
              <w:top w:val="single" w:color="auto" w:sz="4" w:space="0"/>
              <w:left w:val="single" w:color="auto" w:sz="4" w:space="0"/>
              <w:bottom w:val="single" w:color="auto" w:sz="4" w:space="0"/>
              <w:right w:val="single" w:color="auto" w:sz="4" w:space="0"/>
            </w:tcBorders>
            <w:vAlign w:val="center"/>
          </w:tcPr>
          <w:p w14:paraId="1FCF05AB">
            <w:pPr>
              <w:jc w:val="center"/>
              <w:rPr>
                <w:rFonts w:hint="eastAsia"/>
              </w:rPr>
            </w:pPr>
          </w:p>
        </w:tc>
        <w:tc>
          <w:tcPr>
            <w:tcW w:w="1256" w:type="dxa"/>
            <w:tcBorders>
              <w:top w:val="single" w:color="auto" w:sz="4" w:space="0"/>
              <w:left w:val="single" w:color="auto" w:sz="4" w:space="0"/>
              <w:bottom w:val="single" w:color="auto" w:sz="4" w:space="0"/>
              <w:right w:val="single" w:color="auto" w:sz="4" w:space="0"/>
            </w:tcBorders>
            <w:vAlign w:val="center"/>
          </w:tcPr>
          <w:p w14:paraId="0D095745">
            <w:pPr>
              <w:jc w:val="center"/>
              <w:rPr>
                <w:rFonts w:hint="eastAsia"/>
              </w:rPr>
            </w:pPr>
          </w:p>
        </w:tc>
      </w:tr>
      <w:tr w14:paraId="7F042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77251440">
            <w:pPr>
              <w:jc w:val="center"/>
              <w:rPr>
                <w:rFonts w:hint="eastAsia"/>
              </w:rPr>
            </w:pPr>
          </w:p>
        </w:tc>
        <w:tc>
          <w:tcPr>
            <w:tcW w:w="2412" w:type="dxa"/>
            <w:tcBorders>
              <w:top w:val="single" w:color="auto" w:sz="4" w:space="0"/>
              <w:left w:val="single" w:color="auto" w:sz="4" w:space="0"/>
              <w:bottom w:val="single" w:color="auto" w:sz="4" w:space="0"/>
              <w:right w:val="single" w:color="auto" w:sz="4" w:space="0"/>
            </w:tcBorders>
            <w:vAlign w:val="center"/>
          </w:tcPr>
          <w:p w14:paraId="4E44212F">
            <w:pPr>
              <w:jc w:val="center"/>
              <w:rPr>
                <w:rFonts w:hint="eastAsia"/>
              </w:rPr>
            </w:pPr>
          </w:p>
        </w:tc>
        <w:tc>
          <w:tcPr>
            <w:tcW w:w="3224" w:type="dxa"/>
            <w:tcBorders>
              <w:top w:val="single" w:color="auto" w:sz="4" w:space="0"/>
              <w:left w:val="single" w:color="auto" w:sz="4" w:space="0"/>
              <w:bottom w:val="single" w:color="auto" w:sz="4" w:space="0"/>
              <w:right w:val="single" w:color="auto" w:sz="4" w:space="0"/>
            </w:tcBorders>
            <w:vAlign w:val="center"/>
          </w:tcPr>
          <w:p w14:paraId="2512363F">
            <w:pPr>
              <w:jc w:val="center"/>
              <w:rPr>
                <w:rFonts w:hint="eastAsia"/>
              </w:rPr>
            </w:pPr>
          </w:p>
        </w:tc>
        <w:tc>
          <w:tcPr>
            <w:tcW w:w="2068" w:type="dxa"/>
            <w:tcBorders>
              <w:top w:val="single" w:color="auto" w:sz="4" w:space="0"/>
              <w:left w:val="single" w:color="auto" w:sz="4" w:space="0"/>
              <w:bottom w:val="single" w:color="auto" w:sz="4" w:space="0"/>
              <w:right w:val="single" w:color="auto" w:sz="4" w:space="0"/>
            </w:tcBorders>
            <w:vAlign w:val="center"/>
          </w:tcPr>
          <w:p w14:paraId="2E9C5AAF">
            <w:pPr>
              <w:jc w:val="center"/>
              <w:rPr>
                <w:rFonts w:hint="eastAsia"/>
              </w:rPr>
            </w:pPr>
          </w:p>
        </w:tc>
        <w:tc>
          <w:tcPr>
            <w:tcW w:w="1256" w:type="dxa"/>
            <w:tcBorders>
              <w:top w:val="single" w:color="auto" w:sz="4" w:space="0"/>
              <w:left w:val="single" w:color="auto" w:sz="4" w:space="0"/>
              <w:bottom w:val="single" w:color="auto" w:sz="4" w:space="0"/>
              <w:right w:val="single" w:color="auto" w:sz="4" w:space="0"/>
            </w:tcBorders>
            <w:vAlign w:val="center"/>
          </w:tcPr>
          <w:p w14:paraId="5C02C237">
            <w:pPr>
              <w:jc w:val="center"/>
              <w:rPr>
                <w:rFonts w:hint="eastAsia"/>
              </w:rPr>
            </w:pPr>
          </w:p>
        </w:tc>
      </w:tr>
      <w:tr w14:paraId="6D5E9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63EAACA4">
            <w:pPr>
              <w:jc w:val="center"/>
              <w:rPr>
                <w:rFonts w:hint="eastAsia"/>
              </w:rPr>
            </w:pPr>
          </w:p>
        </w:tc>
        <w:tc>
          <w:tcPr>
            <w:tcW w:w="2412" w:type="dxa"/>
            <w:tcBorders>
              <w:top w:val="single" w:color="auto" w:sz="4" w:space="0"/>
              <w:left w:val="single" w:color="auto" w:sz="4" w:space="0"/>
              <w:bottom w:val="single" w:color="auto" w:sz="4" w:space="0"/>
              <w:right w:val="single" w:color="auto" w:sz="4" w:space="0"/>
            </w:tcBorders>
            <w:vAlign w:val="center"/>
          </w:tcPr>
          <w:p w14:paraId="08BD770B">
            <w:pPr>
              <w:jc w:val="center"/>
              <w:rPr>
                <w:rFonts w:hint="eastAsia"/>
              </w:rPr>
            </w:pPr>
          </w:p>
        </w:tc>
        <w:tc>
          <w:tcPr>
            <w:tcW w:w="3224" w:type="dxa"/>
            <w:tcBorders>
              <w:top w:val="single" w:color="auto" w:sz="4" w:space="0"/>
              <w:left w:val="single" w:color="auto" w:sz="4" w:space="0"/>
              <w:bottom w:val="single" w:color="auto" w:sz="4" w:space="0"/>
              <w:right w:val="single" w:color="auto" w:sz="4" w:space="0"/>
            </w:tcBorders>
            <w:vAlign w:val="center"/>
          </w:tcPr>
          <w:p w14:paraId="13FC7DB7">
            <w:pPr>
              <w:jc w:val="center"/>
              <w:rPr>
                <w:rFonts w:hint="eastAsia"/>
              </w:rPr>
            </w:pPr>
          </w:p>
        </w:tc>
        <w:tc>
          <w:tcPr>
            <w:tcW w:w="2068" w:type="dxa"/>
            <w:tcBorders>
              <w:top w:val="single" w:color="auto" w:sz="4" w:space="0"/>
              <w:left w:val="single" w:color="auto" w:sz="4" w:space="0"/>
              <w:bottom w:val="single" w:color="auto" w:sz="4" w:space="0"/>
              <w:right w:val="single" w:color="auto" w:sz="4" w:space="0"/>
            </w:tcBorders>
            <w:vAlign w:val="center"/>
          </w:tcPr>
          <w:p w14:paraId="54ECBC4D">
            <w:pPr>
              <w:jc w:val="center"/>
              <w:rPr>
                <w:rFonts w:hint="eastAsia"/>
              </w:rPr>
            </w:pPr>
          </w:p>
        </w:tc>
        <w:tc>
          <w:tcPr>
            <w:tcW w:w="1256" w:type="dxa"/>
            <w:tcBorders>
              <w:top w:val="single" w:color="auto" w:sz="4" w:space="0"/>
              <w:left w:val="single" w:color="auto" w:sz="4" w:space="0"/>
              <w:bottom w:val="single" w:color="auto" w:sz="4" w:space="0"/>
              <w:right w:val="single" w:color="auto" w:sz="4" w:space="0"/>
            </w:tcBorders>
            <w:vAlign w:val="center"/>
          </w:tcPr>
          <w:p w14:paraId="0D69F1AB">
            <w:pPr>
              <w:jc w:val="center"/>
              <w:rPr>
                <w:rFonts w:hint="eastAsia"/>
              </w:rPr>
            </w:pPr>
          </w:p>
        </w:tc>
      </w:tr>
      <w:tr w14:paraId="3D224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5964C4AA">
            <w:pPr>
              <w:snapToGrid w:val="0"/>
              <w:spacing w:before="50" w:after="50" w:line="360" w:lineRule="exact"/>
              <w:rPr>
                <w:rFonts w:hint="eastAsia" w:ascii="宋体" w:hAnsi="宋体"/>
                <w:szCs w:val="21"/>
                <w:u w:val="single"/>
              </w:rPr>
            </w:pPr>
            <w:r>
              <w:rPr>
                <w:rFonts w:hint="eastAsia" w:hAnsi="宋体"/>
              </w:rPr>
              <w:t>投标总价（</w:t>
            </w:r>
            <w:r>
              <w:rPr>
                <w:rFonts w:hint="eastAsia" w:ascii="宋体" w:hAnsi="宋体"/>
                <w:szCs w:val="21"/>
              </w:rPr>
              <w:t>合计金额大写）：                               ¥</w:t>
            </w:r>
            <w:r>
              <w:rPr>
                <w:rFonts w:hint="eastAsia" w:ascii="宋体" w:hAnsi="宋体"/>
                <w:szCs w:val="21"/>
                <w:u w:val="single"/>
              </w:rPr>
              <w:t xml:space="preserve">            </w:t>
            </w:r>
          </w:p>
        </w:tc>
      </w:tr>
    </w:tbl>
    <w:p w14:paraId="31E2CD9A">
      <w:pPr>
        <w:spacing w:line="360" w:lineRule="exact"/>
        <w:rPr>
          <w:rFonts w:hint="eastAsia"/>
        </w:rPr>
      </w:pPr>
      <w:r>
        <w:rPr>
          <w:rFonts w:hint="eastAsia"/>
        </w:rPr>
        <w:t>注：1.报价一经涂改，应在涂改处加盖单位公章或者由法定代表人（负责人）或授权委托人签字或盖章，否则其投标作无效标处理。</w:t>
      </w:r>
    </w:p>
    <w:p w14:paraId="35E7F28C">
      <w:pPr>
        <w:spacing w:line="360" w:lineRule="exact"/>
        <w:ind w:firstLine="420" w:firstLineChars="200"/>
        <w:rPr>
          <w:rFonts w:hint="eastAsia"/>
        </w:rPr>
      </w:pPr>
      <w:r>
        <w:rPr>
          <w:rFonts w:hint="eastAsia"/>
        </w:rPr>
        <w:t>2.开标一览表中的“服务项目名称”、“服务内容”、“投标报价”、“</w:t>
      </w:r>
      <w:r>
        <w:rPr>
          <w:rFonts w:hint="eastAsia" w:hAnsi="宋体"/>
        </w:rPr>
        <w:t>投标总价</w:t>
      </w:r>
      <w:r>
        <w:rPr>
          <w:rFonts w:hint="eastAsia"/>
        </w:rPr>
        <w:t>”必须填写。</w:t>
      </w:r>
    </w:p>
    <w:p w14:paraId="6E6D5FA4">
      <w:pPr>
        <w:spacing w:line="360" w:lineRule="exact"/>
        <w:rPr>
          <w:rFonts w:hint="eastAsia"/>
        </w:rPr>
      </w:pPr>
      <w:r>
        <w:rPr>
          <w:rFonts w:hint="eastAsia"/>
        </w:rPr>
        <w:t xml:space="preserve">    3.投标费用包括项目实施所需的人工费、服务费、运输费、安装调试费、获取及制作标书费、税费及其他一切费用。</w:t>
      </w:r>
    </w:p>
    <w:p w14:paraId="308936DA">
      <w:pPr>
        <w:spacing w:line="360" w:lineRule="exact"/>
        <w:rPr>
          <w:rFonts w:hint="eastAsia"/>
        </w:rPr>
      </w:pPr>
      <w:r>
        <w:rPr>
          <w:rFonts w:hint="eastAsia"/>
        </w:rPr>
        <w:t xml:space="preserve">    4.以上报价应与“投标报价明细表”中的“投标总价”相一致。</w:t>
      </w:r>
    </w:p>
    <w:p w14:paraId="47A06B20">
      <w:pPr>
        <w:spacing w:line="360" w:lineRule="exact"/>
        <w:rPr>
          <w:rFonts w:hint="eastAsia"/>
        </w:rPr>
      </w:pPr>
      <w:r>
        <w:rPr>
          <w:rFonts w:hint="eastAsia"/>
        </w:rPr>
        <w:t xml:space="preserve">    5.项目中有多个分标的，每一分标的开标一览表必须分别按格式要求填写并签字、盖章。</w:t>
      </w:r>
    </w:p>
    <w:p w14:paraId="66063AFF">
      <w:pPr>
        <w:snapToGrid w:val="0"/>
        <w:spacing w:before="50" w:after="50" w:line="360" w:lineRule="exact"/>
        <w:ind w:left="-2" w:leftChars="-1" w:right="-816" w:rightChars="-389" w:firstLine="420" w:firstLineChars="200"/>
        <w:rPr>
          <w:rFonts w:hint="eastAsia" w:ascii="宋体" w:hAnsi="宋体"/>
          <w:szCs w:val="21"/>
        </w:rPr>
      </w:pPr>
    </w:p>
    <w:p w14:paraId="58FC0A9F">
      <w:pPr>
        <w:snapToGrid w:val="0"/>
        <w:spacing w:before="50" w:after="50" w:line="360" w:lineRule="exact"/>
        <w:ind w:left="-2" w:leftChars="-1" w:right="-816" w:rightChars="-389" w:firstLine="420" w:firstLineChars="200"/>
        <w:rPr>
          <w:rFonts w:hint="eastAsia" w:ascii="宋体" w:hAnsi="宋体"/>
          <w:szCs w:val="21"/>
        </w:rPr>
      </w:pPr>
      <w:r>
        <w:rPr>
          <w:rFonts w:hint="eastAsia" w:ascii="宋体" w:hAnsi="宋体"/>
          <w:szCs w:val="21"/>
        </w:rPr>
        <w:t>法定代表人(负责人)或委托代理人（签字或盖章）：</w:t>
      </w:r>
      <w:r>
        <w:rPr>
          <w:rFonts w:hint="eastAsia" w:ascii="宋体" w:hAnsi="宋体"/>
          <w:szCs w:val="21"/>
          <w:u w:val="single"/>
        </w:rPr>
        <w:t xml:space="preserve">                   </w:t>
      </w:r>
    </w:p>
    <w:p w14:paraId="31142474">
      <w:pPr>
        <w:snapToGrid w:val="0"/>
        <w:spacing w:before="50" w:after="50" w:line="360" w:lineRule="exact"/>
        <w:ind w:right="-816" w:rightChars="-389" w:firstLine="420" w:firstLineChars="200"/>
        <w:rPr>
          <w:rFonts w:hint="eastAsia" w:ascii="宋体" w:hAnsi="宋体"/>
          <w:szCs w:val="21"/>
        </w:rPr>
      </w:pPr>
      <w:r>
        <w:rPr>
          <w:rFonts w:hint="eastAsia" w:ascii="宋体" w:hAnsi="宋体"/>
          <w:szCs w:val="21"/>
        </w:rPr>
        <w:t>投标人名称（盖章）：</w:t>
      </w:r>
      <w:r>
        <w:rPr>
          <w:rFonts w:hint="eastAsia" w:ascii="宋体" w:hAnsi="宋体"/>
          <w:szCs w:val="21"/>
          <w:u w:val="single"/>
        </w:rPr>
        <w:t xml:space="preserve">                               </w:t>
      </w:r>
    </w:p>
    <w:p w14:paraId="492A0B7B">
      <w:pPr>
        <w:snapToGrid w:val="0"/>
        <w:spacing w:before="50" w:after="50" w:line="360" w:lineRule="exact"/>
        <w:ind w:right="-816" w:rightChars="-389" w:firstLine="420"/>
        <w:rPr>
          <w:rFonts w:hint="eastAsia" w:ascii="宋体" w:hAnsi="宋体"/>
          <w:szCs w:val="21"/>
        </w:rPr>
      </w:pPr>
      <w:r>
        <w:rPr>
          <w:rFonts w:hint="eastAsia" w:ascii="宋体" w:hAnsi="宋体"/>
          <w:szCs w:val="21"/>
        </w:rPr>
        <w:t>日期：    年    月    日</w:t>
      </w:r>
    </w:p>
    <w:p w14:paraId="3FE01C45">
      <w:pPr>
        <w:snapToGrid w:val="0"/>
        <w:spacing w:before="50" w:after="50" w:line="340" w:lineRule="exact"/>
        <w:ind w:right="-816" w:rightChars="-389"/>
        <w:rPr>
          <w:rFonts w:hint="eastAsia" w:ascii="宋体"/>
          <w:szCs w:val="21"/>
        </w:rPr>
      </w:pPr>
    </w:p>
    <w:sectPr>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创艺简黑体">
    <w:altName w:val="Times New Roman"/>
    <w:panose1 w:val="00000000000000000000"/>
    <w:charset w:val="00"/>
    <w:family w:val="auto"/>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8BE7D">
    <w:pPr>
      <w:pStyle w:val="32"/>
      <w:framePr w:wrap="around" w:vAnchor="text" w:hAnchor="margin" w:xAlign="center" w:y="1"/>
      <w:rPr>
        <w:rStyle w:val="53"/>
      </w:rPr>
    </w:pPr>
    <w:r>
      <w:fldChar w:fldCharType="begin"/>
    </w:r>
    <w:r>
      <w:rPr>
        <w:rStyle w:val="53"/>
      </w:rPr>
      <w:instrText xml:space="preserve">PAGE  </w:instrText>
    </w:r>
    <w:r>
      <w:fldChar w:fldCharType="separate"/>
    </w:r>
    <w:r>
      <w:t xml:space="preserve"> </w:t>
    </w:r>
    <w:r>
      <w:fldChar w:fldCharType="end"/>
    </w:r>
  </w:p>
  <w:p w14:paraId="62B38FE5">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947CA">
    <w:pPr>
      <w:pStyle w:val="32"/>
      <w:ind w:right="360"/>
      <w:jc w:val="both"/>
      <w:rPr>
        <w:rFonts w:hint="eastAsia"/>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44D36">
    <w:pPr>
      <w:pStyle w:val="32"/>
      <w:framePr w:wrap="around" w:vAnchor="text" w:hAnchor="margin" w:xAlign="center" w:y="1"/>
      <w:rPr>
        <w:rStyle w:val="53"/>
      </w:rPr>
    </w:pPr>
    <w:r>
      <w:fldChar w:fldCharType="begin"/>
    </w:r>
    <w:r>
      <w:rPr>
        <w:rStyle w:val="53"/>
      </w:rPr>
      <w:instrText xml:space="preserve">PAGE  </w:instrText>
    </w:r>
    <w:r>
      <w:fldChar w:fldCharType="separate"/>
    </w:r>
    <w:r>
      <w:rPr>
        <w:rStyle w:val="53"/>
      </w:rPr>
      <w:t>107</w:t>
    </w:r>
    <w:r>
      <w:fldChar w:fldCharType="end"/>
    </w:r>
  </w:p>
  <w:p w14:paraId="5D023CE7">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2E7F4">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4D7BB">
    <w:pPr>
      <w:pStyle w:val="33"/>
      <w:wordWrap w:val="0"/>
      <w:jc w:val="right"/>
      <w:rPr>
        <w:rFonts w:hint="eastAsia"/>
      </w:rPr>
    </w:pPr>
    <w:r>
      <w:rPr>
        <w:rFonts w:hint="eastAsia" w:asciiTheme="majorEastAsia" w:hAnsiTheme="majorEastAsia" w:eastAsiaTheme="majorEastAsia" w:cstheme="majorEastAsia"/>
        <w:lang w:eastAsia="zh-CN"/>
      </w:rPr>
      <w:t>309项目配套AI算力租赁项目</w:t>
    </w:r>
    <w:r>
      <w:rPr>
        <w:rFonts w:hint="eastAsia"/>
      </w:rPr>
      <w:t>（</w:t>
    </w:r>
    <w:r>
      <w:rPr>
        <w:rFonts w:hint="eastAsia" w:asciiTheme="minorEastAsia" w:hAnsiTheme="minorEastAsia" w:eastAsiaTheme="minorEastAsia" w:cstheme="minorEastAsia"/>
      </w:rPr>
      <w:t>GXZC2026-G3-000154-GLZB</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96206"/>
    <w:multiLevelType w:val="singleLevel"/>
    <w:tmpl w:val="8B096206"/>
    <w:lvl w:ilvl="0" w:tentative="0">
      <w:start w:val="2"/>
      <w:numFmt w:val="decimal"/>
      <w:suff w:val="nothing"/>
      <w:lvlText w:val="（%1）"/>
      <w:lvlJc w:val="left"/>
    </w:lvl>
  </w:abstractNum>
  <w:abstractNum w:abstractNumId="1">
    <w:nsid w:val="B173E72A"/>
    <w:multiLevelType w:val="singleLevel"/>
    <w:tmpl w:val="B173E72A"/>
    <w:lvl w:ilvl="0" w:tentative="0">
      <w:start w:val="1"/>
      <w:numFmt w:val="decimal"/>
      <w:suff w:val="nothing"/>
      <w:lvlText w:val="%1、"/>
      <w:lvlJc w:val="left"/>
    </w:lvl>
  </w:abstractNum>
  <w:abstractNum w:abstractNumId="2">
    <w:nsid w:val="C67473E3"/>
    <w:multiLevelType w:val="singleLevel"/>
    <w:tmpl w:val="C67473E3"/>
    <w:lvl w:ilvl="0" w:tentative="0">
      <w:start w:val="5"/>
      <w:numFmt w:val="decimal"/>
      <w:suff w:val="nothing"/>
      <w:lvlText w:val="（%1）"/>
      <w:lvlJc w:val="left"/>
      <w:pPr>
        <w:ind w:left="420" w:firstLine="0"/>
      </w:pPr>
    </w:lvl>
  </w:abstractNum>
  <w:abstractNum w:abstractNumId="3">
    <w:nsid w:val="63AE38AD"/>
    <w:multiLevelType w:val="singleLevel"/>
    <w:tmpl w:val="63AE38AD"/>
    <w:lvl w:ilvl="0" w:tentative="0">
      <w:start w:val="2"/>
      <w:numFmt w:val="decimal"/>
      <w:suff w:val="space"/>
      <w:lvlText w:val="%1."/>
      <w:lvlJc w:val="left"/>
    </w:lvl>
  </w:abstractNum>
  <w:abstractNum w:abstractNumId="4">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5">
    <w:nsid w:val="711461B3"/>
    <w:multiLevelType w:val="multilevel"/>
    <w:tmpl w:val="711461B3"/>
    <w:lvl w:ilvl="0" w:tentative="0">
      <w:start w:val="1"/>
      <w:numFmt w:val="decimal"/>
      <w:suff w:val="nothing"/>
      <w:lvlText w:val="%1"/>
      <w:lvlJc w:val="center"/>
      <w:pPr>
        <w:tabs>
          <w:tab w:val="left" w:pos="0"/>
        </w:tabs>
        <w:ind w:left="0" w:firstLine="0"/>
      </w:pPr>
      <w:rPr>
        <w:rFonts w:hint="eastAsia"/>
      </w:rPr>
    </w:lvl>
    <w:lvl w:ilvl="1" w:tentative="0">
      <w:start w:val="1"/>
      <w:numFmt w:val="lowerLetter"/>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abstractNum w:abstractNumId="6">
    <w:nsid w:val="7F11D382"/>
    <w:multiLevelType w:val="singleLevel"/>
    <w:tmpl w:val="7F11D382"/>
    <w:lvl w:ilvl="0" w:tentative="0">
      <w:start w:val="1"/>
      <w:numFmt w:val="decimal"/>
      <w:suff w:val="nothing"/>
      <w:lvlText w:val="%1、"/>
      <w:lvlJc w:val="left"/>
    </w:lvl>
  </w:abstractNum>
  <w:num w:numId="1">
    <w:abstractNumId w:val="0"/>
  </w:num>
  <w:num w:numId="2">
    <w:abstractNumId w:val="1"/>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3D"/>
    <w:rsid w:val="00002D52"/>
    <w:rsid w:val="00005084"/>
    <w:rsid w:val="0000581B"/>
    <w:rsid w:val="00005A3C"/>
    <w:rsid w:val="00005B8D"/>
    <w:rsid w:val="00015EC6"/>
    <w:rsid w:val="00020778"/>
    <w:rsid w:val="00020EFF"/>
    <w:rsid w:val="000254EE"/>
    <w:rsid w:val="000266D5"/>
    <w:rsid w:val="00031801"/>
    <w:rsid w:val="000340C9"/>
    <w:rsid w:val="000359F4"/>
    <w:rsid w:val="00035B2A"/>
    <w:rsid w:val="00036401"/>
    <w:rsid w:val="000409C1"/>
    <w:rsid w:val="00040A1A"/>
    <w:rsid w:val="000417FF"/>
    <w:rsid w:val="000423BA"/>
    <w:rsid w:val="0004795F"/>
    <w:rsid w:val="00050056"/>
    <w:rsid w:val="00053D9B"/>
    <w:rsid w:val="000571A8"/>
    <w:rsid w:val="00062357"/>
    <w:rsid w:val="0006471F"/>
    <w:rsid w:val="00065369"/>
    <w:rsid w:val="00072BA9"/>
    <w:rsid w:val="00076F83"/>
    <w:rsid w:val="00077DB7"/>
    <w:rsid w:val="00086B56"/>
    <w:rsid w:val="00086CC0"/>
    <w:rsid w:val="00087B64"/>
    <w:rsid w:val="00087DAA"/>
    <w:rsid w:val="00087DD9"/>
    <w:rsid w:val="00087EEF"/>
    <w:rsid w:val="00090478"/>
    <w:rsid w:val="00091966"/>
    <w:rsid w:val="000935CF"/>
    <w:rsid w:val="000A1B27"/>
    <w:rsid w:val="000A1CB3"/>
    <w:rsid w:val="000A2AD4"/>
    <w:rsid w:val="000A2C66"/>
    <w:rsid w:val="000B1872"/>
    <w:rsid w:val="000B235E"/>
    <w:rsid w:val="000B3758"/>
    <w:rsid w:val="000B376B"/>
    <w:rsid w:val="000B39C5"/>
    <w:rsid w:val="000B616A"/>
    <w:rsid w:val="000B644A"/>
    <w:rsid w:val="000C5066"/>
    <w:rsid w:val="000C5F82"/>
    <w:rsid w:val="000D27E1"/>
    <w:rsid w:val="000D2C19"/>
    <w:rsid w:val="000D3D1B"/>
    <w:rsid w:val="000D3F59"/>
    <w:rsid w:val="000E1A0E"/>
    <w:rsid w:val="000E259A"/>
    <w:rsid w:val="000E350C"/>
    <w:rsid w:val="000E3DFE"/>
    <w:rsid w:val="000F26B7"/>
    <w:rsid w:val="000F397E"/>
    <w:rsid w:val="000F56C6"/>
    <w:rsid w:val="00100D24"/>
    <w:rsid w:val="00102A8E"/>
    <w:rsid w:val="00102B90"/>
    <w:rsid w:val="00104C54"/>
    <w:rsid w:val="0010585A"/>
    <w:rsid w:val="0011053F"/>
    <w:rsid w:val="0011315C"/>
    <w:rsid w:val="001155B7"/>
    <w:rsid w:val="00115E2F"/>
    <w:rsid w:val="00117090"/>
    <w:rsid w:val="0011734E"/>
    <w:rsid w:val="00120138"/>
    <w:rsid w:val="001204A4"/>
    <w:rsid w:val="001223A0"/>
    <w:rsid w:val="00124640"/>
    <w:rsid w:val="00124C1D"/>
    <w:rsid w:val="001266B8"/>
    <w:rsid w:val="001270DF"/>
    <w:rsid w:val="00133696"/>
    <w:rsid w:val="001415DD"/>
    <w:rsid w:val="00143B59"/>
    <w:rsid w:val="00145A14"/>
    <w:rsid w:val="0015249A"/>
    <w:rsid w:val="0015364E"/>
    <w:rsid w:val="00153E62"/>
    <w:rsid w:val="001554B6"/>
    <w:rsid w:val="0015592B"/>
    <w:rsid w:val="001574E7"/>
    <w:rsid w:val="00157E55"/>
    <w:rsid w:val="00160230"/>
    <w:rsid w:val="001614DC"/>
    <w:rsid w:val="00161CA4"/>
    <w:rsid w:val="00162E03"/>
    <w:rsid w:val="00164FA0"/>
    <w:rsid w:val="00167234"/>
    <w:rsid w:val="001679F2"/>
    <w:rsid w:val="001710BF"/>
    <w:rsid w:val="001720FD"/>
    <w:rsid w:val="00173280"/>
    <w:rsid w:val="00175395"/>
    <w:rsid w:val="001761D9"/>
    <w:rsid w:val="00182D31"/>
    <w:rsid w:val="001844CD"/>
    <w:rsid w:val="00184DFE"/>
    <w:rsid w:val="00185993"/>
    <w:rsid w:val="00185C37"/>
    <w:rsid w:val="001861BE"/>
    <w:rsid w:val="0018641B"/>
    <w:rsid w:val="00186B17"/>
    <w:rsid w:val="00193055"/>
    <w:rsid w:val="001946C2"/>
    <w:rsid w:val="001A097A"/>
    <w:rsid w:val="001A0CD5"/>
    <w:rsid w:val="001A3545"/>
    <w:rsid w:val="001A4B56"/>
    <w:rsid w:val="001A4D6E"/>
    <w:rsid w:val="001B212E"/>
    <w:rsid w:val="001B232C"/>
    <w:rsid w:val="001B3AAA"/>
    <w:rsid w:val="001B3CD0"/>
    <w:rsid w:val="001B48EE"/>
    <w:rsid w:val="001B6C59"/>
    <w:rsid w:val="001D1613"/>
    <w:rsid w:val="001D6671"/>
    <w:rsid w:val="001E3A4A"/>
    <w:rsid w:val="001E3FDA"/>
    <w:rsid w:val="001E61F5"/>
    <w:rsid w:val="001F4D25"/>
    <w:rsid w:val="001F60A6"/>
    <w:rsid w:val="001F7FA3"/>
    <w:rsid w:val="00203635"/>
    <w:rsid w:val="00206CE2"/>
    <w:rsid w:val="00207563"/>
    <w:rsid w:val="00211E15"/>
    <w:rsid w:val="00214E3F"/>
    <w:rsid w:val="00214E5F"/>
    <w:rsid w:val="00224974"/>
    <w:rsid w:val="00224D42"/>
    <w:rsid w:val="00224DC3"/>
    <w:rsid w:val="00225529"/>
    <w:rsid w:val="00231ADF"/>
    <w:rsid w:val="00234C80"/>
    <w:rsid w:val="00235073"/>
    <w:rsid w:val="00235355"/>
    <w:rsid w:val="00236BBF"/>
    <w:rsid w:val="002402B7"/>
    <w:rsid w:val="00240692"/>
    <w:rsid w:val="0024391F"/>
    <w:rsid w:val="00243EF0"/>
    <w:rsid w:val="002441CF"/>
    <w:rsid w:val="0024531C"/>
    <w:rsid w:val="00251C1A"/>
    <w:rsid w:val="00254063"/>
    <w:rsid w:val="00254C0D"/>
    <w:rsid w:val="002559EF"/>
    <w:rsid w:val="00255BBD"/>
    <w:rsid w:val="002601B1"/>
    <w:rsid w:val="00261045"/>
    <w:rsid w:val="00261557"/>
    <w:rsid w:val="00262EE5"/>
    <w:rsid w:val="002643AA"/>
    <w:rsid w:val="00265F57"/>
    <w:rsid w:val="002707AB"/>
    <w:rsid w:val="002707F9"/>
    <w:rsid w:val="00275E6D"/>
    <w:rsid w:val="00275FF1"/>
    <w:rsid w:val="0027659B"/>
    <w:rsid w:val="00283272"/>
    <w:rsid w:val="00283EEC"/>
    <w:rsid w:val="00287C7B"/>
    <w:rsid w:val="002908FE"/>
    <w:rsid w:val="00291A7E"/>
    <w:rsid w:val="00291AF5"/>
    <w:rsid w:val="00292EF5"/>
    <w:rsid w:val="002965D9"/>
    <w:rsid w:val="002970AF"/>
    <w:rsid w:val="0029785A"/>
    <w:rsid w:val="002A0F85"/>
    <w:rsid w:val="002A1266"/>
    <w:rsid w:val="002A1C32"/>
    <w:rsid w:val="002A3776"/>
    <w:rsid w:val="002B0117"/>
    <w:rsid w:val="002B0566"/>
    <w:rsid w:val="002B15BD"/>
    <w:rsid w:val="002B1D9A"/>
    <w:rsid w:val="002B1EA5"/>
    <w:rsid w:val="002C0236"/>
    <w:rsid w:val="002C0375"/>
    <w:rsid w:val="002C389E"/>
    <w:rsid w:val="002C545F"/>
    <w:rsid w:val="002C64AF"/>
    <w:rsid w:val="002C718E"/>
    <w:rsid w:val="002D058C"/>
    <w:rsid w:val="002D2677"/>
    <w:rsid w:val="002D5185"/>
    <w:rsid w:val="002D54C3"/>
    <w:rsid w:val="002D6C4C"/>
    <w:rsid w:val="002D6E53"/>
    <w:rsid w:val="002E0481"/>
    <w:rsid w:val="002E19C9"/>
    <w:rsid w:val="002E1ACB"/>
    <w:rsid w:val="002E3FB3"/>
    <w:rsid w:val="002E50C4"/>
    <w:rsid w:val="002E53DE"/>
    <w:rsid w:val="002E5B8F"/>
    <w:rsid w:val="002E6F0E"/>
    <w:rsid w:val="002F253F"/>
    <w:rsid w:val="002F2F54"/>
    <w:rsid w:val="002F6AB2"/>
    <w:rsid w:val="002F6B80"/>
    <w:rsid w:val="00300947"/>
    <w:rsid w:val="00300B3A"/>
    <w:rsid w:val="00301253"/>
    <w:rsid w:val="0030429F"/>
    <w:rsid w:val="00307A7C"/>
    <w:rsid w:val="003165E1"/>
    <w:rsid w:val="00316A52"/>
    <w:rsid w:val="0032223D"/>
    <w:rsid w:val="003224D0"/>
    <w:rsid w:val="003236DC"/>
    <w:rsid w:val="00325A56"/>
    <w:rsid w:val="003277B2"/>
    <w:rsid w:val="0033062F"/>
    <w:rsid w:val="003314B7"/>
    <w:rsid w:val="003317DE"/>
    <w:rsid w:val="00333A2A"/>
    <w:rsid w:val="00337A74"/>
    <w:rsid w:val="0034020D"/>
    <w:rsid w:val="00340980"/>
    <w:rsid w:val="00341710"/>
    <w:rsid w:val="00342B86"/>
    <w:rsid w:val="0035009C"/>
    <w:rsid w:val="00350EC5"/>
    <w:rsid w:val="00352D27"/>
    <w:rsid w:val="00355F0B"/>
    <w:rsid w:val="00355F24"/>
    <w:rsid w:val="003572E2"/>
    <w:rsid w:val="00360184"/>
    <w:rsid w:val="00361E72"/>
    <w:rsid w:val="0036278F"/>
    <w:rsid w:val="00362E49"/>
    <w:rsid w:val="0036377E"/>
    <w:rsid w:val="00365464"/>
    <w:rsid w:val="003660AE"/>
    <w:rsid w:val="003667D1"/>
    <w:rsid w:val="00367C08"/>
    <w:rsid w:val="00367E33"/>
    <w:rsid w:val="0037358F"/>
    <w:rsid w:val="0037509C"/>
    <w:rsid w:val="00375E57"/>
    <w:rsid w:val="00377E9F"/>
    <w:rsid w:val="00387ED3"/>
    <w:rsid w:val="0039069F"/>
    <w:rsid w:val="00392B40"/>
    <w:rsid w:val="003942F8"/>
    <w:rsid w:val="00397BB9"/>
    <w:rsid w:val="003A0DE3"/>
    <w:rsid w:val="003A13D1"/>
    <w:rsid w:val="003A1717"/>
    <w:rsid w:val="003A1779"/>
    <w:rsid w:val="003A2FF2"/>
    <w:rsid w:val="003A3DBD"/>
    <w:rsid w:val="003A7808"/>
    <w:rsid w:val="003B1B07"/>
    <w:rsid w:val="003B28F1"/>
    <w:rsid w:val="003B4FB6"/>
    <w:rsid w:val="003B560A"/>
    <w:rsid w:val="003B69E7"/>
    <w:rsid w:val="003C0F74"/>
    <w:rsid w:val="003C11D5"/>
    <w:rsid w:val="003C3D44"/>
    <w:rsid w:val="003C50FE"/>
    <w:rsid w:val="003C7280"/>
    <w:rsid w:val="003C73E6"/>
    <w:rsid w:val="003C7E74"/>
    <w:rsid w:val="003D22A1"/>
    <w:rsid w:val="003D23E1"/>
    <w:rsid w:val="003D3F85"/>
    <w:rsid w:val="003D4971"/>
    <w:rsid w:val="003D6F97"/>
    <w:rsid w:val="003E0844"/>
    <w:rsid w:val="003E0E40"/>
    <w:rsid w:val="003E235D"/>
    <w:rsid w:val="003E797B"/>
    <w:rsid w:val="003F02E8"/>
    <w:rsid w:val="003F4127"/>
    <w:rsid w:val="004061AD"/>
    <w:rsid w:val="004117C5"/>
    <w:rsid w:val="00415F37"/>
    <w:rsid w:val="004251E1"/>
    <w:rsid w:val="004262B7"/>
    <w:rsid w:val="00431E8D"/>
    <w:rsid w:val="00436368"/>
    <w:rsid w:val="004410A5"/>
    <w:rsid w:val="00442919"/>
    <w:rsid w:val="00442F8A"/>
    <w:rsid w:val="00444CBA"/>
    <w:rsid w:val="004471F7"/>
    <w:rsid w:val="00452427"/>
    <w:rsid w:val="00456998"/>
    <w:rsid w:val="00457AE7"/>
    <w:rsid w:val="00461C94"/>
    <w:rsid w:val="00466241"/>
    <w:rsid w:val="00471F39"/>
    <w:rsid w:val="00472DB2"/>
    <w:rsid w:val="00475BC0"/>
    <w:rsid w:val="00481283"/>
    <w:rsid w:val="00481C6D"/>
    <w:rsid w:val="00483764"/>
    <w:rsid w:val="00485AD1"/>
    <w:rsid w:val="00487600"/>
    <w:rsid w:val="00487A0F"/>
    <w:rsid w:val="00490223"/>
    <w:rsid w:val="00495921"/>
    <w:rsid w:val="0049791A"/>
    <w:rsid w:val="00497DF9"/>
    <w:rsid w:val="004A1EEE"/>
    <w:rsid w:val="004A33D3"/>
    <w:rsid w:val="004A40ED"/>
    <w:rsid w:val="004A4FF4"/>
    <w:rsid w:val="004A51AE"/>
    <w:rsid w:val="004A652C"/>
    <w:rsid w:val="004B0028"/>
    <w:rsid w:val="004B02AD"/>
    <w:rsid w:val="004B1E54"/>
    <w:rsid w:val="004B265E"/>
    <w:rsid w:val="004B2E98"/>
    <w:rsid w:val="004B3077"/>
    <w:rsid w:val="004B395D"/>
    <w:rsid w:val="004C457F"/>
    <w:rsid w:val="004D1D96"/>
    <w:rsid w:val="004D5D4F"/>
    <w:rsid w:val="004D7756"/>
    <w:rsid w:val="004E1DCE"/>
    <w:rsid w:val="004E289D"/>
    <w:rsid w:val="004F1B05"/>
    <w:rsid w:val="004F27E4"/>
    <w:rsid w:val="004F43B9"/>
    <w:rsid w:val="004F7AA9"/>
    <w:rsid w:val="00501ACA"/>
    <w:rsid w:val="0050201C"/>
    <w:rsid w:val="00504F67"/>
    <w:rsid w:val="00507B20"/>
    <w:rsid w:val="00510415"/>
    <w:rsid w:val="0051277C"/>
    <w:rsid w:val="00513221"/>
    <w:rsid w:val="00513639"/>
    <w:rsid w:val="00515CE7"/>
    <w:rsid w:val="0052179B"/>
    <w:rsid w:val="00521A7C"/>
    <w:rsid w:val="00523068"/>
    <w:rsid w:val="00524E9A"/>
    <w:rsid w:val="005265D7"/>
    <w:rsid w:val="00526EB4"/>
    <w:rsid w:val="00530797"/>
    <w:rsid w:val="005315C2"/>
    <w:rsid w:val="00534322"/>
    <w:rsid w:val="00534B18"/>
    <w:rsid w:val="00537BF7"/>
    <w:rsid w:val="00543D59"/>
    <w:rsid w:val="005452AF"/>
    <w:rsid w:val="00547F6B"/>
    <w:rsid w:val="00553349"/>
    <w:rsid w:val="00556BB7"/>
    <w:rsid w:val="00557C0D"/>
    <w:rsid w:val="00561C95"/>
    <w:rsid w:val="005628E3"/>
    <w:rsid w:val="0056663F"/>
    <w:rsid w:val="00571788"/>
    <w:rsid w:val="00572B92"/>
    <w:rsid w:val="00574CB9"/>
    <w:rsid w:val="00583342"/>
    <w:rsid w:val="005834D5"/>
    <w:rsid w:val="0058648B"/>
    <w:rsid w:val="00587DB7"/>
    <w:rsid w:val="0059102D"/>
    <w:rsid w:val="00591CC1"/>
    <w:rsid w:val="00596152"/>
    <w:rsid w:val="00596892"/>
    <w:rsid w:val="00597562"/>
    <w:rsid w:val="00597E5E"/>
    <w:rsid w:val="005A2A99"/>
    <w:rsid w:val="005A3D65"/>
    <w:rsid w:val="005A5790"/>
    <w:rsid w:val="005A74D0"/>
    <w:rsid w:val="005A7F64"/>
    <w:rsid w:val="005B010E"/>
    <w:rsid w:val="005B2CAD"/>
    <w:rsid w:val="005B3576"/>
    <w:rsid w:val="005B3677"/>
    <w:rsid w:val="005B6903"/>
    <w:rsid w:val="005B6FDF"/>
    <w:rsid w:val="005C2035"/>
    <w:rsid w:val="005D17CF"/>
    <w:rsid w:val="005D33F1"/>
    <w:rsid w:val="005D3765"/>
    <w:rsid w:val="005E0275"/>
    <w:rsid w:val="005E02CB"/>
    <w:rsid w:val="005E0A1C"/>
    <w:rsid w:val="005E0C50"/>
    <w:rsid w:val="005E2249"/>
    <w:rsid w:val="005E3400"/>
    <w:rsid w:val="005E4670"/>
    <w:rsid w:val="005E61D9"/>
    <w:rsid w:val="005F1BFF"/>
    <w:rsid w:val="005F2B89"/>
    <w:rsid w:val="005F76F1"/>
    <w:rsid w:val="005F78C7"/>
    <w:rsid w:val="006017D4"/>
    <w:rsid w:val="00601936"/>
    <w:rsid w:val="00605312"/>
    <w:rsid w:val="006122E4"/>
    <w:rsid w:val="00612ED7"/>
    <w:rsid w:val="006132DB"/>
    <w:rsid w:val="0061468E"/>
    <w:rsid w:val="00614A89"/>
    <w:rsid w:val="0061520A"/>
    <w:rsid w:val="00617FEB"/>
    <w:rsid w:val="00620010"/>
    <w:rsid w:val="0062156A"/>
    <w:rsid w:val="0062239C"/>
    <w:rsid w:val="00630BB4"/>
    <w:rsid w:val="00632BD2"/>
    <w:rsid w:val="006336E7"/>
    <w:rsid w:val="006354A8"/>
    <w:rsid w:val="006354D8"/>
    <w:rsid w:val="00642D40"/>
    <w:rsid w:val="006443BD"/>
    <w:rsid w:val="00644FE1"/>
    <w:rsid w:val="0064521D"/>
    <w:rsid w:val="006465DB"/>
    <w:rsid w:val="0065061B"/>
    <w:rsid w:val="00652180"/>
    <w:rsid w:val="006521A6"/>
    <w:rsid w:val="00653E48"/>
    <w:rsid w:val="006543B6"/>
    <w:rsid w:val="00656F09"/>
    <w:rsid w:val="00661656"/>
    <w:rsid w:val="006616EF"/>
    <w:rsid w:val="00662ECA"/>
    <w:rsid w:val="00664C75"/>
    <w:rsid w:val="00666F7F"/>
    <w:rsid w:val="00670347"/>
    <w:rsid w:val="00670AA2"/>
    <w:rsid w:val="00674F23"/>
    <w:rsid w:val="00680687"/>
    <w:rsid w:val="006813C2"/>
    <w:rsid w:val="00686AFC"/>
    <w:rsid w:val="006870DF"/>
    <w:rsid w:val="00692B85"/>
    <w:rsid w:val="00693EC9"/>
    <w:rsid w:val="00694FCD"/>
    <w:rsid w:val="006A1432"/>
    <w:rsid w:val="006A6FEE"/>
    <w:rsid w:val="006A7337"/>
    <w:rsid w:val="006B0735"/>
    <w:rsid w:val="006B0D9A"/>
    <w:rsid w:val="006B0E97"/>
    <w:rsid w:val="006B25E0"/>
    <w:rsid w:val="006B2C30"/>
    <w:rsid w:val="006B5CA0"/>
    <w:rsid w:val="006C5F4E"/>
    <w:rsid w:val="006D103C"/>
    <w:rsid w:val="006D1762"/>
    <w:rsid w:val="006D2391"/>
    <w:rsid w:val="006D282D"/>
    <w:rsid w:val="006D4ED5"/>
    <w:rsid w:val="006D5BE3"/>
    <w:rsid w:val="006E3B0E"/>
    <w:rsid w:val="006E53F9"/>
    <w:rsid w:val="006E6468"/>
    <w:rsid w:val="006E6631"/>
    <w:rsid w:val="006F152A"/>
    <w:rsid w:val="006F1F45"/>
    <w:rsid w:val="006F2ED5"/>
    <w:rsid w:val="006F4713"/>
    <w:rsid w:val="006F5399"/>
    <w:rsid w:val="006F5A86"/>
    <w:rsid w:val="006F5E95"/>
    <w:rsid w:val="006F6CE5"/>
    <w:rsid w:val="007001BA"/>
    <w:rsid w:val="00700204"/>
    <w:rsid w:val="007003F6"/>
    <w:rsid w:val="007010B7"/>
    <w:rsid w:val="0070156B"/>
    <w:rsid w:val="00703615"/>
    <w:rsid w:val="00703768"/>
    <w:rsid w:val="0070444A"/>
    <w:rsid w:val="00705B28"/>
    <w:rsid w:val="00705D0F"/>
    <w:rsid w:val="00705FB7"/>
    <w:rsid w:val="007076B0"/>
    <w:rsid w:val="00710248"/>
    <w:rsid w:val="0071406B"/>
    <w:rsid w:val="0071590A"/>
    <w:rsid w:val="007167F3"/>
    <w:rsid w:val="00720A28"/>
    <w:rsid w:val="00721FC6"/>
    <w:rsid w:val="007227B0"/>
    <w:rsid w:val="00724FC3"/>
    <w:rsid w:val="0072611D"/>
    <w:rsid w:val="00726C92"/>
    <w:rsid w:val="00727457"/>
    <w:rsid w:val="007279E5"/>
    <w:rsid w:val="00730BA8"/>
    <w:rsid w:val="00731683"/>
    <w:rsid w:val="00733173"/>
    <w:rsid w:val="00735AF6"/>
    <w:rsid w:val="00751777"/>
    <w:rsid w:val="007527F5"/>
    <w:rsid w:val="0075325D"/>
    <w:rsid w:val="00753DA5"/>
    <w:rsid w:val="00753F78"/>
    <w:rsid w:val="007558AF"/>
    <w:rsid w:val="00757732"/>
    <w:rsid w:val="00762591"/>
    <w:rsid w:val="0076433A"/>
    <w:rsid w:val="00766B79"/>
    <w:rsid w:val="00770D6E"/>
    <w:rsid w:val="007717BA"/>
    <w:rsid w:val="00771847"/>
    <w:rsid w:val="00772053"/>
    <w:rsid w:val="007762A8"/>
    <w:rsid w:val="00780173"/>
    <w:rsid w:val="00783FB9"/>
    <w:rsid w:val="00784C67"/>
    <w:rsid w:val="00785DC8"/>
    <w:rsid w:val="007867E4"/>
    <w:rsid w:val="00786C28"/>
    <w:rsid w:val="00787BAF"/>
    <w:rsid w:val="00792612"/>
    <w:rsid w:val="00794C67"/>
    <w:rsid w:val="00795CAC"/>
    <w:rsid w:val="00797B41"/>
    <w:rsid w:val="007A0AFB"/>
    <w:rsid w:val="007A0F8E"/>
    <w:rsid w:val="007A1B1B"/>
    <w:rsid w:val="007A4E9B"/>
    <w:rsid w:val="007B6AAD"/>
    <w:rsid w:val="007C1036"/>
    <w:rsid w:val="007C18B5"/>
    <w:rsid w:val="007C1AD9"/>
    <w:rsid w:val="007C28EA"/>
    <w:rsid w:val="007D1D40"/>
    <w:rsid w:val="007D3223"/>
    <w:rsid w:val="007D38F5"/>
    <w:rsid w:val="007D78D9"/>
    <w:rsid w:val="007E1A3C"/>
    <w:rsid w:val="007E2B10"/>
    <w:rsid w:val="007E4014"/>
    <w:rsid w:val="007E60DF"/>
    <w:rsid w:val="007F0359"/>
    <w:rsid w:val="007F2200"/>
    <w:rsid w:val="00800012"/>
    <w:rsid w:val="00801945"/>
    <w:rsid w:val="00802588"/>
    <w:rsid w:val="008049AE"/>
    <w:rsid w:val="00810527"/>
    <w:rsid w:val="0081076F"/>
    <w:rsid w:val="00811FEE"/>
    <w:rsid w:val="0081232B"/>
    <w:rsid w:val="00816FB9"/>
    <w:rsid w:val="00821170"/>
    <w:rsid w:val="008212BA"/>
    <w:rsid w:val="00821ACF"/>
    <w:rsid w:val="0082234F"/>
    <w:rsid w:val="00825338"/>
    <w:rsid w:val="00825761"/>
    <w:rsid w:val="00826900"/>
    <w:rsid w:val="0083704F"/>
    <w:rsid w:val="00840B61"/>
    <w:rsid w:val="00840DED"/>
    <w:rsid w:val="00841369"/>
    <w:rsid w:val="00843E18"/>
    <w:rsid w:val="00844004"/>
    <w:rsid w:val="0084401F"/>
    <w:rsid w:val="0085083D"/>
    <w:rsid w:val="00856590"/>
    <w:rsid w:val="0086123B"/>
    <w:rsid w:val="0086242D"/>
    <w:rsid w:val="00863915"/>
    <w:rsid w:val="00864D17"/>
    <w:rsid w:val="008655F7"/>
    <w:rsid w:val="00867590"/>
    <w:rsid w:val="008678E0"/>
    <w:rsid w:val="0087242F"/>
    <w:rsid w:val="00873F7F"/>
    <w:rsid w:val="00881EC2"/>
    <w:rsid w:val="00883A2B"/>
    <w:rsid w:val="008855F6"/>
    <w:rsid w:val="00890293"/>
    <w:rsid w:val="008921C4"/>
    <w:rsid w:val="0089395D"/>
    <w:rsid w:val="00893BEF"/>
    <w:rsid w:val="00895422"/>
    <w:rsid w:val="00896445"/>
    <w:rsid w:val="00897EBF"/>
    <w:rsid w:val="008A082B"/>
    <w:rsid w:val="008A2223"/>
    <w:rsid w:val="008A28BE"/>
    <w:rsid w:val="008A3648"/>
    <w:rsid w:val="008A3E41"/>
    <w:rsid w:val="008A71A0"/>
    <w:rsid w:val="008A71DE"/>
    <w:rsid w:val="008A752B"/>
    <w:rsid w:val="008A7BCD"/>
    <w:rsid w:val="008B0766"/>
    <w:rsid w:val="008B0D1C"/>
    <w:rsid w:val="008B1502"/>
    <w:rsid w:val="008B5581"/>
    <w:rsid w:val="008C0D4F"/>
    <w:rsid w:val="008C4A4B"/>
    <w:rsid w:val="008C7F94"/>
    <w:rsid w:val="008D1131"/>
    <w:rsid w:val="008D4BCA"/>
    <w:rsid w:val="008D5118"/>
    <w:rsid w:val="008D64C8"/>
    <w:rsid w:val="008D764C"/>
    <w:rsid w:val="008E6BC3"/>
    <w:rsid w:val="008E73AC"/>
    <w:rsid w:val="008F127C"/>
    <w:rsid w:val="008F7E07"/>
    <w:rsid w:val="0090033A"/>
    <w:rsid w:val="00903CC2"/>
    <w:rsid w:val="009049D8"/>
    <w:rsid w:val="00906A75"/>
    <w:rsid w:val="00916C09"/>
    <w:rsid w:val="00917E4B"/>
    <w:rsid w:val="00920F83"/>
    <w:rsid w:val="00922810"/>
    <w:rsid w:val="00923F89"/>
    <w:rsid w:val="009264BA"/>
    <w:rsid w:val="009267AA"/>
    <w:rsid w:val="00930B99"/>
    <w:rsid w:val="009324E2"/>
    <w:rsid w:val="00936F54"/>
    <w:rsid w:val="00942E43"/>
    <w:rsid w:val="00943120"/>
    <w:rsid w:val="00943EC3"/>
    <w:rsid w:val="00945AB7"/>
    <w:rsid w:val="00945BD2"/>
    <w:rsid w:val="009462F7"/>
    <w:rsid w:val="00947C6B"/>
    <w:rsid w:val="009506F1"/>
    <w:rsid w:val="0095108D"/>
    <w:rsid w:val="00957969"/>
    <w:rsid w:val="0096346F"/>
    <w:rsid w:val="0097052E"/>
    <w:rsid w:val="00974128"/>
    <w:rsid w:val="00974445"/>
    <w:rsid w:val="009750EE"/>
    <w:rsid w:val="00977014"/>
    <w:rsid w:val="00977CE5"/>
    <w:rsid w:val="00984095"/>
    <w:rsid w:val="00984F4A"/>
    <w:rsid w:val="009869B3"/>
    <w:rsid w:val="00986EDB"/>
    <w:rsid w:val="00991674"/>
    <w:rsid w:val="00991CE2"/>
    <w:rsid w:val="00992C31"/>
    <w:rsid w:val="00997B84"/>
    <w:rsid w:val="009A04D4"/>
    <w:rsid w:val="009A0855"/>
    <w:rsid w:val="009A3CE9"/>
    <w:rsid w:val="009A52A3"/>
    <w:rsid w:val="009B1225"/>
    <w:rsid w:val="009B2295"/>
    <w:rsid w:val="009B5446"/>
    <w:rsid w:val="009B645A"/>
    <w:rsid w:val="009C1AC7"/>
    <w:rsid w:val="009C2C0E"/>
    <w:rsid w:val="009C365B"/>
    <w:rsid w:val="009C3776"/>
    <w:rsid w:val="009C5B12"/>
    <w:rsid w:val="009D0324"/>
    <w:rsid w:val="009D124C"/>
    <w:rsid w:val="009D148F"/>
    <w:rsid w:val="009D726F"/>
    <w:rsid w:val="009D7DE9"/>
    <w:rsid w:val="009E3C2C"/>
    <w:rsid w:val="009E4ED9"/>
    <w:rsid w:val="009E58D2"/>
    <w:rsid w:val="009F1C0F"/>
    <w:rsid w:val="009F4AA5"/>
    <w:rsid w:val="00A002D8"/>
    <w:rsid w:val="00A00736"/>
    <w:rsid w:val="00A028DC"/>
    <w:rsid w:val="00A0403D"/>
    <w:rsid w:val="00A05711"/>
    <w:rsid w:val="00A10C6E"/>
    <w:rsid w:val="00A12F1D"/>
    <w:rsid w:val="00A13603"/>
    <w:rsid w:val="00A155AD"/>
    <w:rsid w:val="00A20B93"/>
    <w:rsid w:val="00A2369F"/>
    <w:rsid w:val="00A24298"/>
    <w:rsid w:val="00A257A2"/>
    <w:rsid w:val="00A268FE"/>
    <w:rsid w:val="00A30388"/>
    <w:rsid w:val="00A3093A"/>
    <w:rsid w:val="00A32D06"/>
    <w:rsid w:val="00A35663"/>
    <w:rsid w:val="00A379E1"/>
    <w:rsid w:val="00A40EC2"/>
    <w:rsid w:val="00A4379C"/>
    <w:rsid w:val="00A439AA"/>
    <w:rsid w:val="00A439BD"/>
    <w:rsid w:val="00A44399"/>
    <w:rsid w:val="00A44AFC"/>
    <w:rsid w:val="00A4526B"/>
    <w:rsid w:val="00A4683C"/>
    <w:rsid w:val="00A503C8"/>
    <w:rsid w:val="00A50FC4"/>
    <w:rsid w:val="00A52E6A"/>
    <w:rsid w:val="00A6196E"/>
    <w:rsid w:val="00A64847"/>
    <w:rsid w:val="00A70A74"/>
    <w:rsid w:val="00A712EB"/>
    <w:rsid w:val="00A72939"/>
    <w:rsid w:val="00A7310A"/>
    <w:rsid w:val="00A739BC"/>
    <w:rsid w:val="00A74942"/>
    <w:rsid w:val="00A749B1"/>
    <w:rsid w:val="00A7561C"/>
    <w:rsid w:val="00A86921"/>
    <w:rsid w:val="00A86AF4"/>
    <w:rsid w:val="00A91C0F"/>
    <w:rsid w:val="00A91C94"/>
    <w:rsid w:val="00A9223E"/>
    <w:rsid w:val="00A95820"/>
    <w:rsid w:val="00A966A8"/>
    <w:rsid w:val="00AA2B6B"/>
    <w:rsid w:val="00AA2E59"/>
    <w:rsid w:val="00AA3577"/>
    <w:rsid w:val="00AA6937"/>
    <w:rsid w:val="00AA74B0"/>
    <w:rsid w:val="00AA7A13"/>
    <w:rsid w:val="00AB0EC1"/>
    <w:rsid w:val="00AB13A6"/>
    <w:rsid w:val="00AB2518"/>
    <w:rsid w:val="00AB4259"/>
    <w:rsid w:val="00AB5F88"/>
    <w:rsid w:val="00AB64AE"/>
    <w:rsid w:val="00AD0524"/>
    <w:rsid w:val="00AD1F3F"/>
    <w:rsid w:val="00AD3851"/>
    <w:rsid w:val="00AD744E"/>
    <w:rsid w:val="00AD755F"/>
    <w:rsid w:val="00AE1181"/>
    <w:rsid w:val="00AE635C"/>
    <w:rsid w:val="00AE6783"/>
    <w:rsid w:val="00AE7162"/>
    <w:rsid w:val="00AF0BBE"/>
    <w:rsid w:val="00AF123B"/>
    <w:rsid w:val="00AF2CDF"/>
    <w:rsid w:val="00AF3445"/>
    <w:rsid w:val="00AF56FD"/>
    <w:rsid w:val="00AF7F87"/>
    <w:rsid w:val="00B01C0B"/>
    <w:rsid w:val="00B06CA4"/>
    <w:rsid w:val="00B06D13"/>
    <w:rsid w:val="00B0733C"/>
    <w:rsid w:val="00B1055A"/>
    <w:rsid w:val="00B11301"/>
    <w:rsid w:val="00B12D01"/>
    <w:rsid w:val="00B13626"/>
    <w:rsid w:val="00B163F1"/>
    <w:rsid w:val="00B200D5"/>
    <w:rsid w:val="00B2093C"/>
    <w:rsid w:val="00B20E41"/>
    <w:rsid w:val="00B21363"/>
    <w:rsid w:val="00B24586"/>
    <w:rsid w:val="00B27B90"/>
    <w:rsid w:val="00B30459"/>
    <w:rsid w:val="00B33C57"/>
    <w:rsid w:val="00B33D40"/>
    <w:rsid w:val="00B406C6"/>
    <w:rsid w:val="00B447ED"/>
    <w:rsid w:val="00B44CAA"/>
    <w:rsid w:val="00B508BC"/>
    <w:rsid w:val="00B50DD0"/>
    <w:rsid w:val="00B5188B"/>
    <w:rsid w:val="00B61989"/>
    <w:rsid w:val="00B61A18"/>
    <w:rsid w:val="00B66AC2"/>
    <w:rsid w:val="00B717B5"/>
    <w:rsid w:val="00B71BF9"/>
    <w:rsid w:val="00B721DB"/>
    <w:rsid w:val="00B72DD5"/>
    <w:rsid w:val="00B801DB"/>
    <w:rsid w:val="00B80298"/>
    <w:rsid w:val="00B834D2"/>
    <w:rsid w:val="00B8776B"/>
    <w:rsid w:val="00B87FAD"/>
    <w:rsid w:val="00B93D5A"/>
    <w:rsid w:val="00B95CC0"/>
    <w:rsid w:val="00B95F19"/>
    <w:rsid w:val="00B95F2D"/>
    <w:rsid w:val="00B9742D"/>
    <w:rsid w:val="00B97BB5"/>
    <w:rsid w:val="00BA02CC"/>
    <w:rsid w:val="00BA2CED"/>
    <w:rsid w:val="00BA3305"/>
    <w:rsid w:val="00BA47CD"/>
    <w:rsid w:val="00BA583C"/>
    <w:rsid w:val="00BB1B64"/>
    <w:rsid w:val="00BB1E6A"/>
    <w:rsid w:val="00BB396C"/>
    <w:rsid w:val="00BB611D"/>
    <w:rsid w:val="00BB7D23"/>
    <w:rsid w:val="00BC1C9E"/>
    <w:rsid w:val="00BC227F"/>
    <w:rsid w:val="00BC4F34"/>
    <w:rsid w:val="00BC696D"/>
    <w:rsid w:val="00BD24F1"/>
    <w:rsid w:val="00BD3F76"/>
    <w:rsid w:val="00BD5113"/>
    <w:rsid w:val="00BE23B3"/>
    <w:rsid w:val="00BE23F1"/>
    <w:rsid w:val="00BE3123"/>
    <w:rsid w:val="00BE49C7"/>
    <w:rsid w:val="00BE52FC"/>
    <w:rsid w:val="00BE5598"/>
    <w:rsid w:val="00BE5961"/>
    <w:rsid w:val="00BF1FBC"/>
    <w:rsid w:val="00C05EE7"/>
    <w:rsid w:val="00C06E6D"/>
    <w:rsid w:val="00C078D6"/>
    <w:rsid w:val="00C15382"/>
    <w:rsid w:val="00C16D59"/>
    <w:rsid w:val="00C17952"/>
    <w:rsid w:val="00C2503F"/>
    <w:rsid w:val="00C26F3F"/>
    <w:rsid w:val="00C32000"/>
    <w:rsid w:val="00C32509"/>
    <w:rsid w:val="00C34344"/>
    <w:rsid w:val="00C34508"/>
    <w:rsid w:val="00C36F0B"/>
    <w:rsid w:val="00C42E18"/>
    <w:rsid w:val="00C4382A"/>
    <w:rsid w:val="00C43D71"/>
    <w:rsid w:val="00C446AE"/>
    <w:rsid w:val="00C47BB8"/>
    <w:rsid w:val="00C47F9C"/>
    <w:rsid w:val="00C52893"/>
    <w:rsid w:val="00C52ECC"/>
    <w:rsid w:val="00C57E5D"/>
    <w:rsid w:val="00C622D6"/>
    <w:rsid w:val="00C625E1"/>
    <w:rsid w:val="00C632C1"/>
    <w:rsid w:val="00C63E21"/>
    <w:rsid w:val="00C655CF"/>
    <w:rsid w:val="00C66B4D"/>
    <w:rsid w:val="00C671E0"/>
    <w:rsid w:val="00C700E8"/>
    <w:rsid w:val="00C70365"/>
    <w:rsid w:val="00C71DB9"/>
    <w:rsid w:val="00C72A59"/>
    <w:rsid w:val="00C743C8"/>
    <w:rsid w:val="00C75272"/>
    <w:rsid w:val="00C769C2"/>
    <w:rsid w:val="00C85EF4"/>
    <w:rsid w:val="00C9022D"/>
    <w:rsid w:val="00C91EC9"/>
    <w:rsid w:val="00C926D2"/>
    <w:rsid w:val="00C941FE"/>
    <w:rsid w:val="00C95843"/>
    <w:rsid w:val="00C95C89"/>
    <w:rsid w:val="00C95FD5"/>
    <w:rsid w:val="00C963FA"/>
    <w:rsid w:val="00C96A35"/>
    <w:rsid w:val="00C9718D"/>
    <w:rsid w:val="00CA189A"/>
    <w:rsid w:val="00CA3A0B"/>
    <w:rsid w:val="00CA5DBB"/>
    <w:rsid w:val="00CA62D6"/>
    <w:rsid w:val="00CB1A41"/>
    <w:rsid w:val="00CB5E8E"/>
    <w:rsid w:val="00CB615C"/>
    <w:rsid w:val="00CB640F"/>
    <w:rsid w:val="00CB7704"/>
    <w:rsid w:val="00CC0147"/>
    <w:rsid w:val="00CC07DC"/>
    <w:rsid w:val="00CC4FD3"/>
    <w:rsid w:val="00CC6643"/>
    <w:rsid w:val="00CC73AD"/>
    <w:rsid w:val="00CD17E3"/>
    <w:rsid w:val="00CD3BFB"/>
    <w:rsid w:val="00CD5A9B"/>
    <w:rsid w:val="00CD6039"/>
    <w:rsid w:val="00CD76D4"/>
    <w:rsid w:val="00CD7F04"/>
    <w:rsid w:val="00CE1C9F"/>
    <w:rsid w:val="00CE2A9E"/>
    <w:rsid w:val="00CE4CB2"/>
    <w:rsid w:val="00CE5D17"/>
    <w:rsid w:val="00CE6AC3"/>
    <w:rsid w:val="00CE7923"/>
    <w:rsid w:val="00CF55C0"/>
    <w:rsid w:val="00D046FE"/>
    <w:rsid w:val="00D047E4"/>
    <w:rsid w:val="00D054A9"/>
    <w:rsid w:val="00D062BC"/>
    <w:rsid w:val="00D067F1"/>
    <w:rsid w:val="00D06AA8"/>
    <w:rsid w:val="00D10EC2"/>
    <w:rsid w:val="00D11DB3"/>
    <w:rsid w:val="00D126D4"/>
    <w:rsid w:val="00D12898"/>
    <w:rsid w:val="00D1604A"/>
    <w:rsid w:val="00D16EE7"/>
    <w:rsid w:val="00D20B6B"/>
    <w:rsid w:val="00D22FE4"/>
    <w:rsid w:val="00D2395A"/>
    <w:rsid w:val="00D23DBB"/>
    <w:rsid w:val="00D249C7"/>
    <w:rsid w:val="00D25BBD"/>
    <w:rsid w:val="00D263F8"/>
    <w:rsid w:val="00D26E50"/>
    <w:rsid w:val="00D30751"/>
    <w:rsid w:val="00D31824"/>
    <w:rsid w:val="00D370BD"/>
    <w:rsid w:val="00D40388"/>
    <w:rsid w:val="00D426F1"/>
    <w:rsid w:val="00D44305"/>
    <w:rsid w:val="00D47724"/>
    <w:rsid w:val="00D47A96"/>
    <w:rsid w:val="00D47ECF"/>
    <w:rsid w:val="00D52D34"/>
    <w:rsid w:val="00D53679"/>
    <w:rsid w:val="00D54FB7"/>
    <w:rsid w:val="00D561C6"/>
    <w:rsid w:val="00D579E7"/>
    <w:rsid w:val="00D60134"/>
    <w:rsid w:val="00D633CF"/>
    <w:rsid w:val="00D7092B"/>
    <w:rsid w:val="00D71BF0"/>
    <w:rsid w:val="00D73311"/>
    <w:rsid w:val="00D740C3"/>
    <w:rsid w:val="00D7591A"/>
    <w:rsid w:val="00D767D6"/>
    <w:rsid w:val="00D80900"/>
    <w:rsid w:val="00D82087"/>
    <w:rsid w:val="00D84238"/>
    <w:rsid w:val="00D843EE"/>
    <w:rsid w:val="00D8740A"/>
    <w:rsid w:val="00D878B9"/>
    <w:rsid w:val="00D903CC"/>
    <w:rsid w:val="00D92170"/>
    <w:rsid w:val="00DA4807"/>
    <w:rsid w:val="00DA75CC"/>
    <w:rsid w:val="00DA7B73"/>
    <w:rsid w:val="00DB3A61"/>
    <w:rsid w:val="00DB63A3"/>
    <w:rsid w:val="00DB670F"/>
    <w:rsid w:val="00DB765A"/>
    <w:rsid w:val="00DB7E0F"/>
    <w:rsid w:val="00DC03CA"/>
    <w:rsid w:val="00DC10A5"/>
    <w:rsid w:val="00DC1AF7"/>
    <w:rsid w:val="00DC2151"/>
    <w:rsid w:val="00DC4789"/>
    <w:rsid w:val="00DC5F42"/>
    <w:rsid w:val="00DD0812"/>
    <w:rsid w:val="00DD3348"/>
    <w:rsid w:val="00DD3D34"/>
    <w:rsid w:val="00DE15D0"/>
    <w:rsid w:val="00DE56BC"/>
    <w:rsid w:val="00DE7770"/>
    <w:rsid w:val="00DE77F1"/>
    <w:rsid w:val="00DF1BF1"/>
    <w:rsid w:val="00DF5418"/>
    <w:rsid w:val="00DF54A5"/>
    <w:rsid w:val="00DF5962"/>
    <w:rsid w:val="00DF6568"/>
    <w:rsid w:val="00E00D71"/>
    <w:rsid w:val="00E01094"/>
    <w:rsid w:val="00E01B23"/>
    <w:rsid w:val="00E03CDB"/>
    <w:rsid w:val="00E049B2"/>
    <w:rsid w:val="00E04E61"/>
    <w:rsid w:val="00E07D8F"/>
    <w:rsid w:val="00E07E76"/>
    <w:rsid w:val="00E1135B"/>
    <w:rsid w:val="00E14A13"/>
    <w:rsid w:val="00E17910"/>
    <w:rsid w:val="00E20048"/>
    <w:rsid w:val="00E20E95"/>
    <w:rsid w:val="00E26594"/>
    <w:rsid w:val="00E26BBA"/>
    <w:rsid w:val="00E27230"/>
    <w:rsid w:val="00E322A9"/>
    <w:rsid w:val="00E363E2"/>
    <w:rsid w:val="00E3706A"/>
    <w:rsid w:val="00E408A4"/>
    <w:rsid w:val="00E40D3A"/>
    <w:rsid w:val="00E41384"/>
    <w:rsid w:val="00E41DE9"/>
    <w:rsid w:val="00E421DB"/>
    <w:rsid w:val="00E47EC7"/>
    <w:rsid w:val="00E50122"/>
    <w:rsid w:val="00E52F6B"/>
    <w:rsid w:val="00E54411"/>
    <w:rsid w:val="00E57A52"/>
    <w:rsid w:val="00E62AC8"/>
    <w:rsid w:val="00E63863"/>
    <w:rsid w:val="00E670F7"/>
    <w:rsid w:val="00E74EEA"/>
    <w:rsid w:val="00E80617"/>
    <w:rsid w:val="00E806C3"/>
    <w:rsid w:val="00E822C0"/>
    <w:rsid w:val="00E82F7F"/>
    <w:rsid w:val="00E83896"/>
    <w:rsid w:val="00E86B03"/>
    <w:rsid w:val="00E87D4C"/>
    <w:rsid w:val="00E91A93"/>
    <w:rsid w:val="00E9784C"/>
    <w:rsid w:val="00E97DB7"/>
    <w:rsid w:val="00EA0AD8"/>
    <w:rsid w:val="00EA1DA2"/>
    <w:rsid w:val="00EA5198"/>
    <w:rsid w:val="00EA52EE"/>
    <w:rsid w:val="00EA68B8"/>
    <w:rsid w:val="00EA79D5"/>
    <w:rsid w:val="00EB26E9"/>
    <w:rsid w:val="00EB3A1D"/>
    <w:rsid w:val="00EB3CAA"/>
    <w:rsid w:val="00EB67D4"/>
    <w:rsid w:val="00EB7607"/>
    <w:rsid w:val="00EB7CA9"/>
    <w:rsid w:val="00EC028C"/>
    <w:rsid w:val="00EC0D6E"/>
    <w:rsid w:val="00EC3F40"/>
    <w:rsid w:val="00EC4FDF"/>
    <w:rsid w:val="00EC6EBB"/>
    <w:rsid w:val="00EC701C"/>
    <w:rsid w:val="00ED1636"/>
    <w:rsid w:val="00ED3523"/>
    <w:rsid w:val="00ED46C2"/>
    <w:rsid w:val="00ED52E6"/>
    <w:rsid w:val="00ED5966"/>
    <w:rsid w:val="00ED5B72"/>
    <w:rsid w:val="00EE32FB"/>
    <w:rsid w:val="00EE512E"/>
    <w:rsid w:val="00EE576E"/>
    <w:rsid w:val="00EE7A33"/>
    <w:rsid w:val="00EF1592"/>
    <w:rsid w:val="00EF2FD4"/>
    <w:rsid w:val="00EF33EC"/>
    <w:rsid w:val="00EF5896"/>
    <w:rsid w:val="00F001C1"/>
    <w:rsid w:val="00F118FF"/>
    <w:rsid w:val="00F12460"/>
    <w:rsid w:val="00F14CA1"/>
    <w:rsid w:val="00F1583B"/>
    <w:rsid w:val="00F22C7B"/>
    <w:rsid w:val="00F23E08"/>
    <w:rsid w:val="00F24B9E"/>
    <w:rsid w:val="00F27F10"/>
    <w:rsid w:val="00F301E3"/>
    <w:rsid w:val="00F31BDF"/>
    <w:rsid w:val="00F31D13"/>
    <w:rsid w:val="00F32853"/>
    <w:rsid w:val="00F33DDB"/>
    <w:rsid w:val="00F35A60"/>
    <w:rsid w:val="00F406E8"/>
    <w:rsid w:val="00F4096C"/>
    <w:rsid w:val="00F41131"/>
    <w:rsid w:val="00F41A43"/>
    <w:rsid w:val="00F43D47"/>
    <w:rsid w:val="00F44512"/>
    <w:rsid w:val="00F45C20"/>
    <w:rsid w:val="00F47482"/>
    <w:rsid w:val="00F50D69"/>
    <w:rsid w:val="00F51744"/>
    <w:rsid w:val="00F5381E"/>
    <w:rsid w:val="00F54F42"/>
    <w:rsid w:val="00F55228"/>
    <w:rsid w:val="00F60137"/>
    <w:rsid w:val="00F60BE8"/>
    <w:rsid w:val="00F6346B"/>
    <w:rsid w:val="00F636EF"/>
    <w:rsid w:val="00F6394F"/>
    <w:rsid w:val="00F652AF"/>
    <w:rsid w:val="00F664E7"/>
    <w:rsid w:val="00F7133B"/>
    <w:rsid w:val="00F76CCE"/>
    <w:rsid w:val="00F82195"/>
    <w:rsid w:val="00F84010"/>
    <w:rsid w:val="00F84EF7"/>
    <w:rsid w:val="00F8652F"/>
    <w:rsid w:val="00F9134B"/>
    <w:rsid w:val="00F93582"/>
    <w:rsid w:val="00F95746"/>
    <w:rsid w:val="00F9652F"/>
    <w:rsid w:val="00FA0441"/>
    <w:rsid w:val="00FA64F3"/>
    <w:rsid w:val="00FA7819"/>
    <w:rsid w:val="00FB01A4"/>
    <w:rsid w:val="00FB2124"/>
    <w:rsid w:val="00FB34A2"/>
    <w:rsid w:val="00FB5A23"/>
    <w:rsid w:val="00FB5AC3"/>
    <w:rsid w:val="00FB79FB"/>
    <w:rsid w:val="00FC084A"/>
    <w:rsid w:val="00FC25E8"/>
    <w:rsid w:val="00FC2F5A"/>
    <w:rsid w:val="00FC5D39"/>
    <w:rsid w:val="00FC61BC"/>
    <w:rsid w:val="00FD2801"/>
    <w:rsid w:val="00FD2DAA"/>
    <w:rsid w:val="00FD3ECA"/>
    <w:rsid w:val="00FD5A4B"/>
    <w:rsid w:val="00FE10F9"/>
    <w:rsid w:val="00FE320E"/>
    <w:rsid w:val="00FE3C74"/>
    <w:rsid w:val="00FE3DE8"/>
    <w:rsid w:val="00FE46EE"/>
    <w:rsid w:val="00FE73D5"/>
    <w:rsid w:val="00FF59CC"/>
    <w:rsid w:val="00FF5C5E"/>
    <w:rsid w:val="00FF73F1"/>
    <w:rsid w:val="00FF7898"/>
    <w:rsid w:val="00FF7A2D"/>
    <w:rsid w:val="0101237C"/>
    <w:rsid w:val="014021A9"/>
    <w:rsid w:val="01443A28"/>
    <w:rsid w:val="01560A8F"/>
    <w:rsid w:val="017D6485"/>
    <w:rsid w:val="017D7DA0"/>
    <w:rsid w:val="0184738A"/>
    <w:rsid w:val="0194674A"/>
    <w:rsid w:val="019A399C"/>
    <w:rsid w:val="019D455B"/>
    <w:rsid w:val="01AB27AB"/>
    <w:rsid w:val="01B6046E"/>
    <w:rsid w:val="01B6221C"/>
    <w:rsid w:val="01BD7A4F"/>
    <w:rsid w:val="01DE1665"/>
    <w:rsid w:val="01DF435E"/>
    <w:rsid w:val="021D391B"/>
    <w:rsid w:val="02722452"/>
    <w:rsid w:val="02783817"/>
    <w:rsid w:val="028137CD"/>
    <w:rsid w:val="02902A6D"/>
    <w:rsid w:val="02B02FEB"/>
    <w:rsid w:val="02DA5FC0"/>
    <w:rsid w:val="02E334E5"/>
    <w:rsid w:val="03004097"/>
    <w:rsid w:val="03161EC4"/>
    <w:rsid w:val="031C69F7"/>
    <w:rsid w:val="034321D6"/>
    <w:rsid w:val="03483348"/>
    <w:rsid w:val="034A5312"/>
    <w:rsid w:val="035C474C"/>
    <w:rsid w:val="036B7036"/>
    <w:rsid w:val="0385634A"/>
    <w:rsid w:val="0399352E"/>
    <w:rsid w:val="03C31051"/>
    <w:rsid w:val="03C926DB"/>
    <w:rsid w:val="03F84D6E"/>
    <w:rsid w:val="04131BA8"/>
    <w:rsid w:val="04357D70"/>
    <w:rsid w:val="04387860"/>
    <w:rsid w:val="04531FA4"/>
    <w:rsid w:val="04B94EA5"/>
    <w:rsid w:val="04BA0275"/>
    <w:rsid w:val="04BF763A"/>
    <w:rsid w:val="04CA439E"/>
    <w:rsid w:val="04DA79AB"/>
    <w:rsid w:val="051C683A"/>
    <w:rsid w:val="055E7FA4"/>
    <w:rsid w:val="05650CA4"/>
    <w:rsid w:val="0570536D"/>
    <w:rsid w:val="0575419C"/>
    <w:rsid w:val="05B60A3D"/>
    <w:rsid w:val="05D610DF"/>
    <w:rsid w:val="05E7509A"/>
    <w:rsid w:val="060043AE"/>
    <w:rsid w:val="0645240D"/>
    <w:rsid w:val="06707FDE"/>
    <w:rsid w:val="06C14056"/>
    <w:rsid w:val="06CC4290"/>
    <w:rsid w:val="06D73361"/>
    <w:rsid w:val="06F21F49"/>
    <w:rsid w:val="07017328"/>
    <w:rsid w:val="071C7E5F"/>
    <w:rsid w:val="07683FB9"/>
    <w:rsid w:val="078057A6"/>
    <w:rsid w:val="079F5C52"/>
    <w:rsid w:val="07B70A9C"/>
    <w:rsid w:val="07C1191B"/>
    <w:rsid w:val="07D50BE2"/>
    <w:rsid w:val="08110135"/>
    <w:rsid w:val="08291789"/>
    <w:rsid w:val="08314B57"/>
    <w:rsid w:val="084E1401"/>
    <w:rsid w:val="08767256"/>
    <w:rsid w:val="088766C0"/>
    <w:rsid w:val="088C017B"/>
    <w:rsid w:val="08940DDD"/>
    <w:rsid w:val="08AC25CB"/>
    <w:rsid w:val="08B576D2"/>
    <w:rsid w:val="09301968"/>
    <w:rsid w:val="094837C1"/>
    <w:rsid w:val="0955056D"/>
    <w:rsid w:val="09570303"/>
    <w:rsid w:val="09AB63DF"/>
    <w:rsid w:val="09BB6F19"/>
    <w:rsid w:val="09DB3EA5"/>
    <w:rsid w:val="09EA6F07"/>
    <w:rsid w:val="0A03677B"/>
    <w:rsid w:val="0A3E5960"/>
    <w:rsid w:val="0A6C0264"/>
    <w:rsid w:val="0A762E91"/>
    <w:rsid w:val="0AC154AC"/>
    <w:rsid w:val="0AC338BB"/>
    <w:rsid w:val="0ACC2AB1"/>
    <w:rsid w:val="0ACC485F"/>
    <w:rsid w:val="0AE61DC4"/>
    <w:rsid w:val="0AEA1189"/>
    <w:rsid w:val="0B28025E"/>
    <w:rsid w:val="0B2823DD"/>
    <w:rsid w:val="0B3A2110"/>
    <w:rsid w:val="0B61769D"/>
    <w:rsid w:val="0B7E325C"/>
    <w:rsid w:val="0B924A77"/>
    <w:rsid w:val="0C2661F0"/>
    <w:rsid w:val="0C393981"/>
    <w:rsid w:val="0C436DA2"/>
    <w:rsid w:val="0C542D5E"/>
    <w:rsid w:val="0C7C244D"/>
    <w:rsid w:val="0C8F0BC5"/>
    <w:rsid w:val="0C915D60"/>
    <w:rsid w:val="0CCF6888"/>
    <w:rsid w:val="0CD13905"/>
    <w:rsid w:val="0CD96FEB"/>
    <w:rsid w:val="0D162709"/>
    <w:rsid w:val="0D5116CB"/>
    <w:rsid w:val="0D554FDF"/>
    <w:rsid w:val="0D910C60"/>
    <w:rsid w:val="0DB56906"/>
    <w:rsid w:val="0DC42165"/>
    <w:rsid w:val="0DF869C5"/>
    <w:rsid w:val="0E2027AB"/>
    <w:rsid w:val="0E6C0832"/>
    <w:rsid w:val="0E7C59F6"/>
    <w:rsid w:val="0EB83A78"/>
    <w:rsid w:val="0EEC41D7"/>
    <w:rsid w:val="0F0F5662"/>
    <w:rsid w:val="0F5B4403"/>
    <w:rsid w:val="0F8B34A2"/>
    <w:rsid w:val="0F9A6FA2"/>
    <w:rsid w:val="0FB6788B"/>
    <w:rsid w:val="0FE8213B"/>
    <w:rsid w:val="0FFC3E38"/>
    <w:rsid w:val="101822F4"/>
    <w:rsid w:val="102B2027"/>
    <w:rsid w:val="10391935"/>
    <w:rsid w:val="10863702"/>
    <w:rsid w:val="10865ABA"/>
    <w:rsid w:val="10A9313E"/>
    <w:rsid w:val="10C85AC8"/>
    <w:rsid w:val="10D32C41"/>
    <w:rsid w:val="10F87EC9"/>
    <w:rsid w:val="10FB7C4C"/>
    <w:rsid w:val="111013A8"/>
    <w:rsid w:val="115B3DB8"/>
    <w:rsid w:val="11763776"/>
    <w:rsid w:val="11875983"/>
    <w:rsid w:val="119836EC"/>
    <w:rsid w:val="119A6215"/>
    <w:rsid w:val="121A67F7"/>
    <w:rsid w:val="123D3153"/>
    <w:rsid w:val="12555A81"/>
    <w:rsid w:val="125C25AB"/>
    <w:rsid w:val="12655CC4"/>
    <w:rsid w:val="12883761"/>
    <w:rsid w:val="12A1781C"/>
    <w:rsid w:val="12E51AFC"/>
    <w:rsid w:val="12E51F30"/>
    <w:rsid w:val="12E92410"/>
    <w:rsid w:val="1300779B"/>
    <w:rsid w:val="13281DD8"/>
    <w:rsid w:val="132964DD"/>
    <w:rsid w:val="138C46F2"/>
    <w:rsid w:val="13A9398F"/>
    <w:rsid w:val="13D749A0"/>
    <w:rsid w:val="13E1581F"/>
    <w:rsid w:val="13F0143A"/>
    <w:rsid w:val="1440148D"/>
    <w:rsid w:val="14445DAD"/>
    <w:rsid w:val="147A532B"/>
    <w:rsid w:val="14B05CE9"/>
    <w:rsid w:val="14D02DA7"/>
    <w:rsid w:val="14E05AD6"/>
    <w:rsid w:val="14E32ED1"/>
    <w:rsid w:val="14E44281"/>
    <w:rsid w:val="15095874"/>
    <w:rsid w:val="155A6C1B"/>
    <w:rsid w:val="156E43F4"/>
    <w:rsid w:val="156F0C08"/>
    <w:rsid w:val="156F29B6"/>
    <w:rsid w:val="157B57FF"/>
    <w:rsid w:val="15BA5E1A"/>
    <w:rsid w:val="15D01BB6"/>
    <w:rsid w:val="15F86E50"/>
    <w:rsid w:val="160222AF"/>
    <w:rsid w:val="16041350"/>
    <w:rsid w:val="16070E41"/>
    <w:rsid w:val="160B58F5"/>
    <w:rsid w:val="162B2D81"/>
    <w:rsid w:val="167E6AB6"/>
    <w:rsid w:val="16826719"/>
    <w:rsid w:val="168E3310"/>
    <w:rsid w:val="16B911A9"/>
    <w:rsid w:val="16E8049F"/>
    <w:rsid w:val="171750B3"/>
    <w:rsid w:val="1743234C"/>
    <w:rsid w:val="17623F6A"/>
    <w:rsid w:val="1770115B"/>
    <w:rsid w:val="177D03C2"/>
    <w:rsid w:val="17D10471"/>
    <w:rsid w:val="180A2E6A"/>
    <w:rsid w:val="182E4DAB"/>
    <w:rsid w:val="18316649"/>
    <w:rsid w:val="1840063A"/>
    <w:rsid w:val="18477C1A"/>
    <w:rsid w:val="187D7B07"/>
    <w:rsid w:val="189E3CDE"/>
    <w:rsid w:val="189F659D"/>
    <w:rsid w:val="18AE1A47"/>
    <w:rsid w:val="18B25327"/>
    <w:rsid w:val="18D806C7"/>
    <w:rsid w:val="18E45469"/>
    <w:rsid w:val="190E7338"/>
    <w:rsid w:val="1948078A"/>
    <w:rsid w:val="19E6347B"/>
    <w:rsid w:val="1A584361"/>
    <w:rsid w:val="1A8A3DEE"/>
    <w:rsid w:val="1A8B7A46"/>
    <w:rsid w:val="1AB33345"/>
    <w:rsid w:val="1AB66E72"/>
    <w:rsid w:val="1AD35795"/>
    <w:rsid w:val="1B004B39"/>
    <w:rsid w:val="1B2129A5"/>
    <w:rsid w:val="1B306546"/>
    <w:rsid w:val="1B3758EF"/>
    <w:rsid w:val="1B6D5BEA"/>
    <w:rsid w:val="1BA17641"/>
    <w:rsid w:val="1BC75406"/>
    <w:rsid w:val="1BF15BF6"/>
    <w:rsid w:val="1C2269D4"/>
    <w:rsid w:val="1C377C81"/>
    <w:rsid w:val="1C395ACC"/>
    <w:rsid w:val="1C5823F6"/>
    <w:rsid w:val="1C691D81"/>
    <w:rsid w:val="1C796CC0"/>
    <w:rsid w:val="1CDB049A"/>
    <w:rsid w:val="1CDD0B4D"/>
    <w:rsid w:val="1CFF2872"/>
    <w:rsid w:val="1D1F2F14"/>
    <w:rsid w:val="1D2C53A3"/>
    <w:rsid w:val="1D2E35CD"/>
    <w:rsid w:val="1D37025D"/>
    <w:rsid w:val="1DA10FA1"/>
    <w:rsid w:val="1DA703E3"/>
    <w:rsid w:val="1DAF419C"/>
    <w:rsid w:val="1DCF0496"/>
    <w:rsid w:val="1DD12460"/>
    <w:rsid w:val="1DEF0D21"/>
    <w:rsid w:val="1E392547"/>
    <w:rsid w:val="1E3D5840"/>
    <w:rsid w:val="1E454BFC"/>
    <w:rsid w:val="1E4916E0"/>
    <w:rsid w:val="1EDF7225"/>
    <w:rsid w:val="1F093E7B"/>
    <w:rsid w:val="1F0C1276"/>
    <w:rsid w:val="1F9574BD"/>
    <w:rsid w:val="1FC157EC"/>
    <w:rsid w:val="1FCD30FB"/>
    <w:rsid w:val="1FFC62A9"/>
    <w:rsid w:val="200603BB"/>
    <w:rsid w:val="20476A09"/>
    <w:rsid w:val="20564103"/>
    <w:rsid w:val="207B1DBD"/>
    <w:rsid w:val="20BC49FB"/>
    <w:rsid w:val="20D65FDF"/>
    <w:rsid w:val="21012DFE"/>
    <w:rsid w:val="210E7C4B"/>
    <w:rsid w:val="212D20A3"/>
    <w:rsid w:val="21462E6B"/>
    <w:rsid w:val="21494A03"/>
    <w:rsid w:val="216E7FC6"/>
    <w:rsid w:val="21AD5913"/>
    <w:rsid w:val="21C67DF7"/>
    <w:rsid w:val="21DE2BA8"/>
    <w:rsid w:val="21E90CBF"/>
    <w:rsid w:val="221E7C3E"/>
    <w:rsid w:val="22477195"/>
    <w:rsid w:val="224A458F"/>
    <w:rsid w:val="2254541C"/>
    <w:rsid w:val="226513C9"/>
    <w:rsid w:val="22654504"/>
    <w:rsid w:val="227E7A2E"/>
    <w:rsid w:val="229B4DEB"/>
    <w:rsid w:val="22CF0F38"/>
    <w:rsid w:val="22DB168B"/>
    <w:rsid w:val="22E26EBD"/>
    <w:rsid w:val="22E417D9"/>
    <w:rsid w:val="22F10EAE"/>
    <w:rsid w:val="22FA5DFD"/>
    <w:rsid w:val="22FB3ADB"/>
    <w:rsid w:val="231B5F2B"/>
    <w:rsid w:val="23201794"/>
    <w:rsid w:val="23305E7B"/>
    <w:rsid w:val="23377209"/>
    <w:rsid w:val="2346654E"/>
    <w:rsid w:val="23711416"/>
    <w:rsid w:val="23773AAF"/>
    <w:rsid w:val="23775858"/>
    <w:rsid w:val="237E651B"/>
    <w:rsid w:val="23931140"/>
    <w:rsid w:val="23AE001C"/>
    <w:rsid w:val="23C164F1"/>
    <w:rsid w:val="23E427C1"/>
    <w:rsid w:val="23F23130"/>
    <w:rsid w:val="24045981"/>
    <w:rsid w:val="242344FF"/>
    <w:rsid w:val="24340A4D"/>
    <w:rsid w:val="2446522A"/>
    <w:rsid w:val="245E4322"/>
    <w:rsid w:val="2476155B"/>
    <w:rsid w:val="2480698E"/>
    <w:rsid w:val="24C7636B"/>
    <w:rsid w:val="24CF6FCD"/>
    <w:rsid w:val="24DB1E16"/>
    <w:rsid w:val="24F27158"/>
    <w:rsid w:val="25290DD3"/>
    <w:rsid w:val="253833AF"/>
    <w:rsid w:val="255552F4"/>
    <w:rsid w:val="256C0CC0"/>
    <w:rsid w:val="256E0774"/>
    <w:rsid w:val="256E255A"/>
    <w:rsid w:val="25757697"/>
    <w:rsid w:val="258506D6"/>
    <w:rsid w:val="259712BE"/>
    <w:rsid w:val="25B05C9E"/>
    <w:rsid w:val="25D860D2"/>
    <w:rsid w:val="26224EDB"/>
    <w:rsid w:val="26404627"/>
    <w:rsid w:val="26993E2E"/>
    <w:rsid w:val="26A06E73"/>
    <w:rsid w:val="26BC5523"/>
    <w:rsid w:val="26D052F6"/>
    <w:rsid w:val="26D7485F"/>
    <w:rsid w:val="26E606A8"/>
    <w:rsid w:val="271225F6"/>
    <w:rsid w:val="27135897"/>
    <w:rsid w:val="27165388"/>
    <w:rsid w:val="27365BE0"/>
    <w:rsid w:val="273B094A"/>
    <w:rsid w:val="27541C38"/>
    <w:rsid w:val="276C4FA7"/>
    <w:rsid w:val="277125BE"/>
    <w:rsid w:val="27776903"/>
    <w:rsid w:val="27982240"/>
    <w:rsid w:val="27B90CB0"/>
    <w:rsid w:val="27DF5779"/>
    <w:rsid w:val="28302479"/>
    <w:rsid w:val="285C267E"/>
    <w:rsid w:val="2886198F"/>
    <w:rsid w:val="28AC2DD8"/>
    <w:rsid w:val="28BD3296"/>
    <w:rsid w:val="28E219C5"/>
    <w:rsid w:val="28EA645A"/>
    <w:rsid w:val="29196826"/>
    <w:rsid w:val="2936586D"/>
    <w:rsid w:val="295757E3"/>
    <w:rsid w:val="2987431B"/>
    <w:rsid w:val="299E7156"/>
    <w:rsid w:val="29F51284"/>
    <w:rsid w:val="2A30713C"/>
    <w:rsid w:val="2A3B6774"/>
    <w:rsid w:val="2A826FEF"/>
    <w:rsid w:val="2AB07CD8"/>
    <w:rsid w:val="2AC22CF3"/>
    <w:rsid w:val="2AD417E1"/>
    <w:rsid w:val="2AE4565F"/>
    <w:rsid w:val="2AF85255"/>
    <w:rsid w:val="2B083239"/>
    <w:rsid w:val="2B0D4CF3"/>
    <w:rsid w:val="2B105814"/>
    <w:rsid w:val="2B5621F6"/>
    <w:rsid w:val="2B632B65"/>
    <w:rsid w:val="2B807B12"/>
    <w:rsid w:val="2B9D6077"/>
    <w:rsid w:val="2BCC27B1"/>
    <w:rsid w:val="2BE75544"/>
    <w:rsid w:val="2BEC4909"/>
    <w:rsid w:val="2C0734F1"/>
    <w:rsid w:val="2C0C0B07"/>
    <w:rsid w:val="2C213191"/>
    <w:rsid w:val="2C240923"/>
    <w:rsid w:val="2C3A5674"/>
    <w:rsid w:val="2C6E6B28"/>
    <w:rsid w:val="2CD42995"/>
    <w:rsid w:val="2CF241A1"/>
    <w:rsid w:val="2D2C7FCB"/>
    <w:rsid w:val="2D3A16A4"/>
    <w:rsid w:val="2D9A3185"/>
    <w:rsid w:val="2DA57465"/>
    <w:rsid w:val="2DD12008"/>
    <w:rsid w:val="2E447B2F"/>
    <w:rsid w:val="2E5559A9"/>
    <w:rsid w:val="2E8E7EF9"/>
    <w:rsid w:val="2EB14F54"/>
    <w:rsid w:val="2EC87FDE"/>
    <w:rsid w:val="2ED43FD4"/>
    <w:rsid w:val="2ED718A0"/>
    <w:rsid w:val="2EDA313F"/>
    <w:rsid w:val="2EDF69A7"/>
    <w:rsid w:val="2EE72D23"/>
    <w:rsid w:val="2F060E7D"/>
    <w:rsid w:val="2F0E4B96"/>
    <w:rsid w:val="2F2A3865"/>
    <w:rsid w:val="2F37233F"/>
    <w:rsid w:val="2F745341"/>
    <w:rsid w:val="2F762E67"/>
    <w:rsid w:val="2F8F3F29"/>
    <w:rsid w:val="2F917CA1"/>
    <w:rsid w:val="2F930885"/>
    <w:rsid w:val="30360848"/>
    <w:rsid w:val="304204F2"/>
    <w:rsid w:val="30422D49"/>
    <w:rsid w:val="30430043"/>
    <w:rsid w:val="304A6A8D"/>
    <w:rsid w:val="30557FD4"/>
    <w:rsid w:val="305A1A77"/>
    <w:rsid w:val="306C7DC6"/>
    <w:rsid w:val="308E41E1"/>
    <w:rsid w:val="309F1F4A"/>
    <w:rsid w:val="30A6152A"/>
    <w:rsid w:val="30B33C47"/>
    <w:rsid w:val="30CE6CD3"/>
    <w:rsid w:val="31097D0B"/>
    <w:rsid w:val="31690291"/>
    <w:rsid w:val="3175714F"/>
    <w:rsid w:val="31774C75"/>
    <w:rsid w:val="317A6513"/>
    <w:rsid w:val="31CC4FC0"/>
    <w:rsid w:val="31D976DD"/>
    <w:rsid w:val="3216623C"/>
    <w:rsid w:val="322272D6"/>
    <w:rsid w:val="32544FB6"/>
    <w:rsid w:val="325778CF"/>
    <w:rsid w:val="327B0795"/>
    <w:rsid w:val="3287538B"/>
    <w:rsid w:val="328B231F"/>
    <w:rsid w:val="328F493E"/>
    <w:rsid w:val="32987598"/>
    <w:rsid w:val="32B1065A"/>
    <w:rsid w:val="32B617CD"/>
    <w:rsid w:val="32F12805"/>
    <w:rsid w:val="32F43417"/>
    <w:rsid w:val="32FA790B"/>
    <w:rsid w:val="33162750"/>
    <w:rsid w:val="334039A9"/>
    <w:rsid w:val="33520A10"/>
    <w:rsid w:val="338D5F98"/>
    <w:rsid w:val="34202060"/>
    <w:rsid w:val="342F2D34"/>
    <w:rsid w:val="344828F8"/>
    <w:rsid w:val="348A2F11"/>
    <w:rsid w:val="3497243E"/>
    <w:rsid w:val="34B87A7E"/>
    <w:rsid w:val="34BD7997"/>
    <w:rsid w:val="34C22379"/>
    <w:rsid w:val="34C75F13"/>
    <w:rsid w:val="34CE72A2"/>
    <w:rsid w:val="34E7634B"/>
    <w:rsid w:val="34F83B89"/>
    <w:rsid w:val="35064C8D"/>
    <w:rsid w:val="35073031"/>
    <w:rsid w:val="351F19F1"/>
    <w:rsid w:val="353F37D3"/>
    <w:rsid w:val="355B7EB7"/>
    <w:rsid w:val="356443DA"/>
    <w:rsid w:val="358636D8"/>
    <w:rsid w:val="358D4A0B"/>
    <w:rsid w:val="35C12962"/>
    <w:rsid w:val="35CE6E2D"/>
    <w:rsid w:val="35F04FF6"/>
    <w:rsid w:val="35FB5730"/>
    <w:rsid w:val="364A2958"/>
    <w:rsid w:val="365E28A7"/>
    <w:rsid w:val="365E63A5"/>
    <w:rsid w:val="36687282"/>
    <w:rsid w:val="36794FEB"/>
    <w:rsid w:val="36941E25"/>
    <w:rsid w:val="369D517D"/>
    <w:rsid w:val="36B87A7C"/>
    <w:rsid w:val="36C841D0"/>
    <w:rsid w:val="36FF4C08"/>
    <w:rsid w:val="37015C42"/>
    <w:rsid w:val="37C62713"/>
    <w:rsid w:val="37CD1EE6"/>
    <w:rsid w:val="37D107DF"/>
    <w:rsid w:val="37EA2644"/>
    <w:rsid w:val="381178FA"/>
    <w:rsid w:val="38207E14"/>
    <w:rsid w:val="382F62A9"/>
    <w:rsid w:val="38415FDC"/>
    <w:rsid w:val="385B48F0"/>
    <w:rsid w:val="385C6972"/>
    <w:rsid w:val="3862667F"/>
    <w:rsid w:val="387737AC"/>
    <w:rsid w:val="3885411B"/>
    <w:rsid w:val="38BF587F"/>
    <w:rsid w:val="38DE1A7D"/>
    <w:rsid w:val="38E250CA"/>
    <w:rsid w:val="38EA0422"/>
    <w:rsid w:val="39072D82"/>
    <w:rsid w:val="3918640E"/>
    <w:rsid w:val="392E0314"/>
    <w:rsid w:val="394713D0"/>
    <w:rsid w:val="39627FB8"/>
    <w:rsid w:val="397D4DF2"/>
    <w:rsid w:val="39B0057A"/>
    <w:rsid w:val="39BC591B"/>
    <w:rsid w:val="39CC6500"/>
    <w:rsid w:val="3A105C66"/>
    <w:rsid w:val="3A290D5D"/>
    <w:rsid w:val="3A516241"/>
    <w:rsid w:val="3AF15020"/>
    <w:rsid w:val="3B131EB2"/>
    <w:rsid w:val="3B183024"/>
    <w:rsid w:val="3B1A12EE"/>
    <w:rsid w:val="3B293089"/>
    <w:rsid w:val="3B345AAB"/>
    <w:rsid w:val="3B350B7D"/>
    <w:rsid w:val="3B3D6F2F"/>
    <w:rsid w:val="3B5D4DED"/>
    <w:rsid w:val="3B691AD2"/>
    <w:rsid w:val="3B815E78"/>
    <w:rsid w:val="3BC1546A"/>
    <w:rsid w:val="3BD80A06"/>
    <w:rsid w:val="3C000208"/>
    <w:rsid w:val="3C0D06AF"/>
    <w:rsid w:val="3C1D466B"/>
    <w:rsid w:val="3C3178A8"/>
    <w:rsid w:val="3C58462D"/>
    <w:rsid w:val="3C6452A1"/>
    <w:rsid w:val="3C8B7826"/>
    <w:rsid w:val="3C8F414C"/>
    <w:rsid w:val="3CB054DF"/>
    <w:rsid w:val="3CC8014B"/>
    <w:rsid w:val="3CD613E9"/>
    <w:rsid w:val="3D03720B"/>
    <w:rsid w:val="3D153E5D"/>
    <w:rsid w:val="3D4E5423"/>
    <w:rsid w:val="3D6C3AFB"/>
    <w:rsid w:val="3D7F5103"/>
    <w:rsid w:val="3D820C29"/>
    <w:rsid w:val="3D952B40"/>
    <w:rsid w:val="3DE04754"/>
    <w:rsid w:val="3DE47CE0"/>
    <w:rsid w:val="3E006F42"/>
    <w:rsid w:val="3E0E070F"/>
    <w:rsid w:val="3E1A7695"/>
    <w:rsid w:val="3E56414B"/>
    <w:rsid w:val="3EA572C5"/>
    <w:rsid w:val="3EAD617A"/>
    <w:rsid w:val="3ECD54A9"/>
    <w:rsid w:val="3ED23E32"/>
    <w:rsid w:val="3EE871B2"/>
    <w:rsid w:val="3F2D33E2"/>
    <w:rsid w:val="3F584337"/>
    <w:rsid w:val="3F591E5E"/>
    <w:rsid w:val="3F7E5908"/>
    <w:rsid w:val="3F8F07B9"/>
    <w:rsid w:val="3FDA2F9E"/>
    <w:rsid w:val="3FFD0A3B"/>
    <w:rsid w:val="401A339B"/>
    <w:rsid w:val="40532D51"/>
    <w:rsid w:val="40540BAF"/>
    <w:rsid w:val="40BC26A4"/>
    <w:rsid w:val="40C96B6F"/>
    <w:rsid w:val="40D05E19"/>
    <w:rsid w:val="40F736DC"/>
    <w:rsid w:val="412511BE"/>
    <w:rsid w:val="414A5675"/>
    <w:rsid w:val="41601F71"/>
    <w:rsid w:val="418A09F4"/>
    <w:rsid w:val="419E1DAA"/>
    <w:rsid w:val="41AE6B81"/>
    <w:rsid w:val="41B8796A"/>
    <w:rsid w:val="41BF64D6"/>
    <w:rsid w:val="41D055BB"/>
    <w:rsid w:val="42027077"/>
    <w:rsid w:val="42030C49"/>
    <w:rsid w:val="42150157"/>
    <w:rsid w:val="4230334A"/>
    <w:rsid w:val="42CD0B98"/>
    <w:rsid w:val="42E45311"/>
    <w:rsid w:val="42ED123B"/>
    <w:rsid w:val="43036368"/>
    <w:rsid w:val="431C0A83"/>
    <w:rsid w:val="435633D5"/>
    <w:rsid w:val="43A55671"/>
    <w:rsid w:val="43CA332A"/>
    <w:rsid w:val="44077BDE"/>
    <w:rsid w:val="44625310"/>
    <w:rsid w:val="447B1708"/>
    <w:rsid w:val="44873F3D"/>
    <w:rsid w:val="44A25AC3"/>
    <w:rsid w:val="44C46566"/>
    <w:rsid w:val="44DB760A"/>
    <w:rsid w:val="44DC32FD"/>
    <w:rsid w:val="44F3240C"/>
    <w:rsid w:val="44F8235D"/>
    <w:rsid w:val="45036AF3"/>
    <w:rsid w:val="45583241"/>
    <w:rsid w:val="45877724"/>
    <w:rsid w:val="459249B3"/>
    <w:rsid w:val="45F351C8"/>
    <w:rsid w:val="462B6F7C"/>
    <w:rsid w:val="464253F9"/>
    <w:rsid w:val="46B856BC"/>
    <w:rsid w:val="46BF6A4A"/>
    <w:rsid w:val="46F51AD5"/>
    <w:rsid w:val="47024B89"/>
    <w:rsid w:val="4716385A"/>
    <w:rsid w:val="47376F28"/>
    <w:rsid w:val="474C2E23"/>
    <w:rsid w:val="476703E0"/>
    <w:rsid w:val="47D16703"/>
    <w:rsid w:val="47DC187E"/>
    <w:rsid w:val="47F866B8"/>
    <w:rsid w:val="48286871"/>
    <w:rsid w:val="48383A81"/>
    <w:rsid w:val="48403BBB"/>
    <w:rsid w:val="484A4A39"/>
    <w:rsid w:val="484F3DFE"/>
    <w:rsid w:val="48572BFD"/>
    <w:rsid w:val="48592ECE"/>
    <w:rsid w:val="485E1599"/>
    <w:rsid w:val="48641732"/>
    <w:rsid w:val="487321E2"/>
    <w:rsid w:val="48855A71"/>
    <w:rsid w:val="489D2DBB"/>
    <w:rsid w:val="490270C2"/>
    <w:rsid w:val="49303C2F"/>
    <w:rsid w:val="49377415"/>
    <w:rsid w:val="49587789"/>
    <w:rsid w:val="497179F9"/>
    <w:rsid w:val="497C7EEF"/>
    <w:rsid w:val="49926698"/>
    <w:rsid w:val="49AD1724"/>
    <w:rsid w:val="49CC7DFC"/>
    <w:rsid w:val="49F008DA"/>
    <w:rsid w:val="4A2117CA"/>
    <w:rsid w:val="4A4D25BF"/>
    <w:rsid w:val="4A522E53"/>
    <w:rsid w:val="4A5B1857"/>
    <w:rsid w:val="4A600544"/>
    <w:rsid w:val="4A82495E"/>
    <w:rsid w:val="4A843A8E"/>
    <w:rsid w:val="4AA47E80"/>
    <w:rsid w:val="4AAB3EB6"/>
    <w:rsid w:val="4AE61FD9"/>
    <w:rsid w:val="4AFD2237"/>
    <w:rsid w:val="4B296B88"/>
    <w:rsid w:val="4B4B4D50"/>
    <w:rsid w:val="4B6978CC"/>
    <w:rsid w:val="4B700C5B"/>
    <w:rsid w:val="4B94275C"/>
    <w:rsid w:val="4BBD5522"/>
    <w:rsid w:val="4BD9235C"/>
    <w:rsid w:val="4BDC7E1B"/>
    <w:rsid w:val="4BE60F1D"/>
    <w:rsid w:val="4BF453E8"/>
    <w:rsid w:val="4C2A0E0A"/>
    <w:rsid w:val="4C2F6420"/>
    <w:rsid w:val="4C3F6085"/>
    <w:rsid w:val="4C4A5008"/>
    <w:rsid w:val="4C4B7880"/>
    <w:rsid w:val="4C4E2D49"/>
    <w:rsid w:val="4C6065D9"/>
    <w:rsid w:val="4C82117A"/>
    <w:rsid w:val="4C8E104D"/>
    <w:rsid w:val="4CF229A2"/>
    <w:rsid w:val="4D086D0A"/>
    <w:rsid w:val="4D0D7647"/>
    <w:rsid w:val="4D21045F"/>
    <w:rsid w:val="4D44414D"/>
    <w:rsid w:val="4D61085B"/>
    <w:rsid w:val="4D6D09FE"/>
    <w:rsid w:val="4D6F609D"/>
    <w:rsid w:val="4DC840D7"/>
    <w:rsid w:val="4DF571F5"/>
    <w:rsid w:val="4E0E4458"/>
    <w:rsid w:val="4E2F0C66"/>
    <w:rsid w:val="4E3E294A"/>
    <w:rsid w:val="4E42403E"/>
    <w:rsid w:val="4E537616"/>
    <w:rsid w:val="4E6525CD"/>
    <w:rsid w:val="4E766588"/>
    <w:rsid w:val="4E7B76FB"/>
    <w:rsid w:val="4EB42C0C"/>
    <w:rsid w:val="4EBB043F"/>
    <w:rsid w:val="4EF06623"/>
    <w:rsid w:val="4F4F0B87"/>
    <w:rsid w:val="4F6F4D85"/>
    <w:rsid w:val="4FA25D71"/>
    <w:rsid w:val="4FBA6948"/>
    <w:rsid w:val="4FBF49C5"/>
    <w:rsid w:val="501047BA"/>
    <w:rsid w:val="50566671"/>
    <w:rsid w:val="506333EA"/>
    <w:rsid w:val="50681F00"/>
    <w:rsid w:val="5069710A"/>
    <w:rsid w:val="50B9375A"/>
    <w:rsid w:val="50C22FE8"/>
    <w:rsid w:val="50FB4B23"/>
    <w:rsid w:val="510D4856"/>
    <w:rsid w:val="51271DBC"/>
    <w:rsid w:val="515801C7"/>
    <w:rsid w:val="516A518B"/>
    <w:rsid w:val="517F1AF6"/>
    <w:rsid w:val="51C413B8"/>
    <w:rsid w:val="51C4760A"/>
    <w:rsid w:val="51F31C9E"/>
    <w:rsid w:val="52132340"/>
    <w:rsid w:val="524B7D2C"/>
    <w:rsid w:val="52855B8B"/>
    <w:rsid w:val="52880638"/>
    <w:rsid w:val="52B61649"/>
    <w:rsid w:val="52B753C1"/>
    <w:rsid w:val="52DC5818"/>
    <w:rsid w:val="52E00474"/>
    <w:rsid w:val="52EA4E4F"/>
    <w:rsid w:val="530556EE"/>
    <w:rsid w:val="534A3B3F"/>
    <w:rsid w:val="53776509"/>
    <w:rsid w:val="53AE2320"/>
    <w:rsid w:val="53F16B64"/>
    <w:rsid w:val="53F51CFD"/>
    <w:rsid w:val="54104D89"/>
    <w:rsid w:val="541377DD"/>
    <w:rsid w:val="5418076C"/>
    <w:rsid w:val="54790B80"/>
    <w:rsid w:val="54971006"/>
    <w:rsid w:val="549E44D1"/>
    <w:rsid w:val="54B73456"/>
    <w:rsid w:val="54D20DC2"/>
    <w:rsid w:val="54F46459"/>
    <w:rsid w:val="550A17D8"/>
    <w:rsid w:val="557C1FAA"/>
    <w:rsid w:val="55CE5D14"/>
    <w:rsid w:val="55E62245"/>
    <w:rsid w:val="56242E47"/>
    <w:rsid w:val="563C20EE"/>
    <w:rsid w:val="567535C9"/>
    <w:rsid w:val="56B934B6"/>
    <w:rsid w:val="56EF4470"/>
    <w:rsid w:val="572528F9"/>
    <w:rsid w:val="5730129E"/>
    <w:rsid w:val="57353838"/>
    <w:rsid w:val="57547D67"/>
    <w:rsid w:val="577B3F4D"/>
    <w:rsid w:val="57932DC4"/>
    <w:rsid w:val="57CF2661"/>
    <w:rsid w:val="57D12A81"/>
    <w:rsid w:val="57E4161C"/>
    <w:rsid w:val="58006EC2"/>
    <w:rsid w:val="581B1F4E"/>
    <w:rsid w:val="58346170"/>
    <w:rsid w:val="58531B77"/>
    <w:rsid w:val="585D1018"/>
    <w:rsid w:val="586456A3"/>
    <w:rsid w:val="58791307"/>
    <w:rsid w:val="58966556"/>
    <w:rsid w:val="58B24629"/>
    <w:rsid w:val="58E30CBE"/>
    <w:rsid w:val="5932754F"/>
    <w:rsid w:val="59E03192"/>
    <w:rsid w:val="5A19426B"/>
    <w:rsid w:val="5A282F17"/>
    <w:rsid w:val="5A3C190B"/>
    <w:rsid w:val="5A4214BD"/>
    <w:rsid w:val="5A551748"/>
    <w:rsid w:val="5A654EEF"/>
    <w:rsid w:val="5A9C7376"/>
    <w:rsid w:val="5AD03BDB"/>
    <w:rsid w:val="5AF6393C"/>
    <w:rsid w:val="5AFA22EF"/>
    <w:rsid w:val="5B173D6D"/>
    <w:rsid w:val="5B241A3E"/>
    <w:rsid w:val="5B3F6646"/>
    <w:rsid w:val="5B631C42"/>
    <w:rsid w:val="5B6A76E4"/>
    <w:rsid w:val="5B774521"/>
    <w:rsid w:val="5B81031A"/>
    <w:rsid w:val="5B961A42"/>
    <w:rsid w:val="5BC00E43"/>
    <w:rsid w:val="5BC57273"/>
    <w:rsid w:val="5BC879E8"/>
    <w:rsid w:val="5BCF1086"/>
    <w:rsid w:val="5BD13050"/>
    <w:rsid w:val="5BDE751B"/>
    <w:rsid w:val="5C353B44"/>
    <w:rsid w:val="5C4D48E8"/>
    <w:rsid w:val="5C6914DA"/>
    <w:rsid w:val="5C700983"/>
    <w:rsid w:val="5C700ABB"/>
    <w:rsid w:val="5C7636E6"/>
    <w:rsid w:val="5C7B12A5"/>
    <w:rsid w:val="5C8A4BE0"/>
    <w:rsid w:val="5CA93FCD"/>
    <w:rsid w:val="5CB31DD7"/>
    <w:rsid w:val="5CFD1C22"/>
    <w:rsid w:val="5D0336DD"/>
    <w:rsid w:val="5D0440FF"/>
    <w:rsid w:val="5D1A6C78"/>
    <w:rsid w:val="5D347D3A"/>
    <w:rsid w:val="5D502288"/>
    <w:rsid w:val="5D6C2B99"/>
    <w:rsid w:val="5D90548F"/>
    <w:rsid w:val="5DB466F3"/>
    <w:rsid w:val="5DD6668C"/>
    <w:rsid w:val="5E5A37D0"/>
    <w:rsid w:val="5E6048E4"/>
    <w:rsid w:val="5E9D369D"/>
    <w:rsid w:val="5EDF6EFF"/>
    <w:rsid w:val="5EF05EE3"/>
    <w:rsid w:val="5EF1163D"/>
    <w:rsid w:val="5F03707F"/>
    <w:rsid w:val="5F2A5803"/>
    <w:rsid w:val="5F4C495A"/>
    <w:rsid w:val="5F79574A"/>
    <w:rsid w:val="5F872886"/>
    <w:rsid w:val="5FC9205D"/>
    <w:rsid w:val="5FDA624B"/>
    <w:rsid w:val="5FDB6954"/>
    <w:rsid w:val="5FE62E42"/>
    <w:rsid w:val="5FE86BBA"/>
    <w:rsid w:val="5FEB2206"/>
    <w:rsid w:val="5FEF2B4A"/>
    <w:rsid w:val="5FFB4038"/>
    <w:rsid w:val="60157FFC"/>
    <w:rsid w:val="6037369D"/>
    <w:rsid w:val="605437B3"/>
    <w:rsid w:val="6083093C"/>
    <w:rsid w:val="60864845"/>
    <w:rsid w:val="60A26D69"/>
    <w:rsid w:val="60B8658C"/>
    <w:rsid w:val="60BB60FF"/>
    <w:rsid w:val="61236D3F"/>
    <w:rsid w:val="6139765C"/>
    <w:rsid w:val="6166248C"/>
    <w:rsid w:val="61A06982"/>
    <w:rsid w:val="61BA13D8"/>
    <w:rsid w:val="61D41CB9"/>
    <w:rsid w:val="61D52C3F"/>
    <w:rsid w:val="621A6DD3"/>
    <w:rsid w:val="621E4B15"/>
    <w:rsid w:val="622C756A"/>
    <w:rsid w:val="623074BA"/>
    <w:rsid w:val="62AE40EB"/>
    <w:rsid w:val="62BB2364"/>
    <w:rsid w:val="62DB2967"/>
    <w:rsid w:val="62E903D9"/>
    <w:rsid w:val="62F66A3A"/>
    <w:rsid w:val="62FE7C3E"/>
    <w:rsid w:val="63035AB9"/>
    <w:rsid w:val="6320268A"/>
    <w:rsid w:val="63283C1D"/>
    <w:rsid w:val="633B34A5"/>
    <w:rsid w:val="63495BC1"/>
    <w:rsid w:val="63716EC6"/>
    <w:rsid w:val="6390559E"/>
    <w:rsid w:val="639D7D03"/>
    <w:rsid w:val="63A4729C"/>
    <w:rsid w:val="63C139AA"/>
    <w:rsid w:val="63C416EC"/>
    <w:rsid w:val="63CC234F"/>
    <w:rsid w:val="63E7059E"/>
    <w:rsid w:val="64195594"/>
    <w:rsid w:val="6486408C"/>
    <w:rsid w:val="64A64D5A"/>
    <w:rsid w:val="64C70B5D"/>
    <w:rsid w:val="64EA33D4"/>
    <w:rsid w:val="651024B3"/>
    <w:rsid w:val="652341F0"/>
    <w:rsid w:val="658A426F"/>
    <w:rsid w:val="658B24C1"/>
    <w:rsid w:val="65BA6903"/>
    <w:rsid w:val="65FE7137"/>
    <w:rsid w:val="6683742F"/>
    <w:rsid w:val="66BA3EC8"/>
    <w:rsid w:val="66C00C96"/>
    <w:rsid w:val="66C86279"/>
    <w:rsid w:val="66CF63DE"/>
    <w:rsid w:val="66D85B53"/>
    <w:rsid w:val="67053CB2"/>
    <w:rsid w:val="670A38BA"/>
    <w:rsid w:val="67430B7A"/>
    <w:rsid w:val="67620F81"/>
    <w:rsid w:val="67784CC7"/>
    <w:rsid w:val="67AC4971"/>
    <w:rsid w:val="68246BFD"/>
    <w:rsid w:val="68580655"/>
    <w:rsid w:val="685D09D5"/>
    <w:rsid w:val="688356D2"/>
    <w:rsid w:val="68C87588"/>
    <w:rsid w:val="692F7608"/>
    <w:rsid w:val="694D4AD9"/>
    <w:rsid w:val="6953498D"/>
    <w:rsid w:val="69643755"/>
    <w:rsid w:val="69DF4B8A"/>
    <w:rsid w:val="69FC1BE0"/>
    <w:rsid w:val="6A2745F0"/>
    <w:rsid w:val="6A334E2B"/>
    <w:rsid w:val="6A3D7B02"/>
    <w:rsid w:val="6A773014"/>
    <w:rsid w:val="6ACD532A"/>
    <w:rsid w:val="6AD71D05"/>
    <w:rsid w:val="6B122264"/>
    <w:rsid w:val="6B361B79"/>
    <w:rsid w:val="6B555ED8"/>
    <w:rsid w:val="6BA8560F"/>
    <w:rsid w:val="6BB838ED"/>
    <w:rsid w:val="6BCF0C2E"/>
    <w:rsid w:val="6C1256EA"/>
    <w:rsid w:val="6C2C422A"/>
    <w:rsid w:val="6C2C42D2"/>
    <w:rsid w:val="6CA3310B"/>
    <w:rsid w:val="6CD7423E"/>
    <w:rsid w:val="6CE30E35"/>
    <w:rsid w:val="6CE9675F"/>
    <w:rsid w:val="6CFC1EF7"/>
    <w:rsid w:val="6D185A0C"/>
    <w:rsid w:val="6D266F73"/>
    <w:rsid w:val="6D4B142B"/>
    <w:rsid w:val="6D661777"/>
    <w:rsid w:val="6DCE2571"/>
    <w:rsid w:val="6DD10C8D"/>
    <w:rsid w:val="6DD34B5E"/>
    <w:rsid w:val="6E1D0376"/>
    <w:rsid w:val="6E3000AA"/>
    <w:rsid w:val="6E4E7458"/>
    <w:rsid w:val="6E62222D"/>
    <w:rsid w:val="6E92169B"/>
    <w:rsid w:val="6EC66318"/>
    <w:rsid w:val="6EE449F0"/>
    <w:rsid w:val="6EFD5AB2"/>
    <w:rsid w:val="6F023DCC"/>
    <w:rsid w:val="6F0F06A6"/>
    <w:rsid w:val="6F28705A"/>
    <w:rsid w:val="6F315F51"/>
    <w:rsid w:val="6F413BF1"/>
    <w:rsid w:val="6F573414"/>
    <w:rsid w:val="6F5F2D90"/>
    <w:rsid w:val="6F7447ED"/>
    <w:rsid w:val="6F9A6BF8"/>
    <w:rsid w:val="6FB46AB9"/>
    <w:rsid w:val="6FED1545"/>
    <w:rsid w:val="700D5A81"/>
    <w:rsid w:val="701A591C"/>
    <w:rsid w:val="70241B23"/>
    <w:rsid w:val="707715E7"/>
    <w:rsid w:val="70933559"/>
    <w:rsid w:val="70AC59E2"/>
    <w:rsid w:val="70B07280"/>
    <w:rsid w:val="70B328CC"/>
    <w:rsid w:val="70FA04FB"/>
    <w:rsid w:val="71125845"/>
    <w:rsid w:val="7113780F"/>
    <w:rsid w:val="713003C1"/>
    <w:rsid w:val="71663DE2"/>
    <w:rsid w:val="71765B61"/>
    <w:rsid w:val="718F6E95"/>
    <w:rsid w:val="71AC31ED"/>
    <w:rsid w:val="71B216C2"/>
    <w:rsid w:val="71BB2380"/>
    <w:rsid w:val="71BC7EA6"/>
    <w:rsid w:val="71C034F3"/>
    <w:rsid w:val="71F4319C"/>
    <w:rsid w:val="71F96A05"/>
    <w:rsid w:val="721970A7"/>
    <w:rsid w:val="725D3437"/>
    <w:rsid w:val="72A91A40"/>
    <w:rsid w:val="730579C3"/>
    <w:rsid w:val="731D44A6"/>
    <w:rsid w:val="73286802"/>
    <w:rsid w:val="7346211D"/>
    <w:rsid w:val="73595538"/>
    <w:rsid w:val="735C724B"/>
    <w:rsid w:val="739015EB"/>
    <w:rsid w:val="73D74B24"/>
    <w:rsid w:val="73ED3845"/>
    <w:rsid w:val="745A2B8A"/>
    <w:rsid w:val="747607E0"/>
    <w:rsid w:val="748A7DE8"/>
    <w:rsid w:val="74A73C93"/>
    <w:rsid w:val="74AF784E"/>
    <w:rsid w:val="74CE4179"/>
    <w:rsid w:val="74D21440"/>
    <w:rsid w:val="74F11C15"/>
    <w:rsid w:val="74F17E67"/>
    <w:rsid w:val="750920AF"/>
    <w:rsid w:val="752E2E69"/>
    <w:rsid w:val="75371D1E"/>
    <w:rsid w:val="75555137"/>
    <w:rsid w:val="75563FAE"/>
    <w:rsid w:val="758962F1"/>
    <w:rsid w:val="75A11522"/>
    <w:rsid w:val="75B3511C"/>
    <w:rsid w:val="75B72E5F"/>
    <w:rsid w:val="75B90985"/>
    <w:rsid w:val="75C335B1"/>
    <w:rsid w:val="75EA6D90"/>
    <w:rsid w:val="76070232"/>
    <w:rsid w:val="760C31AA"/>
    <w:rsid w:val="760D6F22"/>
    <w:rsid w:val="76312F35"/>
    <w:rsid w:val="76347D47"/>
    <w:rsid w:val="764E5304"/>
    <w:rsid w:val="765C7562"/>
    <w:rsid w:val="769D2054"/>
    <w:rsid w:val="76AF6C28"/>
    <w:rsid w:val="76D32081"/>
    <w:rsid w:val="76DF08BF"/>
    <w:rsid w:val="76F81981"/>
    <w:rsid w:val="77216CC6"/>
    <w:rsid w:val="7732251F"/>
    <w:rsid w:val="775E5A5C"/>
    <w:rsid w:val="77644920"/>
    <w:rsid w:val="77B75398"/>
    <w:rsid w:val="77C2092B"/>
    <w:rsid w:val="77C67628"/>
    <w:rsid w:val="77EC2FBF"/>
    <w:rsid w:val="7808174F"/>
    <w:rsid w:val="783B7D77"/>
    <w:rsid w:val="784E0B38"/>
    <w:rsid w:val="78B15704"/>
    <w:rsid w:val="78E026CC"/>
    <w:rsid w:val="78E73D1D"/>
    <w:rsid w:val="78E90E66"/>
    <w:rsid w:val="78F739AF"/>
    <w:rsid w:val="78F87A16"/>
    <w:rsid w:val="79032A98"/>
    <w:rsid w:val="79065AB5"/>
    <w:rsid w:val="792B7DEB"/>
    <w:rsid w:val="79440EAD"/>
    <w:rsid w:val="79764DDF"/>
    <w:rsid w:val="799A287B"/>
    <w:rsid w:val="79C8388C"/>
    <w:rsid w:val="79D510B7"/>
    <w:rsid w:val="79DD3610"/>
    <w:rsid w:val="79E81839"/>
    <w:rsid w:val="79F851D5"/>
    <w:rsid w:val="79FC4BE4"/>
    <w:rsid w:val="7A170370"/>
    <w:rsid w:val="7A1958D5"/>
    <w:rsid w:val="7A241A53"/>
    <w:rsid w:val="7A8709D8"/>
    <w:rsid w:val="7A8C48BA"/>
    <w:rsid w:val="7A9E639B"/>
    <w:rsid w:val="7AB23BF5"/>
    <w:rsid w:val="7ABC4A73"/>
    <w:rsid w:val="7ABE58A9"/>
    <w:rsid w:val="7AEA5A84"/>
    <w:rsid w:val="7B8C6975"/>
    <w:rsid w:val="7B8E03DD"/>
    <w:rsid w:val="7B9F061D"/>
    <w:rsid w:val="7BB045D8"/>
    <w:rsid w:val="7BC25170"/>
    <w:rsid w:val="7BEB1482"/>
    <w:rsid w:val="7BF81544"/>
    <w:rsid w:val="7C077F70"/>
    <w:rsid w:val="7C0B664A"/>
    <w:rsid w:val="7C1C1759"/>
    <w:rsid w:val="7C1E3C37"/>
    <w:rsid w:val="7C593933"/>
    <w:rsid w:val="7C730498"/>
    <w:rsid w:val="7C75312C"/>
    <w:rsid w:val="7C9A00E3"/>
    <w:rsid w:val="7CE23A88"/>
    <w:rsid w:val="7CEC561B"/>
    <w:rsid w:val="7CF20C20"/>
    <w:rsid w:val="7CFE746E"/>
    <w:rsid w:val="7D0C16DE"/>
    <w:rsid w:val="7D1633C4"/>
    <w:rsid w:val="7D1E5AD5"/>
    <w:rsid w:val="7D3C7D45"/>
    <w:rsid w:val="7D493119"/>
    <w:rsid w:val="7D5611AF"/>
    <w:rsid w:val="7D6B6AB1"/>
    <w:rsid w:val="7D9879D1"/>
    <w:rsid w:val="7DA500D2"/>
    <w:rsid w:val="7DBB54B6"/>
    <w:rsid w:val="7DC93E75"/>
    <w:rsid w:val="7E0304D5"/>
    <w:rsid w:val="7E0871BD"/>
    <w:rsid w:val="7E0B3D48"/>
    <w:rsid w:val="7E31018F"/>
    <w:rsid w:val="7E5E47BF"/>
    <w:rsid w:val="7E6B0C8A"/>
    <w:rsid w:val="7E81400A"/>
    <w:rsid w:val="7EB77732"/>
    <w:rsid w:val="7F475253"/>
    <w:rsid w:val="7F8738A2"/>
    <w:rsid w:val="7F8F6BFA"/>
    <w:rsid w:val="7FC14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2"/>
    <w:next w:val="1"/>
    <w:qFormat/>
    <w:uiPriority w:val="0"/>
    <w:pPr>
      <w:spacing w:before="260" w:after="260" w:line="415" w:lineRule="auto"/>
      <w:outlineLvl w:val="1"/>
    </w:pPr>
    <w:rPr>
      <w:rFonts w:ascii="Arial" w:hAnsi="Arial" w:eastAsia="黑体"/>
      <w:b w:val="0"/>
      <w:bCs w:val="0"/>
      <w:kern w:val="0"/>
      <w:sz w:val="32"/>
      <w:szCs w:val="32"/>
    </w:rPr>
  </w:style>
  <w:style w:type="paragraph" w:styleId="4">
    <w:name w:val="heading 3"/>
    <w:basedOn w:val="3"/>
    <w:next w:val="1"/>
    <w:qFormat/>
    <w:uiPriority w:val="0"/>
    <w:pPr>
      <w:outlineLvl w:val="2"/>
    </w:pPr>
    <w:rPr>
      <w:b/>
      <w:bCs/>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5"/>
    <w:next w:val="1"/>
    <w:qFormat/>
    <w:uiPriority w:val="0"/>
    <w:pPr>
      <w:widowControl w:val="0"/>
      <w:spacing w:before="280" w:after="290" w:line="376" w:lineRule="auto"/>
      <w:outlineLvl w:val="4"/>
    </w:pPr>
    <w:rPr>
      <w:b/>
    </w:rPr>
  </w:style>
  <w:style w:type="paragraph" w:styleId="7">
    <w:name w:val="heading 6"/>
    <w:basedOn w:val="1"/>
    <w:next w:val="8"/>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8"/>
    <w:qFormat/>
    <w:uiPriority w:val="0"/>
    <w:pPr>
      <w:keepNext/>
      <w:keepLines/>
      <w:spacing w:before="240" w:after="64" w:line="319" w:lineRule="auto"/>
      <w:outlineLvl w:val="6"/>
    </w:pPr>
    <w:rPr>
      <w:b/>
      <w:sz w:val="24"/>
    </w:rPr>
  </w:style>
  <w:style w:type="paragraph" w:styleId="10">
    <w:name w:val="heading 8"/>
    <w:basedOn w:val="1"/>
    <w:next w:val="8"/>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8"/>
    <w:qFormat/>
    <w:uiPriority w:val="0"/>
    <w:pPr>
      <w:keepNext/>
      <w:keepLines/>
      <w:spacing w:before="240" w:after="64" w:line="319" w:lineRule="auto"/>
      <w:outlineLvl w:val="8"/>
    </w:pPr>
    <w:rPr>
      <w:rFonts w:ascii="Arial" w:hAnsi="Arial" w:eastAsia="黑体"/>
    </w:rPr>
  </w:style>
  <w:style w:type="character" w:default="1" w:styleId="51">
    <w:name w:val="Default Paragraph Font"/>
    <w:qFormat/>
    <w:uiPriority w:val="0"/>
  </w:style>
  <w:style w:type="table" w:default="1" w:styleId="49">
    <w:name w:val="Normal Table"/>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qFormat/>
    <w:uiPriority w:val="0"/>
    <w:pPr>
      <w:shd w:val="clear" w:color="auto" w:fill="000080"/>
    </w:pPr>
  </w:style>
  <w:style w:type="paragraph" w:styleId="16">
    <w:name w:val="annotation text"/>
    <w:basedOn w:val="1"/>
    <w:link w:val="58"/>
    <w:qFormat/>
    <w:uiPriority w:val="0"/>
    <w:pPr>
      <w:adjustRightInd w:val="0"/>
      <w:spacing w:line="360" w:lineRule="atLeast"/>
      <w:jc w:val="left"/>
      <w:textAlignment w:val="baseline"/>
    </w:pPr>
    <w:rPr>
      <w:kern w:val="0"/>
      <w:sz w:val="24"/>
      <w:szCs w:val="20"/>
    </w:rPr>
  </w:style>
  <w:style w:type="paragraph" w:styleId="17">
    <w:name w:val="Salutation"/>
    <w:basedOn w:val="1"/>
    <w:next w:val="1"/>
    <w:qFormat/>
    <w:uiPriority w:val="0"/>
    <w:rPr>
      <w:sz w:val="28"/>
    </w:rPr>
  </w:style>
  <w:style w:type="paragraph" w:styleId="18">
    <w:name w:val="Body Text 3"/>
    <w:basedOn w:val="1"/>
    <w:qFormat/>
    <w:uiPriority w:val="0"/>
    <w:pPr>
      <w:spacing w:line="500" w:lineRule="exact"/>
    </w:pPr>
    <w:rPr>
      <w:b/>
      <w:bCs/>
      <w:sz w:val="24"/>
    </w:rPr>
  </w:style>
  <w:style w:type="paragraph" w:styleId="19">
    <w:name w:val="Body Text"/>
    <w:basedOn w:val="1"/>
    <w:qFormat/>
    <w:uiPriority w:val="0"/>
    <w:pPr>
      <w:spacing w:line="380" w:lineRule="exact"/>
    </w:pPr>
    <w:rPr>
      <w:sz w:val="24"/>
    </w:rPr>
  </w:style>
  <w:style w:type="paragraph" w:styleId="20">
    <w:name w:val="Body Text Indent"/>
    <w:basedOn w:val="1"/>
    <w:qFormat/>
    <w:uiPriority w:val="0"/>
    <w:pPr>
      <w:ind w:firstLine="352" w:firstLineChars="352"/>
    </w:pPr>
    <w:rPr>
      <w:rFonts w:ascii="仿宋_GB2312" w:eastAsia="仿宋_GB2312"/>
      <w:sz w:val="32"/>
      <w:szCs w:val="20"/>
    </w:rPr>
  </w:style>
  <w:style w:type="paragraph" w:styleId="21">
    <w:name w:val="List Number 3"/>
    <w:basedOn w:val="1"/>
    <w:qFormat/>
    <w:uiPriority w:val="0"/>
    <w:pPr>
      <w:tabs>
        <w:tab w:val="left" w:pos="360"/>
      </w:tabs>
      <w:ind w:left="360" w:hanging="360"/>
    </w:pPr>
  </w:style>
  <w:style w:type="paragraph" w:styleId="22">
    <w:name w:val="List 2"/>
    <w:basedOn w:val="1"/>
    <w:qFormat/>
    <w:uiPriority w:val="0"/>
    <w:pPr>
      <w:ind w:left="4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0"/>
    <w:pPr>
      <w:ind w:left="400" w:leftChars="400"/>
    </w:pPr>
  </w:style>
  <w:style w:type="paragraph" w:styleId="26">
    <w:name w:val="Plain Text"/>
    <w:basedOn w:val="1"/>
    <w:next w:val="1"/>
    <w:link w:val="59"/>
    <w:qFormat/>
    <w:uiPriority w:val="0"/>
    <w:rPr>
      <w:rFonts w:ascii="宋体"/>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qFormat/>
    <w:uiPriority w:val="0"/>
    <w:pPr>
      <w:ind w:left="2500" w:leftChars="2500"/>
    </w:pPr>
    <w:rPr>
      <w:rFonts w:ascii="宋体" w:cs="Courier New"/>
      <w:szCs w:val="21"/>
    </w:rPr>
  </w:style>
  <w:style w:type="paragraph" w:styleId="29">
    <w:name w:val="Body Text Indent 2"/>
    <w:basedOn w:val="1"/>
    <w:qFormat/>
    <w:uiPriority w:val="0"/>
    <w:pPr>
      <w:ind w:firstLine="630"/>
    </w:pPr>
    <w:rPr>
      <w:sz w:val="32"/>
      <w:szCs w:val="20"/>
    </w:rPr>
  </w:style>
  <w:style w:type="paragraph" w:styleId="30">
    <w:name w:val="endnote text"/>
    <w:basedOn w:val="1"/>
    <w:qFormat/>
    <w:uiPriority w:val="0"/>
    <w:pPr>
      <w:snapToGrid w:val="0"/>
      <w:jc w:val="left"/>
    </w:pPr>
    <w:rPr>
      <w:rFonts w:ascii="Calibri" w:hAnsi="Calibri"/>
      <w:szCs w:val="22"/>
    </w:rPr>
  </w:style>
  <w:style w:type="paragraph" w:styleId="31">
    <w:name w:val="Balloon Text"/>
    <w:basedOn w:val="1"/>
    <w:qFormat/>
    <w:uiPriority w:val="0"/>
    <w:rPr>
      <w:sz w:val="18"/>
      <w:szCs w:val="18"/>
    </w:rPr>
  </w:style>
  <w:style w:type="paragraph" w:styleId="32">
    <w:name w:val="footer"/>
    <w:basedOn w:val="1"/>
    <w:qFormat/>
    <w:uiPriority w:val="0"/>
    <w:pPr>
      <w:tabs>
        <w:tab w:val="center" w:pos="4153"/>
        <w:tab w:val="right" w:pos="8306"/>
      </w:tabs>
      <w:snapToGrid w:val="0"/>
      <w:jc w:val="left"/>
    </w:pPr>
    <w:rPr>
      <w:sz w:val="18"/>
      <w:szCs w:val="18"/>
    </w:rPr>
  </w:style>
  <w:style w:type="paragraph" w:styleId="3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0"/>
    <w:pPr>
      <w:tabs>
        <w:tab w:val="right" w:leader="dot" w:pos="8296"/>
        <w:tab w:val="right" w:leader="dot" w:pos="8398"/>
      </w:tabs>
      <w:spacing w:before="120" w:after="120" w:line="320" w:lineRule="exact"/>
      <w:ind w:firstLine="400" w:firstLineChars="400"/>
      <w:jc w:val="left"/>
    </w:pPr>
    <w:rPr>
      <w:rFonts w:ascii="仿宋_GB2312" w:eastAsia="仿宋_GB2312" w:cs="Courier New"/>
      <w:bCs/>
      <w:caps/>
      <w:szCs w:val="21"/>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qFormat/>
    <w:uiPriority w:val="0"/>
    <w:pPr>
      <w:spacing w:after="120"/>
      <w:ind w:left="200" w:leftChars="200"/>
    </w:pPr>
    <w:rPr>
      <w:sz w:val="16"/>
      <w:szCs w:val="16"/>
    </w:rPr>
  </w:style>
  <w:style w:type="paragraph" w:styleId="40">
    <w:name w:val="toc 2"/>
    <w:basedOn w:val="1"/>
    <w:next w:val="1"/>
    <w:qFormat/>
    <w:uiPriority w:val="0"/>
    <w:pPr>
      <w:ind w:left="20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qFormat/>
    <w:uiPriority w:val="0"/>
    <w:pPr>
      <w:spacing w:after="120" w:line="480" w:lineRule="auto"/>
    </w:p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rPr>
  </w:style>
  <w:style w:type="paragraph" w:styleId="44">
    <w:name w:val="Normal (Web)"/>
    <w:basedOn w:val="1"/>
    <w:qFormat/>
    <w:uiPriority w:val="0"/>
    <w:pPr>
      <w:widowControl/>
      <w:spacing w:before="100" w:beforeAutospacing="1" w:after="100" w:afterAutospacing="1"/>
      <w:jc w:val="left"/>
    </w:pPr>
    <w:rPr>
      <w:rFonts w:ascii="宋体"/>
      <w:kern w:val="0"/>
      <w:sz w:val="24"/>
    </w:rPr>
  </w:style>
  <w:style w:type="paragraph" w:styleId="45">
    <w:name w:val="index 1"/>
    <w:basedOn w:val="1"/>
    <w:next w:val="1"/>
    <w:qFormat/>
    <w:uiPriority w:val="0"/>
    <w:pPr>
      <w:spacing w:line="400" w:lineRule="exact"/>
      <w:ind w:firstLine="200" w:firstLineChars="200"/>
    </w:pPr>
    <w:rPr>
      <w:rFonts w:ascii="宋体"/>
      <w:b/>
      <w:szCs w:val="20"/>
    </w:rPr>
  </w:style>
  <w:style w:type="paragraph" w:styleId="46">
    <w:name w:val="Title"/>
    <w:basedOn w:val="1"/>
    <w:qFormat/>
    <w:uiPriority w:val="0"/>
    <w:pPr>
      <w:spacing w:before="240" w:after="60"/>
      <w:jc w:val="center"/>
      <w:outlineLvl w:val="0"/>
    </w:pPr>
    <w:rPr>
      <w:rFonts w:ascii="Arial" w:hAnsi="Arial"/>
      <w:b/>
      <w:bCs/>
      <w:sz w:val="32"/>
      <w:szCs w:val="32"/>
    </w:rPr>
  </w:style>
  <w:style w:type="paragraph" w:styleId="47">
    <w:name w:val="annotation subject"/>
    <w:basedOn w:val="16"/>
    <w:next w:val="16"/>
    <w:qFormat/>
    <w:uiPriority w:val="0"/>
    <w:pPr>
      <w:adjustRightInd/>
      <w:spacing w:line="240" w:lineRule="auto"/>
      <w:textAlignment w:val="auto"/>
    </w:pPr>
    <w:rPr>
      <w:b/>
      <w:bCs/>
      <w:kern w:val="2"/>
      <w:sz w:val="21"/>
      <w:szCs w:val="24"/>
    </w:rPr>
  </w:style>
  <w:style w:type="paragraph" w:styleId="48">
    <w:name w:val="Body Text First Indent"/>
    <w:basedOn w:val="19"/>
    <w:unhideWhenUsed/>
    <w:qFormat/>
    <w:uiPriority w:val="99"/>
    <w:pPr>
      <w:ind w:firstLine="420" w:firstLineChars="100"/>
    </w:pPr>
    <w:rPr>
      <w:kern w:val="0"/>
    </w:rPr>
  </w:style>
  <w:style w:type="table" w:styleId="50">
    <w:name w:val="Table Grid"/>
    <w:basedOn w:val="4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0"/>
    <w:rPr>
      <w:color w:val="800080"/>
      <w:u w:val="single"/>
    </w:rPr>
  </w:style>
  <w:style w:type="character" w:styleId="55">
    <w:name w:val="Emphasis"/>
    <w:qFormat/>
    <w:uiPriority w:val="0"/>
    <w:rPr>
      <w:color w:val="CC0000"/>
    </w:rPr>
  </w:style>
  <w:style w:type="character" w:styleId="56">
    <w:name w:val="Hyperlink"/>
    <w:qFormat/>
    <w:uiPriority w:val="0"/>
    <w:rPr>
      <w:color w:val="0000FF"/>
      <w:u w:val="single"/>
    </w:rPr>
  </w:style>
  <w:style w:type="character" w:styleId="57">
    <w:name w:val="annotation reference"/>
    <w:qFormat/>
    <w:uiPriority w:val="0"/>
    <w:rPr>
      <w:sz w:val="21"/>
      <w:szCs w:val="21"/>
    </w:rPr>
  </w:style>
  <w:style w:type="character" w:customStyle="1" w:styleId="58">
    <w:name w:val="批注文字 Char"/>
    <w:link w:val="16"/>
    <w:qFormat/>
    <w:uiPriority w:val="0"/>
    <w:rPr>
      <w:rFonts w:eastAsia="宋体"/>
      <w:sz w:val="24"/>
    </w:rPr>
  </w:style>
  <w:style w:type="character" w:customStyle="1" w:styleId="59">
    <w:name w:val="纯文本 Char"/>
    <w:link w:val="26"/>
    <w:qFormat/>
    <w:uiPriority w:val="0"/>
    <w:rPr>
      <w:rFonts w:ascii="宋体" w:eastAsia="宋体" w:cs="Courier New"/>
      <w:kern w:val="2"/>
      <w:sz w:val="21"/>
      <w:szCs w:val="21"/>
    </w:rPr>
  </w:style>
  <w:style w:type="character" w:customStyle="1" w:styleId="60">
    <w:name w:val="自定义标题一 Char Char"/>
    <w:qFormat/>
    <w:uiPriority w:val="0"/>
    <w:rPr>
      <w:rFonts w:asci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61">
    <w:name w:val=" Char Char Char Char Char"/>
    <w:qFormat/>
    <w:uiPriority w:val="0"/>
    <w:rPr>
      <w:rFonts w:eastAsia="宋体"/>
      <w:b/>
      <w:bCs/>
      <w:kern w:val="44"/>
      <w:sz w:val="44"/>
      <w:szCs w:val="44"/>
      <w:lang w:val="en-US" w:eastAsia="zh-CN" w:bidi="ar-SA"/>
    </w:rPr>
  </w:style>
  <w:style w:type="character" w:customStyle="1" w:styleId="62">
    <w:name w:val="ca-0"/>
    <w:qFormat/>
    <w:uiPriority w:val="0"/>
  </w:style>
  <w:style w:type="character" w:customStyle="1" w:styleId="63">
    <w:name w:val=" Char Char15"/>
    <w:qFormat/>
    <w:uiPriority w:val="0"/>
    <w:rPr>
      <w:sz w:val="18"/>
      <w:szCs w:val="18"/>
    </w:rPr>
  </w:style>
  <w:style w:type="character" w:customStyle="1" w:styleId="64">
    <w:name w:val="正文文本缩进 Char1"/>
    <w:qFormat/>
    <w:uiPriority w:val="0"/>
    <w:rPr>
      <w:kern w:val="2"/>
      <w:sz w:val="21"/>
      <w:szCs w:val="22"/>
    </w:rPr>
  </w:style>
  <w:style w:type="character" w:customStyle="1" w:styleId="65">
    <w:name w:val=" Char Char10"/>
    <w:qFormat/>
    <w:uiPriority w:val="0"/>
    <w:rPr>
      <w:rFonts w:eastAsia="宋体"/>
      <w:kern w:val="2"/>
      <w:sz w:val="24"/>
      <w:szCs w:val="24"/>
      <w:lang w:val="en-US" w:eastAsia="zh-CN" w:bidi="ar-SA"/>
    </w:rPr>
  </w:style>
  <w:style w:type="character" w:customStyle="1" w:styleId="66">
    <w:name w:val="unnamed3"/>
    <w:basedOn w:val="51"/>
    <w:qFormat/>
    <w:uiPriority w:val="0"/>
  </w:style>
  <w:style w:type="character" w:customStyle="1" w:styleId="67">
    <w:name w:val="H1 Char2"/>
    <w:qFormat/>
    <w:uiPriority w:val="0"/>
    <w:rPr>
      <w:rFonts w:eastAsia="宋体"/>
      <w:b/>
      <w:bCs/>
      <w:kern w:val="44"/>
      <w:sz w:val="44"/>
      <w:szCs w:val="44"/>
      <w:lang w:val="en-US" w:eastAsia="zh-CN" w:bidi="ar-SA"/>
    </w:rPr>
  </w:style>
  <w:style w:type="character" w:customStyle="1" w:styleId="68">
    <w:name w:val="style31"/>
    <w:qFormat/>
    <w:uiPriority w:val="0"/>
    <w:rPr>
      <w:sz w:val="18"/>
      <w:szCs w:val="18"/>
    </w:rPr>
  </w:style>
  <w:style w:type="character" w:customStyle="1" w:styleId="69">
    <w:name w:val="无间隔 Char Char"/>
    <w:qFormat/>
    <w:uiPriority w:val="0"/>
    <w:rPr>
      <w:rFonts w:ascii="Calibri" w:hAnsi="Calibri" w:eastAsia="宋体"/>
      <w:sz w:val="22"/>
      <w:szCs w:val="22"/>
      <w:lang w:val="en-US" w:eastAsia="zh-CN" w:bidi="ar-SA"/>
    </w:rPr>
  </w:style>
  <w:style w:type="character" w:customStyle="1" w:styleId="70">
    <w:name w:val="正文文字首行缩进 Char"/>
    <w:qFormat/>
    <w:uiPriority w:val="0"/>
    <w:rPr>
      <w:rFonts w:ascii="仿宋_GB2312" w:eastAsia="仿宋_GB2312"/>
      <w:kern w:val="2"/>
      <w:sz w:val="32"/>
    </w:rPr>
  </w:style>
  <w:style w:type="character" w:customStyle="1" w:styleId="71">
    <w:name w:val="H1 Char"/>
    <w:qFormat/>
    <w:uiPriority w:val="0"/>
    <w:rPr>
      <w:rFonts w:eastAsia="宋体"/>
      <w:b/>
      <w:bCs/>
      <w:kern w:val="44"/>
      <w:sz w:val="44"/>
      <w:szCs w:val="44"/>
      <w:lang w:val="en-US" w:eastAsia="zh-CN" w:bidi="ar-SA"/>
    </w:rPr>
  </w:style>
  <w:style w:type="character" w:customStyle="1" w:styleId="72">
    <w:name w:val=" Char Char14"/>
    <w:qFormat/>
    <w:uiPriority w:val="0"/>
    <w:rPr>
      <w:sz w:val="18"/>
      <w:szCs w:val="18"/>
    </w:rPr>
  </w:style>
  <w:style w:type="character" w:customStyle="1" w:styleId="73">
    <w:name w:val="普通文字 Char Char2"/>
    <w:qFormat/>
    <w:uiPriority w:val="0"/>
    <w:rPr>
      <w:rFonts w:ascii="宋体" w:eastAsia="宋体"/>
      <w:kern w:val="2"/>
      <w:sz w:val="21"/>
      <w:lang w:val="en-US" w:eastAsia="zh-CN" w:bidi="ar-SA"/>
    </w:rPr>
  </w:style>
  <w:style w:type="character" w:customStyle="1" w:styleId="74">
    <w:name w:val="p1"/>
    <w:basedOn w:val="51"/>
    <w:qFormat/>
    <w:uiPriority w:val="0"/>
  </w:style>
  <w:style w:type="character" w:customStyle="1" w:styleId="75">
    <w:name w:val="apple-style-span"/>
    <w:basedOn w:val="51"/>
    <w:qFormat/>
    <w:uiPriority w:val="0"/>
  </w:style>
  <w:style w:type="character" w:customStyle="1" w:styleId="76">
    <w:name w:val="H1 Char1"/>
    <w:qFormat/>
    <w:uiPriority w:val="0"/>
    <w:rPr>
      <w:rFonts w:eastAsia="宋体"/>
      <w:b/>
      <w:bCs/>
      <w:kern w:val="44"/>
      <w:sz w:val="44"/>
      <w:szCs w:val="44"/>
      <w:lang w:val="en-US" w:eastAsia="zh-CN" w:bidi="ar-SA"/>
    </w:rPr>
  </w:style>
  <w:style w:type="character" w:customStyle="1" w:styleId="77">
    <w:name w:val="cubane_hilight1"/>
    <w:qFormat/>
    <w:uiPriority w:val="0"/>
    <w:rPr>
      <w:color w:val="CC0000"/>
    </w:rPr>
  </w:style>
  <w:style w:type="character" w:customStyle="1" w:styleId="78">
    <w:name w:val="Char Char17"/>
    <w:qFormat/>
    <w:uiPriority w:val="0"/>
    <w:rPr>
      <w:rFonts w:ascii="Times New Roman" w:hAnsi="Times New Roman" w:cs="Times New Roman"/>
      <w:b/>
      <w:bCs/>
      <w:kern w:val="2"/>
      <w:sz w:val="21"/>
      <w:szCs w:val="24"/>
      <w:lang w:bidi="ar-SA"/>
    </w:rPr>
  </w:style>
  <w:style w:type="character" w:customStyle="1" w:styleId="79">
    <w:name w:val="llyf92"/>
    <w:qFormat/>
    <w:uiPriority w:val="0"/>
    <w:rPr>
      <w:sz w:val="18"/>
      <w:szCs w:val="18"/>
    </w:rPr>
  </w:style>
  <w:style w:type="character" w:customStyle="1" w:styleId="80">
    <w:name w:val="1ji Char Char"/>
    <w:qFormat/>
    <w:uiPriority w:val="0"/>
    <w:rPr>
      <w:rFonts w:ascii="宋体" w:eastAsia="宋体"/>
      <w:b/>
      <w:bCs/>
      <w:kern w:val="44"/>
      <w:sz w:val="36"/>
      <w:szCs w:val="44"/>
    </w:rPr>
  </w:style>
  <w:style w:type="character" w:customStyle="1" w:styleId="81">
    <w:name w:val="Body Text Char"/>
    <w:qFormat/>
    <w:uiPriority w:val="0"/>
    <w:rPr>
      <w:rFonts w:eastAsia="宋体"/>
      <w:kern w:val="2"/>
      <w:sz w:val="24"/>
      <w:szCs w:val="24"/>
      <w:lang w:val="en-US" w:eastAsia="zh-CN" w:bidi="ar-SA"/>
    </w:rPr>
  </w:style>
  <w:style w:type="character" w:customStyle="1" w:styleId="82">
    <w:name w:val=" Char Char11"/>
    <w:qFormat/>
    <w:uiPriority w:val="0"/>
    <w:rPr>
      <w:rFonts w:ascii="Times New Roman" w:hAnsi="Times New Roman" w:eastAsia="宋体" w:cs="Times New Roman"/>
      <w:sz w:val="30"/>
      <w:szCs w:val="24"/>
      <w:lang w:bidi="ar-SA"/>
    </w:rPr>
  </w:style>
  <w:style w:type="character" w:customStyle="1" w:styleId="83">
    <w:name w:val="style161"/>
    <w:qFormat/>
    <w:uiPriority w:val="0"/>
    <w:rPr>
      <w:color w:val="666666"/>
    </w:rPr>
  </w:style>
  <w:style w:type="character" w:customStyle="1" w:styleId="84">
    <w:name w:val="标题 Char1"/>
    <w:qFormat/>
    <w:uiPriority w:val="0"/>
    <w:rPr>
      <w:rFonts w:ascii="Cambria" w:hAnsi="Cambria" w:cs="Times New Roman"/>
      <w:b/>
      <w:bCs/>
      <w:kern w:val="2"/>
      <w:sz w:val="32"/>
      <w:szCs w:val="32"/>
      <w:lang w:bidi="ar-SA"/>
    </w:rPr>
  </w:style>
  <w:style w:type="character" w:customStyle="1" w:styleId="85">
    <w:name w:val="纯文本 Char1"/>
    <w:qFormat/>
    <w:uiPriority w:val="0"/>
    <w:rPr>
      <w:rFonts w:ascii="宋体" w:eastAsia="宋体" w:cs="Courier New"/>
      <w:kern w:val="2"/>
      <w:sz w:val="21"/>
      <w:szCs w:val="21"/>
      <w:lang w:val="en-US" w:eastAsia="zh-CN" w:bidi="ar-SA"/>
    </w:rPr>
  </w:style>
  <w:style w:type="character" w:customStyle="1" w:styleId="86">
    <w:name w:val="普通文字 Char Char4"/>
    <w:qFormat/>
    <w:uiPriority w:val="0"/>
    <w:rPr>
      <w:rFonts w:ascii="宋体" w:eastAsia="宋体" w:cs="Courier New"/>
      <w:kern w:val="2"/>
      <w:sz w:val="21"/>
      <w:szCs w:val="21"/>
      <w:lang w:val="en-US" w:eastAsia="zh-CN" w:bidi="ar-SA"/>
    </w:rPr>
  </w:style>
  <w:style w:type="character" w:customStyle="1" w:styleId="87">
    <w:name w:val="style21"/>
    <w:qFormat/>
    <w:uiPriority w:val="0"/>
    <w:rPr>
      <w:sz w:val="18"/>
      <w:szCs w:val="18"/>
    </w:rPr>
  </w:style>
  <w:style w:type="character" w:customStyle="1" w:styleId="88">
    <w:name w:val=" Char Char23"/>
    <w:qFormat/>
    <w:uiPriority w:val="0"/>
    <w:rPr>
      <w:rFonts w:ascii="Times New Roman" w:hAnsi="Times New Roman" w:eastAsia="宋体" w:cs="Times New Roman"/>
      <w:b/>
      <w:bCs/>
      <w:kern w:val="44"/>
      <w:sz w:val="44"/>
      <w:szCs w:val="44"/>
      <w:lang w:bidi="ar-SA"/>
    </w:rPr>
  </w:style>
  <w:style w:type="paragraph" w:customStyle="1" w:styleId="89">
    <w:name w:val="List Paragraph1"/>
    <w:basedOn w:val="1"/>
    <w:qFormat/>
    <w:uiPriority w:val="0"/>
    <w:pPr>
      <w:ind w:firstLine="200" w:firstLineChars="200"/>
    </w:pPr>
    <w:rPr>
      <w:rFonts w:ascii="Calibri" w:hAnsi="Calibri"/>
      <w:szCs w:val="22"/>
    </w:rPr>
  </w:style>
  <w:style w:type="paragraph" w:customStyle="1" w:styleId="90">
    <w:name w:val="目录4"/>
    <w:basedOn w:val="1"/>
    <w:next w:val="1"/>
    <w:qFormat/>
    <w:uiPriority w:val="0"/>
    <w:pPr>
      <w:widowControl/>
      <w:tabs>
        <w:tab w:val="left" w:leader="dot" w:pos="8503"/>
      </w:tabs>
      <w:spacing w:line="317" w:lineRule="atLeast"/>
      <w:ind w:firstLine="629"/>
      <w:textAlignment w:val="baseline"/>
    </w:pPr>
    <w:rPr>
      <w:color w:val="000000"/>
      <w:kern w:val="0"/>
      <w:szCs w:val="20"/>
      <w:u w:color="000000"/>
    </w:rPr>
  </w:style>
  <w:style w:type="paragraph" w:customStyle="1" w:styleId="91">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92">
    <w:name w:val="目录3"/>
    <w:basedOn w:val="1"/>
    <w:next w:val="1"/>
    <w:qFormat/>
    <w:uiPriority w:val="0"/>
    <w:pPr>
      <w:widowControl/>
      <w:tabs>
        <w:tab w:val="left" w:leader="dot" w:pos="8503"/>
      </w:tabs>
      <w:spacing w:line="317" w:lineRule="atLeast"/>
      <w:ind w:firstLine="419"/>
      <w:textAlignment w:val="baseline"/>
    </w:pPr>
    <w:rPr>
      <w:color w:val="000000"/>
      <w:kern w:val="0"/>
      <w:szCs w:val="20"/>
      <w:u w:color="000000"/>
    </w:rPr>
  </w:style>
  <w:style w:type="paragraph" w:customStyle="1" w:styleId="93">
    <w:name w:val="1ji"/>
    <w:basedOn w:val="2"/>
    <w:qFormat/>
    <w:uiPriority w:val="0"/>
    <w:pPr>
      <w:keepLines w:val="0"/>
      <w:widowControl/>
      <w:spacing w:before="0" w:after="0" w:line="240" w:lineRule="auto"/>
      <w:jc w:val="center"/>
    </w:pPr>
    <w:rPr>
      <w:rFonts w:ascii="宋体"/>
      <w:sz w:val="36"/>
    </w:rPr>
  </w:style>
  <w:style w:type="paragraph" w:customStyle="1" w:styleId="94">
    <w:name w:val=" Char"/>
    <w:basedOn w:val="15"/>
    <w:qFormat/>
    <w:uiPriority w:val="0"/>
    <w:pPr>
      <w:widowControl/>
      <w:ind w:firstLine="454"/>
      <w:jc w:val="left"/>
    </w:pPr>
    <w:rPr>
      <w:rFonts w:ascii="Tahoma" w:hAnsi="Tahoma" w:cs="宋体"/>
      <w:kern w:val="0"/>
      <w:sz w:val="24"/>
      <w:szCs w:val="20"/>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bCs/>
      <w:sz w:val="28"/>
      <w:szCs w:val="20"/>
    </w:rPr>
  </w:style>
  <w:style w:type="paragraph" w:customStyle="1" w:styleId="96">
    <w:name w:val="Char Char Char Char"/>
    <w:basedOn w:val="15"/>
    <w:qFormat/>
    <w:uiPriority w:val="0"/>
    <w:pPr>
      <w:adjustRightInd w:val="0"/>
      <w:snapToGrid w:val="0"/>
      <w:spacing w:line="360" w:lineRule="auto"/>
    </w:pPr>
    <w:rPr>
      <w:rFonts w:ascii="Tahoma" w:hAnsi="Tahoma"/>
      <w:sz w:val="24"/>
    </w:rPr>
  </w:style>
  <w:style w:type="paragraph" w:customStyle="1" w:styleId="97">
    <w:name w:val="_Style 35"/>
    <w:basedOn w:val="15"/>
    <w:qFormat/>
    <w:uiPriority w:val="0"/>
    <w:pPr>
      <w:widowControl/>
      <w:ind w:firstLine="454"/>
      <w:jc w:val="left"/>
    </w:pPr>
  </w:style>
  <w:style w:type="paragraph" w:customStyle="1" w:styleId="98">
    <w:name w:val="表内文字"/>
    <w:basedOn w:val="1"/>
    <w:qFormat/>
    <w:uiPriority w:val="0"/>
    <w:pPr>
      <w:snapToGrid w:val="0"/>
      <w:spacing w:before="50" w:after="50" w:line="360" w:lineRule="exact"/>
    </w:pPr>
    <w:rPr>
      <w:rFonts w:ascii="宋体"/>
      <w:b/>
      <w:color w:val="0000FF"/>
      <w:szCs w:val="21"/>
    </w:rPr>
  </w:style>
  <w:style w:type="paragraph" w:customStyle="1" w:styleId="99">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00">
    <w:name w:val="正文段"/>
    <w:basedOn w:val="1"/>
    <w:qFormat/>
    <w:uiPriority w:val="0"/>
    <w:pPr>
      <w:widowControl/>
      <w:snapToGrid w:val="0"/>
      <w:spacing w:afterLines="50"/>
      <w:ind w:firstLine="200" w:firstLineChars="200"/>
    </w:pPr>
    <w:rPr>
      <w:kern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02">
    <w:name w:val="444"/>
    <w:basedOn w:val="1"/>
    <w:qFormat/>
    <w:uiPriority w:val="0"/>
    <w:pPr>
      <w:adjustRightInd w:val="0"/>
      <w:spacing w:line="312" w:lineRule="atLeast"/>
      <w:jc w:val="center"/>
      <w:textAlignment w:val="baseline"/>
    </w:pPr>
    <w:rPr>
      <w:b/>
      <w:kern w:val="0"/>
      <w:sz w:val="36"/>
      <w:szCs w:val="36"/>
    </w:rPr>
  </w:style>
  <w:style w:type="paragraph" w:customStyle="1" w:styleId="103">
    <w:name w:val="列出段落1"/>
    <w:qFormat/>
    <w:uiPriority w:val="0"/>
    <w:pPr>
      <w:ind w:firstLine="200" w:firstLineChars="200"/>
    </w:pPr>
    <w:rPr>
      <w:rFonts w:ascii="Calibri" w:hAnsi="Calibri" w:eastAsia="宋体" w:cs="Times New Roman"/>
      <w:szCs w:val="22"/>
      <w:lang w:val="en-US" w:eastAsia="zh-CN" w:bidi="ar-SA"/>
    </w:rPr>
  </w:style>
  <w:style w:type="paragraph" w:customStyle="1" w:styleId="104">
    <w:name w:val="目录标题"/>
    <w:basedOn w:val="1"/>
    <w:next w:val="1"/>
    <w:qFormat/>
    <w:uiPriority w:val="0"/>
    <w:pPr>
      <w:widowControl/>
      <w:spacing w:before="566" w:after="544" w:line="566" w:lineRule="atLeast"/>
      <w:ind w:firstLine="419"/>
      <w:jc w:val="center"/>
      <w:textAlignment w:val="baseline"/>
    </w:pPr>
    <w:rPr>
      <w:rFonts w:ascii="Arial" w:hAnsi="Arial" w:eastAsia="黑体"/>
      <w:color w:val="000000"/>
      <w:spacing w:val="566"/>
      <w:kern w:val="0"/>
      <w:sz w:val="54"/>
      <w:szCs w:val="20"/>
      <w:u w:color="000000"/>
    </w:rPr>
  </w:style>
  <w:style w:type="paragraph" w:customStyle="1" w:styleId="105">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06">
    <w:name w:val="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自定义标题一"/>
    <w:basedOn w:val="2"/>
    <w:qFormat/>
    <w:uiPriority w:val="0"/>
    <w:pPr>
      <w:pageBreakBefore/>
      <w:tabs>
        <w:tab w:val="left" w:pos="144"/>
      </w:tabs>
      <w:spacing w:before="0" w:after="0" w:line="360" w:lineRule="auto"/>
      <w:ind w:left="144" w:hanging="144"/>
      <w:jc w:val="center"/>
    </w:pPr>
    <w:rPr>
      <w:rFonts w:ascii="黑体" w:eastAsia="黑体"/>
      <w14:shadow w14:blurRad="50800" w14:dist="38100" w14:dir="2700000" w14:sx="100000" w14:sy="100000" w14:kx="0" w14:ky="0" w14:algn="tl">
        <w14:srgbClr w14:val="000000">
          <w14:alpha w14:val="60000"/>
        </w14:srgbClr>
      </w14:shadow>
    </w:rPr>
  </w:style>
  <w:style w:type="paragraph" w:customStyle="1" w:styleId="108">
    <w:name w:val="Plain Text"/>
    <w:basedOn w:val="1"/>
    <w:qFormat/>
    <w:uiPriority w:val="0"/>
    <w:rPr>
      <w:rFonts w:ascii="宋体"/>
      <w:szCs w:val="20"/>
    </w:rPr>
  </w:style>
  <w:style w:type="paragraph" w:customStyle="1" w:styleId="109">
    <w:name w:val="正文首行缩进两字符"/>
    <w:basedOn w:val="1"/>
    <w:qFormat/>
    <w:uiPriority w:val="0"/>
    <w:pPr>
      <w:spacing w:line="360" w:lineRule="auto"/>
      <w:ind w:firstLine="200" w:firstLineChars="200"/>
    </w:pPr>
  </w:style>
  <w:style w:type="paragraph" w:customStyle="1" w:styleId="110">
    <w:name w:val="小节标题"/>
    <w:basedOn w:val="1"/>
    <w:next w:val="1"/>
    <w:qFormat/>
    <w:uiPriority w:val="0"/>
    <w:pPr>
      <w:widowControl/>
      <w:spacing w:before="175" w:after="102" w:line="351" w:lineRule="atLeast"/>
      <w:textAlignment w:val="baseline"/>
    </w:pPr>
    <w:rPr>
      <w:rFonts w:eastAsia="黑体"/>
      <w:color w:val="000000"/>
      <w:kern w:val="0"/>
      <w:szCs w:val="20"/>
      <w:u w:color="000000"/>
    </w:rPr>
  </w:style>
  <w:style w:type="paragraph" w:customStyle="1" w:styleId="111">
    <w:name w:val="Char Char Char Char Char Char Char Char Char"/>
    <w:basedOn w:val="1"/>
    <w:qFormat/>
    <w:uiPriority w:val="0"/>
    <w:pPr>
      <w:widowControl/>
      <w:spacing w:after="160" w:line="240" w:lineRule="exact"/>
      <w:jc w:val="left"/>
    </w:pPr>
    <w:rPr>
      <w:szCs w:val="20"/>
    </w:rPr>
  </w:style>
  <w:style w:type="paragraph" w:customStyle="1" w:styleId="1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3">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14">
    <w:name w:val="样式 正文文字 + 小四 段后: 0 磅 行距: 1.5 倍行距"/>
    <w:basedOn w:val="19"/>
    <w:qFormat/>
    <w:uiPriority w:val="0"/>
    <w:pPr>
      <w:spacing w:line="360" w:lineRule="auto"/>
      <w:ind w:firstLine="200" w:firstLineChars="200"/>
    </w:pPr>
    <w:rPr>
      <w:rFonts w:cs="宋体"/>
      <w:szCs w:val="20"/>
    </w:rPr>
  </w:style>
  <w:style w:type="paragraph" w:customStyle="1" w:styleId="115">
    <w:name w:val="目录1"/>
    <w:basedOn w:val="1"/>
    <w:next w:val="1"/>
    <w:qFormat/>
    <w:uiPriority w:val="0"/>
    <w:pPr>
      <w:widowControl/>
      <w:tabs>
        <w:tab w:val="left" w:leader="dot" w:pos="8503"/>
      </w:tabs>
      <w:spacing w:after="136" w:line="289" w:lineRule="atLeast"/>
      <w:jc w:val="left"/>
      <w:textAlignment w:val="baseline"/>
    </w:pPr>
    <w:rPr>
      <w:rFonts w:ascii="Arial" w:hAnsi="Arial" w:eastAsia="黑体"/>
      <w:color w:val="000000"/>
      <w:kern w:val="0"/>
      <w:sz w:val="28"/>
      <w:szCs w:val="20"/>
      <w:u w:color="000000"/>
    </w:rPr>
  </w:style>
  <w:style w:type="paragraph" w:customStyle="1" w:styleId="116">
    <w:name w:val=" Char Char1 Char Char Char Char"/>
    <w:basedOn w:val="15"/>
    <w:qFormat/>
    <w:uiPriority w:val="0"/>
    <w:rPr>
      <w:rFonts w:ascii="Tahoma" w:hAnsi="Tahoma"/>
      <w:sz w:val="24"/>
    </w:rPr>
  </w:style>
  <w:style w:type="paragraph" w:customStyle="1" w:styleId="117">
    <w:name w:val="4"/>
    <w:basedOn w:val="1"/>
    <w:next w:val="29"/>
    <w:qFormat/>
    <w:uiPriority w:val="0"/>
    <w:pPr>
      <w:spacing w:line="420" w:lineRule="exact"/>
      <w:ind w:firstLine="195" w:firstLineChars="195"/>
    </w:pPr>
  </w:style>
  <w:style w:type="paragraph" w:customStyle="1" w:styleId="118">
    <w:name w:val="p15"/>
    <w:basedOn w:val="1"/>
    <w:qFormat/>
    <w:uiPriority w:val="0"/>
    <w:pPr>
      <w:widowControl/>
    </w:pPr>
    <w:rPr>
      <w:rFonts w:ascii="宋体" w:cs="宋体"/>
      <w:kern w:val="0"/>
      <w:szCs w:val="21"/>
    </w:rPr>
  </w:style>
  <w:style w:type="paragraph" w:customStyle="1" w:styleId="119">
    <w:name w:val="文章附标题"/>
    <w:basedOn w:val="1"/>
    <w:next w:val="2"/>
    <w:qFormat/>
    <w:uiPriority w:val="0"/>
    <w:pPr>
      <w:widowControl/>
      <w:spacing w:before="187" w:after="175" w:line="374" w:lineRule="atLeast"/>
      <w:jc w:val="center"/>
      <w:textAlignment w:val="baseline"/>
    </w:pPr>
    <w:rPr>
      <w:color w:val="000000"/>
      <w:kern w:val="0"/>
      <w:sz w:val="36"/>
      <w:szCs w:val="20"/>
      <w:u w:color="000000"/>
    </w:rPr>
  </w:style>
  <w:style w:type="paragraph" w:customStyle="1" w:styleId="120">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2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2">
    <w:name w:val="表格"/>
    <w:basedOn w:val="1"/>
    <w:qFormat/>
    <w:uiPriority w:val="0"/>
    <w:pPr>
      <w:spacing w:line="400" w:lineRule="exact"/>
    </w:pPr>
    <w:rPr>
      <w:sz w:val="24"/>
    </w:rPr>
  </w:style>
  <w:style w:type="paragraph" w:customStyle="1" w:styleId="123">
    <w:name w:val="样式 标题 3 + (中文) 黑体 小四 非加粗 段前: 7.8 磅 段后: 0 磅 行距: 固定值 20 磅"/>
    <w:basedOn w:val="4"/>
    <w:qFormat/>
    <w:uiPriority w:val="0"/>
    <w:pPr>
      <w:spacing w:before="0" w:after="0" w:line="400" w:lineRule="exact"/>
    </w:pPr>
    <w:rPr>
      <w:rFonts w:cs="宋体"/>
      <w:b w:val="0"/>
      <w:bCs w:val="0"/>
      <w:sz w:val="24"/>
      <w:szCs w:val="20"/>
    </w:rPr>
  </w:style>
  <w:style w:type="paragraph" w:customStyle="1" w:styleId="124">
    <w:name w:val="样式 标题 2 + (西文) 宋体 非加粗 居中"/>
    <w:basedOn w:val="3"/>
    <w:qFormat/>
    <w:uiPriority w:val="0"/>
    <w:pPr>
      <w:jc w:val="center"/>
    </w:pPr>
    <w:rPr>
      <w:rFonts w:ascii="宋体" w:hAnsi="宋体" w:cs="宋体"/>
      <w:b/>
      <w:bCs/>
      <w:spacing w:val="2"/>
      <w:sz w:val="28"/>
      <w:szCs w:val="20"/>
    </w:rPr>
  </w:style>
  <w:style w:type="paragraph" w:customStyle="1" w:styleId="125">
    <w:name w:val="文章总标题"/>
    <w:basedOn w:val="1"/>
    <w:next w:val="119"/>
    <w:qFormat/>
    <w:uiPriority w:val="0"/>
    <w:pPr>
      <w:widowControl/>
      <w:spacing w:before="566" w:after="544" w:line="566" w:lineRule="atLeast"/>
      <w:jc w:val="center"/>
      <w:textAlignment w:val="baseline"/>
    </w:pPr>
    <w:rPr>
      <w:rFonts w:ascii="Arial" w:hAnsi="Arial" w:eastAsia="黑体"/>
      <w:color w:val="000000"/>
      <w:kern w:val="0"/>
      <w:sz w:val="54"/>
      <w:szCs w:val="20"/>
      <w:u w:color="000000"/>
    </w:rPr>
  </w:style>
  <w:style w:type="paragraph" w:customStyle="1" w:styleId="126">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127">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8">
    <w:name w:val="Char"/>
    <w:basedOn w:val="15"/>
    <w:qFormat/>
    <w:uiPriority w:val="0"/>
    <w:pPr>
      <w:widowControl/>
      <w:ind w:firstLine="454"/>
      <w:jc w:val="left"/>
    </w:pPr>
    <w:rPr>
      <w:rFonts w:ascii="Tahoma" w:hAnsi="Tahoma" w:cs="宋体"/>
      <w:kern w:val="0"/>
      <w:sz w:val="24"/>
      <w:szCs w:val="20"/>
    </w:rPr>
  </w:style>
  <w:style w:type="paragraph" w:customStyle="1" w:styleId="129">
    <w:name w:val="默认段落字体 Para Char"/>
    <w:basedOn w:val="1"/>
    <w:qFormat/>
    <w:uiPriority w:val="0"/>
    <w:pPr>
      <w:adjustRightInd w:val="0"/>
      <w:spacing w:line="360" w:lineRule="auto"/>
    </w:pPr>
    <w:rPr>
      <w:szCs w:val="20"/>
    </w:rPr>
  </w:style>
  <w:style w:type="paragraph" w:customStyle="1" w:styleId="130">
    <w:name w:val="插图题注"/>
    <w:next w:val="1"/>
    <w:qFormat/>
    <w:uiPriority w:val="0"/>
    <w:pPr>
      <w:spacing w:afterLines="100"/>
      <w:ind w:left="1089" w:hanging="369"/>
      <w:jc w:val="center"/>
    </w:pPr>
    <w:rPr>
      <w:rFonts w:ascii="Arial" w:hAnsi="Arial" w:eastAsia="宋体" w:cs="Times New Roman"/>
      <w:sz w:val="18"/>
      <w:szCs w:val="18"/>
      <w:lang w:val="en-US" w:eastAsia="zh-CN" w:bidi="ar-SA"/>
    </w:rPr>
  </w:style>
  <w:style w:type="paragraph" w:customStyle="1" w:styleId="131">
    <w:name w:val="标题3"/>
    <w:basedOn w:val="4"/>
    <w:qFormat/>
    <w:uiPriority w:val="0"/>
    <w:pPr>
      <w:keepLines w:val="0"/>
      <w:widowControl/>
      <w:tabs>
        <w:tab w:val="left" w:pos="1247"/>
      </w:tabs>
      <w:spacing w:before="240" w:after="120" w:line="360" w:lineRule="auto"/>
      <w:ind w:left="1247" w:hanging="1247"/>
      <w:jc w:val="left"/>
    </w:pPr>
    <w:rPr>
      <w:sz w:val="52"/>
      <w:szCs w:val="52"/>
    </w:rPr>
  </w:style>
  <w:style w:type="paragraph" w:customStyle="1" w:styleId="132">
    <w:name w:val="正文文本缩进 Char Char Char Char"/>
    <w:basedOn w:val="1"/>
    <w:qFormat/>
    <w:uiPriority w:val="0"/>
    <w:pPr>
      <w:ind w:firstLine="540"/>
    </w:pPr>
    <w:rPr>
      <w:rFonts w:ascii="宋体"/>
      <w:szCs w:val="20"/>
    </w:rPr>
  </w:style>
  <w:style w:type="paragraph" w:customStyle="1" w:styleId="133">
    <w:name w:val="表格题注"/>
    <w:next w:val="1"/>
    <w:qFormat/>
    <w:uiPriority w:val="0"/>
    <w:pPr>
      <w:keepLines/>
      <w:spacing w:beforeLines="100"/>
      <w:ind w:left="1089" w:hanging="369"/>
      <w:jc w:val="center"/>
    </w:pPr>
    <w:rPr>
      <w:rFonts w:ascii="Arial" w:hAnsi="Arial" w:eastAsia="宋体" w:cs="Times New Roman"/>
      <w:sz w:val="18"/>
      <w:szCs w:val="18"/>
      <w:lang w:val="en-US" w:eastAsia="zh-CN" w:bidi="ar-SA"/>
    </w:rPr>
  </w:style>
  <w:style w:type="paragraph" w:styleId="134">
    <w:name w:val="List Paragraph"/>
    <w:basedOn w:val="1"/>
    <w:qFormat/>
    <w:uiPriority w:val="0"/>
    <w:pPr>
      <w:ind w:firstLine="200" w:firstLineChars="200"/>
    </w:pPr>
    <w:rPr>
      <w:rFonts w:ascii="Calibri" w:hAnsi="Calibri"/>
      <w:szCs w:val="22"/>
    </w:rPr>
  </w:style>
  <w:style w:type="paragraph" w:customStyle="1" w:styleId="135">
    <w:name w:val="F2"/>
    <w:basedOn w:val="1"/>
    <w:qFormat/>
    <w:uiPriority w:val="0"/>
    <w:pPr>
      <w:autoSpaceDE w:val="0"/>
      <w:autoSpaceDN w:val="0"/>
      <w:adjustRightInd w:val="0"/>
      <w:ind w:firstLine="601"/>
    </w:pPr>
    <w:rPr>
      <w:kern w:val="0"/>
      <w:sz w:val="24"/>
      <w:szCs w:val="20"/>
    </w:rPr>
  </w:style>
  <w:style w:type="paragraph" w:styleId="136">
    <w:name w:val="No Spacing"/>
    <w:qFormat/>
    <w:uiPriority w:val="0"/>
    <w:rPr>
      <w:rFonts w:ascii="Calibri" w:hAnsi="Calibri" w:eastAsia="宋体" w:cs="Times New Roman"/>
      <w:sz w:val="22"/>
      <w:szCs w:val="22"/>
      <w:lang w:val="en-US" w:eastAsia="zh-CN" w:bidi="ar-SA"/>
    </w:rPr>
  </w:style>
  <w:style w:type="paragraph" w:customStyle="1" w:styleId="137">
    <w:name w:val="目录2"/>
    <w:basedOn w:val="1"/>
    <w:next w:val="1"/>
    <w:qFormat/>
    <w:uiPriority w:val="0"/>
    <w:pPr>
      <w:widowControl/>
      <w:tabs>
        <w:tab w:val="left" w:leader="dot" w:pos="8503"/>
      </w:tabs>
      <w:spacing w:line="317" w:lineRule="atLeast"/>
      <w:ind w:firstLine="209"/>
      <w:textAlignment w:val="baseline"/>
    </w:pPr>
    <w:rPr>
      <w:color w:val="000000"/>
      <w:kern w:val="0"/>
      <w:szCs w:val="20"/>
      <w:u w:color="000000"/>
    </w:rPr>
  </w:style>
  <w:style w:type="paragraph" w:customStyle="1" w:styleId="138">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39">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40">
    <w:name w:val="默认段落字体 Para Char Char Char Char Char Char Char Char Char1 Char Char Char Char"/>
    <w:basedOn w:val="1"/>
    <w:qFormat/>
    <w:uiPriority w:val="0"/>
    <w:rPr>
      <w:rFonts w:ascii="Tahoma" w:hAnsi="Tahoma"/>
      <w:sz w:val="24"/>
      <w:szCs w:val="20"/>
    </w:rPr>
  </w:style>
  <w:style w:type="paragraph" w:customStyle="1" w:styleId="141">
    <w:name w:val="p0"/>
    <w:basedOn w:val="1"/>
    <w:qFormat/>
    <w:uiPriority w:val="0"/>
    <w:pPr>
      <w:widowControl/>
    </w:pPr>
    <w:rPr>
      <w:kern w:val="0"/>
      <w:szCs w:val="21"/>
    </w:rPr>
  </w:style>
  <w:style w:type="paragraph" w:customStyle="1" w:styleId="1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3">
    <w:name w:val="2-2ji"/>
    <w:basedOn w:val="3"/>
    <w:qFormat/>
    <w:uiPriority w:val="0"/>
    <w:pPr>
      <w:adjustRightInd w:val="0"/>
      <w:spacing w:before="0" w:after="0" w:line="360" w:lineRule="auto"/>
      <w:jc w:val="center"/>
      <w:textAlignment w:val="baseline"/>
    </w:pPr>
    <w:rPr>
      <w:rFonts w:ascii="宋体" w:eastAsia="宋体"/>
      <w:bCs/>
      <w:sz w:val="36"/>
    </w:rPr>
  </w:style>
  <w:style w:type="paragraph" w:customStyle="1" w:styleId="144">
    <w:name w:val="1"/>
    <w:basedOn w:val="1"/>
    <w:next w:val="26"/>
    <w:qFormat/>
    <w:uiPriority w:val="0"/>
    <w:rPr>
      <w:rFonts w:ascii="宋体"/>
      <w:szCs w:val="20"/>
    </w:rPr>
  </w:style>
  <w:style w:type="paragraph" w:customStyle="1" w:styleId="145">
    <w:name w:val="样式 首行缩进:  2 字符"/>
    <w:basedOn w:val="1"/>
    <w:qFormat/>
    <w:uiPriority w:val="0"/>
    <w:pPr>
      <w:spacing w:line="400" w:lineRule="exact"/>
      <w:ind w:firstLine="200" w:firstLineChars="200"/>
    </w:pPr>
    <w:rPr>
      <w:rFonts w:cs="宋体"/>
      <w:sz w:val="24"/>
    </w:rPr>
  </w:style>
  <w:style w:type="paragraph" w:customStyle="1" w:styleId="14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7">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8">
    <w:name w:val="Char1"/>
    <w:basedOn w:val="1"/>
    <w:qFormat/>
    <w:uiPriority w:val="0"/>
    <w:rPr>
      <w:szCs w:val="21"/>
    </w:rPr>
  </w:style>
  <w:style w:type="paragraph" w:customStyle="1" w:styleId="14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50">
    <w:name w:val="标题1"/>
    <w:basedOn w:val="2"/>
    <w:qFormat/>
    <w:uiPriority w:val="0"/>
    <w:pPr>
      <w:keepLines w:val="0"/>
      <w:widowControl/>
      <w:pBdr>
        <w:bottom w:val="single" w:color="auto" w:sz="8" w:space="6"/>
      </w:pBdr>
      <w:tabs>
        <w:tab w:val="left" w:pos="0"/>
      </w:tabs>
      <w:spacing w:before="480" w:after="240" w:line="360" w:lineRule="auto"/>
      <w:ind w:left="567" w:hanging="567"/>
      <w:jc w:val="left"/>
    </w:pPr>
    <w:rPr>
      <w:rFonts w:ascii="宋体"/>
      <w:smallCaps/>
      <w:color w:val="000000"/>
      <w:spacing w:val="10"/>
      <w:kern w:val="20"/>
      <w:sz w:val="21"/>
      <w:szCs w:val="21"/>
    </w:rPr>
  </w:style>
  <w:style w:type="paragraph" w:customStyle="1" w:styleId="151">
    <w:name w:val="节标题"/>
    <w:basedOn w:val="1"/>
    <w:next w:val="110"/>
    <w:qFormat/>
    <w:uiPriority w:val="0"/>
    <w:pPr>
      <w:widowControl/>
      <w:spacing w:line="289" w:lineRule="atLeast"/>
      <w:jc w:val="center"/>
      <w:textAlignment w:val="baseline"/>
    </w:pPr>
    <w:rPr>
      <w:color w:val="000000"/>
      <w:kern w:val="0"/>
      <w:sz w:val="28"/>
      <w:szCs w:val="20"/>
      <w:u w:color="000000"/>
    </w:rPr>
  </w:style>
  <w:style w:type="paragraph" w:customStyle="1" w:styleId="152">
    <w:name w:val="Body"/>
    <w:basedOn w:val="1"/>
    <w:qFormat/>
    <w:uiPriority w:val="0"/>
    <w:pPr>
      <w:widowControl/>
      <w:tabs>
        <w:tab w:val="left" w:pos="1980"/>
      </w:tabs>
      <w:spacing w:before="80" w:after="80" w:line="360" w:lineRule="auto"/>
      <w:jc w:val="center"/>
    </w:pPr>
    <w:rPr>
      <w:szCs w:val="21"/>
    </w:rPr>
  </w:style>
  <w:style w:type="paragraph" w:customStyle="1" w:styleId="153">
    <w:name w:val="样式1"/>
    <w:basedOn w:val="1"/>
    <w:qFormat/>
    <w:uiPriority w:val="0"/>
    <w:pPr>
      <w:spacing w:before="120" w:after="120" w:line="300" w:lineRule="auto"/>
    </w:pPr>
    <w:rPr>
      <w:rFonts w:ascii="宋体"/>
      <w:b/>
      <w:sz w:val="24"/>
      <w:szCs w:val="20"/>
    </w:rPr>
  </w:style>
  <w:style w:type="paragraph" w:customStyle="1" w:styleId="154">
    <w:name w:val="Revision"/>
    <w:qFormat/>
    <w:uiPriority w:val="0"/>
    <w:rPr>
      <w:rFonts w:ascii="Times New Roman" w:hAnsi="Times New Roman" w:eastAsia="宋体" w:cs="Times New Roman"/>
      <w:kern w:val="2"/>
      <w:sz w:val="21"/>
      <w:szCs w:val="24"/>
      <w:lang w:val="en-US" w:eastAsia="zh-CN" w:bidi="ar-SA"/>
    </w:rPr>
  </w:style>
  <w:style w:type="paragraph" w:customStyle="1" w:styleId="155">
    <w:name w:val="Char Char1 Char Char Char Char"/>
    <w:basedOn w:val="15"/>
    <w:qFormat/>
    <w:uiPriority w:val="0"/>
    <w:rPr>
      <w:rFonts w:ascii="Tahoma" w:hAnsi="Tahoma"/>
      <w:sz w:val="24"/>
    </w:rPr>
  </w:style>
  <w:style w:type="paragraph" w:customStyle="1" w:styleId="156">
    <w:name w:val=" Char2"/>
    <w:basedOn w:val="1"/>
    <w:qFormat/>
    <w:uiPriority w:val="0"/>
    <w:rPr>
      <w:szCs w:val="20"/>
    </w:rPr>
  </w:style>
  <w:style w:type="paragraph" w:customStyle="1" w:styleId="157">
    <w:name w:val="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8">
    <w:name w:val="2ji"/>
    <w:basedOn w:val="3"/>
    <w:qFormat/>
    <w:uiPriority w:val="0"/>
    <w:pPr>
      <w:adjustRightInd w:val="0"/>
      <w:spacing w:before="0" w:after="0" w:line="360" w:lineRule="auto"/>
      <w:textAlignment w:val="baseline"/>
    </w:pPr>
    <w:rPr>
      <w:rFonts w:ascii="宋体" w:eastAsia="宋体"/>
      <w:sz w:val="21"/>
      <w:szCs w:val="21"/>
    </w:rPr>
  </w:style>
  <w:style w:type="paragraph" w:customStyle="1" w:styleId="159">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0">
    <w:name w:val="样式3"/>
    <w:basedOn w:val="1"/>
    <w:qFormat/>
    <w:uiPriority w:val="0"/>
    <w:pPr>
      <w:tabs>
        <w:tab w:val="left" w:pos="560"/>
        <w:tab w:val="left" w:pos="1120"/>
      </w:tabs>
      <w:spacing w:line="480" w:lineRule="atLeast"/>
    </w:pPr>
    <w:rPr>
      <w:rFonts w:ascii="宋体" w:hAnsi="宋体" w:eastAsia="创艺简黑体"/>
      <w:szCs w:val="20"/>
    </w:rPr>
  </w:style>
  <w:style w:type="paragraph" w:customStyle="1" w:styleId="161">
    <w:name w:val="纯文本1"/>
    <w:basedOn w:val="1"/>
    <w:next w:val="1"/>
    <w:qFormat/>
    <w:uiPriority w:val="0"/>
    <w:rPr>
      <w:rFonts w:ascii="宋体" w:hAnsi="宋体"/>
      <w:sz w:val="20"/>
      <w:szCs w:val="21"/>
    </w:rPr>
  </w:style>
  <w:style w:type="paragraph" w:customStyle="1" w:styleId="162">
    <w:name w:val="正文图表"/>
    <w:qFormat/>
    <w:uiPriority w:val="0"/>
    <w:pPr>
      <w:jc w:val="center"/>
    </w:pPr>
    <w:rPr>
      <w:rFonts w:ascii="宋体" w:hAnsi="宋体" w:eastAsia="宋体" w:cs="Times New Roman"/>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107</Pages>
  <Words>27287</Words>
  <Characters>29310</Characters>
  <Lines>104</Lines>
  <Paragraphs>176</Paragraphs>
  <TotalTime>0</TotalTime>
  <ScaleCrop>false</ScaleCrop>
  <LinksUpToDate>false</LinksUpToDate>
  <CharactersWithSpaces>29577</CharactersWithSpaces>
  <Application>WPS Office_12.1.0.25225_F1E327BC-269C-435d-A152-05C5408002CA</Application>
  <DocSecurity>5</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2026-02-02T10:15:00Z</dcterms:created>
  <dc:creator>聂泉源</dc:creator>
  <cp:lastModifiedBy>代理</cp:lastModifiedBy>
  <cp:lastPrinted>2026-01-27T12:04:00Z</cp:lastPrinted>
  <dcterms:modified xsi:type="dcterms:W3CDTF">2026-02-10T11:58:06Z</dcterms:modified>
  <dc:title>3</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eyJoZGlkIjoiZWVmMGRlZmJkMmYyNWZiZjc4ZmU1MWI4YzAxZDlhNjgiLCJ1c2VySWQiOiIzNjQ5MTc2OTQifQ==</vt:lpwstr>
  </property>
  <property fmtid="{D5CDD505-2E9C-101B-9397-08002B2CF9AE}" pid="4" name="ICV">
    <vt:lpwstr>C29AEA0C9270431AA3630BD5D1D06D88_12</vt:lpwstr>
  </property>
</Properties>
</file>