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14C53">
      <w:pPr>
        <w:spacing w:beforeLines="50" w:line="360" w:lineRule="auto"/>
        <w:jc w:val="center"/>
        <w:rPr>
          <w:rFonts w:hint="eastAsia" w:ascii="宋体" w:hAnsi="宋体" w:cs="宋体"/>
          <w:color w:val="auto"/>
          <w:sz w:val="52"/>
          <w:szCs w:val="52"/>
          <w:highlight w:val="none"/>
          <w:lang w:eastAsia="zh-CN"/>
        </w:rPr>
      </w:pPr>
      <w:r>
        <w:rPr>
          <w:rFonts w:ascii="宋体" w:hAnsi="宋体"/>
          <w:b/>
          <w:color w:val="auto"/>
          <w:sz w:val="84"/>
          <w:szCs w:val="84"/>
          <w:highlight w:val="none"/>
        </w:rPr>
        <w:drawing>
          <wp:inline distT="0" distB="0" distL="114300" distR="114300">
            <wp:extent cx="2811145" cy="1315085"/>
            <wp:effectExtent l="0" t="0" r="825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811145" cy="1315085"/>
                    </a:xfrm>
                    <a:prstGeom prst="rect">
                      <a:avLst/>
                    </a:prstGeom>
                    <a:noFill/>
                    <a:ln>
                      <a:noFill/>
                    </a:ln>
                  </pic:spPr>
                </pic:pic>
              </a:graphicData>
            </a:graphic>
          </wp:inline>
        </w:drawing>
      </w:r>
    </w:p>
    <w:p w14:paraId="3E694341">
      <w:pPr>
        <w:spacing w:beforeLines="50"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广西众联工程项目管理有限公司</w:t>
      </w:r>
    </w:p>
    <w:p w14:paraId="69C65B90">
      <w:pPr>
        <w:snapToGrid w:val="0"/>
        <w:spacing w:beforeLines="50"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D6CEE7D">
      <w:pPr>
        <w:snapToGrid w:val="0"/>
        <w:spacing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378F5368">
      <w:pPr>
        <w:snapToGrid w:val="0"/>
        <w:spacing w:beforeLines="50" w:line="360" w:lineRule="auto"/>
        <w:jc w:val="center"/>
        <w:rPr>
          <w:rFonts w:ascii="宋体" w:hAnsi="宋体" w:cs="宋体"/>
          <w:color w:val="auto"/>
          <w:sz w:val="30"/>
          <w:szCs w:val="72"/>
          <w:highlight w:val="none"/>
        </w:rPr>
      </w:pPr>
    </w:p>
    <w:p w14:paraId="49A37584">
      <w:pPr>
        <w:snapToGrid w:val="0"/>
        <w:spacing w:beforeLines="50" w:line="360" w:lineRule="auto"/>
        <w:ind w:left="0" w:leftChars="0" w:firstLine="1928" w:firstLineChars="640"/>
        <w:jc w:val="both"/>
        <w:rPr>
          <w:rFonts w:hint="eastAsia" w:hAnsi="宋体" w:cs="宋体"/>
          <w:b/>
          <w:bCs/>
          <w:color w:val="auto"/>
          <w:sz w:val="30"/>
          <w:szCs w:val="30"/>
          <w:highlight w:val="none"/>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青秀山智慧化提升项目</w:t>
      </w:r>
    </w:p>
    <w:p w14:paraId="7422D95C">
      <w:pPr>
        <w:snapToGrid w:val="0"/>
        <w:spacing w:beforeLines="50" w:line="360" w:lineRule="auto"/>
        <w:ind w:left="0" w:leftChars="0" w:firstLine="1946" w:firstLineChars="646"/>
        <w:jc w:val="both"/>
        <w:rPr>
          <w:rFonts w:hint="eastAsia" w:ascii="宋体" w:hAnsi="宋体" w:eastAsia="宋体" w:cs="宋体"/>
          <w:b/>
          <w:color w:val="auto"/>
          <w:sz w:val="30"/>
          <w:szCs w:val="48"/>
          <w:highlight w:val="none"/>
          <w:lang w:val="en-US" w:eastAsia="zh-CN"/>
        </w:rPr>
      </w:pPr>
      <w:r>
        <w:rPr>
          <w:rFonts w:hint="eastAsia" w:ascii="宋体" w:hAnsi="宋体" w:cs="宋体"/>
          <w:b/>
          <w:bCs/>
          <w:color w:val="auto"/>
          <w:sz w:val="30"/>
          <w:szCs w:val="30"/>
          <w:highlight w:val="none"/>
        </w:rPr>
        <w:t>项目编号：</w:t>
      </w:r>
      <w:bookmarkStart w:id="0" w:name="OLE_LINK146"/>
      <w:r>
        <w:rPr>
          <w:rFonts w:hint="eastAsia" w:ascii="宋体" w:hAnsi="宋体" w:cs="宋体"/>
          <w:b/>
          <w:bCs/>
          <w:color w:val="auto"/>
          <w:sz w:val="30"/>
          <w:szCs w:val="30"/>
          <w:highlight w:val="none"/>
        </w:rPr>
        <w:t>GXZC2026-G1-000247-GXZL</w:t>
      </w:r>
    </w:p>
    <w:bookmarkEnd w:id="0"/>
    <w:p w14:paraId="33FA31C5">
      <w:pPr>
        <w:pStyle w:val="14"/>
        <w:snapToGrid w:val="0"/>
        <w:spacing w:before="50" w:after="120" w:line="360" w:lineRule="auto"/>
        <w:jc w:val="center"/>
        <w:rPr>
          <w:rFonts w:hAnsi="宋体" w:cs="宋体"/>
          <w:b/>
          <w:bCs/>
          <w:color w:val="auto"/>
          <w:w w:val="95"/>
          <w:sz w:val="30"/>
          <w:szCs w:val="30"/>
          <w:highlight w:val="none"/>
        </w:rPr>
      </w:pPr>
    </w:p>
    <w:p w14:paraId="3B066077">
      <w:pPr>
        <w:pStyle w:val="14"/>
        <w:snapToGrid w:val="0"/>
        <w:spacing w:before="50" w:after="120" w:line="360" w:lineRule="auto"/>
        <w:jc w:val="center"/>
        <w:rPr>
          <w:rFonts w:hAnsi="宋体" w:cs="宋体"/>
          <w:b/>
          <w:bCs/>
          <w:color w:val="auto"/>
          <w:w w:val="95"/>
          <w:sz w:val="30"/>
          <w:szCs w:val="30"/>
          <w:highlight w:val="none"/>
        </w:rPr>
      </w:pPr>
    </w:p>
    <w:p w14:paraId="50707E33">
      <w:pPr>
        <w:pStyle w:val="14"/>
        <w:snapToGrid w:val="0"/>
        <w:spacing w:before="50" w:after="120" w:line="360" w:lineRule="auto"/>
        <w:jc w:val="center"/>
        <w:rPr>
          <w:rFonts w:hAnsi="宋体" w:cs="宋体"/>
          <w:b/>
          <w:bCs/>
          <w:color w:val="auto"/>
          <w:w w:val="95"/>
          <w:sz w:val="30"/>
          <w:szCs w:val="30"/>
          <w:highlight w:val="none"/>
        </w:rPr>
      </w:pPr>
    </w:p>
    <w:p w14:paraId="4B8878BA">
      <w:pPr>
        <w:pStyle w:val="14"/>
        <w:snapToGrid w:val="0"/>
        <w:spacing w:before="50" w:after="120" w:line="360" w:lineRule="auto"/>
        <w:jc w:val="center"/>
        <w:rPr>
          <w:rFonts w:hAnsi="宋体" w:cs="宋体"/>
          <w:b/>
          <w:bCs/>
          <w:color w:val="auto"/>
          <w:w w:val="95"/>
          <w:sz w:val="30"/>
          <w:szCs w:val="30"/>
          <w:highlight w:val="none"/>
        </w:rPr>
      </w:pPr>
    </w:p>
    <w:p w14:paraId="3396E843">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lang w:val="en-US" w:eastAsia="zh-CN"/>
        </w:rPr>
        <w:t xml:space="preserve">    </w:t>
      </w:r>
      <w:r>
        <w:rPr>
          <w:rFonts w:hint="eastAsia" w:hAnsi="宋体" w:cs="宋体"/>
          <w:b/>
          <w:bCs/>
          <w:color w:val="auto"/>
          <w:sz w:val="30"/>
          <w:szCs w:val="30"/>
          <w:highlight w:val="none"/>
        </w:rPr>
        <w:t>采购人：</w:t>
      </w:r>
      <w:r>
        <w:rPr>
          <w:rFonts w:hint="eastAsia" w:hAnsi="宋体" w:cs="宋体"/>
          <w:b/>
          <w:bCs/>
          <w:color w:val="auto"/>
          <w:sz w:val="30"/>
          <w:szCs w:val="30"/>
          <w:highlight w:val="none"/>
          <w:lang w:eastAsia="zh-CN"/>
        </w:rPr>
        <w:t>广西壮族自治区文化和旅游厅</w:t>
      </w:r>
    </w:p>
    <w:p w14:paraId="2064ADCD">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采购代理机构：</w:t>
      </w:r>
      <w:r>
        <w:rPr>
          <w:rFonts w:hint="eastAsia" w:hAnsi="宋体" w:cs="宋体"/>
          <w:b/>
          <w:bCs/>
          <w:color w:val="auto"/>
          <w:sz w:val="30"/>
          <w:szCs w:val="30"/>
          <w:highlight w:val="none"/>
          <w:lang w:eastAsia="zh-CN"/>
        </w:rPr>
        <w:t>广西众联工程项目管理有限公司</w:t>
      </w:r>
    </w:p>
    <w:p w14:paraId="7F4265F7">
      <w:pPr>
        <w:pStyle w:val="14"/>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lang w:eastAsia="zh-CN"/>
        </w:rPr>
        <w:t>2026年2月</w:t>
      </w:r>
      <w:r>
        <w:rPr>
          <w:rFonts w:hint="eastAsia" w:hAnsi="宋体" w:cs="宋体"/>
          <w:b/>
          <w:bCs/>
          <w:color w:val="auto"/>
          <w:w w:val="95"/>
          <w:sz w:val="30"/>
          <w:szCs w:val="30"/>
          <w:highlight w:val="none"/>
          <w:lang w:val="en-US" w:eastAsia="zh-CN"/>
        </w:rPr>
        <w:t>26</w:t>
      </w:r>
      <w:r>
        <w:rPr>
          <w:rFonts w:hint="eastAsia" w:hAnsi="宋体" w:cs="宋体"/>
          <w:b/>
          <w:bCs/>
          <w:color w:val="auto"/>
          <w:w w:val="95"/>
          <w:sz w:val="30"/>
          <w:szCs w:val="30"/>
          <w:highlight w:val="none"/>
          <w:lang w:eastAsia="zh-CN"/>
        </w:rPr>
        <w:t>日</w:t>
      </w:r>
    </w:p>
    <w:p w14:paraId="2299593E">
      <w:pPr>
        <w:pStyle w:val="14"/>
        <w:ind w:firstLine="723"/>
        <w:jc w:val="center"/>
        <w:rPr>
          <w:rFonts w:hAnsi="宋体" w:cs="宋体"/>
          <w:b/>
          <w:color w:val="auto"/>
          <w:sz w:val="48"/>
          <w:szCs w:val="48"/>
          <w:highlight w:val="none"/>
        </w:rPr>
        <w:sectPr>
          <w:footerReference r:id="rId4" w:type="first"/>
          <w:footerReference r:id="rId3" w:type="default"/>
          <w:pgSz w:w="11905" w:h="16838"/>
          <w:pgMar w:top="1417" w:right="1417" w:bottom="1417" w:left="1417" w:header="850" w:footer="850" w:gutter="0"/>
          <w:pgNumType w:start="1"/>
          <w:cols w:space="720" w:num="1"/>
          <w:docGrid w:linePitch="331" w:charSpace="0"/>
        </w:sectPr>
      </w:pPr>
    </w:p>
    <w:p w14:paraId="448A7219">
      <w:pPr>
        <w:pStyle w:val="14"/>
        <w:ind w:firstLine="723"/>
        <w:jc w:val="center"/>
        <w:rPr>
          <w:rFonts w:hAnsi="宋体" w:cs="宋体"/>
          <w:b/>
          <w:color w:val="auto"/>
          <w:sz w:val="48"/>
          <w:szCs w:val="48"/>
          <w:highlight w:val="none"/>
        </w:rPr>
      </w:pPr>
      <w:r>
        <w:rPr>
          <w:rFonts w:hint="eastAsia" w:hAnsi="宋体" w:cs="宋体"/>
          <w:b/>
          <w:color w:val="auto"/>
          <w:sz w:val="48"/>
          <w:szCs w:val="48"/>
          <w:highlight w:val="none"/>
        </w:rPr>
        <w:t>目     录</w:t>
      </w:r>
    </w:p>
    <w:p w14:paraId="63432E44">
      <w:pPr>
        <w:pStyle w:val="22"/>
        <w:tabs>
          <w:tab w:val="right" w:leader="dot" w:pos="9638"/>
        </w:tabs>
        <w:spacing w:line="280" w:lineRule="exact"/>
        <w:ind w:firstLine="316"/>
        <w:rPr>
          <w:color w:val="auto"/>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p>
    <w:p w14:paraId="7CDD000E">
      <w:pPr>
        <w:pStyle w:val="14"/>
        <w:spacing w:line="360" w:lineRule="auto"/>
        <w:jc w:val="center"/>
        <w:rPr>
          <w:rFonts w:ascii="宋体" w:hAnsi="Courier New" w:eastAsia="宋体" w:cs="Times New Roman"/>
          <w:color w:val="auto"/>
          <w:kern w:val="2"/>
          <w:sz w:val="21"/>
          <w:szCs w:val="20"/>
          <w:highlight w:val="none"/>
          <w:lang w:val="en-US" w:eastAsia="zh-CN" w:bidi="ar-SA"/>
        </w:rPr>
      </w:pPr>
      <w:r>
        <w:rPr>
          <w:rFonts w:hint="eastAsia" w:hAnsi="宋体" w:cs="宋体"/>
          <w:bCs/>
          <w:caps/>
          <w:color w:val="auto"/>
          <w:szCs w:val="28"/>
          <w:highlight w:val="none"/>
          <w:u w:val="single"/>
        </w:rPr>
        <w:fldChar w:fldCharType="end"/>
      </w:r>
      <w:bookmarkStart w:id="1" w:name="_Toc22419"/>
      <w:bookmarkStart w:id="2" w:name="_Toc20152"/>
      <w:bookmarkStart w:id="3" w:name="_Toc12135"/>
      <w:bookmarkStart w:id="4" w:name="_Toc532545041"/>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E1B0711">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_Toc13231 </w:instrText>
      </w:r>
      <w:r>
        <w:rPr>
          <w:sz w:val="24"/>
          <w:szCs w:val="24"/>
          <w:highlight w:val="none"/>
        </w:rPr>
        <w:fldChar w:fldCharType="separate"/>
      </w:r>
      <w:r>
        <w:rPr>
          <w:rFonts w:hint="eastAsia" w:hAnsi="宋体" w:cs="宋体"/>
          <w:sz w:val="24"/>
          <w:szCs w:val="24"/>
          <w:highlight w:val="none"/>
        </w:rPr>
        <w:t>第一章  招标公告</w:t>
      </w:r>
      <w:r>
        <w:rPr>
          <w:sz w:val="24"/>
          <w:szCs w:val="24"/>
        </w:rPr>
        <w:tab/>
      </w:r>
      <w:r>
        <w:rPr>
          <w:sz w:val="24"/>
          <w:szCs w:val="24"/>
        </w:rPr>
        <w:fldChar w:fldCharType="begin"/>
      </w:r>
      <w:r>
        <w:rPr>
          <w:sz w:val="24"/>
          <w:szCs w:val="24"/>
        </w:rPr>
        <w:instrText xml:space="preserve"> PAGEREF _Toc13231 \h </w:instrText>
      </w:r>
      <w:r>
        <w:rPr>
          <w:sz w:val="24"/>
          <w:szCs w:val="24"/>
        </w:rPr>
        <w:fldChar w:fldCharType="separate"/>
      </w:r>
      <w:r>
        <w:rPr>
          <w:sz w:val="24"/>
          <w:szCs w:val="24"/>
        </w:rPr>
        <w:t>2</w:t>
      </w:r>
      <w:r>
        <w:rPr>
          <w:sz w:val="24"/>
          <w:szCs w:val="24"/>
        </w:rPr>
        <w:fldChar w:fldCharType="end"/>
      </w:r>
      <w:r>
        <w:rPr>
          <w:color w:val="auto"/>
          <w:sz w:val="24"/>
          <w:szCs w:val="24"/>
          <w:highlight w:val="none"/>
        </w:rPr>
        <w:fldChar w:fldCharType="end"/>
      </w:r>
    </w:p>
    <w:p w14:paraId="4B7811F7">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_Toc30982 </w:instrText>
      </w:r>
      <w:r>
        <w:rPr>
          <w:sz w:val="24"/>
          <w:szCs w:val="24"/>
          <w:highlight w:val="none"/>
        </w:rPr>
        <w:fldChar w:fldCharType="separate"/>
      </w:r>
      <w:r>
        <w:rPr>
          <w:rFonts w:hint="eastAsia" w:hAnsi="宋体" w:cs="宋体"/>
          <w:sz w:val="24"/>
          <w:szCs w:val="24"/>
          <w:highlight w:val="none"/>
        </w:rPr>
        <w:t>第二章  采购需求</w:t>
      </w:r>
      <w:r>
        <w:rPr>
          <w:sz w:val="24"/>
          <w:szCs w:val="24"/>
        </w:rPr>
        <w:tab/>
      </w:r>
      <w:r>
        <w:rPr>
          <w:sz w:val="24"/>
          <w:szCs w:val="24"/>
        </w:rPr>
        <w:fldChar w:fldCharType="begin"/>
      </w:r>
      <w:r>
        <w:rPr>
          <w:sz w:val="24"/>
          <w:szCs w:val="24"/>
        </w:rPr>
        <w:instrText xml:space="preserve"> PAGEREF _Toc30982 \h </w:instrText>
      </w:r>
      <w:r>
        <w:rPr>
          <w:sz w:val="24"/>
          <w:szCs w:val="24"/>
        </w:rPr>
        <w:fldChar w:fldCharType="separate"/>
      </w:r>
      <w:r>
        <w:rPr>
          <w:sz w:val="24"/>
          <w:szCs w:val="24"/>
        </w:rPr>
        <w:t>7</w:t>
      </w:r>
      <w:r>
        <w:rPr>
          <w:sz w:val="24"/>
          <w:szCs w:val="24"/>
        </w:rPr>
        <w:fldChar w:fldCharType="end"/>
      </w:r>
      <w:r>
        <w:rPr>
          <w:color w:val="auto"/>
          <w:sz w:val="24"/>
          <w:szCs w:val="24"/>
          <w:highlight w:val="none"/>
        </w:rPr>
        <w:fldChar w:fldCharType="end"/>
      </w:r>
    </w:p>
    <w:p w14:paraId="059088E5">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_Toc11207 </w:instrText>
      </w:r>
      <w:r>
        <w:rPr>
          <w:sz w:val="24"/>
          <w:szCs w:val="24"/>
          <w:highlight w:val="none"/>
        </w:rPr>
        <w:fldChar w:fldCharType="separate"/>
      </w:r>
      <w:r>
        <w:rPr>
          <w:rFonts w:hint="eastAsia"/>
          <w:sz w:val="24"/>
          <w:szCs w:val="24"/>
        </w:rPr>
        <w:t>第三章  投标人须知</w:t>
      </w:r>
      <w:r>
        <w:rPr>
          <w:sz w:val="24"/>
          <w:szCs w:val="24"/>
        </w:rPr>
        <w:tab/>
      </w:r>
      <w:r>
        <w:rPr>
          <w:sz w:val="24"/>
          <w:szCs w:val="24"/>
        </w:rPr>
        <w:fldChar w:fldCharType="begin"/>
      </w:r>
      <w:r>
        <w:rPr>
          <w:sz w:val="24"/>
          <w:szCs w:val="24"/>
        </w:rPr>
        <w:instrText xml:space="preserve"> PAGEREF _Toc11207 \h </w:instrText>
      </w:r>
      <w:r>
        <w:rPr>
          <w:sz w:val="24"/>
          <w:szCs w:val="24"/>
        </w:rPr>
        <w:fldChar w:fldCharType="separate"/>
      </w:r>
      <w:r>
        <w:rPr>
          <w:sz w:val="24"/>
          <w:szCs w:val="24"/>
        </w:rPr>
        <w:t>40</w:t>
      </w:r>
      <w:r>
        <w:rPr>
          <w:sz w:val="24"/>
          <w:szCs w:val="24"/>
        </w:rPr>
        <w:fldChar w:fldCharType="end"/>
      </w:r>
      <w:r>
        <w:rPr>
          <w:color w:val="auto"/>
          <w:sz w:val="24"/>
          <w:szCs w:val="24"/>
          <w:highlight w:val="none"/>
        </w:rPr>
        <w:fldChar w:fldCharType="end"/>
      </w:r>
    </w:p>
    <w:p w14:paraId="4E796E6B">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_Toc29635 </w:instrText>
      </w:r>
      <w:r>
        <w:rPr>
          <w:sz w:val="24"/>
          <w:szCs w:val="24"/>
          <w:highlight w:val="none"/>
        </w:rPr>
        <w:fldChar w:fldCharType="separate"/>
      </w:r>
      <w:r>
        <w:rPr>
          <w:rFonts w:hint="eastAsia"/>
          <w:sz w:val="24"/>
          <w:szCs w:val="24"/>
        </w:rPr>
        <w:t>第四章  评标方法和评标标准</w:t>
      </w:r>
      <w:r>
        <w:rPr>
          <w:sz w:val="24"/>
          <w:szCs w:val="24"/>
        </w:rPr>
        <w:tab/>
      </w:r>
      <w:r>
        <w:rPr>
          <w:sz w:val="24"/>
          <w:szCs w:val="24"/>
        </w:rPr>
        <w:fldChar w:fldCharType="begin"/>
      </w:r>
      <w:r>
        <w:rPr>
          <w:sz w:val="24"/>
          <w:szCs w:val="24"/>
        </w:rPr>
        <w:instrText xml:space="preserve"> PAGEREF _Toc29635 \h </w:instrText>
      </w:r>
      <w:r>
        <w:rPr>
          <w:sz w:val="24"/>
          <w:szCs w:val="24"/>
        </w:rPr>
        <w:fldChar w:fldCharType="separate"/>
      </w:r>
      <w:r>
        <w:rPr>
          <w:sz w:val="24"/>
          <w:szCs w:val="24"/>
        </w:rPr>
        <w:t>6</w:t>
      </w:r>
      <w:r>
        <w:rPr>
          <w:rFonts w:hint="eastAsia"/>
          <w:sz w:val="24"/>
          <w:szCs w:val="24"/>
          <w:lang w:val="en-US" w:eastAsia="zh-CN"/>
        </w:rPr>
        <w:t>7</w:t>
      </w:r>
      <w:r>
        <w:rPr>
          <w:sz w:val="24"/>
          <w:szCs w:val="24"/>
        </w:rPr>
        <w:fldChar w:fldCharType="end"/>
      </w:r>
      <w:r>
        <w:rPr>
          <w:color w:val="auto"/>
          <w:sz w:val="24"/>
          <w:szCs w:val="24"/>
          <w:highlight w:val="none"/>
        </w:rPr>
        <w:fldChar w:fldCharType="end"/>
      </w:r>
    </w:p>
    <w:p w14:paraId="0F614C4E">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_Toc18142 </w:instrText>
      </w:r>
      <w:r>
        <w:rPr>
          <w:sz w:val="24"/>
          <w:szCs w:val="24"/>
          <w:highlight w:val="none"/>
        </w:rPr>
        <w:fldChar w:fldCharType="separate"/>
      </w:r>
      <w:r>
        <w:rPr>
          <w:rFonts w:hint="eastAsia"/>
          <w:sz w:val="24"/>
          <w:szCs w:val="24"/>
        </w:rPr>
        <w:t xml:space="preserve">第五章 </w:t>
      </w:r>
      <w:r>
        <w:rPr>
          <w:rFonts w:hint="eastAsia"/>
          <w:sz w:val="24"/>
          <w:szCs w:val="24"/>
          <w:lang w:val="en-US" w:eastAsia="zh-CN"/>
        </w:rPr>
        <w:t xml:space="preserve"> </w:t>
      </w:r>
      <w:r>
        <w:rPr>
          <w:rFonts w:hint="eastAsia"/>
          <w:sz w:val="24"/>
          <w:szCs w:val="24"/>
        </w:rPr>
        <w:t>拟签订的合同文本</w:t>
      </w:r>
      <w:r>
        <w:rPr>
          <w:sz w:val="24"/>
          <w:szCs w:val="24"/>
        </w:rPr>
        <w:tab/>
      </w:r>
      <w:r>
        <w:rPr>
          <w:sz w:val="24"/>
          <w:szCs w:val="24"/>
        </w:rPr>
        <w:fldChar w:fldCharType="begin"/>
      </w:r>
      <w:r>
        <w:rPr>
          <w:sz w:val="24"/>
          <w:szCs w:val="24"/>
        </w:rPr>
        <w:instrText xml:space="preserve"> PAGEREF _Toc18142 \h </w:instrText>
      </w:r>
      <w:r>
        <w:rPr>
          <w:sz w:val="24"/>
          <w:szCs w:val="24"/>
        </w:rPr>
        <w:fldChar w:fldCharType="separate"/>
      </w:r>
      <w:r>
        <w:rPr>
          <w:sz w:val="24"/>
          <w:szCs w:val="24"/>
        </w:rPr>
        <w:t>7</w:t>
      </w:r>
      <w:r>
        <w:rPr>
          <w:rFonts w:hint="eastAsia"/>
          <w:sz w:val="24"/>
          <w:szCs w:val="24"/>
          <w:lang w:val="en-US" w:eastAsia="zh-CN"/>
        </w:rPr>
        <w:t>6</w:t>
      </w:r>
      <w:r>
        <w:rPr>
          <w:sz w:val="24"/>
          <w:szCs w:val="24"/>
        </w:rPr>
        <w:fldChar w:fldCharType="end"/>
      </w:r>
      <w:r>
        <w:rPr>
          <w:color w:val="auto"/>
          <w:sz w:val="24"/>
          <w:szCs w:val="24"/>
          <w:highlight w:val="none"/>
        </w:rPr>
        <w:fldChar w:fldCharType="end"/>
      </w:r>
    </w:p>
    <w:p w14:paraId="041C534B">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_Toc3923 </w:instrText>
      </w:r>
      <w:r>
        <w:rPr>
          <w:sz w:val="24"/>
          <w:szCs w:val="24"/>
          <w:highlight w:val="none"/>
        </w:rPr>
        <w:fldChar w:fldCharType="separate"/>
      </w:r>
      <w:r>
        <w:rPr>
          <w:rFonts w:hint="eastAsia"/>
          <w:sz w:val="24"/>
          <w:szCs w:val="24"/>
        </w:rPr>
        <w:t xml:space="preserve">第六章 </w:t>
      </w:r>
      <w:r>
        <w:rPr>
          <w:rFonts w:hint="eastAsia"/>
          <w:sz w:val="24"/>
          <w:szCs w:val="24"/>
          <w:lang w:val="en-US" w:eastAsia="zh-CN"/>
        </w:rPr>
        <w:t xml:space="preserve"> </w:t>
      </w:r>
      <w:r>
        <w:rPr>
          <w:rFonts w:hint="eastAsia"/>
          <w:sz w:val="24"/>
          <w:szCs w:val="24"/>
        </w:rPr>
        <w:t>投标文件格式</w:t>
      </w:r>
      <w:r>
        <w:rPr>
          <w:sz w:val="24"/>
          <w:szCs w:val="24"/>
        </w:rPr>
        <w:tab/>
      </w:r>
      <w:r>
        <w:rPr>
          <w:sz w:val="24"/>
          <w:szCs w:val="24"/>
        </w:rPr>
        <w:fldChar w:fldCharType="begin"/>
      </w:r>
      <w:r>
        <w:rPr>
          <w:sz w:val="24"/>
          <w:szCs w:val="24"/>
        </w:rPr>
        <w:instrText xml:space="preserve"> PAGEREF _Toc3923 \h </w:instrText>
      </w:r>
      <w:r>
        <w:rPr>
          <w:sz w:val="24"/>
          <w:szCs w:val="24"/>
        </w:rPr>
        <w:fldChar w:fldCharType="separate"/>
      </w:r>
      <w:r>
        <w:rPr>
          <w:sz w:val="24"/>
          <w:szCs w:val="24"/>
        </w:rPr>
        <w:t>8</w:t>
      </w:r>
      <w:r>
        <w:rPr>
          <w:rFonts w:hint="eastAsia"/>
          <w:sz w:val="24"/>
          <w:szCs w:val="24"/>
          <w:lang w:val="en-US" w:eastAsia="zh-CN"/>
        </w:rPr>
        <w:t>4</w:t>
      </w:r>
      <w:r>
        <w:rPr>
          <w:sz w:val="24"/>
          <w:szCs w:val="24"/>
        </w:rPr>
        <w:fldChar w:fldCharType="end"/>
      </w:r>
      <w:r>
        <w:rPr>
          <w:color w:val="auto"/>
          <w:sz w:val="24"/>
          <w:szCs w:val="24"/>
          <w:highlight w:val="none"/>
        </w:rPr>
        <w:fldChar w:fldCharType="end"/>
      </w:r>
    </w:p>
    <w:p w14:paraId="6CFD28AC">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_Toc32603 </w:instrText>
      </w:r>
      <w:r>
        <w:rPr>
          <w:sz w:val="24"/>
          <w:szCs w:val="24"/>
          <w:highlight w:val="none"/>
        </w:rPr>
        <w:fldChar w:fldCharType="separate"/>
      </w:r>
      <w:r>
        <w:rPr>
          <w:rFonts w:hint="eastAsia"/>
          <w:sz w:val="24"/>
          <w:szCs w:val="24"/>
        </w:rPr>
        <w:t xml:space="preserve">第七章 </w:t>
      </w:r>
      <w:r>
        <w:rPr>
          <w:rFonts w:hint="eastAsia"/>
          <w:sz w:val="24"/>
          <w:szCs w:val="24"/>
          <w:lang w:val="en-US" w:eastAsia="zh-CN"/>
        </w:rPr>
        <w:t xml:space="preserve"> </w:t>
      </w:r>
      <w:r>
        <w:rPr>
          <w:rFonts w:hint="eastAsia"/>
          <w:sz w:val="24"/>
          <w:szCs w:val="24"/>
        </w:rPr>
        <w:t>质疑、投诉材料格式</w:t>
      </w:r>
      <w:r>
        <w:rPr>
          <w:sz w:val="24"/>
          <w:szCs w:val="24"/>
        </w:rPr>
        <w:tab/>
      </w:r>
      <w:r>
        <w:rPr>
          <w:sz w:val="24"/>
          <w:szCs w:val="24"/>
        </w:rPr>
        <w:fldChar w:fldCharType="begin"/>
      </w:r>
      <w:r>
        <w:rPr>
          <w:sz w:val="24"/>
          <w:szCs w:val="24"/>
        </w:rPr>
        <w:instrText xml:space="preserve"> PAGEREF _Toc32603 \h </w:instrText>
      </w:r>
      <w:r>
        <w:rPr>
          <w:sz w:val="24"/>
          <w:szCs w:val="24"/>
        </w:rPr>
        <w:fldChar w:fldCharType="separate"/>
      </w:r>
      <w:r>
        <w:rPr>
          <w:sz w:val="24"/>
          <w:szCs w:val="24"/>
        </w:rPr>
        <w:t>11</w:t>
      </w:r>
      <w:r>
        <w:rPr>
          <w:rFonts w:hint="eastAsia"/>
          <w:sz w:val="24"/>
          <w:szCs w:val="24"/>
          <w:lang w:val="en-US" w:eastAsia="zh-CN"/>
        </w:rPr>
        <w:t>5</w:t>
      </w:r>
      <w:r>
        <w:rPr>
          <w:sz w:val="24"/>
          <w:szCs w:val="24"/>
        </w:rPr>
        <w:fldChar w:fldCharType="end"/>
      </w:r>
      <w:r>
        <w:rPr>
          <w:color w:val="auto"/>
          <w:sz w:val="24"/>
          <w:szCs w:val="24"/>
          <w:highlight w:val="none"/>
        </w:rPr>
        <w:fldChar w:fldCharType="end"/>
      </w:r>
    </w:p>
    <w:p w14:paraId="3DCB6E75">
      <w:pPr>
        <w:pStyle w:val="20"/>
        <w:tabs>
          <w:tab w:val="right" w:leader="dot" w:pos="9638"/>
        </w:tabs>
        <w:spacing w:line="360" w:lineRule="auto"/>
        <w:jc w:val="center"/>
        <w:rPr>
          <w:rFonts w:hAnsi="宋体" w:cs="宋体"/>
          <w:bCs/>
          <w:caps/>
          <w:color w:val="auto"/>
          <w:szCs w:val="28"/>
          <w:highlight w:val="none"/>
          <w:u w:val="single"/>
        </w:rPr>
      </w:pPr>
      <w:r>
        <w:rPr>
          <w:color w:val="auto"/>
          <w:highlight w:val="none"/>
        </w:rPr>
        <w:fldChar w:fldCharType="end"/>
      </w:r>
    </w:p>
    <w:p w14:paraId="55E18CCE">
      <w:pPr>
        <w:pStyle w:val="20"/>
        <w:tabs>
          <w:tab w:val="right" w:leader="dot" w:pos="9638"/>
        </w:tabs>
        <w:spacing w:line="360" w:lineRule="auto"/>
        <w:jc w:val="center"/>
        <w:rPr>
          <w:rFonts w:hAnsi="宋体" w:cs="宋体"/>
          <w:b/>
          <w:color w:val="auto"/>
          <w:sz w:val="36"/>
          <w:highlight w:val="none"/>
          <w:u w:val="none"/>
        </w:rPr>
      </w:pPr>
      <w:r>
        <w:rPr>
          <w:rFonts w:hint="eastAsia" w:hAnsi="宋体" w:cs="宋体"/>
          <w:bCs/>
          <w:caps/>
          <w:color w:val="auto"/>
          <w:szCs w:val="28"/>
          <w:highlight w:val="none"/>
          <w:u w:val="single"/>
        </w:rPr>
        <w:br w:type="page"/>
      </w:r>
      <w:bookmarkStart w:id="5" w:name="_Toc13231"/>
      <w:r>
        <w:rPr>
          <w:rFonts w:hint="eastAsia" w:hAnsi="宋体" w:cs="宋体"/>
          <w:b/>
          <w:color w:val="auto"/>
          <w:sz w:val="36"/>
          <w:highlight w:val="none"/>
          <w:u w:val="none"/>
        </w:rPr>
        <w:t>第一章  招标公告</w:t>
      </w:r>
      <w:bookmarkEnd w:id="1"/>
      <w:bookmarkEnd w:id="2"/>
      <w:bookmarkEnd w:id="3"/>
      <w:bookmarkEnd w:id="4"/>
      <w:bookmarkEnd w:id="5"/>
    </w:p>
    <w:p w14:paraId="64747940">
      <w:pPr>
        <w:spacing w:line="360" w:lineRule="auto"/>
        <w:ind w:firstLine="542"/>
        <w:jc w:val="center"/>
        <w:rPr>
          <w:rFonts w:hint="eastAsia" w:ascii="宋体" w:hAnsi="宋体" w:cs="宋体"/>
          <w:b/>
          <w:color w:val="auto"/>
          <w:sz w:val="28"/>
          <w:szCs w:val="28"/>
          <w:highlight w:val="none"/>
        </w:rPr>
      </w:pPr>
      <w:bookmarkStart w:id="6" w:name="OLE_LINK259"/>
      <w:r>
        <w:rPr>
          <w:rFonts w:hint="eastAsia" w:ascii="宋体" w:hAnsi="宋体" w:cs="宋体"/>
          <w:b/>
          <w:color w:val="auto"/>
          <w:sz w:val="28"/>
          <w:szCs w:val="28"/>
          <w:highlight w:val="none"/>
          <w:lang w:eastAsia="zh-CN"/>
        </w:rPr>
        <w:t>广西众联工程项目管理有限公司</w:t>
      </w:r>
      <w:r>
        <w:rPr>
          <w:rFonts w:hint="eastAsia" w:ascii="宋体" w:hAnsi="宋体" w:cs="宋体"/>
          <w:b/>
          <w:color w:val="auto"/>
          <w:sz w:val="28"/>
          <w:szCs w:val="28"/>
          <w:highlight w:val="none"/>
        </w:rPr>
        <w:t>关于</w:t>
      </w:r>
      <w:r>
        <w:rPr>
          <w:rFonts w:hint="eastAsia" w:ascii="宋体" w:hAnsi="宋体" w:cs="宋体"/>
          <w:b/>
          <w:color w:val="auto"/>
          <w:sz w:val="28"/>
          <w:szCs w:val="28"/>
          <w:highlight w:val="none"/>
          <w:lang w:eastAsia="zh-CN"/>
        </w:rPr>
        <w:t>青秀山智慧化提升项目</w:t>
      </w:r>
      <w:r>
        <w:rPr>
          <w:rFonts w:hint="eastAsia" w:ascii="宋体" w:hAnsi="宋体" w:cs="宋体"/>
          <w:b/>
          <w:color w:val="auto"/>
          <w:sz w:val="28"/>
          <w:szCs w:val="28"/>
          <w:highlight w:val="none"/>
        </w:rPr>
        <w:t>（GXZC2026-G1-000247-GXZL）的招标公告</w:t>
      </w:r>
    </w:p>
    <w:p w14:paraId="3BAFEC5A">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01DCFAAB">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青秀山智慧化提升项目</w:t>
      </w:r>
      <w:r>
        <w:rPr>
          <w:rFonts w:hint="eastAsia" w:ascii="宋体" w:hAnsi="宋体" w:cs="宋体"/>
          <w:color w:val="auto"/>
          <w:szCs w:val="21"/>
          <w:highlight w:val="none"/>
        </w:rPr>
        <w:t>招标项目的潜在投标人应在广西政府采购云平台（https://www.gcy.zfcg.gxzf.gov.cn/）获取招标文件，并于</w:t>
      </w:r>
      <w:bookmarkStart w:id="7" w:name="PO_3000001866_PM015"/>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 xml:space="preserve">日 </w:t>
      </w:r>
      <w:bookmarkEnd w:id="7"/>
      <w:r>
        <w:rPr>
          <w:rFonts w:hint="eastAsia" w:ascii="宋体" w:hAnsi="宋体" w:cs="宋体"/>
          <w:color w:val="auto"/>
          <w:szCs w:val="21"/>
          <w:highlight w:val="none"/>
          <w:u w:val="single"/>
        </w:rPr>
        <w:t>09:30:00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728C4CED">
      <w:pPr>
        <w:spacing w:line="360" w:lineRule="auto"/>
        <w:ind w:firstLine="361"/>
        <w:rPr>
          <w:rFonts w:ascii="黑体" w:hAnsi="黑体" w:eastAsia="黑体"/>
          <w:b/>
          <w:bCs/>
          <w:color w:val="auto"/>
          <w:sz w:val="24"/>
          <w:highlight w:val="none"/>
        </w:rPr>
      </w:pPr>
      <w:bookmarkStart w:id="8" w:name="_Toc28359079"/>
      <w:bookmarkStart w:id="9" w:name="_Toc28359002"/>
      <w:bookmarkStart w:id="10" w:name="_Toc35393621"/>
      <w:bookmarkStart w:id="11" w:name="_Toc35393790"/>
      <w:bookmarkStart w:id="12" w:name="_Hlk24379207"/>
      <w:r>
        <w:rPr>
          <w:rFonts w:hint="eastAsia" w:ascii="黑体" w:hAnsi="黑体" w:eastAsia="黑体"/>
          <w:b/>
          <w:bCs/>
          <w:color w:val="auto"/>
          <w:sz w:val="24"/>
          <w:highlight w:val="none"/>
        </w:rPr>
        <w:t>一、项目基本情况</w:t>
      </w:r>
      <w:bookmarkEnd w:id="8"/>
      <w:bookmarkEnd w:id="9"/>
      <w:bookmarkEnd w:id="10"/>
      <w:bookmarkEnd w:id="11"/>
    </w:p>
    <w:p w14:paraId="2FD891DC">
      <w:pPr>
        <w:spacing w:line="360" w:lineRule="auto"/>
        <w:ind w:firstLine="422" w:firstLineChars="200"/>
        <w:rPr>
          <w:rFonts w:hint="eastAsia" w:ascii="宋体" w:hAnsi="宋体" w:eastAsia="宋体"/>
          <w:color w:val="auto"/>
          <w:szCs w:val="21"/>
          <w:highlight w:val="none"/>
          <w:lang w:val="en-US" w:eastAsia="zh-CN"/>
        </w:rPr>
      </w:pPr>
      <w:r>
        <w:rPr>
          <w:rFonts w:hint="eastAsia" w:ascii="宋体" w:hAnsi="宋体"/>
          <w:b/>
          <w:bCs/>
          <w:color w:val="auto"/>
          <w:szCs w:val="21"/>
          <w:highlight w:val="none"/>
        </w:rPr>
        <w:t>项目编号：GXZC2026-G1-000247-GXZL</w:t>
      </w:r>
      <w:r>
        <w:rPr>
          <w:rFonts w:hint="eastAsia" w:ascii="宋体" w:hAnsi="宋体"/>
          <w:color w:val="auto"/>
          <w:szCs w:val="21"/>
          <w:highlight w:val="none"/>
        </w:rPr>
        <w:t>（采购计划编号：</w:t>
      </w:r>
      <w:r>
        <w:rPr>
          <w:rFonts w:hint="eastAsia" w:ascii="宋体" w:hAnsi="宋体"/>
          <w:color w:val="auto"/>
          <w:szCs w:val="21"/>
          <w:highlight w:val="none"/>
          <w:lang w:val="en-US" w:eastAsia="zh-CN"/>
        </w:rPr>
        <w:t>广西政采[2026]1158号</w:t>
      </w:r>
      <w:r>
        <w:rPr>
          <w:rFonts w:hint="eastAsia" w:ascii="宋体" w:hAnsi="宋体"/>
          <w:color w:val="auto"/>
          <w:szCs w:val="21"/>
          <w:highlight w:val="none"/>
        </w:rPr>
        <w:t>）</w:t>
      </w:r>
    </w:p>
    <w:p w14:paraId="51BBCB4B">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bookmarkStart w:id="13" w:name="OLE_LINK167"/>
      <w:r>
        <w:rPr>
          <w:rFonts w:hint="eastAsia" w:ascii="宋体" w:hAnsi="宋体"/>
          <w:b/>
          <w:bCs/>
          <w:color w:val="auto"/>
          <w:szCs w:val="21"/>
          <w:highlight w:val="none"/>
          <w:lang w:eastAsia="zh-CN"/>
        </w:rPr>
        <w:t>青秀山智慧化提升项目</w:t>
      </w:r>
    </w:p>
    <w:bookmarkEnd w:id="12"/>
    <w:bookmarkEnd w:id="13"/>
    <w:p w14:paraId="1497ED0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预算金额：</w:t>
      </w:r>
      <w:bookmarkStart w:id="14" w:name="PO_3000001867_PM001392"/>
      <w:bookmarkStart w:id="15" w:name="OLE_LINK2"/>
      <w:r>
        <w:rPr>
          <w:rFonts w:hint="eastAsia" w:ascii="宋体" w:hAnsi="宋体"/>
          <w:color w:val="auto"/>
          <w:szCs w:val="21"/>
          <w:highlight w:val="none"/>
          <w:lang w:val="en-US" w:eastAsia="zh-CN"/>
        </w:rPr>
        <w:t>400.00</w:t>
      </w:r>
      <w:r>
        <w:rPr>
          <w:rFonts w:hint="eastAsia" w:ascii="宋体" w:hAnsi="宋体"/>
          <w:color w:val="auto"/>
          <w:szCs w:val="21"/>
          <w:highlight w:val="none"/>
          <w:lang w:eastAsia="zh-CN"/>
        </w:rPr>
        <w:t>万元</w:t>
      </w:r>
      <w:r>
        <w:rPr>
          <w:rFonts w:hint="eastAsia" w:ascii="宋体" w:hAnsi="宋体" w:cs="宋体"/>
          <w:color w:val="auto"/>
          <w:szCs w:val="21"/>
          <w:highlight w:val="none"/>
        </w:rPr>
        <w:t>。</w:t>
      </w:r>
      <w:bookmarkEnd w:id="14"/>
    </w:p>
    <w:bookmarkEnd w:id="15"/>
    <w:p w14:paraId="1524FE62">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400.00</w:t>
      </w:r>
      <w:r>
        <w:rPr>
          <w:rFonts w:hint="eastAsia" w:ascii="宋体" w:hAnsi="宋体"/>
          <w:color w:val="auto"/>
          <w:szCs w:val="21"/>
          <w:highlight w:val="none"/>
          <w:lang w:eastAsia="zh-CN"/>
        </w:rPr>
        <w:t>万元</w:t>
      </w:r>
      <w:r>
        <w:rPr>
          <w:rFonts w:hint="eastAsia" w:ascii="宋体" w:hAnsi="宋体" w:cs="宋体"/>
          <w:color w:val="auto"/>
          <w:szCs w:val="21"/>
          <w:highlight w:val="none"/>
        </w:rPr>
        <w:t>。</w:t>
      </w:r>
    </w:p>
    <w:p w14:paraId="1B2AC7E5">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采购需求：</w:t>
      </w:r>
      <w:bookmarkStart w:id="16" w:name="PO_3000001866_PM004"/>
    </w:p>
    <w:bookmarkEnd w:id="16"/>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1767"/>
        <w:gridCol w:w="930"/>
        <w:gridCol w:w="5170"/>
      </w:tblGrid>
      <w:tr w14:paraId="2FC6E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0AB3E43">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5C7C0B1">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标的名称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C734A06">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r>
              <w:rPr>
                <w:rFonts w:hint="eastAsia" w:ascii="宋体" w:hAnsi="宋体" w:cs="宋体"/>
                <w:b/>
                <w:bCs/>
                <w:color w:val="auto"/>
                <w:sz w:val="21"/>
                <w:szCs w:val="21"/>
                <w:highlight w:val="none"/>
                <w:lang w:eastAsia="zh-CN"/>
              </w:rPr>
              <w:t>及</w:t>
            </w:r>
            <w:r>
              <w:rPr>
                <w:rFonts w:hint="eastAsia" w:ascii="宋体" w:hAnsi="宋体" w:cs="宋体"/>
                <w:b/>
                <w:bCs/>
                <w:color w:val="auto"/>
                <w:sz w:val="21"/>
                <w:szCs w:val="21"/>
                <w:highlight w:val="none"/>
              </w:rPr>
              <w:t>单位</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796B64BA">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简要技术需求或者服务要求</w:t>
            </w:r>
          </w:p>
        </w:tc>
      </w:tr>
      <w:tr w14:paraId="2BEF8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321D83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53F4966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olor w:val="000000" w:themeColor="text1"/>
                <w:sz w:val="22"/>
                <w:szCs w:val="22"/>
                <w:vertAlign w:val="baseline"/>
                <w:lang w:val="en-US" w:eastAsia="zh-CN"/>
                <w14:textFill>
                  <w14:solidFill>
                    <w14:schemeClr w14:val="tx1"/>
                  </w14:solidFill>
                </w14:textFill>
              </w:rPr>
              <w:t>人形机器人1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C97971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742898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1.整机重量（带电池）约35kg</w:t>
            </w:r>
            <w:r>
              <w:rPr>
                <w:rFonts w:hint="eastAsia"/>
                <w:sz w:val="24"/>
                <w:szCs w:val="24"/>
                <w:lang w:val="en-US" w:eastAsia="zh-CN"/>
              </w:rPr>
              <w:t>±2kg</w:t>
            </w:r>
            <w:r>
              <w:rPr>
                <w:rFonts w:hint="eastAsia"/>
                <w:lang w:eastAsia="zh-CN"/>
              </w:rPr>
              <w:t>。</w:t>
            </w:r>
          </w:p>
          <w:p w14:paraId="25F42FE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2.高宽厚（站立）：1320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450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200（mm）（±50mm）；手臂臂展：约0.45m（±10%）；小腿+大腿长度：0.6m（±10%）</w:t>
            </w:r>
            <w:r>
              <w:rPr>
                <w:rFonts w:hint="eastAsia"/>
                <w:lang w:eastAsia="zh-CN"/>
              </w:rPr>
              <w:t>。</w:t>
            </w:r>
          </w:p>
          <w:p w14:paraId="7B3D4C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rPr>
              <w:t>▲</w:t>
            </w:r>
            <w:r>
              <w:rPr>
                <w:rFonts w:hint="eastAsia"/>
                <w:color w:val="000000" w:themeColor="text1"/>
                <w:sz w:val="22"/>
                <w:szCs w:val="22"/>
                <w:vertAlign w:val="baseline"/>
                <w:lang w:val="en-US" w:eastAsia="zh-CN"/>
                <w14:textFill>
                  <w14:solidFill>
                    <w14:schemeClr w14:val="tx1"/>
                  </w14:solidFill>
                </w14:textFill>
              </w:rPr>
              <w:t>3.总自由度（关节电机）：≥29个</w:t>
            </w:r>
            <w:r>
              <w:rPr>
                <w:rFonts w:hint="eastAsia"/>
                <w:lang w:eastAsia="zh-CN"/>
              </w:rPr>
              <w:t>。</w:t>
            </w:r>
          </w:p>
          <w:p w14:paraId="103441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4.单腿自由度：≥6个</w:t>
            </w:r>
            <w:r>
              <w:rPr>
                <w:rFonts w:hint="eastAsia"/>
                <w:lang w:eastAsia="zh-CN"/>
              </w:rPr>
              <w:t>。</w:t>
            </w:r>
          </w:p>
          <w:p w14:paraId="10BE7D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5.单手臂自由度：≥7个</w:t>
            </w:r>
            <w:r>
              <w:rPr>
                <w:rFonts w:hint="eastAsia"/>
                <w:lang w:eastAsia="zh-CN"/>
              </w:rPr>
              <w:t>。</w:t>
            </w:r>
          </w:p>
          <w:p w14:paraId="497F93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6.腰部自由度：≥3个</w:t>
            </w:r>
            <w:r>
              <w:rPr>
                <w:rFonts w:hint="eastAsia"/>
                <w:lang w:eastAsia="zh-CN"/>
              </w:rPr>
              <w:t>。</w:t>
            </w:r>
          </w:p>
          <w:p w14:paraId="658376E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7.手臂最大负载：≥3kg</w:t>
            </w:r>
            <w:r>
              <w:rPr>
                <w:rFonts w:hint="eastAsia"/>
                <w:lang w:eastAsia="zh-CN"/>
              </w:rPr>
              <w:t>。</w:t>
            </w:r>
          </w:p>
          <w:p w14:paraId="19DF7D56">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default" w:ascii="Arial" w:hAnsi="Arial" w:eastAsia="宋体" w:cs="Arial"/>
                <w:color w:val="auto"/>
                <w:kern w:val="2"/>
                <w:sz w:val="21"/>
                <w:szCs w:val="21"/>
                <w:highlight w:val="none"/>
                <w:lang w:val="en-US" w:eastAsia="zh-CN" w:bidi="ar-SA"/>
              </w:rPr>
              <w:t>……</w:t>
            </w:r>
          </w:p>
        </w:tc>
      </w:tr>
      <w:tr w14:paraId="6DC2D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A178D1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2326E4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olor w:val="000000" w:themeColor="text1"/>
                <w:sz w:val="22"/>
                <w:szCs w:val="22"/>
                <w:vertAlign w:val="baseline"/>
                <w:lang w:val="en-US" w:eastAsia="zh-CN"/>
                <w14:textFill>
                  <w14:solidFill>
                    <w14:schemeClr w14:val="tx1"/>
                  </w14:solidFill>
                </w14:textFill>
              </w:rPr>
              <w:t>人形机器人2</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0BBB7FC">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6051874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1.高宽厚（站立）：1690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750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300（mm）（±50mm）</w:t>
            </w:r>
            <w:r>
              <w:rPr>
                <w:rFonts w:hint="eastAsia"/>
                <w:lang w:eastAsia="zh-CN"/>
              </w:rPr>
              <w:t>。</w:t>
            </w:r>
          </w:p>
          <w:p w14:paraId="3F01A0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2.整机重量（带电池）：69kg</w:t>
            </w:r>
            <w:r>
              <w:rPr>
                <w:rFonts w:hint="eastAsia"/>
                <w:sz w:val="24"/>
                <w:szCs w:val="24"/>
                <w:lang w:val="en-US" w:eastAsia="zh-CN"/>
              </w:rPr>
              <w:t>±2kg</w:t>
            </w:r>
            <w:r>
              <w:rPr>
                <w:rFonts w:hint="eastAsia"/>
                <w:lang w:eastAsia="zh-CN"/>
              </w:rPr>
              <w:t>。</w:t>
            </w:r>
          </w:p>
          <w:p w14:paraId="66A2F3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▲3.总自由度（关节电机）：≥40个</w:t>
            </w:r>
            <w:r>
              <w:rPr>
                <w:rFonts w:hint="eastAsia"/>
                <w:lang w:eastAsia="zh-CN"/>
              </w:rPr>
              <w:t>。</w:t>
            </w:r>
          </w:p>
          <w:p w14:paraId="322501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单腿自由度：≥6个</w:t>
            </w:r>
            <w:r>
              <w:rPr>
                <w:rFonts w:hint="eastAsia"/>
                <w:lang w:eastAsia="zh-CN"/>
              </w:rPr>
              <w:t>。</w:t>
            </w:r>
          </w:p>
          <w:p w14:paraId="203A88C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单手臂自由度≥7个</w:t>
            </w:r>
            <w:r>
              <w:rPr>
                <w:rFonts w:hint="eastAsia"/>
                <w:lang w:eastAsia="zh-CN"/>
              </w:rPr>
              <w:t>。</w:t>
            </w:r>
          </w:p>
          <w:p w14:paraId="55829D0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单手自由度：≥6个</w:t>
            </w:r>
            <w:r>
              <w:rPr>
                <w:rFonts w:hint="eastAsia"/>
                <w:lang w:eastAsia="zh-CN"/>
              </w:rPr>
              <w:t>。</w:t>
            </w:r>
          </w:p>
          <w:p w14:paraId="2776063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颈部自由度：≥2个。</w:t>
            </w:r>
          </w:p>
          <w:p w14:paraId="4739A1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全关节中空内走线：有</w:t>
            </w:r>
            <w:r>
              <w:rPr>
                <w:rFonts w:hint="eastAsia"/>
                <w:lang w:eastAsia="zh-CN"/>
              </w:rPr>
              <w:t>。</w:t>
            </w:r>
          </w:p>
          <w:p w14:paraId="452F7F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4.支持智能交互。</w:t>
            </w:r>
          </w:p>
          <w:p w14:paraId="2BAEFDE5">
            <w:pPr>
              <w:keepNext w:val="0"/>
              <w:keepLines w:val="0"/>
              <w:suppressLineNumbers w:val="0"/>
              <w:snapToGrid w:val="0"/>
              <w:spacing w:before="0" w:beforeAutospacing="0" w:after="0" w:afterAutospacing="0" w:line="360" w:lineRule="auto"/>
              <w:ind w:left="0" w:right="0"/>
              <w:jc w:val="left"/>
              <w:rPr>
                <w:rFonts w:hint="eastAsia"/>
                <w:lang w:eastAsia="zh-CN"/>
              </w:rPr>
            </w:pPr>
            <w:r>
              <w:rPr>
                <w:rFonts w:hint="default" w:ascii="Arial" w:hAnsi="Arial" w:eastAsia="宋体" w:cs="Arial"/>
                <w:color w:val="auto"/>
                <w:kern w:val="2"/>
                <w:sz w:val="21"/>
                <w:szCs w:val="21"/>
                <w:highlight w:val="none"/>
                <w:lang w:val="en-US" w:eastAsia="zh-CN" w:bidi="ar-SA"/>
              </w:rPr>
              <w:t>……</w:t>
            </w:r>
          </w:p>
        </w:tc>
      </w:tr>
      <w:tr w14:paraId="3BADD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721B32D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bookmarkStart w:id="17" w:name="OLE_LINK107"/>
            <w:r>
              <w:rPr>
                <w:rFonts w:hint="eastAsia" w:ascii="宋体" w:hAnsi="宋体" w:eastAsia="宋体" w:cs="宋体"/>
                <w:color w:val="auto"/>
                <w:sz w:val="21"/>
                <w:szCs w:val="21"/>
                <w:highlight w:val="none"/>
                <w:lang w:val="en-US" w:eastAsia="zh-CN"/>
              </w:rPr>
              <w:t>3</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02C3C62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olor w:val="000000" w:themeColor="text1"/>
                <w:sz w:val="22"/>
                <w:szCs w:val="22"/>
                <w:vertAlign w:val="baseline"/>
                <w:lang w:val="en-US" w:eastAsia="zh-CN"/>
                <w14:textFill>
                  <w14:solidFill>
                    <w14:schemeClr w14:val="tx1"/>
                  </w14:solidFill>
                </w14:textFill>
              </w:rPr>
              <w:t>四足机器人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BB75BB7">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08250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96" w:lineRule="exact"/>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1.仿生四足，</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12自由度，整机15kg±1kg</w:t>
            </w:r>
            <w:r>
              <w:rPr>
                <w:rFonts w:hint="eastAsia"/>
                <w:lang w:eastAsia="zh-CN"/>
              </w:rPr>
              <w:t>。</w:t>
            </w:r>
          </w:p>
          <w:p w14:paraId="5F8F2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96" w:lineRule="exact"/>
              <w:ind w:left="0" w:leftChars="0" w:right="0" w:firstLine="0" w:firstLineChars="0"/>
              <w:textAlignment w:val="auto"/>
              <w:rPr>
                <w:rFonts w:hint="default"/>
                <w:color w:val="000000" w:themeColor="text1"/>
                <w:sz w:val="22"/>
                <w:szCs w:val="22"/>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最高速度</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3.5m/s，</w:t>
            </w:r>
            <w:r>
              <w:rPr>
                <w:rFonts w:hint="eastAsia"/>
                <w:color w:val="000000" w:themeColor="text1"/>
                <w:sz w:val="22"/>
                <w:szCs w:val="22"/>
                <w:lang w:val="en-US" w:eastAsia="zh-CN"/>
                <w14:textFill>
                  <w14:solidFill>
                    <w14:schemeClr w14:val="tx1"/>
                  </w14:solidFill>
                </w14:textFill>
              </w:rPr>
              <w:t>跳跃高度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35cm，最大负载</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8kg，</w:t>
            </w:r>
            <w:r>
              <w:rPr>
                <w:rFonts w:hint="eastAsia"/>
                <w:color w:val="000000" w:themeColor="text1"/>
                <w:sz w:val="22"/>
                <w:szCs w:val="22"/>
                <w:lang w:val="en-US" w:eastAsia="zh-CN"/>
                <w14:textFill>
                  <w14:solidFill>
                    <w14:schemeClr w14:val="tx1"/>
                  </w14:solidFill>
                </w14:textFill>
              </w:rPr>
              <w:t>连续爬楼梯高度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16cm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14F5DF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96" w:lineRule="exact"/>
              <w:ind w:left="0" w:leftChars="0" w:right="0" w:firstLine="0" w:firstLineChars="0"/>
              <w:textAlignment w:val="auto"/>
              <w:rPr>
                <w:rFonts w:hint="eastAsia"/>
                <w:color w:val="000000" w:themeColor="text1"/>
                <w:sz w:val="22"/>
                <w:szCs w:val="22"/>
                <w:lang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感知配置：</w:t>
            </w:r>
            <w:r>
              <w:rPr>
                <w:color w:val="000000" w:themeColor="text1"/>
                <w:sz w:val="22"/>
                <w:szCs w:val="22"/>
                <w14:textFill>
                  <w14:solidFill>
                    <w14:schemeClr w14:val="tx1"/>
                  </w14:solidFill>
                </w14:textFill>
              </w:rPr>
              <w:t>前向广角相机、标配IMU；支持扩展激光雷达、深度相机、RTK/4G/5G</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37AFBE5D">
            <w:pPr>
              <w:keepNext w:val="0"/>
              <w:keepLines w:val="0"/>
              <w:suppressLineNumbers w:val="0"/>
              <w:spacing w:before="0" w:beforeAutospacing="0" w:after="0" w:afterAutospacing="0"/>
              <w:ind w:left="0" w:leftChars="0" w:right="0" w:rightChars="0"/>
              <w:rPr>
                <w:rFonts w:hint="eastAsia"/>
                <w:color w:val="000000" w:themeColor="text1"/>
                <w:sz w:val="22"/>
                <w:szCs w:val="22"/>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算力与软件</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eastAsia="zh-CN"/>
                <w14:textFill>
                  <w14:solidFill>
                    <w14:schemeClr w14:val="tx1"/>
                  </w14:solidFill>
                </w14:textFill>
              </w:rPr>
              <w:t>40Tops算力，含AI算法的技术支持，</w:t>
            </w:r>
            <w:r>
              <w:rPr>
                <w:rFonts w:hint="eastAsia"/>
                <w:color w:val="000000" w:themeColor="text1"/>
                <w:sz w:val="22"/>
                <w:szCs w:val="22"/>
                <w:lang w:val="en-US" w:eastAsia="zh-CN"/>
                <w14:textFill>
                  <w14:solidFill>
                    <w14:schemeClr w14:val="tx1"/>
                  </w14:solidFill>
                </w14:textFill>
              </w:rPr>
              <w:t>具备标准化扩展接口，支持二次开发与个性化改制，实现群演。</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16F0D07">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default" w:ascii="Arial" w:hAnsi="Arial" w:eastAsia="宋体" w:cs="Arial"/>
                <w:color w:val="auto"/>
                <w:kern w:val="2"/>
                <w:sz w:val="21"/>
                <w:szCs w:val="21"/>
                <w:highlight w:val="none"/>
                <w:lang w:val="en-US" w:eastAsia="zh-CN" w:bidi="ar-SA"/>
              </w:rPr>
              <w:t>……</w:t>
            </w:r>
          </w:p>
        </w:tc>
      </w:tr>
      <w:tr w14:paraId="46461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1C7540CD">
            <w:pPr>
              <w:keepNext w:val="0"/>
              <w:keepLines w:val="0"/>
              <w:suppressLineNumbers w:val="0"/>
              <w:bidi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31EE5B9B">
            <w:pPr>
              <w:keepNext w:val="0"/>
              <w:keepLines w:val="0"/>
              <w:suppressLineNumbers w:val="0"/>
              <w:bidi w:val="0"/>
              <w:spacing w:before="0" w:beforeAutospacing="0" w:after="0" w:afterAutospacing="0"/>
              <w:ind w:left="0" w:right="0"/>
              <w:jc w:val="center"/>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14:textFill>
                  <w14:solidFill>
                    <w14:schemeClr w14:val="tx1"/>
                  </w14:solidFill>
                </w14:textFill>
              </w:rPr>
              <w:t>智能翻译机器人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9382D8D">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5FAC230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▲1.多语种 Al 透明屏一体机。屏幕尺寸：≥20.8寸，分辨率≥720P（1280×720）；亮度≥300cd/㎡；透明度透光率80%以上</w:t>
            </w:r>
            <w:r>
              <w:rPr>
                <w:rFonts w:hint="eastAsia"/>
                <w:lang w:eastAsia="zh-CN"/>
              </w:rPr>
              <w:t>。</w:t>
            </w:r>
          </w:p>
          <w:p w14:paraId="6C7E6B2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▲2.触控交互：支持双面透明屏显示与多点触控。</w:t>
            </w:r>
          </w:p>
          <w:p w14:paraId="13D4640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3.硬件配置：处理器：国产核心板，≥8核CPU、主频≥2.4GHz</w:t>
            </w:r>
            <w:r>
              <w:rPr>
                <w:rFonts w:hint="eastAsia"/>
                <w:lang w:eastAsia="zh-CN"/>
              </w:rPr>
              <w:t>。</w:t>
            </w:r>
          </w:p>
          <w:p w14:paraId="590CF6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▲4.内存≥8G；固态硬盘≥64G</w:t>
            </w:r>
            <w:r>
              <w:rPr>
                <w:rFonts w:hint="eastAsia"/>
                <w:lang w:eastAsia="zh-CN"/>
              </w:rPr>
              <w:t>。</w:t>
            </w:r>
          </w:p>
          <w:p w14:paraId="3D06F2D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5.麦克风阵列：双线性四麦麦克风阵列</w:t>
            </w:r>
            <w:r>
              <w:rPr>
                <w:rFonts w:hint="eastAsia"/>
                <w:lang w:eastAsia="zh-CN"/>
              </w:rPr>
              <w:t>。</w:t>
            </w:r>
          </w:p>
          <w:p w14:paraId="2CCF5F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6.摄像头：≥双500万像素近焦摄像头</w:t>
            </w:r>
            <w:r>
              <w:rPr>
                <w:rFonts w:hint="eastAsia"/>
                <w:lang w:eastAsia="zh-CN"/>
              </w:rPr>
              <w:t>。</w:t>
            </w:r>
          </w:p>
          <w:p w14:paraId="60FB7D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7.算法模块：集成人脸检测、声源定位、多模态降噪、动态交互等功能</w:t>
            </w:r>
            <w:r>
              <w:rPr>
                <w:rFonts w:hint="eastAsia"/>
                <w:lang w:eastAsia="zh-CN"/>
              </w:rPr>
              <w:t>。</w:t>
            </w:r>
          </w:p>
          <w:p w14:paraId="627E2CD1">
            <w:pPr>
              <w:keepNext w:val="0"/>
              <w:keepLines w:val="0"/>
              <w:suppressLineNumbers w:val="0"/>
              <w:snapToGrid w:val="0"/>
              <w:spacing w:before="0" w:beforeAutospacing="0" w:after="0" w:afterAutospacing="0" w:line="360" w:lineRule="auto"/>
              <w:ind w:left="0" w:right="0"/>
              <w:jc w:val="lef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w:t>
            </w:r>
          </w:p>
        </w:tc>
      </w:tr>
      <w:tr w14:paraId="270D1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427B3E5">
            <w:pPr>
              <w:keepNext w:val="0"/>
              <w:keepLines w:val="0"/>
              <w:suppressLineNumbers w:val="0"/>
              <w:bidi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30344E19">
            <w:pPr>
              <w:keepNext w:val="0"/>
              <w:keepLines w:val="0"/>
              <w:suppressLineNumbers w:val="0"/>
              <w:bidi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F05A2F7">
            <w:pPr>
              <w:keepNext w:val="0"/>
              <w:keepLines w:val="0"/>
              <w:suppressLineNumbers w:val="0"/>
              <w:snapToGrid w:val="0"/>
              <w:spacing w:before="0" w:beforeAutospacing="0" w:after="0" w:afterAutospacing="0" w:line="360" w:lineRule="auto"/>
              <w:ind w:left="0" w:right="0"/>
              <w:jc w:val="center"/>
              <w:rPr>
                <w:rFonts w:hint="eastAsia" w:ascii="宋体" w:hAnsi="宋体" w:cs="宋体"/>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6D6ABAAA">
            <w:pPr>
              <w:keepNext w:val="0"/>
              <w:keepLines w:val="0"/>
              <w:suppressLineNumbers w:val="0"/>
              <w:spacing w:before="0" w:beforeAutospacing="0" w:after="0" w:afterAutospacing="0" w:line="360" w:lineRule="auto"/>
              <w:ind w:left="0" w:right="0"/>
              <w:jc w:val="both"/>
              <w:rPr>
                <w:rFonts w:hint="eastAsia" w:ascii="宋体" w:hAnsi="宋体" w:cs="宋体"/>
                <w:color w:val="auto"/>
                <w:sz w:val="21"/>
                <w:szCs w:val="21"/>
                <w:highlight w:val="none"/>
              </w:rPr>
            </w:pPr>
            <w:r>
              <w:rPr>
                <w:rFonts w:hint="eastAsia" w:ascii="宋体" w:hAnsi="宋体" w:cs="宋体"/>
                <w:color w:val="auto"/>
                <w:szCs w:val="21"/>
                <w:highlight w:val="none"/>
              </w:rPr>
              <w:t>具体内容详见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：采购需求</w:t>
            </w:r>
          </w:p>
        </w:tc>
      </w:tr>
      <w:bookmarkEnd w:id="17"/>
    </w:tbl>
    <w:p w14:paraId="01EA090B">
      <w:pPr>
        <w:spacing w:line="360" w:lineRule="auto"/>
        <w:ind w:firstLine="420" w:firstLineChars="200"/>
        <w:rPr>
          <w:rFonts w:hint="eastAsia" w:ascii="宋体" w:hAnsi="宋体" w:cs="宋体"/>
          <w:color w:val="auto"/>
          <w:szCs w:val="21"/>
          <w:highlight w:val="none"/>
          <w:lang w:eastAsia="zh-CN"/>
        </w:rPr>
      </w:pPr>
      <w:bookmarkStart w:id="18" w:name="OLE_LINK222"/>
      <w:r>
        <w:rPr>
          <w:rFonts w:hint="eastAsia" w:ascii="宋体" w:hAnsi="宋体" w:cs="宋体"/>
          <w:color w:val="auto"/>
          <w:szCs w:val="21"/>
          <w:highlight w:val="none"/>
        </w:rPr>
        <w:t>合同履行期限：</w:t>
      </w:r>
      <w:bookmarkEnd w:id="18"/>
      <w:bookmarkStart w:id="19" w:name="OLE_LINK173"/>
      <w:bookmarkStart w:id="20" w:name="OLE_LINK174"/>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60天</w:t>
      </w:r>
      <w:r>
        <w:rPr>
          <w:rFonts w:hint="eastAsia" w:ascii="宋体" w:hAnsi="宋体" w:cs="宋体"/>
          <w:color w:val="auto"/>
          <w:szCs w:val="21"/>
          <w:highlight w:val="none"/>
        </w:rPr>
        <w:t>内</w:t>
      </w:r>
      <w:bookmarkEnd w:id="19"/>
      <w:bookmarkStart w:id="21" w:name="OLE_LINK149"/>
      <w:r>
        <w:rPr>
          <w:rFonts w:hint="eastAsia" w:ascii="宋体" w:hAnsi="宋体" w:eastAsia="宋体" w:cs="宋体"/>
          <w:color w:val="auto"/>
          <w:sz w:val="21"/>
          <w:szCs w:val="21"/>
          <w:highlight w:val="none"/>
          <w:lang w:val="en-US" w:eastAsia="zh-CN"/>
        </w:rPr>
        <w:t>按采购人要求安装完毕并交付使用</w:t>
      </w:r>
    </w:p>
    <w:bookmarkEnd w:id="20"/>
    <w:bookmarkEnd w:id="21"/>
    <w:p w14:paraId="35A935B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本项目（否）接受联合体投标</w:t>
      </w:r>
    </w:p>
    <w:p w14:paraId="15FBF1E8">
      <w:pPr>
        <w:spacing w:line="360" w:lineRule="auto"/>
        <w:ind w:firstLine="420" w:firstLineChars="200"/>
        <w:rPr>
          <w:rFonts w:hint="eastAsia" w:eastAsia="宋体"/>
          <w:color w:val="auto"/>
          <w:highlight w:val="none"/>
          <w:lang w:eastAsia="zh-CN"/>
        </w:rPr>
      </w:pPr>
      <w:r>
        <w:rPr>
          <w:rFonts w:hint="eastAsia" w:ascii="宋体" w:hAnsi="宋体"/>
          <w:color w:val="auto"/>
          <w:szCs w:val="21"/>
          <w:highlight w:val="none"/>
        </w:rPr>
        <w:t>备注：</w:t>
      </w:r>
      <w:r>
        <w:rPr>
          <w:rFonts w:hint="eastAsia" w:ascii="宋体" w:hAnsi="宋体"/>
          <w:color w:val="auto"/>
          <w:szCs w:val="21"/>
          <w:highlight w:val="none"/>
          <w:lang w:val="en-US" w:eastAsia="zh-CN"/>
        </w:rPr>
        <w:t>/</w:t>
      </w:r>
    </w:p>
    <w:p w14:paraId="7657155D">
      <w:pPr>
        <w:spacing w:line="360" w:lineRule="auto"/>
        <w:ind w:firstLine="361"/>
        <w:rPr>
          <w:rFonts w:ascii="黑体" w:hAnsi="黑体" w:eastAsia="黑体"/>
          <w:b/>
          <w:bCs/>
          <w:color w:val="auto"/>
          <w:sz w:val="24"/>
          <w:highlight w:val="none"/>
        </w:rPr>
      </w:pPr>
      <w:bookmarkStart w:id="22" w:name="_Toc28359080"/>
      <w:bookmarkStart w:id="23" w:name="_Toc35393791"/>
      <w:bookmarkStart w:id="24" w:name="_Toc35393622"/>
      <w:bookmarkStart w:id="25" w:name="_Toc28359003"/>
      <w:r>
        <w:rPr>
          <w:rFonts w:hint="eastAsia" w:ascii="黑体" w:hAnsi="黑体" w:eastAsia="黑体"/>
          <w:b/>
          <w:bCs/>
          <w:color w:val="auto"/>
          <w:sz w:val="24"/>
          <w:highlight w:val="none"/>
        </w:rPr>
        <w:t>二、申请人的资格要求：</w:t>
      </w:r>
      <w:bookmarkEnd w:id="22"/>
      <w:bookmarkEnd w:id="23"/>
      <w:bookmarkEnd w:id="24"/>
      <w:bookmarkEnd w:id="25"/>
    </w:p>
    <w:p w14:paraId="7548DD19">
      <w:pPr>
        <w:spacing w:line="360" w:lineRule="auto"/>
        <w:ind w:firstLine="420" w:firstLineChars="200"/>
        <w:rPr>
          <w:rFonts w:hint="eastAsia" w:ascii="宋体" w:hAnsi="宋体" w:eastAsia="宋体" w:cs="Times New Roman"/>
          <w:color w:val="auto"/>
          <w:szCs w:val="21"/>
          <w:highlight w:val="none"/>
        </w:rPr>
      </w:pPr>
      <w:bookmarkStart w:id="26" w:name="_Toc28359081"/>
      <w:bookmarkStart w:id="27" w:name="_Toc28359004"/>
      <w:r>
        <w:rPr>
          <w:rFonts w:hint="eastAsia" w:ascii="宋体" w:hAnsi="宋体"/>
          <w:color w:val="auto"/>
          <w:szCs w:val="21"/>
          <w:highlight w:val="none"/>
        </w:rPr>
        <w:t>1.满足《中华人</w:t>
      </w:r>
      <w:r>
        <w:rPr>
          <w:rFonts w:hint="eastAsia" w:ascii="宋体" w:hAnsi="宋体" w:eastAsia="宋体" w:cs="Times New Roman"/>
          <w:color w:val="auto"/>
          <w:szCs w:val="21"/>
          <w:highlight w:val="none"/>
        </w:rPr>
        <w:t>民共和国政府采购法》第二十二条规定。</w:t>
      </w:r>
    </w:p>
    <w:p w14:paraId="34C241B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2.落实政府采购政策需满足的资格要求：□专门面向中小企业采购的项目（供应商应为中小微企业、监狱企业、残疾人福利性单位)</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sym w:font="Wingdings 2" w:char="0052"/>
      </w:r>
      <w:r>
        <w:rPr>
          <w:rFonts w:hint="eastAsia" w:ascii="宋体" w:hAnsi="宋体" w:eastAsia="宋体" w:cs="Times New Roman"/>
          <w:color w:val="auto"/>
          <w:szCs w:val="21"/>
          <w:highlight w:val="none"/>
        </w:rPr>
        <w:t>非专门面向中小企业采购的项目。</w:t>
      </w:r>
    </w:p>
    <w:p w14:paraId="74BDEE2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bookmarkStart w:id="28" w:name="_Toc35393623"/>
      <w:bookmarkStart w:id="29" w:name="_Toc35393792"/>
      <w:r>
        <w:rPr>
          <w:rFonts w:hint="eastAsia" w:ascii="宋体" w:hAnsi="宋体" w:eastAsia="宋体" w:cs="Times New Roman"/>
          <w:color w:val="auto"/>
          <w:szCs w:val="21"/>
          <w:highlight w:val="none"/>
          <w:lang w:eastAsia="zh-CN"/>
        </w:rPr>
        <w:t>无</w:t>
      </w:r>
      <w:r>
        <w:rPr>
          <w:rFonts w:hint="eastAsia" w:ascii="宋体" w:hAnsi="宋体" w:eastAsia="宋体" w:cs="Times New Roman"/>
          <w:color w:val="auto"/>
          <w:szCs w:val="21"/>
          <w:highlight w:val="none"/>
        </w:rPr>
        <w:t>。</w:t>
      </w:r>
    </w:p>
    <w:p w14:paraId="5F0520F3">
      <w:pPr>
        <w:spacing w:line="360" w:lineRule="auto"/>
        <w:ind w:firstLine="361"/>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6"/>
      <w:bookmarkEnd w:id="27"/>
      <w:bookmarkEnd w:id="28"/>
      <w:bookmarkEnd w:id="29"/>
    </w:p>
    <w:p w14:paraId="483F1CFC">
      <w:pPr>
        <w:snapToGrid w:val="0"/>
        <w:spacing w:line="360" w:lineRule="auto"/>
        <w:ind w:firstLine="472" w:firstLineChars="225"/>
        <w:rPr>
          <w:rFonts w:ascii="宋体" w:hAnsi="宋体"/>
          <w:color w:val="auto"/>
          <w:szCs w:val="21"/>
          <w:highlight w:val="none"/>
        </w:rPr>
      </w:pPr>
      <w:bookmarkStart w:id="30" w:name="_Toc28359005"/>
      <w:bookmarkStart w:id="31" w:name="_Toc28359082"/>
      <w:bookmarkStart w:id="32" w:name="_Toc35393793"/>
      <w:bookmarkStart w:id="33" w:name="_Toc35393624"/>
      <w:r>
        <w:rPr>
          <w:rFonts w:hint="eastAsia" w:ascii="宋体" w:hAnsi="宋体"/>
          <w:color w:val="auto"/>
          <w:szCs w:val="21"/>
          <w:highlight w:val="none"/>
        </w:rPr>
        <w:t>时间：</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26</w:t>
      </w:r>
      <w:r>
        <w:rPr>
          <w:rFonts w:hint="eastAsia" w:ascii="宋体" w:hAnsi="宋体"/>
          <w:color w:val="auto"/>
          <w:szCs w:val="21"/>
          <w:highlight w:val="none"/>
          <w:lang w:eastAsia="zh-CN"/>
        </w:rPr>
        <w:t>日</w:t>
      </w:r>
      <w:r>
        <w:rPr>
          <w:rFonts w:hint="eastAsia" w:ascii="宋体" w:hAnsi="宋体"/>
          <w:color w:val="auto"/>
          <w:szCs w:val="21"/>
          <w:highlight w:val="none"/>
        </w:rPr>
        <w:t>至</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4</w:t>
      </w:r>
      <w:r>
        <w:rPr>
          <w:rFonts w:hint="eastAsia" w:ascii="宋体" w:hAnsi="宋体"/>
          <w:color w:val="auto"/>
          <w:szCs w:val="21"/>
          <w:highlight w:val="none"/>
        </w:rPr>
        <w:t>日，每天上午00:00至</w:t>
      </w: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，下午12:00至23:59（北京时间，法定节假日除外）。</w:t>
      </w:r>
    </w:p>
    <w:p w14:paraId="08E03132">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地点（网址）：</w:t>
      </w:r>
      <w:bookmarkStart w:id="34" w:name="OLE_LINK182"/>
      <w:r>
        <w:rPr>
          <w:rFonts w:hint="eastAsia" w:ascii="宋体" w:hAnsi="宋体"/>
          <w:color w:val="auto"/>
          <w:szCs w:val="21"/>
          <w:highlight w:val="none"/>
        </w:rPr>
        <w:t>广西政府采购云平台（</w:t>
      </w:r>
      <w:r>
        <w:rPr>
          <w:rFonts w:hint="eastAsia" w:ascii="宋体" w:hAnsi="宋体" w:cs="宋体"/>
          <w:color w:val="auto"/>
          <w:szCs w:val="21"/>
          <w:highlight w:val="none"/>
        </w:rPr>
        <w:t>https://www.gcy.zfcg.gxzf.gov.cn/</w:t>
      </w:r>
      <w:r>
        <w:rPr>
          <w:rFonts w:hint="eastAsia" w:ascii="宋体" w:hAnsi="宋体"/>
          <w:color w:val="auto"/>
          <w:szCs w:val="21"/>
          <w:highlight w:val="none"/>
        </w:rPr>
        <w:t>）</w:t>
      </w:r>
    </w:p>
    <w:bookmarkEnd w:id="34"/>
    <w:p w14:paraId="28B86407">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方式:</w:t>
      </w:r>
      <w:bookmarkStart w:id="35" w:name="OLE_LINK183"/>
      <w:r>
        <w:rPr>
          <w:rFonts w:hint="eastAsia" w:ascii="宋体" w:hAnsi="宋体"/>
          <w:color w:val="auto"/>
          <w:szCs w:val="21"/>
          <w:highlight w:val="none"/>
        </w:rPr>
        <w:t>网上下载。本项目不发放纸质文件，</w:t>
      </w:r>
      <w:r>
        <w:rPr>
          <w:rFonts w:hint="eastAsia"/>
          <w:color w:val="auto"/>
          <w:highlight w:val="none"/>
        </w:rPr>
        <w:t>潜在</w:t>
      </w:r>
      <w:r>
        <w:rPr>
          <w:rFonts w:hint="eastAsia"/>
          <w:color w:val="auto"/>
          <w:highlight w:val="none"/>
          <w:lang w:eastAsia="zh-CN"/>
        </w:rPr>
        <w:t>投标</w:t>
      </w:r>
      <w:r>
        <w:rPr>
          <w:rFonts w:hint="eastAsia" w:ascii="宋体" w:hAnsi="宋体"/>
          <w:color w:val="auto"/>
          <w:szCs w:val="21"/>
          <w:highlight w:val="none"/>
          <w:lang w:eastAsia="zh-CN"/>
        </w:rPr>
        <w:t>人</w:t>
      </w:r>
      <w:r>
        <w:rPr>
          <w:rFonts w:hint="eastAsia" w:ascii="宋体" w:hAnsi="宋体"/>
          <w:color w:val="auto"/>
          <w:szCs w:val="21"/>
          <w:highlight w:val="none"/>
        </w:rPr>
        <w:t>可自行登录</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广西政府采购云平台下载招标文件，电子投标文件制作需要基于广西政府采购云平台获取的招标文件编制。</w:t>
      </w:r>
      <w:bookmarkEnd w:id="35"/>
    </w:p>
    <w:p w14:paraId="25630B60">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售价（元）：0</w:t>
      </w:r>
    </w:p>
    <w:p w14:paraId="2B685F27">
      <w:pPr>
        <w:spacing w:line="360" w:lineRule="auto"/>
        <w:ind w:firstLine="361"/>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30"/>
      <w:bookmarkEnd w:id="31"/>
      <w:r>
        <w:rPr>
          <w:rFonts w:hint="eastAsia" w:ascii="黑体" w:hAnsi="黑体" w:eastAsia="黑体"/>
          <w:b/>
          <w:bCs/>
          <w:color w:val="auto"/>
          <w:sz w:val="24"/>
          <w:highlight w:val="none"/>
        </w:rPr>
        <w:t>截止时间、开标时间和地点</w:t>
      </w:r>
      <w:bookmarkEnd w:id="32"/>
      <w:bookmarkEnd w:id="33"/>
    </w:p>
    <w:p w14:paraId="48290B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提交投标文件截止时间：</w:t>
      </w:r>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19</w:t>
      </w:r>
      <w:r>
        <w:rPr>
          <w:rFonts w:hint="eastAsia" w:ascii="宋体" w:hAnsi="宋体"/>
          <w:bCs/>
          <w:color w:val="auto"/>
          <w:szCs w:val="21"/>
          <w:highlight w:val="none"/>
        </w:rPr>
        <w:t>日 09:30:00（北京时间）</w:t>
      </w:r>
    </w:p>
    <w:p w14:paraId="77B621D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投标地点（网址）：广西政府采购云平台（https://www.gcy.zfcg.gxzf.gov.cn/）</w:t>
      </w:r>
    </w:p>
    <w:p w14:paraId="544A9F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开标时间：</w:t>
      </w:r>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19</w:t>
      </w:r>
      <w:r>
        <w:rPr>
          <w:rFonts w:hint="eastAsia" w:ascii="宋体" w:hAnsi="宋体"/>
          <w:bCs/>
          <w:color w:val="auto"/>
          <w:szCs w:val="21"/>
          <w:highlight w:val="none"/>
        </w:rPr>
        <w:t>日09:30:00（北京时间）</w:t>
      </w:r>
    </w:p>
    <w:p w14:paraId="43B4F4D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开标地点：广西政府采购云平台电子开标大厅</w:t>
      </w:r>
    </w:p>
    <w:p w14:paraId="2960603E">
      <w:pPr>
        <w:spacing w:line="360" w:lineRule="auto"/>
        <w:ind w:firstLine="361"/>
        <w:rPr>
          <w:rFonts w:ascii="黑体" w:hAnsi="黑体" w:eastAsia="黑体"/>
          <w:b/>
          <w:bCs/>
          <w:color w:val="auto"/>
          <w:sz w:val="24"/>
          <w:highlight w:val="none"/>
        </w:rPr>
      </w:pPr>
      <w:bookmarkStart w:id="36" w:name="_Toc35393625"/>
      <w:bookmarkStart w:id="37" w:name="_Toc35393794"/>
      <w:bookmarkStart w:id="38" w:name="_Toc28359007"/>
      <w:bookmarkStart w:id="39" w:name="_Toc28359084"/>
      <w:r>
        <w:rPr>
          <w:rFonts w:hint="eastAsia" w:ascii="黑体" w:hAnsi="黑体" w:eastAsia="黑体"/>
          <w:b/>
          <w:bCs/>
          <w:color w:val="auto"/>
          <w:sz w:val="24"/>
          <w:highlight w:val="none"/>
        </w:rPr>
        <w:t>五、公告期限</w:t>
      </w:r>
      <w:bookmarkEnd w:id="36"/>
      <w:bookmarkEnd w:id="37"/>
      <w:bookmarkEnd w:id="38"/>
      <w:bookmarkEnd w:id="39"/>
    </w:p>
    <w:p w14:paraId="39D6FAF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094ACA4">
      <w:pPr>
        <w:spacing w:line="360" w:lineRule="auto"/>
        <w:ind w:firstLine="361"/>
        <w:rPr>
          <w:rFonts w:ascii="黑体" w:hAnsi="黑体" w:eastAsia="黑体"/>
          <w:b/>
          <w:bCs/>
          <w:color w:val="auto"/>
          <w:sz w:val="24"/>
          <w:highlight w:val="none"/>
        </w:rPr>
      </w:pPr>
      <w:bookmarkStart w:id="40" w:name="_Toc35393626"/>
      <w:bookmarkStart w:id="41" w:name="_Toc35393795"/>
      <w:r>
        <w:rPr>
          <w:rFonts w:hint="eastAsia" w:ascii="黑体" w:hAnsi="黑体" w:eastAsia="黑体"/>
          <w:b/>
          <w:bCs/>
          <w:color w:val="auto"/>
          <w:sz w:val="24"/>
          <w:highlight w:val="none"/>
        </w:rPr>
        <w:t>六、其他补充事宜</w:t>
      </w:r>
      <w:bookmarkEnd w:id="40"/>
      <w:bookmarkEnd w:id="41"/>
    </w:p>
    <w:p w14:paraId="753817EC">
      <w:pPr>
        <w:spacing w:line="360" w:lineRule="auto"/>
        <w:ind w:firstLine="420" w:firstLineChars="200"/>
        <w:rPr>
          <w:rFonts w:ascii="宋体" w:hAnsi="宋体" w:cs="宋体"/>
          <w:color w:val="auto"/>
          <w:kern w:val="0"/>
          <w:szCs w:val="21"/>
          <w:highlight w:val="none"/>
        </w:rPr>
      </w:pPr>
      <w:bookmarkStart w:id="42" w:name="_Hlk37429585"/>
      <w:bookmarkStart w:id="43" w:name="_Hlk37429595"/>
      <w:bookmarkStart w:id="44" w:name="OLE_LINK199"/>
      <w:r>
        <w:rPr>
          <w:rFonts w:hint="eastAsia" w:ascii="宋体" w:hAnsi="宋体" w:cs="宋体"/>
          <w:color w:val="auto"/>
          <w:kern w:val="0"/>
          <w:szCs w:val="21"/>
          <w:highlight w:val="none"/>
        </w:rPr>
        <w:t>1.投标保证金：</w:t>
      </w:r>
    </w:p>
    <w:p w14:paraId="7AC70BB1">
      <w:pPr>
        <w:spacing w:line="360" w:lineRule="auto"/>
        <w:ind w:left="0" w:leftChars="0" w:firstLine="459" w:firstLineChars="219"/>
        <w:rPr>
          <w:rFonts w:ascii="宋体" w:hAnsi="宋体" w:cs="宋体"/>
          <w:color w:val="auto"/>
          <w:kern w:val="0"/>
          <w:szCs w:val="21"/>
          <w:highlight w:val="none"/>
        </w:rPr>
      </w:pPr>
      <w:bookmarkStart w:id="45" w:name="OLE_LINK164"/>
      <w:r>
        <w:rPr>
          <w:rFonts w:hint="eastAsia" w:ascii="宋体" w:hAnsi="宋体" w:cs="宋体"/>
          <w:color w:val="auto"/>
          <w:kern w:val="0"/>
          <w:szCs w:val="21"/>
          <w:highlight w:val="none"/>
        </w:rPr>
        <w:t>投标保证金金额：</w:t>
      </w:r>
      <w:r>
        <w:rPr>
          <w:rFonts w:hint="eastAsia" w:ascii="宋体" w:hAnsi="宋体" w:cs="宋体"/>
          <w:color w:val="auto"/>
          <w:kern w:val="0"/>
          <w:szCs w:val="21"/>
          <w:highlight w:val="none"/>
          <w:lang w:val="en-US" w:eastAsia="zh-CN"/>
        </w:rPr>
        <w:t>20000.00</w:t>
      </w:r>
      <w:r>
        <w:rPr>
          <w:rFonts w:hint="eastAsia" w:ascii="宋体" w:hAnsi="宋体" w:cs="宋体"/>
          <w:color w:val="auto"/>
          <w:kern w:val="0"/>
          <w:szCs w:val="21"/>
          <w:highlight w:val="none"/>
        </w:rPr>
        <w:t>元。</w:t>
      </w:r>
    </w:p>
    <w:bookmarkEnd w:id="45"/>
    <w:p w14:paraId="352EDA3C">
      <w:pPr>
        <w:spacing w:line="360" w:lineRule="auto"/>
        <w:ind w:left="0" w:leftChars="0" w:firstLine="459" w:firstLineChars="219"/>
        <w:rPr>
          <w:rFonts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2988F230">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 xml:space="preserve">账户名称：广西众联工程项目管理有限公司 </w:t>
      </w:r>
    </w:p>
    <w:p w14:paraId="47A47CAC">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开户银行：</w:t>
      </w:r>
      <w:r>
        <w:rPr>
          <w:rFonts w:hint="eastAsia" w:ascii="宋体" w:hAnsi="宋体" w:cs="宋体"/>
          <w:color w:val="auto"/>
          <w:kern w:val="0"/>
          <w:szCs w:val="21"/>
          <w:highlight w:val="none"/>
          <w:lang w:bidi="ar"/>
        </w:rPr>
        <w:t>中国光大银行股份有限公司南宁民主支行</w:t>
      </w:r>
    </w:p>
    <w:p w14:paraId="7FFBCFEC">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银行账号：</w:t>
      </w:r>
      <w:r>
        <w:rPr>
          <w:rFonts w:hint="eastAsia" w:ascii="宋体" w:hAnsi="宋体" w:cs="宋体"/>
          <w:color w:val="auto"/>
          <w:kern w:val="0"/>
          <w:szCs w:val="21"/>
          <w:highlight w:val="none"/>
          <w:lang w:bidi="ar"/>
        </w:rPr>
        <w:t>78900188000167866</w:t>
      </w:r>
    </w:p>
    <w:p w14:paraId="0D29E62E">
      <w:pPr>
        <w:spacing w:line="360" w:lineRule="auto"/>
        <w:ind w:left="0" w:leftChars="0" w:firstLine="422" w:firstLineChars="200"/>
        <w:rPr>
          <w:rFonts w:ascii="宋体" w:hAnsi="宋体" w:cs="宋体"/>
          <w:b/>
          <w:bCs/>
          <w:color w:val="auto"/>
          <w:highlight w:val="none"/>
        </w:rPr>
      </w:pPr>
      <w:r>
        <w:rPr>
          <w:rFonts w:hint="eastAsia" w:ascii="宋体" w:hAnsi="宋体" w:cs="宋体"/>
          <w:b/>
          <w:bCs/>
          <w:color w:val="auto"/>
          <w:kern w:val="0"/>
          <w:szCs w:val="21"/>
          <w:highlight w:val="none"/>
        </w:rPr>
        <w:t>采用支票、汇票、本票或者保函等方式的，在投标截止时间前，投标人必须递交单独的支票、汇票、本票或者保函（电子保函除外）等原件给采购代理机构。否则视为无效投标保证金。</w:t>
      </w:r>
    </w:p>
    <w:p w14:paraId="512713E6">
      <w:pPr>
        <w:numPr>
          <w:ilvl w:val="0"/>
          <w:numId w:val="0"/>
        </w:numPr>
        <w:spacing w:line="360" w:lineRule="auto"/>
        <w:ind w:left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采购意向公开链接：</w:t>
      </w:r>
    </w:p>
    <w:p w14:paraId="1D6ACF61">
      <w:pPr>
        <w:numPr>
          <w:ilvl w:val="0"/>
          <w:numId w:val="0"/>
        </w:numPr>
        <w:spacing w:line="360" w:lineRule="auto"/>
        <w:ind w:leftChars="0"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https://zfcg.gxzf.gov.cn/site/detail?parentId=66485&amp;articleId=K9u+2Q52zcOZ2EDDSRlY1g==</w:t>
      </w:r>
    </w:p>
    <w:p w14:paraId="284847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网上查询地址</w:t>
      </w:r>
      <w:bookmarkEnd w:id="42"/>
      <w:bookmarkEnd w:id="43"/>
      <w:bookmarkStart w:id="46" w:name="_Hlk37429674"/>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中国政府采购网（www.ccgp.gov.cn）、广西壮族自治区政府采购网（http://zfcg.gxzf.gov.cn）、广西壮族自治区公共资源交易中心（http://gxggzy.gxzf.gov.cn）</w:t>
      </w:r>
    </w:p>
    <w:p w14:paraId="75EFAF1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bookmarkStart w:id="47" w:name="PO_3000001867_PM023"/>
    </w:p>
    <w:bookmarkEnd w:id="47"/>
    <w:p w14:paraId="7E857D43">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8D8F5E4">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CAF1FB8">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0133606">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4C9C4BA">
      <w:pPr>
        <w:spacing w:line="360" w:lineRule="auto"/>
        <w:ind w:left="0" w:leftChars="0" w:firstLine="478" w:firstLineChars="228"/>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9D194D8">
      <w:pPr>
        <w:spacing w:line="360" w:lineRule="auto"/>
        <w:ind w:left="0" w:leftChars="0" w:firstLine="478" w:firstLineChars="228"/>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政府</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eastAsia="zh-CN"/>
        </w:rPr>
        <w:t>支持创新政府采购政策。</w:t>
      </w:r>
    </w:p>
    <w:p w14:paraId="66FC37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784CF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6"/>
    <w:p w14:paraId="37B00095">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.在线投标的有关说明</w:t>
      </w:r>
      <w:r>
        <w:rPr>
          <w:rFonts w:hint="eastAsia" w:ascii="宋体" w:hAnsi="宋体" w:cs="宋体"/>
          <w:b/>
          <w:bCs/>
          <w:color w:val="auto"/>
          <w:kern w:val="0"/>
          <w:szCs w:val="21"/>
          <w:highlight w:val="none"/>
        </w:rPr>
        <w:t>：</w:t>
      </w:r>
    </w:p>
    <w:p w14:paraId="4DFC7FC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5D399DA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67104EB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4C6E6610">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34007E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58D171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bookmarkEnd w:id="44"/>
    <w:p w14:paraId="7CB33AD5">
      <w:pPr>
        <w:spacing w:line="360" w:lineRule="auto"/>
        <w:ind w:firstLine="361"/>
        <w:rPr>
          <w:rFonts w:ascii="黑体" w:hAnsi="黑体" w:eastAsia="黑体"/>
          <w:b/>
          <w:bCs/>
          <w:color w:val="auto"/>
          <w:sz w:val="24"/>
          <w:highlight w:val="none"/>
        </w:rPr>
      </w:pPr>
      <w:bookmarkStart w:id="48" w:name="_Toc35393627"/>
      <w:bookmarkStart w:id="49" w:name="_Toc28359085"/>
      <w:bookmarkStart w:id="50" w:name="_Toc35393796"/>
      <w:bookmarkStart w:id="51" w:name="_Toc28359008"/>
      <w:r>
        <w:rPr>
          <w:rFonts w:hint="eastAsia" w:ascii="黑体" w:hAnsi="黑体" w:eastAsia="黑体"/>
          <w:b/>
          <w:bCs/>
          <w:color w:val="auto"/>
          <w:sz w:val="24"/>
          <w:highlight w:val="none"/>
        </w:rPr>
        <w:t>七、对本次招标提出询问，请按以下方式联系。</w:t>
      </w:r>
      <w:bookmarkEnd w:id="48"/>
      <w:bookmarkEnd w:id="49"/>
      <w:bookmarkEnd w:id="50"/>
      <w:bookmarkEnd w:id="51"/>
    </w:p>
    <w:p w14:paraId="69F832F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6BAEFD74">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bookmarkStart w:id="52" w:name="OLE_LINK141"/>
      <w:r>
        <w:rPr>
          <w:rFonts w:hint="eastAsia" w:ascii="宋体" w:hAnsi="宋体" w:cs="宋体"/>
          <w:color w:val="auto"/>
          <w:kern w:val="0"/>
          <w:szCs w:val="21"/>
          <w:highlight w:val="none"/>
          <w:lang w:eastAsia="zh-CN"/>
        </w:rPr>
        <w:t>广西壮族自治区文化和旅游厅</w:t>
      </w:r>
    </w:p>
    <w:bookmarkEnd w:id="52"/>
    <w:p w14:paraId="6D0B71E7">
      <w:pPr>
        <w:spacing w:line="360" w:lineRule="auto"/>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bookmarkStart w:id="53" w:name="OLE_LINK204"/>
      <w:r>
        <w:rPr>
          <w:rFonts w:hint="eastAsia" w:ascii="宋体" w:hAnsi="宋体" w:cs="宋体"/>
          <w:color w:val="auto"/>
          <w:kern w:val="0"/>
          <w:szCs w:val="21"/>
          <w:highlight w:val="none"/>
        </w:rPr>
        <w:t>南宁市青秀区南湖街道金湖南路24号</w:t>
      </w:r>
    </w:p>
    <w:bookmarkEnd w:id="53"/>
    <w:p w14:paraId="6ACE901A">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苏芳</w:t>
      </w:r>
    </w:p>
    <w:p w14:paraId="043607BE">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bookmarkStart w:id="54" w:name="OLE_LINK202"/>
      <w:r>
        <w:rPr>
          <w:rFonts w:hint="eastAsia" w:ascii="宋体" w:hAnsi="宋体" w:cs="宋体"/>
          <w:color w:val="auto"/>
          <w:kern w:val="0"/>
          <w:szCs w:val="21"/>
          <w:highlight w:val="none"/>
          <w:lang w:val="en-US" w:eastAsia="zh-CN"/>
        </w:rPr>
        <w:t>0771-5529050</w:t>
      </w:r>
    </w:p>
    <w:bookmarkEnd w:id="54"/>
    <w:p w14:paraId="0966D6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05790EE8">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名称：广西众联工程项目管理有限公司             </w:t>
      </w:r>
    </w:p>
    <w:p w14:paraId="7B03CA40">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地址：南宁市江南区白沙大道53号松宇时代14A层              </w:t>
      </w:r>
    </w:p>
    <w:p w14:paraId="4FF0B1D3">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项目联系人：</w:t>
      </w:r>
      <w:r>
        <w:rPr>
          <w:rFonts w:hint="eastAsia" w:ascii="宋体" w:hAnsi="宋体"/>
          <w:color w:val="auto"/>
          <w:szCs w:val="21"/>
          <w:highlight w:val="none"/>
          <w:lang w:val="en-US" w:eastAsia="zh-CN"/>
        </w:rPr>
        <w:t>姚茜</w:t>
      </w:r>
      <w:r>
        <w:rPr>
          <w:rFonts w:hint="default" w:ascii="宋体" w:hAnsi="宋体" w:eastAsia="宋体"/>
          <w:color w:val="auto"/>
          <w:szCs w:val="21"/>
          <w:highlight w:val="none"/>
          <w:lang w:val="en-US" w:eastAsia="zh-CN"/>
        </w:rPr>
        <w:t>、包鹏、戚程              </w:t>
      </w:r>
    </w:p>
    <w:p w14:paraId="3422C531">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项目联系方式：0771-4308370 </w:t>
      </w:r>
    </w:p>
    <w:p w14:paraId="119DE47D">
      <w:pPr>
        <w:spacing w:line="360" w:lineRule="auto"/>
        <w:jc w:val="left"/>
        <w:rPr>
          <w:rFonts w:ascii="宋体" w:hAnsi="宋体" w:cs="宋体"/>
          <w:color w:val="auto"/>
          <w:szCs w:val="21"/>
          <w:highlight w:val="none"/>
        </w:rPr>
      </w:pPr>
    </w:p>
    <w:bookmarkEnd w:id="6"/>
    <w:p w14:paraId="5881AFE6">
      <w:pPr>
        <w:pStyle w:val="2"/>
        <w:bidi w:val="0"/>
        <w:jc w:val="center"/>
        <w:rPr>
          <w:rFonts w:hAnsi="宋体" w:cs="宋体"/>
          <w:b/>
          <w:color w:val="auto"/>
          <w:sz w:val="36"/>
          <w:highlight w:val="none"/>
        </w:rPr>
      </w:pPr>
      <w:r>
        <w:rPr>
          <w:rFonts w:hint="eastAsia" w:hAnsi="宋体" w:cs="宋体"/>
          <w:color w:val="auto"/>
          <w:szCs w:val="21"/>
          <w:highlight w:val="none"/>
        </w:rPr>
        <w:br w:type="page"/>
      </w:r>
      <w:bookmarkStart w:id="303" w:name="_GoBack"/>
      <w:bookmarkEnd w:id="303"/>
      <w:bookmarkStart w:id="55" w:name="_Toc532545042"/>
      <w:bookmarkStart w:id="56" w:name="_Toc22518"/>
      <w:bookmarkStart w:id="57" w:name="_Toc28626"/>
      <w:bookmarkStart w:id="58" w:name="_Toc32271"/>
      <w:bookmarkStart w:id="59" w:name="_Toc4656"/>
      <w:bookmarkStart w:id="60" w:name="_Toc30982"/>
      <w:r>
        <w:rPr>
          <w:rFonts w:hint="eastAsia" w:hAnsi="宋体" w:cs="宋体"/>
          <w:b/>
          <w:color w:val="auto"/>
          <w:sz w:val="36"/>
          <w:highlight w:val="none"/>
        </w:rPr>
        <w:t xml:space="preserve">第二章  </w:t>
      </w:r>
      <w:bookmarkEnd w:id="55"/>
      <w:r>
        <w:rPr>
          <w:rFonts w:hint="eastAsia" w:hAnsi="宋体" w:cs="宋体"/>
          <w:b/>
          <w:color w:val="auto"/>
          <w:sz w:val="36"/>
          <w:highlight w:val="none"/>
        </w:rPr>
        <w:t>采购需求</w:t>
      </w:r>
      <w:bookmarkEnd w:id="56"/>
      <w:bookmarkEnd w:id="57"/>
      <w:bookmarkEnd w:id="58"/>
      <w:bookmarkEnd w:id="59"/>
      <w:bookmarkEnd w:id="60"/>
    </w:p>
    <w:p w14:paraId="368CBCC2">
      <w:pPr>
        <w:adjustRightInd w:val="0"/>
        <w:spacing w:line="450" w:lineRule="exact"/>
        <w:ind w:firstLine="316"/>
        <w:rPr>
          <w:rFonts w:ascii="宋体" w:hAnsi="宋体" w:cs="宋体"/>
          <w:b/>
          <w:color w:val="auto"/>
          <w:szCs w:val="21"/>
          <w:highlight w:val="none"/>
        </w:rPr>
      </w:pPr>
      <w:r>
        <w:rPr>
          <w:rFonts w:hint="eastAsia" w:ascii="宋体" w:hAnsi="宋体" w:cs="宋体"/>
          <w:b/>
          <w:color w:val="auto"/>
          <w:szCs w:val="21"/>
          <w:highlight w:val="none"/>
        </w:rPr>
        <w:t>说明：</w:t>
      </w:r>
    </w:p>
    <w:p w14:paraId="0E670228">
      <w:pPr>
        <w:spacing w:line="450" w:lineRule="exact"/>
        <w:ind w:firstLine="424" w:firstLineChars="202"/>
        <w:jc w:val="left"/>
        <w:rPr>
          <w:rFonts w:hint="eastAsia" w:ascii="宋体" w:hAnsi="宋体" w:eastAsia="宋体" w:cs="宋体"/>
          <w:color w:val="auto"/>
          <w:highlight w:val="none"/>
          <w:lang w:eastAsia="zh-CN"/>
        </w:rPr>
      </w:pPr>
      <w:r>
        <w:rPr>
          <w:rFonts w:hint="eastAsia" w:ascii="宋体" w:hAnsi="宋体" w:cs="宋体"/>
          <w:color w:val="auto"/>
          <w:highlight w:val="none"/>
        </w:rPr>
        <w:t>1. 为落实政府采购政策需满足的要求</w:t>
      </w:r>
      <w:r>
        <w:rPr>
          <w:rFonts w:hint="eastAsia" w:ascii="宋体" w:hAnsi="宋体" w:cs="宋体"/>
          <w:color w:val="auto"/>
          <w:highlight w:val="none"/>
          <w:lang w:eastAsia="zh-CN"/>
        </w:rPr>
        <w:t>：</w:t>
      </w:r>
    </w:p>
    <w:p w14:paraId="0BE25EBD">
      <w:pPr>
        <w:spacing w:line="450" w:lineRule="exact"/>
        <w:ind w:firstLine="424" w:firstLineChars="202"/>
        <w:jc w:val="left"/>
        <w:rPr>
          <w:rFonts w:hint="eastAsia" w:ascii="宋体" w:hAnsi="宋体" w:cs="宋体"/>
          <w:color w:val="auto"/>
          <w:highlight w:val="none"/>
          <w:lang w:val="en-US" w:eastAsia="zh-CN"/>
        </w:rPr>
      </w:pPr>
      <w:r>
        <w:rPr>
          <w:rFonts w:hint="eastAsia" w:ascii="宋体" w:hAnsi="宋体" w:cs="宋体"/>
          <w:color w:val="auto"/>
          <w:highlight w:val="none"/>
        </w:rPr>
        <w:t>（1）本招标文件所称中小企业必须符合《政府采购促进中小企业发展管理办法》（财库〔2020〕46号）的规定。</w:t>
      </w:r>
      <w:r>
        <w:rPr>
          <w:rFonts w:hint="eastAsia" w:ascii="宋体" w:hAnsi="宋体" w:cs="宋体"/>
          <w:color w:val="auto"/>
          <w:highlight w:val="none"/>
          <w:lang w:eastAsia="zh-CN"/>
        </w:rPr>
        <w:t>本项目属于货物采购项目。中小企业划分标准详见附件</w:t>
      </w:r>
      <w:r>
        <w:rPr>
          <w:rFonts w:hint="eastAsia" w:ascii="宋体" w:hAnsi="宋体" w:cs="宋体"/>
          <w:color w:val="auto"/>
          <w:highlight w:val="none"/>
          <w:lang w:val="en-US" w:eastAsia="zh-CN"/>
        </w:rPr>
        <w:t>1。</w:t>
      </w:r>
    </w:p>
    <w:p w14:paraId="2E5AE8EB">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本招标文件所称本国产品标准</w:t>
      </w:r>
      <w:r>
        <w:rPr>
          <w:rFonts w:hint="eastAsia" w:ascii="宋体" w:hAnsi="宋体" w:cs="宋体"/>
          <w:color w:val="auto"/>
          <w:highlight w:val="none"/>
        </w:rPr>
        <w:t>必须符合《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AE9F9D">
      <w:pPr>
        <w:spacing w:line="450" w:lineRule="exact"/>
        <w:ind w:firstLine="424" w:firstLineChars="202"/>
        <w:jc w:val="lef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根据《财政部 发展改</w:t>
      </w:r>
      <w:r>
        <w:rPr>
          <w:rFonts w:hint="eastAsia" w:ascii="宋体" w:hAnsi="宋体" w:eastAsia="宋体" w:cs="宋体"/>
          <w:color w:val="auto"/>
          <w:highlight w:val="none"/>
        </w:rPr>
        <w:t>革委 生态环境部 市场监管总局关于调整优化节能产品、环境标志产品政府采购执行机制的通知》</w:t>
      </w:r>
      <w:bookmarkStart w:id="61" w:name="OLE_LINK20"/>
      <w:r>
        <w:rPr>
          <w:rFonts w:hint="eastAsia" w:ascii="宋体" w:hAnsi="宋体" w:eastAsia="宋体" w:cs="宋体"/>
          <w:color w:val="auto"/>
          <w:highlight w:val="none"/>
        </w:rPr>
        <w:t>（财库〔2019〕9号）</w:t>
      </w:r>
      <w:bookmarkEnd w:id="61"/>
      <w:r>
        <w:rPr>
          <w:rFonts w:hint="eastAsia" w:ascii="宋体" w:hAnsi="宋体" w:eastAsia="宋体" w:cs="宋体"/>
          <w:color w:val="auto"/>
          <w:highlight w:val="none"/>
        </w:rPr>
        <w:t>和《</w:t>
      </w:r>
      <w:bookmarkStart w:id="62" w:name="OLE_LINK19"/>
      <w:r>
        <w:rPr>
          <w:rFonts w:hint="eastAsia" w:ascii="宋体" w:hAnsi="宋体" w:eastAsia="宋体" w:cs="宋体"/>
          <w:color w:val="auto"/>
          <w:highlight w:val="none"/>
        </w:rPr>
        <w:t>关于印发节能产品政府采购品目清单的通知</w:t>
      </w:r>
      <w:bookmarkEnd w:id="62"/>
      <w:r>
        <w:rPr>
          <w:rFonts w:hint="eastAsia" w:ascii="宋体" w:hAnsi="宋体" w:eastAsia="宋体" w:cs="宋体"/>
          <w:color w:val="auto"/>
          <w:highlight w:val="none"/>
        </w:rPr>
        <w:t>》（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0EAD1E25">
      <w:pPr>
        <w:spacing w:line="45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根据《中华人民共和国网络安全法》、《关于调整网络安全专用产品安全管理有关事项的公告》（2023年 第1号）、关于调整《网络关键设备和网络安全专用产品目录》的公告（2023年第2号）、《国家认监委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采购需求中的产品属于列入《网络关键设备和网络安全专用产品目录》的网络安全专用产品的，应当按照《信息安全技术网络安全专用产品安全技术要求》等相关国家标准的强制性要求进行安全认证或者安全检测，投标人必须在投标文件中提供由具备资格的机构出具的安全认证合格证书或者安全检测合格的检测报告（加盖投标人公章），否则投标文件作无效处理。</w:t>
      </w:r>
    </w:p>
    <w:p w14:paraId="1418A376">
      <w:pPr>
        <w:spacing w:line="450" w:lineRule="exact"/>
        <w:ind w:firstLine="424" w:firstLineChars="202"/>
        <w:jc w:val="left"/>
        <w:rPr>
          <w:rFonts w:hint="default" w:ascii="宋体" w:hAnsi="宋体" w:eastAsia="宋体" w:cs="宋体"/>
          <w:color w:val="auto"/>
          <w:highlight w:val="none"/>
          <w:lang w:val="en-US" w:eastAsia="zh-CN"/>
        </w:rPr>
      </w:pPr>
      <w:r>
        <w:rPr>
          <w:rFonts w:hint="eastAsia" w:ascii="宋体" w:hAnsi="宋体" w:cs="宋体"/>
          <w:color w:val="auto"/>
          <w:highlight w:val="none"/>
        </w:rPr>
        <w:t>2.“实质性</w:t>
      </w:r>
      <w:r>
        <w:rPr>
          <w:rFonts w:hint="eastAsia" w:ascii="宋体" w:hAnsi="宋体" w:eastAsia="宋体" w:cs="宋体"/>
          <w:color w:val="auto"/>
          <w:highlight w:val="none"/>
        </w:rPr>
        <w:t>要求”是指招标文件中已经指明不满足则投标无效的条款，或者不能负偏离的条款，或者采购需求中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rPr>
        <w:t>“</w:t>
      </w:r>
      <w:bookmarkStart w:id="63" w:name="OLE_LINK10"/>
      <w:r>
        <w:rPr>
          <w:rFonts w:hint="eastAsia" w:ascii="宋体" w:hAnsi="宋体" w:eastAsia="宋体" w:cs="宋体"/>
          <w:color w:val="auto"/>
          <w:highlight w:val="none"/>
        </w:rPr>
        <w:t>▲</w:t>
      </w:r>
      <w:bookmarkEnd w:id="63"/>
      <w:r>
        <w:rPr>
          <w:rFonts w:hint="eastAsia" w:ascii="宋体" w:hAnsi="宋体" w:eastAsia="宋体" w:cs="宋体"/>
          <w:color w:val="auto"/>
          <w:highlight w:val="none"/>
        </w:rPr>
        <w:t>”的条款。采购需求中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lang w:val="en-US" w:eastAsia="zh-CN"/>
        </w:rPr>
        <w:t>“●”参数为重要参数。</w:t>
      </w:r>
      <w:r>
        <w:rPr>
          <w:rFonts w:hint="eastAsia" w:ascii="宋体" w:hAnsi="宋体" w:cs="宋体"/>
          <w:color w:val="auto"/>
          <w:highlight w:val="none"/>
          <w:lang w:val="en-US" w:eastAsia="zh-CN"/>
        </w:rPr>
        <w:t>未标注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及</w:t>
      </w:r>
      <w:r>
        <w:rPr>
          <w:rFonts w:hint="eastAsia" w:ascii="宋体" w:hAnsi="宋体" w:eastAsia="宋体" w:cs="宋体"/>
          <w:color w:val="auto"/>
          <w:highlight w:val="none"/>
          <w:lang w:val="en-US" w:eastAsia="zh-CN"/>
        </w:rPr>
        <w:t>“●”的参数为一般参数。</w:t>
      </w:r>
    </w:p>
    <w:p w14:paraId="7B0D18C2">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.采购需求中出现的品牌、型号或者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仅起参考作用，不属于指定品牌、型号或者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的情形。投标人可参照或者选用其他相当的品牌、型号或者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替代，但选用的投标产品技术参数及配置必须满足实质性</w:t>
      </w:r>
      <w:r>
        <w:rPr>
          <w:rFonts w:hint="eastAsia" w:ascii="宋体" w:hAnsi="宋体" w:eastAsia="宋体" w:cs="宋体"/>
          <w:color w:val="auto"/>
          <w:highlight w:val="none"/>
        </w:rPr>
        <w:t>要求</w:t>
      </w:r>
      <w:r>
        <w:rPr>
          <w:rFonts w:hint="eastAsia" w:ascii="宋体" w:hAnsi="宋体" w:cs="宋体"/>
          <w:color w:val="auto"/>
          <w:highlight w:val="none"/>
        </w:rPr>
        <w:t>。</w:t>
      </w:r>
    </w:p>
    <w:p w14:paraId="2B210BA6">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4941CDE9">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.投标人应保证所提供货物在使用时不会侵犯任何第三方的专利权、商标权、工业设计权或者其他权利。如投标人违反上述规定，则投标人应负责消除</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拥有并使用投标人交付的货物、软件、技术资料等所存在的全部法律</w:t>
      </w:r>
      <w:r>
        <w:rPr>
          <w:rFonts w:hint="eastAsia" w:cs="宋体"/>
          <w:color w:val="auto"/>
          <w:sz w:val="21"/>
          <w:szCs w:val="21"/>
          <w:highlight w:val="none"/>
          <w:lang w:eastAsia="zh-CN"/>
        </w:rPr>
        <w:t>责任</w:t>
      </w:r>
      <w:r>
        <w:rPr>
          <w:rFonts w:hint="eastAsia" w:ascii="宋体" w:hAnsi="宋体" w:eastAsia="宋体" w:cs="宋体"/>
          <w:color w:val="auto"/>
          <w:sz w:val="21"/>
          <w:szCs w:val="21"/>
          <w:highlight w:val="none"/>
        </w:rPr>
        <w:t>，并赔偿甲方的损失。如</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因使用投标人交付的货物构成侵权的，则由投标人承担全部责任。</w:t>
      </w:r>
    </w:p>
    <w:p w14:paraId="3213E944">
      <w:pPr>
        <w:spacing w:line="450" w:lineRule="exact"/>
        <w:ind w:firstLine="424" w:firstLineChars="202"/>
        <w:jc w:val="left"/>
        <w:rPr>
          <w:rFonts w:ascii="宋体" w:hAnsi="宋体" w:cs="宋体"/>
          <w:color w:val="auto"/>
          <w:szCs w:val="21"/>
          <w:highlight w:val="none"/>
        </w:rPr>
      </w:pPr>
    </w:p>
    <w:tbl>
      <w:tblPr>
        <w:tblStyle w:val="28"/>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981"/>
        <w:gridCol w:w="459"/>
        <w:gridCol w:w="555"/>
        <w:gridCol w:w="4785"/>
        <w:gridCol w:w="1095"/>
        <w:gridCol w:w="1016"/>
      </w:tblGrid>
      <w:tr w14:paraId="13E7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6F481B97">
            <w:pPr>
              <w:keepNext w:val="0"/>
              <w:keepLines w:val="0"/>
              <w:widowControl w:val="0"/>
              <w:suppressLineNumbers w:val="0"/>
              <w:wordWrap/>
              <w:adjustRightInd/>
              <w:snapToGrid/>
              <w:spacing w:before="0" w:beforeAutospacing="0" w:after="0" w:afterAutospacing="0" w:line="320" w:lineRule="exact"/>
              <w:ind w:left="0" w:leftChars="0" w:right="0" w:firstLine="0" w:firstLineChars="0"/>
              <w:jc w:val="center"/>
              <w:textAlignment w:val="auto"/>
              <w:outlineLvl w:val="9"/>
              <w:rPr>
                <w:rFonts w:hint="eastAsia" w:ascii="宋体" w:hAnsi="宋体" w:eastAsia="宋体" w:cs="宋体"/>
                <w:b/>
                <w:bCs/>
                <w:color w:val="auto"/>
                <w:sz w:val="21"/>
                <w:szCs w:val="21"/>
                <w:highlight w:val="none"/>
                <w:lang w:eastAsia="zh-CN"/>
              </w:rPr>
            </w:pPr>
            <w:bookmarkStart w:id="64" w:name="OLE_LINK25"/>
            <w:bookmarkStart w:id="65" w:name="OLE_LINK21"/>
            <w:r>
              <w:rPr>
                <w:rFonts w:hint="eastAsia" w:ascii="宋体" w:hAnsi="宋体" w:eastAsia="宋体" w:cs="宋体"/>
                <w:b/>
                <w:bCs/>
                <w:color w:val="auto"/>
                <w:sz w:val="21"/>
                <w:szCs w:val="21"/>
                <w:highlight w:val="none"/>
                <w:lang w:eastAsia="zh-CN"/>
              </w:rPr>
              <w:t>一、技术要求</w:t>
            </w:r>
          </w:p>
        </w:tc>
      </w:tr>
      <w:tr w14:paraId="0FC8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EFBAEC5">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08A84D41">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标的</w:t>
            </w:r>
            <w:r>
              <w:rPr>
                <w:rFonts w:hint="eastAsia" w:ascii="宋体" w:hAnsi="宋体" w:eastAsia="宋体" w:cs="宋体"/>
                <w:b/>
                <w:bCs/>
                <w:color w:val="auto"/>
                <w:sz w:val="21"/>
                <w:szCs w:val="21"/>
                <w:highlight w:val="none"/>
              </w:rPr>
              <w:t>名称</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0FCDFA5E">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A26E70">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2FE69C04">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技术性能、参数及有关要求</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0788178F">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采购标的对应中小企业划分所属行业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9C7EEBB">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单项预算金额（元）</w:t>
            </w:r>
          </w:p>
        </w:tc>
      </w:tr>
      <w:tr w14:paraId="7B072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342"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48D9E07B">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（一）</w:t>
            </w:r>
            <w:r>
              <w:rPr>
                <w:rFonts w:hint="eastAsia"/>
                <w:b/>
                <w:bCs/>
                <w:color w:val="000000" w:themeColor="text1"/>
                <w:sz w:val="22"/>
                <w:szCs w:val="22"/>
                <w:vertAlign w:val="baseline"/>
                <w:lang w:val="en-US" w:eastAsia="zh-CN"/>
                <w14:textFill>
                  <w14:solidFill>
                    <w14:schemeClr w14:val="tx1"/>
                  </w14:solidFill>
                </w14:textFill>
              </w:rPr>
              <w:t>智能机器人</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5EC445F7">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cs="宋体"/>
                <w:b/>
                <w:bCs/>
                <w:color w:val="auto"/>
                <w:sz w:val="21"/>
                <w:szCs w:val="21"/>
                <w:highlight w:val="none"/>
                <w:lang w:eastAsia="zh-CN"/>
              </w:rPr>
            </w:pP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1B64FDD5">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cs="宋体"/>
                <w:b/>
                <w:bCs/>
                <w:color w:val="auto"/>
                <w:sz w:val="21"/>
                <w:szCs w:val="21"/>
                <w:highlight w:val="none"/>
                <w:lang w:eastAsia="zh-CN"/>
              </w:rPr>
            </w:pPr>
          </w:p>
        </w:tc>
      </w:tr>
      <w:tr w14:paraId="2106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44A751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4D6F6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人形机器人1</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3B59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eastAsiaTheme="minor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C8CFA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3</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70B6BD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1.整机重量（带电池）约35kg</w:t>
            </w:r>
            <w:r>
              <w:rPr>
                <w:rFonts w:hint="eastAsia"/>
                <w:sz w:val="24"/>
                <w:szCs w:val="24"/>
                <w:lang w:val="en-US" w:eastAsia="zh-CN"/>
              </w:rPr>
              <w:t>±2kg</w:t>
            </w:r>
            <w:r>
              <w:rPr>
                <w:rFonts w:hint="eastAsia"/>
                <w:lang w:eastAsia="zh-CN"/>
              </w:rPr>
              <w:t>。</w:t>
            </w:r>
          </w:p>
          <w:p w14:paraId="0E8F1F4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2.高宽厚（站立）：1320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450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200(mm)(±50mm)；手臂臂展：约0.45m（±10%）；小腿+大腿长度：0.6m（±10%）</w:t>
            </w:r>
            <w:r>
              <w:rPr>
                <w:rFonts w:hint="eastAsia"/>
                <w:lang w:eastAsia="zh-CN"/>
              </w:rPr>
              <w:t>。</w:t>
            </w:r>
          </w:p>
          <w:p w14:paraId="718A94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rPr>
              <w:t>▲</w:t>
            </w:r>
            <w:r>
              <w:rPr>
                <w:rFonts w:hint="eastAsia"/>
                <w:color w:val="000000" w:themeColor="text1"/>
                <w:sz w:val="22"/>
                <w:szCs w:val="22"/>
                <w:vertAlign w:val="baseline"/>
                <w:lang w:val="en-US" w:eastAsia="zh-CN"/>
                <w14:textFill>
                  <w14:solidFill>
                    <w14:schemeClr w14:val="tx1"/>
                  </w14:solidFill>
                </w14:textFill>
              </w:rPr>
              <w:t>3.总自由度（关节电机）：≥29个</w:t>
            </w:r>
            <w:r>
              <w:rPr>
                <w:rFonts w:hint="eastAsia"/>
                <w:lang w:eastAsia="zh-CN"/>
              </w:rPr>
              <w:t>。</w:t>
            </w:r>
          </w:p>
          <w:p w14:paraId="19353A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4.单腿自由度：≥6个</w:t>
            </w:r>
            <w:r>
              <w:rPr>
                <w:rFonts w:hint="eastAsia"/>
                <w:lang w:eastAsia="zh-CN"/>
              </w:rPr>
              <w:t>。</w:t>
            </w:r>
          </w:p>
          <w:p w14:paraId="677192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5.单手臂自由度：≥7个</w:t>
            </w:r>
            <w:r>
              <w:rPr>
                <w:rFonts w:hint="eastAsia"/>
                <w:lang w:eastAsia="zh-CN"/>
              </w:rPr>
              <w:t>。</w:t>
            </w:r>
          </w:p>
          <w:p w14:paraId="65C374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6.腰部自由度：≥3个</w:t>
            </w:r>
            <w:r>
              <w:rPr>
                <w:rFonts w:hint="eastAsia"/>
                <w:lang w:eastAsia="zh-CN"/>
              </w:rPr>
              <w:t>。</w:t>
            </w:r>
          </w:p>
          <w:p w14:paraId="5CD6E40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7.手臂最大负载：≥3kg</w:t>
            </w:r>
            <w:r>
              <w:rPr>
                <w:rFonts w:hint="eastAsia"/>
                <w:lang w:eastAsia="zh-CN"/>
              </w:rPr>
              <w:t>。</w:t>
            </w:r>
          </w:p>
          <w:p w14:paraId="4906D1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8.关节运动空间（投标文件提供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或制造商的官网截图说明或产品相关技术</w:t>
            </w:r>
            <w:r>
              <w:rPr>
                <w:rFonts w:hint="eastAsia"/>
                <w:lang w:eastAsia="zh-CN"/>
              </w:rPr>
              <w:t>证明复印件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3BEBE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腰部Z轴关节：Z±155°或优于；</w:t>
            </w:r>
          </w:p>
          <w:p w14:paraId="3CC2EA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膝关节：0~165°或优于；</w:t>
            </w:r>
          </w:p>
          <w:p w14:paraId="656425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髋关节：P±154°、R-30~±170°、Y±158°或优于；</w:t>
            </w:r>
          </w:p>
          <w:p w14:paraId="4181E1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手腕关节：二自由度手腕P±92.5°、Y±92.5°或优于。</w:t>
            </w:r>
          </w:p>
          <w:p w14:paraId="467593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9.感知传感器：深度相机</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+3D激光雷达；深度相机，深度范围</w:t>
            </w:r>
            <w:r>
              <w:rPr>
                <w:rFonts w:hint="eastAsia" w:cs="Times New Roman"/>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0.1-10m，深度图像分辨率</w:t>
            </w:r>
            <w:r>
              <w:rPr>
                <w:rFonts w:hint="eastAsia" w:cs="Times New Roman"/>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1280</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720 @ 30fps；848</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480 @ 90 fps，深度视场角：86°</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 xml:space="preserve"> 57°。</w:t>
            </w:r>
          </w:p>
          <w:p w14:paraId="3971EE9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10.膝关节最大扭矩：≥120N.m；</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406AA0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10.具备WiFi 6、蓝牙5.2。含手持遥控器。</w:t>
            </w:r>
          </w:p>
          <w:p w14:paraId="709AFF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11.关节编码器：双编码器。支持智能OTA升级。</w:t>
            </w:r>
          </w:p>
          <w:p w14:paraId="78F86F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12.散热系统：局部风冷散热。</w:t>
            </w:r>
          </w:p>
          <w:p w14:paraId="45DCC96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14.基础算力：≥8核高性能CPU。</w:t>
            </w:r>
          </w:p>
          <w:p w14:paraId="64EE53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15.单手自由度：可选配灵巧手和双自由度手腕。</w:t>
            </w:r>
          </w:p>
          <w:p w14:paraId="43D7EC3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16.配备4麦克风阵列以及5W扬声器。</w:t>
            </w:r>
          </w:p>
          <w:p w14:paraId="2FE15A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▲17.支持高层和低层的二次开发。</w:t>
            </w:r>
          </w:p>
          <w:p w14:paraId="0D2013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18.具备≥100Tops算力的拓展坞，含AI算法及技术支持。（投标文件提供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663D75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19.质保期不少于3年。</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48B4170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595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630000</w:t>
            </w:r>
          </w:p>
        </w:tc>
      </w:tr>
      <w:tr w14:paraId="29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5118EF8E">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p>
        </w:tc>
        <w:tc>
          <w:tcPr>
            <w:tcW w:w="981" w:type="dxa"/>
            <w:tcBorders>
              <w:top w:val="single" w:color="000000" w:sz="4" w:space="0"/>
              <w:left w:val="nil"/>
              <w:bottom w:val="single" w:color="000000" w:sz="4" w:space="0"/>
              <w:right w:val="single" w:color="000000" w:sz="4" w:space="0"/>
            </w:tcBorders>
            <w:vAlign w:val="center"/>
          </w:tcPr>
          <w:p w14:paraId="2602F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人形机器人2</w:t>
            </w:r>
          </w:p>
        </w:tc>
        <w:tc>
          <w:tcPr>
            <w:tcW w:w="459" w:type="dxa"/>
            <w:tcBorders>
              <w:top w:val="single" w:color="000000" w:sz="4" w:space="0"/>
              <w:left w:val="nil"/>
              <w:bottom w:val="single" w:color="000000" w:sz="4" w:space="0"/>
              <w:right w:val="single" w:color="000000" w:sz="4" w:space="0"/>
            </w:tcBorders>
            <w:vAlign w:val="center"/>
          </w:tcPr>
          <w:p w14:paraId="454E5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vAlign w:val="center"/>
          </w:tcPr>
          <w:p w14:paraId="0E9AD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0EEDD1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1.高宽厚（站立）：1690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750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300(mm)(±50mm)</w:t>
            </w:r>
            <w:r>
              <w:rPr>
                <w:rFonts w:hint="eastAsia"/>
                <w:lang w:eastAsia="zh-CN"/>
              </w:rPr>
              <w:t>。</w:t>
            </w:r>
          </w:p>
          <w:p w14:paraId="07F933E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2.整机重量（带电池）：69kg</w:t>
            </w:r>
            <w:r>
              <w:rPr>
                <w:rFonts w:hint="eastAsia"/>
                <w:sz w:val="24"/>
                <w:szCs w:val="24"/>
                <w:lang w:val="en-US" w:eastAsia="zh-CN"/>
              </w:rPr>
              <w:t>±2kg</w:t>
            </w:r>
            <w:r>
              <w:rPr>
                <w:rFonts w:hint="eastAsia"/>
                <w:lang w:eastAsia="zh-CN"/>
              </w:rPr>
              <w:t>。</w:t>
            </w:r>
          </w:p>
          <w:p w14:paraId="159AA7D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▲3.总自由度（关节电机）：≥40个</w:t>
            </w:r>
            <w:r>
              <w:rPr>
                <w:rFonts w:hint="eastAsia"/>
                <w:lang w:eastAsia="zh-CN"/>
              </w:rPr>
              <w:t>。</w:t>
            </w:r>
          </w:p>
          <w:p w14:paraId="221EA2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单腿自由度：≥6个</w:t>
            </w:r>
            <w:r>
              <w:rPr>
                <w:rFonts w:hint="eastAsia"/>
                <w:lang w:eastAsia="zh-CN"/>
              </w:rPr>
              <w:t>。</w:t>
            </w:r>
          </w:p>
          <w:p w14:paraId="53F5763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单手臂自由度≥7个</w:t>
            </w:r>
            <w:r>
              <w:rPr>
                <w:rFonts w:hint="eastAsia"/>
                <w:lang w:eastAsia="zh-CN"/>
              </w:rPr>
              <w:t>。</w:t>
            </w:r>
          </w:p>
          <w:p w14:paraId="28C5CA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单手自由度：≥6个</w:t>
            </w:r>
            <w:r>
              <w:rPr>
                <w:rFonts w:hint="eastAsia"/>
                <w:lang w:eastAsia="zh-CN"/>
              </w:rPr>
              <w:t>。</w:t>
            </w:r>
          </w:p>
          <w:p w14:paraId="5F8896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颈部自由度：≥2个。</w:t>
            </w:r>
          </w:p>
          <w:p w14:paraId="4E4652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全关节中空内走线：有</w:t>
            </w:r>
            <w:r>
              <w:rPr>
                <w:rFonts w:hint="eastAsia"/>
                <w:lang w:eastAsia="zh-CN"/>
              </w:rPr>
              <w:t>。</w:t>
            </w:r>
          </w:p>
          <w:p w14:paraId="473992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4.支持智能交互。</w:t>
            </w:r>
          </w:p>
          <w:p w14:paraId="033A30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5.手臂最大负载：≥3kg</w:t>
            </w:r>
            <w:r>
              <w:rPr>
                <w:rFonts w:hint="eastAsia"/>
                <w:lang w:eastAsia="zh-CN"/>
              </w:rPr>
              <w:t>。</w:t>
            </w:r>
          </w:p>
          <w:p w14:paraId="371CE3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6.膝关节最大扭矩：≥270N.m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CC5B1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7.散热系统：局部风冷散热</w:t>
            </w:r>
            <w:r>
              <w:rPr>
                <w:rFonts w:hint="eastAsia"/>
                <w:lang w:eastAsia="zh-CN"/>
              </w:rPr>
              <w:t>。</w:t>
            </w:r>
          </w:p>
          <w:p w14:paraId="1C13BE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8.供电方式：13串电池</w:t>
            </w:r>
            <w:r>
              <w:rPr>
                <w:rFonts w:hint="eastAsia"/>
                <w:lang w:eastAsia="zh-CN"/>
              </w:rPr>
              <w:t>。</w:t>
            </w:r>
          </w:p>
          <w:p w14:paraId="4B74D8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9.基础算力：16核高性能CPU</w:t>
            </w:r>
            <w:r>
              <w:rPr>
                <w:rFonts w:hint="eastAsia"/>
                <w:lang w:eastAsia="zh-CN"/>
              </w:rPr>
              <w:t>。</w:t>
            </w:r>
          </w:p>
          <w:p w14:paraId="2C5320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10.高算力：模组相当或优于DVIDA Jetson Orin</w:t>
            </w:r>
            <w:r>
              <w:rPr>
                <w:rFonts w:hint="eastAsia"/>
                <w:lang w:eastAsia="zh-CN"/>
              </w:rPr>
              <w:t>。</w:t>
            </w:r>
            <w:r>
              <w:rPr>
                <w:rFonts w:hint="eastAsia"/>
                <w:lang w:val="en-US" w:eastAsia="zh-CN"/>
              </w:rPr>
              <w:t>算力</w:t>
            </w:r>
            <w:r>
              <w:rPr>
                <w:rFonts w:hint="eastAsia"/>
                <w:color w:val="000000" w:themeColor="text1"/>
                <w:sz w:val="22"/>
                <w:szCs w:val="22"/>
                <w:vertAlign w:val="baseline"/>
                <w:lang w:val="en-US" w:eastAsia="zh-CN"/>
                <w14:textFill>
                  <w14:solidFill>
                    <w14:schemeClr w14:val="tx1"/>
                  </w14:solidFill>
                </w14:textFill>
              </w:rPr>
              <w:t>≥</w:t>
            </w:r>
            <w:r>
              <w:rPr>
                <w:rFonts w:ascii="Times New Roman" w:hAnsi="Times New Roman" w:eastAsia="宋体" w:cs="Times New Roman"/>
                <w:i w:val="0"/>
                <w:iCs w:val="0"/>
                <w:caps w:val="0"/>
                <w:color w:val="auto"/>
                <w:spacing w:val="0"/>
                <w:sz w:val="21"/>
                <w:szCs w:val="24"/>
                <w:shd w:val="clear" w:fill="auto"/>
              </w:rPr>
              <w:t>270TOPS</w:t>
            </w:r>
            <w:r>
              <w:rPr>
                <w:rFonts w:hint="eastAsia" w:cs="Times New Roman"/>
                <w:i w:val="0"/>
                <w:iCs w:val="0"/>
                <w:caps w:val="0"/>
                <w:spacing w:val="0"/>
                <w:sz w:val="21"/>
                <w:szCs w:val="24"/>
                <w:shd w:val="clear"/>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649AE7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eastAsia="zh-CN"/>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11.感知传感器：激光雷达+鱼眼相机+RGBD相机+RGB相机</w:t>
            </w:r>
            <w:r>
              <w:rPr>
                <w:rFonts w:hint="eastAsia"/>
                <w:lang w:eastAsia="zh-CN"/>
              </w:rPr>
              <w:t>。</w:t>
            </w:r>
          </w:p>
          <w:p w14:paraId="5EB767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w:t>
            </w:r>
            <w:r>
              <w:rPr>
                <w:rFonts w:hint="eastAsia"/>
                <w:lang w:val="en-US" w:eastAsia="zh-CN"/>
              </w:rPr>
              <w:t>以下</w:t>
            </w:r>
            <w:r>
              <w:rPr>
                <w:rFonts w:hint="eastAsia"/>
                <w:lang w:eastAsia="zh-CN"/>
              </w:rPr>
              <w:t>技术要求，加盖投标人公章</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w:t>
            </w:r>
          </w:p>
          <w:p w14:paraId="62B72B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1）激光雷达：量程 0.2 - 40 m @ 10% 反射率；</w:t>
            </w:r>
          </w:p>
          <w:p w14:paraId="69E2AD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eastAsia"/>
                <w:lang w:val="en-US" w:eastAsia="zh-CN"/>
              </w:rPr>
              <w:t>0.2 - 70 m @ 80% 反射率。</w:t>
            </w:r>
          </w:p>
          <w:p w14:paraId="269DFA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FOV： H：360, V：-7～52</w:t>
            </w:r>
          </w:p>
          <w:p w14:paraId="475596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点频：200000 / s</w:t>
            </w:r>
          </w:p>
          <w:p w14:paraId="5421D8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eastAsia"/>
                <w:lang w:val="en-US" w:eastAsia="zh-CN"/>
              </w:rPr>
              <w:t>同步方式：IEEE 1588-2008 (PTPv2), GPS</w:t>
            </w:r>
          </w:p>
          <w:p w14:paraId="3FE514C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2）头部RGBD相机：</w:t>
            </w:r>
          </w:p>
          <w:p w14:paraId="633E8B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深度图分辨率：</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1280x720</w:t>
            </w:r>
          </w:p>
          <w:p w14:paraId="596FC0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深度检测范围：0.3 ~ 10 m</w:t>
            </w:r>
          </w:p>
          <w:p w14:paraId="70B0A5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eastAsia"/>
                <w:lang w:val="en-US" w:eastAsia="zh-CN"/>
              </w:rPr>
              <w:t>RGB的分辨率：</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1920</w:t>
            </w:r>
            <w:r>
              <w:rPr>
                <w:rFonts w:hint="default" w:ascii="Arial" w:hAnsi="Arial" w:cs="Arial"/>
                <w:lang w:val="en-US" w:eastAsia="zh-CN"/>
              </w:rPr>
              <w:t>×</w:t>
            </w:r>
            <w:r>
              <w:rPr>
                <w:rFonts w:hint="eastAsia"/>
                <w:lang w:val="en-US" w:eastAsia="zh-CN"/>
              </w:rPr>
              <w:t>1080</w:t>
            </w:r>
          </w:p>
          <w:p w14:paraId="0D0E84D4">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身体RGBD相机：</w:t>
            </w:r>
          </w:p>
          <w:p w14:paraId="4E77528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深度图分辨率：</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640</w:t>
            </w:r>
            <w:r>
              <w:rPr>
                <w:rFonts w:hint="default" w:ascii="Arial" w:hAnsi="Arial" w:cs="Arial"/>
                <w:lang w:val="en-US" w:eastAsia="zh-CN"/>
              </w:rPr>
              <w:t>×</w:t>
            </w:r>
            <w:r>
              <w:rPr>
                <w:rFonts w:hint="eastAsia"/>
                <w:lang w:val="en-US" w:eastAsia="zh-CN"/>
              </w:rPr>
              <w:t xml:space="preserve"> 400@5/10/15fps </w:t>
            </w:r>
          </w:p>
          <w:p w14:paraId="5EABF8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深度检测范围：0.15-5m</w:t>
            </w:r>
          </w:p>
          <w:p w14:paraId="36A0E3D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RGB的分辨率：1920×1080@5/10/15/30fps&amp;MJPG</w:t>
            </w:r>
          </w:p>
          <w:p w14:paraId="00CCB8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1280×720@5/10/15/30fps&amp;MJPG</w:t>
            </w:r>
          </w:p>
          <w:p w14:paraId="12A1E539">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RGB相机</w:t>
            </w:r>
          </w:p>
          <w:p w14:paraId="7F09C8ED">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default"/>
                <w:lang w:val="en-US" w:eastAsia="zh-CN"/>
              </w:rPr>
              <w:t>分辨率</w:t>
            </w:r>
            <w:r>
              <w:rPr>
                <w:rFonts w:hint="eastAsia"/>
                <w:lang w:val="en-US" w:eastAsia="zh-CN"/>
              </w:rPr>
              <w:t>：</w:t>
            </w:r>
            <w:r>
              <w:rPr>
                <w:rFonts w:hint="eastAsia"/>
                <w:color w:val="000000" w:themeColor="text1"/>
                <w:sz w:val="22"/>
                <w:szCs w:val="22"/>
                <w:vertAlign w:val="baseline"/>
                <w:lang w:val="en-US" w:eastAsia="zh-CN"/>
                <w14:textFill>
                  <w14:solidFill>
                    <w14:schemeClr w14:val="tx1"/>
                  </w14:solidFill>
                </w14:textFill>
              </w:rPr>
              <w:t>≥</w:t>
            </w:r>
            <w:r>
              <w:rPr>
                <w:rFonts w:hint="default"/>
                <w:lang w:val="en-US" w:eastAsia="zh-CN"/>
              </w:rPr>
              <w:t>1920</w:t>
            </w:r>
            <w:r>
              <w:rPr>
                <w:rFonts w:hint="default" w:ascii="Arial" w:hAnsi="Arial" w:cs="Arial"/>
                <w:lang w:val="en-US" w:eastAsia="zh-CN"/>
              </w:rPr>
              <w:t>×</w:t>
            </w:r>
            <w:r>
              <w:rPr>
                <w:rFonts w:hint="default"/>
                <w:lang w:val="en-US" w:eastAsia="zh-CN"/>
              </w:rPr>
              <w:t xml:space="preserve">1536 </w:t>
            </w:r>
          </w:p>
          <w:p w14:paraId="6824A4E3">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default"/>
                <w:lang w:val="en-US" w:eastAsia="zh-CN"/>
              </w:rPr>
              <w:t>镜头 FOV</w:t>
            </w:r>
            <w:r>
              <w:rPr>
                <w:rFonts w:hint="eastAsia"/>
                <w:lang w:val="en-US" w:eastAsia="zh-CN"/>
              </w:rPr>
              <w:t>：H196V154</w:t>
            </w:r>
          </w:p>
          <w:p w14:paraId="012577C7">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default"/>
                <w:lang w:val="en-US" w:eastAsia="zh-CN"/>
              </w:rPr>
              <w:t>帧率</w:t>
            </w:r>
            <w:r>
              <w:rPr>
                <w:rFonts w:hint="eastAsia"/>
                <w:lang w:val="en-US" w:eastAsia="zh-CN"/>
              </w:rPr>
              <w:t>：</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30fps</w:t>
            </w:r>
          </w:p>
          <w:p w14:paraId="02171BF1">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default"/>
                <w:lang w:val="en-US" w:eastAsia="zh-CN"/>
              </w:rPr>
              <w:t>同步方式</w:t>
            </w:r>
            <w:r>
              <w:rPr>
                <w:rFonts w:hint="eastAsia"/>
                <w:lang w:val="en-US" w:eastAsia="zh-CN"/>
              </w:rPr>
              <w:t>：多 camera同步：支持trigger 60Hz；</w:t>
            </w:r>
          </w:p>
          <w:p w14:paraId="24CC5F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镜头侧向防推力＞1000N</w:t>
            </w:r>
          </w:p>
          <w:p w14:paraId="67A246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12.面部交互屏具备表情显示功能</w:t>
            </w:r>
            <w:r>
              <w:rPr>
                <w:rFonts w:hint="eastAsia"/>
                <w:lang w:eastAsia="zh-CN"/>
              </w:rPr>
              <w:t>。</w:t>
            </w:r>
          </w:p>
          <w:p w14:paraId="6DC649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13.标配立体声扬声器和麦克风阵列，支持WiFi6、蓝牙5.2</w:t>
            </w:r>
            <w:r>
              <w:rPr>
                <w:rFonts w:hint="eastAsia"/>
                <w:lang w:eastAsia="zh-CN"/>
              </w:rPr>
              <w:t>。</w:t>
            </w:r>
          </w:p>
          <w:p w14:paraId="6AE27D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▲14.配置智能电池（快拆）≥1块；充电器1台</w:t>
            </w:r>
          </w:p>
          <w:p w14:paraId="5710B4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手持式遥控器1台；支持直充、换电</w:t>
            </w:r>
            <w:r>
              <w:rPr>
                <w:rFonts w:hint="eastAsia"/>
                <w:lang w:eastAsia="zh-CN"/>
              </w:rPr>
              <w:t>。</w:t>
            </w:r>
          </w:p>
          <w:p w14:paraId="717E6BA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▲15.续航时间：≥3h</w:t>
            </w:r>
            <w:r>
              <w:rPr>
                <w:rFonts w:hint="eastAsia"/>
                <w:lang w:eastAsia="zh-CN"/>
              </w:rPr>
              <w:t>。</w:t>
            </w:r>
          </w:p>
          <w:p w14:paraId="6DC41CF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16.支持自主导航及自主避障</w:t>
            </w:r>
            <w:r>
              <w:rPr>
                <w:rFonts w:hint="eastAsia"/>
                <w:lang w:eastAsia="zh-CN"/>
              </w:rPr>
              <w:t>。</w:t>
            </w:r>
          </w:p>
          <w:p w14:paraId="797967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17.支持智能OTA升级，支持舞蹈开发、群控表演</w:t>
            </w:r>
            <w:r>
              <w:rPr>
                <w:rFonts w:hint="eastAsia"/>
                <w:lang w:eastAsia="zh-CN"/>
              </w:rPr>
              <w:t>。</w:t>
            </w:r>
          </w:p>
          <w:p w14:paraId="142025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18.软件升级：根据厂商软件升级发布情况，提供免费升级、提供技术支持服务，开发手册及生态支持</w:t>
            </w:r>
            <w:r>
              <w:rPr>
                <w:rFonts w:hint="eastAsia"/>
                <w:lang w:eastAsia="zh-CN"/>
              </w:rPr>
              <w:t>。</w:t>
            </w:r>
          </w:p>
          <w:p w14:paraId="7D5D00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19.内置基础动作包，≥30个基础动作</w:t>
            </w:r>
            <w:r>
              <w:rPr>
                <w:rFonts w:hint="eastAsia"/>
                <w:lang w:eastAsia="zh-CN"/>
              </w:rPr>
              <w:t>。</w:t>
            </w:r>
          </w:p>
          <w:p w14:paraId="2A991B9C">
            <w:pPr>
              <w:keepNext w:val="0"/>
              <w:keepLines w:val="0"/>
              <w:suppressLineNumbers w:val="0"/>
              <w:spacing w:before="0" w:beforeAutospacing="0" w:after="0" w:afterAutospacing="0" w:line="360" w:lineRule="auto"/>
              <w:ind w:left="0" w:leftChars="0" w:right="0" w:rightChars="0"/>
            </w:pPr>
            <w:r>
              <w:rPr>
                <w:rFonts w:hint="eastAsia"/>
                <w:color w:val="000000" w:themeColor="text1"/>
                <w:sz w:val="22"/>
                <w:szCs w:val="22"/>
                <w:vertAlign w:val="baseline"/>
                <w:lang w:val="en-US" w:eastAsia="zh-CN"/>
                <w14:textFill>
                  <w14:solidFill>
                    <w14:schemeClr w14:val="tx1"/>
                  </w14:solidFill>
                </w14:textFill>
              </w:rPr>
              <w:t>20.支持软件技能包导入升级，支持≥26种表演节目，包含京剧、快板、书法、太极、咏春、啦啦操等。软件技能包提供免费更新。</w:t>
            </w:r>
          </w:p>
          <w:p w14:paraId="164A0625">
            <w:pPr>
              <w:keepNext w:val="0"/>
              <w:keepLines w:val="0"/>
              <w:suppressLineNumbers w:val="0"/>
              <w:spacing w:before="0" w:beforeAutospacing="0" w:after="0" w:afterAutospacing="0" w:line="360" w:lineRule="auto"/>
              <w:ind w:left="0" w:leftChars="0" w:right="0" w:rightChars="0"/>
              <w:rPr>
                <w:rFonts w:hint="default" w:eastAsia="宋体"/>
                <w:lang w:val="en-US" w:eastAsia="zh-CN"/>
              </w:rPr>
            </w:pPr>
            <w:r>
              <w:rPr>
                <w:rFonts w:hint="eastAsia"/>
                <w:lang w:val="en-US" w:eastAsia="zh-CN"/>
              </w:rPr>
              <w:t>21.质保期不少于3年。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60A8638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7C139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688000</w:t>
            </w:r>
          </w:p>
        </w:tc>
      </w:tr>
      <w:tr w14:paraId="2D67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11519C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499CA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四足机器人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A5A9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eastAsiaTheme="minor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955D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w:t>
            </w:r>
          </w:p>
        </w:tc>
        <w:tc>
          <w:tcPr>
            <w:tcW w:w="4785" w:type="dxa"/>
            <w:tcBorders>
              <w:top w:val="single" w:color="000000" w:sz="4" w:space="0"/>
              <w:left w:val="nil"/>
              <w:bottom w:val="single" w:color="000000" w:sz="4" w:space="0"/>
              <w:right w:val="single" w:color="auto" w:sz="4" w:space="0"/>
            </w:tcBorders>
            <w:vAlign w:val="center"/>
          </w:tcPr>
          <w:p w14:paraId="5E6EA9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1.仿生四足，</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12自由度，整机15kg±1kg</w:t>
            </w:r>
            <w:r>
              <w:rPr>
                <w:rFonts w:hint="eastAsia"/>
                <w:lang w:eastAsia="zh-CN"/>
              </w:rPr>
              <w:t>。</w:t>
            </w:r>
          </w:p>
          <w:p w14:paraId="380FFDA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color w:val="000000" w:themeColor="text1"/>
                <w:sz w:val="22"/>
                <w:szCs w:val="22"/>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最高速度</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3.5m/s，</w:t>
            </w:r>
            <w:r>
              <w:rPr>
                <w:rFonts w:hint="eastAsia"/>
                <w:color w:val="000000" w:themeColor="text1"/>
                <w:sz w:val="22"/>
                <w:szCs w:val="22"/>
                <w:lang w:val="en-US" w:eastAsia="zh-CN"/>
                <w14:textFill>
                  <w14:solidFill>
                    <w14:schemeClr w14:val="tx1"/>
                  </w14:solidFill>
                </w14:textFill>
              </w:rPr>
              <w:t>跳跃高度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35cm，最大负载</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8kg，</w:t>
            </w:r>
            <w:r>
              <w:rPr>
                <w:rFonts w:hint="eastAsia"/>
                <w:color w:val="000000" w:themeColor="text1"/>
                <w:sz w:val="22"/>
                <w:szCs w:val="22"/>
                <w:lang w:val="en-US" w:eastAsia="zh-CN"/>
                <w14:textFill>
                  <w14:solidFill>
                    <w14:schemeClr w14:val="tx1"/>
                  </w14:solidFill>
                </w14:textFill>
              </w:rPr>
              <w:t>连续爬楼梯高度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16cm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266DBC2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感知配置：</w:t>
            </w:r>
            <w:r>
              <w:rPr>
                <w:color w:val="000000" w:themeColor="text1"/>
                <w:sz w:val="22"/>
                <w:szCs w:val="22"/>
                <w14:textFill>
                  <w14:solidFill>
                    <w14:schemeClr w14:val="tx1"/>
                  </w14:solidFill>
                </w14:textFill>
              </w:rPr>
              <w:t>前向广角相机、标配IMU；支持扩展激光雷达、深度相机、RTK/4G/5G</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D1182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算力与软件</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eastAsia="zh-CN"/>
                <w14:textFill>
                  <w14:solidFill>
                    <w14:schemeClr w14:val="tx1"/>
                  </w14:solidFill>
                </w14:textFill>
              </w:rPr>
              <w:t>40Tops算力，含AI算法的技术支持，</w:t>
            </w:r>
            <w:r>
              <w:rPr>
                <w:rFonts w:hint="eastAsia"/>
                <w:color w:val="000000" w:themeColor="text1"/>
                <w:sz w:val="22"/>
                <w:szCs w:val="22"/>
                <w:lang w:val="en-US" w:eastAsia="zh-CN"/>
                <w14:textFill>
                  <w14:solidFill>
                    <w14:schemeClr w14:val="tx1"/>
                  </w14:solidFill>
                </w14:textFill>
              </w:rPr>
              <w:t>具备标准化扩展接口，支持二次开发与个性化改制，实现群演。</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0F542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5.质保期内提供免费软件升级。</w:t>
            </w:r>
          </w:p>
          <w:p w14:paraId="125651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6.质保期不少于3年</w:t>
            </w:r>
            <w:r>
              <w:rPr>
                <w:rFonts w:hint="eastAsia"/>
                <w:sz w:val="24"/>
                <w:szCs w:val="24"/>
                <w:lang w:val="en-US" w:eastAsia="zh-CN"/>
              </w:rPr>
              <w:t>。</w:t>
            </w:r>
          </w:p>
        </w:tc>
        <w:tc>
          <w:tcPr>
            <w:tcW w:w="1095" w:type="dxa"/>
            <w:tcBorders>
              <w:top w:val="single" w:color="000000" w:sz="4" w:space="0"/>
              <w:left w:val="single" w:color="auto" w:sz="4" w:space="0"/>
              <w:bottom w:val="single" w:color="000000" w:sz="4" w:space="0"/>
              <w:right w:val="single" w:color="auto" w:sz="4" w:space="0"/>
            </w:tcBorders>
            <w:vAlign w:val="center"/>
          </w:tcPr>
          <w:p w14:paraId="718D681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3033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cs="Times New Roman" w:eastAsiaTheme="minorEastAsia"/>
                <w:color w:val="000000" w:themeColor="text1"/>
                <w:spacing w:val="-6"/>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180000</w:t>
            </w:r>
          </w:p>
        </w:tc>
      </w:tr>
      <w:tr w14:paraId="3499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2D7C5AD3">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BB5E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14:textFill>
                  <w14:solidFill>
                    <w14:schemeClr w14:val="tx1"/>
                  </w14:solidFill>
                </w14:textFill>
              </w:rPr>
              <w:t>智能翻译机器人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5848F8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2A5C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w:t>
            </w:r>
          </w:p>
        </w:tc>
        <w:tc>
          <w:tcPr>
            <w:tcW w:w="4785" w:type="dxa"/>
            <w:tcBorders>
              <w:top w:val="single" w:color="000000" w:sz="4" w:space="0"/>
              <w:left w:val="nil"/>
              <w:bottom w:val="single" w:color="000000" w:sz="4" w:space="0"/>
              <w:right w:val="single" w:color="auto" w:sz="4" w:space="0"/>
            </w:tcBorders>
            <w:vAlign w:val="center"/>
          </w:tcPr>
          <w:p w14:paraId="17EF4C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▲1.多语种Al透明屏一体机。屏幕尺寸：≥20.8寸，分辨率≥720P（1280×720）；亮度≥300cd/㎡；透明度透光率80%以上</w:t>
            </w:r>
            <w:r>
              <w:rPr>
                <w:rFonts w:hint="eastAsia"/>
                <w:lang w:eastAsia="zh-CN"/>
              </w:rPr>
              <w:t>。</w:t>
            </w:r>
          </w:p>
          <w:p w14:paraId="252216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▲2.触控交互：支持双面透明屏显示与多点触控。</w:t>
            </w:r>
          </w:p>
          <w:p w14:paraId="67BD54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3.硬件配置：处理器：国产核心板，≥8核CPU、主频≥2.4GHz</w:t>
            </w:r>
            <w:r>
              <w:rPr>
                <w:rFonts w:hint="eastAsia"/>
                <w:lang w:eastAsia="zh-CN"/>
              </w:rPr>
              <w:t>。</w:t>
            </w:r>
          </w:p>
          <w:p w14:paraId="41F382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▲4.内存≥8G；固态硬盘≥64G</w:t>
            </w:r>
            <w:r>
              <w:rPr>
                <w:rFonts w:hint="eastAsia"/>
                <w:lang w:eastAsia="zh-CN"/>
              </w:rPr>
              <w:t>。</w:t>
            </w:r>
          </w:p>
          <w:p w14:paraId="7479BE1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5.麦克风阵列：双线性四麦麦克风阵列</w:t>
            </w:r>
            <w:r>
              <w:rPr>
                <w:rFonts w:hint="eastAsia"/>
                <w:lang w:eastAsia="zh-CN"/>
              </w:rPr>
              <w:t>。</w:t>
            </w:r>
          </w:p>
          <w:p w14:paraId="446A4E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6.摄像头：≥双500万像素近焦摄像头</w:t>
            </w:r>
            <w:r>
              <w:rPr>
                <w:rFonts w:hint="eastAsia"/>
                <w:lang w:eastAsia="zh-CN"/>
              </w:rPr>
              <w:t>。</w:t>
            </w:r>
          </w:p>
          <w:p w14:paraId="292BE48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7.算法模块：集成人脸检测、声源定位、多模态降噪、动态交互等功能</w:t>
            </w:r>
            <w:r>
              <w:rPr>
                <w:rFonts w:hint="eastAsia"/>
                <w:lang w:eastAsia="zh-CN"/>
              </w:rPr>
              <w:t>。</w:t>
            </w:r>
          </w:p>
          <w:p w14:paraId="297B05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8.部署与兼容性  </w:t>
            </w:r>
          </w:p>
          <w:p w14:paraId="397026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云端支持：支持公有云/私有云部署，快速上线。  </w:t>
            </w:r>
          </w:p>
          <w:p w14:paraId="0F889F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接口扩展：一体式设计，支持其他系统集成</w:t>
            </w:r>
            <w:r>
              <w:rPr>
                <w:rFonts w:hint="eastAsia"/>
                <w:lang w:eastAsia="zh-CN"/>
              </w:rPr>
              <w:t>。</w:t>
            </w:r>
          </w:p>
          <w:p w14:paraId="136F76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多语种实时交互：产品支持中文、英语、法语、德语、俄语、日语、韩语、泰语、越南语、阿拉伯语、西班牙语、葡萄牙语、印尼语、马来语等35种语种的语音识别和实时翻译。支持用户侧外语与客服侧中文的双向即时互译，翻译内容同步双面显示，支持创新AI互动形式。语音识别：复杂场景下语音识别准确率95%以上。多模态降噪技术，在-5dB（环境噪音比说话人音频信号大5分贝）下，语音识别准确率90%以上。</w:t>
            </w:r>
          </w:p>
          <w:p w14:paraId="35884C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虚拟人：提供本地垂直领域大模型集成接口，提升虚拟人问答的专业性与准确性。</w:t>
            </w:r>
          </w:p>
          <w:p w14:paraId="2AC707D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10.质保期内提供免费软件升级。</w:t>
            </w:r>
          </w:p>
          <w:p w14:paraId="5FB45C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4CE74B4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2AB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cs="Times New Roman" w:eastAsiaTheme="minorEastAsia"/>
                <w:color w:val="000000" w:themeColor="text1"/>
                <w:spacing w:val="-6"/>
                <w:kern w:val="2"/>
                <w:sz w:val="22"/>
                <w:szCs w:val="22"/>
                <w:vertAlign w:val="baseline"/>
                <w:lang w:val="en-US" w:eastAsia="zh-CN" w:bidi="ar-SA"/>
                <w14:textFill>
                  <w14:solidFill>
                    <w14:schemeClr w14:val="tx1"/>
                  </w14:solidFill>
                </w14:textFill>
              </w:rPr>
            </w:pPr>
            <w:r>
              <w:rPr>
                <w:rFonts w:hint="eastAsia" w:cs="Times New Roman" w:eastAsiaTheme="minorEastAsia"/>
                <w:color w:val="000000" w:themeColor="text1"/>
                <w:spacing w:val="-6"/>
                <w:kern w:val="2"/>
                <w:sz w:val="22"/>
                <w:szCs w:val="22"/>
                <w:vertAlign w:val="baseline"/>
                <w:lang w:val="en-US" w:eastAsia="zh-CN" w:bidi="ar-SA"/>
                <w14:textFill>
                  <w14:solidFill>
                    <w14:schemeClr w14:val="tx1"/>
                  </w14:solidFill>
                </w14:textFill>
              </w:rPr>
              <w:t>390000</w:t>
            </w:r>
          </w:p>
        </w:tc>
      </w:tr>
      <w:tr w14:paraId="1D86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4426F5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541345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14:textFill>
                  <w14:solidFill>
                    <w14:schemeClr w14:val="tx1"/>
                  </w14:solidFill>
                </w14:textFill>
              </w:rPr>
              <w:t>除草智能机器人</w:t>
            </w:r>
          </w:p>
        </w:tc>
        <w:tc>
          <w:tcPr>
            <w:tcW w:w="459" w:type="dxa"/>
            <w:tcBorders>
              <w:top w:val="single" w:color="000000" w:sz="4" w:space="0"/>
              <w:left w:val="nil"/>
              <w:bottom w:val="single" w:color="000000" w:sz="4" w:space="0"/>
              <w:right w:val="single" w:color="000000" w:sz="4" w:space="0"/>
            </w:tcBorders>
            <w:vAlign w:val="center"/>
          </w:tcPr>
          <w:p w14:paraId="4010C15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vAlign w:val="center"/>
          </w:tcPr>
          <w:p w14:paraId="34E9EB3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4</w:t>
            </w:r>
          </w:p>
        </w:tc>
        <w:tc>
          <w:tcPr>
            <w:tcW w:w="4785" w:type="dxa"/>
            <w:tcBorders>
              <w:top w:val="single" w:color="000000" w:sz="4" w:space="0"/>
              <w:left w:val="nil"/>
              <w:bottom w:val="single" w:color="000000" w:sz="4" w:space="0"/>
              <w:right w:val="single" w:color="auto" w:sz="4" w:space="0"/>
            </w:tcBorders>
            <w:vAlign w:val="center"/>
          </w:tcPr>
          <w:p w14:paraId="2B471E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lang w:val="en-US" w:eastAsia="zh-CN"/>
              </w:rPr>
              <w:t>1.导航技术要求：采用相当于或优于 NRTK (Network Real-Time Kinematic) 网络实时差分定位技术，支持无边界虚拟建图</w:t>
            </w:r>
            <w:r>
              <w:rPr>
                <w:rFonts w:hint="eastAsia"/>
                <w:lang w:eastAsia="zh-CN"/>
              </w:rPr>
              <w:t>。</w:t>
            </w:r>
          </w:p>
          <w:p w14:paraId="6B4BA3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lang w:val="en-US" w:eastAsia="zh-CN"/>
              </w:rPr>
            </w:pPr>
            <w:r>
              <w:rPr>
                <w:rFonts w:hint="eastAsia"/>
                <w:lang w:val="en-US" w:eastAsia="zh-CN"/>
              </w:rPr>
              <w:t>●2.作业效率与覆盖面积：单台设备在48小时内的标准作业覆盖面积需≥28,000㎡</w:t>
            </w:r>
            <w:r>
              <w:rPr>
                <w:rFonts w:hint="eastAsia"/>
                <w:lang w:eastAsia="zh-CN"/>
              </w:rPr>
              <w:t>。</w:t>
            </w:r>
            <w:r>
              <w:rPr>
                <w:rFonts w:hint="eastAsia"/>
                <w:lang w:val="en-US" w:eastAsia="zh-CN"/>
              </w:rPr>
              <w:t>（投标文件提供</w:t>
            </w:r>
            <w:r>
              <w:rPr>
                <w:rFonts w:hint="eastAsia"/>
                <w:lang w:eastAsia="zh-CN"/>
              </w:rPr>
              <w:t>第三方检测机构出具的检测报告复印件</w:t>
            </w:r>
            <w:r>
              <w:rPr>
                <w:rFonts w:hint="eastAsia"/>
                <w:lang w:val="en-US" w:eastAsia="zh-CN"/>
              </w:rPr>
              <w:t>或制造商官网产品的截图说明或产品相关技术</w:t>
            </w:r>
            <w:r>
              <w:rPr>
                <w:rFonts w:hint="eastAsia"/>
                <w:lang w:val="en-US" w:eastAsia="zh-CN"/>
              </w:rPr>
              <w:t>文件</w:t>
            </w:r>
            <w:r>
              <w:rPr>
                <w:rFonts w:hint="eastAsia"/>
                <w:lang w:eastAsia="zh-CN"/>
              </w:rPr>
              <w:t>复印件</w:t>
            </w:r>
            <w:r>
              <w:rPr>
                <w:rFonts w:hint="eastAsia"/>
                <w:lang w:val="en-US" w:eastAsia="zh-CN"/>
              </w:rPr>
              <w:t>，证明材料需完整体现</w:t>
            </w:r>
            <w:r>
              <w:rPr>
                <w:rFonts w:hint="eastAsia"/>
                <w:lang w:eastAsia="zh-CN"/>
              </w:rPr>
              <w:t>满足本项技术要求，加盖投标人公章</w:t>
            </w:r>
            <w:r>
              <w:rPr>
                <w:rFonts w:hint="eastAsia"/>
                <w:lang w:val="en-US" w:eastAsia="zh-CN"/>
              </w:rPr>
              <w:t>）</w:t>
            </w:r>
          </w:p>
          <w:p w14:paraId="5CC61A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3.电池容量与续航：标配大容量锂电池包，电池规格≥20V/20.0Ah</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4CCB7D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▲4.充电与周转效率：支持极速快充技术，20Ah电池充满电时间需≤60分钟</w:t>
            </w:r>
            <w:r>
              <w:rPr>
                <w:rFonts w:hint="eastAsia"/>
                <w:lang w:eastAsia="zh-CN"/>
              </w:rPr>
              <w:t>。</w:t>
            </w:r>
          </w:p>
          <w:p w14:paraId="3D057F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5.动力与切割系统</w:t>
            </w:r>
          </w:p>
          <w:p w14:paraId="50F510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电机类型：采用高效无刷电机，确保静音与长寿命</w:t>
            </w:r>
            <w:r>
              <w:rPr>
                <w:rFonts w:hint="eastAsia"/>
                <w:lang w:eastAsia="zh-CN"/>
              </w:rPr>
              <w:t>。</w:t>
            </w:r>
          </w:p>
          <w:p w14:paraId="17B8ED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行走速度：割草工况下的自主行走速度≥1m/s。</w:t>
            </w:r>
          </w:p>
          <w:p w14:paraId="17297B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切割宽度：单次切割宽度≥35cm。</w:t>
            </w:r>
          </w:p>
          <w:p w14:paraId="3E1FA03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切割高度：调节范围需覆盖10mm～60mm。</w:t>
            </w:r>
          </w:p>
          <w:p w14:paraId="04A4B6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6.智能避障与防护</w:t>
            </w:r>
          </w:p>
          <w:p w14:paraId="3FA7C0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避障系统：必须配备OAS (Obstacle Avoidance System)主动避障系统，无需物理碰撞即可绕行。</w:t>
            </w:r>
          </w:p>
          <w:p w14:paraId="6626BC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防护等级：整机防水等级≥IPX5，支持直接水管冲洗。</w:t>
            </w:r>
          </w:p>
          <w:p w14:paraId="16861C4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外壳材质：采用 ASA工程塑料，确保在高温高湿环境下长期户外使用不粉化、不褪色。</w:t>
            </w:r>
          </w:p>
          <w:p w14:paraId="374315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7.软件功能</w:t>
            </w:r>
          </w:p>
          <w:p w14:paraId="5B56693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单次作业量：单次充电可有效修剪面积≥1,750 ㎡。</w:t>
            </w:r>
          </w:p>
          <w:p w14:paraId="5316EB7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功能模块：支持手机 APP 远程控制、自动回充、雨感停机、搬离地面停机保护。</w:t>
            </w:r>
          </w:p>
          <w:p w14:paraId="473D2F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路径规划：支持智能路径规划及沿边修剪功能。</w:t>
            </w:r>
          </w:p>
          <w:p w14:paraId="0A06307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物联网服务保障：机器人配套的物联网卡及流量，由供应商免费提供并终身可用。</w:t>
            </w:r>
          </w:p>
          <w:p w14:paraId="5E50E3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8.含设备、充电桩安装调试部署。</w:t>
            </w:r>
          </w:p>
          <w:p w14:paraId="5587448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9.质保期内提供免费软件升级。</w:t>
            </w:r>
          </w:p>
          <w:p w14:paraId="21D6754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20EBAF5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19D93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Times New Roman"/>
                <w:color w:val="000000" w:themeColor="text1"/>
                <w:spacing w:val="-6"/>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320000</w:t>
            </w:r>
          </w:p>
        </w:tc>
      </w:tr>
      <w:tr w14:paraId="14ED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139C6580">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p>
        </w:tc>
        <w:tc>
          <w:tcPr>
            <w:tcW w:w="981" w:type="dxa"/>
            <w:tcBorders>
              <w:top w:val="single" w:color="000000" w:sz="4" w:space="0"/>
              <w:left w:val="nil"/>
              <w:bottom w:val="single" w:color="000000" w:sz="4" w:space="0"/>
              <w:right w:val="single" w:color="000000" w:sz="4" w:space="0"/>
            </w:tcBorders>
            <w:vAlign w:val="center"/>
          </w:tcPr>
          <w:p w14:paraId="4B74E66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rPr>
            </w:pPr>
            <w:r>
              <w:rPr>
                <w:rFonts w:hint="default"/>
                <w:sz w:val="22"/>
                <w:szCs w:val="22"/>
              </w:rPr>
              <w:t>智能机器人表演团体</w:t>
            </w:r>
            <w:r>
              <w:rPr>
                <w:rFonts w:hint="eastAsia"/>
                <w:sz w:val="22"/>
                <w:szCs w:val="22"/>
                <w:lang w:val="en-US" w:eastAsia="zh-CN"/>
              </w:rPr>
              <w:t>应用场景</w:t>
            </w:r>
            <w:r>
              <w:rPr>
                <w:rFonts w:hint="default"/>
                <w:sz w:val="22"/>
                <w:szCs w:val="22"/>
              </w:rPr>
              <w:t>定制</w:t>
            </w:r>
            <w:r>
              <w:rPr>
                <w:rFonts w:hint="eastAsia"/>
                <w:sz w:val="22"/>
                <w:szCs w:val="22"/>
                <w:lang w:val="en-US" w:eastAsia="zh-CN"/>
              </w:rPr>
              <w:t>服务</w:t>
            </w:r>
          </w:p>
        </w:tc>
        <w:tc>
          <w:tcPr>
            <w:tcW w:w="459" w:type="dxa"/>
            <w:tcBorders>
              <w:top w:val="single" w:color="000000" w:sz="4" w:space="0"/>
              <w:left w:val="nil"/>
              <w:bottom w:val="single" w:color="000000" w:sz="4" w:space="0"/>
              <w:right w:val="single" w:color="000000" w:sz="4" w:space="0"/>
            </w:tcBorders>
            <w:vAlign w:val="center"/>
          </w:tcPr>
          <w:p w14:paraId="140D9CD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vAlign w:val="center"/>
          </w:tcPr>
          <w:p w14:paraId="33EF10B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0D28B5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b/>
                <w:bCs/>
                <w:sz w:val="22"/>
                <w:szCs w:val="22"/>
                <w:lang w:val="en-US" w:eastAsia="zh-CN"/>
              </w:rPr>
            </w:pPr>
            <w:r>
              <w:rPr>
                <w:rFonts w:hint="default"/>
                <w:color w:val="000000" w:themeColor="text1"/>
                <w:sz w:val="22"/>
                <w:szCs w:val="22"/>
                <w:vertAlign w:val="baseline"/>
                <w:lang w:val="en-US" w:eastAsia="zh-CN"/>
                <w14:textFill>
                  <w14:solidFill>
                    <w14:schemeClr w14:val="tx1"/>
                  </w14:solidFill>
                </w14:textFill>
              </w:rPr>
              <w:t>打造一支独一无二的智能机器人表演团体，提供前沿的技术</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开发，提供即拿即用的活动演出服务解决方案。通过舞蹈、丰富的技能节目以及震撼的群体协同表演，为各类场景提供科技感十足、互动性强、记忆点深刻的创意内容，助力品牌传播、文化推广与观众体验升级。</w:t>
            </w:r>
            <w:r>
              <w:rPr>
                <w:rFonts w:hint="eastAsia"/>
                <w:b/>
                <w:bCs/>
                <w:color w:val="000000" w:themeColor="text1"/>
                <w:sz w:val="21"/>
                <w:szCs w:val="21"/>
                <w:vertAlign w:val="baseline"/>
                <w:lang w:val="en-US" w:eastAsia="zh-CN"/>
                <w14:textFill>
                  <w14:solidFill>
                    <w14:schemeClr w14:val="tx1"/>
                  </w14:solidFill>
                </w14:textFill>
              </w:rPr>
              <w:t>在服务期内，针对</w:t>
            </w:r>
            <w:r>
              <w:rPr>
                <w:b/>
                <w:bCs/>
                <w:sz w:val="21"/>
                <w:szCs w:val="21"/>
              </w:rPr>
              <w:t>大型、关键、高规格的活动演出</w:t>
            </w:r>
            <w:r>
              <w:rPr>
                <w:rFonts w:hint="eastAsia"/>
                <w:b/>
                <w:bCs/>
                <w:sz w:val="21"/>
                <w:szCs w:val="21"/>
                <w:lang w:eastAsia="zh-CN"/>
              </w:rPr>
              <w:t>，</w:t>
            </w:r>
            <w:r>
              <w:rPr>
                <w:rFonts w:hint="eastAsia"/>
                <w:b/>
                <w:bCs/>
                <w:color w:val="000000" w:themeColor="text1"/>
                <w:sz w:val="21"/>
                <w:szCs w:val="21"/>
                <w:vertAlign w:val="baseline"/>
                <w:lang w:val="en-US" w:eastAsia="zh-CN"/>
                <w14:textFill>
                  <w14:solidFill>
                    <w14:schemeClr w14:val="tx1"/>
                  </w14:solidFill>
                </w14:textFill>
              </w:rPr>
              <w:t>保障每年不少于50天的现场专场表演服务。</w:t>
            </w:r>
            <w:r>
              <w:rPr>
                <w:rFonts w:hint="eastAsia"/>
                <w:b/>
                <w:bCs/>
                <w:sz w:val="21"/>
                <w:szCs w:val="21"/>
                <w:lang w:val="en-US" w:eastAsia="zh-CN"/>
              </w:rPr>
              <w:t>针对</w:t>
            </w:r>
            <w:r>
              <w:rPr>
                <w:b/>
                <w:bCs/>
                <w:sz w:val="21"/>
                <w:szCs w:val="21"/>
              </w:rPr>
              <w:t>日常展示、内部活动、临时接待、小型暖场</w:t>
            </w:r>
            <w:r>
              <w:rPr>
                <w:rFonts w:hint="eastAsia"/>
                <w:b/>
                <w:bCs/>
                <w:sz w:val="21"/>
                <w:szCs w:val="21"/>
                <w:lang w:val="en-US" w:eastAsia="zh-CN"/>
              </w:rPr>
              <w:t>提供全程远程</w:t>
            </w:r>
            <w:r>
              <w:rPr>
                <w:rFonts w:hint="eastAsia"/>
                <w:b/>
                <w:bCs/>
                <w:sz w:val="22"/>
                <w:szCs w:val="22"/>
                <w:lang w:val="en-US" w:eastAsia="zh-CN"/>
              </w:rPr>
              <w:t>服务指导。服务期不少于3年。</w:t>
            </w:r>
          </w:p>
          <w:p w14:paraId="6468F8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一、核心应用场景与服务内容</w:t>
            </w:r>
          </w:p>
          <w:p w14:paraId="6AF1BB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r>
              <w:rPr>
                <w:rFonts w:hint="default"/>
                <w:color w:val="000000" w:themeColor="text1"/>
                <w:sz w:val="22"/>
                <w:szCs w:val="22"/>
                <w:vertAlign w:val="baseline"/>
                <w:lang w:val="en-US" w:eastAsia="zh-CN"/>
                <w14:textFill>
                  <w14:solidFill>
                    <w14:schemeClr w14:val="tx1"/>
                  </w14:solidFill>
                </w14:textFill>
              </w:rPr>
              <w:t>大型活动</w:t>
            </w:r>
          </w:p>
          <w:p w14:paraId="18B08F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服务内容：作为开场或压轴节目，表演气势恢宏的多机器人协同舞蹈或主题剧目（如科技风开场秀、未来城市主题秀）。机器人可担任主持人，进行串场互动。场景举例：景区开幕式、夜游灯会活动、</w:t>
            </w:r>
            <w:r>
              <w:rPr>
                <w:rFonts w:hint="eastAsia"/>
                <w:color w:val="000000" w:themeColor="text1"/>
                <w:sz w:val="22"/>
                <w:szCs w:val="22"/>
                <w:vertAlign w:val="baseline"/>
                <w:lang w:val="en-US" w:eastAsia="zh-CN"/>
                <w14:textFill>
                  <w14:solidFill>
                    <w14:schemeClr w14:val="tx1"/>
                  </w14:solidFill>
                </w14:textFill>
              </w:rPr>
              <w:t>赏花活动</w:t>
            </w:r>
            <w:r>
              <w:rPr>
                <w:rFonts w:hint="default"/>
                <w:color w:val="000000" w:themeColor="text1"/>
                <w:sz w:val="22"/>
                <w:szCs w:val="22"/>
                <w:vertAlign w:val="baseline"/>
                <w:lang w:val="en-US" w:eastAsia="zh-CN"/>
                <w14:textFill>
                  <w14:solidFill>
                    <w14:schemeClr w14:val="tx1"/>
                  </w14:solidFill>
                </w14:textFill>
              </w:rPr>
              <w:t>。</w:t>
            </w:r>
          </w:p>
          <w:p w14:paraId="19A1DA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2</w:t>
            </w:r>
            <w:r>
              <w:rPr>
                <w:rFonts w:hint="eastAsia"/>
                <w:color w:val="000000" w:themeColor="text1"/>
                <w:sz w:val="22"/>
                <w:szCs w:val="22"/>
                <w:vertAlign w:val="baseline"/>
                <w:lang w:val="en-US" w:eastAsia="zh-CN"/>
                <w14:textFill>
                  <w14:solidFill>
                    <w14:schemeClr w14:val="tx1"/>
                  </w14:solidFill>
                </w14:textFill>
              </w:rPr>
              <w:t>.宣传</w:t>
            </w:r>
            <w:r>
              <w:rPr>
                <w:rFonts w:hint="default"/>
                <w:color w:val="000000" w:themeColor="text1"/>
                <w:sz w:val="22"/>
                <w:szCs w:val="22"/>
                <w:vertAlign w:val="baseline"/>
                <w:lang w:val="en-US" w:eastAsia="zh-CN"/>
                <w14:textFill>
                  <w14:solidFill>
                    <w14:schemeClr w14:val="tx1"/>
                  </w14:solidFill>
                </w14:textFill>
              </w:rPr>
              <w:t>营销活动</w:t>
            </w:r>
          </w:p>
          <w:p w14:paraId="215FF92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服务内容：在展台进行循环互动表演，吸引人流。机器人可表演舞蹈（融入品牌元素），展示技能包中的节目（如书写品牌口号、打快板说</w:t>
            </w:r>
            <w:r>
              <w:rPr>
                <w:rFonts w:hint="eastAsia"/>
                <w:color w:val="000000" w:themeColor="text1"/>
                <w:sz w:val="22"/>
                <w:szCs w:val="22"/>
                <w:vertAlign w:val="baseline"/>
                <w:lang w:val="en-US" w:eastAsia="zh-CN"/>
                <w14:textFill>
                  <w14:solidFill>
                    <w14:schemeClr w14:val="tx1"/>
                  </w14:solidFill>
                </w14:textFill>
              </w:rPr>
              <w:t>景区的</w:t>
            </w:r>
            <w:r>
              <w:rPr>
                <w:rFonts w:hint="default"/>
                <w:color w:val="000000" w:themeColor="text1"/>
                <w:sz w:val="22"/>
                <w:szCs w:val="22"/>
                <w:vertAlign w:val="baseline"/>
                <w:lang w:val="en-US" w:eastAsia="zh-CN"/>
                <w14:textFill>
                  <w14:solidFill>
                    <w14:schemeClr w14:val="tx1"/>
                  </w14:solidFill>
                </w14:textFill>
              </w:rPr>
              <w:t>故事），并与</w:t>
            </w:r>
            <w:r>
              <w:rPr>
                <w:rFonts w:hint="eastAsia"/>
                <w:color w:val="000000" w:themeColor="text1"/>
                <w:sz w:val="22"/>
                <w:szCs w:val="22"/>
                <w:vertAlign w:val="baseline"/>
                <w:lang w:val="en-US" w:eastAsia="zh-CN"/>
                <w14:textFill>
                  <w14:solidFill>
                    <w14:schemeClr w14:val="tx1"/>
                  </w14:solidFill>
                </w14:textFill>
              </w:rPr>
              <w:t>线下</w:t>
            </w:r>
            <w:r>
              <w:rPr>
                <w:rFonts w:hint="default"/>
                <w:color w:val="000000" w:themeColor="text1"/>
                <w:sz w:val="22"/>
                <w:szCs w:val="22"/>
                <w:vertAlign w:val="baseline"/>
                <w:lang w:val="en-US" w:eastAsia="zh-CN"/>
                <w14:textFill>
                  <w14:solidFill>
                    <w14:schemeClr w14:val="tx1"/>
                  </w14:solidFill>
                </w14:textFill>
              </w:rPr>
              <w:t>观众进行语音、击掌等简单交互。场景举例：</w:t>
            </w:r>
            <w:r>
              <w:rPr>
                <w:rFonts w:hint="eastAsia"/>
                <w:color w:val="000000" w:themeColor="text1"/>
                <w:sz w:val="22"/>
                <w:szCs w:val="22"/>
                <w:vertAlign w:val="baseline"/>
                <w:lang w:val="en-US" w:eastAsia="zh-CN"/>
                <w14:textFill>
                  <w14:solidFill>
                    <w14:schemeClr w14:val="tx1"/>
                  </w14:solidFill>
                </w14:textFill>
              </w:rPr>
              <w:t>线上日常直播互动、</w:t>
            </w:r>
            <w:r>
              <w:rPr>
                <w:rFonts w:hint="default"/>
                <w:color w:val="000000" w:themeColor="text1"/>
                <w:sz w:val="22"/>
                <w:szCs w:val="22"/>
                <w:vertAlign w:val="baseline"/>
                <w:lang w:val="en-US" w:eastAsia="zh-CN"/>
                <w14:textFill>
                  <w14:solidFill>
                    <w14:schemeClr w14:val="tx1"/>
                  </w14:solidFill>
                </w14:textFill>
              </w:rPr>
              <w:t>品牌快闪店</w:t>
            </w:r>
            <w:r>
              <w:rPr>
                <w:rFonts w:hint="eastAsia"/>
                <w:color w:val="000000" w:themeColor="text1"/>
                <w:sz w:val="22"/>
                <w:szCs w:val="22"/>
                <w:vertAlign w:val="baseline"/>
                <w:lang w:val="en-US" w:eastAsia="zh-CN"/>
                <w14:textFill>
                  <w14:solidFill>
                    <w14:schemeClr w14:val="tx1"/>
                  </w14:solidFill>
                </w14:textFill>
              </w:rPr>
              <w:t>等</w:t>
            </w:r>
            <w:r>
              <w:rPr>
                <w:rFonts w:hint="default"/>
                <w:color w:val="000000" w:themeColor="text1"/>
                <w:sz w:val="22"/>
                <w:szCs w:val="22"/>
                <w:vertAlign w:val="baseline"/>
                <w:lang w:val="en-US" w:eastAsia="zh-CN"/>
                <w14:textFill>
                  <w14:solidFill>
                    <w14:schemeClr w14:val="tx1"/>
                  </w14:solidFill>
                </w14:textFill>
              </w:rPr>
              <w:t>。</w:t>
            </w:r>
          </w:p>
          <w:p w14:paraId="24788BE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3</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文化与教育科普活动</w:t>
            </w:r>
          </w:p>
          <w:p w14:paraId="362B090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服务内容：化身</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文化大使</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与</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科技讲师</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，表演京剧、太极、咏春等传统节目，演示书法艺术，并进行各类趣味科普讲解。场景举例：科技</w:t>
            </w:r>
            <w:r>
              <w:rPr>
                <w:rFonts w:hint="eastAsia"/>
                <w:color w:val="000000" w:themeColor="text1"/>
                <w:sz w:val="22"/>
                <w:szCs w:val="22"/>
                <w:vertAlign w:val="baseline"/>
                <w:lang w:val="en-US" w:eastAsia="zh-CN"/>
                <w14:textFill>
                  <w14:solidFill>
                    <w14:schemeClr w14:val="tx1"/>
                  </w14:solidFill>
                </w14:textFill>
              </w:rPr>
              <w:t>文化节</w:t>
            </w:r>
            <w:r>
              <w:rPr>
                <w:rFonts w:hint="default"/>
                <w:color w:val="000000" w:themeColor="text1"/>
                <w:sz w:val="22"/>
                <w:szCs w:val="22"/>
                <w:vertAlign w:val="baseline"/>
                <w:lang w:val="en-US" w:eastAsia="zh-CN"/>
                <w14:textFill>
                  <w14:solidFill>
                    <w14:schemeClr w14:val="tx1"/>
                  </w14:solidFill>
                </w14:textFill>
              </w:rPr>
              <w:t>、传统文化推广</w:t>
            </w:r>
            <w:r>
              <w:rPr>
                <w:rFonts w:hint="eastAsia"/>
                <w:color w:val="000000" w:themeColor="text1"/>
                <w:sz w:val="22"/>
                <w:szCs w:val="22"/>
                <w:vertAlign w:val="baseline"/>
                <w:lang w:val="en-US" w:eastAsia="zh-CN"/>
                <w14:textFill>
                  <w14:solidFill>
                    <w14:schemeClr w14:val="tx1"/>
                  </w14:solidFill>
                </w14:textFill>
              </w:rPr>
              <w:t>日、景区科普馆常设</w:t>
            </w:r>
            <w:r>
              <w:rPr>
                <w:rFonts w:hint="default"/>
                <w:color w:val="000000" w:themeColor="text1"/>
                <w:sz w:val="22"/>
                <w:szCs w:val="22"/>
                <w:vertAlign w:val="baseline"/>
                <w:lang w:val="en-US" w:eastAsia="zh-CN"/>
                <w14:textFill>
                  <w14:solidFill>
                    <w14:schemeClr w14:val="tx1"/>
                  </w14:solidFill>
                </w14:textFill>
              </w:rPr>
              <w:t>演出。</w:t>
            </w:r>
          </w:p>
          <w:p w14:paraId="43CD38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二</w:t>
            </w:r>
            <w:r>
              <w:rPr>
                <w:rFonts w:hint="default"/>
                <w:color w:val="000000" w:themeColor="text1"/>
                <w:sz w:val="22"/>
                <w:szCs w:val="22"/>
                <w:vertAlign w:val="baseline"/>
                <w:lang w:val="en-US" w:eastAsia="zh-CN"/>
                <w14:textFill>
                  <w14:solidFill>
                    <w14:schemeClr w14:val="tx1"/>
                  </w14:solidFill>
                </w14:textFill>
              </w:rPr>
              <w:t>、人形机器人</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开发与群控系统</w:t>
            </w:r>
          </w:p>
          <w:p w14:paraId="66D3E58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为多机器人集群提供软件开发与系统集成，实现高水准、多样化的单体表演与协同舞台演出功能。</w:t>
            </w:r>
          </w:p>
          <w:p w14:paraId="1F094F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1</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人形机器人1：舞蹈动作</w:t>
            </w:r>
            <w:r>
              <w:rPr>
                <w:rFonts w:hint="eastAsia"/>
                <w:color w:val="000000" w:themeColor="text1"/>
                <w:sz w:val="22"/>
                <w:szCs w:val="22"/>
                <w:vertAlign w:val="baseline"/>
                <w:lang w:val="en-US" w:eastAsia="zh-CN"/>
                <w14:textFill>
                  <w14:solidFill>
                    <w14:schemeClr w14:val="tx1"/>
                  </w14:solidFill>
                </w14:textFill>
              </w:rPr>
              <w:t>编排</w:t>
            </w:r>
          </w:p>
          <w:p w14:paraId="69C6D54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内容要求：为人形机器人1开发不少于10支完整的舞蹈节目</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每支舞蹈须为独立、连贯的表演，时长不低于2分钟</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舞蹈风格应多元化，可涵盖（例如）：现代舞、流行街舞、中国风舞蹈、机械舞等</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动作设计需充分考虑该型号机器人的关节自由度、运动性能与平衡能力，发挥其最大潜力。</w:t>
            </w:r>
          </w:p>
          <w:p w14:paraId="634409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交付成果：所有舞蹈动作的完整可执行程序文件。每支舞蹈的说明文档，包括风格、节奏（BPM）、关键动作点。动作设计源文件（如适用），以便未来微调。</w:t>
            </w:r>
          </w:p>
          <w:p w14:paraId="489153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验收标准：动作流畅、无剧烈抖动或失步，与音乐节拍精确同步。完成全部10支舞蹈的现场或视频演示，每支时长符合要求。</w:t>
            </w:r>
          </w:p>
          <w:p w14:paraId="1C26D22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w:t>
            </w:r>
            <w:r>
              <w:rPr>
                <w:rFonts w:hint="default"/>
                <w:color w:val="000000" w:themeColor="text1"/>
                <w:sz w:val="22"/>
                <w:szCs w:val="22"/>
                <w:vertAlign w:val="baseline"/>
                <w:lang w:val="en-US" w:eastAsia="zh-CN"/>
                <w14:textFill>
                  <w14:solidFill>
                    <w14:schemeClr w14:val="tx1"/>
                  </w14:solidFill>
                </w14:textFill>
              </w:rPr>
              <w:t>人形机器人2：多功能软件技能包定制</w:t>
            </w:r>
          </w:p>
          <w:p w14:paraId="7D9F98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内容要求：为人形机器人2定制开发一个集成式软件技能包，内含不少于26种表演或互动节目。节目类型必须包括但不仅限于： 京剧程式动作、快板表演、书法演示、太极拳、咏春拳、啦啦操。其他节目建议方向：讲故事、诗朗诵、主持报幕、简单魔术演示、科普讲解（配合动作）、流行歌曲手势舞、经典影视片段模仿等。所有节目应配备相应的音效、背景音乐或台词。</w:t>
            </w:r>
          </w:p>
          <w:p w14:paraId="3B82A99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服务要求：供应商需提供该软件技能包的后续免费更新服务。更新内容可包括：新节目增加、现有节目优化、修复已知问题、适配官方系统升级。</w:t>
            </w:r>
          </w:p>
          <w:p w14:paraId="1484C3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交付成果：集成式软件技能包安装程序，所有节目的操作指南和触发方式说明，节目列表及内容描述手册。</w:t>
            </w:r>
          </w:p>
          <w:p w14:paraId="430E735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验收标准：26种节目功能完整，表演内容准确无误（如太极拳套路正确、京剧动作有韵味），技能包运行稳定，节目之间切换顺畅。</w:t>
            </w:r>
          </w:p>
          <w:p w14:paraId="3CAA53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三</w:t>
            </w:r>
            <w:r>
              <w:rPr>
                <w:rFonts w:hint="default"/>
                <w:color w:val="000000" w:themeColor="text1"/>
                <w:sz w:val="22"/>
                <w:szCs w:val="22"/>
                <w:vertAlign w:val="baseline"/>
                <w:lang w:val="en-US" w:eastAsia="zh-CN"/>
                <w14:textFill>
                  <w14:solidFill>
                    <w14:schemeClr w14:val="tx1"/>
                  </w14:solidFill>
                </w14:textFill>
              </w:rPr>
              <w:t>、多机器人表演群控系统</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w:t>
            </w:r>
          </w:p>
          <w:p w14:paraId="66BB15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系统功能要求：协同控制： 可通过一个中央控制</w:t>
            </w:r>
            <w:r>
              <w:rPr>
                <w:rFonts w:hint="eastAsia"/>
                <w:color w:val="000000" w:themeColor="text1"/>
                <w:sz w:val="22"/>
                <w:szCs w:val="22"/>
                <w:vertAlign w:val="baseline"/>
                <w:lang w:val="en-US" w:eastAsia="zh-CN"/>
                <w14:textFill>
                  <w14:solidFill>
                    <w14:schemeClr w14:val="tx1"/>
                  </w14:solidFill>
                </w14:textFill>
              </w:rPr>
              <w:t>系统</w:t>
            </w:r>
            <w:r>
              <w:rPr>
                <w:rFonts w:hint="default"/>
                <w:color w:val="000000" w:themeColor="text1"/>
                <w:sz w:val="22"/>
                <w:szCs w:val="22"/>
                <w:vertAlign w:val="baseline"/>
                <w:lang w:val="en-US" w:eastAsia="zh-CN"/>
                <w14:textFill>
                  <w14:solidFill>
                    <w14:schemeClr w14:val="tx1"/>
                  </w14:solidFill>
                </w14:textFill>
              </w:rPr>
              <w:t>，同时启动、停止、暂停所有机器人，并能统一调整音量、灯光（如配备）。</w:t>
            </w:r>
          </w:p>
          <w:p w14:paraId="626723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动作编排与同步：支持为多台机器人（至少支持4-6台同场）编排复杂的队形变换、动作序列。确保所有机器人在表演中动作时间戳高度同步，误差需小于可感知范围。</w:t>
            </w:r>
          </w:p>
          <w:p w14:paraId="7F2253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舞台表演管理：能够编排完整的舞台剧本，包括机器人的出场、退场、定点表演、交互对话（通过预设语音），支持与外部设备联动，如触发舞台灯光、音效、大屏视频播放。易用性：可提供图形化编排界面，支持拖拽式编程或时间轴编辑，降低操作人员技术门槛。</w:t>
            </w:r>
          </w:p>
          <w:p w14:paraId="347715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兼容性要求：系统同时兼容本项目中的人形机器人1和人形机器人2</w:t>
            </w:r>
            <w:r>
              <w:rPr>
                <w:rFonts w:hint="eastAsia"/>
                <w:color w:val="000000" w:themeColor="text1"/>
                <w:sz w:val="22"/>
                <w:szCs w:val="22"/>
                <w:vertAlign w:val="baseline"/>
                <w:lang w:val="en-US" w:eastAsia="zh-CN"/>
                <w14:textFill>
                  <w14:solidFill>
                    <w14:schemeClr w14:val="tx1"/>
                  </w14:solidFill>
                </w14:textFill>
              </w:rPr>
              <w:t>、四足机器人</w:t>
            </w:r>
            <w:r>
              <w:rPr>
                <w:rFonts w:hint="default"/>
                <w:color w:val="000000" w:themeColor="text1"/>
                <w:sz w:val="22"/>
                <w:szCs w:val="22"/>
                <w:vertAlign w:val="baseline"/>
                <w:lang w:val="en-US" w:eastAsia="zh-CN"/>
                <w14:textFill>
                  <w14:solidFill>
                    <w14:schemeClr w14:val="tx1"/>
                  </w14:solidFill>
                </w14:textFill>
              </w:rPr>
              <w:t>，具备良好的扩展性，为未来增加同品牌或异构机器人预留接口。</w:t>
            </w:r>
          </w:p>
          <w:p w14:paraId="5752D5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交付成果：群控系统软件。系统操作与编程手册。提供针对操作人员的现场技术培训。</w:t>
            </w:r>
          </w:p>
          <w:p w14:paraId="3725112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验收标准：成功控制至少3台机器人完成一场不少于5分钟、包含队形变化和协同动作的完整舞台剧演示，系统运行稳定，无通讯中断或控制失灵现象。</w:t>
            </w:r>
          </w:p>
          <w:p w14:paraId="0BF0375F">
            <w:pPr>
              <w:keepNext w:val="0"/>
              <w:keepLines w:val="0"/>
              <w:suppressLineNumbers w:val="0"/>
              <w:spacing w:before="0" w:beforeAutospacing="0" w:after="0" w:afterAutospacing="0" w:line="360" w:lineRule="auto"/>
              <w:ind w:left="0" w:leftChars="0" w:right="0" w:rightChars="0" w:firstLine="440" w:firstLineChars="20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四、操作培训服务：对采购人指定的操作员提供系统培训，确保完成机器人日常操作、基础编排、常见故障排查等任务。</w:t>
            </w:r>
          </w:p>
        </w:tc>
        <w:tc>
          <w:tcPr>
            <w:tcW w:w="1095" w:type="dxa"/>
            <w:tcBorders>
              <w:top w:val="single" w:color="000000" w:sz="4" w:space="0"/>
              <w:left w:val="single" w:color="auto" w:sz="4" w:space="0"/>
              <w:bottom w:val="single" w:color="000000" w:sz="4" w:space="0"/>
              <w:right w:val="single" w:color="auto" w:sz="4" w:space="0"/>
            </w:tcBorders>
            <w:vAlign w:val="center"/>
          </w:tcPr>
          <w:p w14:paraId="4B47F7A3">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27BB5A3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370000</w:t>
            </w:r>
          </w:p>
        </w:tc>
      </w:tr>
      <w:tr w14:paraId="58EB7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5ACA89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7</w:t>
            </w:r>
          </w:p>
        </w:tc>
        <w:tc>
          <w:tcPr>
            <w:tcW w:w="981" w:type="dxa"/>
            <w:tcBorders>
              <w:top w:val="single" w:color="000000" w:sz="4" w:space="0"/>
              <w:left w:val="nil"/>
              <w:bottom w:val="single" w:color="000000" w:sz="4" w:space="0"/>
              <w:right w:val="single" w:color="000000" w:sz="4" w:space="0"/>
            </w:tcBorders>
            <w:vAlign w:val="center"/>
          </w:tcPr>
          <w:p w14:paraId="15B52CB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14:textFill>
                  <w14:solidFill>
                    <w14:schemeClr w14:val="tx1"/>
                  </w14:solidFill>
                </w14:textFill>
              </w:rPr>
              <w:t>AI数字人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39A1F8C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3A7129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728599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b/>
                <w:bCs/>
                <w:color w:val="000000" w:themeColor="text1"/>
                <w:sz w:val="22"/>
                <w:szCs w:val="22"/>
                <w:vertAlign w:val="baseline"/>
                <w:lang w:val="en-US" w:eastAsia="zh-CN"/>
                <w14:textFill>
                  <w14:solidFill>
                    <w14:schemeClr w14:val="tx1"/>
                  </w14:solidFill>
                </w14:textFill>
              </w:rPr>
              <w:t>1. AI综合能力体系</w:t>
            </w:r>
          </w:p>
          <w:p w14:paraId="176EBB4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作为系统核心，AI综合模型引擎集成多模态AI模型与知识库系统，构成智能中枢。它通过统一接口调度语言、视觉、语音等模型，并深度对接结构化数据库与非结构化文档库，提供标准化API以屏蔽底层模型差异，简化多模态任务调用。引擎可根据输入类型、算力需求与场景复杂度，自动分配最优模型组合，支持模型级联、并行推理与实时切换。</w:t>
            </w:r>
          </w:p>
          <w:p w14:paraId="5AF53B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b/>
                <w:bCs/>
                <w:color w:val="000000" w:themeColor="text1"/>
                <w:sz w:val="22"/>
                <w:szCs w:val="22"/>
                <w:vertAlign w:val="baseline"/>
                <w:lang w:val="en-US" w:eastAsia="zh-CN"/>
                <w14:textFill>
                  <w14:solidFill>
                    <w14:schemeClr w14:val="tx1"/>
                  </w14:solidFill>
                </w14:textFill>
              </w:rPr>
              <w:t>2.AI数字人导游功能</w:t>
            </w:r>
          </w:p>
          <w:p w14:paraId="6F477B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1） 微信公众号/小程序端</w:t>
            </w:r>
          </w:p>
          <w:p w14:paraId="5EC759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形象首页：展示AI数字人形象，同步显示实时天气、客流、车位、余票等信息；提供常见问题快速回复；支持跳转至门票预订、景点导览、停车缴费、车票预订等功能模块（限小程序/H5间跳转）。</w:t>
            </w:r>
          </w:p>
          <w:p w14:paraId="4571D02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sz w:val="22"/>
                <w:szCs w:val="22"/>
              </w:rPr>
            </w:pPr>
            <w:r>
              <w:rPr>
                <w:rFonts w:hint="eastAsia"/>
                <w:color w:val="000000" w:themeColor="text1"/>
                <w:sz w:val="22"/>
                <w:szCs w:val="22"/>
                <w:vertAlign w:val="baseline"/>
                <w:lang w:val="en-US" w:eastAsia="zh-CN"/>
                <w14:textFill>
                  <w14:solidFill>
                    <w14:schemeClr w14:val="tx1"/>
                  </w14:solidFill>
                </w14:textFill>
              </w:rPr>
              <w:t>常见问答：覆盖景区基础信息（开放时间、门票政策、交通路线等）与应急问题（医疗点、失物招领等），支持转人工客服。</w:t>
            </w:r>
            <w:r>
              <w:rPr>
                <w:sz w:val="22"/>
                <w:szCs w:val="22"/>
              </w:rPr>
              <w:t>问答覆盖度</w:t>
            </w:r>
            <w:r>
              <w:rPr>
                <w:rFonts w:hint="eastAsia"/>
                <w:color w:val="000000" w:themeColor="text1"/>
                <w:sz w:val="22"/>
                <w:szCs w:val="22"/>
                <w:vertAlign w:val="baseline"/>
                <w:lang w:val="en-US" w:eastAsia="zh-CN"/>
                <w14:textFill>
                  <w14:solidFill>
                    <w14:schemeClr w14:val="tx1"/>
                  </w14:solidFill>
                </w14:textFill>
              </w:rPr>
              <w:t>≥</w:t>
            </w:r>
            <w:r>
              <w:rPr>
                <w:sz w:val="22"/>
                <w:szCs w:val="22"/>
              </w:rPr>
              <w:t>98%。特殊问题支持转接人工客服，响应时间≤30秒。</w:t>
            </w:r>
          </w:p>
          <w:p w14:paraId="710211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智能问答：基于AI大模型与专属知识库，自动回复游客咨询，支持多轮对话，解决票务、景点位置、游玩攻略、交通接驳等问题。NLP能力：语义理解准确率≥95%，支持上下文关联对话（记忆时长≥30分钟），多轮对话容错率≥90%，能精准响应模糊查询。</w:t>
            </w:r>
          </w:p>
          <w:p w14:paraId="33D623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景点讲解：支持手动选择景点，提供1-5分钟讲解，内容涵盖历史背景、文化内涵与特色亮点，可同步展示图文、视频。</w:t>
            </w:r>
          </w:p>
          <w:p w14:paraId="36F4A7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自动讲解：依据游客实时GPS定位，自动推送所在景点的解说内容。</w:t>
            </w:r>
          </w:p>
          <w:p w14:paraId="657858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游览推荐：根据游客类型（家庭、情侣、研学等）、停留时长（1-3小时、3-6小时、全天等）及兴趣偏好（历史、自然、娱乐等），生成个性化推荐方案，包含3-5个核心景点及配套服务（餐饮、休息区）。</w:t>
            </w:r>
          </w:p>
          <w:p w14:paraId="037A4B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路线规划：基于高德、百度、腾讯等地图服务，提供景区内路线规划与导航。支持自定义起点终点，规划类型包括最短路线（步行误差≤10分钟）、最优体验路线（结合游客偏好）及无障碍路线（适配老人、儿童、残障人士），支持实时语音导航提示。</w:t>
            </w:r>
          </w:p>
          <w:p w14:paraId="3D8CF0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客流信息接入：接入景区实时客流系统（数据更新频率≤15分钟），当景点客流达到预警阈值人数时自动提示，并提供分流建议。</w:t>
            </w:r>
          </w:p>
          <w:p w14:paraId="5F520A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活动信息接入：接入景区活动数据，推荐当日/近期活动，包含时间、地点、参与方式，支持活动预约跳转；可根据游客类型推荐匹配活动。</w:t>
            </w:r>
          </w:p>
          <w:p w14:paraId="2F95D7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门票信息联动：支持门票、车票等购票链接跳转，依据游客购票类型（成人、儿童、优惠票）推荐相应服务（休息区、游乐区、交通、餐食等）。</w:t>
            </w:r>
          </w:p>
          <w:p w14:paraId="7E7E33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天气信息接入：同步权威气象数据（更新频率≤1小时），提供实时天气与24小时预报，遇极端天气（暴雨、高温等）自动推送预警及应对建议。</w:t>
            </w:r>
          </w:p>
          <w:p w14:paraId="760323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语音交互：支持语音对话，替代文字输入。语音识别准确率≥98%（安静环境）/≥92%（嘈杂环境）；响应延迟≤1.2秒；支持语速调节（0.7-1.5倍）及语调定制。</w:t>
            </w:r>
          </w:p>
          <w:p w14:paraId="5FB417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语种支持：文字支持中文、英文、越南语等；语音支持普通话、英语、越南语等。支持接入调用项目中翻译机器人平台的APi接口，实现多语言互译功能。</w:t>
            </w:r>
          </w:p>
          <w:p w14:paraId="036A94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2）自助机端（景区自助机、导览屏、手机端）</w:t>
            </w:r>
          </w:p>
          <w:p w14:paraId="0238AF2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支持形象首页、常见问答、智能问答、景点讲解、游览推荐、路线规划、天气与客流信息接入、活动预约及门票预约（展示二维码，扫码购买）等功能。支持三维可视化场景，支持虚拟游览导览。</w:t>
            </w:r>
          </w:p>
          <w:p w14:paraId="1658A2C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语音交互：支持特定语音唤醒与语音对话。性能要求：语音识别准确率≥98%（安静环境）/≥92%（嘈杂环境）；响应延迟≤1.2秒；支持语速调节（0.7-1.5倍）及语调定制。</w:t>
            </w:r>
          </w:p>
          <w:p w14:paraId="090892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语种支持：普通话、英文、越南语。支持接入调用项目中翻译机器人平台的APi接口，实现多语言互译功能。</w:t>
            </w:r>
          </w:p>
          <w:p w14:paraId="48452F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屏保广告：设备无人操作时自动进入屏保，展示形象图、广告图或视频。</w:t>
            </w:r>
          </w:p>
          <w:p w14:paraId="6AF01E6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滚动信息：大屏顶部滚动发布通知公告、紧急通知、安全提示等宣传标语。</w:t>
            </w:r>
          </w:p>
          <w:p w14:paraId="23D0D7C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3.后台管理</w:t>
            </w:r>
          </w:p>
          <w:p w14:paraId="492D0B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首页配置：管理首页内容与跳转信息。</w:t>
            </w:r>
          </w:p>
          <w:p w14:paraId="4A3181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智能体管理：设置各智能体基础参数与默认信息。</w:t>
            </w:r>
          </w:p>
          <w:p w14:paraId="3DD353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知识库管理：构建维护问答知识库，支持数据添加、更新与结构优化，提升客服回答准确率。</w:t>
            </w:r>
          </w:p>
          <w:p w14:paraId="10872C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对话模板配置：规范智能体回复标准。</w:t>
            </w:r>
          </w:p>
          <w:p w14:paraId="114302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对话记录：保存所有用户对话数据，支持按时间、关键词、问题类型筛选查询，用于优化模型回复。</w:t>
            </w:r>
          </w:p>
          <w:p w14:paraId="4CE739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常见问题维护：管理常见问题及高关注度问题内容。</w:t>
            </w:r>
          </w:p>
          <w:p w14:paraId="727598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使用数据统计：生成咨询量、解决率、高频问题等报表，辅助运营决策。</w:t>
            </w:r>
          </w:p>
          <w:p w14:paraId="7D20F5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用户账号管理：组织架构创建，用户账号的创建、停用与信息维护。</w:t>
            </w:r>
          </w:p>
          <w:p w14:paraId="596366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角色管理：定义不同岗位角色（如运营人员、系统管理员、管理层），明确职责范围。</w:t>
            </w:r>
          </w:p>
          <w:p w14:paraId="2405A5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权限配置：为角色分配知识查看与管理权限，如敏感统计数据仅限管理层查看。</w:t>
            </w:r>
          </w:p>
          <w:p w14:paraId="2CD56A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操作日志：记录关键操作（操作人、时间、内容），便于追溯与审计。</w:t>
            </w:r>
          </w:p>
          <w:p w14:paraId="472BC4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POI管理：维护景区景点、公共场所、服务设施等基础信息。支持分类（景点、游客中心、停车场、卫生间、警务室、住宿、购物、美食、医疗点等）并在地图标注实际位置；可编辑形象图、文字介绍、讲解语音、视频等内容。</w:t>
            </w:r>
          </w:p>
          <w:p w14:paraId="6FCFC3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广告发布：管理图片、视频等广告素材的上传与发布。</w:t>
            </w:r>
          </w:p>
          <w:p w14:paraId="6B3D60A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设备管理：管理景区自助机、导览屏等智能显示设备，记录并查看心跳信息、设备日志与数据。</w:t>
            </w:r>
          </w:p>
          <w:p w14:paraId="346017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通知公告管理：维护通知公告、安全提示等文字信息，并向设备下发数据。</w:t>
            </w:r>
          </w:p>
          <w:p w14:paraId="133790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4.基础服务</w:t>
            </w:r>
          </w:p>
          <w:p w14:paraId="2333A2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1）数字人定制：支持根据景区文化底蕴定制外观，包括发型、服饰、面部特征、肢体形态等维度，并适配不同终端显示需求。</w:t>
            </w:r>
          </w:p>
          <w:p w14:paraId="7883C9B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2）数据采集：对自动讲解涉及的景点、建筑进行数据采集。信息字段包括名称、类别、经纬度、照片、视频、简介等，支持数据初始化录入。</w:t>
            </w:r>
          </w:p>
          <w:p w14:paraId="0587CE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3）智能学习能力：支持增量学习，可自动更新景区新增知识点（如新建景点、临时活动），学习效率≥100条/小时；具备用户偏好分析能力，基于游客交互数据优化推荐策略，推荐准确率≥85%。</w:t>
            </w:r>
          </w:p>
          <w:p w14:paraId="6236CA7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4）第三方服务接入：支持接入地图服务（高德、百度、腾讯地图）、支付系统（微信支付、支付宝、甲方指定的第三方银行支付通道）、气象服务（中国天气网、墨迹天气）等第三方平台。</w:t>
            </w:r>
          </w:p>
          <w:p w14:paraId="7614E7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5.系统性能与安全</w:t>
            </w:r>
          </w:p>
          <w:p w14:paraId="4506CB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1）数据处理延迟≤3秒，支持每日10万+次交互请求。单实例支持并发对话数≥500人。具备数据加密存储功能，符合国家信息安全标准（GB/T35273-2020）。</w:t>
            </w:r>
          </w:p>
          <w:p w14:paraId="0C675A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2）升级与兼容性：支持在线平滑升级，升级过程不中断服务，新功能模块可按需扩展接入。</w:t>
            </w:r>
          </w:p>
        </w:tc>
        <w:tc>
          <w:tcPr>
            <w:tcW w:w="1095" w:type="dxa"/>
            <w:tcBorders>
              <w:top w:val="single" w:color="000000" w:sz="4" w:space="0"/>
              <w:left w:val="single" w:color="auto" w:sz="4" w:space="0"/>
              <w:bottom w:val="single" w:color="000000" w:sz="4" w:space="0"/>
              <w:right w:val="single" w:color="auto" w:sz="4" w:space="0"/>
            </w:tcBorders>
            <w:vAlign w:val="center"/>
          </w:tcPr>
          <w:p w14:paraId="1F7F045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456EB6F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350000</w:t>
            </w:r>
          </w:p>
        </w:tc>
      </w:tr>
      <w:tr w14:paraId="58DEA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8A30DC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8</w:t>
            </w:r>
          </w:p>
        </w:tc>
        <w:tc>
          <w:tcPr>
            <w:tcW w:w="981" w:type="dxa"/>
            <w:tcBorders>
              <w:top w:val="single" w:color="000000" w:sz="4" w:space="0"/>
              <w:left w:val="nil"/>
              <w:bottom w:val="single" w:color="000000" w:sz="4" w:space="0"/>
              <w:right w:val="single" w:color="000000" w:sz="4" w:space="0"/>
            </w:tcBorders>
            <w:vAlign w:val="center"/>
          </w:tcPr>
          <w:p w14:paraId="6FF2CAD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lang w:val="en-US" w:eastAsia="zh-CN"/>
                <w14:textFill>
                  <w14:solidFill>
                    <w14:schemeClr w14:val="tx1"/>
                  </w14:solidFill>
                </w14:textFill>
              </w:rPr>
              <w:t>显示屏</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3DBD3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E2D4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7C4EA6F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1.图像显示：</w:t>
            </w:r>
          </w:p>
          <w:p w14:paraId="665BE9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▲显示屏：≥86英寸高亮液晶显示屏。 </w:t>
            </w:r>
          </w:p>
          <w:p w14:paraId="755484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显示比例：16:9。</w:t>
            </w:r>
          </w:p>
          <w:p w14:paraId="33B64F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显示区域：≥1895(高)×1065（宽）（mm）</w:t>
            </w:r>
            <w:r>
              <w:rPr>
                <w:rFonts w:hint="eastAsia"/>
                <w:lang w:eastAsia="zh-CN"/>
              </w:rPr>
              <w:t>。</w:t>
            </w:r>
          </w:p>
          <w:p w14:paraId="443F897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▲分辨率：≥3840×2160</w:t>
            </w:r>
            <w:r>
              <w:rPr>
                <w:rFonts w:hint="eastAsia"/>
                <w:lang w:eastAsia="zh-CN"/>
              </w:rPr>
              <w:t>。</w:t>
            </w:r>
          </w:p>
          <w:p w14:paraId="5A2B85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可视角度：H:178°</w:t>
            </w:r>
            <w:r>
              <w:rPr>
                <w:rFonts w:hint="default"/>
                <w:color w:val="000000" w:themeColor="text1"/>
                <w:sz w:val="22"/>
                <w:szCs w:val="22"/>
                <w:vertAlign w:val="baseline"/>
                <w:lang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V:178°。</w:t>
            </w:r>
          </w:p>
          <w:p w14:paraId="4EE835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亮度：≥2000cd/㎡。</w:t>
            </w:r>
          </w:p>
          <w:p w14:paraId="0BE77E1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对比度：≥1000000：1。</w:t>
            </w:r>
          </w:p>
          <w:p w14:paraId="24EE8B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显示色彩：≥</w:t>
            </w:r>
            <w:r>
              <w:rPr>
                <w:rFonts w:hint="eastAsia" w:ascii="宋体" w:hAnsi="宋体" w:eastAsia="宋体" w:cs="宋体"/>
                <w:kern w:val="2"/>
                <w:sz w:val="24"/>
                <w:szCs w:val="24"/>
                <w:lang w:val="en-US" w:eastAsia="zh-CN" w:bidi="ar-SA"/>
              </w:rPr>
              <w:t>16.7M</w:t>
            </w:r>
            <w:r>
              <w:rPr>
                <w:rFonts w:hint="eastAsia"/>
                <w:color w:val="000000" w:themeColor="text1"/>
                <w:sz w:val="22"/>
                <w:szCs w:val="22"/>
                <w:vertAlign w:val="baseline"/>
                <w:lang w:val="en-US" w:eastAsia="zh-CN"/>
                <w14:textFill>
                  <w14:solidFill>
                    <w14:schemeClr w14:val="tx1"/>
                  </w14:solidFill>
                </w14:textFill>
              </w:rPr>
              <w:t>。</w:t>
            </w:r>
            <w:r>
              <w:rPr>
                <w:rFonts w:hint="eastAsia" w:ascii="宋体" w:hAnsi="宋体" w:eastAsia="宋体" w:cs="宋体"/>
                <w:kern w:val="2"/>
                <w:sz w:val="24"/>
                <w:szCs w:val="24"/>
                <w:lang w:val="en-US" w:eastAsia="zh-CN" w:bidi="ar-SA"/>
              </w:rPr>
              <w:t xml:space="preserve">  </w:t>
            </w:r>
          </w:p>
          <w:p w14:paraId="175B53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音频：8欧5W双喇叭，立体左右声道。</w:t>
            </w:r>
          </w:p>
          <w:p w14:paraId="57807D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输入电压：AC100-240V(50-60Hz)。</w:t>
            </w:r>
          </w:p>
          <w:p w14:paraId="5E6D87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工作温度：-20℃~50℃。</w:t>
            </w:r>
          </w:p>
          <w:p w14:paraId="6DB511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工作湿度：10%-90%无凝露。</w:t>
            </w:r>
          </w:p>
          <w:p w14:paraId="07EAB8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整机功率：＜320W。</w:t>
            </w:r>
          </w:p>
          <w:p w14:paraId="70EC1E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待机功率：＜3W。</w:t>
            </w:r>
          </w:p>
          <w:p w14:paraId="194425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外壳材质：钣金烤漆+亚克力外罩。</w:t>
            </w:r>
          </w:p>
          <w:p w14:paraId="2C30763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镜面玻璃厚度：≥6mm  透光：≥30% ，反射：≥60%。</w:t>
            </w:r>
          </w:p>
          <w:p w14:paraId="112B8D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麦克风：4阵列定向麦克。</w:t>
            </w:r>
          </w:p>
          <w:p w14:paraId="2013299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 xml:space="preserve"> </w:t>
            </w:r>
            <w:r>
              <w:rPr>
                <w:rFonts w:hint="eastAsia"/>
                <w:color w:val="000000" w:themeColor="text1"/>
                <w:sz w:val="22"/>
                <w:szCs w:val="22"/>
                <w:vertAlign w:val="baseline"/>
                <w:lang w:val="en-US" w:eastAsia="zh-CN"/>
                <w14:textFill>
                  <w14:solidFill>
                    <w14:schemeClr w14:val="tx1"/>
                  </w14:solidFill>
                </w14:textFill>
              </w:rPr>
              <w:t>2.主板参数：</w:t>
            </w:r>
          </w:p>
          <w:p w14:paraId="5CA031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主机CPU i5 6代以上。</w:t>
            </w:r>
          </w:p>
          <w:p w14:paraId="44F1C0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内存≥8G；硬盘≥128G固态硬盘：显卡：1660（6G）独显以上。</w:t>
            </w:r>
          </w:p>
          <w:p w14:paraId="26EE26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操作系统 win10。</w:t>
            </w:r>
          </w:p>
          <w:p w14:paraId="79D6019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接口 USB*2，MIC*1，DC IN*1，网口*1。</w:t>
            </w:r>
          </w:p>
        </w:tc>
        <w:tc>
          <w:tcPr>
            <w:tcW w:w="1095" w:type="dxa"/>
            <w:tcBorders>
              <w:top w:val="single" w:color="000000" w:sz="4" w:space="0"/>
              <w:left w:val="single" w:color="auto" w:sz="4" w:space="0"/>
              <w:bottom w:val="single" w:color="000000" w:sz="4" w:space="0"/>
              <w:right w:val="single" w:color="auto" w:sz="4" w:space="0"/>
            </w:tcBorders>
            <w:vAlign w:val="center"/>
          </w:tcPr>
          <w:p w14:paraId="3DD09A0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3D57866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30000</w:t>
            </w:r>
          </w:p>
        </w:tc>
      </w:tr>
      <w:tr w14:paraId="4252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7" w:hRule="atLeast"/>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D4554D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9</w:t>
            </w:r>
          </w:p>
        </w:tc>
        <w:tc>
          <w:tcPr>
            <w:tcW w:w="981" w:type="dxa"/>
            <w:tcBorders>
              <w:top w:val="single" w:color="000000" w:sz="4" w:space="0"/>
              <w:left w:val="nil"/>
              <w:bottom w:val="single" w:color="000000" w:sz="4" w:space="0"/>
              <w:right w:val="single" w:color="000000" w:sz="4" w:space="0"/>
            </w:tcBorders>
            <w:vAlign w:val="center"/>
          </w:tcPr>
          <w:p w14:paraId="42AFC8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14:textFill>
                  <w14:solidFill>
                    <w14:schemeClr w14:val="tx1"/>
                  </w14:solidFill>
                </w14:textFill>
              </w:rPr>
              <w:t>系统</w:t>
            </w:r>
            <w:r>
              <w:rPr>
                <w:rFonts w:hint="eastAsia"/>
                <w:color w:val="000000" w:themeColor="text1"/>
                <w:sz w:val="22"/>
                <w:szCs w:val="22"/>
                <w:lang w:val="en-US" w:eastAsia="zh-CN"/>
                <w14:textFill>
                  <w14:solidFill>
                    <w14:schemeClr w14:val="tx1"/>
                  </w14:solidFill>
                </w14:textFill>
              </w:rPr>
              <w:t>大模型调用、运维</w:t>
            </w:r>
          </w:p>
        </w:tc>
        <w:tc>
          <w:tcPr>
            <w:tcW w:w="459" w:type="dxa"/>
            <w:tcBorders>
              <w:top w:val="single" w:color="000000" w:sz="4" w:space="0"/>
              <w:left w:val="nil"/>
              <w:bottom w:val="single" w:color="000000" w:sz="4" w:space="0"/>
              <w:right w:val="single" w:color="000000" w:sz="4" w:space="0"/>
            </w:tcBorders>
            <w:vAlign w:val="center"/>
          </w:tcPr>
          <w:p w14:paraId="747A1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vAlign w:val="center"/>
          </w:tcPr>
          <w:p w14:paraId="3170E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1A4419A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为AI数字人、智能导览等应用提供AI大模型云服务能力，通过自然语言交互、多轮对话与意图识别，对接景区票务、导览等业务系统，为游客提供智能咨询、路线规划、服务推荐等交互服务，提升游客体验与服务效率。包含云服务器、语音识别 、语音合成、大模型调用、SSL安全证书，微信小程序认证服务等。</w:t>
            </w:r>
          </w:p>
        </w:tc>
        <w:tc>
          <w:tcPr>
            <w:tcW w:w="1095" w:type="dxa"/>
            <w:tcBorders>
              <w:top w:val="single" w:color="000000" w:sz="4" w:space="0"/>
              <w:left w:val="single" w:color="auto" w:sz="4" w:space="0"/>
              <w:bottom w:val="single" w:color="000000" w:sz="4" w:space="0"/>
              <w:right w:val="single" w:color="auto" w:sz="4" w:space="0"/>
            </w:tcBorders>
            <w:vAlign w:val="center"/>
          </w:tcPr>
          <w:p w14:paraId="532E28C1">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629404F2">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50000</w:t>
            </w:r>
          </w:p>
        </w:tc>
      </w:tr>
      <w:tr w14:paraId="68EF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78EB8B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b/>
                <w:bCs/>
                <w:color w:val="000000" w:themeColor="text1"/>
                <w:sz w:val="22"/>
                <w:szCs w:val="22"/>
                <w:vertAlign w:val="baseline"/>
                <w:lang w:val="en-US" w:eastAsia="zh-CN"/>
                <w14:textFill>
                  <w14:solidFill>
                    <w14:schemeClr w14:val="tx1"/>
                  </w14:solidFill>
                </w14:textFill>
              </w:rPr>
              <w:t>（二）无人机安防系统</w:t>
            </w:r>
          </w:p>
        </w:tc>
      </w:tr>
      <w:tr w14:paraId="2DD6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2D07ADE8">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981" w:type="dxa"/>
            <w:tcBorders>
              <w:top w:val="single" w:color="000000" w:sz="4" w:space="0"/>
              <w:left w:val="nil"/>
              <w:bottom w:val="single" w:color="000000" w:sz="4" w:space="0"/>
              <w:right w:val="single" w:color="000000" w:sz="4" w:space="0"/>
            </w:tcBorders>
            <w:vAlign w:val="center"/>
          </w:tcPr>
          <w:p w14:paraId="1CBCEBD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lang w:val="en-US" w:eastAsia="zh-CN"/>
                <w14:textFill>
                  <w14:solidFill>
                    <w14:schemeClr w14:val="tx1"/>
                  </w14:solidFill>
                </w14:textFill>
              </w:rPr>
              <w:t>无人机自动起降平台</w:t>
            </w:r>
          </w:p>
        </w:tc>
        <w:tc>
          <w:tcPr>
            <w:tcW w:w="459" w:type="dxa"/>
            <w:tcBorders>
              <w:top w:val="single" w:color="000000" w:sz="4" w:space="0"/>
              <w:left w:val="nil"/>
              <w:bottom w:val="single" w:color="000000" w:sz="4" w:space="0"/>
              <w:right w:val="single" w:color="000000" w:sz="4" w:space="0"/>
            </w:tcBorders>
            <w:vAlign w:val="center"/>
          </w:tcPr>
          <w:p w14:paraId="4B22BF7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vAlign w:val="center"/>
          </w:tcPr>
          <w:p w14:paraId="547E676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4785" w:type="dxa"/>
            <w:tcBorders>
              <w:top w:val="single" w:color="000000" w:sz="4" w:space="0"/>
              <w:left w:val="nil"/>
              <w:bottom w:val="single" w:color="000000" w:sz="4" w:space="0"/>
              <w:right w:val="single" w:color="auto" w:sz="4" w:space="0"/>
            </w:tcBorders>
            <w:vAlign w:val="center"/>
          </w:tcPr>
          <w:p w14:paraId="27281CB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1</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整机</w:t>
            </w:r>
            <w:r>
              <w:rPr>
                <w:rFonts w:hint="default" w:ascii="Times New Roman" w:hAnsi="Times New Roman" w:eastAsia="宋体" w:cs="Times New Roman"/>
                <w:lang w:val="en-US" w:eastAsia="zh-CN"/>
              </w:rPr>
              <w:t>重量：</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55kg；外形尺寸：</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长650mm×宽750mm×高800mm</w:t>
            </w:r>
            <w:r>
              <w:rPr>
                <w:rFonts w:hint="eastAsia" w:ascii="Times New Roman" w:hAnsi="Times New Roman" w:eastAsia="宋体" w:cs="Times New Roman"/>
                <w:lang w:val="en-US" w:eastAsia="zh-CN"/>
              </w:rPr>
              <w:t>。</w:t>
            </w:r>
          </w:p>
          <w:p w14:paraId="343771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工作环境：温度-30°C 至 50°C，防护等级不低于IP56，最大允许降落风速不小于6级，最大运行海拔高度不小于4500米</w:t>
            </w:r>
            <w:r>
              <w:rPr>
                <w:rFonts w:hint="eastAsia" w:ascii="Times New Roman" w:hAnsi="Times New Roman" w:eastAsia="宋体" w:cs="Times New Roman"/>
                <w:lang w:val="en-US" w:eastAsia="zh-CN"/>
              </w:rPr>
              <w:t>。</w:t>
            </w:r>
          </w:p>
          <w:p w14:paraId="5F0F4C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3</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定位与导航：RTK基站可同时接收GPS、GLONASS、BEIDOU、GALILEO四种卫星信号，支持单北斗定位模式；定位精准度水平</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1cm+1ppm（RMS），垂直</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2cm+1ppm（RMS）</w:t>
            </w:r>
            <w:r>
              <w:rPr>
                <w:rFonts w:hint="eastAsia" w:ascii="Times New Roman" w:hAnsi="Times New Roman" w:eastAsia="宋体" w:cs="Times New Roman"/>
                <w:lang w:val="en-US" w:eastAsia="zh-CN"/>
              </w:rPr>
              <w:t>。</w:t>
            </w:r>
          </w:p>
          <w:p w14:paraId="2D3D8E4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能源与传输：从15%充至95%充电时间小于30分钟，备用电池续航不少于4小时；无人机及机场间最大媒体下载速率不低于20MB/s，执行自动任务时支持边飞边传</w:t>
            </w:r>
            <w:r>
              <w:rPr>
                <w:rFonts w:hint="eastAsia" w:ascii="Times New Roman" w:hAnsi="Times New Roman" w:eastAsia="宋体" w:cs="Times New Roman"/>
                <w:lang w:val="en-US" w:eastAsia="zh-CN"/>
              </w:rPr>
              <w:t>。</w:t>
            </w:r>
          </w:p>
          <w:p w14:paraId="0022F49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5</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环境适配与部署：内置压缩机空调及风速、雨量等多类传感器，支持车载部署（长时间移动无损坏）；配备</w:t>
            </w:r>
            <w:r>
              <w:rPr>
                <w:rFonts w:hint="eastAsia"/>
                <w:color w:val="000000" w:themeColor="text1"/>
                <w:sz w:val="22"/>
                <w:szCs w:val="22"/>
                <w:vertAlign w:val="baseline"/>
                <w:lang w:val="en-US" w:eastAsia="zh-CN"/>
                <w14:textFill>
                  <w14:solidFill>
                    <w14:schemeClr w14:val="tx1"/>
                  </w14:solidFill>
                </w14:textFill>
              </w:rPr>
              <w:t>≥</w:t>
            </w:r>
            <w:r>
              <w:rPr>
                <w:rFonts w:hint="default" w:ascii="Times New Roman" w:hAnsi="Times New Roman" w:eastAsia="宋体" w:cs="Times New Roman"/>
                <w:lang w:val="en-US"/>
              </w:rPr>
              <w:t>1080P双监控相机（视角</w:t>
            </w:r>
            <w:r>
              <w:rPr>
                <w:rFonts w:hint="eastAsia"/>
                <w:color w:val="000000" w:themeColor="text1"/>
                <w:sz w:val="22"/>
                <w:szCs w:val="22"/>
                <w:vertAlign w:val="baseline"/>
                <w:lang w:val="en-US" w:eastAsia="zh-CN"/>
                <w14:textFill>
                  <w14:solidFill>
                    <w14:schemeClr w14:val="tx1"/>
                  </w14:solidFill>
                </w14:textFill>
              </w:rPr>
              <w:t>≥</w:t>
            </w:r>
            <w:r>
              <w:rPr>
                <w:rFonts w:hint="default" w:ascii="Times New Roman" w:hAnsi="Times New Roman" w:eastAsia="宋体" w:cs="Times New Roman"/>
                <w:lang w:val="en-US"/>
              </w:rPr>
              <w:t>150°，带补光），集成夜间返航引导标识灯</w:t>
            </w:r>
            <w:r>
              <w:rPr>
                <w:rFonts w:hint="eastAsia" w:ascii="Times New Roman" w:hAnsi="Times New Roman" w:eastAsia="宋体" w:cs="Times New Roman"/>
                <w:lang w:val="en-US" w:eastAsia="zh-CN"/>
              </w:rPr>
              <w:t>。</w:t>
            </w:r>
          </w:p>
          <w:p w14:paraId="6A5EF64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6</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续航时间：备用电池续航不少于4小时</w:t>
            </w:r>
            <w:r>
              <w:rPr>
                <w:rFonts w:hint="eastAsia" w:ascii="Times New Roman" w:hAnsi="Times New Roman" w:eastAsia="宋体" w:cs="Times New Roman"/>
                <w:lang w:val="en-US" w:eastAsia="zh-CN"/>
              </w:rPr>
              <w:t>。</w:t>
            </w:r>
          </w:p>
          <w:p w14:paraId="753F27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7</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智能功能：下达任务后15秒内完成起飞，支持违建查处、耕地保护自动对比检测；集成告警系统，异常时可自动发送短信告警，支持手机APP部署调试及软件平台私有化部署</w:t>
            </w:r>
            <w:r>
              <w:rPr>
                <w:rFonts w:hint="eastAsia" w:ascii="Times New Roman" w:hAnsi="Times New Roman" w:eastAsia="宋体" w:cs="Times New Roman"/>
                <w:lang w:val="en-US" w:eastAsia="zh-CN"/>
              </w:rPr>
              <w:t>。</w:t>
            </w:r>
          </w:p>
          <w:p w14:paraId="293904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8</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扩展能力：具备边缘计算模块接口，支持二次开发及现有软件平台对接，配备蜂窝模块可通过4G接入网络。</w:t>
            </w:r>
          </w:p>
          <w:p w14:paraId="5EA866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9</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含平台部署安装、调试。</w:t>
            </w:r>
          </w:p>
          <w:p w14:paraId="748147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10</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提供不少于3年的机场基座设备保险，因非产品问题导致的付费维修，累计享有与设备主体等价值的免费维修额度，不限次数；支持多台设备额度共享服务。</w:t>
            </w:r>
          </w:p>
          <w:p w14:paraId="5BD1CB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22A1F38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0B2A7B80">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279000</w:t>
            </w:r>
          </w:p>
        </w:tc>
      </w:tr>
      <w:tr w14:paraId="19379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DD4A492">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981" w:type="dxa"/>
            <w:tcBorders>
              <w:top w:val="single" w:color="000000" w:sz="4" w:space="0"/>
              <w:left w:val="nil"/>
              <w:bottom w:val="single" w:color="000000" w:sz="4" w:space="0"/>
              <w:right w:val="single" w:color="000000" w:sz="4" w:space="0"/>
            </w:tcBorders>
            <w:vAlign w:val="center"/>
          </w:tcPr>
          <w:p w14:paraId="4BF45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cs="Times New Roman"/>
                <w:color w:val="000000" w:themeColor="text1"/>
                <w:sz w:val="22"/>
                <w:szCs w:val="22"/>
                <w:vertAlign w:val="baseline"/>
                <w:lang w:val="en-US" w:eastAsia="zh-CN"/>
                <w14:textFill>
                  <w14:solidFill>
                    <w14:schemeClr w14:val="tx1"/>
                  </w14:solidFill>
                </w14:textFill>
              </w:rPr>
              <w:t>红外热成像</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多旋翼无人机及负载</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456295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0C471C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w:t>
            </w:r>
          </w:p>
        </w:tc>
        <w:tc>
          <w:tcPr>
            <w:tcW w:w="4785" w:type="dxa"/>
            <w:tcBorders>
              <w:top w:val="single" w:color="000000" w:sz="4" w:space="0"/>
              <w:left w:val="nil"/>
              <w:bottom w:val="single" w:color="000000" w:sz="4" w:space="0"/>
              <w:right w:val="single" w:color="auto" w:sz="4" w:space="0"/>
            </w:tcBorders>
            <w:vAlign w:val="center"/>
          </w:tcPr>
          <w:p w14:paraId="1EBACA7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1.无人机主体参数</w:t>
            </w:r>
          </w:p>
          <w:p w14:paraId="413D32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1）重量与尺寸：起飞重量（含基础配件）≤1850g，最大起飞重量≥2000g；</w:t>
            </w:r>
          </w:p>
          <w:p w14:paraId="1144B62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●2）飞行性能：最大信号有效距离≥25km，最长飞行时间≥50分钟，最大抗风速≥12m/s；最大起飞海拔高度≥6500米，工作环境温度-20℃ 至 50℃，防护等级不低于IP55。（投标文件提供</w:t>
            </w:r>
            <w:r>
              <w:rPr>
                <w:rFonts w:hint="eastAsia"/>
                <w:lang w:eastAsia="zh-CN"/>
              </w:rPr>
              <w:t>第三方检测机构出具的检测报告复印件</w:t>
            </w:r>
            <w:r>
              <w:rPr>
                <w:rFonts w:hint="eastAsia"/>
                <w:lang w:val="en-US" w:eastAsia="zh-CN"/>
              </w:rPr>
              <w:t>或制造商官网产品的截图说明或产品相关技术文件</w:t>
            </w:r>
            <w:r>
              <w:rPr>
                <w:rFonts w:hint="eastAsia"/>
                <w:lang w:eastAsia="zh-CN"/>
              </w:rPr>
              <w:t>复印件</w:t>
            </w:r>
            <w:r>
              <w:rPr>
                <w:rFonts w:hint="eastAsia"/>
                <w:lang w:val="en-US" w:eastAsia="zh-CN"/>
              </w:rPr>
              <w:t>，证明材料需完整体现</w:t>
            </w:r>
            <w:r>
              <w:rPr>
                <w:rFonts w:hint="eastAsia"/>
                <w:lang w:eastAsia="zh-CN"/>
              </w:rPr>
              <w:t>满足本项技术要求，加盖投标人公章</w:t>
            </w:r>
            <w:r>
              <w:rPr>
                <w:rFonts w:hint="eastAsia"/>
                <w:lang w:val="en-US" w:eastAsia="zh-CN"/>
              </w:rPr>
              <w:t>）</w:t>
            </w:r>
          </w:p>
          <w:p w14:paraId="253797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3）定位与避障：支持。GPS+BeiDou+Galileo+GLONASS系统及单北斗定位模式；RTK模块集成于机身，RTK定位垂直≤0.1m、水平≤0.1m；全向双目视觉避障，下方配备三维红外传感器，可自动避障。</w:t>
            </w:r>
          </w:p>
          <w:p w14:paraId="5B3F16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4）飞行控制：配合遥控器最大上升≥10m/s、下降≥8m/s、水平≥20m/s；配合机场最大上升≥6m/s、下降≥6m/s、水平≥20m/s。</w:t>
            </w:r>
          </w:p>
          <w:p w14:paraId="2BB47F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▲2.云台相机与负载</w:t>
            </w:r>
          </w:p>
          <w:p w14:paraId="63688A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1）相机配置：集成长焦、中长焦、广角可见光及红外热成像相机；广角/中长焦相机CMOS≥1/1.3英寸，长焦相机CMOS≥1/1.5英寸，有效像素均不低于4800万。</w:t>
            </w:r>
          </w:p>
          <w:p w14:paraId="18CC38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2）变焦与夜视：可见光变焦不低于112倍，红外支持28倍数码变焦及与可见光联动变焦；支持全彩夜视、黑白夜视模式，配备近红外补光灯。</w:t>
            </w:r>
          </w:p>
          <w:p w14:paraId="399710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3）红外与测距：红外传感器分辨率≥640*512（超分模式≥1280*1024），帧率30Hz，支持点测温和区域测温；激光测距最远正入射量程≥1800m。</w:t>
            </w:r>
          </w:p>
          <w:p w14:paraId="21A53E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4）稳定与录制：三轴机械增稳云台（俯仰-90°至90°调节），可见光相机支持4K30P视频录制。</w:t>
            </w:r>
          </w:p>
          <w:p w14:paraId="75EC72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3.软件与配件</w:t>
            </w:r>
          </w:p>
          <w:p w14:paraId="68CFD4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1）软件功能：支持空中中继、多种航线作业模式。</w:t>
            </w:r>
          </w:p>
          <w:p w14:paraId="1966BF3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2）可见光数据可添加位置时间水印及激光测距数据；具备民航客机ADS-B预警、人/车/船AI识别、一键全景功能。</w:t>
            </w:r>
          </w:p>
          <w:p w14:paraId="5D5CD41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▲3）配件要求：避障雷达重量≤230g（IP55），可对12mm导线有效避障。</w:t>
            </w:r>
          </w:p>
          <w:p w14:paraId="63AA4D5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4）支持同时挂载喊话器（≤95g，IP55）和探照灯（≤103g，IP55）；</w:t>
            </w:r>
          </w:p>
          <w:p w14:paraId="698D34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5）开放能力：提供SDK支持无人机控制APP开发，API支持信息云端同步，机载算力开放满足目标检测需求。</w:t>
            </w:r>
          </w:p>
          <w:p w14:paraId="553AB7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eastAsia"/>
                <w:lang w:val="en-US" w:eastAsia="zh-CN"/>
              </w:rPr>
              <w:t>▲4.配套设备</w:t>
            </w:r>
          </w:p>
          <w:p w14:paraId="57E3E8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1）含主用电池1块，备用电池≥3块。</w:t>
            </w:r>
          </w:p>
          <w:p w14:paraId="523A50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2）含适配无人机喊话器1台；支持实时喊话、录音喊话并支持回声抑制功能，支持喊话器与探照灯二合一使用。</w:t>
            </w:r>
          </w:p>
          <w:p w14:paraId="72CB97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eastAsia"/>
                <w:lang w:val="en-US" w:eastAsia="zh-CN"/>
              </w:rPr>
              <w:t>3）含适配无人机探照灯1台。支持常亮与爆闪模式、支持与云台智能联动、广视野照明模式，支持喊话器与探照灯二合一使用。</w:t>
            </w:r>
          </w:p>
          <w:p w14:paraId="1369F4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▲5.其他</w:t>
            </w:r>
          </w:p>
          <w:p w14:paraId="7FA70E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1）为保证设备正常使用，提供工程师上门安装部署、进行首次使用，激活，操作培训，软件培训，日常维护等。确保相关使用人员人熟练掌握全部功能和运维技巧，以便开展后期运维工作。</w:t>
            </w:r>
          </w:p>
          <w:p w14:paraId="75DA8A3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default"/>
                <w:lang w:val="en-US" w:eastAsia="zh-CN"/>
              </w:rPr>
              <w:t>2）提供不少于3年的飞行器保险，因非产品问题导致的付费维修，累计享有与</w:t>
            </w:r>
            <w:r>
              <w:rPr>
                <w:rFonts w:hint="eastAsia"/>
                <w:lang w:val="en-US" w:eastAsia="zh-CN"/>
              </w:rPr>
              <w:t>设备</w:t>
            </w:r>
            <w:r>
              <w:rPr>
                <w:rFonts w:hint="default"/>
                <w:lang w:val="en-US" w:eastAsia="zh-CN"/>
              </w:rPr>
              <w:t>主体等价值的免费维修额度，不限次数</w:t>
            </w:r>
            <w:r>
              <w:rPr>
                <w:rFonts w:hint="eastAsia"/>
                <w:lang w:val="en-US" w:eastAsia="zh-CN"/>
              </w:rPr>
              <w:t>；</w:t>
            </w:r>
            <w:r>
              <w:rPr>
                <w:rFonts w:hint="default"/>
                <w:lang w:val="en-US" w:eastAsia="zh-CN"/>
              </w:rPr>
              <w:t>支持多台设备额度共享服务</w:t>
            </w:r>
            <w:r>
              <w:rPr>
                <w:rFonts w:hint="eastAsia"/>
                <w:lang w:val="en-US" w:eastAsia="zh-CN"/>
              </w:rPr>
              <w:t>。提供不少于3年的飞行器</w:t>
            </w:r>
            <w:r>
              <w:rPr>
                <w:rFonts w:hint="default"/>
                <w:lang w:val="en-US" w:eastAsia="zh-CN"/>
              </w:rPr>
              <w:t>第三责任险（100万保额）。</w:t>
            </w:r>
          </w:p>
          <w:p w14:paraId="3C7EBE6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s="Times New Roman"/>
                <w:lang w:val="en-US" w:eastAsia="zh-CN"/>
              </w:rPr>
            </w:pPr>
            <w:r>
              <w:rPr>
                <w:rFonts w:hint="eastAsia"/>
                <w:lang w:val="en-US" w:eastAsia="zh-CN"/>
              </w:rPr>
              <w:t>6.质保期：不少于3年。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67056A7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1EB084CC">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161000</w:t>
            </w:r>
          </w:p>
        </w:tc>
      </w:tr>
      <w:tr w14:paraId="79CD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016BDA0">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2C2BD84F">
            <w:pPr>
              <w:keepNext w:val="0"/>
              <w:keepLines w:val="0"/>
              <w:suppressLineNumbers w:val="0"/>
              <w:bidi w:val="0"/>
              <w:spacing w:before="0" w:beforeAutospacing="0" w:after="0" w:afterAutospacing="0"/>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p w14:paraId="465C1D55">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57FBE174">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5820F30A">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74B411C1">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tc>
        <w:tc>
          <w:tcPr>
            <w:tcW w:w="981" w:type="dxa"/>
            <w:tcBorders>
              <w:top w:val="single" w:color="000000" w:sz="4" w:space="0"/>
              <w:left w:val="nil"/>
              <w:bottom w:val="single" w:color="000000" w:sz="4" w:space="0"/>
              <w:right w:val="single" w:color="000000" w:sz="4" w:space="0"/>
            </w:tcBorders>
            <w:vAlign w:val="center"/>
          </w:tcPr>
          <w:p w14:paraId="67C03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宋体" w:hAnsi="宋体" w:cs="宋体"/>
                <w:color w:val="000000"/>
                <w:kern w:val="0"/>
                <w:sz w:val="21"/>
                <w:szCs w:val="21"/>
                <w:lang w:bidi="ar"/>
              </w:rPr>
              <w:t>可见光多旋翼无人机</w:t>
            </w:r>
            <w:r>
              <w:rPr>
                <w:rFonts w:hint="eastAsia" w:ascii="宋体" w:hAnsi="宋体" w:cs="宋体"/>
                <w:color w:val="000000"/>
                <w:kern w:val="0"/>
                <w:sz w:val="21"/>
                <w:szCs w:val="21"/>
                <w:lang w:val="en-US" w:eastAsia="zh-CN" w:bidi="ar"/>
              </w:rPr>
              <w:t>及负载</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D7FC377">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ABD25FB">
            <w:pPr>
              <w:keepNext w:val="0"/>
              <w:keepLines w:val="0"/>
              <w:suppressLineNumbers w:val="0"/>
              <w:spacing w:before="0" w:beforeAutospacing="0" w:after="0" w:afterAutospacing="0" w:line="360" w:lineRule="auto"/>
              <w:ind w:left="0" w:leftChars="0" w:right="0" w:rightChars="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14A6C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1.重量与尺寸：起飞重量（含基础配件）≤1850g，最大起飞重量≥2000g</w:t>
            </w:r>
            <w:r>
              <w:rPr>
                <w:rFonts w:hint="eastAsia" w:cs="Times New Roman"/>
                <w:lang w:val="en-US" w:eastAsia="zh-CN"/>
              </w:rPr>
              <w:t>。</w:t>
            </w:r>
          </w:p>
          <w:p w14:paraId="63A18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2.飞行性能：最大信号有效距离≥25km，最长飞行时间≥50分钟，最大抗风速≥12m/s；最大起飞海拔高度≥6500米，</w:t>
            </w:r>
            <w:r>
              <w:rPr>
                <w:rFonts w:hint="default" w:ascii="仿宋" w:hAnsi="仿宋" w:cs="Times New Roman"/>
                <w:color w:val="auto"/>
                <w:kern w:val="2"/>
                <w:sz w:val="22"/>
                <w:szCs w:val="22"/>
                <w:lang w:bidi="ar"/>
              </w:rPr>
              <w:t>最大水平飞行速度≥20m/s</w:t>
            </w:r>
            <w:r>
              <w:rPr>
                <w:rFonts w:hint="eastAsia" w:ascii="仿宋" w:hAnsi="仿宋" w:cs="Times New Roman"/>
                <w:color w:val="auto"/>
                <w:kern w:val="2"/>
                <w:sz w:val="22"/>
                <w:szCs w:val="22"/>
                <w:lang w:eastAsia="zh-CN" w:bidi="ar"/>
              </w:rPr>
              <w:t>，</w:t>
            </w:r>
            <w:r>
              <w:rPr>
                <w:rFonts w:hint="eastAsia"/>
                <w:color w:val="000000" w:themeColor="text1"/>
                <w:sz w:val="22"/>
                <w:szCs w:val="22"/>
                <w:vertAlign w:val="baseline"/>
                <w:lang w:val="en-US" w:eastAsia="zh-CN"/>
                <w14:textFill>
                  <w14:solidFill>
                    <w14:schemeClr w14:val="tx1"/>
                  </w14:solidFill>
                </w14:textFill>
              </w:rPr>
              <w:t>工作环境温度-20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至50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，防护等级不低于IP55。（投标文件提供第三方检测机构出具的检测报告复印件或制造商官网产品的截图说明或产品相关技术文件复印件，证明材料需完整体现满足本项技术要求，加盖投标人公章）</w:t>
            </w:r>
          </w:p>
          <w:p w14:paraId="6DFB9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2"/>
                <w:szCs w:val="22"/>
                <w:lang w:eastAsia="zh-CN" w:bidi="ar"/>
              </w:rPr>
            </w:pPr>
            <w:r>
              <w:rPr>
                <w:rFonts w:hint="eastAsia"/>
                <w:color w:val="000000" w:themeColor="text1"/>
                <w:sz w:val="22"/>
                <w:szCs w:val="22"/>
                <w:vertAlign w:val="baseline"/>
                <w:lang w:val="en-US" w:eastAsia="zh-CN"/>
                <w14:textFill>
                  <w14:solidFill>
                    <w14:schemeClr w14:val="tx1"/>
                  </w14:solidFill>
                </w14:textFill>
              </w:rPr>
              <w:t>3.</w:t>
            </w:r>
            <w:r>
              <w:rPr>
                <w:rFonts w:hint="default"/>
                <w:color w:val="000000" w:themeColor="text1"/>
                <w:sz w:val="22"/>
                <w:szCs w:val="22"/>
                <w:vertAlign w:val="baseline"/>
                <w:lang w:val="en-US" w:eastAsia="zh-CN"/>
                <w14:textFill>
                  <w14:solidFill>
                    <w14:schemeClr w14:val="tx1"/>
                  </w14:solidFill>
                </w14:textFill>
              </w:rPr>
              <w:t>GNSS定位悬停精度：垂直</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0.5 m，水平</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0.5m</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RTK定位悬停精度：垂直</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0.1 m，水平</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0.1m</w:t>
            </w:r>
            <w:r>
              <w:rPr>
                <w:rFonts w:hint="eastAsia" w:cs="Times New Roman"/>
                <w:lang w:val="en-US" w:eastAsia="zh-CN"/>
              </w:rPr>
              <w:t>。</w:t>
            </w:r>
            <w:r>
              <w:rPr>
                <w:rFonts w:hint="default"/>
                <w:color w:val="000000" w:themeColor="text1"/>
                <w:sz w:val="22"/>
                <w:szCs w:val="22"/>
                <w:vertAlign w:val="baseline"/>
                <w:lang w:val="en-US" w:eastAsia="zh-CN"/>
                <w14:textFill>
                  <w14:solidFill>
                    <w14:schemeClr w14:val="tx1"/>
                  </w14:solidFill>
                </w14:textFill>
              </w:rPr>
              <w:br w:type="textWrapping"/>
            </w:r>
            <w:r>
              <w:rPr>
                <w:rFonts w:hint="eastAsia"/>
                <w:color w:val="000000" w:themeColor="text1"/>
                <w:sz w:val="22"/>
                <w:szCs w:val="22"/>
                <w:vertAlign w:val="baseline"/>
                <w:lang w:val="en-US" w:eastAsia="zh-CN"/>
                <w14:textFill>
                  <w14:solidFill>
                    <w14:schemeClr w14:val="tx1"/>
                  </w14:solidFill>
                </w14:textFill>
              </w:rPr>
              <w:t>▲4.</w:t>
            </w:r>
            <w:r>
              <w:rPr>
                <w:rFonts w:hint="default"/>
                <w:color w:val="000000" w:themeColor="text1"/>
                <w:sz w:val="22"/>
                <w:szCs w:val="22"/>
                <w:vertAlign w:val="baseline"/>
                <w:lang w:val="en-US" w:eastAsia="zh-CN"/>
                <w14:textFill>
                  <w14:solidFill>
                    <w14:schemeClr w14:val="tx1"/>
                  </w14:solidFill>
                </w14:textFill>
              </w:rPr>
              <w:t>相机类型：</w:t>
            </w:r>
            <w:r>
              <w:rPr>
                <w:rFonts w:hint="eastAsia"/>
                <w:color w:val="000000" w:themeColor="text1"/>
                <w:sz w:val="22"/>
                <w:szCs w:val="22"/>
                <w:vertAlign w:val="baseline"/>
                <w:lang w:val="en-US" w:eastAsia="zh-CN"/>
                <w14:textFill>
                  <w14:solidFill>
                    <w14:schemeClr w14:val="tx1"/>
                  </w14:solidFill>
                </w14:textFill>
              </w:rPr>
              <w:t>集成</w:t>
            </w:r>
            <w:r>
              <w:rPr>
                <w:rFonts w:hint="default"/>
                <w:color w:val="000000" w:themeColor="text1"/>
                <w:sz w:val="22"/>
                <w:szCs w:val="22"/>
                <w:vertAlign w:val="baseline"/>
                <w:lang w:val="en-US" w:eastAsia="zh-CN"/>
                <w14:textFill>
                  <w14:solidFill>
                    <w14:schemeClr w14:val="tx1"/>
                  </w14:solidFill>
                </w14:textFill>
              </w:rPr>
              <w:t>长焦可</w:t>
            </w:r>
            <w:r>
              <w:rPr>
                <w:rFonts w:hint="default" w:ascii="仿宋" w:hAnsi="仿宋" w:cs="Times New Roman"/>
                <w:color w:val="auto"/>
                <w:kern w:val="2"/>
                <w:sz w:val="22"/>
                <w:szCs w:val="22"/>
                <w:lang w:bidi="ar"/>
              </w:rPr>
              <w:t>见光、中长焦可见光、广角可见</w:t>
            </w:r>
            <w:r>
              <w:rPr>
                <w:rFonts w:hint="default" w:ascii="宋体" w:hAnsi="宋体" w:eastAsia="宋体" w:cs="宋体"/>
                <w:color w:val="auto"/>
                <w:kern w:val="2"/>
                <w:sz w:val="22"/>
                <w:szCs w:val="22"/>
                <w:lang w:bidi="ar"/>
              </w:rPr>
              <w:t>光相机</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val="en-US" w:eastAsia="zh-CN" w:bidi="ar"/>
              </w:rPr>
              <w:t>配备可见多光谱相机：</w:t>
            </w:r>
            <w:r>
              <w:rPr>
                <w:rFonts w:hint="default" w:ascii="宋体" w:hAnsi="宋体" w:eastAsia="宋体" w:cs="宋体"/>
                <w:color w:val="auto"/>
                <w:kern w:val="2"/>
                <w:sz w:val="22"/>
                <w:szCs w:val="22"/>
                <w:lang w:bidi="ar"/>
              </w:rPr>
              <w:br w:type="textWrapping"/>
            </w:r>
            <w:r>
              <w:rPr>
                <w:rFonts w:hint="eastAsia" w:ascii="宋体" w:hAnsi="宋体" w:eastAsia="宋体" w:cs="宋体"/>
                <w:color w:val="auto"/>
                <w:kern w:val="2"/>
                <w:sz w:val="22"/>
                <w:szCs w:val="22"/>
                <w:lang w:val="en-US" w:eastAsia="zh-CN" w:bidi="ar"/>
              </w:rPr>
              <w:t xml:space="preserve"> </w:t>
            </w:r>
            <w:r>
              <w:rPr>
                <w:rFonts w:hint="eastAsia" w:ascii="宋体" w:hAnsi="宋体" w:eastAsia="宋体" w:cs="宋体"/>
                <w:color w:val="auto"/>
                <w:kern w:val="2"/>
                <w:sz w:val="22"/>
                <w:szCs w:val="22"/>
                <w:lang w:eastAsia="zh-CN" w:bidi="ar"/>
              </w:rPr>
              <w:t>1</w:t>
            </w:r>
            <w:r>
              <w:rPr>
                <w:rFonts w:hint="default" w:ascii="宋体" w:hAnsi="宋体" w:eastAsia="宋体" w:cs="宋体"/>
                <w:color w:val="auto"/>
                <w:kern w:val="2"/>
                <w:sz w:val="22"/>
                <w:szCs w:val="22"/>
                <w:lang w:bidi="ar"/>
              </w:rPr>
              <w:t>）广角相机</w:t>
            </w:r>
            <w:r>
              <w:rPr>
                <w:rFonts w:hint="eastAsia" w:ascii="宋体" w:hAnsi="宋体" w:eastAsia="宋体" w:cs="宋体"/>
                <w:color w:val="auto"/>
                <w:kern w:val="2"/>
                <w:sz w:val="22"/>
                <w:szCs w:val="22"/>
                <w:lang w:bidi="ar"/>
              </w:rPr>
              <w:t>：CMOS不低于4/3英寸，相机像素不低于2000W</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中长焦相机：CMOS不低于1/1.3英寸，像素数不低于4800万</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长焦相机：CMOS不低于1/1.5英寸：像素数不低于4800万</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可见光相机变焦倍数：不低于112倍</w:t>
            </w:r>
            <w:r>
              <w:rPr>
                <w:rFonts w:hint="eastAsia" w:ascii="宋体" w:hAnsi="宋体" w:eastAsia="宋体" w:cs="宋体"/>
                <w:color w:val="auto"/>
                <w:kern w:val="2"/>
                <w:sz w:val="22"/>
                <w:szCs w:val="22"/>
                <w:lang w:eastAsia="zh-CN" w:bidi="ar"/>
              </w:rPr>
              <w:t>。</w:t>
            </w:r>
          </w:p>
          <w:p w14:paraId="37973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2"/>
                <w:szCs w:val="22"/>
                <w:lang w:eastAsia="zh-CN" w:bidi="ar"/>
              </w:rPr>
            </w:pPr>
            <w:r>
              <w:rPr>
                <w:rFonts w:hint="eastAsia" w:ascii="宋体" w:hAnsi="宋体" w:cs="宋体"/>
                <w:color w:val="auto"/>
                <w:kern w:val="2"/>
                <w:sz w:val="22"/>
                <w:szCs w:val="22"/>
                <w:lang w:val="en-US" w:eastAsia="zh-CN" w:bidi="ar"/>
              </w:rPr>
              <w:t>2）</w:t>
            </w:r>
            <w:r>
              <w:rPr>
                <w:rFonts w:hint="eastAsia" w:ascii="宋体" w:hAnsi="宋体" w:eastAsia="宋体" w:cs="宋体"/>
                <w:color w:val="auto"/>
                <w:kern w:val="2"/>
                <w:sz w:val="22"/>
                <w:szCs w:val="22"/>
                <w:lang w:bidi="ar"/>
              </w:rPr>
              <w:t>无人机多光谱挂载镜头</w:t>
            </w:r>
            <w:r>
              <w:rPr>
                <w:rFonts w:hint="eastAsia" w:ascii="宋体" w:hAnsi="宋体" w:eastAsia="宋体" w:cs="宋体"/>
                <w:color w:val="auto"/>
                <w:kern w:val="2"/>
                <w:sz w:val="22"/>
                <w:szCs w:val="22"/>
                <w:lang w:eastAsia="zh-CN" w:bidi="ar"/>
              </w:rPr>
              <w:t>：</w:t>
            </w:r>
          </w:p>
          <w:p w14:paraId="5DC19FC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16" w:firstLineChars="2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组配方式：5波段成像多光谱；靶面大小：1/2.3″；有效像素</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1200万；快门类型：卷帘快门；量化位数</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12bit；视场：47.5°×36.5°；最高原始分辨率</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2.6cm@h120m；覆盖宽度</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105m×79m@h120m；DLS内置；</w:t>
            </w:r>
          </w:p>
          <w:p w14:paraId="2310A55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208" w:firstLineChars="1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光谱波段：450nm@30nm,555nm@27nm,660nm@22nm,720nm@10nm,840nm@30nm；图片存储格式：16bit原始TIFF；图片分辨率</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4056×3040；存储介质</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64GB内置；触发方式：定时触发、重叠率触发；拍摄频率≤2s；</w:t>
            </w:r>
          </w:p>
          <w:p w14:paraId="7EC6AC7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16" w:firstLineChars="2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主机尺寸：≤197mm×93mm×62mm；整机重量：≤300g（含天线）；</w:t>
            </w:r>
          </w:p>
          <w:p w14:paraId="0844979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 xml:space="preserve">   工作环境温度：-10℃~+45℃(相对风速≥1m/s)；存储环境温度：-30℃~+70℃；环境湿度：RH(%)≤85%(非结露)。</w:t>
            </w:r>
          </w:p>
          <w:p w14:paraId="2AE121F8">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ascii="仿宋" w:hAnsi="仿宋" w:cs="Times New Roman"/>
                <w:color w:val="auto"/>
                <w:kern w:val="2"/>
                <w:sz w:val="22"/>
                <w:szCs w:val="22"/>
                <w:lang w:bidi="ar"/>
              </w:rPr>
              <w:t>▲</w:t>
            </w:r>
            <w:r>
              <w:rPr>
                <w:rFonts w:hint="eastAsia" w:ascii="仿宋" w:hAnsi="仿宋" w:cs="Times New Roman"/>
                <w:color w:val="auto"/>
                <w:kern w:val="2"/>
                <w:sz w:val="22"/>
                <w:szCs w:val="22"/>
                <w:lang w:val="en-US" w:eastAsia="zh-CN" w:bidi="ar"/>
              </w:rPr>
              <w:t>5.</w:t>
            </w:r>
            <w:r>
              <w:rPr>
                <w:rFonts w:hint="eastAsia" w:cs="Times New Roman"/>
                <w:color w:val="auto"/>
                <w:spacing w:val="-6"/>
                <w:kern w:val="2"/>
                <w:sz w:val="22"/>
                <w:szCs w:val="22"/>
                <w:lang w:val="en-US" w:eastAsia="zh-CN" w:bidi="ar"/>
              </w:rPr>
              <w:t>配件：</w:t>
            </w:r>
          </w:p>
          <w:p w14:paraId="465AEF52">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含主用电池1块，备用电池≥3块。</w:t>
            </w:r>
          </w:p>
          <w:p w14:paraId="4EC81270">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4G图传模块1套，支持设备接入 4G 网络，实现设备联网、增强图传等功能</w:t>
            </w:r>
          </w:p>
          <w:p w14:paraId="6611C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ascii="仿宋" w:hAnsi="仿宋" w:cs="Times New Roman"/>
                <w:color w:val="auto"/>
                <w:kern w:val="2"/>
                <w:sz w:val="22"/>
                <w:szCs w:val="22"/>
                <w:lang w:bidi="ar"/>
              </w:rPr>
              <w:t>▲</w:t>
            </w:r>
            <w:r>
              <w:rPr>
                <w:rFonts w:hint="eastAsia"/>
                <w:color w:val="000000" w:themeColor="text1"/>
                <w:sz w:val="22"/>
                <w:szCs w:val="22"/>
                <w:vertAlign w:val="baseline"/>
                <w:lang w:val="en-US" w:eastAsia="zh-CN"/>
                <w14:textFill>
                  <w14:solidFill>
                    <w14:schemeClr w14:val="tx1"/>
                  </w14:solidFill>
                </w14:textFill>
              </w:rPr>
              <w:t>6.其他</w:t>
            </w:r>
          </w:p>
          <w:p w14:paraId="29742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 1）为保证设备正常使用，提供工程师上门安装部署、进行首次使用，激活，操作培训，软件培训，日常维护等。确保相关使用人员人熟练掌握全部功能和运维技巧，以便开展后期运维工作。</w:t>
            </w:r>
          </w:p>
          <w:p w14:paraId="1A75C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2）提供不少于3年的飞行器保险，因非产品问题导致的付费维修，累计享有与</w:t>
            </w:r>
            <w:r>
              <w:rPr>
                <w:rFonts w:hint="eastAsia"/>
                <w:color w:val="000000" w:themeColor="text1"/>
                <w:sz w:val="22"/>
                <w:szCs w:val="22"/>
                <w:vertAlign w:val="baseline"/>
                <w:lang w:val="en-US" w:eastAsia="zh-CN"/>
                <w14:textFill>
                  <w14:solidFill>
                    <w14:schemeClr w14:val="tx1"/>
                  </w14:solidFill>
                </w14:textFill>
              </w:rPr>
              <w:t>设备</w:t>
            </w:r>
            <w:r>
              <w:rPr>
                <w:rFonts w:hint="default"/>
                <w:color w:val="000000" w:themeColor="text1"/>
                <w:sz w:val="22"/>
                <w:szCs w:val="22"/>
                <w:vertAlign w:val="baseline"/>
                <w:lang w:val="en-US" w:eastAsia="zh-CN"/>
                <w14:textFill>
                  <w14:solidFill>
                    <w14:schemeClr w14:val="tx1"/>
                  </w14:solidFill>
                </w14:textFill>
              </w:rPr>
              <w:t>主体等价值的免费维修额度，不限次数</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支持多台设备额度共享服务。提供不少于3年的飞行器第三责任险（100万保额）。</w:t>
            </w:r>
          </w:p>
          <w:p w14:paraId="2A4501B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color w:val="auto"/>
                <w:sz w:val="22"/>
                <w:szCs w:val="22"/>
                <w:vertAlign w:val="baseline"/>
                <w:lang w:val="en-US" w:eastAsia="zh-CN"/>
              </w:rPr>
            </w:pPr>
            <w:r>
              <w:rPr>
                <w:rFonts w:hint="default" w:cs="Times New Roman"/>
                <w:color w:val="auto"/>
                <w:sz w:val="22"/>
                <w:szCs w:val="22"/>
                <w:lang w:val="en-US" w:eastAsia="zh-CN"/>
              </w:rPr>
              <w:t>7.质保期：不少于3年。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615F6301">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D49E1F8">
            <w:pPr>
              <w:keepNext w:val="0"/>
              <w:keepLines w:val="0"/>
              <w:suppressLineNumbers w:val="0"/>
              <w:spacing w:before="0" w:beforeAutospacing="0" w:after="0" w:afterAutospacing="0"/>
              <w:ind w:left="0" w:leftChars="0" w:right="0" w:rightChars="0"/>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115000</w:t>
            </w:r>
          </w:p>
        </w:tc>
      </w:tr>
      <w:tr w14:paraId="349C2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F8B8AEF">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981" w:type="dxa"/>
            <w:tcBorders>
              <w:top w:val="single" w:color="000000" w:sz="4" w:space="0"/>
              <w:left w:val="nil"/>
              <w:bottom w:val="single" w:color="000000" w:sz="4" w:space="0"/>
              <w:right w:val="single" w:color="000000" w:sz="4" w:space="0"/>
            </w:tcBorders>
            <w:vAlign w:val="center"/>
          </w:tcPr>
          <w:p w14:paraId="24F996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AI智能感知平台</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41383A0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2FEA79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79433D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1.可视化大屏 GIS 地图模块</w:t>
            </w:r>
          </w:p>
          <w:p w14:paraId="43E15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基于全域 GIS 地图底座，打造全景式指挥中枢，实现景区全局状态一屏掌握：</w:t>
            </w:r>
          </w:p>
          <w:p w14:paraId="04109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多维度数据可视化：集成机场分布热力图、综合作业数据统计、飞行任务进度、设备健康状态等核心指标，实时告警事件以弹窗 + 闪烁标识同步推送，异常风险一目了然。</w:t>
            </w:r>
          </w:p>
          <w:p w14:paraId="7DFEC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高精度地理信息叠加：支持倾斜摄影三维模型、正射影像、SHP/KML/KMZ 矢量文件、全景图及景区专属标注（如景点、步道、防护区）的多层级叠加，精准还原景区地形地貌与空间布局。</w:t>
            </w:r>
          </w:p>
          <w:p w14:paraId="4D005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低空态势感知：融合无人机/机场实时位置、飞行轨迹、禁飞区预警等动态信息，结合黑飞侦测分析、电子围栏管理，构建全域低空安全防控网。</w:t>
            </w:r>
          </w:p>
          <w:p w14:paraId="73181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2.视频直播模块</w:t>
            </w:r>
          </w:p>
          <w:p w14:paraId="3CA19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构建“云端-现场-移动端”多端协同的视频监控体系，实时同步作业场景：</w:t>
            </w:r>
          </w:p>
          <w:p w14:paraId="3DA62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双场景高清直播：支持机场全景监控与无人机机载画面双路实时直播，同步反馈设备运行状态与作业现场细节，画面延迟≤2秒。</w:t>
            </w:r>
          </w:p>
          <w:p w14:paraId="2F7C8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多终端协同联动：直播画面一键推送至移动端，用户可通过手机查看实时图传，并基于地图导航前往作业点位，实现“远端指挥-现场响应”无缝衔接。</w:t>
            </w:r>
          </w:p>
          <w:p w14:paraId="4D5C31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视频矩阵与回放：支持 4/9/16 路画面分屏查看，历史直播内容可回溯检索，满足事后复盘与事件追溯需求。</w:t>
            </w:r>
          </w:p>
          <w:p w14:paraId="23188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3.飞行控制模块</w:t>
            </w:r>
          </w:p>
          <w:p w14:paraId="6D47D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全流程远程操控能力，兼顾自动化作业与应急干预灵活性：</w:t>
            </w:r>
          </w:p>
          <w:p w14:paraId="3A55D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多模式飞行控制：覆盖一键返航、指点飞行、远程手动飞行、航线自动飞行等全场景模式，支持飞行任务的暂停/恢复/终止，应对景区复杂地形与突发状况。</w:t>
            </w:r>
          </w:p>
          <w:p w14:paraId="217D0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精准云台操控：支持云台变焦、红外测温、镜头跟随等专业控制，可外接飞行控制摇杆，适配精细化巡检需求。</w:t>
            </w:r>
          </w:p>
          <w:p w14:paraId="13C33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虚拟沙盘辅助：以三维沙盘视角预览飞行路径，结合电子围栏与禁飞区预警，提前规避飞行风险。</w:t>
            </w:r>
          </w:p>
          <w:p w14:paraId="31CC3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4.AI 智能识别模块</w:t>
            </w:r>
          </w:p>
          <w:p w14:paraId="21126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内置场景化算法模型，实现异常事件秒级响应与自动告警：</w:t>
            </w:r>
          </w:p>
          <w:p w14:paraId="02B35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核心算法覆盖：搭载病虫害识别、树木倒塌识别、烟雾火灾识别、航拍水面漂浮物识别、航拍树木识别、车辆违停识别、地质灾害等，精准适配景区森林防火、生态监测、游客管控等核心场景。</w:t>
            </w:r>
          </w:p>
          <w:p w14:paraId="26AFD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实时分析与告警：视频流实时回传并触发 AI 分析，异常事件自动标注并推送至指挥大屏与移动端，支持图斑对比、离线推理等深度分析能力。</w:t>
            </w:r>
          </w:p>
          <w:p w14:paraId="48688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算法迭代扩展：支持算法模型在线升级与自定义训练，适配景区个性化需求。</w:t>
            </w:r>
          </w:p>
          <w:p w14:paraId="17828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5.航线与任务管理模块</w:t>
            </w:r>
          </w:p>
          <w:p w14:paraId="6EC948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高效规划与调度飞行任务，适配景区常态化与应急作业场景：</w:t>
            </w:r>
          </w:p>
          <w:p w14:paraId="4E4F8A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灵活航线规划：支持在线航点编辑、预规划航线导入，可基于三维地图生成倾斜摄影适配航线，提升复杂地形作业效率。</w:t>
            </w:r>
          </w:p>
          <w:p w14:paraId="7C7DB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多类型任务配置：支持立即任务（应急巡检）、定时任务（日常巡查）、重复任务（周期性监测），任务状态实时追踪，支持批量下发与急停干预。</w:t>
            </w:r>
          </w:p>
          <w:p w14:paraId="13158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航线库沉淀复用：沉淀标准化巡检航线，支持按景区区域、作业类型分类管理，后续任务可直接调用，降低重复规划成本。</w:t>
            </w:r>
          </w:p>
          <w:p w14:paraId="47A31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6.作业与文件管理模块</w:t>
            </w:r>
          </w:p>
          <w:p w14:paraId="7BFCBF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全链路作业数据留存，实现可追溯、可复盘的精细化管理：</w:t>
            </w:r>
          </w:p>
          <w:p w14:paraId="0ABE6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作业数据自动归档：同步留存作业过程视频、航拍影像、飞行轨迹、设备状态日志，生成完整作业档案，支持按任务、时间、设备多维度检索。</w:t>
            </w:r>
          </w:p>
          <w:p w14:paraId="733AF8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媒体文件便捷管理：航拍照片、视频自动上传至云端，支持在线预览、批量下载与分类存储，为景区生态评估、事件取证提供数据支撑。</w:t>
            </w:r>
          </w:p>
          <w:p w14:paraId="54701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快速视图与统计：支持基于地图框选区域快速定位历史作业成果，自动生成飞行里程、时长、设备使用率等统计报表。</w:t>
            </w:r>
          </w:p>
          <w:p w14:paraId="181BDD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7.设备控制与远程运维模块</w:t>
            </w:r>
          </w:p>
          <w:p w14:paraId="48A37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全设备统一管控，实现无人化值守与远程应急干预：</w:t>
            </w:r>
          </w:p>
          <w:p w14:paraId="62DF6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多设备状态监控：实时查看飞行器、机场、挂载设备的健康数据、充电状态、气象信息，异常告警自动触发保养提醒与故障排查。</w:t>
            </w:r>
          </w:p>
          <w:p w14:paraId="2DE08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远程智能控制：支持机场远程开关机、仓盖开关、空调模式切换、补光灯控制、充电功率调节，无人机紧急返航与任务接管。</w:t>
            </w:r>
          </w:p>
          <w:p w14:paraId="1E49B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双向语音管控：内置实时语音与文字转语音（TTS）喊话功能，可录制警示语音并查询历史喊话记录，强化现场违规行为干预能力。</w:t>
            </w:r>
          </w:p>
          <w:p w14:paraId="1D60C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8.算法与系统管理模块</w:t>
            </w:r>
          </w:p>
          <w:p w14:paraId="022FCE86">
            <w:pPr>
              <w:keepNext w:val="0"/>
              <w:keepLines w:val="0"/>
              <w:suppressLineNumbers w:val="0"/>
              <w:spacing w:before="0" w:beforeAutospacing="0" w:after="0" w:afterAutospacing="0" w:line="360" w:lineRule="auto"/>
              <w:ind w:left="0" w:right="0"/>
            </w:pPr>
            <w:r>
              <w:rPr>
                <w:rFonts w:hint="eastAsia"/>
                <w:color w:val="000000" w:themeColor="text1"/>
                <w:sz w:val="22"/>
                <w:szCs w:val="22"/>
                <w:lang w:val="en-US" w:eastAsia="zh-CN"/>
                <w14:textFill>
                  <w14:solidFill>
                    <w14:schemeClr w14:val="tx1"/>
                  </w14:solidFill>
                </w14:textFill>
              </w:rPr>
              <w:t>支撑平台高效运行的底层能力，兼顾灵活性与安全性：</w:t>
            </w:r>
          </w:p>
          <w:p w14:paraId="052921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算法全生命周期管理：提供算法列表、参数配置、航线绑定功能，支持算法权限自定义授权，满足不同部门的差异化识别需求。</w:t>
            </w:r>
          </w:p>
          <w:p w14:paraId="6811A7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精细化权限管控：包含用户、角色、菜单、字典、多级区域管理，支持按景区片区、作业团队分配数据与操作权限，适配复杂组织架构。</w:t>
            </w:r>
          </w:p>
          <w:p w14:paraId="055CC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系统配置与审计：支持平台名称、LOGO、语音库等自定义配置，日志审计功能可追溯所有操作记录，保障数据安全与合规性。</w:t>
            </w:r>
          </w:p>
          <w:p w14:paraId="6745837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9.平台</w:t>
            </w:r>
            <w:r>
              <w:rPr>
                <w:rFonts w:hint="eastAsia"/>
                <w:lang w:eastAsia="zh-CN"/>
              </w:rPr>
              <w:t>存储服务设备</w:t>
            </w:r>
          </w:p>
          <w:p w14:paraId="1AC03910">
            <w:pPr>
              <w:keepNext w:val="0"/>
              <w:keepLines w:val="0"/>
              <w:suppressLineNumbers w:val="0"/>
              <w:spacing w:before="0" w:beforeAutospacing="0" w:after="0" w:afterAutospacing="0" w:line="360" w:lineRule="auto"/>
              <w:ind w:left="0" w:leftChars="0" w:right="0" w:rightChars="0"/>
              <w:rPr>
                <w:rFonts w:hint="default"/>
                <w:color w:val="000000" w:themeColor="text1"/>
                <w:sz w:val="22"/>
                <w:szCs w:val="22"/>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平台支持私有化部署；Cpu：32核以上；内存≥64G，存储≥8T；GPU:Atlas 300l Pro同等性能或以上。支持≥6路视频流同时开启AI算法。</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132F46A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75B9D82">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374000</w:t>
            </w:r>
          </w:p>
        </w:tc>
      </w:tr>
      <w:tr w14:paraId="503E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FE757E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74856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信号中继站</w:t>
            </w:r>
          </w:p>
        </w:tc>
        <w:tc>
          <w:tcPr>
            <w:tcW w:w="459" w:type="dxa"/>
            <w:tcBorders>
              <w:top w:val="single" w:color="000000" w:sz="4" w:space="0"/>
              <w:left w:val="nil"/>
              <w:bottom w:val="single" w:color="000000" w:sz="4" w:space="0"/>
              <w:right w:val="single" w:color="000000" w:sz="4" w:space="0"/>
            </w:tcBorders>
            <w:vAlign w:val="center"/>
          </w:tcPr>
          <w:p w14:paraId="47272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B9E55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w:t>
            </w:r>
          </w:p>
        </w:tc>
        <w:tc>
          <w:tcPr>
            <w:tcW w:w="4785" w:type="dxa"/>
            <w:tcBorders>
              <w:top w:val="single" w:color="000000" w:sz="4" w:space="0"/>
              <w:left w:val="nil"/>
              <w:bottom w:val="single" w:color="000000" w:sz="4" w:space="0"/>
              <w:right w:val="single" w:color="auto" w:sz="4" w:space="0"/>
            </w:tcBorders>
            <w:vAlign w:val="center"/>
          </w:tcPr>
          <w:p w14:paraId="0E8FE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1.</w:t>
            </w:r>
            <w:r>
              <w:rPr>
                <w:rFonts w:hint="eastAsia"/>
                <w:b w:val="0"/>
                <w:color w:val="000000" w:themeColor="text1"/>
                <w:sz w:val="22"/>
                <w:szCs w:val="22"/>
                <w14:textFill>
                  <w14:solidFill>
                    <w14:schemeClr w14:val="tx1"/>
                  </w14:solidFill>
                </w14:textFill>
              </w:rPr>
              <w:t>配套图像传输</w:t>
            </w:r>
            <w:r>
              <w:rPr>
                <w:rFonts w:hint="eastAsia"/>
                <w:b w:val="0"/>
                <w:color w:val="000000" w:themeColor="text1"/>
                <w:sz w:val="22"/>
                <w:szCs w:val="22"/>
                <w:lang w:eastAsia="zh-CN"/>
                <w14:textFill>
                  <w14:solidFill>
                    <w14:schemeClr w14:val="tx1"/>
                  </w14:solidFill>
                </w14:textFill>
              </w:rPr>
              <w:t>、天线性能强：卫星信号接收模块，复杂场景快速收敛。</w:t>
            </w:r>
          </w:p>
          <w:p w14:paraId="17ABF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2.</w:t>
            </w:r>
            <w:r>
              <w:rPr>
                <w:rFonts w:hint="eastAsia"/>
                <w:b w:val="0"/>
                <w:color w:val="000000" w:themeColor="text1"/>
                <w:sz w:val="22"/>
                <w:szCs w:val="22"/>
                <w:lang w:eastAsia="zh-CN"/>
                <w14:textFill>
                  <w14:solidFill>
                    <w14:schemeClr w14:val="tx1"/>
                  </w14:solidFill>
                </w14:textFill>
              </w:rPr>
              <w:t>RTK信号增强：当机场RTK收敛困难时，可辅助提供精准的RTK信号给无人机，实现高精度定位，提升作业安全及成果准确性。</w:t>
            </w:r>
          </w:p>
          <w:p w14:paraId="4AAA0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3.</w:t>
            </w:r>
            <w:r>
              <w:rPr>
                <w:rFonts w:hint="eastAsia"/>
                <w:b w:val="0"/>
                <w:color w:val="000000" w:themeColor="text1"/>
                <w:sz w:val="22"/>
                <w:szCs w:val="22"/>
                <w:lang w:eastAsia="zh-CN"/>
                <w14:textFill>
                  <w14:solidFill>
                    <w14:schemeClr w14:val="tx1"/>
                  </w14:solidFill>
                </w14:textFill>
              </w:rPr>
              <w:t>图传增强：当图传信号被遮挡时，部署在高点，中继图传有效解决遮挡问题。</w:t>
            </w:r>
          </w:p>
          <w:p w14:paraId="1DEB0E0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4.</w:t>
            </w:r>
            <w:r>
              <w:rPr>
                <w:rFonts w:hint="eastAsia"/>
                <w:b w:val="0"/>
                <w:color w:val="000000" w:themeColor="text1"/>
                <w:sz w:val="22"/>
                <w:szCs w:val="22"/>
                <w:lang w:eastAsia="zh-CN"/>
                <w14:textFill>
                  <w14:solidFill>
                    <w14:schemeClr w14:val="tx1"/>
                  </w14:solidFill>
                </w14:textFill>
              </w:rPr>
              <w:t>部署简单：仅需PoE供电，无需联网即可部署。</w:t>
            </w:r>
          </w:p>
          <w:p w14:paraId="58372D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2"/>
                <w:szCs w:val="22"/>
                <w:lang w:val="en-US"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5.含安装部署调试。</w:t>
            </w:r>
          </w:p>
          <w:p w14:paraId="41CD58F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1"/>
                <w:szCs w:val="21"/>
                <w:highlight w:val="none"/>
              </w:rPr>
            </w:pPr>
            <w:r>
              <w:rPr>
                <w:rFonts w:hint="eastAsia"/>
                <w:b w:val="0"/>
                <w:color w:val="000000" w:themeColor="text1"/>
                <w:sz w:val="22"/>
                <w:szCs w:val="22"/>
                <w:lang w:val="en-US" w:eastAsia="zh-CN"/>
                <w14:textFill>
                  <w14:solidFill>
                    <w14:schemeClr w14:val="tx1"/>
                  </w14:solidFill>
                </w14:textFill>
              </w:rPr>
              <w:t>6.</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1768AF0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7C200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33000</w:t>
            </w:r>
          </w:p>
        </w:tc>
      </w:tr>
      <w:tr w14:paraId="52F1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6804B0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D6224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遥控器及充电设备</w:t>
            </w:r>
          </w:p>
        </w:tc>
        <w:tc>
          <w:tcPr>
            <w:tcW w:w="459" w:type="dxa"/>
            <w:tcBorders>
              <w:top w:val="single" w:color="000000" w:sz="4" w:space="0"/>
              <w:left w:val="nil"/>
              <w:bottom w:val="single" w:color="000000" w:sz="4" w:space="0"/>
              <w:right w:val="single" w:color="000000" w:sz="4" w:space="0"/>
            </w:tcBorders>
            <w:vAlign w:val="center"/>
          </w:tcPr>
          <w:p w14:paraId="6B37D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BD88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28503A8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1"/>
                <w:szCs w:val="21"/>
                <w:lang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1.适配遥控器3套，</w:t>
            </w:r>
            <w:r>
              <w:rPr>
                <w:rFonts w:hint="eastAsia"/>
                <w:b w:val="0"/>
                <w:color w:val="000000" w:themeColor="text1"/>
                <w:sz w:val="21"/>
                <w:szCs w:val="21"/>
                <w:lang w:eastAsia="zh-CN"/>
                <w14:textFill>
                  <w14:solidFill>
                    <w14:schemeClr w14:val="tx1"/>
                  </w14:solidFill>
                </w14:textFill>
              </w:rPr>
              <w:t>可用于部署机场；可直连飞行器，单机移动使用。</w:t>
            </w:r>
          </w:p>
          <w:p w14:paraId="439FF9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b w:val="0"/>
                <w:color w:val="000000" w:themeColor="text1"/>
                <w:sz w:val="21"/>
                <w:szCs w:val="21"/>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2.含适配飞行器电池充电器套装2套；用于手动飞需要机库外充电配套使用。</w:t>
            </w:r>
          </w:p>
          <w:p w14:paraId="09DE1A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b w:val="0"/>
                <w:color w:val="000000" w:themeColor="text1"/>
                <w:sz w:val="21"/>
                <w:szCs w:val="21"/>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3.</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39C8A58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5FF65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30000</w:t>
            </w:r>
          </w:p>
        </w:tc>
      </w:tr>
      <w:tr w14:paraId="7153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359483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0"/>
                <w:szCs w:val="30"/>
                <w:highlight w:val="none"/>
                <w:lang w:eastAsia="zh-CN"/>
              </w:rPr>
              <w:t>二、</w:t>
            </w:r>
            <w:r>
              <w:rPr>
                <w:rFonts w:hint="eastAsia" w:ascii="宋体" w:hAnsi="宋体" w:eastAsia="宋体" w:cs="宋体"/>
                <w:b/>
                <w:bCs/>
                <w:color w:val="auto"/>
                <w:sz w:val="30"/>
                <w:szCs w:val="30"/>
                <w:highlight w:val="none"/>
              </w:rPr>
              <w:t>商务要求</w:t>
            </w:r>
          </w:p>
        </w:tc>
      </w:tr>
      <w:tr w14:paraId="14EB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D63D504">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981" w:type="dxa"/>
            <w:tcBorders>
              <w:left w:val="nil"/>
              <w:right w:val="single" w:color="000000" w:sz="4" w:space="0"/>
            </w:tcBorders>
            <w:shd w:val="clear" w:color="auto" w:fill="auto"/>
            <w:vAlign w:val="center"/>
          </w:tcPr>
          <w:p w14:paraId="67FF457E">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质保期</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26A416AF">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质保期：</w:t>
            </w:r>
            <w:r>
              <w:rPr>
                <w:rFonts w:hint="eastAsia"/>
                <w:color w:val="000000" w:themeColor="text1"/>
                <w:sz w:val="22"/>
                <w:szCs w:val="22"/>
                <w:vertAlign w:val="baseline"/>
                <w:lang w:val="en-US" w:eastAsia="zh-CN"/>
                <w14:textFill>
                  <w14:solidFill>
                    <w14:schemeClr w14:val="tx1"/>
                  </w14:solidFill>
                </w14:textFill>
              </w:rPr>
              <w:t>要求</w:t>
            </w:r>
            <w:r>
              <w:rPr>
                <w:rFonts w:hint="eastAsia" w:ascii="宋体" w:hAnsi="宋体" w:eastAsia="宋体" w:cs="宋体"/>
                <w:color w:val="auto"/>
                <w:sz w:val="21"/>
                <w:szCs w:val="21"/>
                <w:highlight w:val="none"/>
                <w:lang w:val="en-US" w:eastAsia="zh-CN"/>
              </w:rPr>
              <w:t>质保期</w:t>
            </w:r>
            <w:r>
              <w:rPr>
                <w:rFonts w:hint="eastAsia"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自验收合格之日起</w:t>
            </w:r>
            <w:r>
              <w:rPr>
                <w:rFonts w:hint="eastAsia" w:hAnsi="宋体" w:cs="宋体"/>
                <w:color w:val="auto"/>
                <w:sz w:val="21"/>
                <w:szCs w:val="21"/>
                <w:highlight w:val="none"/>
                <w:lang w:val="en-US" w:eastAsia="zh-CN"/>
              </w:rPr>
              <w:t>至少3</w:t>
            </w:r>
            <w:r>
              <w:rPr>
                <w:rFonts w:hint="eastAsia" w:ascii="宋体" w:hAnsi="宋体" w:eastAsia="宋体" w:cs="宋体"/>
                <w:color w:val="auto"/>
                <w:sz w:val="21"/>
                <w:szCs w:val="21"/>
                <w:highlight w:val="none"/>
                <w:lang w:val="en-US" w:eastAsia="zh-CN"/>
              </w:rPr>
              <w:t>年（分项采购标的另有质保期要求的，按分项采购标的的质保期要求执行。质保期承诺如优于招标文件规定的，按中标人实际承诺质保期执行。）</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质保期内按国家有关产品“三包”规定执行“三包”，提供终身维护。</w:t>
            </w:r>
          </w:p>
          <w:p w14:paraId="7D8006C9">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2.质保期</w:t>
            </w:r>
            <w:r>
              <w:rPr>
                <w:rFonts w:hint="eastAsia"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所更换的零配件必须是同品牌同型号全新的零配件，满足设备运行要求。</w:t>
            </w:r>
          </w:p>
        </w:tc>
      </w:tr>
      <w:tr w14:paraId="3294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816D3F4">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981" w:type="dxa"/>
            <w:tcBorders>
              <w:left w:val="nil"/>
              <w:right w:val="single" w:color="000000" w:sz="4" w:space="0"/>
            </w:tcBorders>
            <w:shd w:val="clear" w:color="auto" w:fill="auto"/>
            <w:vAlign w:val="center"/>
          </w:tcPr>
          <w:p w14:paraId="7AC8B05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51115AEA">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Cs w:val="21"/>
                <w:highlight w:val="none"/>
                <w:lang w:val="en-US" w:eastAsia="zh-CN"/>
              </w:rPr>
              <w:t>投标报价包括货款、</w:t>
            </w:r>
            <w:r>
              <w:rPr>
                <w:rFonts w:hint="eastAsia" w:ascii="Times New Roman" w:hAnsi="Times New Roman" w:cs="Times New Roman"/>
                <w:color w:val="auto"/>
                <w:szCs w:val="21"/>
                <w:highlight w:val="none"/>
                <w:lang w:val="en-US" w:eastAsia="zh-CN"/>
              </w:rPr>
              <w:t>服务、</w:t>
            </w:r>
            <w:r>
              <w:rPr>
                <w:rFonts w:hint="eastAsia" w:ascii="Times New Roman" w:hAnsi="Times New Roman" w:eastAsia="宋体" w:cs="Times New Roman"/>
                <w:color w:val="auto"/>
                <w:szCs w:val="21"/>
                <w:highlight w:val="none"/>
                <w:lang w:val="en-US" w:eastAsia="zh-CN"/>
              </w:rPr>
              <w:t>随配附件、备品备件、专用工具、包装、运输、装、卸、保险、运抵指定交货地点、送货上门服务、现场安装调试、包装箱清理、保修、售后服务、培训、</w:t>
            </w:r>
            <w:r>
              <w:rPr>
                <w:rFonts w:hint="eastAsia" w:ascii="Times New Roman" w:hAnsi="Times New Roman" w:cs="Times New Roman"/>
                <w:color w:val="auto"/>
                <w:szCs w:val="21"/>
                <w:highlight w:val="none"/>
                <w:lang w:val="en-US" w:eastAsia="zh-CN"/>
              </w:rPr>
              <w:t>验收、</w:t>
            </w:r>
            <w:r>
              <w:rPr>
                <w:rFonts w:hint="eastAsia" w:ascii="Times New Roman" w:hAnsi="Times New Roman" w:eastAsia="宋体" w:cs="Times New Roman"/>
                <w:color w:val="auto"/>
                <w:szCs w:val="21"/>
                <w:highlight w:val="none"/>
                <w:lang w:val="en-US" w:eastAsia="zh-CN"/>
              </w:rPr>
              <w:t xml:space="preserve">税金及其他所有成本费用的总和。 </w:t>
            </w:r>
          </w:p>
        </w:tc>
      </w:tr>
      <w:tr w14:paraId="3613B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2B2768F">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981" w:type="dxa"/>
            <w:tcBorders>
              <w:left w:val="nil"/>
              <w:right w:val="single" w:color="000000" w:sz="4" w:space="0"/>
            </w:tcBorders>
            <w:shd w:val="clear" w:color="auto" w:fill="auto"/>
            <w:vAlign w:val="center"/>
          </w:tcPr>
          <w:p w14:paraId="7670052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487395C1">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1.交货时间：自签订合同之日起</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0天内按采购人要求安装完毕并交付使用。</w:t>
            </w:r>
          </w:p>
          <w:p w14:paraId="619AB1ED">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2.交货内容包括：设备整机、配件、出厂随配耗材等</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产品检测报告或说明书、产品合格证或质量证书、保修单、保险单等。上述文件资料应随货物一并提供。</w:t>
            </w:r>
          </w:p>
          <w:p w14:paraId="7F980320">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3.交货地点：</w:t>
            </w:r>
            <w:r>
              <w:rPr>
                <w:rFonts w:hint="eastAsia" w:hAnsi="宋体" w:cs="宋体"/>
                <w:color w:val="auto"/>
                <w:sz w:val="21"/>
                <w:szCs w:val="21"/>
                <w:highlight w:val="none"/>
                <w:lang w:val="en-US" w:eastAsia="zh-CN"/>
              </w:rPr>
              <w:t>南宁市内</w:t>
            </w:r>
            <w:r>
              <w:rPr>
                <w:rFonts w:hint="eastAsia" w:ascii="宋体" w:hAnsi="宋体" w:eastAsia="宋体" w:cs="宋体"/>
                <w:color w:val="auto"/>
                <w:sz w:val="21"/>
                <w:szCs w:val="21"/>
                <w:highlight w:val="none"/>
                <w:lang w:val="en-US" w:eastAsia="zh-CN"/>
              </w:rPr>
              <w:t>（采购人指定地点）。</w:t>
            </w:r>
          </w:p>
        </w:tc>
      </w:tr>
      <w:tr w14:paraId="1D5E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FD3D1E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981" w:type="dxa"/>
            <w:tcBorders>
              <w:left w:val="nil"/>
              <w:right w:val="single" w:color="000000" w:sz="4" w:space="0"/>
            </w:tcBorders>
            <w:shd w:val="clear" w:color="auto" w:fill="auto"/>
            <w:vAlign w:val="center"/>
          </w:tcPr>
          <w:p w14:paraId="7D8BDCD3">
            <w:pPr>
              <w:keepNext w:val="0"/>
              <w:keepLines w:val="0"/>
              <w:suppressLineNumbers w:val="0"/>
              <w:snapToGrid w:val="0"/>
              <w:spacing w:before="0" w:beforeAutospacing="0" w:after="0" w:afterAutospacing="0" w:line="360" w:lineRule="auto"/>
              <w:ind w:left="0" w:leftChars="0" w:right="0" w:rightChars="0"/>
              <w:jc w:val="center"/>
              <w:outlineLvl w:val="0"/>
              <w:rPr>
                <w:rFonts w:hint="eastAsia" w:ascii="宋体" w:hAnsi="宋体" w:eastAsia="宋体" w:cs="宋体"/>
                <w:bCs/>
                <w:color w:val="auto"/>
                <w:kern w:val="0"/>
                <w:sz w:val="21"/>
                <w:szCs w:val="21"/>
                <w:highlight w:val="none"/>
                <w:lang w:val="en-US" w:eastAsia="zh-CN" w:bidi="ar-SA"/>
              </w:rPr>
            </w:pPr>
            <w:bookmarkStart w:id="66" w:name="_Toc23582"/>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验收</w:t>
            </w:r>
            <w:r>
              <w:rPr>
                <w:rFonts w:hint="eastAsia" w:ascii="宋体" w:hAnsi="宋体" w:eastAsia="宋体" w:cs="宋体"/>
                <w:bCs/>
                <w:color w:val="auto"/>
                <w:kern w:val="0"/>
                <w:sz w:val="21"/>
                <w:szCs w:val="21"/>
                <w:highlight w:val="none"/>
                <w:lang w:eastAsia="zh-CN"/>
              </w:rPr>
              <w:t>依据、标准、验收程序</w:t>
            </w:r>
            <w:bookmarkEnd w:id="66"/>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63495F5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验收主体：采购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w:t>
            </w:r>
          </w:p>
          <w:p w14:paraId="269DD24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自仪器设备到货</w:t>
            </w:r>
            <w:r>
              <w:rPr>
                <w:rFonts w:hint="eastAsia" w:ascii="宋体" w:hAnsi="宋体" w:eastAsia="宋体" w:cs="宋体"/>
                <w:color w:val="auto"/>
                <w:sz w:val="21"/>
                <w:szCs w:val="21"/>
                <w:highlight w:val="none"/>
                <w:lang w:eastAsia="zh-CN"/>
              </w:rPr>
              <w:t>、安装调试完成</w:t>
            </w:r>
            <w:r>
              <w:rPr>
                <w:rFonts w:hint="eastAsia" w:ascii="宋体" w:hAnsi="宋体" w:eastAsia="宋体" w:cs="宋体"/>
                <w:color w:val="auto"/>
                <w:sz w:val="21"/>
                <w:szCs w:val="21"/>
                <w:highlight w:val="none"/>
              </w:rPr>
              <w:t>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0天内完成验收</w:t>
            </w:r>
            <w:r>
              <w:rPr>
                <w:rFonts w:hint="eastAsia" w:ascii="宋体" w:hAnsi="宋体" w:eastAsia="宋体" w:cs="宋体"/>
                <w:color w:val="auto"/>
                <w:sz w:val="21"/>
                <w:szCs w:val="21"/>
                <w:highlight w:val="none"/>
              </w:rPr>
              <w:t>。</w:t>
            </w:r>
          </w:p>
          <w:p w14:paraId="26BB66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依据及标准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国家、行业标准、招标文件采购需求、投标文件承诺。</w:t>
            </w:r>
          </w:p>
          <w:p w14:paraId="392FDA7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履约验收程序</w:t>
            </w:r>
            <w:r>
              <w:rPr>
                <w:rFonts w:hint="eastAsia" w:ascii="宋体" w:hAnsi="宋体" w:eastAsia="宋体" w:cs="宋体"/>
                <w:color w:val="auto"/>
                <w:sz w:val="21"/>
                <w:szCs w:val="21"/>
                <w:highlight w:val="none"/>
                <w:lang w:eastAsia="zh-CN"/>
              </w:rPr>
              <w:t>：</w:t>
            </w:r>
          </w:p>
          <w:p w14:paraId="35B1D76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A.成立验收小组：采购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代表成立验收小组。</w:t>
            </w:r>
          </w:p>
          <w:p w14:paraId="4D27AC0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B.开箱验收：</w:t>
            </w:r>
          </w:p>
          <w:p w14:paraId="04E1549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中标人代表双方当场</w:t>
            </w:r>
            <w:r>
              <w:rPr>
                <w:rFonts w:hint="eastAsia" w:ascii="宋体" w:hAnsi="宋体" w:eastAsia="宋体" w:cs="宋体"/>
                <w:color w:val="auto"/>
                <w:sz w:val="21"/>
                <w:szCs w:val="21"/>
                <w:highlight w:val="none"/>
              </w:rPr>
              <w:t>进行开箱验收。检查其外包装是否完好无损，并对设备数量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highlight w:val="none"/>
              </w:rPr>
              <w:t>核对，检查是否与合同一致，文档材料是否齐全。</w:t>
            </w:r>
          </w:p>
          <w:p w14:paraId="7DA596F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)如发现设备短缺、损坏或其他与合同约定不符的情况，由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采取补齐、更换及其他补救措施，以确保仪器设备的正常安装调试。</w:t>
            </w:r>
          </w:p>
          <w:p w14:paraId="5275E8B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)开箱检验合格后，由采购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w:t>
            </w:r>
            <w:r>
              <w:rPr>
                <w:rFonts w:hint="eastAsia" w:ascii="宋体" w:hAnsi="宋体" w:eastAsia="宋体" w:cs="宋体"/>
                <w:color w:val="auto"/>
                <w:sz w:val="21"/>
                <w:szCs w:val="21"/>
                <w:highlight w:val="none"/>
              </w:rPr>
              <w:t>签署开箱检验验收书，开箱检验验收书应列明合同设备数量、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文档资料等验收情况及评价意见。</w:t>
            </w:r>
          </w:p>
          <w:p w14:paraId="4845D99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C.安装、调试</w:t>
            </w:r>
          </w:p>
          <w:p w14:paraId="41C6313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进行仪器设备的安装、调试。</w:t>
            </w:r>
          </w:p>
          <w:p w14:paraId="2DC9494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、中标人代表进行设备试运行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试运行情况</w:t>
            </w:r>
            <w:r>
              <w:rPr>
                <w:rFonts w:hint="eastAsia" w:ascii="宋体" w:hAnsi="宋体" w:eastAsia="宋体" w:cs="宋体"/>
                <w:color w:val="auto"/>
                <w:sz w:val="21"/>
                <w:szCs w:val="21"/>
                <w:highlight w:val="none"/>
              </w:rPr>
              <w:t>进行评价。</w:t>
            </w:r>
          </w:p>
          <w:p w14:paraId="2504EF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试运行时由采购人对照招标文件的功能目标及技术指标要求、投标文件响应的功能、参数全面核对检验，所提供设备的性能应与投标时响应的</w:t>
            </w:r>
            <w:r>
              <w:rPr>
                <w:rFonts w:hint="eastAsia" w:ascii="宋体" w:hAnsi="宋体" w:eastAsia="宋体" w:cs="宋体"/>
                <w:color w:val="auto"/>
                <w:sz w:val="21"/>
                <w:szCs w:val="21"/>
                <w:highlight w:val="none"/>
                <w:lang w:val="en-US" w:eastAsia="zh-CN"/>
              </w:rPr>
              <w:t>技术性能</w:t>
            </w:r>
            <w:r>
              <w:rPr>
                <w:rFonts w:hint="eastAsia" w:ascii="宋体" w:hAnsi="宋体" w:eastAsia="宋体" w:cs="宋体"/>
                <w:color w:val="auto"/>
                <w:sz w:val="21"/>
                <w:szCs w:val="21"/>
                <w:highlight w:val="none"/>
                <w:lang w:eastAsia="zh-CN"/>
              </w:rPr>
              <w:t>、参数完全一致，</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eastAsia="zh-CN"/>
              </w:rPr>
              <w:t>验收合格</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购人有权要求中标人在验收时提供检测报告或生产厂家官方技术说明书、官方产品宣传页等证明材料原件，有权将仪器设备送第三方检测机构进行检测，以核验产品的设备性能参数与中标人投标时响应的技术性能、参数完全一致，否则视为验收不合格。）</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共同对安装、调试情况进行记录。</w:t>
            </w:r>
            <w:r>
              <w:rPr>
                <w:rFonts w:hint="eastAsia" w:ascii="宋体" w:hAnsi="宋体" w:eastAsia="宋体" w:cs="宋体"/>
                <w:color w:val="auto"/>
                <w:sz w:val="21"/>
                <w:szCs w:val="21"/>
                <w:highlight w:val="none"/>
                <w:lang w:eastAsia="zh-CN"/>
              </w:rPr>
              <w:t>如不符合招标文件的技术需求及要求以及提供虚假承诺的，按相关规定做退货处理及违约处理，中标人承担所有责任和费用，采购人保留进一步追究责任的权利。</w:t>
            </w:r>
          </w:p>
          <w:p w14:paraId="1AAFABD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采购项目进行验收时，采购人可以邀请参加本项目的其他投标人、技术专家或者第三方机构参与验收。参与验收的投标人、技术专家或者第三方机构的意见作为验收书的参考资料一并存档。验收所产生的一切费用由中标人承担。</w:t>
            </w:r>
          </w:p>
          <w:p w14:paraId="081E8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.履约验收其他事项：</w:t>
            </w:r>
          </w:p>
          <w:p w14:paraId="70D8B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验收资料归档，采购合同项目完成验收后，将验收原始记录、验收书等资料作为该采购项目档案妥善保管，不得伪造、变造、隐匿或者销毁，验收资料保存期为采购结束之日起至少保存15年。</w:t>
            </w:r>
          </w:p>
          <w:p w14:paraId="111ED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原因造成不按时完成验收、造成逾期供货事实的，由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承担相关合同责任。</w:t>
            </w:r>
          </w:p>
          <w:p w14:paraId="7F4A6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)验收合格后视为设备交接，在验收合格前设备属于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，所有运输、仓储、装卸、保管、搬运等相关责任由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p>
          <w:p w14:paraId="13E75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5.验收内容：包括每个采购标的每一项技术参数和商务要求全部内容的履约情况。</w:t>
            </w:r>
          </w:p>
        </w:tc>
      </w:tr>
      <w:tr w14:paraId="2ECC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CBD39DE">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981" w:type="dxa"/>
            <w:tcBorders>
              <w:left w:val="nil"/>
              <w:right w:val="single" w:color="000000" w:sz="4" w:space="0"/>
            </w:tcBorders>
            <w:shd w:val="clear" w:color="auto" w:fill="auto"/>
            <w:vAlign w:val="center"/>
          </w:tcPr>
          <w:p w14:paraId="0F950FD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付款条件</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47CD6607">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1.签订合同后10个工作日内，支付合同合计金额的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0%作为预付款；全部货物到货后</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安装调试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经采购人验收合格后，支付剩余</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合同款。</w:t>
            </w:r>
          </w:p>
          <w:p w14:paraId="73C103AA">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2.每次付款前供应商应提供请款函和合法发票。</w:t>
            </w:r>
          </w:p>
        </w:tc>
      </w:tr>
      <w:tr w14:paraId="652D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F2F19DE">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981" w:type="dxa"/>
            <w:tcBorders>
              <w:left w:val="nil"/>
              <w:right w:val="single" w:color="000000" w:sz="4" w:space="0"/>
            </w:tcBorders>
            <w:shd w:val="clear" w:color="auto" w:fill="auto"/>
            <w:vAlign w:val="center"/>
          </w:tcPr>
          <w:p w14:paraId="2573C33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5FF170AA">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67" w:name="_Toc29227"/>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.供货：送货上门、安装、调试，采购人不再额外支付费用。</w:t>
            </w:r>
            <w:bookmarkEnd w:id="67"/>
          </w:p>
          <w:p w14:paraId="525E4B54">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68" w:name="_Toc10230"/>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.现场安装、调试：由采购人提供安装调试环境条件，技术人员到达现场完成设备安装、调试，所需工具器材、交通食宿应包含在报价内，采购人不再额外支付费用。</w:t>
            </w:r>
            <w:bookmarkEnd w:id="68"/>
          </w:p>
          <w:p w14:paraId="30C0FA5F">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69" w:name="_Toc15599"/>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.培训：在安装调试合格后，投标人或投标产品生产厂家技术人员对采购人操作人员进行使用及维护培训，能够独立操作设备。</w:t>
            </w:r>
            <w:bookmarkEnd w:id="69"/>
          </w:p>
          <w:p w14:paraId="48BC5D8B">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70" w:name="_Toc16485"/>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.后期回访：质保期内进行1-2次/年回访，回访期间对仪器进行维护和培训等，采购人不再额外支付费用。</w:t>
            </w:r>
            <w:bookmarkEnd w:id="70"/>
          </w:p>
          <w:p w14:paraId="6791FC94">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71" w:name="_Toc32404"/>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bookmarkEnd w:id="71"/>
            <w:bookmarkStart w:id="72" w:name="_Toc31560"/>
            <w:r>
              <w:rPr>
                <w:rFonts w:hint="eastAsia" w:ascii="宋体" w:hAnsi="宋体" w:eastAsia="宋体" w:cs="宋体"/>
                <w:color w:val="auto"/>
                <w:sz w:val="21"/>
                <w:szCs w:val="21"/>
                <w:highlight w:val="none"/>
              </w:rPr>
              <w:t>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件、技术及维修服务及其它：</w:t>
            </w:r>
            <w:bookmarkEnd w:id="72"/>
          </w:p>
          <w:p w14:paraId="2B1DF05A">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73" w:name="_Toc27797"/>
            <w:r>
              <w:rPr>
                <w:rFonts w:hint="eastAsia" w:ascii="宋体" w:hAnsi="宋体" w:eastAsia="宋体" w:cs="宋体"/>
                <w:color w:val="auto"/>
                <w:sz w:val="21"/>
                <w:szCs w:val="21"/>
                <w:highlight w:val="none"/>
              </w:rPr>
              <w:t>（1）备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件要求：投标人或投标产品生产厂家应在交货地点所在城市设置备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件库，配备必要的</w:t>
            </w:r>
            <w:r>
              <w:rPr>
                <w:rFonts w:hint="eastAsia" w:ascii="宋体" w:hAnsi="宋体" w:cs="宋体"/>
                <w:color w:val="auto"/>
                <w:sz w:val="21"/>
                <w:szCs w:val="21"/>
                <w:highlight w:val="none"/>
                <w:lang w:eastAsia="zh-CN"/>
              </w:rPr>
              <w:t>零配</w:t>
            </w:r>
            <w:r>
              <w:rPr>
                <w:rFonts w:hint="eastAsia" w:ascii="宋体" w:hAnsi="宋体" w:eastAsia="宋体" w:cs="宋体"/>
                <w:color w:val="auto"/>
                <w:sz w:val="21"/>
                <w:szCs w:val="21"/>
                <w:highlight w:val="none"/>
              </w:rPr>
              <w:t>件，保证必要时可以及时供应。</w:t>
            </w:r>
            <w:bookmarkEnd w:id="73"/>
          </w:p>
          <w:p w14:paraId="4027BDE6">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74" w:name="_Toc31452"/>
            <w:r>
              <w:rPr>
                <w:rFonts w:hint="eastAsia" w:ascii="宋体" w:hAnsi="宋体" w:eastAsia="宋体" w:cs="宋体"/>
                <w:color w:val="auto"/>
                <w:sz w:val="21"/>
                <w:szCs w:val="21"/>
                <w:highlight w:val="none"/>
              </w:rPr>
              <w:t>（2）技术及维修服务：在交货地点所在城市，投标人或投标产品生产厂家应配置</w:t>
            </w:r>
            <w:r>
              <w:rPr>
                <w:rFonts w:hint="eastAsia" w:ascii="宋体" w:hAnsi="宋体" w:cs="宋体"/>
                <w:color w:val="auto"/>
                <w:sz w:val="21"/>
                <w:szCs w:val="21"/>
                <w:highlight w:val="none"/>
                <w:lang w:eastAsia="zh-CN"/>
              </w:rPr>
              <w:t>售后服务点及</w:t>
            </w:r>
            <w:r>
              <w:rPr>
                <w:rFonts w:hint="eastAsia" w:ascii="宋体" w:hAnsi="宋体" w:eastAsia="宋体" w:cs="宋体"/>
                <w:color w:val="auto"/>
                <w:sz w:val="21"/>
                <w:szCs w:val="21"/>
                <w:highlight w:val="none"/>
              </w:rPr>
              <w:t>工程技术人员，随时提供技术及维修</w:t>
            </w:r>
            <w:r>
              <w:rPr>
                <w:rFonts w:hint="eastAsia" w:ascii="宋体" w:hAnsi="宋体" w:eastAsia="宋体" w:cs="宋体"/>
                <w:color w:val="auto"/>
                <w:sz w:val="21"/>
                <w:szCs w:val="21"/>
                <w:highlight w:val="none"/>
                <w:lang w:eastAsia="zh-CN"/>
              </w:rPr>
              <w:t>等</w:t>
            </w:r>
            <w:r>
              <w:rPr>
                <w:rFonts w:hint="eastAsia" w:ascii="宋体" w:hAnsi="宋体" w:cs="宋体"/>
                <w:color w:val="auto"/>
                <w:sz w:val="21"/>
                <w:szCs w:val="21"/>
                <w:highlight w:val="none"/>
                <w:lang w:eastAsia="zh-CN"/>
              </w:rPr>
              <w:t>售后</w:t>
            </w:r>
            <w:r>
              <w:rPr>
                <w:rFonts w:hint="eastAsia" w:ascii="宋体" w:hAnsi="宋体" w:eastAsia="宋体" w:cs="宋体"/>
                <w:color w:val="auto"/>
                <w:sz w:val="21"/>
                <w:szCs w:val="21"/>
                <w:highlight w:val="none"/>
              </w:rPr>
              <w:t>服务。</w:t>
            </w:r>
            <w:bookmarkEnd w:id="74"/>
          </w:p>
          <w:p w14:paraId="50F016F5">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kern w:val="2"/>
                <w:sz w:val="21"/>
                <w:szCs w:val="21"/>
                <w:highlight w:val="none"/>
                <w:lang w:val="en-US" w:eastAsia="zh-CN" w:bidi="ar-SA"/>
              </w:rPr>
            </w:pPr>
            <w:bookmarkStart w:id="75" w:name="_Toc8238"/>
            <w:r>
              <w:rPr>
                <w:rFonts w:hint="eastAsia" w:ascii="宋体" w:hAnsi="宋体" w:eastAsia="宋体" w:cs="宋体"/>
                <w:color w:val="auto"/>
                <w:sz w:val="21"/>
                <w:szCs w:val="21"/>
                <w:highlight w:val="none"/>
              </w:rPr>
              <w:t>（3）接到采购人故障通知后1小时内响应，如</w:t>
            </w:r>
            <w:r>
              <w:rPr>
                <w:rFonts w:hint="eastAsia" w:ascii="宋体" w:hAnsi="宋体" w:cs="宋体"/>
                <w:color w:val="auto"/>
                <w:sz w:val="21"/>
                <w:szCs w:val="21"/>
                <w:highlight w:val="none"/>
                <w:lang w:eastAsia="zh-CN"/>
              </w:rPr>
              <w:t>远程指导</w:t>
            </w:r>
            <w:r>
              <w:rPr>
                <w:rFonts w:hint="eastAsia" w:ascii="宋体" w:hAnsi="宋体" w:eastAsia="宋体" w:cs="宋体"/>
                <w:color w:val="auto"/>
                <w:sz w:val="21"/>
                <w:szCs w:val="21"/>
                <w:highlight w:val="none"/>
              </w:rPr>
              <w:t>不能解决问题</w:t>
            </w:r>
            <w:r>
              <w:rPr>
                <w:rFonts w:hint="eastAsia" w:ascii="宋体" w:hAnsi="宋体" w:cs="宋体"/>
                <w:color w:val="auto"/>
                <w:sz w:val="21"/>
                <w:szCs w:val="21"/>
                <w:highlight w:val="none"/>
                <w:lang w:eastAsia="zh-CN"/>
              </w:rPr>
              <w:t>，中标人或产品生产厂家须</w:t>
            </w:r>
            <w:r>
              <w:rPr>
                <w:rFonts w:hint="eastAsia" w:ascii="宋体" w:hAnsi="宋体" w:eastAsia="宋体" w:cs="宋体"/>
                <w:color w:val="auto"/>
                <w:sz w:val="21"/>
                <w:szCs w:val="21"/>
                <w:highlight w:val="none"/>
              </w:rPr>
              <w:t>派人24小时内到达现场排除故障。质保期内设备发生故障时，当配件等待周期大于7个工作日时，对应延长质保期。</w:t>
            </w:r>
            <w:bookmarkEnd w:id="75"/>
          </w:p>
        </w:tc>
      </w:tr>
      <w:tr w14:paraId="262B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265E90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981" w:type="dxa"/>
            <w:tcBorders>
              <w:left w:val="nil"/>
              <w:right w:val="single" w:color="000000" w:sz="4" w:space="0"/>
            </w:tcBorders>
            <w:shd w:val="clear" w:color="auto" w:fill="auto"/>
            <w:vAlign w:val="center"/>
          </w:tcPr>
          <w:p w14:paraId="278504CE">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核心产品</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78AC954C">
            <w:pPr>
              <w:pStyle w:val="14"/>
              <w:keepNext w:val="0"/>
              <w:keepLines w:val="0"/>
              <w:suppressLineNumbers w:val="0"/>
              <w:snapToGrid w:val="0"/>
              <w:spacing w:before="0" w:beforeAutospacing="0" w:after="0" w:afterAutospacing="0" w:line="360" w:lineRule="auto"/>
              <w:ind w:left="0" w:leftChars="0" w:right="0" w:rightChars="0"/>
              <w:outlineLvl w:val="0"/>
              <w:rPr>
                <w:rFonts w:hint="eastAsia" w:ascii="宋体" w:hAnsi="宋体" w:eastAsia="宋体" w:cs="宋体"/>
                <w:b/>
                <w:bCs/>
                <w:color w:val="auto"/>
                <w:kern w:val="2"/>
                <w:sz w:val="21"/>
                <w:szCs w:val="21"/>
                <w:highlight w:val="none"/>
                <w:lang w:val="en-US" w:eastAsia="zh-CN" w:bidi="ar"/>
              </w:rPr>
            </w:pPr>
            <w:bookmarkStart w:id="76" w:name="_Toc7095"/>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1.核心产品：本项目的核心产品为“</w:t>
            </w:r>
            <w:r>
              <w:rPr>
                <w:rFonts w:hint="eastAsia"/>
                <w:color w:val="000000" w:themeColor="text1"/>
                <w:sz w:val="22"/>
                <w:szCs w:val="22"/>
                <w:vertAlign w:val="baseline"/>
                <w:lang w:val="en-US" w:eastAsia="zh-CN"/>
                <w14:textFill>
                  <w14:solidFill>
                    <w14:schemeClr w14:val="tx1"/>
                  </w14:solidFill>
                </w14:textFill>
              </w:rPr>
              <w:t>人形机器人2</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核心产品品牌相同的，视为提供同品牌产品。核心产品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bookmarkEnd w:id="76"/>
          </w:p>
        </w:tc>
      </w:tr>
      <w:tr w14:paraId="7D9A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6540E47">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shd w:val="clear" w:color="auto" w:fill="auto"/>
            <w:vAlign w:val="center"/>
          </w:tcPr>
          <w:p w14:paraId="353E0353">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进品产品</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086A418F">
            <w:pPr>
              <w:pStyle w:val="14"/>
              <w:keepNext w:val="0"/>
              <w:keepLines w:val="0"/>
              <w:suppressLineNumbers w:val="0"/>
              <w:snapToGrid w:val="0"/>
              <w:spacing w:before="0" w:beforeAutospacing="0" w:after="0" w:afterAutospacing="0" w:line="360" w:lineRule="auto"/>
              <w:ind w:left="0" w:leftChars="0" w:right="0" w:rightChars="0"/>
              <w:jc w:val="left"/>
              <w:outlineLvl w:val="0"/>
            </w:pPr>
            <w:bookmarkStart w:id="77" w:name="_Toc4819"/>
            <w:r>
              <w:rPr>
                <w:rFonts w:hint="eastAsia" w:ascii="宋体" w:hAnsi="宋体" w:cs="宋体"/>
                <w:color w:val="auto"/>
                <w:sz w:val="21"/>
                <w:szCs w:val="21"/>
                <w:highlight w:val="none"/>
                <w:lang w:val="en-US" w:eastAsia="zh-CN"/>
              </w:rPr>
              <w:t xml:space="preserve">是否接受进口产品: </w:t>
            </w:r>
            <w:r>
              <w:rPr>
                <w:rFonts w:hint="eastAsia" w:hAnsi="宋体" w:cs="宋体"/>
                <w:color w:val="auto"/>
                <w:sz w:val="21"/>
                <w:szCs w:val="21"/>
                <w:highlight w:val="none"/>
                <w:lang w:val="en-US" w:eastAsia="zh-CN"/>
              </w:rPr>
              <w:t>不</w:t>
            </w:r>
            <w:r>
              <w:rPr>
                <w:rFonts w:hint="eastAsia" w:hAnsi="宋体" w:cs="宋体"/>
                <w:b/>
                <w:bCs/>
                <w:color w:val="auto"/>
                <w:kern w:val="2"/>
                <w:sz w:val="21"/>
                <w:szCs w:val="21"/>
                <w:highlight w:val="none"/>
                <w:lang w:val="en-US" w:eastAsia="zh-CN" w:bidi="ar"/>
              </w:rPr>
              <w:t>接受</w:t>
            </w:r>
            <w:bookmarkEnd w:id="77"/>
          </w:p>
          <w:p w14:paraId="324B9BC3">
            <w:pPr>
              <w:pStyle w:val="14"/>
              <w:keepNext w:val="0"/>
              <w:keepLines w:val="0"/>
              <w:suppressLineNumbers w:val="0"/>
              <w:snapToGrid w:val="0"/>
              <w:spacing w:before="0" w:beforeAutospacing="0" w:after="0" w:afterAutospacing="0" w:line="360" w:lineRule="auto"/>
              <w:ind w:left="0" w:leftChars="0" w:right="0" w:rightChars="0"/>
              <w:jc w:val="left"/>
              <w:outlineLvl w:val="0"/>
              <w:rPr>
                <w:rFonts w:hint="eastAsia"/>
                <w:lang w:val="en-US" w:eastAsia="zh-CN"/>
              </w:rPr>
            </w:pPr>
          </w:p>
        </w:tc>
      </w:tr>
    </w:tbl>
    <w:p w14:paraId="097854A2">
      <w:pPr>
        <w:numPr>
          <w:ilvl w:val="0"/>
          <w:numId w:val="0"/>
        </w:numPr>
        <w:spacing w:line="460" w:lineRule="exact"/>
        <w:jc w:val="left"/>
        <w:rPr>
          <w:rFonts w:ascii="仿宋" w:hAnsi="仿宋" w:eastAsia="仿宋" w:cs="仿宋"/>
          <w:b/>
          <w:bCs/>
          <w:color w:val="auto"/>
          <w:sz w:val="30"/>
          <w:szCs w:val="30"/>
          <w:highlight w:val="none"/>
        </w:rPr>
      </w:pPr>
    </w:p>
    <w:bookmarkEnd w:id="64"/>
    <w:bookmarkEnd w:id="65"/>
    <w:p w14:paraId="37137972">
      <w:pPr>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C2ADA9F">
      <w:pPr>
        <w:pStyle w:val="11"/>
        <w:jc w:val="center"/>
        <w:rPr>
          <w:rFonts w:hint="eastAsia"/>
          <w:b/>
          <w:sz w:val="28"/>
          <w:szCs w:val="28"/>
        </w:rPr>
      </w:pPr>
      <w:r>
        <w:rPr>
          <w:rFonts w:hint="eastAsia"/>
          <w:b/>
          <w:sz w:val="28"/>
          <w:szCs w:val="28"/>
        </w:rPr>
        <w:t>中小企业划型标准规定</w:t>
      </w:r>
    </w:p>
    <w:p w14:paraId="5F0E1718">
      <w:pPr>
        <w:pStyle w:val="11"/>
        <w:jc w:val="center"/>
        <w:rPr>
          <w:rFonts w:hint="eastAsia" w:ascii="宋体" w:hAnsi="宋体"/>
          <w:sz w:val="21"/>
          <w:szCs w:val="21"/>
        </w:rPr>
      </w:pPr>
      <w:r>
        <w:rPr>
          <w:rFonts w:hint="eastAsia" w:ascii="宋体" w:hAnsi="宋体"/>
          <w:sz w:val="21"/>
          <w:szCs w:val="21"/>
        </w:rPr>
        <w:t>工信部联企业〔2011〕300号</w:t>
      </w:r>
    </w:p>
    <w:p w14:paraId="4BE24D4A">
      <w:pPr>
        <w:pStyle w:val="11"/>
        <w:rPr>
          <w:sz w:val="21"/>
          <w:szCs w:val="21"/>
        </w:rPr>
      </w:pPr>
    </w:p>
    <w:p w14:paraId="45B4B1EF">
      <w:pPr>
        <w:pStyle w:val="11"/>
        <w:rPr>
          <w:sz w:val="21"/>
          <w:szCs w:val="21"/>
        </w:rPr>
      </w:pPr>
      <w:r>
        <w:rPr>
          <w:rFonts w:hint="eastAsia"/>
          <w:sz w:val="21"/>
          <w:szCs w:val="21"/>
        </w:rPr>
        <w:t>　　一、根据《中华人民共和国中小企业促进法》和《国务院关于进一步促进中小企业发展的若干意见》(国发〔2009〕36号)，制定本规定。</w:t>
      </w:r>
    </w:p>
    <w:p w14:paraId="2BEF714C">
      <w:pPr>
        <w:pStyle w:val="11"/>
        <w:rPr>
          <w:sz w:val="21"/>
          <w:szCs w:val="21"/>
        </w:rPr>
      </w:pPr>
      <w:r>
        <w:rPr>
          <w:rFonts w:hint="eastAsia"/>
          <w:sz w:val="21"/>
          <w:szCs w:val="21"/>
        </w:rPr>
        <w:t>　　二、中小企业划分为中型、小型、微型三种类型，具体标准根据企业从业人员、营业收入、资产总额等指标，结合行业特点制定。</w:t>
      </w:r>
    </w:p>
    <w:p w14:paraId="3F5E6DCC">
      <w:pPr>
        <w:pStyle w:val="11"/>
        <w:rPr>
          <w:sz w:val="21"/>
          <w:szCs w:val="21"/>
        </w:rPr>
      </w:pPr>
      <w:r>
        <w:rPr>
          <w:rFonts w:hint="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FD663DB">
      <w:pPr>
        <w:pStyle w:val="11"/>
        <w:rPr>
          <w:sz w:val="21"/>
          <w:szCs w:val="21"/>
        </w:rPr>
      </w:pPr>
      <w:r>
        <w:rPr>
          <w:rFonts w:hint="eastAsia"/>
          <w:sz w:val="21"/>
          <w:szCs w:val="21"/>
        </w:rPr>
        <w:t>　　四、各行业划型标准为：</w:t>
      </w:r>
    </w:p>
    <w:p w14:paraId="0A17E8E0">
      <w:pPr>
        <w:pStyle w:val="11"/>
        <w:rPr>
          <w:sz w:val="21"/>
          <w:szCs w:val="21"/>
        </w:rPr>
      </w:pPr>
      <w:r>
        <w:rPr>
          <w:rFonts w:hint="eastAsia"/>
          <w:sz w:val="21"/>
          <w:szCs w:val="21"/>
        </w:rPr>
        <w:t>　　（一）农、林、牧、渔业。营业收入20000万元以下的为中小微型企业。其中，营业收入500万元及以上的为中型企业，营业收入50万元及以上的为小型企业，营业收入50万元以下的为微型企业。</w:t>
      </w:r>
    </w:p>
    <w:p w14:paraId="38947077">
      <w:pPr>
        <w:pStyle w:val="11"/>
        <w:rPr>
          <w:sz w:val="21"/>
          <w:szCs w:val="21"/>
        </w:rPr>
      </w:pPr>
      <w:r>
        <w:rPr>
          <w:rFonts w:hint="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02A43F">
      <w:pPr>
        <w:pStyle w:val="11"/>
        <w:rPr>
          <w:sz w:val="21"/>
          <w:szCs w:val="21"/>
        </w:rPr>
      </w:pPr>
      <w:r>
        <w:rPr>
          <w:rFonts w:hint="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250CFA">
      <w:pPr>
        <w:pStyle w:val="11"/>
        <w:rPr>
          <w:sz w:val="21"/>
          <w:szCs w:val="21"/>
        </w:rPr>
      </w:pPr>
      <w:r>
        <w:rPr>
          <w:rFonts w:hint="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1E8EE21">
      <w:pPr>
        <w:pStyle w:val="11"/>
        <w:rPr>
          <w:sz w:val="21"/>
          <w:szCs w:val="21"/>
        </w:rPr>
      </w:pPr>
      <w:r>
        <w:rPr>
          <w:rFonts w:hint="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E32E3F">
      <w:pPr>
        <w:pStyle w:val="11"/>
        <w:rPr>
          <w:sz w:val="21"/>
          <w:szCs w:val="21"/>
        </w:rPr>
      </w:pPr>
      <w:r>
        <w:rPr>
          <w:rFonts w:hint="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DA43DC">
      <w:pPr>
        <w:pStyle w:val="11"/>
        <w:rPr>
          <w:sz w:val="21"/>
          <w:szCs w:val="21"/>
        </w:rPr>
      </w:pPr>
      <w:r>
        <w:rPr>
          <w:rFonts w:hint="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8D4CCE9">
      <w:pPr>
        <w:pStyle w:val="11"/>
        <w:rPr>
          <w:sz w:val="21"/>
          <w:szCs w:val="21"/>
        </w:rPr>
      </w:pPr>
      <w:r>
        <w:rPr>
          <w:rFonts w:hint="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C192AD">
      <w:pPr>
        <w:pStyle w:val="11"/>
        <w:rPr>
          <w:sz w:val="21"/>
          <w:szCs w:val="21"/>
        </w:rPr>
      </w:pPr>
      <w:r>
        <w:rPr>
          <w:rFonts w:hint="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342ACF">
      <w:pPr>
        <w:pStyle w:val="11"/>
        <w:rPr>
          <w:sz w:val="21"/>
          <w:szCs w:val="21"/>
        </w:rPr>
      </w:pPr>
      <w:r>
        <w:rPr>
          <w:rFonts w:hint="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038E62">
      <w:pPr>
        <w:pStyle w:val="11"/>
        <w:rPr>
          <w:sz w:val="21"/>
          <w:szCs w:val="21"/>
        </w:rPr>
      </w:pPr>
      <w:r>
        <w:rPr>
          <w:rFonts w:hint="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5A4D785">
      <w:pPr>
        <w:pStyle w:val="11"/>
        <w:rPr>
          <w:sz w:val="21"/>
          <w:szCs w:val="21"/>
        </w:rPr>
      </w:pPr>
      <w:r>
        <w:rPr>
          <w:rFonts w:hint="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7674732">
      <w:pPr>
        <w:pStyle w:val="11"/>
        <w:rPr>
          <w:sz w:val="21"/>
          <w:szCs w:val="21"/>
        </w:rPr>
      </w:pPr>
      <w:r>
        <w:rPr>
          <w:rFonts w:hint="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FCF3A">
      <w:pPr>
        <w:pStyle w:val="11"/>
        <w:rPr>
          <w:sz w:val="21"/>
          <w:szCs w:val="21"/>
        </w:rPr>
      </w:pPr>
      <w:r>
        <w:rPr>
          <w:rFonts w:hint="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F5CB47">
      <w:pPr>
        <w:pStyle w:val="11"/>
        <w:rPr>
          <w:sz w:val="21"/>
          <w:szCs w:val="21"/>
        </w:rPr>
      </w:pPr>
      <w:r>
        <w:rPr>
          <w:rFonts w:hint="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9B556CF">
      <w:pPr>
        <w:pStyle w:val="11"/>
        <w:rPr>
          <w:sz w:val="21"/>
          <w:szCs w:val="21"/>
        </w:rPr>
      </w:pPr>
      <w:r>
        <w:rPr>
          <w:rFonts w:hint="eastAsia"/>
          <w:sz w:val="21"/>
          <w:szCs w:val="21"/>
        </w:rPr>
        <w:t>　　（十六）其他未列明行业。从业人员300人以下的为中小微型企业。其中，从业人员100人及以上的为中型企业；从业人员10人及以上的为小型企业；从业人员10人以下的为微型企业。</w:t>
      </w:r>
    </w:p>
    <w:p w14:paraId="14DCB2B8">
      <w:pPr>
        <w:pStyle w:val="11"/>
        <w:rPr>
          <w:sz w:val="21"/>
          <w:szCs w:val="21"/>
        </w:rPr>
      </w:pPr>
      <w:r>
        <w:rPr>
          <w:rFonts w:hint="eastAsia"/>
          <w:sz w:val="21"/>
          <w:szCs w:val="21"/>
        </w:rPr>
        <w:t>　　五、企业类型的划分以统计部门的统计数据为依据。</w:t>
      </w:r>
    </w:p>
    <w:p w14:paraId="38BC4EED">
      <w:pPr>
        <w:pStyle w:val="11"/>
        <w:rPr>
          <w:sz w:val="21"/>
          <w:szCs w:val="21"/>
        </w:rPr>
      </w:pPr>
      <w:r>
        <w:rPr>
          <w:rFonts w:hint="eastAsia"/>
          <w:sz w:val="21"/>
          <w:szCs w:val="21"/>
        </w:rPr>
        <w:t>　　六、本规定适用于在中华人民共和国境内依法设立的各类所有制和各种组织形式的企业。个体工商户和本规定以外的行业，参照本规定进行划型。</w:t>
      </w:r>
    </w:p>
    <w:p w14:paraId="1DEBE01F">
      <w:pPr>
        <w:pStyle w:val="11"/>
        <w:rPr>
          <w:sz w:val="21"/>
          <w:szCs w:val="21"/>
        </w:rPr>
      </w:pPr>
      <w:r>
        <w:rPr>
          <w:rFonts w:hint="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DF777CB">
      <w:pPr>
        <w:pStyle w:val="11"/>
        <w:rPr>
          <w:sz w:val="21"/>
          <w:szCs w:val="21"/>
        </w:rPr>
      </w:pPr>
      <w:r>
        <w:rPr>
          <w:rFonts w:hint="eastAsia"/>
          <w:sz w:val="21"/>
          <w:szCs w:val="21"/>
        </w:rPr>
        <w:t>　　八、本规定由工业和信息化部、国家统计局会同有关部门根据《国民经济行业分类》修订情况和企业发展变化情况适时修订。</w:t>
      </w:r>
    </w:p>
    <w:p w14:paraId="5207F8DF">
      <w:pPr>
        <w:pStyle w:val="11"/>
        <w:rPr>
          <w:sz w:val="21"/>
          <w:szCs w:val="21"/>
        </w:rPr>
      </w:pPr>
      <w:r>
        <w:rPr>
          <w:rFonts w:hint="eastAsia"/>
          <w:sz w:val="21"/>
          <w:szCs w:val="21"/>
        </w:rPr>
        <w:t>　　九、本规定由工业和信息化部、国家统计局会同有关部门负责解释。</w:t>
      </w:r>
    </w:p>
    <w:p w14:paraId="6376E1C2">
      <w:pPr>
        <w:pStyle w:val="11"/>
        <w:ind w:firstLine="420"/>
        <w:rPr>
          <w:rFonts w:hint="eastAsia"/>
          <w:sz w:val="21"/>
          <w:szCs w:val="21"/>
        </w:rPr>
      </w:pPr>
      <w:r>
        <w:rPr>
          <w:rFonts w:hint="eastAsia"/>
          <w:sz w:val="21"/>
          <w:szCs w:val="21"/>
        </w:rPr>
        <w:t>十、本规定自发布之日起执行，原国家经贸委、原国家计委、财政部和国家统计局2003年颁布的《中小企业标准暂行规定》同时废止。</w:t>
      </w:r>
    </w:p>
    <w:p w14:paraId="3C3BF22C">
      <w:pPr>
        <w:spacing w:line="360" w:lineRule="auto"/>
        <w:ind w:firstLine="512" w:firstLineChars="200"/>
        <w:rPr>
          <w:rFonts w:ascii="宋体" w:hAnsi="宋体" w:cs="宋体"/>
          <w:color w:val="auto"/>
          <w:spacing w:val="8"/>
          <w:kern w:val="0"/>
          <w:sz w:val="24"/>
          <w:highlight w:val="none"/>
        </w:rPr>
      </w:pPr>
    </w:p>
    <w:p w14:paraId="7F975404">
      <w:pPr>
        <w:pStyle w:val="14"/>
        <w:jc w:val="center"/>
        <w:outlineLvl w:val="0"/>
        <w:rPr>
          <w:rFonts w:hint="eastAsia" w:hAnsi="宋体" w:cs="宋体"/>
          <w:color w:val="auto"/>
          <w:szCs w:val="21"/>
          <w:highlight w:val="none"/>
        </w:rPr>
      </w:pPr>
      <w:r>
        <w:rPr>
          <w:rFonts w:hint="eastAsia" w:hAnsi="宋体" w:cs="宋体"/>
          <w:color w:val="auto"/>
          <w:szCs w:val="21"/>
          <w:highlight w:val="none"/>
        </w:rPr>
        <w:br w:type="page"/>
      </w:r>
      <w:bookmarkStart w:id="78" w:name="_Toc9505"/>
      <w:bookmarkStart w:id="79" w:name="_Toc5641"/>
      <w:bookmarkStart w:id="80" w:name="_Toc15229"/>
      <w:bookmarkStart w:id="81" w:name="_Toc5815"/>
      <w:bookmarkStart w:id="82" w:name="_Toc532545044"/>
    </w:p>
    <w:p w14:paraId="56092A75">
      <w:pPr>
        <w:ind w:left="11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附件</w:t>
      </w:r>
      <w:r>
        <w:rPr>
          <w:rFonts w:hint="eastAsia" w:ascii="宋体" w:hAnsi="宋体" w:eastAsia="宋体" w:cs="宋体"/>
          <w:color w:val="auto"/>
          <w:sz w:val="32"/>
          <w:szCs w:val="32"/>
          <w:highlight w:val="none"/>
          <w:lang w:val="en-US" w:eastAsia="zh-CN"/>
        </w:rPr>
        <w:t>2</w:t>
      </w:r>
    </w:p>
    <w:p w14:paraId="652E7A43">
      <w:pPr>
        <w:spacing w:line="528" w:lineRule="exact"/>
        <w:ind w:left="1871"/>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4133"/>
      </w:tblGrid>
      <w:tr w14:paraId="453A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B760C3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6DCEE9D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名称</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040F45B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依据的标准</w:t>
            </w:r>
          </w:p>
        </w:tc>
      </w:tr>
      <w:tr w14:paraId="2214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DDA5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27A2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A02010100</w:t>
            </w:r>
            <w:r>
              <w:rPr>
                <w:rFonts w:hint="eastAsia" w:ascii="宋体" w:hAnsi="宋体" w:eastAsia="宋体" w:cs="宋体"/>
                <w:w w:val="99"/>
                <w:sz w:val="21"/>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E39A1C">
            <w:pPr>
              <w:pStyle w:val="97"/>
              <w:keepNext w:val="0"/>
              <w:keepLines w:val="0"/>
              <w:suppressLineNumbers w:val="0"/>
              <w:spacing w:before="93" w:beforeAutospacing="0" w:after="0" w:afterAutospacing="0"/>
              <w:ind w:left="7" w:right="5"/>
              <w:jc w:val="center"/>
              <w:rPr>
                <w:rFonts w:hint="eastAsia" w:ascii="宋体" w:hAnsi="宋体" w:eastAsia="宋体" w:cs="宋体"/>
                <w:kern w:val="2"/>
                <w:sz w:val="21"/>
                <w:szCs w:val="21"/>
              </w:rPr>
            </w:pPr>
            <w:r>
              <w:rPr>
                <w:rFonts w:hint="eastAsia" w:ascii="宋体" w:hAnsi="宋体" w:eastAsia="宋体" w:cs="宋体"/>
                <w:color w:val="auto"/>
                <w:highlight w:val="none"/>
              </w:rPr>
              <w:t>★</w:t>
            </w:r>
            <w:r>
              <w:rPr>
                <w:rFonts w:hint="eastAsia" w:ascii="宋体" w:hAnsi="宋体" w:eastAsia="宋体" w:cs="宋体"/>
                <w:kern w:val="2"/>
                <w:sz w:val="21"/>
                <w:szCs w:val="21"/>
              </w:rPr>
              <w:t>A02010105台式计算机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69C75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555D54F">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132F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0AA8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AAC9E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47EFCB">
            <w:pPr>
              <w:pStyle w:val="97"/>
              <w:keepNext w:val="0"/>
              <w:keepLines w:val="0"/>
              <w:suppressLineNumbers w:val="0"/>
              <w:spacing w:before="44" w:beforeAutospacing="0" w:after="0" w:afterAutospacing="0"/>
              <w:ind w:left="7" w:right="5"/>
              <w:jc w:val="center"/>
              <w:rPr>
                <w:rFonts w:hint="eastAsia" w:ascii="宋体" w:hAnsi="宋体" w:eastAsia="宋体" w:cs="宋体"/>
                <w:kern w:val="2"/>
                <w:sz w:val="21"/>
                <w:szCs w:val="21"/>
              </w:rPr>
            </w:pPr>
            <w:r>
              <w:rPr>
                <w:rFonts w:hint="eastAsia" w:ascii="宋体" w:hAnsi="宋体" w:eastAsia="宋体" w:cs="宋体"/>
                <w:color w:val="auto"/>
                <w:highlight w:val="none"/>
              </w:rPr>
              <w:t>★</w:t>
            </w:r>
            <w:r>
              <w:rPr>
                <w:rFonts w:hint="eastAsia" w:ascii="宋体" w:hAnsi="宋体" w:eastAsia="宋体" w:cs="宋体"/>
                <w:kern w:val="2"/>
                <w:sz w:val="21"/>
                <w:szCs w:val="21"/>
              </w:rPr>
              <w:t>A02010108便携式计算机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B2460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8E9BE5B">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1F3D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500E7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611C3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305AF7">
            <w:pPr>
              <w:pStyle w:val="97"/>
              <w:keepNext w:val="0"/>
              <w:keepLines w:val="0"/>
              <w:suppressLineNumbers w:val="0"/>
              <w:spacing w:before="64" w:beforeAutospacing="0" w:after="0" w:afterAutospacing="0"/>
              <w:ind w:left="7" w:right="5"/>
              <w:jc w:val="center"/>
              <w:rPr>
                <w:rFonts w:hint="eastAsia" w:ascii="宋体" w:hAnsi="宋体" w:eastAsia="宋体" w:cs="宋体"/>
                <w:kern w:val="2"/>
                <w:sz w:val="21"/>
                <w:szCs w:val="21"/>
                <w:lang w:eastAsia="zh-CN"/>
              </w:rPr>
            </w:pPr>
            <w:r>
              <w:rPr>
                <w:rFonts w:hint="eastAsia" w:ascii="宋体" w:hAnsi="宋体" w:eastAsia="宋体" w:cs="宋体"/>
                <w:color w:val="auto"/>
                <w:highlight w:val="none"/>
              </w:rPr>
              <w:t>★</w:t>
            </w:r>
            <w:r>
              <w:rPr>
                <w:rFonts w:hint="eastAsia" w:ascii="宋体" w:hAnsi="宋体" w:eastAsia="宋体" w:cs="宋体"/>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98D81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EEF8750">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60F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16FE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20917">
            <w:pPr>
              <w:pStyle w:val="97"/>
              <w:keepNext w:val="0"/>
              <w:keepLines w:val="0"/>
              <w:suppressLineNumbers w:val="0"/>
              <w:spacing w:before="0"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A02020000办公设备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CD3BD">
            <w:pPr>
              <w:pStyle w:val="97"/>
              <w:keepNext w:val="0"/>
              <w:keepLines w:val="0"/>
              <w:suppressLineNumbers w:val="0"/>
              <w:spacing w:before="0"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A02021000打印机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3DE03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A02021001 A3黑白打印机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1E9B02B">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6A8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3EA88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8A61A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1B283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7C3A0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A02021002 A3彩色打印机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87BECE2">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BDB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1494B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A80C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04691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5EDD1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A02021003 A4黑白打印机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BE96229">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56E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5C4C2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8CAFF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E1557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076A4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A02021004 A4彩色打印机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80F3A32">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477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29EEC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42B5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5A208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8605C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A02021005 3D打印机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44BF2B5">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B6E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F5AB3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56672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1A4CA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936CC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A02021006票据打印机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AF1F06D">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7F56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04D65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61EF0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48596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3DDAB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A02021007条码打印机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857D2D0">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244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294CF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F73A9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4027E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4A432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A02021008地址打印机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D7EB411">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2C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B5835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AAE52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CC93F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83A30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A02021099其他打印机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654410A">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901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5897D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08FCB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28E5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6A8A09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auto"/>
                <w:highlight w:val="none"/>
              </w:rPr>
              <w:t>★</w:t>
            </w:r>
            <w:r>
              <w:rPr>
                <w:rFonts w:hint="eastAsia" w:ascii="宋体" w:hAnsi="宋体" w:eastAsia="宋体" w:cs="宋体"/>
                <w:sz w:val="21"/>
                <w:szCs w:val="21"/>
              </w:rPr>
              <w:t>A02021104液晶显示器</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B9DD6C2">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《计算机显示器能效限定值及能效等级》（GB21520）</w:t>
            </w:r>
          </w:p>
        </w:tc>
      </w:tr>
      <w:tr w14:paraId="720C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0B1FD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53F32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32D3A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023D6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A02021118扫描仪</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51F35C33">
            <w:pPr>
              <w:pStyle w:val="97"/>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参照《复印机、打印机和传真机能效限定值及能效等级》（GB21521）中打印速度为15页/分的针式打印机相关要求</w:t>
            </w:r>
          </w:p>
        </w:tc>
      </w:tr>
      <w:tr w14:paraId="47D8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C32A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10624A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B1615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68F84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7024DFB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《投影机能效限定值及能效等级》（GB32028）</w:t>
            </w:r>
          </w:p>
        </w:tc>
      </w:tr>
      <w:tr w14:paraId="1216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82675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0A4FF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A02020400多功能一体机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D9FAE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8687B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03A89A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《复印机、打印机和传真机能效限定值及能效等级》（GB21521）</w:t>
            </w:r>
          </w:p>
        </w:tc>
      </w:tr>
      <w:tr w14:paraId="56E6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5B3B0E7">
            <w:pPr>
              <w:pStyle w:val="97"/>
              <w:keepNext w:val="0"/>
              <w:keepLines w:val="0"/>
              <w:suppressLineNumbers w:val="0"/>
              <w:spacing w:before="16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72897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A02051900泵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9F900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A02051901离心泵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648F8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C0E526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《清水离心泵能效限定值及节能评价值》（GB19762）</w:t>
            </w:r>
          </w:p>
        </w:tc>
      </w:tr>
      <w:tr w14:paraId="1056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AE6E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5CE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A02052300制冷空调设备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BB30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4A019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冷水机组</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5289AFA">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《冷水机组能效限定值及能效等级》（GB19577），《低环境温度空气源热泵（冷水）机组能效限定值及能效等级》（GB37480）</w:t>
            </w:r>
          </w:p>
        </w:tc>
      </w:tr>
      <w:tr w14:paraId="4450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BB69E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744DD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9BBD8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4015A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溴化锂吸收式冷水机组</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1014DFAD">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《溴化锂吸收式冷水机组能效限</w:t>
            </w:r>
          </w:p>
          <w:p w14:paraId="7383EF7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定值及能效等级》（GB29540）</w:t>
            </w:r>
          </w:p>
        </w:tc>
      </w:tr>
      <w:tr w14:paraId="6AAA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8EE9B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4E285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8F23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E49E3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多联式空调（热泵）机组（制冷量&gt;14000W）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655258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《多联式空调（热泵）机组能效限定值及能源效率等级》（GB21454）</w:t>
            </w:r>
          </w:p>
        </w:tc>
      </w:tr>
      <w:tr w14:paraId="7F8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2EEC9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33662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459B9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87B90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单元式空气调节机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36B856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《单元式空气调节机能效限定值及能效等级》（GB19576）《风管送风式空调机组能效限定值及能效等级》（GB37479）</w:t>
            </w:r>
          </w:p>
        </w:tc>
      </w:tr>
      <w:tr w14:paraId="09A4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F8901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1918E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460784">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B102D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机房空调</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C4F434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w:t>
            </w:r>
          </w:p>
          <w:p w14:paraId="2C9507C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及能效等级》（GB19576）</w:t>
            </w:r>
          </w:p>
        </w:tc>
      </w:tr>
      <w:tr w14:paraId="7A3F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BC850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7C7C1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008000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A02052399其他制冷</w:t>
            </w:r>
          </w:p>
          <w:p w14:paraId="003E929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AD4708">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en-US"/>
              </w:rPr>
            </w:pPr>
            <w:r>
              <w:rPr>
                <w:rFonts w:hint="eastAsia" w:ascii="宋体" w:hAnsi="宋体" w:eastAsia="宋体" w:cs="宋体"/>
                <w:sz w:val="21"/>
                <w:szCs w:val="21"/>
              </w:rPr>
              <w:t>冷却塔</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36CDD6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《机械通风冷却塔第1部分：中小型开式冷却塔》（GB/T7190.1）</w:t>
            </w:r>
          </w:p>
          <w:p w14:paraId="1FAD91C9">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《机械通风冷却塔第2部分：大型开式冷却塔》（GB/T7190.2）</w:t>
            </w:r>
          </w:p>
        </w:tc>
      </w:tr>
      <w:tr w14:paraId="5B42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B21A618">
            <w:pPr>
              <w:pStyle w:val="97"/>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B59231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A02060100电机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8527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FAAAC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E82002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《中小型三相异步电动机能效限定值及能效等级》（GB18613）</w:t>
            </w:r>
          </w:p>
        </w:tc>
      </w:tr>
      <w:tr w14:paraId="1671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37B2F54">
            <w:pPr>
              <w:pStyle w:val="97"/>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9A8E72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A02060200变压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9C85C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AB56B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40D3434">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《三相配电变压器能效限定值及能效等级》（GB 20052）</w:t>
            </w:r>
          </w:p>
        </w:tc>
      </w:tr>
      <w:tr w14:paraId="2D80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0A6B7A9">
            <w:pPr>
              <w:pStyle w:val="97"/>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6CE0D0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2101E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A0B7F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2EE4087">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《管形荧光灯镇流器能效限定值及能效等级》（GB17896）</w:t>
            </w:r>
          </w:p>
        </w:tc>
      </w:tr>
      <w:tr w14:paraId="36D3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10B20">
            <w:pPr>
              <w:pStyle w:val="97"/>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B0CB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FFF17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253FB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D3ED6AA">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《家用电冰箱耗电量限定值及能效等级》（GB12021.2）</w:t>
            </w:r>
          </w:p>
        </w:tc>
      </w:tr>
      <w:tr w14:paraId="5866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81FD4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A1D8F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6006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★A02061804空调机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4627F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房间空气调节器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434DBD0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《房间空气调节器能效限定值及能效等级》（GB21455-2019）</w:t>
            </w:r>
          </w:p>
        </w:tc>
      </w:tr>
      <w:tr w14:paraId="49F4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DCAC6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62C04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2F57F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FB2DFB">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多联式空调（热泵）机组（制冷量≤ 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7B12B6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《多联式空调（热泵）机组能效限定值及能源效率等级》（GB21454）</w:t>
            </w:r>
          </w:p>
        </w:tc>
      </w:tr>
      <w:tr w14:paraId="7D15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486DA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324A8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D7C07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B59D3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单元式空气调节机（制冷量≤ 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39B701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《单元式空气调节机能效限定值及能源效率等级》（GB19576）《风管送风式空调机组能效限定值及能效等级》（GB37479）</w:t>
            </w:r>
          </w:p>
        </w:tc>
      </w:tr>
      <w:tr w14:paraId="091C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E84F9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E652B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7C45A2">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A02061810洗衣机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A8FEFD7">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47DD9710">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《电动洗衣机能效水效限定值及等级》（GB12021.4）</w:t>
            </w:r>
          </w:p>
        </w:tc>
      </w:tr>
      <w:tr w14:paraId="16D4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EFE64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F00C9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1066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A02061819热水器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1A8AE77">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★电热水器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653D60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《储水式电热水器能效限定值及能效等级》（GB21519）</w:t>
            </w:r>
          </w:p>
        </w:tc>
      </w:tr>
      <w:tr w14:paraId="400A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7F1E9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3451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385FF8">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C77261">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燃气热水器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41906B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《家用燃气快速热水器和燃气采暖热水炉能效限定值及能效等级》（GB20665）</w:t>
            </w:r>
          </w:p>
        </w:tc>
      </w:tr>
      <w:tr w14:paraId="3EE9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30AF8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E84B0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0512B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5FCD34">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热泵热水器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AA8A61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《热泵热水机（器）能效限定值及能效等级》（GB29541）</w:t>
            </w:r>
          </w:p>
        </w:tc>
      </w:tr>
      <w:tr w14:paraId="04E6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B1404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A104C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918A7D">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C6F140">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太阳能热水系统</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0A88F16">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《家用太阳能热水系统能效限定值及能效等级》（GB26969）</w:t>
            </w:r>
          </w:p>
        </w:tc>
      </w:tr>
      <w:tr w14:paraId="6DB2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5E7AC0">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94AA0">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1D3E1B">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5B80C1">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44D079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《普通照明用双端荧光灯能效限定值及能效等级》（GB19043）</w:t>
            </w:r>
          </w:p>
        </w:tc>
      </w:tr>
      <w:tr w14:paraId="43A7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016C9E">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A658F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0E6EFEC">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LED道路/隧道照明产品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72BDD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5F2447E">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《道路和隧道照明用LED灯具能效限定值及能效等级》（GB37478）</w:t>
            </w:r>
          </w:p>
        </w:tc>
      </w:tr>
      <w:tr w14:paraId="7C0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848CDD">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E12745">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42C78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LED筒灯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7744049">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9FD5A7F">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《室内照明用LED产品能效限定值及能效等级》（GB30255）</w:t>
            </w:r>
          </w:p>
        </w:tc>
      </w:tr>
      <w:tr w14:paraId="1D37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F14380">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9D4AFD">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E6F5DC">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普通照明用非定向自镇流LED灯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C6EC7E">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8AE6CF7">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《室内照明用LED产品能效限定值及能效等级》（GB30255）</w:t>
            </w:r>
          </w:p>
        </w:tc>
      </w:tr>
      <w:tr w14:paraId="498B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A28A0A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A94C444">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2660CE">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A02091001普通电视设备（电视机）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C1ED0B">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77D635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《平板电视与机顶盒能效限定值及能效等级》（GB24850）</w:t>
            </w:r>
          </w:p>
        </w:tc>
      </w:tr>
      <w:tr w14:paraId="588E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EA5A2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01AFB02">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6BB161">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6580A7">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监视器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0C332F1">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076B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E3F45EF">
            <w:pPr>
              <w:pStyle w:val="97"/>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6E5C41C">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A02241000饮食炊事机械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A4307E">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商用燃气灶具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EAA505">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BC22312">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《商用燃气灶具能效限定值及能效等级》（GB30531）</w:t>
            </w:r>
          </w:p>
        </w:tc>
      </w:tr>
      <w:tr w14:paraId="00D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545C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8BAD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★A05020105便器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592718">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66703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5223ED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《坐便器水效限定值及水效等级》</w:t>
            </w:r>
          </w:p>
          <w:p w14:paraId="4ACB484C">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（GB25502）</w:t>
            </w:r>
          </w:p>
        </w:tc>
      </w:tr>
      <w:tr w14:paraId="00C3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B89E7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93F6F8">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A49A88">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6590E3E">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8939A22">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《蹲便器用水效率限定值及用水效率等级》（GB30717）</w:t>
            </w:r>
          </w:p>
        </w:tc>
      </w:tr>
      <w:tr w14:paraId="5177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941C0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4463F2">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13267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376685">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2A63BD9">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《小便器用水效率限定值及用水效率等级》（GB28377）</w:t>
            </w:r>
          </w:p>
        </w:tc>
      </w:tr>
      <w:tr w14:paraId="7F9E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FB1CDF4">
            <w:pPr>
              <w:pStyle w:val="97"/>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40D6693">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★A05020106水嘴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05CA8D">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FFF8B9">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FD8D810">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《水嘴用水效率限定值及用水效率等级》（GB 25501）</w:t>
            </w:r>
          </w:p>
        </w:tc>
      </w:tr>
      <w:tr w14:paraId="55F0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300B4B3">
            <w:pPr>
              <w:pStyle w:val="97"/>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934D49D">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4A6699">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BB0B36">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B6A50FC">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《便器冲洗阀用水效率限定值及用水效率等级》（GB28379）</w:t>
            </w:r>
          </w:p>
        </w:tc>
      </w:tr>
      <w:tr w14:paraId="4520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8A6F43">
            <w:pPr>
              <w:pStyle w:val="97"/>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CF5D8E2">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A05020110淋浴器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44C1CA">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63E3C1">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D48D731">
            <w:pPr>
              <w:pStyle w:val="97"/>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《淋浴器用水效率限定值及用水效率等级》（GB28378）</w:t>
            </w:r>
          </w:p>
        </w:tc>
      </w:tr>
    </w:tbl>
    <w:p w14:paraId="091EDC4A">
      <w:pPr>
        <w:pStyle w:val="11"/>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DCD9242">
      <w:pPr>
        <w:pStyle w:val="11"/>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7A65F1BB">
      <w:pPr>
        <w:pStyle w:val="14"/>
        <w:jc w:val="center"/>
        <w:outlineLvl w:val="0"/>
        <w:rPr>
          <w:rFonts w:hint="eastAsia" w:hAnsi="宋体" w:cs="宋体"/>
          <w:color w:val="auto"/>
          <w:szCs w:val="21"/>
          <w:highlight w:val="none"/>
        </w:rPr>
      </w:pPr>
    </w:p>
    <w:p w14:paraId="149BBA61">
      <w:pPr>
        <w:pStyle w:val="14"/>
        <w:jc w:val="center"/>
        <w:outlineLvl w:val="0"/>
        <w:rPr>
          <w:rFonts w:hint="eastAsia" w:hAnsi="宋体" w:cs="宋体"/>
          <w:color w:val="auto"/>
          <w:szCs w:val="21"/>
          <w:highlight w:val="none"/>
        </w:rPr>
      </w:pPr>
    </w:p>
    <w:p w14:paraId="782D3E7D">
      <w:pPr>
        <w:pStyle w:val="14"/>
        <w:jc w:val="center"/>
        <w:outlineLvl w:val="0"/>
        <w:rPr>
          <w:rFonts w:hint="eastAsia" w:hAnsi="宋体" w:cs="宋体"/>
          <w:color w:val="auto"/>
          <w:szCs w:val="21"/>
          <w:highlight w:val="none"/>
        </w:rPr>
      </w:pPr>
    </w:p>
    <w:p w14:paraId="494E84B1">
      <w:pPr>
        <w:pStyle w:val="14"/>
        <w:jc w:val="center"/>
        <w:outlineLvl w:val="0"/>
        <w:rPr>
          <w:rFonts w:hint="eastAsia" w:hAnsi="宋体" w:cs="宋体"/>
          <w:color w:val="auto"/>
          <w:szCs w:val="21"/>
          <w:highlight w:val="none"/>
        </w:rPr>
      </w:pPr>
    </w:p>
    <w:p w14:paraId="66156455">
      <w:pPr>
        <w:pStyle w:val="14"/>
        <w:jc w:val="center"/>
        <w:outlineLvl w:val="0"/>
        <w:rPr>
          <w:rFonts w:hint="eastAsia" w:hAnsi="宋体" w:cs="宋体"/>
          <w:color w:val="auto"/>
          <w:szCs w:val="21"/>
          <w:highlight w:val="none"/>
        </w:rPr>
      </w:pPr>
    </w:p>
    <w:p w14:paraId="101567A0">
      <w:pPr>
        <w:pStyle w:val="14"/>
        <w:jc w:val="center"/>
        <w:outlineLvl w:val="0"/>
        <w:rPr>
          <w:rFonts w:hint="eastAsia" w:hAnsi="宋体" w:cs="宋体"/>
          <w:color w:val="auto"/>
          <w:szCs w:val="21"/>
          <w:highlight w:val="none"/>
        </w:rPr>
      </w:pPr>
    </w:p>
    <w:p w14:paraId="35BAF82E">
      <w:pPr>
        <w:pStyle w:val="14"/>
        <w:jc w:val="center"/>
        <w:outlineLvl w:val="0"/>
        <w:rPr>
          <w:rFonts w:hint="eastAsia" w:hAnsi="宋体" w:cs="宋体"/>
          <w:color w:val="auto"/>
          <w:szCs w:val="21"/>
          <w:highlight w:val="none"/>
        </w:rPr>
      </w:pPr>
    </w:p>
    <w:p w14:paraId="1679D273">
      <w:pPr>
        <w:pStyle w:val="14"/>
        <w:jc w:val="center"/>
        <w:outlineLvl w:val="0"/>
        <w:rPr>
          <w:rFonts w:hint="eastAsia" w:hAnsi="宋体" w:cs="宋体"/>
          <w:color w:val="auto"/>
          <w:szCs w:val="21"/>
          <w:highlight w:val="none"/>
        </w:rPr>
      </w:pPr>
    </w:p>
    <w:p w14:paraId="6B5BFFDB">
      <w:pPr>
        <w:pStyle w:val="14"/>
        <w:jc w:val="center"/>
        <w:outlineLvl w:val="0"/>
        <w:rPr>
          <w:rFonts w:hint="eastAsia" w:hAnsi="宋体" w:cs="宋体"/>
          <w:color w:val="auto"/>
          <w:szCs w:val="21"/>
          <w:highlight w:val="none"/>
        </w:rPr>
      </w:pPr>
    </w:p>
    <w:p w14:paraId="1F834D86">
      <w:pPr>
        <w:pStyle w:val="14"/>
        <w:jc w:val="center"/>
        <w:outlineLvl w:val="0"/>
        <w:rPr>
          <w:rFonts w:hint="eastAsia" w:hAnsi="宋体" w:cs="宋体"/>
          <w:color w:val="auto"/>
          <w:szCs w:val="21"/>
          <w:highlight w:val="none"/>
        </w:rPr>
      </w:pPr>
    </w:p>
    <w:p w14:paraId="155A9DF1">
      <w:pPr>
        <w:pStyle w:val="14"/>
        <w:jc w:val="center"/>
        <w:outlineLvl w:val="0"/>
        <w:rPr>
          <w:rFonts w:hint="eastAsia" w:hAnsi="宋体" w:cs="宋体"/>
          <w:color w:val="auto"/>
          <w:szCs w:val="21"/>
          <w:highlight w:val="none"/>
        </w:rPr>
      </w:pPr>
    </w:p>
    <w:p w14:paraId="0FAAA05B">
      <w:pPr>
        <w:pStyle w:val="14"/>
        <w:jc w:val="center"/>
        <w:outlineLvl w:val="0"/>
        <w:rPr>
          <w:rFonts w:hint="eastAsia" w:hAnsi="宋体" w:cs="宋体"/>
          <w:color w:val="auto"/>
          <w:szCs w:val="21"/>
          <w:highlight w:val="none"/>
        </w:rPr>
      </w:pPr>
    </w:p>
    <w:p w14:paraId="23BE3AF4">
      <w:pPr>
        <w:pStyle w:val="14"/>
        <w:jc w:val="center"/>
        <w:outlineLvl w:val="0"/>
        <w:rPr>
          <w:rFonts w:hint="eastAsia" w:hAnsi="宋体" w:cs="宋体"/>
          <w:color w:val="auto"/>
          <w:szCs w:val="21"/>
          <w:highlight w:val="none"/>
        </w:rPr>
      </w:pPr>
    </w:p>
    <w:p w14:paraId="3271C91F">
      <w:pPr>
        <w:pStyle w:val="14"/>
        <w:jc w:val="center"/>
        <w:outlineLvl w:val="0"/>
        <w:rPr>
          <w:rFonts w:hint="eastAsia" w:hAnsi="宋体" w:cs="宋体"/>
          <w:color w:val="auto"/>
          <w:szCs w:val="21"/>
          <w:highlight w:val="none"/>
        </w:rPr>
      </w:pPr>
    </w:p>
    <w:p w14:paraId="2BFA2E84">
      <w:pPr>
        <w:pStyle w:val="14"/>
        <w:jc w:val="center"/>
        <w:outlineLvl w:val="0"/>
        <w:rPr>
          <w:rFonts w:hint="eastAsia" w:hAnsi="宋体" w:cs="宋体"/>
          <w:color w:val="auto"/>
          <w:szCs w:val="21"/>
          <w:highlight w:val="none"/>
        </w:rPr>
      </w:pPr>
    </w:p>
    <w:p w14:paraId="4DE7B7DE">
      <w:pPr>
        <w:pStyle w:val="14"/>
        <w:jc w:val="center"/>
        <w:outlineLvl w:val="0"/>
        <w:rPr>
          <w:rFonts w:hint="eastAsia" w:hAnsi="宋体" w:cs="宋体"/>
          <w:color w:val="auto"/>
          <w:szCs w:val="21"/>
          <w:highlight w:val="none"/>
        </w:rPr>
      </w:pPr>
    </w:p>
    <w:p w14:paraId="6B1F9C5D">
      <w:pPr>
        <w:pStyle w:val="14"/>
        <w:jc w:val="center"/>
        <w:outlineLvl w:val="0"/>
        <w:rPr>
          <w:rFonts w:hint="eastAsia" w:hAnsi="宋体" w:cs="宋体"/>
          <w:color w:val="auto"/>
          <w:szCs w:val="21"/>
          <w:highlight w:val="none"/>
        </w:rPr>
      </w:pPr>
    </w:p>
    <w:p w14:paraId="3CD32D64">
      <w:pPr>
        <w:pStyle w:val="14"/>
        <w:jc w:val="center"/>
        <w:outlineLvl w:val="0"/>
        <w:rPr>
          <w:rFonts w:hint="eastAsia" w:hAnsi="宋体" w:cs="宋体"/>
          <w:color w:val="auto"/>
          <w:szCs w:val="21"/>
          <w:highlight w:val="none"/>
        </w:rPr>
      </w:pPr>
    </w:p>
    <w:p w14:paraId="3C34D7EC">
      <w:pPr>
        <w:pStyle w:val="14"/>
        <w:jc w:val="center"/>
        <w:outlineLvl w:val="0"/>
        <w:rPr>
          <w:rFonts w:hint="eastAsia" w:hAnsi="宋体" w:cs="宋体"/>
          <w:color w:val="auto"/>
          <w:szCs w:val="21"/>
          <w:highlight w:val="none"/>
        </w:rPr>
      </w:pPr>
    </w:p>
    <w:p w14:paraId="079A58C5">
      <w:pPr>
        <w:pStyle w:val="14"/>
        <w:jc w:val="center"/>
        <w:outlineLvl w:val="0"/>
        <w:rPr>
          <w:rFonts w:hint="eastAsia" w:hAnsi="宋体" w:cs="宋体"/>
          <w:color w:val="auto"/>
          <w:szCs w:val="21"/>
          <w:highlight w:val="none"/>
        </w:rPr>
      </w:pPr>
    </w:p>
    <w:p w14:paraId="6E5EC74D">
      <w:pPr>
        <w:pStyle w:val="14"/>
        <w:jc w:val="center"/>
        <w:outlineLvl w:val="0"/>
        <w:rPr>
          <w:rFonts w:hint="eastAsia" w:hAnsi="宋体" w:cs="宋体"/>
          <w:color w:val="auto"/>
          <w:szCs w:val="21"/>
          <w:highlight w:val="none"/>
        </w:rPr>
      </w:pPr>
    </w:p>
    <w:p w14:paraId="28A6B064">
      <w:pPr>
        <w:pStyle w:val="2"/>
        <w:bidi w:val="0"/>
        <w:jc w:val="center"/>
        <w:rPr>
          <w:sz w:val="36"/>
          <w:szCs w:val="36"/>
        </w:rPr>
      </w:pPr>
      <w:bookmarkStart w:id="83" w:name="_Toc11207"/>
      <w:r>
        <w:rPr>
          <w:rFonts w:hint="eastAsia"/>
          <w:sz w:val="36"/>
          <w:szCs w:val="36"/>
        </w:rPr>
        <w:t>第三章  投标人须知</w:t>
      </w:r>
      <w:bookmarkEnd w:id="78"/>
      <w:bookmarkEnd w:id="79"/>
      <w:bookmarkEnd w:id="80"/>
      <w:bookmarkEnd w:id="81"/>
      <w:bookmarkEnd w:id="82"/>
      <w:bookmarkEnd w:id="83"/>
    </w:p>
    <w:p w14:paraId="3C9A24EB">
      <w:pPr>
        <w:pStyle w:val="14"/>
        <w:spacing w:line="720" w:lineRule="auto"/>
        <w:ind w:firstLine="452"/>
        <w:jc w:val="center"/>
        <w:outlineLvl w:val="1"/>
        <w:rPr>
          <w:rFonts w:hAnsi="宋体" w:cs="宋体"/>
          <w:b/>
          <w:color w:val="auto"/>
          <w:sz w:val="30"/>
          <w:szCs w:val="30"/>
          <w:highlight w:val="none"/>
        </w:rPr>
      </w:pPr>
      <w:bookmarkStart w:id="84" w:name="_Toc28990"/>
      <w:bookmarkStart w:id="85" w:name="_Toc2967"/>
      <w:bookmarkStart w:id="86" w:name="_Toc20955"/>
      <w:bookmarkStart w:id="87" w:name="_Toc992"/>
      <w:r>
        <w:rPr>
          <w:rFonts w:hint="eastAsia" w:hAnsi="宋体" w:cs="宋体"/>
          <w:b/>
          <w:color w:val="auto"/>
          <w:sz w:val="30"/>
          <w:szCs w:val="30"/>
          <w:highlight w:val="none"/>
        </w:rPr>
        <w:t>第一节 投标人须知前附表</w:t>
      </w:r>
      <w:bookmarkEnd w:id="84"/>
      <w:bookmarkEnd w:id="85"/>
      <w:bookmarkEnd w:id="86"/>
      <w:bookmarkEnd w:id="87"/>
    </w:p>
    <w:tbl>
      <w:tblPr>
        <w:tblStyle w:val="28"/>
        <w:tblW w:w="93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6419"/>
      </w:tblGrid>
      <w:tr w14:paraId="14AE2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AC06A59">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noWrap/>
            <w:vAlign w:val="center"/>
          </w:tcPr>
          <w:p w14:paraId="25D17B09">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6419" w:type="dxa"/>
            <w:tcBorders>
              <w:top w:val="single" w:color="auto" w:sz="4" w:space="0"/>
              <w:left w:val="single" w:color="auto" w:sz="4" w:space="0"/>
              <w:bottom w:val="single" w:color="auto" w:sz="4" w:space="0"/>
              <w:right w:val="single" w:color="auto" w:sz="4" w:space="0"/>
            </w:tcBorders>
            <w:noWrap/>
            <w:vAlign w:val="center"/>
          </w:tcPr>
          <w:p w14:paraId="3E53A61F">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712FB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5407E5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noWrap/>
            <w:vAlign w:val="center"/>
          </w:tcPr>
          <w:p w14:paraId="66D1DF3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7074855C">
            <w:pPr>
              <w:pStyle w:val="10"/>
              <w:keepNext w:val="0"/>
              <w:keepLines w:val="0"/>
              <w:suppressLineNumbers w:val="0"/>
              <w:spacing w:before="0" w:beforeAutospacing="0" w:after="0" w:afterAutospacing="0" w:line="360" w:lineRule="exact"/>
              <w:ind w:left="0" w:right="0"/>
              <w:jc w:val="both"/>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DD21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153668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noWrap/>
            <w:vAlign w:val="center"/>
          </w:tcPr>
          <w:p w14:paraId="7A35A7D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88" w:name="_5"/>
            <w:bookmarkEnd w:id="88"/>
            <w:bookmarkStart w:id="89" w:name="_9.2"/>
            <w:bookmarkEnd w:id="89"/>
            <w:bookmarkStart w:id="90" w:name="_8.1"/>
            <w:bookmarkEnd w:id="90"/>
            <w:r>
              <w:rPr>
                <w:rFonts w:hint="eastAsia" w:ascii="宋体" w:hAnsi="宋体" w:cs="宋体"/>
                <w:color w:val="auto"/>
                <w:szCs w:val="21"/>
                <w:highlight w:val="none"/>
              </w:rPr>
              <w:t>是否接受联合体投标</w:t>
            </w:r>
          </w:p>
        </w:tc>
        <w:tc>
          <w:tcPr>
            <w:tcW w:w="6419" w:type="dxa"/>
            <w:tcBorders>
              <w:top w:val="single" w:color="auto" w:sz="4" w:space="0"/>
              <w:left w:val="single" w:color="auto" w:sz="4" w:space="0"/>
              <w:bottom w:val="single" w:color="auto" w:sz="4" w:space="0"/>
              <w:right w:val="single" w:color="auto" w:sz="4" w:space="0"/>
            </w:tcBorders>
            <w:noWrap/>
            <w:vAlign w:val="center"/>
          </w:tcPr>
          <w:p w14:paraId="62B74D01">
            <w:pPr>
              <w:pStyle w:val="10"/>
              <w:keepNext w:val="0"/>
              <w:keepLines w:val="0"/>
              <w:suppressLineNumbers w:val="0"/>
              <w:spacing w:before="0" w:beforeAutospacing="0" w:after="0" w:afterAutospacing="0" w:line="360" w:lineRule="exact"/>
              <w:ind w:left="0" w:right="0"/>
              <w:jc w:val="both"/>
              <w:rPr>
                <w:rFonts w:ascii="宋体" w:hAnsi="宋体" w:cs="宋体"/>
                <w:color w:val="auto"/>
                <w:szCs w:val="21"/>
                <w:highlight w:val="none"/>
              </w:rPr>
            </w:pPr>
            <w:bookmarkStart w:id="91" w:name="PO_3000001867_PM007_1"/>
            <w:r>
              <w:rPr>
                <w:rFonts w:hint="eastAsia" w:ascii="宋体" w:hAnsi="宋体" w:cs="宋体"/>
                <w:color w:val="auto"/>
                <w:szCs w:val="21"/>
                <w:highlight w:val="none"/>
              </w:rPr>
              <w:t>详见招标公告</w:t>
            </w:r>
            <w:bookmarkEnd w:id="91"/>
            <w:r>
              <w:rPr>
                <w:rFonts w:hint="eastAsia" w:ascii="宋体" w:hAnsi="宋体" w:cs="宋体"/>
                <w:color w:val="auto"/>
                <w:szCs w:val="21"/>
                <w:highlight w:val="none"/>
              </w:rPr>
              <w:t>。</w:t>
            </w:r>
          </w:p>
        </w:tc>
      </w:tr>
      <w:tr w14:paraId="4C852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4F4646F">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noWrap/>
            <w:vAlign w:val="center"/>
          </w:tcPr>
          <w:p w14:paraId="5C74D3E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31749066">
            <w:pPr>
              <w:keepNext w:val="0"/>
              <w:keepLines w:val="0"/>
              <w:suppressLineNumbers w:val="0"/>
              <w:spacing w:before="0" w:beforeAutospacing="0" w:after="0" w:afterAutospacing="0"/>
              <w:ind w:left="0" w:right="0"/>
              <w:rPr>
                <w:rFonts w:ascii="宋体" w:hAnsi="宋体" w:cs="宋体"/>
                <w:color w:val="auto"/>
                <w:szCs w:val="21"/>
                <w:highlight w:val="none"/>
              </w:rPr>
            </w:pPr>
            <w:r>
              <w:rPr>
                <w:rFonts w:hint="eastAsia" w:ascii="宋体" w:hAnsi="宋体" w:cs="Arial"/>
                <w:color w:val="auto"/>
                <w:highlight w:val="none"/>
              </w:rPr>
              <w:t>本项目不接受联合体投标</w:t>
            </w:r>
          </w:p>
        </w:tc>
      </w:tr>
      <w:tr w14:paraId="5D684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999827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noWrap/>
            <w:vAlign w:val="center"/>
          </w:tcPr>
          <w:p w14:paraId="43BB167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419" w:type="dxa"/>
            <w:tcBorders>
              <w:top w:val="single" w:color="auto" w:sz="4" w:space="0"/>
              <w:left w:val="single" w:color="auto" w:sz="4" w:space="0"/>
              <w:bottom w:val="single" w:color="auto" w:sz="4" w:space="0"/>
              <w:right w:val="single" w:color="auto" w:sz="4" w:space="0"/>
            </w:tcBorders>
            <w:noWrap/>
            <w:vAlign w:val="center"/>
          </w:tcPr>
          <w:p w14:paraId="7F8E33A8">
            <w:pPr>
              <w:pStyle w:val="10"/>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2" w:name="PO_3000001871_PM044"/>
            <w:bookmarkStart w:id="93" w:name="PO_3000001867_PM044"/>
            <w:r>
              <w:rPr>
                <w:rFonts w:hint="eastAsia" w:asciiTheme="minorEastAsia" w:hAnsiTheme="minorEastAsia" w:eastAsiaTheme="minorEastAsia" w:cstheme="minorEastAsia"/>
                <w:color w:val="auto"/>
                <w:szCs w:val="21"/>
                <w:highlight w:val="none"/>
              </w:rPr>
              <w:t>不允许分包</w:t>
            </w:r>
            <w:bookmarkEnd w:id="92"/>
            <w:r>
              <w:rPr>
                <w:rFonts w:hint="eastAsia" w:asciiTheme="minorEastAsia" w:hAnsiTheme="minorEastAsia" w:eastAsiaTheme="minorEastAsia" w:cstheme="minorEastAsia"/>
                <w:color w:val="auto"/>
                <w:szCs w:val="21"/>
                <w:highlight w:val="none"/>
              </w:rPr>
              <w:t>。</w:t>
            </w:r>
            <w:bookmarkEnd w:id="93"/>
          </w:p>
        </w:tc>
      </w:tr>
      <w:tr w14:paraId="47580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73DF31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8.4</w:t>
            </w:r>
          </w:p>
        </w:tc>
        <w:tc>
          <w:tcPr>
            <w:tcW w:w="2083" w:type="dxa"/>
            <w:tcBorders>
              <w:top w:val="single" w:color="auto" w:sz="4" w:space="0"/>
              <w:left w:val="single" w:color="auto" w:sz="4" w:space="0"/>
              <w:right w:val="single" w:color="auto" w:sz="4" w:space="0"/>
            </w:tcBorders>
            <w:noWrap/>
            <w:vAlign w:val="center"/>
          </w:tcPr>
          <w:p w14:paraId="4E17EF2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6419" w:type="dxa"/>
            <w:tcBorders>
              <w:top w:val="single" w:color="auto" w:sz="4" w:space="0"/>
              <w:left w:val="single" w:color="auto" w:sz="4" w:space="0"/>
              <w:right w:val="single" w:color="auto" w:sz="4" w:space="0"/>
            </w:tcBorders>
            <w:noWrap/>
            <w:vAlign w:val="center"/>
          </w:tcPr>
          <w:p w14:paraId="44596BFB">
            <w:pPr>
              <w:pStyle w:val="14"/>
              <w:keepNext w:val="0"/>
              <w:keepLines w:val="0"/>
              <w:suppressLineNumbers w:val="0"/>
              <w:spacing w:before="0" w:beforeAutospacing="0" w:after="0" w:afterAutospacing="0" w:line="240" w:lineRule="auto"/>
              <w:ind w:left="0" w:right="0"/>
              <w:rPr>
                <w:rFonts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SA"/>
              </w:rPr>
              <w:t>采用综合评分法</w:t>
            </w:r>
            <w:r>
              <w:rPr>
                <w:rFonts w:hint="eastAsia" w:ascii="宋体" w:hAnsi="宋体" w:eastAsia="宋体" w:cs="宋体"/>
                <w:color w:val="auto"/>
                <w:kern w:val="2"/>
                <w:sz w:val="21"/>
                <w:szCs w:val="21"/>
                <w:highlight w:val="none"/>
                <w:lang w:val="en-US" w:eastAsia="zh-CN" w:bidi="ar-SA"/>
              </w:rPr>
              <w:t>，评审得分相同的，以投标报价由低到高顺序排列。得分相同且投标报价相同的，依次按技术评分高优先、商务评分高优先顺序排列，均相同时，由采购人随机抽取。</w:t>
            </w:r>
          </w:p>
        </w:tc>
      </w:tr>
      <w:tr w14:paraId="0BADE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DD7086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noWrap/>
            <w:vAlign w:val="center"/>
          </w:tcPr>
          <w:p w14:paraId="69D471E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419" w:type="dxa"/>
            <w:tcBorders>
              <w:top w:val="single" w:color="auto" w:sz="4" w:space="0"/>
              <w:left w:val="single" w:color="auto" w:sz="4" w:space="0"/>
              <w:bottom w:val="single" w:color="auto" w:sz="4" w:space="0"/>
              <w:right w:val="single" w:color="auto" w:sz="4" w:space="0"/>
            </w:tcBorders>
            <w:noWrap/>
            <w:vAlign w:val="center"/>
          </w:tcPr>
          <w:p w14:paraId="2AEA483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68952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505198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noWrap/>
            <w:vAlign w:val="center"/>
          </w:tcPr>
          <w:p w14:paraId="4171B1F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6419" w:type="dxa"/>
            <w:tcBorders>
              <w:top w:val="single" w:color="auto" w:sz="4" w:space="0"/>
              <w:left w:val="single" w:color="auto" w:sz="4" w:space="0"/>
              <w:bottom w:val="single" w:color="auto" w:sz="4" w:space="0"/>
              <w:right w:val="single" w:color="auto" w:sz="4" w:space="0"/>
            </w:tcBorders>
            <w:noWrap/>
            <w:vAlign w:val="center"/>
          </w:tcPr>
          <w:p w14:paraId="126A838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u w:val="single"/>
              </w:rPr>
            </w:pPr>
            <w:r>
              <w:rPr>
                <w:rFonts w:hint="eastAsia" w:ascii="宋体" w:hAnsi="宋体" w:cs="宋体"/>
                <w:color w:val="auto"/>
                <w:szCs w:val="21"/>
                <w:highlight w:val="none"/>
              </w:rPr>
              <w:t>不组织召开开标前答疑会</w:t>
            </w:r>
          </w:p>
        </w:tc>
      </w:tr>
      <w:tr w14:paraId="1FC6C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7B40661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noWrap/>
            <w:vAlign w:val="center"/>
          </w:tcPr>
          <w:p w14:paraId="3744608B">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94" w:name="_13.2"/>
            <w:bookmarkEnd w:id="94"/>
            <w:r>
              <w:rPr>
                <w:rFonts w:hint="eastAsia" w:ascii="宋体" w:hAnsi="宋体" w:cs="宋体"/>
                <w:color w:val="auto"/>
                <w:szCs w:val="21"/>
                <w:highlight w:val="none"/>
              </w:rPr>
              <w:t>资格证明文件组成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4F60E224">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投标人为法人或者其他组织的，提供营业执照等证明文件复印件（如营业执照或者事业单位法人证书或者执业许可证等），投标人为自然人的，提供有效身份证正反面复印件。（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5B1721">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投标人依法缴纳税收的相关材料（提供税款所属时期为202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月至投标文件提交截止时间止的任意</w:t>
            </w:r>
            <w:r>
              <w:rPr>
                <w:rFonts w:hint="eastAsia" w:ascii="宋体" w:hAnsi="宋体" w:cs="宋体"/>
                <w:color w:val="auto"/>
                <w:szCs w:val="21"/>
                <w:highlight w:val="none"/>
                <w:lang w:eastAsia="zh-CN"/>
              </w:rPr>
              <w:t>连续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个月的依法缴纳税收的凭据复印件。依法免税</w:t>
            </w:r>
            <w:r>
              <w:rPr>
                <w:rFonts w:hint="eastAsia" w:ascii="宋体" w:hAnsi="宋体" w:cs="宋体"/>
                <w:color w:val="auto"/>
                <w:szCs w:val="21"/>
                <w:highlight w:val="none"/>
                <w:lang w:eastAsia="zh-CN"/>
              </w:rPr>
              <w:t>或零申报</w:t>
            </w:r>
            <w:r>
              <w:rPr>
                <w:rFonts w:hint="eastAsia" w:ascii="宋体" w:hAnsi="宋体" w:cs="宋体"/>
                <w:color w:val="auto"/>
                <w:szCs w:val="21"/>
                <w:highlight w:val="none"/>
              </w:rPr>
              <w:t>的投标人，必须提供相应文件证明其依法免税</w:t>
            </w:r>
            <w:r>
              <w:rPr>
                <w:rFonts w:hint="eastAsia" w:ascii="宋体" w:hAnsi="宋体" w:cs="宋体"/>
                <w:color w:val="auto"/>
                <w:szCs w:val="21"/>
                <w:highlight w:val="none"/>
                <w:lang w:eastAsia="zh-CN"/>
              </w:rPr>
              <w:t>或零申报材料</w:t>
            </w:r>
            <w:r>
              <w:rPr>
                <w:rFonts w:hint="eastAsia" w:ascii="宋体" w:hAnsi="宋体" w:cs="宋体"/>
                <w:color w:val="auto"/>
                <w:szCs w:val="21"/>
                <w:highlight w:val="none"/>
              </w:rPr>
              <w:t>。从取得营业执照时间起到投标文件提交截止时间为止不足要求月数的，只需提供从取得营业执照起的依法缴纳税收相应证明文件）。（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8503CFA">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投标人依法缴纳社会保障资金的相关材料（提供税款所属时期或缴费起始时间为202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月至投标文件提交截止时间止的任意</w:t>
            </w:r>
            <w:r>
              <w:rPr>
                <w:rFonts w:hint="eastAsia" w:ascii="宋体" w:hAnsi="宋体" w:cs="宋体"/>
                <w:color w:val="auto"/>
                <w:szCs w:val="21"/>
                <w:highlight w:val="none"/>
                <w:lang w:eastAsia="zh-CN"/>
              </w:rPr>
              <w:t>连续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8C6B112">
            <w:pPr>
              <w:keepNext w:val="0"/>
              <w:keepLines w:val="0"/>
              <w:pageBreakBefore w:val="0"/>
              <w:suppressLineNumbers w:val="0"/>
              <w:kinsoku/>
              <w:wordWrap/>
              <w:topLinePunct w:val="0"/>
              <w:bidi w:val="0"/>
              <w:adjustRightInd w:val="0"/>
              <w:spacing w:before="0" w:beforeAutospacing="0" w:after="0" w:afterAutospacing="0" w:line="440" w:lineRule="exact"/>
              <w:ind w:left="0" w:right="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投标人财务状况报告</w:t>
            </w:r>
            <w:r>
              <w:rPr>
                <w:rFonts w:hint="eastAsia" w:ascii="宋体" w:hAnsi="宋体" w:eastAsia="宋体" w:cs="宋体"/>
                <w:color w:val="auto"/>
                <w:szCs w:val="21"/>
                <w:highlight w:val="none"/>
              </w:rPr>
              <w:t>或者银行出具的资信证明[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eastAsia="zh-CN"/>
              </w:rPr>
              <w:t>或</w:t>
            </w:r>
            <w:r>
              <w:rPr>
                <w:rFonts w:hint="eastAsia" w:ascii="宋体" w:hAnsi="宋体" w:cs="宋体"/>
                <w:color w:val="auto"/>
                <w:szCs w:val="21"/>
                <w:highlight w:val="none"/>
                <w:u w:val="single"/>
                <w:lang w:val="en-US" w:eastAsia="zh-CN"/>
              </w:rPr>
              <w:t>2025年</w:t>
            </w:r>
            <w:r>
              <w:rPr>
                <w:rFonts w:hint="eastAsia" w:ascii="宋体" w:hAnsi="宋体" w:eastAsia="宋体" w:cs="宋体"/>
                <w:color w:val="auto"/>
                <w:szCs w:val="21"/>
                <w:highlight w:val="none"/>
              </w:rPr>
              <w:t>财务状况报告，或者经审计的2024年或2025年财务报告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或者银行出具的资信证明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资信证明应在有效期内，未注明有效期的</w:t>
            </w:r>
            <w:r>
              <w:rPr>
                <w:rFonts w:hint="eastAsia" w:ascii="宋体" w:hAnsi="宋体" w:eastAsia="宋体" w:cs="宋体"/>
                <w:color w:val="auto"/>
                <w:szCs w:val="21"/>
                <w:highlight w:val="none"/>
                <w:lang w:val="en-US" w:eastAsia="zh-CN"/>
              </w:rPr>
              <w:t>视为自</w:t>
            </w:r>
            <w:r>
              <w:rPr>
                <w:rFonts w:hint="eastAsia" w:ascii="宋体" w:hAnsi="宋体" w:eastAsia="宋体" w:cs="宋体"/>
                <w:color w:val="auto"/>
                <w:szCs w:val="21"/>
                <w:highlight w:val="none"/>
              </w:rPr>
              <w:t>出具时间</w:t>
            </w:r>
            <w:r>
              <w:rPr>
                <w:rFonts w:hint="eastAsia" w:ascii="宋体" w:hAnsi="宋体" w:eastAsia="宋体" w:cs="宋体"/>
                <w:color w:val="auto"/>
                <w:szCs w:val="21"/>
                <w:highlight w:val="none"/>
                <w:lang w:val="en-US" w:eastAsia="zh-CN"/>
              </w:rPr>
              <w:t>起</w:t>
            </w:r>
            <w:r>
              <w:rPr>
                <w:rFonts w:hint="eastAsia" w:ascii="宋体" w:hAnsi="宋体" w:eastAsia="宋体" w:cs="宋体"/>
                <w:color w:val="auto"/>
                <w:szCs w:val="21"/>
                <w:highlight w:val="none"/>
              </w:rPr>
              <w:t>一年</w:t>
            </w:r>
            <w:r>
              <w:rPr>
                <w:rFonts w:hint="eastAsia" w:ascii="宋体" w:hAnsi="宋体" w:eastAsia="宋体" w:cs="宋体"/>
                <w:color w:val="auto"/>
                <w:szCs w:val="21"/>
                <w:highlight w:val="none"/>
                <w:lang w:val="en-US" w:eastAsia="zh-CN"/>
              </w:rPr>
              <w:t>内有效</w:t>
            </w:r>
            <w:r>
              <w:rPr>
                <w:rFonts w:hint="eastAsia" w:ascii="宋体" w:hAnsi="宋体" w:eastAsia="宋体" w:cs="宋体"/>
                <w:color w:val="auto"/>
                <w:szCs w:val="21"/>
                <w:highlight w:val="none"/>
                <w:lang w:eastAsia="zh-CN"/>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投标人为投标当年新成立公司的，应提供于公司成立之日后的财务状况报告。上述财务状况报告包括：投标人执行《企业会计准则》的，提供资产负债表、利润表、现金流量表、所有者权益变动表及其附注（以下称“四表一注”）；投标人执行《小企业会计准则》的，提供资产负债表、利润表、现金流量表及其附注（以下称“三表一注”）；投标人执行《政府会计制度》的，提供资产负债表、收入费用表和净资产变动表及其附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F8617A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声明函（格式后附）。（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64F2EBE">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投标人直接控股股东信息表（格式后附）。（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BD40E38">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7</w:t>
            </w:r>
            <w:bookmarkStart w:id="95" w:name="OLE_LINK92"/>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投标人直接管理关系信息表</w:t>
            </w:r>
            <w:bookmarkEnd w:id="95"/>
            <w:r>
              <w:rPr>
                <w:rFonts w:hint="eastAsia" w:ascii="宋体" w:hAnsi="宋体" w:cs="宋体"/>
                <w:color w:val="auto"/>
                <w:szCs w:val="21"/>
                <w:highlight w:val="none"/>
              </w:rPr>
              <w:t>（格式后附）。（</w:t>
            </w:r>
            <w:r>
              <w:rPr>
                <w:rFonts w:hint="eastAsia" w:ascii="宋体" w:hAnsi="宋体" w:cs="宋体"/>
                <w:b/>
                <w:color w:val="auto"/>
                <w:szCs w:val="21"/>
                <w:highlight w:val="none"/>
              </w:rPr>
              <w:t>必须提供，</w:t>
            </w:r>
            <w:bookmarkStart w:id="96" w:name="OLE_LINK190"/>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bookmarkEnd w:id="96"/>
          <w:p w14:paraId="7563A12D">
            <w:pPr>
              <w:keepNext w:val="0"/>
              <w:keepLines w:val="0"/>
              <w:suppressLineNumbers w:val="0"/>
              <w:snapToGrid w:val="0"/>
              <w:spacing w:before="0" w:beforeAutospacing="0" w:after="0" w:afterAutospacing="0" w:line="360" w:lineRule="auto"/>
              <w:ind w:left="0" w:right="0"/>
              <w:jc w:val="left"/>
              <w:rPr>
                <w:rFonts w:hint="eastAsia" w:ascii="宋体" w:hAnsi="宋体" w:cs="宋体"/>
                <w:b/>
                <w:bCs/>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本项目的特定资格要求材料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无 。</w:t>
            </w:r>
            <w:bookmarkStart w:id="97" w:name="OLE_LINK212"/>
          </w:p>
          <w:bookmarkEnd w:id="97"/>
          <w:p w14:paraId="3184F25C">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联合体投标协议书（格式后附）。（</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5B93CB62">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除招标文件规定必须提供以外，投标人认为需要提供的其他证明材料（格式自拟）。</w:t>
            </w:r>
          </w:p>
          <w:p w14:paraId="58578039">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tc>
      </w:tr>
      <w:tr w14:paraId="156D8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7200FE9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721077AB">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98" w:name="_13.3"/>
            <w:bookmarkEnd w:id="98"/>
            <w:r>
              <w:rPr>
                <w:rFonts w:hint="eastAsia" w:ascii="宋体" w:hAnsi="宋体" w:cs="宋体"/>
                <w:color w:val="auto"/>
                <w:szCs w:val="21"/>
                <w:highlight w:val="none"/>
              </w:rPr>
              <w:t>商务文件组成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1E62BDBD">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DE2FA09">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4F93CEE">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7871DE78">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E46E07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投标保证金的缴纳材料（格式自拟）。（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10183EA">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投标人情况介绍（格式自拟）。</w:t>
            </w:r>
          </w:p>
          <w:p w14:paraId="33F1A9C7">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除招标文件规定必须提供以外，投标人认为需要提供的其他证明材料（</w:t>
            </w:r>
            <w:r>
              <w:rPr>
                <w:rFonts w:hint="eastAsia" w:ascii="宋体" w:hAnsi="宋体" w:cs="宋体"/>
                <w:color w:val="auto"/>
                <w:szCs w:val="21"/>
                <w:highlight w:val="none"/>
                <w:lang w:eastAsia="zh-CN"/>
              </w:rPr>
              <w:t>如业绩证明、企业相关体系认证证书等。</w:t>
            </w:r>
            <w:r>
              <w:rPr>
                <w:rFonts w:hint="eastAsia" w:ascii="宋体" w:hAnsi="宋体" w:cs="宋体"/>
                <w:color w:val="auto"/>
                <w:szCs w:val="21"/>
                <w:highlight w:val="none"/>
              </w:rPr>
              <w:t>格式自拟）。</w:t>
            </w:r>
          </w:p>
          <w:p w14:paraId="548C8D43">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法定代表人授权委托书必须由法定代表人及委托代理人签字，并加盖投标人公章，否则作无效投标处理。</w:t>
            </w:r>
          </w:p>
          <w:p w14:paraId="22FCDF3E">
            <w:pPr>
              <w:keepNext w:val="0"/>
              <w:keepLines w:val="0"/>
              <w:suppressLineNumbers w:val="0"/>
              <w:snapToGrid w:val="0"/>
              <w:spacing w:before="0" w:beforeAutospacing="0" w:after="0" w:afterAutospacing="0" w:line="360" w:lineRule="auto"/>
              <w:ind w:left="0" w:right="0"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E78C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nil"/>
              <w:left w:val="single" w:color="auto" w:sz="4" w:space="0"/>
              <w:bottom w:val="single" w:color="auto" w:sz="4" w:space="0"/>
              <w:right w:val="single" w:color="auto" w:sz="4" w:space="0"/>
            </w:tcBorders>
            <w:noWrap/>
            <w:vAlign w:val="center"/>
          </w:tcPr>
          <w:p w14:paraId="2F4C51C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422413A3">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99" w:name="_13.4"/>
            <w:bookmarkEnd w:id="99"/>
            <w:r>
              <w:rPr>
                <w:rFonts w:hint="eastAsia" w:ascii="宋体" w:hAnsi="宋体" w:cs="宋体"/>
                <w:color w:val="auto"/>
                <w:szCs w:val="21"/>
                <w:highlight w:val="none"/>
              </w:rPr>
              <w:t>技术文件组成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6011C81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.技术性能、参数</w:t>
            </w:r>
            <w:r>
              <w:rPr>
                <w:rFonts w:hint="eastAsia" w:ascii="宋体" w:hAnsi="宋体" w:cs="宋体"/>
                <w:color w:val="auto"/>
                <w:szCs w:val="21"/>
                <w:highlight w:val="none"/>
              </w:rPr>
              <w:t>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68F6315">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项目实施方案（格式自拟）。</w:t>
            </w:r>
          </w:p>
          <w:p w14:paraId="4840C685">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.培训方案</w:t>
            </w:r>
            <w:r>
              <w:rPr>
                <w:rFonts w:hint="eastAsia" w:ascii="宋体" w:hAnsi="宋体" w:cs="宋体"/>
                <w:color w:val="auto"/>
                <w:szCs w:val="21"/>
                <w:highlight w:val="none"/>
              </w:rPr>
              <w:t>（格式后附）。</w:t>
            </w:r>
          </w:p>
          <w:p w14:paraId="61876DA7">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售后服务方案（格式后附）。</w:t>
            </w:r>
          </w:p>
          <w:p w14:paraId="5B0AF79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.按招标文件第二章《采购需求》要求提供相关材料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投标产品有属于政府强制采购的节能产品的</w:t>
            </w:r>
            <w:r>
              <w:rPr>
                <w:rFonts w:hint="eastAsia" w:ascii="宋体" w:hAnsi="宋体" w:cs="宋体"/>
                <w:color w:val="auto"/>
                <w:szCs w:val="21"/>
                <w:highlight w:val="none"/>
                <w:lang w:val="en-US" w:eastAsia="zh-CN"/>
              </w:rPr>
              <w:t>(《节能产品政府采购品目清单》中</w:t>
            </w:r>
            <w:r>
              <w:rPr>
                <w:rFonts w:hint="eastAsia" w:ascii="宋体" w:hAnsi="宋体" w:cs="宋体"/>
                <w:color w:val="auto"/>
                <w:highlight w:val="none"/>
              </w:rPr>
              <w:t>带“</w:t>
            </w:r>
            <w:r>
              <w:rPr>
                <w:rFonts w:hint="eastAsia" w:ascii="宋体" w:hAnsi="宋体" w:cs="宋体"/>
                <w:color w:val="auto"/>
                <w:kern w:val="0"/>
                <w:sz w:val="20"/>
                <w:szCs w:val="20"/>
                <w:highlight w:val="none"/>
              </w:rPr>
              <w:t>★</w:t>
            </w:r>
            <w:r>
              <w:rPr>
                <w:rFonts w:hint="eastAsia" w:ascii="宋体" w:hAnsi="宋体" w:cs="宋体"/>
                <w:color w:val="auto"/>
                <w:highlight w:val="none"/>
              </w:rPr>
              <w:t>”</w:t>
            </w:r>
            <w:r>
              <w:rPr>
                <w:rFonts w:hint="eastAsia" w:ascii="宋体" w:hAnsi="宋体" w:cs="宋体"/>
                <w:color w:val="auto"/>
                <w:highlight w:val="none"/>
                <w:lang w:eastAsia="zh-CN"/>
              </w:rPr>
              <w:t>的产品</w:t>
            </w:r>
            <w:r>
              <w:rPr>
                <w:rFonts w:hint="eastAsia" w:ascii="宋体" w:hAnsi="宋体" w:cs="宋体"/>
                <w:color w:val="auto"/>
                <w:highlight w:val="none"/>
                <w:lang w:val="en-US" w:eastAsia="zh-CN"/>
              </w:rPr>
              <w:t>)</w:t>
            </w:r>
            <w:r>
              <w:rPr>
                <w:rFonts w:hint="eastAsia" w:ascii="宋体" w:hAnsi="宋体" w:cs="宋体"/>
                <w:color w:val="auto"/>
                <w:szCs w:val="21"/>
                <w:highlight w:val="none"/>
                <w:lang w:eastAsia="zh-CN"/>
              </w:rPr>
              <w:t>，按要求提供节能产品认证证书复印件；投标产品有属于</w:t>
            </w:r>
            <w:r>
              <w:rPr>
                <w:rFonts w:hint="eastAsia" w:ascii="宋体" w:hAnsi="宋体" w:cs="宋体"/>
                <w:color w:val="auto"/>
                <w:szCs w:val="21"/>
                <w:highlight w:val="none"/>
                <w:lang w:bidi="ar"/>
              </w:rPr>
              <w:t>网络安全专用产品</w:t>
            </w:r>
            <w:r>
              <w:rPr>
                <w:rFonts w:hint="eastAsia" w:ascii="宋体" w:hAnsi="宋体" w:cs="宋体"/>
                <w:color w:val="auto"/>
                <w:szCs w:val="21"/>
                <w:highlight w:val="none"/>
                <w:lang w:eastAsia="zh-CN" w:bidi="ar"/>
              </w:rPr>
              <w:t>的，</w:t>
            </w:r>
            <w:r>
              <w:rPr>
                <w:rFonts w:hint="eastAsia" w:ascii="宋体" w:hAnsi="宋体" w:cs="宋体"/>
                <w:color w:val="auto"/>
                <w:szCs w:val="21"/>
                <w:highlight w:val="none"/>
                <w:lang w:eastAsia="zh-CN"/>
              </w:rPr>
              <w:t>按要求提供</w:t>
            </w:r>
            <w:r>
              <w:rPr>
                <w:rFonts w:hint="eastAsia" w:ascii="宋体" w:hAnsi="宋体" w:cs="宋体"/>
                <w:color w:val="auto"/>
                <w:szCs w:val="21"/>
                <w:highlight w:val="none"/>
                <w:lang w:bidi="ar"/>
              </w:rPr>
              <w:t>安全认证合格证书或者安全检测合格的检测报告</w:t>
            </w:r>
            <w:r>
              <w:rPr>
                <w:rFonts w:hint="eastAsia" w:ascii="宋体" w:hAnsi="宋体" w:cs="宋体"/>
                <w:color w:val="auto"/>
                <w:szCs w:val="21"/>
                <w:highlight w:val="none"/>
                <w:lang w:eastAsia="zh-CN"/>
              </w:rPr>
              <w:t>复印件</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eastAsia="zh-CN"/>
              </w:rPr>
              <w:t>第二章《采购需求》</w:t>
            </w:r>
            <w:r>
              <w:rPr>
                <w:rFonts w:hint="eastAsia" w:ascii="宋体" w:hAnsi="宋体" w:cs="宋体"/>
                <w:color w:val="auto"/>
                <w:highlight w:val="none"/>
              </w:rPr>
              <w:t>带“▲”的条款</w:t>
            </w:r>
            <w:r>
              <w:rPr>
                <w:rFonts w:hint="eastAsia" w:ascii="宋体" w:hAnsi="宋体" w:cs="宋体"/>
                <w:color w:val="auto"/>
                <w:szCs w:val="21"/>
                <w:highlight w:val="none"/>
                <w:lang w:val="en-US" w:eastAsia="zh-CN" w:bidi="ar"/>
              </w:rPr>
              <w:t>如招标文件</w:t>
            </w:r>
            <w:r>
              <w:rPr>
                <w:rFonts w:hint="eastAsia" w:ascii="宋体" w:hAnsi="宋体" w:cs="宋体"/>
                <w:color w:val="auto"/>
                <w:highlight w:val="none"/>
                <w:lang w:eastAsia="zh-CN"/>
              </w:rPr>
              <w:t>要求提供相关佐证材料的，按招标文件要求提供相关佐证材料</w:t>
            </w:r>
            <w:r>
              <w:rPr>
                <w:rFonts w:hint="eastAsia" w:ascii="宋体" w:hAnsi="宋体" w:cs="宋体"/>
                <w:color w:val="auto"/>
                <w:szCs w:val="21"/>
                <w:highlight w:val="none"/>
                <w:lang w:eastAsia="zh-CN"/>
              </w:rPr>
              <w:t>复印件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w:t>
            </w:r>
            <w:r>
              <w:rPr>
                <w:rFonts w:hint="eastAsia" w:ascii="宋体" w:hAnsi="宋体" w:cs="宋体"/>
                <w:b/>
                <w:color w:val="auto"/>
                <w:szCs w:val="21"/>
                <w:highlight w:val="none"/>
                <w:lang w:eastAsia="zh-CN"/>
              </w:rPr>
              <w:t>按要求</w:t>
            </w:r>
            <w:r>
              <w:rPr>
                <w:rFonts w:hint="eastAsia" w:ascii="宋体" w:hAnsi="宋体" w:cs="宋体"/>
                <w:b/>
                <w:color w:val="auto"/>
                <w:szCs w:val="21"/>
                <w:highlight w:val="none"/>
              </w:rPr>
              <w:t>提供，否则作无效投标处理</w:t>
            </w:r>
            <w:r>
              <w:rPr>
                <w:rFonts w:hint="eastAsia" w:ascii="宋体" w:hAnsi="宋体" w:cs="宋体"/>
                <w:color w:val="auto"/>
                <w:szCs w:val="21"/>
                <w:highlight w:val="none"/>
              </w:rPr>
              <w:t>）</w:t>
            </w:r>
          </w:p>
          <w:p w14:paraId="3B4F35EB">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除招标文件规定必须提供以外，投标人需要说明的其他文件和说明</w:t>
            </w:r>
            <w:r>
              <w:rPr>
                <w:rFonts w:hint="eastAsia" w:ascii="宋体" w:hAnsi="宋体" w:cs="宋体"/>
                <w:color w:val="auto"/>
                <w:szCs w:val="21"/>
                <w:highlight w:val="none"/>
                <w:lang w:eastAsia="zh-CN"/>
              </w:rPr>
              <w:t>（格</w:t>
            </w:r>
            <w:r>
              <w:rPr>
                <w:rFonts w:hint="eastAsia" w:ascii="宋体" w:hAnsi="宋体" w:cs="宋体"/>
                <w:color w:val="auto"/>
                <w:szCs w:val="21"/>
                <w:highlight w:val="none"/>
              </w:rPr>
              <w:t>式自拟</w:t>
            </w:r>
            <w:r>
              <w:rPr>
                <w:rFonts w:hint="eastAsia" w:ascii="宋体" w:hAnsi="宋体" w:cs="宋体"/>
                <w:color w:val="auto"/>
                <w:szCs w:val="21"/>
                <w:highlight w:val="none"/>
                <w:lang w:eastAsia="zh-CN"/>
              </w:rPr>
              <w:t>。</w:t>
            </w:r>
            <w:r>
              <w:rPr>
                <w:rFonts w:hint="eastAsia" w:ascii="宋体" w:hAnsi="宋体"/>
                <w:szCs w:val="21"/>
              </w:rPr>
              <w:t>投标人根据“第二章 采购需求”及“第四章 评标方法及评标标准”提供有关证明材料</w:t>
            </w:r>
            <w:r>
              <w:rPr>
                <w:rFonts w:hint="eastAsia" w:ascii="宋体" w:hAnsi="宋体" w:cs="宋体"/>
                <w:color w:val="auto"/>
                <w:szCs w:val="21"/>
                <w:highlight w:val="none"/>
              </w:rPr>
              <w:t>）。</w:t>
            </w:r>
          </w:p>
          <w:p w14:paraId="60EC1A45">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33B6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nil"/>
              <w:left w:val="single" w:color="auto" w:sz="4" w:space="0"/>
              <w:bottom w:val="single" w:color="auto" w:sz="4" w:space="0"/>
              <w:right w:val="single" w:color="auto" w:sz="4" w:space="0"/>
            </w:tcBorders>
            <w:noWrap/>
            <w:vAlign w:val="center"/>
          </w:tcPr>
          <w:p w14:paraId="48DCF760">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8B24C60">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1A054E9D">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投标函（格式后附）。</w:t>
            </w:r>
            <w:r>
              <w:rPr>
                <w:rFonts w:hint="eastAsia" w:ascii="宋体" w:hAnsi="宋体" w:cs="宋体"/>
                <w:b/>
                <w:color w:val="auto"/>
                <w:szCs w:val="21"/>
                <w:highlight w:val="none"/>
              </w:rPr>
              <w:t>（必须提供，否则作无效投标处理）</w:t>
            </w:r>
          </w:p>
          <w:p w14:paraId="65E6C5AB">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14467E1">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i/>
                <w:iCs/>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中小企业声明函</w:t>
            </w:r>
            <w:r>
              <w:rPr>
                <w:rFonts w:hint="eastAsia" w:ascii="宋体" w:hAnsi="宋体" w:cs="宋体"/>
                <w:color w:val="auto"/>
                <w:szCs w:val="21"/>
                <w:highlight w:val="none"/>
                <w:lang w:eastAsia="zh-CN"/>
              </w:rPr>
              <w:t>》</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w:t>
            </w:r>
            <w:r>
              <w:rPr>
                <w:rFonts w:hint="eastAsia" w:ascii="宋体" w:hAnsi="宋体" w:cs="宋体"/>
                <w:color w:val="auto"/>
                <w:szCs w:val="21"/>
                <w:highlight w:val="none"/>
              </w:rPr>
              <w:t>残疾人福利性单位声明函</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（格式后附）或者供应商属于监狱企业的，提供由省级以上监狱管理局、戒毒管理局（含新疆生产建设兵团）出具的属于监狱企业的证明文件</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涉及中小企业的，供应商</w:t>
            </w:r>
            <w:r>
              <w:rPr>
                <w:rFonts w:hint="eastAsia" w:ascii="宋体" w:hAnsi="宋体" w:cs="宋体"/>
                <w:b/>
                <w:bCs/>
                <w:color w:val="auto"/>
                <w:szCs w:val="21"/>
                <w:highlight w:val="none"/>
              </w:rPr>
              <w:t>如</w:t>
            </w:r>
            <w:r>
              <w:rPr>
                <w:rFonts w:hint="eastAsia" w:ascii="宋体" w:hAnsi="宋体" w:cs="宋体"/>
                <w:b/>
                <w:bCs/>
                <w:color w:val="auto"/>
                <w:szCs w:val="21"/>
                <w:highlight w:val="none"/>
                <w:lang w:eastAsia="zh-CN"/>
              </w:rPr>
              <w:t>符合政策要求的请</w:t>
            </w:r>
            <w:r>
              <w:rPr>
                <w:rFonts w:hint="eastAsia" w:ascii="宋体" w:hAnsi="宋体" w:cs="宋体"/>
                <w:b/>
                <w:bCs/>
                <w:color w:val="auto"/>
                <w:szCs w:val="21"/>
                <w:highlight w:val="none"/>
              </w:rPr>
              <w:t>提供）</w:t>
            </w:r>
          </w:p>
          <w:p w14:paraId="01F74D93">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.《关于符合本国产品标准的声明函》</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或者财政部会同有关部门规定的有关证明文件。</w:t>
            </w:r>
            <w:r>
              <w:rPr>
                <w:rFonts w:hint="eastAsia" w:ascii="宋体" w:hAnsi="宋体" w:cs="宋体"/>
                <w:b/>
                <w:bCs/>
                <w:color w:val="auto"/>
                <w:szCs w:val="21"/>
                <w:highlight w:val="none"/>
              </w:rPr>
              <w:t>（项目涉及本国产品参与时，</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lang w:val="en-US" w:eastAsia="zh-CN"/>
              </w:rPr>
              <w:t>投标产品</w:t>
            </w:r>
            <w:r>
              <w:rPr>
                <w:rFonts w:hint="eastAsia" w:ascii="宋体" w:hAnsi="宋体" w:cs="宋体"/>
                <w:b/>
                <w:bCs/>
                <w:color w:val="auto"/>
                <w:szCs w:val="21"/>
                <w:highlight w:val="none"/>
              </w:rPr>
              <w:t>如</w:t>
            </w:r>
            <w:r>
              <w:rPr>
                <w:rFonts w:hint="eastAsia" w:ascii="宋体" w:hAnsi="宋体" w:cs="宋体"/>
                <w:b/>
                <w:bCs/>
                <w:color w:val="auto"/>
                <w:szCs w:val="21"/>
                <w:highlight w:val="none"/>
                <w:lang w:eastAsia="zh-CN"/>
              </w:rPr>
              <w:t>符合政策要求的请</w:t>
            </w:r>
            <w:r>
              <w:rPr>
                <w:rFonts w:hint="eastAsia" w:ascii="宋体" w:hAnsi="宋体" w:cs="宋体"/>
                <w:b/>
                <w:bCs/>
                <w:color w:val="auto"/>
                <w:szCs w:val="21"/>
                <w:highlight w:val="none"/>
              </w:rPr>
              <w:t>提供）</w:t>
            </w:r>
          </w:p>
          <w:p w14:paraId="72E978AC">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投标人针对报价需要说明的其他文件和说明（格式自拟）。</w:t>
            </w:r>
          </w:p>
          <w:p w14:paraId="4F11584F">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9494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D78E49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noWrap/>
            <w:vAlign w:val="center"/>
          </w:tcPr>
          <w:p w14:paraId="6761682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0" w:name="_16.2"/>
            <w:bookmarkEnd w:id="100"/>
            <w:r>
              <w:rPr>
                <w:rFonts w:hint="eastAsia" w:ascii="宋体" w:hAnsi="宋体" w:cs="宋体"/>
                <w:color w:val="auto"/>
                <w:szCs w:val="21"/>
                <w:highlight w:val="none"/>
              </w:rPr>
              <w:t>投标报价要求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01E10D42">
            <w:pPr>
              <w:keepNext w:val="0"/>
              <w:keepLines w:val="0"/>
              <w:widowControl/>
              <w:numPr>
                <w:ilvl w:val="0"/>
                <w:numId w:val="0"/>
              </w:numPr>
              <w:suppressLineNumbers w:val="0"/>
              <w:spacing w:before="0" w:beforeAutospacing="0" w:after="0" w:afterAutospacing="0" w:line="360" w:lineRule="auto"/>
              <w:ind w:left="0" w:right="0"/>
              <w:jc w:val="left"/>
              <w:rPr>
                <w:rFonts w:hint="eastAsia" w:ascii="Times New Roman" w:hAnsi="Times New Roman" w:eastAsia="宋体" w:cs="Times New Roman"/>
                <w:color w:val="auto"/>
                <w:szCs w:val="21"/>
                <w:highlight w:val="none"/>
                <w:lang w:val="en-US" w:eastAsia="zh-CN"/>
              </w:rPr>
            </w:pPr>
            <w:bookmarkStart w:id="101" w:name="OLE_LINK1"/>
            <w:r>
              <w:rPr>
                <w:rFonts w:hint="eastAsia" w:ascii="Times New Roman" w:hAnsi="Times New Roman" w:eastAsia="宋体" w:cs="Times New Roman"/>
                <w:color w:val="auto"/>
                <w:szCs w:val="21"/>
                <w:highlight w:val="none"/>
                <w:lang w:val="en-US" w:eastAsia="zh-CN"/>
              </w:rPr>
              <w:t>1</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投标报价包括货款、</w:t>
            </w:r>
            <w:r>
              <w:rPr>
                <w:rFonts w:hint="eastAsia" w:ascii="Times New Roman" w:hAnsi="Times New Roman" w:cs="Times New Roman"/>
                <w:color w:val="auto"/>
                <w:szCs w:val="21"/>
                <w:highlight w:val="none"/>
                <w:lang w:val="en-US" w:eastAsia="zh-CN"/>
              </w:rPr>
              <w:t>服务、</w:t>
            </w:r>
            <w:r>
              <w:rPr>
                <w:rFonts w:hint="eastAsia" w:ascii="Times New Roman" w:hAnsi="Times New Roman" w:eastAsia="宋体" w:cs="Times New Roman"/>
                <w:color w:val="auto"/>
                <w:szCs w:val="21"/>
                <w:highlight w:val="none"/>
                <w:lang w:val="en-US" w:eastAsia="zh-CN"/>
              </w:rPr>
              <w:t>随配附件、备品备件、专用工具、包装、运输、装、卸、保险、运抵指定交货地点、送货上门服务、现场安装调试、包装箱清理、保修、售后服务、培训、</w:t>
            </w:r>
            <w:r>
              <w:rPr>
                <w:rFonts w:hint="eastAsia" w:cs="Times New Roman"/>
                <w:color w:val="auto"/>
                <w:szCs w:val="21"/>
                <w:highlight w:val="none"/>
                <w:lang w:val="en-US" w:eastAsia="zh-CN"/>
              </w:rPr>
              <w:t>验收、</w:t>
            </w:r>
            <w:r>
              <w:rPr>
                <w:rFonts w:hint="eastAsia" w:ascii="Times New Roman" w:hAnsi="Times New Roman" w:eastAsia="宋体" w:cs="Times New Roman"/>
                <w:color w:val="auto"/>
                <w:szCs w:val="21"/>
                <w:highlight w:val="none"/>
                <w:lang w:val="en-US" w:eastAsia="zh-CN"/>
              </w:rPr>
              <w:t xml:space="preserve">税金及其他所有成本费用的总和。（采购需求另有约定的，从其约定）  </w:t>
            </w:r>
          </w:p>
          <w:p w14:paraId="72E7E8CB">
            <w:pPr>
              <w:keepNext w:val="0"/>
              <w:keepLines w:val="0"/>
              <w:widowControl/>
              <w:numPr>
                <w:ilvl w:val="0"/>
                <w:numId w:val="0"/>
              </w:numPr>
              <w:suppressLineNumbers w:val="0"/>
              <w:spacing w:before="0" w:beforeAutospacing="0" w:after="0" w:afterAutospacing="0" w:line="360" w:lineRule="auto"/>
              <w:ind w:left="0" w:right="0"/>
              <w:jc w:val="left"/>
              <w:rPr>
                <w:rFonts w:ascii="宋体" w:hAnsi="宋体" w:cs="宋体"/>
                <w:color w:val="auto"/>
                <w:szCs w:val="21"/>
                <w:highlight w:val="none"/>
              </w:rPr>
            </w:pPr>
            <w:r>
              <w:rPr>
                <w:rFonts w:hint="eastAsia" w:ascii="Times New Roman" w:hAnsi="Times New Roman" w:eastAsia="宋体" w:cs="Times New Roman"/>
                <w:color w:val="auto"/>
                <w:szCs w:val="21"/>
                <w:highlight w:val="none"/>
                <w:lang w:val="en-US" w:eastAsia="zh-CN"/>
              </w:rPr>
              <w:t>2.对于本文件中明确列明必须报价的货物，投标人应分别报价。对于本文件中未列明，而投标人认为必需的</w:t>
            </w:r>
            <w:r>
              <w:rPr>
                <w:rFonts w:hint="eastAsia" w:ascii="Times New Roman" w:hAnsi="Times New Roman" w:eastAsia="宋体" w:cs="Times New Roman"/>
                <w:color w:val="auto"/>
                <w:szCs w:val="21"/>
                <w:highlight w:val="none"/>
              </w:rPr>
              <w:t>费用也需列入总报价。在合同实施时，采购人将不予支付</w:t>
            </w:r>
            <w:r>
              <w:rPr>
                <w:rFonts w:hint="eastAsia" w:ascii="Times New Roman" w:hAnsi="Times New Roman" w:eastAsia="宋体" w:cs="Times New Roman"/>
                <w:color w:val="auto"/>
                <w:szCs w:val="21"/>
                <w:highlight w:val="none"/>
                <w:lang w:eastAsia="zh-CN"/>
              </w:rPr>
              <w:t>投标人</w:t>
            </w:r>
            <w:r>
              <w:rPr>
                <w:rFonts w:hint="eastAsia" w:ascii="Times New Roman" w:hAnsi="Times New Roman" w:eastAsia="宋体" w:cs="Times New Roman"/>
                <w:color w:val="auto"/>
                <w:szCs w:val="21"/>
                <w:highlight w:val="none"/>
              </w:rPr>
              <w:t>没有列入的项目费用，并认为此项目的费用已包</w:t>
            </w:r>
            <w:r>
              <w:rPr>
                <w:rFonts w:hint="eastAsia" w:cs="Times New Roman"/>
                <w:color w:val="auto"/>
                <w:szCs w:val="21"/>
                <w:highlight w:val="none"/>
                <w:lang w:eastAsia="zh-CN"/>
              </w:rPr>
              <w:t>含</w:t>
            </w:r>
            <w:r>
              <w:rPr>
                <w:rFonts w:hint="eastAsia" w:ascii="Times New Roman" w:hAnsi="Times New Roman" w:eastAsia="宋体" w:cs="Times New Roman"/>
                <w:color w:val="auto"/>
                <w:szCs w:val="21"/>
                <w:highlight w:val="none"/>
              </w:rPr>
              <w:t>在投标总报价中。</w:t>
            </w:r>
            <w:bookmarkEnd w:id="101"/>
          </w:p>
        </w:tc>
      </w:tr>
      <w:tr w14:paraId="180CF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FA6A31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noWrap/>
            <w:vAlign w:val="center"/>
          </w:tcPr>
          <w:p w14:paraId="2AE28A4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2" w:name="_17.1"/>
            <w:bookmarkEnd w:id="102"/>
            <w:r>
              <w:rPr>
                <w:rFonts w:hint="eastAsia" w:ascii="宋体" w:hAnsi="宋体" w:cs="宋体"/>
                <w:color w:val="auto"/>
                <w:szCs w:val="21"/>
                <w:highlight w:val="none"/>
              </w:rPr>
              <w:t>投标有效期</w:t>
            </w:r>
          </w:p>
        </w:tc>
        <w:tc>
          <w:tcPr>
            <w:tcW w:w="6419" w:type="dxa"/>
            <w:tcBorders>
              <w:top w:val="single" w:color="auto" w:sz="4" w:space="0"/>
              <w:left w:val="single" w:color="auto" w:sz="4" w:space="0"/>
              <w:bottom w:val="single" w:color="auto" w:sz="4" w:space="0"/>
              <w:right w:val="single" w:color="auto" w:sz="4" w:space="0"/>
            </w:tcBorders>
            <w:noWrap/>
            <w:vAlign w:val="center"/>
          </w:tcPr>
          <w:p w14:paraId="259F1823">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3FDE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2C1D3B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noWrap/>
            <w:vAlign w:val="center"/>
          </w:tcPr>
          <w:p w14:paraId="0892755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3" w:name="_18"/>
            <w:bookmarkEnd w:id="103"/>
            <w:r>
              <w:rPr>
                <w:rFonts w:hint="eastAsia" w:ascii="宋体" w:hAnsi="宋体" w:cs="宋体"/>
                <w:color w:val="auto"/>
                <w:szCs w:val="21"/>
                <w:highlight w:val="none"/>
              </w:rPr>
              <w:t>投标保证金金额</w:t>
            </w:r>
          </w:p>
        </w:tc>
        <w:tc>
          <w:tcPr>
            <w:tcW w:w="6419" w:type="dxa"/>
            <w:tcBorders>
              <w:top w:val="single" w:color="auto" w:sz="4" w:space="0"/>
              <w:left w:val="single" w:color="auto" w:sz="4" w:space="0"/>
              <w:bottom w:val="single" w:color="auto" w:sz="4" w:space="0"/>
              <w:right w:val="single" w:color="auto" w:sz="4" w:space="0"/>
            </w:tcBorders>
            <w:noWrap/>
            <w:vAlign w:val="center"/>
          </w:tcPr>
          <w:p w14:paraId="18A6054D">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1.投标保证金的缴纳方式：详见招标公告</w:t>
            </w:r>
          </w:p>
          <w:p w14:paraId="6571F7AA">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2.投标保证金的金额：详见招标公告</w:t>
            </w:r>
          </w:p>
          <w:p w14:paraId="4587A1C0">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3.投标保证金采用银行转账缴纳方式的，在投标截止时间前交至采购代理机构指定账户并且到账，投标人应将银行转账底单的复印件作为投标保证金提交凭证，放置于商务文件中，否则作无效投标处理。</w:t>
            </w:r>
          </w:p>
          <w:p w14:paraId="7031444F">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否则作无效投标处理。投标人必须在投标截止时间前将支票、汇票、本票或者金融、担保机构出具的保函（电子保函除外）等原件提交给采购代理机构，由采购代理机构向投标人出具回执，并妥善保管。</w:t>
            </w:r>
          </w:p>
          <w:p w14:paraId="4183656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5.缴纳投标保证金指定账户：详见招标公告。</w:t>
            </w:r>
          </w:p>
          <w:p w14:paraId="3033E15A">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6.投标人为联合体的，可以由联合体中的一方或者多方共同缴纳投标保证金，其缴纳的投标保证金对联合体各方均具有约束力。</w:t>
            </w:r>
          </w:p>
          <w:p w14:paraId="2D176912">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8812C2B">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 xml:space="preserve"> 投标保证金在投标截止时间后提交的，或者不按规定缴纳方式缴纳的，或者未足额缴纳的（包含保函额度不足的），视为无效投标保证金。</w:t>
            </w:r>
          </w:p>
          <w:p w14:paraId="3681AFA6">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投标人采用现金方式或者从个人账户（自然人投标除外）转出的投标保证金，视为无效投标保证金。</w:t>
            </w:r>
          </w:p>
          <w:p w14:paraId="4A8808CF">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支票、汇票或者本票出现无效或者背书情形的，视为无效投标保证金。</w:t>
            </w:r>
          </w:p>
          <w:p w14:paraId="45C1185D">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保函有效期低于投标有效期的，视为无效投标保证金。</w:t>
            </w:r>
          </w:p>
          <w:p w14:paraId="4E9C7160">
            <w:pPr>
              <w:keepNext w:val="0"/>
              <w:keepLines w:val="0"/>
              <w:suppressLineNumbers w:val="0"/>
              <w:autoSpaceDE w:val="0"/>
              <w:autoSpaceDN w:val="0"/>
              <w:snapToGrid w:val="0"/>
              <w:spacing w:before="0" w:beforeAutospacing="0" w:after="0" w:afterAutospacing="0" w:line="360" w:lineRule="auto"/>
              <w:ind w:left="0" w:right="0" w:firstLine="316"/>
              <w:textAlignment w:val="bottom"/>
              <w:rPr>
                <w:rFonts w:ascii="宋体" w:hAnsi="宋体" w:cs="宋体"/>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5</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采用金融、担保机构出具保函的，必须为无条件保函，否则视为无效投标保证金</w:t>
            </w:r>
            <w:r>
              <w:rPr>
                <w:rFonts w:hint="eastAsia" w:ascii="宋体" w:hAnsi="宋体" w:cs="宋体"/>
                <w:b/>
                <w:bCs/>
                <w:color w:val="auto"/>
                <w:szCs w:val="21"/>
                <w:highlight w:val="none"/>
              </w:rPr>
              <w:t>。</w:t>
            </w:r>
          </w:p>
        </w:tc>
      </w:tr>
      <w:tr w14:paraId="3784D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1DAE82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noWrap/>
            <w:vAlign w:val="center"/>
          </w:tcPr>
          <w:p w14:paraId="0BC904D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4BF6402C">
            <w:pPr>
              <w:keepNext w:val="0"/>
              <w:keepLines w:val="0"/>
              <w:suppressLineNumbers w:val="0"/>
              <w:spacing w:before="0" w:beforeAutospacing="0" w:after="0" w:afterAutospacing="0" w:line="360" w:lineRule="auto"/>
              <w:ind w:left="0" w:right="0"/>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1CA9F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A04E023">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noWrap/>
            <w:vAlign w:val="center"/>
          </w:tcPr>
          <w:p w14:paraId="05D49F9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备份投标文件</w:t>
            </w:r>
          </w:p>
        </w:tc>
        <w:tc>
          <w:tcPr>
            <w:tcW w:w="6419" w:type="dxa"/>
            <w:tcBorders>
              <w:top w:val="single" w:color="auto" w:sz="4" w:space="0"/>
              <w:left w:val="single" w:color="auto" w:sz="4" w:space="0"/>
              <w:bottom w:val="single" w:color="auto" w:sz="4" w:space="0"/>
              <w:right w:val="single" w:color="auto" w:sz="4" w:space="0"/>
            </w:tcBorders>
            <w:noWrap/>
            <w:vAlign w:val="center"/>
          </w:tcPr>
          <w:p w14:paraId="37AFBC46">
            <w:pPr>
              <w:keepNext w:val="0"/>
              <w:keepLines w:val="0"/>
              <w:suppressLineNumbers w:val="0"/>
              <w:autoSpaceDE w:val="0"/>
              <w:autoSpaceDN w:val="0"/>
              <w:snapToGrid w:val="0"/>
              <w:spacing w:before="0" w:beforeAutospacing="0" w:after="0" w:afterAutospacing="0" w:line="360" w:lineRule="auto"/>
              <w:ind w:left="0" w:right="0"/>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64B14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nil"/>
              <w:right w:val="single" w:color="auto" w:sz="4" w:space="0"/>
            </w:tcBorders>
            <w:noWrap/>
            <w:vAlign w:val="center"/>
          </w:tcPr>
          <w:p w14:paraId="72263F8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noWrap/>
            <w:vAlign w:val="center"/>
          </w:tcPr>
          <w:p w14:paraId="2649CE7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4" w:name="_21.1"/>
            <w:bookmarkEnd w:id="104"/>
            <w:r>
              <w:rPr>
                <w:rFonts w:hint="eastAsia" w:ascii="宋体" w:hAnsi="宋体" w:cs="宋体"/>
                <w:color w:val="auto"/>
                <w:szCs w:val="21"/>
                <w:highlight w:val="none"/>
              </w:rPr>
              <w:t>投标截止时间</w:t>
            </w:r>
          </w:p>
        </w:tc>
        <w:tc>
          <w:tcPr>
            <w:tcW w:w="6419" w:type="dxa"/>
            <w:tcBorders>
              <w:top w:val="single" w:color="auto" w:sz="4" w:space="0"/>
              <w:left w:val="single" w:color="auto" w:sz="4" w:space="0"/>
              <w:bottom w:val="single" w:color="auto" w:sz="4" w:space="0"/>
              <w:right w:val="single" w:color="auto" w:sz="4" w:space="0"/>
            </w:tcBorders>
            <w:noWrap/>
            <w:vAlign w:val="center"/>
          </w:tcPr>
          <w:p w14:paraId="76027547">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5FA1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0E450321">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2AB473A5">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投标地点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2E7B197B">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C648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6271E23B">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D977AB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3E6EFF1D">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bCs/>
                <w:color w:val="auto"/>
                <w:szCs w:val="21"/>
                <w:highlight w:val="none"/>
              </w:rPr>
              <w:t>无</w:t>
            </w:r>
          </w:p>
        </w:tc>
      </w:tr>
      <w:tr w14:paraId="46E7F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F6D226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noWrap/>
            <w:vAlign w:val="center"/>
          </w:tcPr>
          <w:p w14:paraId="70A1387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5" w:name="_23"/>
            <w:bookmarkEnd w:id="105"/>
            <w:r>
              <w:rPr>
                <w:rFonts w:hint="eastAsia" w:ascii="宋体" w:hAnsi="宋体" w:cs="宋体"/>
                <w:color w:val="auto"/>
                <w:szCs w:val="21"/>
                <w:highlight w:val="none"/>
              </w:rPr>
              <w:t>开标时间、地点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0BE59150">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690D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2746C81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25.3（2）</w:t>
            </w:r>
          </w:p>
        </w:tc>
        <w:tc>
          <w:tcPr>
            <w:tcW w:w="2083" w:type="dxa"/>
            <w:tcBorders>
              <w:top w:val="single" w:color="auto" w:sz="4" w:space="0"/>
              <w:left w:val="single" w:color="auto" w:sz="4" w:space="0"/>
              <w:bottom w:val="single" w:color="auto" w:sz="4" w:space="0"/>
              <w:right w:val="single" w:color="auto" w:sz="4" w:space="0"/>
            </w:tcBorders>
            <w:noWrap/>
            <w:vAlign w:val="center"/>
          </w:tcPr>
          <w:p w14:paraId="13BE8C4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6" w:name="_25.3"/>
            <w:bookmarkEnd w:id="106"/>
            <w:r>
              <w:rPr>
                <w:rFonts w:hint="eastAsia" w:ascii="宋体" w:hAnsi="宋体" w:cs="宋体"/>
                <w:color w:val="auto"/>
                <w:szCs w:val="21"/>
                <w:highlight w:val="none"/>
              </w:rPr>
              <w:t>投标人信用查询渠道</w:t>
            </w:r>
          </w:p>
        </w:tc>
        <w:tc>
          <w:tcPr>
            <w:tcW w:w="6419" w:type="dxa"/>
            <w:tcBorders>
              <w:top w:val="single" w:color="auto" w:sz="4" w:space="0"/>
              <w:left w:val="single" w:color="auto" w:sz="4" w:space="0"/>
              <w:bottom w:val="single" w:color="auto" w:sz="4" w:space="0"/>
              <w:right w:val="single" w:color="auto" w:sz="4" w:space="0"/>
            </w:tcBorders>
            <w:noWrap/>
            <w:vAlign w:val="center"/>
          </w:tcPr>
          <w:p w14:paraId="656985D8">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6E65F74F">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5ACF5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AA465D6">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76CDC0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621C2EE8">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495F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35C96B46">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2F4531F">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59248712">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在查询网站中直接截图查询记录，截图留存或在广西政府采购云平台作为附件上传保存。</w:t>
            </w:r>
          </w:p>
        </w:tc>
      </w:tr>
      <w:tr w14:paraId="6E6B3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9C4195F">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46DD055">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6419" w:type="dxa"/>
            <w:tcBorders>
              <w:top w:val="single" w:color="auto" w:sz="4" w:space="0"/>
              <w:left w:val="single" w:color="auto" w:sz="4" w:space="0"/>
              <w:bottom w:val="single" w:color="auto" w:sz="4" w:space="0"/>
              <w:right w:val="single" w:color="auto" w:sz="4" w:space="0"/>
            </w:tcBorders>
            <w:noWrap/>
            <w:vAlign w:val="center"/>
          </w:tcPr>
          <w:p w14:paraId="437F7187">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CF1F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C3444E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noWrap/>
            <w:vAlign w:val="center"/>
          </w:tcPr>
          <w:p w14:paraId="362C1F72">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7" w:name="_28.3"/>
            <w:bookmarkEnd w:id="107"/>
            <w:bookmarkStart w:id="108" w:name="_26"/>
            <w:bookmarkEnd w:id="108"/>
            <w:r>
              <w:rPr>
                <w:rFonts w:hint="eastAsia" w:ascii="宋体" w:hAnsi="宋体" w:cs="宋体"/>
                <w:color w:val="auto"/>
                <w:szCs w:val="21"/>
                <w:highlight w:val="none"/>
              </w:rPr>
              <w:t>评标方法</w:t>
            </w:r>
          </w:p>
        </w:tc>
        <w:tc>
          <w:tcPr>
            <w:tcW w:w="6419" w:type="dxa"/>
            <w:tcBorders>
              <w:top w:val="single" w:color="auto" w:sz="4" w:space="0"/>
              <w:left w:val="single" w:color="auto" w:sz="4" w:space="0"/>
              <w:bottom w:val="single" w:color="auto" w:sz="4" w:space="0"/>
              <w:right w:val="single" w:color="auto" w:sz="4" w:space="0"/>
            </w:tcBorders>
            <w:noWrap/>
            <w:vAlign w:val="center"/>
          </w:tcPr>
          <w:p w14:paraId="3CFDCC3D">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tc>
      </w:tr>
      <w:tr w14:paraId="34A19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nil"/>
              <w:right w:val="single" w:color="auto" w:sz="4" w:space="0"/>
            </w:tcBorders>
            <w:noWrap/>
            <w:vAlign w:val="center"/>
          </w:tcPr>
          <w:p w14:paraId="7988B2A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29.2</w:t>
            </w:r>
          </w:p>
        </w:tc>
        <w:tc>
          <w:tcPr>
            <w:tcW w:w="2083" w:type="dxa"/>
            <w:tcBorders>
              <w:top w:val="single" w:color="auto" w:sz="4" w:space="0"/>
              <w:left w:val="single" w:color="auto" w:sz="4" w:space="0"/>
              <w:bottom w:val="nil"/>
              <w:right w:val="single" w:color="auto" w:sz="4" w:space="0"/>
            </w:tcBorders>
            <w:noWrap/>
            <w:vAlign w:val="center"/>
          </w:tcPr>
          <w:p w14:paraId="08F4943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9" w:name="_29.2.2（2）"/>
            <w:bookmarkEnd w:id="109"/>
            <w:r>
              <w:rPr>
                <w:rFonts w:hint="eastAsia" w:ascii="宋体" w:hAnsi="宋体" w:cs="宋体"/>
                <w:color w:val="auto"/>
                <w:szCs w:val="21"/>
                <w:highlight w:val="none"/>
              </w:rPr>
              <w:t>允许负偏离项</w:t>
            </w:r>
          </w:p>
        </w:tc>
        <w:tc>
          <w:tcPr>
            <w:tcW w:w="6419" w:type="dxa"/>
            <w:tcBorders>
              <w:top w:val="single" w:color="auto" w:sz="4" w:space="0"/>
              <w:left w:val="single" w:color="auto" w:sz="4" w:space="0"/>
              <w:bottom w:val="nil"/>
              <w:right w:val="single" w:color="auto" w:sz="4" w:space="0"/>
            </w:tcBorders>
            <w:noWrap/>
            <w:vAlign w:val="center"/>
          </w:tcPr>
          <w:p w14:paraId="46A0641A">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71BD7B90">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69F0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A978D2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noWrap/>
            <w:vAlign w:val="center"/>
          </w:tcPr>
          <w:p w14:paraId="32DF418A">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6419" w:type="dxa"/>
            <w:tcBorders>
              <w:top w:val="single" w:color="auto" w:sz="4" w:space="0"/>
              <w:left w:val="single" w:color="auto" w:sz="4" w:space="0"/>
              <w:bottom w:val="single" w:color="auto" w:sz="4" w:space="0"/>
              <w:right w:val="single" w:color="auto" w:sz="4" w:space="0"/>
            </w:tcBorders>
            <w:noWrap/>
            <w:vAlign w:val="center"/>
          </w:tcPr>
          <w:p w14:paraId="4CA492D2">
            <w:pPr>
              <w:keepNext w:val="0"/>
              <w:keepLines w:val="0"/>
              <w:suppressLineNumbers w:val="0"/>
              <w:autoSpaceDE w:val="0"/>
              <w:autoSpaceDN w:val="0"/>
              <w:snapToGrid w:val="0"/>
              <w:spacing w:before="0" w:beforeAutospacing="0" w:after="0" w:afterAutospacing="0" w:line="360" w:lineRule="auto"/>
              <w:ind w:left="0" w:right="0"/>
              <w:textAlignment w:val="bottom"/>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37D4569A">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b/>
                <w:color w:val="auto"/>
                <w:szCs w:val="21"/>
                <w:highlight w:val="none"/>
              </w:rPr>
            </w:pPr>
            <w:r>
              <w:rPr>
                <w:rFonts w:hint="eastAsia" w:ascii="宋体" w:hAnsi="宋体" w:cs="宋体"/>
                <w:color w:val="auto"/>
                <w:szCs w:val="21"/>
                <w:highlight w:val="none"/>
              </w:rPr>
              <w:t>技术分得分高的优先、商务分得分高的优先的顺序。</w:t>
            </w:r>
          </w:p>
        </w:tc>
      </w:tr>
      <w:tr w14:paraId="3C94A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C54931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35</w:t>
            </w:r>
          </w:p>
        </w:tc>
        <w:tc>
          <w:tcPr>
            <w:tcW w:w="2083" w:type="dxa"/>
            <w:tcBorders>
              <w:top w:val="single" w:color="auto" w:sz="4" w:space="0"/>
              <w:left w:val="single" w:color="auto" w:sz="4" w:space="0"/>
              <w:bottom w:val="single" w:color="auto" w:sz="4" w:space="0"/>
              <w:right w:val="single" w:color="auto" w:sz="4" w:space="0"/>
            </w:tcBorders>
            <w:noWrap/>
            <w:vAlign w:val="center"/>
          </w:tcPr>
          <w:p w14:paraId="3A933D8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10" w:name="_39.1"/>
            <w:bookmarkEnd w:id="110"/>
            <w:r>
              <w:rPr>
                <w:rFonts w:hint="eastAsia" w:ascii="宋体" w:hAnsi="宋体" w:cs="宋体"/>
                <w:color w:val="auto"/>
                <w:szCs w:val="21"/>
                <w:highlight w:val="none"/>
              </w:rPr>
              <w:t>履约保证金</w:t>
            </w:r>
          </w:p>
        </w:tc>
        <w:tc>
          <w:tcPr>
            <w:tcW w:w="6419" w:type="dxa"/>
            <w:tcBorders>
              <w:top w:val="single" w:color="auto" w:sz="4" w:space="0"/>
              <w:left w:val="single" w:color="auto" w:sz="4" w:space="0"/>
              <w:bottom w:val="single" w:color="auto" w:sz="4" w:space="0"/>
              <w:right w:val="single" w:color="auto" w:sz="4" w:space="0"/>
            </w:tcBorders>
            <w:noWrap/>
            <w:vAlign w:val="bottom"/>
          </w:tcPr>
          <w:p w14:paraId="1B351652">
            <w:pPr>
              <w:keepNext w:val="0"/>
              <w:keepLines w:val="0"/>
              <w:suppressLineNumbers w:val="0"/>
              <w:autoSpaceDE w:val="0"/>
              <w:autoSpaceDN w:val="0"/>
              <w:snapToGrid w:val="0"/>
              <w:spacing w:before="0" w:beforeAutospacing="0" w:after="0" w:afterAutospacing="0" w:line="360" w:lineRule="auto"/>
              <w:ind w:left="0" w:right="0"/>
              <w:jc w:val="left"/>
              <w:textAlignment w:val="bottom"/>
              <w:rPr>
                <w:rFonts w:hint="eastAsia" w:ascii="宋体" w:hAnsi="宋体" w:eastAsia="宋体" w:cs="宋体"/>
                <w:color w:val="auto"/>
                <w:szCs w:val="21"/>
                <w:highlight w:val="none"/>
                <w:lang w:val="en-US" w:eastAsia="zh-CN"/>
              </w:rPr>
            </w:pPr>
            <w:bookmarkStart w:id="111" w:name="OLE_LINK3"/>
            <w:r>
              <w:rPr>
                <w:rFonts w:hint="eastAsia" w:ascii="宋体" w:hAnsi="宋体" w:cs="宋体"/>
                <w:b/>
                <w:bCs/>
                <w:color w:val="auto"/>
                <w:szCs w:val="21"/>
                <w:highlight w:val="none"/>
              </w:rPr>
              <w:t>本项目</w:t>
            </w:r>
            <w:r>
              <w:rPr>
                <w:rFonts w:hint="eastAsia" w:ascii="宋体" w:hAnsi="宋体" w:cs="宋体"/>
                <w:b/>
                <w:bCs/>
                <w:color w:val="auto"/>
                <w:szCs w:val="21"/>
                <w:highlight w:val="none"/>
                <w:lang w:val="en-US" w:eastAsia="zh-CN"/>
              </w:rPr>
              <w:t>不</w:t>
            </w:r>
            <w:r>
              <w:rPr>
                <w:rFonts w:hint="eastAsia" w:ascii="宋体" w:hAnsi="宋体" w:cs="宋体"/>
                <w:b/>
                <w:bCs/>
                <w:color w:val="auto"/>
                <w:szCs w:val="21"/>
                <w:highlight w:val="none"/>
              </w:rPr>
              <w:t>需要缴</w:t>
            </w:r>
            <w:r>
              <w:rPr>
                <w:rFonts w:hint="eastAsia" w:ascii="宋体" w:hAnsi="宋体" w:cs="宋体"/>
                <w:b/>
                <w:bCs/>
                <w:color w:val="auto"/>
                <w:kern w:val="0"/>
                <w:szCs w:val="21"/>
                <w:highlight w:val="none"/>
              </w:rPr>
              <w:t>纳</w:t>
            </w:r>
            <w:bookmarkStart w:id="112" w:name="OLE_LINK143"/>
            <w:r>
              <w:rPr>
                <w:rFonts w:hint="eastAsia" w:ascii="宋体" w:hAnsi="宋体" w:cs="宋体"/>
                <w:b/>
                <w:bCs/>
                <w:color w:val="auto"/>
                <w:szCs w:val="21"/>
                <w:highlight w:val="none"/>
              </w:rPr>
              <w:t>履约保证金</w:t>
            </w:r>
            <w:bookmarkEnd w:id="111"/>
            <w:bookmarkEnd w:id="112"/>
            <w:r>
              <w:rPr>
                <w:rFonts w:hint="eastAsia" w:ascii="宋体" w:hAnsi="宋体" w:cs="宋体"/>
                <w:color w:val="auto"/>
                <w:szCs w:val="21"/>
                <w:highlight w:val="none"/>
              </w:rPr>
              <w:t>。</w:t>
            </w:r>
          </w:p>
        </w:tc>
      </w:tr>
      <w:tr w14:paraId="0C187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8C1DC3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noWrap/>
            <w:vAlign w:val="center"/>
          </w:tcPr>
          <w:p w14:paraId="2F8BBCF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13" w:name="_40.1"/>
            <w:bookmarkEnd w:id="113"/>
            <w:r>
              <w:rPr>
                <w:rFonts w:hint="eastAsia" w:ascii="宋体" w:hAnsi="宋体" w:cs="宋体"/>
                <w:color w:val="auto"/>
                <w:szCs w:val="21"/>
                <w:highlight w:val="none"/>
              </w:rPr>
              <w:t>签订合同携带的材料</w:t>
            </w:r>
          </w:p>
        </w:tc>
        <w:tc>
          <w:tcPr>
            <w:tcW w:w="6419" w:type="dxa"/>
            <w:tcBorders>
              <w:top w:val="single" w:color="auto" w:sz="4" w:space="0"/>
              <w:left w:val="single" w:color="auto" w:sz="4" w:space="0"/>
              <w:bottom w:val="single" w:color="auto" w:sz="4" w:space="0"/>
              <w:right w:val="single" w:color="auto" w:sz="4" w:space="0"/>
            </w:tcBorders>
            <w:noWrap/>
            <w:vAlign w:val="center"/>
          </w:tcPr>
          <w:p w14:paraId="09F77776">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电子采购合同需要中标人通过有效CA证书进行电子签名与签章（适用于签订电子合同的情形）</w:t>
            </w:r>
          </w:p>
          <w:p w14:paraId="611679E8">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73C93991">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法定代表人负责签订合同的，须携带法定代表人身份证明原件及身份证原件等其他证明材料。（适用于签订纸质合同的情形）</w:t>
            </w:r>
          </w:p>
        </w:tc>
      </w:tr>
      <w:tr w14:paraId="309C3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564444D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noWrap/>
            <w:vAlign w:val="center"/>
          </w:tcPr>
          <w:p w14:paraId="6C8BE36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7DE66AB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以书面形式</w:t>
            </w:r>
          </w:p>
        </w:tc>
      </w:tr>
      <w:tr w14:paraId="353E1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09A86C2E">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9B37F93">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568288E4">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（1）名称：</w:t>
            </w:r>
            <w:r>
              <w:rPr>
                <w:rFonts w:hint="eastAsia" w:ascii="宋体" w:hAnsi="宋体" w:cs="宋体"/>
                <w:color w:val="auto"/>
                <w:szCs w:val="21"/>
                <w:highlight w:val="none"/>
                <w:lang w:eastAsia="zh-CN"/>
              </w:rPr>
              <w:t>广西壮族自治区文化和旅游厅</w:t>
            </w:r>
          </w:p>
          <w:p w14:paraId="034D6ACA">
            <w:pPr>
              <w:keepNext w:val="0"/>
              <w:keepLines w:val="0"/>
              <w:suppressLineNumbers w:val="0"/>
              <w:snapToGrid w:val="0"/>
              <w:spacing w:before="0" w:beforeAutospacing="0" w:after="0" w:afterAutospacing="0" w:line="36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kern w:val="0"/>
                <w:szCs w:val="21"/>
                <w:highlight w:val="none"/>
                <w:lang w:val="en-US" w:eastAsia="zh-CN"/>
              </w:rPr>
              <w:t>0771-5529050</w:t>
            </w:r>
          </w:p>
          <w:p w14:paraId="336CEC7A">
            <w:pPr>
              <w:keepNext w:val="0"/>
              <w:keepLines w:val="0"/>
              <w:suppressLineNumbers w:val="0"/>
              <w:snapToGrid w:val="0"/>
              <w:spacing w:before="0" w:beforeAutospacing="0" w:after="0" w:afterAutospacing="0" w:line="360" w:lineRule="exact"/>
              <w:ind w:left="0" w:right="0"/>
              <w:rPr>
                <w:rFonts w:hint="eastAsia" w:ascii="宋体" w:hAnsi="宋体" w:cs="宋体"/>
                <w:color w:val="auto"/>
                <w:kern w:val="0"/>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南宁市青秀区南湖街道金湖南路24号</w:t>
            </w:r>
          </w:p>
          <w:p w14:paraId="35C38F09">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（2）名称：</w:t>
            </w:r>
            <w:r>
              <w:rPr>
                <w:rFonts w:hint="eastAsia" w:ascii="宋体" w:hAnsi="宋体" w:cs="宋体"/>
                <w:color w:val="auto"/>
                <w:szCs w:val="21"/>
                <w:highlight w:val="none"/>
                <w:lang w:eastAsia="zh-CN"/>
              </w:rPr>
              <w:t>广西众联工程项目管理有限公司</w:t>
            </w:r>
          </w:p>
          <w:p w14:paraId="4DDBEA69">
            <w:pPr>
              <w:keepNext w:val="0"/>
              <w:keepLines w:val="0"/>
              <w:suppressLineNumbers w:val="0"/>
              <w:snapToGrid w:val="0"/>
              <w:spacing w:before="0" w:beforeAutospacing="0" w:after="0" w:afterAutospacing="0" w:line="36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4308370</w:t>
            </w:r>
          </w:p>
          <w:p w14:paraId="019B472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eastAsia="宋体" w:cs="宋体"/>
                <w:color w:val="auto"/>
                <w:szCs w:val="21"/>
                <w:highlight w:val="none"/>
              </w:rPr>
              <w:t>南宁市江南区白沙大道53号松宇时代14A层</w:t>
            </w:r>
          </w:p>
        </w:tc>
      </w:tr>
      <w:tr w14:paraId="680AA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0D6E1DDC">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CD95CE2">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419" w:type="dxa"/>
            <w:tcBorders>
              <w:top w:val="single" w:color="auto" w:sz="4" w:space="0"/>
              <w:left w:val="single" w:color="auto" w:sz="4" w:space="0"/>
              <w:bottom w:val="single" w:color="auto" w:sz="4" w:space="0"/>
              <w:right w:val="single" w:color="auto" w:sz="4" w:space="0"/>
            </w:tcBorders>
            <w:noWrap/>
            <w:vAlign w:val="center"/>
          </w:tcPr>
          <w:p w14:paraId="622ED41E">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质疑期内每个工作日（北京时间）上午8时00分到12时00分，</w:t>
            </w:r>
            <w:r>
              <w:rPr>
                <w:rFonts w:hint="eastAsia" w:ascii="宋体" w:hAnsi="宋体" w:cs="宋体"/>
                <w:color w:val="auto"/>
                <w:szCs w:val="21"/>
                <w:highlight w:val="none"/>
                <w:lang w:eastAsia="zh-CN"/>
              </w:rPr>
              <w:t>下午3点</w:t>
            </w:r>
            <w:r>
              <w:rPr>
                <w:rFonts w:hint="eastAsia" w:ascii="宋体" w:hAnsi="宋体" w:cs="宋体"/>
                <w:color w:val="auto"/>
                <w:szCs w:val="21"/>
                <w:highlight w:val="none"/>
              </w:rPr>
              <w:t>00分到18时00分。</w:t>
            </w:r>
          </w:p>
        </w:tc>
      </w:tr>
      <w:tr w14:paraId="74A66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single" w:color="auto" w:sz="4" w:space="0"/>
              <w:right w:val="single" w:color="auto" w:sz="4" w:space="0"/>
            </w:tcBorders>
            <w:noWrap/>
            <w:vAlign w:val="center"/>
          </w:tcPr>
          <w:p w14:paraId="6CB194C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noWrap/>
            <w:vAlign w:val="center"/>
          </w:tcPr>
          <w:p w14:paraId="2B5B29F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投诉受理方式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21F45FD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受理方式：纸质方式受理，投诉书正、副本（经过质疑的事项才可投诉）。</w:t>
            </w:r>
          </w:p>
          <w:p w14:paraId="57785E12">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通讯方式：</w:t>
            </w:r>
          </w:p>
          <w:p w14:paraId="278A672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名称：</w:t>
            </w:r>
            <w:bookmarkStart w:id="114" w:name="OLE_LINK209"/>
            <w:r>
              <w:rPr>
                <w:rFonts w:hint="eastAsia" w:ascii="宋体" w:hAnsi="宋体" w:cs="宋体"/>
                <w:color w:val="auto"/>
                <w:szCs w:val="21"/>
                <w:highlight w:val="none"/>
              </w:rPr>
              <w:t>广西壮族自治区财政厅政府采购监督管理处</w:t>
            </w:r>
          </w:p>
          <w:bookmarkEnd w:id="114"/>
          <w:p w14:paraId="42B00284">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地址：南宁市桃源路69号广西财政大厦7楼</w:t>
            </w:r>
          </w:p>
          <w:p w14:paraId="78D034CE">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 xml:space="preserve">联系电话：0771-5331544 </w:t>
            </w:r>
          </w:p>
        </w:tc>
      </w:tr>
      <w:tr w14:paraId="6BA92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6F4FC31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noWrap/>
            <w:vAlign w:val="center"/>
          </w:tcPr>
          <w:p w14:paraId="13DBD68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15" w:name="_42"/>
            <w:bookmarkEnd w:id="115"/>
            <w:bookmarkStart w:id="116" w:name="_41"/>
            <w:bookmarkEnd w:id="116"/>
            <w:r>
              <w:rPr>
                <w:rFonts w:hint="eastAsia" w:ascii="宋体" w:hAnsi="宋体" w:cs="宋体"/>
                <w:color w:val="auto"/>
                <w:szCs w:val="21"/>
                <w:highlight w:val="none"/>
              </w:rPr>
              <w:t>采购代理服务费支付方式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1E82C8CC">
            <w:pPr>
              <w:pStyle w:val="14"/>
              <w:keepNext w:val="0"/>
              <w:keepLines w:val="0"/>
              <w:suppressLineNumbers w:val="0"/>
              <w:snapToGrid w:val="0"/>
              <w:spacing w:before="0" w:beforeAutospacing="0" w:after="0" w:afterAutospacing="0" w:line="380" w:lineRule="exact"/>
              <w:ind w:left="0" w:right="0"/>
              <w:rPr>
                <w:rFonts w:hAnsi="宋体" w:cs="宋体"/>
                <w:color w:val="auto"/>
                <w:szCs w:val="21"/>
                <w:highlight w:val="none"/>
              </w:rPr>
            </w:pPr>
            <w:r>
              <w:rPr>
                <w:rFonts w:hint="eastAsia" w:hAnsi="宋体" w:cs="宋体"/>
                <w:color w:val="auto"/>
                <w:highlight w:val="none"/>
                <w:lang w:eastAsia="zh-CN"/>
              </w:rPr>
              <w:t>☑</w:t>
            </w:r>
            <w:r>
              <w:rPr>
                <w:rFonts w:hint="eastAsia" w:hAnsi="宋体" w:cs="宋体"/>
                <w:color w:val="auto"/>
                <w:highlight w:val="none"/>
              </w:rPr>
              <w:t>本项目</w:t>
            </w:r>
            <w:r>
              <w:rPr>
                <w:rFonts w:hint="eastAsia" w:hAnsi="宋体" w:cs="宋体"/>
                <w:color w:val="auto"/>
                <w:highlight w:val="none"/>
                <w:lang w:eastAsia="zh-CN"/>
              </w:rPr>
              <w:t>采购</w:t>
            </w:r>
            <w:r>
              <w:rPr>
                <w:rFonts w:hint="eastAsia" w:hAnsi="宋体" w:cs="宋体"/>
                <w:color w:val="auto"/>
                <w:highlight w:val="none"/>
              </w:rPr>
              <w:t>代理</w:t>
            </w:r>
            <w:r>
              <w:rPr>
                <w:rFonts w:hint="eastAsia" w:hAnsi="宋体" w:cs="宋体"/>
                <w:color w:val="auto"/>
                <w:highlight w:val="none"/>
                <w:lang w:eastAsia="zh-CN"/>
              </w:rPr>
              <w:t>服务</w:t>
            </w:r>
            <w:r>
              <w:rPr>
                <w:rFonts w:hint="eastAsia" w:hAnsi="宋体" w:cs="宋体"/>
                <w:color w:val="auto"/>
                <w:highlight w:val="none"/>
              </w:rPr>
              <w:t>费由</w:t>
            </w:r>
            <w:r>
              <w:rPr>
                <w:rFonts w:hint="eastAsia" w:hAnsi="宋体" w:cs="宋体"/>
                <w:color w:val="auto"/>
                <w:highlight w:val="none"/>
                <w:u w:val="single"/>
                <w:lang w:eastAsia="zh-CN"/>
              </w:rPr>
              <w:t>中标</w:t>
            </w:r>
            <w:r>
              <w:rPr>
                <w:rFonts w:hint="eastAsia" w:hAnsi="宋体" w:cs="宋体"/>
                <w:color w:val="auto"/>
                <w:highlight w:val="none"/>
                <w:u w:val="single"/>
              </w:rPr>
              <w:t>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p>
        </w:tc>
      </w:tr>
      <w:tr w14:paraId="26375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65CCAA30">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97D43E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采购代理服务费收取标准</w:t>
            </w:r>
          </w:p>
        </w:tc>
        <w:tc>
          <w:tcPr>
            <w:tcW w:w="6419" w:type="dxa"/>
            <w:tcBorders>
              <w:top w:val="single" w:color="auto" w:sz="4" w:space="0"/>
              <w:left w:val="single" w:color="auto" w:sz="4" w:space="0"/>
              <w:bottom w:val="single" w:color="auto" w:sz="4" w:space="0"/>
              <w:right w:val="single" w:color="auto" w:sz="4" w:space="0"/>
            </w:tcBorders>
            <w:noWrap/>
            <w:vAlign w:val="center"/>
          </w:tcPr>
          <w:p w14:paraId="7437ED82">
            <w:pPr>
              <w:pStyle w:val="14"/>
              <w:keepNext w:val="0"/>
              <w:keepLines w:val="0"/>
              <w:suppressLineNumbers w:val="0"/>
              <w:snapToGrid w:val="0"/>
              <w:spacing w:before="0" w:beforeAutospacing="0" w:after="0" w:afterAutospacing="0" w:line="360" w:lineRule="auto"/>
              <w:ind w:left="0" w:right="0"/>
              <w:rPr>
                <w:rFonts w:hAnsi="宋体" w:cs="宋体"/>
                <w:color w:val="auto"/>
                <w:szCs w:val="21"/>
                <w:highlight w:val="none"/>
                <w:u w:val="single"/>
              </w:rPr>
            </w:pPr>
            <w:bookmarkStart w:id="117" w:name="PO_3000001867_PM025"/>
            <w:r>
              <w:rPr>
                <w:rFonts w:hint="eastAsia" w:hAnsi="宋体" w:eastAsia="宋体" w:cs="宋体"/>
                <w:color w:val="auto"/>
                <w:sz w:val="21"/>
                <w:highlight w:val="none"/>
                <w:lang w:val="en-US" w:eastAsia="zh-CN"/>
              </w:rPr>
              <w:t>☑以分标（☑中标金额/□采购预算/□暂定中标金额/□其他</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）为计费额，按本须知正文第</w:t>
            </w:r>
            <w:r>
              <w:rPr>
                <w:rFonts w:hint="eastAsia" w:hAnsi="宋体" w:cs="宋体"/>
                <w:color w:val="auto"/>
                <w:sz w:val="21"/>
                <w:highlight w:val="none"/>
                <w:lang w:val="en-US" w:eastAsia="zh-CN"/>
              </w:rPr>
              <w:t>40</w:t>
            </w:r>
            <w:r>
              <w:rPr>
                <w:rFonts w:hint="eastAsia" w:hAnsi="宋体" w:eastAsia="宋体" w:cs="宋体"/>
                <w:color w:val="auto"/>
                <w:sz w:val="21"/>
                <w:highlight w:val="none"/>
                <w:lang w:val="en-US" w:eastAsia="zh-CN"/>
              </w:rPr>
              <w:t>.2条规定的收费计算标准</w:t>
            </w:r>
            <w:r>
              <w:rPr>
                <w:rFonts w:hint="eastAsia" w:hAnsi="宋体" w:cs="宋体"/>
                <w:color w:val="auto"/>
                <w:sz w:val="21"/>
                <w:highlight w:val="none"/>
                <w:lang w:val="en-US" w:eastAsia="zh-CN"/>
              </w:rPr>
              <w:t>（</w:t>
            </w:r>
            <w:r>
              <w:rPr>
                <w:rFonts w:hint="eastAsia" w:hAnsi="宋体" w:cs="宋体"/>
                <w:b/>
                <w:bCs/>
                <w:color w:val="auto"/>
                <w:sz w:val="21"/>
                <w:highlight w:val="none"/>
                <w:lang w:val="en-US" w:eastAsia="zh-CN"/>
              </w:rPr>
              <w:t>货物类</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采用差额定率累进法计算出收费基准价格，采购代理收费以（</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收费基准价格/</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收费基准价格下浮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/□收费基准价格上浮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）收取。</w:t>
            </w:r>
            <w:bookmarkEnd w:id="117"/>
          </w:p>
        </w:tc>
      </w:tr>
      <w:tr w14:paraId="04877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1D9D9D55">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F27FE0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6419" w:type="dxa"/>
            <w:tcBorders>
              <w:top w:val="single" w:color="auto" w:sz="4" w:space="0"/>
              <w:left w:val="single" w:color="auto" w:sz="4" w:space="0"/>
              <w:bottom w:val="single" w:color="auto" w:sz="4" w:space="0"/>
              <w:right w:val="single" w:color="auto" w:sz="4" w:space="0"/>
            </w:tcBorders>
            <w:noWrap/>
            <w:vAlign w:val="center"/>
          </w:tcPr>
          <w:p w14:paraId="6167C759">
            <w:pPr>
              <w:pStyle w:val="14"/>
              <w:keepNext w:val="0"/>
              <w:keepLines w:val="0"/>
              <w:suppressLineNumbers w:val="0"/>
              <w:snapToGrid w:val="0"/>
              <w:spacing w:before="0" w:beforeAutospacing="0" w:after="0" w:afterAutospacing="0" w:line="360" w:lineRule="exact"/>
              <w:ind w:left="0" w:right="0"/>
              <w:rPr>
                <w:rFonts w:hint="eastAsia" w:hAnsi="宋体" w:cs="宋体"/>
                <w:color w:val="auto"/>
                <w:szCs w:val="21"/>
                <w:highlight w:val="none"/>
              </w:rPr>
            </w:pPr>
            <w:r>
              <w:rPr>
                <w:rFonts w:hint="eastAsia" w:hAnsi="宋体" w:cs="宋体"/>
                <w:color w:val="auto"/>
                <w:szCs w:val="21"/>
                <w:highlight w:val="none"/>
              </w:rPr>
              <w:t xml:space="preserve">账户名称：广西众联工程项目管理有限公司 </w:t>
            </w:r>
          </w:p>
          <w:p w14:paraId="228CE8C3">
            <w:pPr>
              <w:pStyle w:val="14"/>
              <w:keepNext w:val="0"/>
              <w:keepLines w:val="0"/>
              <w:suppressLineNumbers w:val="0"/>
              <w:snapToGrid w:val="0"/>
              <w:spacing w:before="0" w:beforeAutospacing="0" w:after="0" w:afterAutospacing="0" w:line="360" w:lineRule="exact"/>
              <w:ind w:left="0" w:right="0"/>
              <w:rPr>
                <w:rFonts w:hint="eastAsia" w:hAnsi="宋体" w:cs="宋体"/>
                <w:color w:val="auto"/>
                <w:szCs w:val="21"/>
                <w:highlight w:val="none"/>
              </w:rPr>
            </w:pPr>
            <w:r>
              <w:rPr>
                <w:rFonts w:hint="eastAsia" w:hAnsi="宋体" w:cs="宋体"/>
                <w:color w:val="auto"/>
                <w:szCs w:val="21"/>
                <w:highlight w:val="none"/>
              </w:rPr>
              <w:t>开户银行：</w:t>
            </w:r>
            <w:r>
              <w:rPr>
                <w:rFonts w:hint="eastAsia" w:ascii="宋体" w:hAnsi="宋体" w:cs="宋体"/>
                <w:color w:val="auto"/>
                <w:kern w:val="0"/>
                <w:szCs w:val="21"/>
                <w:highlight w:val="none"/>
                <w:lang w:bidi="ar"/>
              </w:rPr>
              <w:t>中国光大银行股份有限公司南宁民主支行</w:t>
            </w:r>
          </w:p>
          <w:p w14:paraId="3919DE76">
            <w:pPr>
              <w:pStyle w:val="14"/>
              <w:keepNext w:val="0"/>
              <w:keepLines w:val="0"/>
              <w:suppressLineNumbers w:val="0"/>
              <w:snapToGrid w:val="0"/>
              <w:spacing w:before="0" w:beforeAutospacing="0" w:after="0" w:afterAutospacing="0" w:line="360" w:lineRule="exact"/>
              <w:ind w:left="0" w:right="0"/>
              <w:rPr>
                <w:rFonts w:hAnsi="宋体" w:cs="宋体"/>
                <w:color w:val="auto"/>
                <w:szCs w:val="21"/>
                <w:highlight w:val="none"/>
              </w:rPr>
            </w:pPr>
            <w:r>
              <w:rPr>
                <w:rFonts w:hint="eastAsia" w:hAnsi="宋体" w:cs="宋体"/>
                <w:color w:val="auto"/>
                <w:szCs w:val="21"/>
                <w:highlight w:val="none"/>
              </w:rPr>
              <w:t>银行账号：</w:t>
            </w:r>
            <w:r>
              <w:rPr>
                <w:rFonts w:hint="eastAsia" w:ascii="宋体" w:hAnsi="宋体" w:cs="宋体"/>
                <w:color w:val="auto"/>
                <w:kern w:val="0"/>
                <w:szCs w:val="21"/>
                <w:highlight w:val="none"/>
                <w:lang w:bidi="ar"/>
              </w:rPr>
              <w:t>78900188000167866</w:t>
            </w:r>
          </w:p>
        </w:tc>
      </w:tr>
      <w:tr w14:paraId="5A835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8B7889A">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noWrap/>
            <w:vAlign w:val="center"/>
          </w:tcPr>
          <w:p w14:paraId="1BDF13F6">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解释</w:t>
            </w:r>
          </w:p>
        </w:tc>
        <w:tc>
          <w:tcPr>
            <w:tcW w:w="6419" w:type="dxa"/>
            <w:tcBorders>
              <w:top w:val="single" w:color="auto" w:sz="4" w:space="0"/>
              <w:left w:val="single" w:color="auto" w:sz="4" w:space="0"/>
              <w:bottom w:val="single" w:color="auto" w:sz="4" w:space="0"/>
              <w:right w:val="single" w:color="auto" w:sz="4" w:space="0"/>
            </w:tcBorders>
            <w:noWrap/>
            <w:vAlign w:val="center"/>
          </w:tcPr>
          <w:p w14:paraId="42007253">
            <w:pPr>
              <w:keepNext w:val="0"/>
              <w:keepLines w:val="0"/>
              <w:suppressLineNumbers w:val="0"/>
              <w:snapToGrid w:val="0"/>
              <w:spacing w:before="0" w:beforeAutospacing="0" w:after="0" w:afterAutospacing="0" w:line="360" w:lineRule="exact"/>
              <w:ind w:left="0" w:right="0" w:firstLine="316"/>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61A41E27">
            <w:pPr>
              <w:keepNext w:val="0"/>
              <w:keepLines w:val="0"/>
              <w:suppressLineNumbers w:val="0"/>
              <w:snapToGrid w:val="0"/>
              <w:spacing w:before="0" w:beforeAutospacing="0" w:after="0" w:afterAutospacing="0" w:line="360" w:lineRule="exact"/>
              <w:ind w:left="0" w:right="0" w:firstLine="316"/>
              <w:rPr>
                <w:rFonts w:ascii="宋体" w:hAnsi="宋体" w:cs="宋体"/>
                <w:b/>
                <w:color w:val="auto"/>
                <w:szCs w:val="21"/>
                <w:highlight w:val="none"/>
              </w:rPr>
            </w:pPr>
            <w:r>
              <w:rPr>
                <w:rFonts w:hint="eastAsia" w:ascii="宋体" w:hAnsi="宋体" w:cs="宋体"/>
                <w:b/>
                <w:color w:val="auto"/>
                <w:szCs w:val="21"/>
                <w:highlight w:val="none"/>
              </w:rPr>
              <w:t>法律责任：</w:t>
            </w:r>
          </w:p>
          <w:p w14:paraId="5C6DBD83">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721BB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95312F5">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noWrap/>
            <w:vAlign w:val="center"/>
          </w:tcPr>
          <w:p w14:paraId="7320E790">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其他释义</w:t>
            </w:r>
          </w:p>
        </w:tc>
        <w:tc>
          <w:tcPr>
            <w:tcW w:w="6419" w:type="dxa"/>
            <w:tcBorders>
              <w:top w:val="single" w:color="auto" w:sz="4" w:space="0"/>
              <w:left w:val="single" w:color="auto" w:sz="4" w:space="0"/>
              <w:bottom w:val="single" w:color="auto" w:sz="4" w:space="0"/>
              <w:right w:val="single" w:color="auto" w:sz="4" w:space="0"/>
            </w:tcBorders>
            <w:noWrap/>
            <w:vAlign w:val="center"/>
          </w:tcPr>
          <w:p w14:paraId="27B1A269">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A855955">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07317313">
            <w:pPr>
              <w:pStyle w:val="10"/>
              <w:keepNext w:val="0"/>
              <w:keepLines w:val="0"/>
              <w:suppressLineNumbers w:val="0"/>
              <w:tabs>
                <w:tab w:val="center" w:pos="4153"/>
                <w:tab w:val="right" w:pos="8306"/>
              </w:tabs>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37C65868">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5A3F647">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15E851CF">
            <w:pPr>
              <w:pStyle w:val="10"/>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 xml:space="preserve">   </w:t>
            </w:r>
          </w:p>
        </w:tc>
      </w:tr>
    </w:tbl>
    <w:p w14:paraId="14DE3EC8">
      <w:pPr>
        <w:pStyle w:val="3"/>
        <w:ind w:firstLine="482"/>
        <w:jc w:val="center"/>
        <w:rPr>
          <w:rFonts w:ascii="宋体" w:hAnsi="宋体" w:eastAsia="宋体" w:cs="宋体"/>
          <w:color w:val="auto"/>
          <w:highlight w:val="none"/>
        </w:rPr>
      </w:pPr>
      <w:bookmarkStart w:id="118" w:name="_Toc21704"/>
      <w:bookmarkStart w:id="119" w:name="_Toc29181"/>
      <w:bookmarkStart w:id="120" w:name="_Toc9224"/>
      <w:bookmarkStart w:id="121" w:name="_Toc21899"/>
      <w:r>
        <w:rPr>
          <w:rFonts w:hint="eastAsia" w:ascii="宋体" w:hAnsi="宋体" w:eastAsia="宋体" w:cs="宋体"/>
          <w:color w:val="auto"/>
          <w:highlight w:val="none"/>
        </w:rPr>
        <w:br w:type="page"/>
      </w:r>
      <w:r>
        <w:rPr>
          <w:rFonts w:hint="eastAsia" w:ascii="宋体" w:hAnsi="宋体" w:eastAsia="宋体" w:cs="宋体"/>
          <w:color w:val="auto"/>
          <w:highlight w:val="none"/>
        </w:rPr>
        <w:t>第二节 投标人须知正文</w:t>
      </w:r>
      <w:bookmarkEnd w:id="118"/>
      <w:bookmarkEnd w:id="119"/>
      <w:bookmarkEnd w:id="120"/>
      <w:bookmarkEnd w:id="121"/>
    </w:p>
    <w:p w14:paraId="1BC3A557">
      <w:pPr>
        <w:pStyle w:val="4"/>
        <w:keepNext w:val="0"/>
        <w:keepLines w:val="0"/>
        <w:spacing w:line="400" w:lineRule="exact"/>
        <w:jc w:val="center"/>
        <w:rPr>
          <w:rFonts w:ascii="宋体" w:hAnsi="宋体" w:cs="宋体"/>
          <w:color w:val="auto"/>
          <w:highlight w:val="none"/>
        </w:rPr>
      </w:pPr>
      <w:bookmarkStart w:id="122" w:name="_Toc2156"/>
      <w:bookmarkStart w:id="123" w:name="_Toc13703"/>
      <w:bookmarkStart w:id="124" w:name="_Toc5656"/>
      <w:bookmarkStart w:id="125" w:name="_Toc9192"/>
      <w:r>
        <w:rPr>
          <w:rFonts w:hint="eastAsia" w:ascii="宋体" w:hAnsi="宋体" w:cs="宋体"/>
          <w:color w:val="auto"/>
          <w:highlight w:val="none"/>
        </w:rPr>
        <w:t>一、总  则</w:t>
      </w:r>
      <w:bookmarkEnd w:id="122"/>
      <w:bookmarkEnd w:id="123"/>
      <w:bookmarkEnd w:id="124"/>
      <w:bookmarkEnd w:id="125"/>
    </w:p>
    <w:p w14:paraId="3B83B02C">
      <w:pPr>
        <w:spacing w:line="360" w:lineRule="auto"/>
        <w:ind w:firstLine="480" w:firstLineChars="200"/>
        <w:rPr>
          <w:rFonts w:ascii="宋体" w:hAnsi="宋体" w:cs="宋体"/>
          <w:color w:val="auto"/>
          <w:sz w:val="24"/>
          <w:highlight w:val="none"/>
        </w:rPr>
      </w:pPr>
      <w:bookmarkStart w:id="126" w:name="_Toc254970527"/>
      <w:bookmarkStart w:id="127" w:name="_Toc254970668"/>
      <w:r>
        <w:rPr>
          <w:rFonts w:hint="eastAsia" w:ascii="宋体" w:hAnsi="宋体" w:cs="宋体"/>
          <w:color w:val="auto"/>
          <w:sz w:val="24"/>
          <w:highlight w:val="none"/>
        </w:rPr>
        <w:t>1.适用范围</w:t>
      </w:r>
      <w:bookmarkEnd w:id="126"/>
      <w:bookmarkEnd w:id="127"/>
    </w:p>
    <w:p w14:paraId="2F0D6D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hAnsi="宋体" w:cs="宋体"/>
          <w:color w:val="auto"/>
          <w:kern w:val="0"/>
          <w:szCs w:val="21"/>
          <w:highlight w:val="none"/>
        </w:rPr>
        <w:t>政府采购货物和服务招标投标管理办法</w:t>
      </w:r>
      <w:r>
        <w:rPr>
          <w:rFonts w:hint="eastAsia" w:ascii="宋体" w:hAnsi="宋体" w:cs="宋体"/>
          <w:color w:val="auto"/>
          <w:szCs w:val="21"/>
          <w:highlight w:val="none"/>
        </w:rPr>
        <w:t>》及本项目本级和上级财政部门政府采购有关规定的约束和保护。</w:t>
      </w:r>
    </w:p>
    <w:p w14:paraId="2B793F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B729A96">
      <w:pPr>
        <w:spacing w:line="360" w:lineRule="auto"/>
        <w:ind w:firstLine="480" w:firstLineChars="200"/>
        <w:rPr>
          <w:rFonts w:ascii="宋体" w:hAnsi="宋体" w:cs="宋体"/>
          <w:color w:val="auto"/>
          <w:sz w:val="24"/>
          <w:highlight w:val="none"/>
        </w:rPr>
      </w:pPr>
      <w:bookmarkStart w:id="128" w:name="_Toc254970669"/>
      <w:bookmarkStart w:id="129" w:name="_Toc254970528"/>
      <w:r>
        <w:rPr>
          <w:rFonts w:hint="eastAsia" w:ascii="宋体" w:hAnsi="宋体" w:cs="宋体"/>
          <w:color w:val="auto"/>
          <w:sz w:val="24"/>
          <w:highlight w:val="none"/>
        </w:rPr>
        <w:t>2.定义</w:t>
      </w:r>
      <w:bookmarkEnd w:id="128"/>
      <w:bookmarkEnd w:id="129"/>
    </w:p>
    <w:p w14:paraId="25A1D81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w:t>
      </w:r>
    </w:p>
    <w:p w14:paraId="71A538B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2.2“采购代理机构” 指政府采购集中采购机构和集中采购机构以外的采购代理机构。</w:t>
      </w:r>
    </w:p>
    <w:p w14:paraId="794949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2.3“供应商”是指向采购人提供货物、工程或者服务的法人、其他组织或者自然人。</w:t>
      </w:r>
    </w:p>
    <w:p w14:paraId="0EE7D81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2.4“投标人”是指响应招标、参加投标竞争的法人、非法人组织或者自然人。</w:t>
      </w:r>
    </w:p>
    <w:p w14:paraId="23F9725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2.5“货物”是指各种形态和种类的物品，包括原材料、燃料、设备、产品等。“服务”是指除货物和工程以外的其他政府采购对象。</w:t>
      </w:r>
    </w:p>
    <w:p w14:paraId="4D22C02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622861A">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7425B95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2.8“实质性要求”是指招标文件中已经指明不满足则投标无效的条款，或者不能负偏离的条款，或者采购需求中带“▲”或“★”的条款。</w:t>
      </w:r>
    </w:p>
    <w:p w14:paraId="244F01F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659E1A7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4508A05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2EAB60">
      <w:pPr>
        <w:spacing w:line="360" w:lineRule="auto"/>
        <w:ind w:firstLine="480" w:firstLineChars="200"/>
        <w:rPr>
          <w:rFonts w:ascii="宋体" w:hAnsi="宋体" w:cs="宋体"/>
          <w:color w:val="auto"/>
          <w:sz w:val="24"/>
          <w:highlight w:val="none"/>
        </w:rPr>
      </w:pPr>
      <w:bookmarkStart w:id="130" w:name="_Toc254970529"/>
      <w:bookmarkStart w:id="131" w:name="_Toc254970670"/>
      <w:r>
        <w:rPr>
          <w:rFonts w:hint="eastAsia" w:ascii="宋体" w:hAnsi="宋体" w:cs="宋体"/>
          <w:color w:val="auto"/>
          <w:sz w:val="24"/>
          <w:highlight w:val="none"/>
        </w:rPr>
        <w:t>3.</w:t>
      </w:r>
      <w:bookmarkEnd w:id="130"/>
      <w:bookmarkEnd w:id="131"/>
      <w:r>
        <w:rPr>
          <w:rFonts w:hint="eastAsia" w:ascii="宋体" w:hAnsi="宋体" w:cs="宋体"/>
          <w:color w:val="auto"/>
          <w:sz w:val="24"/>
          <w:highlight w:val="none"/>
        </w:rPr>
        <w:t>投标人的资格要求</w:t>
      </w:r>
    </w:p>
    <w:p w14:paraId="3CD414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3881AD74">
      <w:pPr>
        <w:spacing w:line="360" w:lineRule="auto"/>
        <w:ind w:firstLine="480" w:firstLineChars="200"/>
        <w:rPr>
          <w:rFonts w:ascii="宋体" w:hAnsi="宋体" w:cs="宋体"/>
          <w:color w:val="auto"/>
          <w:sz w:val="24"/>
          <w:highlight w:val="none"/>
        </w:rPr>
      </w:pPr>
      <w:bookmarkStart w:id="132" w:name="_Toc254970530"/>
      <w:bookmarkStart w:id="133" w:name="_Toc254970671"/>
      <w:r>
        <w:rPr>
          <w:rFonts w:hint="eastAsia" w:ascii="宋体" w:hAnsi="宋体" w:cs="宋体"/>
          <w:color w:val="auto"/>
          <w:sz w:val="24"/>
          <w:highlight w:val="none"/>
        </w:rPr>
        <w:t>4.投标委托</w:t>
      </w:r>
      <w:bookmarkEnd w:id="132"/>
      <w:bookmarkEnd w:id="133"/>
    </w:p>
    <w:p w14:paraId="4D719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59F2CB5">
      <w:pPr>
        <w:spacing w:line="360" w:lineRule="auto"/>
        <w:ind w:firstLine="480" w:firstLineChars="200"/>
        <w:rPr>
          <w:rFonts w:ascii="宋体" w:hAnsi="宋体" w:cs="宋体"/>
          <w:color w:val="auto"/>
          <w:sz w:val="24"/>
          <w:highlight w:val="none"/>
        </w:rPr>
      </w:pPr>
      <w:bookmarkStart w:id="134" w:name="_5.投标费用"/>
      <w:bookmarkEnd w:id="134"/>
      <w:bookmarkStart w:id="135" w:name="_Toc254970531"/>
      <w:bookmarkStart w:id="136" w:name="_Toc254970672"/>
      <w:r>
        <w:rPr>
          <w:rFonts w:hint="eastAsia" w:ascii="宋体" w:hAnsi="宋体" w:cs="宋体"/>
          <w:color w:val="auto"/>
          <w:sz w:val="24"/>
          <w:highlight w:val="none"/>
        </w:rPr>
        <w:t>5.投标费用</w:t>
      </w:r>
      <w:bookmarkEnd w:id="135"/>
      <w:bookmarkEnd w:id="136"/>
    </w:p>
    <w:p w14:paraId="7EDA7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FB1E8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423F3E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8FEE1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6.2如接受联合体投标，联合体投标要求详见“投标人须知前附表”。</w:t>
      </w:r>
    </w:p>
    <w:p w14:paraId="35C28A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根据《政府采购促进中小企业发展管理办法》（财库[2020]46号）第九条、《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3AFC86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79FED1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7.1 本项目不允许转包。</w:t>
      </w:r>
    </w:p>
    <w:p w14:paraId="5922E7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62DE8E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2EC7EC7">
      <w:pPr>
        <w:spacing w:line="360" w:lineRule="auto"/>
        <w:ind w:firstLine="480" w:firstLineChars="200"/>
        <w:rPr>
          <w:rFonts w:ascii="宋体" w:hAnsi="宋体" w:cs="宋体"/>
          <w:color w:val="auto"/>
          <w:sz w:val="24"/>
          <w:highlight w:val="none"/>
        </w:rPr>
      </w:pPr>
      <w:bookmarkStart w:id="137" w:name="_Toc254970673"/>
      <w:bookmarkStart w:id="138" w:name="_Toc254970532"/>
      <w:r>
        <w:rPr>
          <w:rFonts w:hint="eastAsia" w:ascii="宋体" w:hAnsi="宋体" w:cs="宋体"/>
          <w:color w:val="auto"/>
          <w:sz w:val="24"/>
          <w:highlight w:val="none"/>
        </w:rPr>
        <w:t>8.特别说明：</w:t>
      </w:r>
      <w:bookmarkEnd w:id="137"/>
      <w:bookmarkEnd w:id="138"/>
      <w:bookmarkStart w:id="139" w:name="_8.1提供相同品牌产品且通过资格审查、符合性审查的不同投标人参加同一合"/>
      <w:bookmarkEnd w:id="139"/>
    </w:p>
    <w:p w14:paraId="6B5827F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8.1</w:t>
      </w:r>
      <w:r>
        <w:rPr>
          <w:rFonts w:hint="eastAsia" w:ascii="宋体" w:hAnsi="宋体"/>
          <w:b w:val="0"/>
          <w:sz w:val="21"/>
          <w:szCs w:val="21"/>
        </w:rPr>
        <w:t>如果本招标文件要求提供投标人或制造商的资格、信誉、荣誉、业绩与企业认证等材料的，资格、信誉、荣誉、业绩与企业认证等必须为投标人或者制造商所拥有或自身获得。</w:t>
      </w:r>
    </w:p>
    <w:p w14:paraId="0D85FDC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8.2投标人应仔细阅读招标文件的所有内容，按照招标文件的要求提交投标文件，并对所提供的全部资料的真实性承担法律责任。</w:t>
      </w:r>
    </w:p>
    <w:p w14:paraId="760E820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6E48CB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46DADDC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7890A7A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6040DB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37986C5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3502A3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（1）参加采购活动前3年内与供应商存在劳动关系。</w:t>
      </w:r>
    </w:p>
    <w:p w14:paraId="560E895C">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（2）参加采购活动前3年内担任供应商的董事、监事。</w:t>
      </w:r>
    </w:p>
    <w:p w14:paraId="1C375F6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（3）参加采购活动前3年内是供应商的控股股东或者实际控制人。</w:t>
      </w:r>
    </w:p>
    <w:p w14:paraId="1E04403F">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（4）与供应商的法定代表人或者负责人有夫妻、直系血亲、三代以内旁系血亲或者近姻亲关系。</w:t>
      </w:r>
    </w:p>
    <w:p w14:paraId="0E2EE750">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（5）与供应商有其他可能影响政府采购活动公平、公正进行的关系。</w:t>
      </w:r>
    </w:p>
    <w:p w14:paraId="1C2C9BC3">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E53ADC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77CCFF8C">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（1）不同投标人的投标文件由同一单位或者个人编制；或不同投标人报名的IP地址一致的。</w:t>
      </w:r>
    </w:p>
    <w:p w14:paraId="31CB71A5">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5A83D16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E63919D">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652772DB">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（5）不同投标人的投标文件相互混装。</w:t>
      </w:r>
    </w:p>
    <w:p w14:paraId="637D474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42494C64">
      <w:pPr>
        <w:spacing w:line="360" w:lineRule="auto"/>
        <w:ind w:firstLine="422" w:firstLineChars="200"/>
        <w:rPr>
          <w:rFonts w:ascii="宋体" w:hAnsi="宋体" w:cs="宋体"/>
          <w:b/>
          <w:bCs/>
          <w:color w:val="auto"/>
          <w:szCs w:val="21"/>
          <w:highlight w:val="none"/>
        </w:rPr>
      </w:pPr>
      <w:r>
        <w:rPr>
          <w:rFonts w:hint="eastAsia" w:ascii="宋体" w:hAnsi="宋体" w:cs="宋体"/>
          <w:b/>
          <w:color w:val="auto"/>
          <w:highlight w:val="none"/>
        </w:rPr>
        <w:t>9.3供应商有下列情形之一的，属于恶意串通</w:t>
      </w:r>
      <w:r>
        <w:rPr>
          <w:rFonts w:hint="eastAsia" w:ascii="宋体" w:hAnsi="宋体" w:cs="宋体"/>
          <w:b/>
          <w:bCs/>
          <w:color w:val="auto"/>
          <w:szCs w:val="21"/>
          <w:highlight w:val="none"/>
        </w:rPr>
        <w:t>行为，将报同级监督管理部门：</w:t>
      </w:r>
    </w:p>
    <w:p w14:paraId="73473DC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（1）供应商直接或者间接从采购人或者采购代理机构处获得其他供应商的相关信息并修改其投标文件。</w:t>
      </w:r>
    </w:p>
    <w:p w14:paraId="3A8316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（2）供应商按照采购人或者采购代理机构的授意撤换、修改投标文件。</w:t>
      </w:r>
    </w:p>
    <w:p w14:paraId="1137FE5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（3）供应商之间协商报价、技术方案等投标文件的实质性内容。</w:t>
      </w:r>
    </w:p>
    <w:p w14:paraId="61560974">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（4）属于同一集团、协会、商会等组织成员的供应商按照该组织要求协同参加政府采购活动。</w:t>
      </w:r>
    </w:p>
    <w:p w14:paraId="684CB74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59E7BB4C">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（6）供应商之间商定部分供应商放弃参加政府采购活动或者放弃中标。</w:t>
      </w:r>
    </w:p>
    <w:p w14:paraId="7D991F00">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（7）供应商与采购人或者采购代理机构之间、供应商相互之间，为谋求特定供应商中标或者排斥其他供应商的其他串通行为。</w:t>
      </w:r>
    </w:p>
    <w:p w14:paraId="7E5006CE">
      <w:pPr>
        <w:pStyle w:val="14"/>
        <w:snapToGrid w:val="0"/>
        <w:spacing w:line="360" w:lineRule="auto"/>
        <w:ind w:left="2" w:leftChars="1" w:firstLine="422" w:firstLineChars="200"/>
        <w:rPr>
          <w:rFonts w:hAnsi="宋体" w:cs="宋体"/>
          <w:b/>
          <w:color w:val="auto"/>
          <w:highlight w:val="none"/>
        </w:rPr>
      </w:pPr>
    </w:p>
    <w:p w14:paraId="19062BDB">
      <w:pPr>
        <w:pStyle w:val="4"/>
        <w:keepNext w:val="0"/>
        <w:keepLines w:val="0"/>
        <w:spacing w:line="400" w:lineRule="exact"/>
        <w:jc w:val="center"/>
        <w:rPr>
          <w:rFonts w:ascii="宋体" w:hAnsi="宋体" w:cs="宋体"/>
          <w:color w:val="auto"/>
          <w:highlight w:val="none"/>
        </w:rPr>
      </w:pPr>
      <w:bookmarkStart w:id="140" w:name="_Toc22960"/>
      <w:bookmarkStart w:id="141" w:name="_Toc22070"/>
      <w:bookmarkStart w:id="142" w:name="_Toc25441"/>
      <w:bookmarkStart w:id="143" w:name="_Toc4100"/>
      <w:bookmarkStart w:id="144" w:name="_Toc254970675"/>
      <w:bookmarkStart w:id="145" w:name="_Toc254970534"/>
      <w:r>
        <w:rPr>
          <w:rFonts w:hint="eastAsia" w:ascii="宋体" w:hAnsi="宋体" w:cs="宋体"/>
          <w:color w:val="auto"/>
          <w:highlight w:val="none"/>
        </w:rPr>
        <w:t>二、招标文件</w:t>
      </w:r>
      <w:bookmarkEnd w:id="140"/>
      <w:bookmarkEnd w:id="141"/>
      <w:bookmarkEnd w:id="142"/>
      <w:bookmarkEnd w:id="143"/>
      <w:bookmarkEnd w:id="144"/>
      <w:bookmarkEnd w:id="145"/>
    </w:p>
    <w:p w14:paraId="311C88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D889B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187747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3834FE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700F15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评标方法和评标标准</w:t>
      </w:r>
    </w:p>
    <w:p w14:paraId="4687A8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3E9A8E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16C11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17FC2F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01B3BF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159CB30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15A4CB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95D8C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7A5A4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26767C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46"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46"/>
    <w:p w14:paraId="78653992">
      <w:pPr>
        <w:pStyle w:val="4"/>
        <w:keepNext w:val="0"/>
        <w:keepLines w:val="0"/>
        <w:spacing w:line="400" w:lineRule="exact"/>
        <w:jc w:val="center"/>
        <w:rPr>
          <w:rFonts w:ascii="宋体" w:hAnsi="宋体" w:cs="宋体"/>
          <w:color w:val="auto"/>
          <w:highlight w:val="none"/>
        </w:rPr>
      </w:pPr>
      <w:bookmarkStart w:id="147" w:name="_Toc23467"/>
      <w:bookmarkStart w:id="148" w:name="_Toc254970676"/>
      <w:bookmarkStart w:id="149" w:name="_Toc32490"/>
      <w:bookmarkStart w:id="150" w:name="_Toc254970535"/>
    </w:p>
    <w:p w14:paraId="6026C7DC">
      <w:pPr>
        <w:pStyle w:val="4"/>
        <w:keepNext w:val="0"/>
        <w:keepLines w:val="0"/>
        <w:spacing w:line="400" w:lineRule="exact"/>
        <w:jc w:val="center"/>
        <w:rPr>
          <w:rFonts w:ascii="宋体" w:hAnsi="宋体" w:cs="宋体"/>
          <w:color w:val="auto"/>
          <w:highlight w:val="none"/>
        </w:rPr>
      </w:pPr>
      <w:bookmarkStart w:id="151" w:name="_Toc7612"/>
      <w:bookmarkStart w:id="152" w:name="_Toc13166"/>
      <w:r>
        <w:rPr>
          <w:rFonts w:hint="eastAsia" w:ascii="宋体" w:hAnsi="宋体" w:cs="宋体"/>
          <w:color w:val="auto"/>
          <w:highlight w:val="none"/>
        </w:rPr>
        <w:t>三、投标文件的编制</w:t>
      </w:r>
      <w:bookmarkEnd w:id="147"/>
      <w:bookmarkEnd w:id="148"/>
      <w:bookmarkEnd w:id="149"/>
      <w:bookmarkEnd w:id="150"/>
      <w:bookmarkEnd w:id="151"/>
      <w:bookmarkEnd w:id="152"/>
    </w:p>
    <w:p w14:paraId="33C1A6F2">
      <w:pPr>
        <w:spacing w:line="360" w:lineRule="auto"/>
        <w:ind w:firstLine="480" w:firstLineChars="200"/>
        <w:rPr>
          <w:rFonts w:ascii="宋体" w:hAnsi="宋体" w:cs="宋体"/>
          <w:color w:val="auto"/>
          <w:sz w:val="24"/>
          <w:highlight w:val="none"/>
        </w:rPr>
      </w:pPr>
      <w:bookmarkStart w:id="153" w:name="_Toc254970677"/>
      <w:bookmarkStart w:id="154" w:name="_Toc254970536"/>
      <w:r>
        <w:rPr>
          <w:rFonts w:hint="eastAsia" w:ascii="宋体" w:hAnsi="宋体" w:cs="宋体"/>
          <w:color w:val="auto"/>
          <w:sz w:val="24"/>
          <w:highlight w:val="none"/>
        </w:rPr>
        <w:t>12.投标文件的编制原则</w:t>
      </w:r>
    </w:p>
    <w:p w14:paraId="40FDD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71B00A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53"/>
      <w:bookmarkEnd w:id="154"/>
    </w:p>
    <w:p w14:paraId="3AC781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0A3B0765">
      <w:pPr>
        <w:spacing w:line="360" w:lineRule="auto"/>
        <w:ind w:firstLine="420" w:firstLineChars="200"/>
        <w:rPr>
          <w:rFonts w:ascii="宋体" w:hAnsi="宋体" w:cs="宋体"/>
          <w:bCs/>
          <w:color w:val="auto"/>
          <w:szCs w:val="21"/>
          <w:highlight w:val="none"/>
        </w:rPr>
      </w:pPr>
      <w:bookmarkStart w:id="155" w:name="_13.2资格证明文件：具体材料见“投标人须知前附表”。"/>
      <w:bookmarkEnd w:id="155"/>
      <w:bookmarkStart w:id="156" w:name="_13.1报价文件:_具体材料见“投标人须知前附表”。"/>
      <w:bookmarkEnd w:id="156"/>
      <w:r>
        <w:rPr>
          <w:rFonts w:hint="eastAsia" w:ascii="宋体" w:hAnsi="宋体" w:cs="宋体"/>
          <w:bCs/>
          <w:color w:val="auto"/>
          <w:szCs w:val="21"/>
          <w:highlight w:val="none"/>
        </w:rPr>
        <w:t>（1）资格证明文件：具体材料见“投标人须知前附表”。</w:t>
      </w:r>
    </w:p>
    <w:p w14:paraId="4315EFBF">
      <w:pPr>
        <w:spacing w:line="360" w:lineRule="auto"/>
        <w:ind w:firstLine="420" w:firstLineChars="200"/>
        <w:rPr>
          <w:rFonts w:ascii="宋体" w:hAnsi="宋体" w:cs="宋体"/>
          <w:bCs/>
          <w:color w:val="auto"/>
          <w:szCs w:val="21"/>
          <w:highlight w:val="none"/>
        </w:rPr>
      </w:pPr>
      <w:bookmarkStart w:id="157" w:name="_13.3商务文件:_具体材料见“投标人须知前附表”。"/>
      <w:bookmarkEnd w:id="157"/>
      <w:r>
        <w:rPr>
          <w:rFonts w:hint="eastAsia" w:ascii="宋体" w:hAnsi="宋体" w:cs="宋体"/>
          <w:bCs/>
          <w:color w:val="auto"/>
          <w:szCs w:val="21"/>
          <w:highlight w:val="none"/>
        </w:rPr>
        <w:t>（2）商务文件：具体材料见“投标人须知前附表”。</w:t>
      </w:r>
    </w:p>
    <w:p w14:paraId="7D4C9141">
      <w:pPr>
        <w:spacing w:line="360" w:lineRule="auto"/>
        <w:ind w:firstLine="420" w:firstLineChars="200"/>
        <w:rPr>
          <w:rFonts w:ascii="宋体" w:hAnsi="宋体" w:cs="宋体"/>
          <w:bCs/>
          <w:color w:val="auto"/>
          <w:szCs w:val="21"/>
          <w:highlight w:val="none"/>
        </w:rPr>
      </w:pPr>
      <w:bookmarkStart w:id="158" w:name="_13.4技术文件：具体材料见“投标人须知前附表”。"/>
      <w:bookmarkEnd w:id="158"/>
      <w:r>
        <w:rPr>
          <w:rFonts w:hint="eastAsia" w:ascii="宋体" w:hAnsi="宋体" w:cs="宋体"/>
          <w:bCs/>
          <w:color w:val="auto"/>
          <w:szCs w:val="21"/>
          <w:highlight w:val="none"/>
        </w:rPr>
        <w:t xml:space="preserve">（3）技术文件：具体材料见“投标人须知前附表”。 </w:t>
      </w:r>
    </w:p>
    <w:p w14:paraId="222557C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124016BD">
      <w:pPr>
        <w:spacing w:line="360" w:lineRule="auto"/>
        <w:ind w:firstLine="420" w:firstLineChars="200"/>
        <w:rPr>
          <w:rFonts w:ascii="宋体" w:hAnsi="宋体" w:cs="宋体"/>
          <w:bCs/>
          <w:color w:val="auto"/>
          <w:szCs w:val="21"/>
          <w:highlight w:val="none"/>
        </w:rPr>
      </w:pPr>
      <w:bookmarkStart w:id="159" w:name="_13.5投标文件电子版：具体材料见“投标人须知前附表”。"/>
      <w:bookmarkEnd w:id="159"/>
      <w:r>
        <w:rPr>
          <w:rFonts w:hint="eastAsia" w:ascii="宋体" w:hAnsi="宋体" w:cs="宋体"/>
          <w:bCs/>
          <w:color w:val="auto"/>
          <w:szCs w:val="21"/>
          <w:highlight w:val="none"/>
        </w:rPr>
        <w:t>13.2投标文件电子版：具体要求见本节19.投标文件编制。</w:t>
      </w:r>
    </w:p>
    <w:p w14:paraId="19864B5A">
      <w:pPr>
        <w:spacing w:line="360" w:lineRule="auto"/>
        <w:ind w:firstLine="480" w:firstLineChars="200"/>
        <w:rPr>
          <w:rFonts w:ascii="宋体" w:hAnsi="宋体" w:cs="宋体"/>
          <w:color w:val="auto"/>
          <w:sz w:val="24"/>
          <w:highlight w:val="none"/>
        </w:rPr>
      </w:pPr>
      <w:bookmarkStart w:id="160" w:name="_Toc254970537"/>
      <w:bookmarkStart w:id="161" w:name="_Toc254970678"/>
      <w:r>
        <w:rPr>
          <w:rFonts w:hint="eastAsia" w:ascii="宋体" w:hAnsi="宋体" w:cs="宋体"/>
          <w:color w:val="auto"/>
          <w:sz w:val="24"/>
          <w:highlight w:val="none"/>
        </w:rPr>
        <w:t>14.投标文件的语言及计量</w:t>
      </w:r>
      <w:bookmarkEnd w:id="160"/>
      <w:bookmarkEnd w:id="161"/>
    </w:p>
    <w:p w14:paraId="62A6DD9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0B22C48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B2EE1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18B0DF8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bCs/>
          <w:color w:val="auto"/>
          <w:szCs w:val="21"/>
          <w:highlight w:val="none"/>
        </w:rPr>
        <w:t>。</w:t>
      </w:r>
    </w:p>
    <w:p w14:paraId="300319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15.投标的风险</w:t>
      </w:r>
    </w:p>
    <w:p w14:paraId="39FE92DC">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7E87F0E">
      <w:pPr>
        <w:spacing w:line="360" w:lineRule="auto"/>
        <w:ind w:firstLine="480" w:firstLineChars="200"/>
        <w:rPr>
          <w:rFonts w:ascii="宋体" w:hAnsi="宋体" w:cs="宋体"/>
          <w:color w:val="auto"/>
          <w:sz w:val="24"/>
          <w:highlight w:val="none"/>
        </w:rPr>
      </w:pPr>
      <w:bookmarkStart w:id="162" w:name="_Toc254970679"/>
      <w:bookmarkStart w:id="163" w:name="_Toc254970538"/>
      <w:r>
        <w:rPr>
          <w:rFonts w:hint="eastAsia" w:ascii="宋体" w:hAnsi="宋体" w:cs="宋体"/>
          <w:color w:val="auto"/>
          <w:sz w:val="24"/>
          <w:highlight w:val="none"/>
        </w:rPr>
        <w:t>16.投标报价</w:t>
      </w:r>
      <w:bookmarkEnd w:id="162"/>
      <w:bookmarkEnd w:id="163"/>
    </w:p>
    <w:p w14:paraId="1A3CD2A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16.1投标报价应按“第六章　投标文件格式”中“开标一览表”格式填写。</w:t>
      </w:r>
    </w:p>
    <w:p w14:paraId="5D5919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16.2投标报价具体包括内容详见“投标人须知前附表”。</w:t>
      </w:r>
    </w:p>
    <w:p w14:paraId="6E5E03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16.3投标人必须就所投项目/每个分标的全部内容分别作完整唯一总价报价，不得存在漏项报价；投标人必须就所投项目/分标的单项内容作唯一报价。</w:t>
      </w:r>
    </w:p>
    <w:p w14:paraId="5C9CB5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593609D7">
      <w:pPr>
        <w:spacing w:line="360" w:lineRule="auto"/>
        <w:ind w:firstLine="420" w:firstLineChars="200"/>
        <w:rPr>
          <w:rFonts w:ascii="宋体" w:hAnsi="宋体" w:cs="宋体"/>
          <w:bCs/>
          <w:color w:val="auto"/>
          <w:szCs w:val="21"/>
          <w:highlight w:val="none"/>
        </w:rPr>
      </w:pPr>
      <w:bookmarkStart w:id="164" w:name="_17.1投标有效期应按“投标人须知中的前附表”规定的期限。"/>
      <w:bookmarkEnd w:id="16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73BCE3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165" w:name="_Toc254970681"/>
      <w:bookmarkStart w:id="166" w:name="_Toc254970540"/>
      <w:r>
        <w:rPr>
          <w:rFonts w:hint="eastAsia" w:ascii="宋体" w:hAnsi="宋体" w:cs="宋体"/>
          <w:bCs/>
          <w:color w:val="auto"/>
          <w:szCs w:val="21"/>
          <w:highlight w:val="none"/>
        </w:rPr>
        <w:t xml:space="preserve"> 投标有效期应按规定的期限作出承诺，具体详见“投标人须知前附表”。</w:t>
      </w:r>
    </w:p>
    <w:p w14:paraId="229F5D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65"/>
      <w:bookmarkEnd w:id="166"/>
    </w:p>
    <w:p w14:paraId="478C1BA2">
      <w:pPr>
        <w:spacing w:line="360" w:lineRule="auto"/>
        <w:ind w:firstLine="480" w:firstLineChars="200"/>
        <w:rPr>
          <w:rFonts w:ascii="宋体" w:hAnsi="宋体" w:cs="宋体"/>
          <w:color w:val="auto"/>
          <w:sz w:val="24"/>
          <w:highlight w:val="none"/>
        </w:rPr>
      </w:pPr>
      <w:bookmarkStart w:id="167" w:name="_18.投标保证金"/>
      <w:bookmarkEnd w:id="167"/>
      <w:bookmarkStart w:id="168" w:name="_Toc254970682"/>
      <w:bookmarkStart w:id="169" w:name="_Toc254970541"/>
      <w:r>
        <w:rPr>
          <w:rFonts w:hint="eastAsia" w:ascii="宋体" w:hAnsi="宋体" w:cs="宋体"/>
          <w:color w:val="auto"/>
          <w:sz w:val="24"/>
          <w:highlight w:val="none"/>
        </w:rPr>
        <w:t>18.投标保证金</w:t>
      </w:r>
      <w:bookmarkEnd w:id="168"/>
      <w:bookmarkEnd w:id="169"/>
    </w:p>
    <w:p w14:paraId="2A99EAB9">
      <w:pPr>
        <w:snapToGrid w:val="0"/>
        <w:spacing w:line="360" w:lineRule="auto"/>
        <w:ind w:firstLine="420" w:firstLineChars="200"/>
        <w:rPr>
          <w:rFonts w:ascii="宋体" w:hAnsi="宋体" w:cs="宋体"/>
          <w:color w:val="auto"/>
          <w:szCs w:val="21"/>
          <w:highlight w:val="none"/>
        </w:rPr>
      </w:pPr>
      <w:bookmarkStart w:id="170" w:name="_Toc254970683"/>
      <w:bookmarkStart w:id="171" w:name="_Toc254970542"/>
      <w:r>
        <w:rPr>
          <w:rFonts w:hint="eastAsia" w:ascii="宋体" w:hAnsi="宋体" w:cs="宋体"/>
          <w:color w:val="auto"/>
          <w:szCs w:val="21"/>
          <w:highlight w:val="none"/>
        </w:rPr>
        <w:t>18.1投标人须按“投标人须知前附表” 的规定提交投标保证金。</w:t>
      </w:r>
    </w:p>
    <w:p w14:paraId="114BBB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18.2投标保证金的退还</w:t>
      </w:r>
    </w:p>
    <w:p w14:paraId="2E8557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18.2.1未中标人的投标保证金自中标通知书发出之日起5个工作日内退还，退还方式如下：</w:t>
      </w:r>
    </w:p>
    <w:p w14:paraId="5F08577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（1）采用银行转账方式的，以转账方式退回到投标人银行账户。</w:t>
      </w:r>
    </w:p>
    <w:p w14:paraId="3208D7A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17EA2B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18.2.2中标人的投标保证金自采购合同签订之日起5个工作日内退还，退还方式同本须知正文第18.2.1，或者转为中标人的履约保证金。 </w:t>
      </w:r>
    </w:p>
    <w:p w14:paraId="47D8FD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5D00CD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3734F6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749CC9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18A5A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7D74A38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A43C5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17D191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29892A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170"/>
      <w:bookmarkEnd w:id="171"/>
      <w:r>
        <w:rPr>
          <w:rFonts w:hint="eastAsia" w:ascii="宋体" w:hAnsi="宋体" w:cs="宋体"/>
          <w:color w:val="auto"/>
          <w:sz w:val="24"/>
          <w:highlight w:val="none"/>
        </w:rPr>
        <w:t>编制</w:t>
      </w:r>
    </w:p>
    <w:p w14:paraId="12645A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72" w:name="_19.2投标文件应按报价文件、资格证明文件、商务文件、技术文件分别编制"/>
      <w:bookmarkEnd w:id="172"/>
    </w:p>
    <w:p w14:paraId="173500FC">
      <w:pPr>
        <w:pStyle w:val="7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3DBCAE25">
      <w:pPr>
        <w:pStyle w:val="7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641C6B4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否则作无效投标处理</w:t>
      </w:r>
      <w:r>
        <w:rPr>
          <w:rFonts w:hint="eastAsia" w:ascii="宋体" w:hAnsi="宋体" w:cs="宋体"/>
          <w:b/>
          <w:color w:val="auto"/>
          <w:szCs w:val="21"/>
          <w:highlight w:val="none"/>
        </w:rPr>
        <w:t>。</w:t>
      </w:r>
    </w:p>
    <w:p w14:paraId="7B6E2E76">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2EEABB7F">
      <w:pPr>
        <w:spacing w:line="360" w:lineRule="auto"/>
        <w:ind w:firstLine="520" w:firstLineChars="248"/>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技术需求和配置</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7A49F060">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33ACA5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32EF82D5">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详见“投标人须知前附表”。</w:t>
      </w:r>
    </w:p>
    <w:p w14:paraId="0F2934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7C78B91D">
      <w:pPr>
        <w:spacing w:line="360" w:lineRule="auto"/>
        <w:ind w:firstLine="420" w:firstLineChars="200"/>
        <w:rPr>
          <w:rFonts w:ascii="宋体" w:hAnsi="宋体" w:cs="宋体"/>
          <w:b/>
          <w:color w:val="auto"/>
          <w:highlight w:val="none"/>
        </w:rPr>
      </w:pPr>
      <w:bookmarkStart w:id="173" w:name="_21.1投标人必须在“投标人须知中的前附表”规定的投标文件接收时间和投"/>
      <w:bookmarkEnd w:id="173"/>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color w:val="auto"/>
          <w:highlight w:val="none"/>
        </w:rPr>
        <w:t>广西政府采购云平台</w:t>
      </w:r>
      <w:r>
        <w:rPr>
          <w:rFonts w:hint="eastAsia" w:ascii="宋体" w:hAnsi="宋体" w:cs="宋体"/>
          <w:bCs/>
          <w:color w:val="auto"/>
          <w:szCs w:val="21"/>
          <w:highlight w:val="none"/>
        </w:rPr>
        <w:t xml:space="preserve">。 </w:t>
      </w:r>
    </w:p>
    <w:p w14:paraId="46F00FE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7859F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w:t>
      </w:r>
      <w:r>
        <w:rPr>
          <w:rFonts w:hint="eastAsia" w:ascii="宋体" w:hAnsi="宋体" w:cs="宋体"/>
          <w:b w:val="0"/>
          <w:bCs/>
          <w:color w:val="auto"/>
          <w:szCs w:val="21"/>
          <w:highlight w:val="none"/>
        </w:rPr>
        <w:t>。</w:t>
      </w:r>
    </w:p>
    <w:p w14:paraId="6B3A39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w:t>
      </w:r>
      <w:bookmarkStart w:id="174" w:name="_Toc254970543"/>
      <w:bookmarkStart w:id="175" w:name="_Toc254970684"/>
    </w:p>
    <w:p w14:paraId="554C6850">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72336E10">
      <w:pPr>
        <w:pStyle w:val="7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74"/>
    <w:bookmarkEnd w:id="175"/>
    <w:p w14:paraId="58FD00A0">
      <w:pPr>
        <w:pStyle w:val="12"/>
        <w:snapToGrid w:val="0"/>
        <w:spacing w:line="400" w:lineRule="exact"/>
        <w:ind w:firstLine="303"/>
        <w:rPr>
          <w:rFonts w:hAnsi="宋体" w:cs="宋体"/>
          <w:snapToGrid w:val="0"/>
          <w:color w:val="auto"/>
          <w:sz w:val="21"/>
          <w:szCs w:val="21"/>
          <w:highlight w:val="none"/>
        </w:rPr>
      </w:pPr>
    </w:p>
    <w:p w14:paraId="4E2B56CD">
      <w:pPr>
        <w:pStyle w:val="4"/>
        <w:keepNext w:val="0"/>
        <w:keepLines w:val="0"/>
        <w:spacing w:line="400" w:lineRule="exact"/>
        <w:jc w:val="center"/>
        <w:rPr>
          <w:rFonts w:ascii="宋体" w:hAnsi="宋体" w:cs="宋体"/>
          <w:color w:val="auto"/>
          <w:highlight w:val="none"/>
        </w:rPr>
      </w:pPr>
      <w:bookmarkStart w:id="176" w:name="_Toc20620"/>
      <w:bookmarkStart w:id="177" w:name="_Toc13173"/>
      <w:bookmarkStart w:id="178" w:name="_Toc6762"/>
      <w:bookmarkStart w:id="179" w:name="_Toc254970685"/>
      <w:bookmarkStart w:id="180" w:name="_Toc254970544"/>
      <w:bookmarkStart w:id="181" w:name="_Toc20871"/>
      <w:r>
        <w:rPr>
          <w:rFonts w:hint="eastAsia" w:ascii="宋体" w:hAnsi="宋体" w:cs="宋体"/>
          <w:color w:val="auto"/>
          <w:highlight w:val="none"/>
        </w:rPr>
        <w:t>四、开    标</w:t>
      </w:r>
      <w:bookmarkEnd w:id="176"/>
      <w:bookmarkEnd w:id="177"/>
      <w:bookmarkEnd w:id="178"/>
      <w:bookmarkEnd w:id="179"/>
      <w:bookmarkEnd w:id="180"/>
      <w:bookmarkEnd w:id="181"/>
    </w:p>
    <w:p w14:paraId="628AAC7B">
      <w:pPr>
        <w:spacing w:line="360" w:lineRule="auto"/>
        <w:ind w:firstLine="480" w:firstLineChars="200"/>
        <w:rPr>
          <w:rFonts w:ascii="宋体" w:hAnsi="宋体" w:cs="宋体"/>
          <w:color w:val="auto"/>
          <w:sz w:val="24"/>
          <w:highlight w:val="none"/>
        </w:rPr>
      </w:pPr>
      <w:bookmarkStart w:id="182" w:name="_23.开标时间和地点"/>
      <w:bookmarkEnd w:id="182"/>
      <w:r>
        <w:rPr>
          <w:rFonts w:hint="eastAsia" w:ascii="宋体" w:hAnsi="宋体" w:cs="宋体"/>
          <w:color w:val="auto"/>
          <w:sz w:val="24"/>
          <w:highlight w:val="none"/>
        </w:rPr>
        <w:t>23.开标时间和地点</w:t>
      </w:r>
    </w:p>
    <w:p w14:paraId="1620BC0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180D0D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1E02E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129DFE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24.1开标形式：</w:t>
      </w:r>
    </w:p>
    <w:p w14:paraId="688B62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（1）开标的准备工作由采购代理机构负责落实，采购代理机构必须基于广西政府采购云平台依法抽取评审专家，如采购代理机构未按规定抽取专家的，视为本次开评标无效，应当重新采购。</w:t>
      </w:r>
    </w:p>
    <w:p w14:paraId="784A47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E61D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24.2开标程序：</w:t>
      </w:r>
    </w:p>
    <w:p w14:paraId="736776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在规定的时间内自行将投标文件在线解密。投标人的法定代表人或其委托代理人须携带加密时所用的CA锁准时登录到广西政府采购云平台电子开标大厅签到并对电子投标文件在线解密。投标文件未按时解密的，均视为无效投标。</w:t>
      </w:r>
    </w:p>
    <w:p w14:paraId="27C00D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（解密异常情况处理：详见本章29.3 电子交易活动的中止。）</w:t>
      </w:r>
    </w:p>
    <w:p w14:paraId="1D7F64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（2）电子唱标。投标文件解密结束，各投标人报价均在广西政府采购云平台远程不见面开标大厅展示。</w:t>
      </w:r>
    </w:p>
    <w:p w14:paraId="2A84BF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0E0A75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8B799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（5）开标结束。</w:t>
      </w:r>
    </w:p>
    <w:p w14:paraId="1F8C5175">
      <w:pPr>
        <w:pStyle w:val="14"/>
        <w:snapToGrid w:val="0"/>
        <w:spacing w:line="440" w:lineRule="exact"/>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12474863">
      <w:pPr>
        <w:pStyle w:val="8"/>
        <w:ind w:left="0"/>
        <w:rPr>
          <w:rFonts w:ascii="宋体" w:hAnsi="宋体" w:cs="宋体"/>
          <w:color w:val="auto"/>
          <w:highlight w:val="none"/>
        </w:rPr>
      </w:pPr>
      <w:bookmarkStart w:id="183" w:name="_Toc29757"/>
      <w:bookmarkStart w:id="184" w:name="_Toc31687"/>
      <w:bookmarkStart w:id="185" w:name="_Toc30961"/>
      <w:bookmarkStart w:id="186" w:name="_Toc10935"/>
    </w:p>
    <w:p w14:paraId="667B63D7">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五、资格审查</w:t>
      </w:r>
      <w:bookmarkEnd w:id="183"/>
      <w:bookmarkEnd w:id="184"/>
      <w:bookmarkEnd w:id="185"/>
      <w:bookmarkEnd w:id="186"/>
    </w:p>
    <w:p w14:paraId="088E01FE">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5AC27586">
      <w:pPr>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25.1开标结束后，采购人或采购代理机构依法通过电子投标文件对投标人的资格进行线上审查。</w:t>
      </w:r>
    </w:p>
    <w:p w14:paraId="73C96B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661F7525">
      <w:pPr>
        <w:spacing w:line="360" w:lineRule="auto"/>
        <w:ind w:firstLine="422" w:firstLineChars="200"/>
        <w:rPr>
          <w:rFonts w:ascii="宋体" w:hAnsi="宋体" w:cs="宋体"/>
          <w:b/>
          <w:bCs/>
          <w:color w:val="auto"/>
          <w:szCs w:val="20"/>
          <w:highlight w:val="none"/>
        </w:rPr>
      </w:pPr>
      <w:bookmarkStart w:id="187" w:name="_25.3_投标人有下列情形之一的，资格审查不通过而导致其投标无效："/>
      <w:bookmarkEnd w:id="187"/>
      <w:r>
        <w:rPr>
          <w:rFonts w:hint="eastAsia" w:ascii="宋体" w:hAnsi="宋体" w:cs="宋体"/>
          <w:b/>
          <w:bCs/>
          <w:color w:val="auto"/>
          <w:szCs w:val="20"/>
          <w:highlight w:val="none"/>
        </w:rPr>
        <w:t>25.3投标人有下列情形之一的，资格审查不通过，作无效投标处理：</w:t>
      </w:r>
    </w:p>
    <w:p w14:paraId="09BED9D7">
      <w:pPr>
        <w:spacing w:line="360" w:lineRule="auto"/>
        <w:ind w:firstLine="420" w:firstLineChars="200"/>
        <w:rPr>
          <w:rFonts w:ascii="宋体" w:hAnsi="宋体" w:cs="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w:t>
      </w:r>
      <w:r>
        <w:rPr>
          <w:rFonts w:hint="eastAsia" w:ascii="宋体" w:hAnsi="宋体" w:cs="宋体"/>
          <w:color w:val="auto"/>
          <w:szCs w:val="20"/>
          <w:highlight w:val="none"/>
        </w:rPr>
        <w:t>采购人或者采购代理机构</w:t>
      </w:r>
      <w:r>
        <w:rPr>
          <w:rFonts w:hint="eastAsia" w:ascii="宋体" w:hAnsi="宋体" w:cs="宋体"/>
          <w:color w:val="auto"/>
          <w:highlight w:val="none"/>
        </w:rPr>
        <w:t>可直接在线查询）</w:t>
      </w:r>
    </w:p>
    <w:p w14:paraId="748D83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7B1DC767">
      <w:pPr>
        <w:spacing w:line="360" w:lineRule="auto"/>
        <w:ind w:firstLine="420" w:firstLineChars="200"/>
        <w:rPr>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2D751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（4）同一合同项下的不同供应商，单位负责人为同一人或者存在直接控股、管理关系的；为本项目提供过整体设计、规范编制或者项目管理、监理、检测等服务的。</w:t>
      </w:r>
    </w:p>
    <w:p w14:paraId="6132B3F3">
      <w:pPr>
        <w:pStyle w:val="6"/>
        <w:keepNext w:val="0"/>
        <w:keepLines w:val="0"/>
        <w:spacing w:before="0" w:after="0" w:line="360" w:lineRule="auto"/>
        <w:ind w:firstLine="420" w:firstLineChars="200"/>
        <w:rPr>
          <w:rFonts w:ascii="宋体" w:hAnsi="宋体" w:cs="宋体"/>
          <w:b w:val="0"/>
          <w:bCs w:val="0"/>
          <w:color w:val="auto"/>
          <w:sz w:val="21"/>
          <w:szCs w:val="20"/>
          <w:highlight w:val="none"/>
        </w:rPr>
      </w:pPr>
      <w:r>
        <w:rPr>
          <w:rFonts w:hint="eastAsia" w:ascii="宋体" w:hAnsi="宋体" w:cs="宋体"/>
          <w:b w:val="0"/>
          <w:bCs w:val="0"/>
          <w:color w:val="auto"/>
          <w:sz w:val="21"/>
          <w:szCs w:val="20"/>
          <w:highlight w:val="none"/>
        </w:rPr>
        <w:t>25.4资格审查的合格投标人不足3家的，不得评标。</w:t>
      </w:r>
    </w:p>
    <w:p w14:paraId="7009BB70">
      <w:pPr>
        <w:pStyle w:val="4"/>
        <w:keepNext w:val="0"/>
        <w:keepLines w:val="0"/>
        <w:spacing w:line="360" w:lineRule="auto"/>
        <w:jc w:val="center"/>
        <w:rPr>
          <w:rFonts w:ascii="宋体" w:hAnsi="宋体" w:cs="宋体"/>
          <w:color w:val="auto"/>
          <w:highlight w:val="none"/>
        </w:rPr>
      </w:pPr>
      <w:bookmarkStart w:id="188" w:name="_Toc17458"/>
      <w:bookmarkStart w:id="189" w:name="_Toc10753"/>
      <w:bookmarkStart w:id="190" w:name="_Toc23135"/>
      <w:bookmarkStart w:id="191" w:name="_Toc29675"/>
    </w:p>
    <w:p w14:paraId="47B7D355">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六、评   标</w:t>
      </w:r>
      <w:bookmarkEnd w:id="188"/>
      <w:bookmarkEnd w:id="189"/>
      <w:bookmarkEnd w:id="190"/>
      <w:bookmarkEnd w:id="191"/>
    </w:p>
    <w:p w14:paraId="3A7EC4DC">
      <w:pPr>
        <w:spacing w:line="360" w:lineRule="auto"/>
        <w:ind w:firstLine="480" w:firstLineChars="200"/>
        <w:rPr>
          <w:rFonts w:ascii="宋体" w:hAnsi="宋体" w:cs="宋体"/>
          <w:color w:val="auto"/>
          <w:sz w:val="24"/>
          <w:highlight w:val="none"/>
        </w:rPr>
      </w:pPr>
      <w:bookmarkStart w:id="192" w:name="_26.组建评标委员会"/>
      <w:bookmarkEnd w:id="192"/>
      <w:r>
        <w:rPr>
          <w:rFonts w:hint="eastAsia" w:ascii="宋体" w:hAnsi="宋体" w:cs="宋体"/>
          <w:color w:val="auto"/>
          <w:sz w:val="24"/>
          <w:highlight w:val="none"/>
        </w:rPr>
        <w:t>26.组建评标委员会</w:t>
      </w:r>
    </w:p>
    <w:p w14:paraId="43AD44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55EE99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A7B59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69CDBE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389C69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25CBFD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1D916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3463B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0B5E0236">
      <w:pPr>
        <w:pStyle w:val="17"/>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4"/>
          <w:highlight w:val="none"/>
        </w:rPr>
        <w:t>28.4</w:t>
      </w:r>
      <w:r>
        <w:rPr>
          <w:rFonts w:hint="eastAsia" w:ascii="宋体" w:hAnsi="宋体" w:cs="宋体"/>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82BA9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29.评标方法和评标标准</w:t>
      </w:r>
    </w:p>
    <w:p w14:paraId="2D8709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6E2EEF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7A3A37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2020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D0A4C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194DB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95737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47ED9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BFFFC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43806C0">
      <w:pPr>
        <w:pStyle w:val="14"/>
        <w:snapToGrid w:val="0"/>
        <w:spacing w:line="400" w:lineRule="exact"/>
        <w:ind w:firstLine="420" w:firstLineChars="200"/>
        <w:rPr>
          <w:rFonts w:hAnsi="宋体" w:cs="宋体"/>
          <w:color w:val="auto"/>
          <w:highlight w:val="none"/>
        </w:rPr>
      </w:pPr>
    </w:p>
    <w:p w14:paraId="23AA2488">
      <w:pPr>
        <w:pStyle w:val="4"/>
        <w:keepNext w:val="0"/>
        <w:keepLines w:val="0"/>
        <w:spacing w:line="400" w:lineRule="exact"/>
        <w:jc w:val="center"/>
        <w:rPr>
          <w:rFonts w:ascii="宋体" w:hAnsi="宋体" w:cs="宋体"/>
          <w:color w:val="auto"/>
          <w:highlight w:val="none"/>
        </w:rPr>
      </w:pPr>
      <w:bookmarkStart w:id="193" w:name="_Toc254970687"/>
      <w:bookmarkStart w:id="194" w:name="_Toc254970546"/>
      <w:bookmarkStart w:id="195" w:name="_Toc20927"/>
      <w:bookmarkStart w:id="196" w:name="_Toc6053"/>
      <w:bookmarkStart w:id="197" w:name="_Toc16461"/>
      <w:bookmarkStart w:id="198" w:name="_Toc11609"/>
      <w:r>
        <w:rPr>
          <w:rFonts w:hint="eastAsia" w:ascii="宋体" w:hAnsi="宋体" w:cs="宋体"/>
          <w:color w:val="auto"/>
          <w:highlight w:val="none"/>
        </w:rPr>
        <w:t>七、</w:t>
      </w:r>
      <w:bookmarkEnd w:id="193"/>
      <w:bookmarkEnd w:id="194"/>
      <w:r>
        <w:rPr>
          <w:rFonts w:hint="eastAsia" w:ascii="宋体" w:hAnsi="宋体" w:cs="宋体"/>
          <w:color w:val="auto"/>
          <w:highlight w:val="none"/>
        </w:rPr>
        <w:t>中标和合同</w:t>
      </w:r>
      <w:bookmarkEnd w:id="195"/>
      <w:bookmarkEnd w:id="196"/>
      <w:bookmarkEnd w:id="197"/>
      <w:bookmarkEnd w:id="198"/>
    </w:p>
    <w:p w14:paraId="242372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30.确定中标人</w:t>
      </w:r>
    </w:p>
    <w:p w14:paraId="1E57BD43">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ascii="宋体" w:hAnsi="宋体" w:cs="宋体"/>
          <w:color w:val="auto"/>
          <w:highlight w:val="none"/>
        </w:rPr>
        <w:t>“投标人须知前附表”</w:t>
      </w:r>
      <w:r>
        <w:rPr>
          <w:rFonts w:ascii="宋体" w:hAnsi="宋体" w:cs="宋体"/>
          <w:color w:val="auto"/>
          <w:highlight w:val="none"/>
        </w:rPr>
        <w:t>规定的方式确定中标人</w:t>
      </w:r>
      <w:r>
        <w:rPr>
          <w:rFonts w:hint="eastAsia" w:ascii="宋体" w:hAnsi="宋体" w:cs="宋体"/>
          <w:color w:val="auto"/>
          <w:highlight w:val="none"/>
        </w:rPr>
        <w:t>。</w:t>
      </w:r>
      <w:r>
        <w:rPr>
          <w:rFonts w:ascii="宋体" w:hAnsi="宋体" w:cs="宋体"/>
          <w:color w:val="auto"/>
          <w:highlight w:val="none"/>
        </w:rPr>
        <w:t>招标文件未规定的，采取随机抽取的方式确定。</w:t>
      </w:r>
    </w:p>
    <w:p w14:paraId="1C163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3F98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30.3中标人无正当理由拒签合同的，根据《中华人民共和国政府采购法》第七十七条第一款规定处理。</w:t>
      </w:r>
    </w:p>
    <w:p w14:paraId="3A3CE9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w:t>
      </w:r>
      <w:r>
        <w:rPr>
          <w:rFonts w:hint="eastAsia" w:ascii="宋体" w:hAnsi="宋体" w:eastAsia="宋体" w:cs="宋体"/>
          <w:color w:val="auto"/>
          <w:szCs w:val="21"/>
          <w:highlight w:val="none"/>
        </w:rPr>
        <w:t>和国民法典》第五百六十三条，因不可抗力致使不能实</w:t>
      </w:r>
      <w:r>
        <w:rPr>
          <w:rFonts w:hint="eastAsia" w:ascii="宋体" w:hAnsi="宋体" w:cs="宋体"/>
          <w:color w:val="auto"/>
          <w:szCs w:val="21"/>
          <w:highlight w:val="none"/>
        </w:rPr>
        <w:t>现合同目的的，当事人可以解除合同。</w:t>
      </w:r>
    </w:p>
    <w:p w14:paraId="144C53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8C0A22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排名第二的中标候选人因前款规定的同样原因被取消中标资格的，采购人可以依法确定排名第三的中标候选人为中标人，以此类推。</w:t>
      </w:r>
    </w:p>
    <w:p w14:paraId="4A90BD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EF44C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7AEB0E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29BE9AA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32.1在发布中标公告的同时，采购代理机构向中标人通过广西政府采购云平台发出电子中标通知书。</w:t>
      </w:r>
    </w:p>
    <w:p w14:paraId="5651FA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5EAD243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33. 无义务解释未中标原因</w:t>
      </w:r>
    </w:p>
    <w:p w14:paraId="639B95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采购代理机构无义务向未中标的投标人解释未中标原因和退还投标文件。</w:t>
      </w:r>
    </w:p>
    <w:p w14:paraId="1CAA49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2B2EA4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33D6CF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47F3731F">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99" w:name="_39.1中标人须于签订合同前按本须知前附表规定的金额转账或电汇到指定账"/>
      <w:bookmarkEnd w:id="199"/>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3B22A1D2">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5641939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069E08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2545E6E8">
      <w:pPr>
        <w:spacing w:line="360" w:lineRule="auto"/>
        <w:ind w:firstLine="420" w:firstLineChars="200"/>
        <w:rPr>
          <w:rFonts w:ascii="宋体" w:hAnsi="宋体" w:cs="宋体"/>
          <w:color w:val="auto"/>
          <w:szCs w:val="21"/>
          <w:highlight w:val="none"/>
        </w:rPr>
      </w:pPr>
      <w:bookmarkStart w:id="200" w:name="_40.1投标人接到中标通知书后，按须知前附表规定向采购人出示相关资格证"/>
      <w:bookmarkEnd w:id="200"/>
      <w:r>
        <w:rPr>
          <w:rFonts w:hint="eastAsia" w:ascii="宋体" w:hAnsi="宋体" w:cs="宋体"/>
          <w:color w:val="auto"/>
          <w:szCs w:val="21"/>
          <w:highlight w:val="none"/>
        </w:rPr>
        <w:t>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适用于签订纸质合同的情形）</w:t>
      </w:r>
    </w:p>
    <w:p w14:paraId="04C5B8E4">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36.2采购合同由采购人与中标人根据招标文件、投标文件等内容通过政府采购电子交易平台在线签订，自动备案。（适用于签订电子合同的情形）</w:t>
      </w:r>
    </w:p>
    <w:p w14:paraId="5E9D48BA">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采购合同由采购人与中标人根据招标文件、投标文件等内容签订。（适用于签订纸质合同的情形）</w:t>
      </w:r>
    </w:p>
    <w:p w14:paraId="3D3406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36.3签订合同时间：按中标通知书规定的时间与采购人签订合同。</w:t>
      </w:r>
    </w:p>
    <w:p w14:paraId="3E105F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F943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17D70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40E16FA8">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36.7如签订合同并生效后，中标人无故拒绝或延期，除按照合同条款处理外，将承担相应的法律责任。</w:t>
      </w:r>
    </w:p>
    <w:p w14:paraId="4830AD65">
      <w:pPr>
        <w:spacing w:line="360" w:lineRule="auto"/>
        <w:ind w:firstLine="480" w:firstLineChars="200"/>
        <w:rPr>
          <w:rFonts w:ascii="宋体" w:hAnsi="宋体" w:cs="宋体"/>
          <w:color w:val="auto"/>
          <w:sz w:val="24"/>
          <w:highlight w:val="none"/>
        </w:rPr>
      </w:pPr>
      <w:bookmarkStart w:id="201" w:name="_41.政府采购合同公告"/>
      <w:bookmarkEnd w:id="201"/>
      <w:r>
        <w:rPr>
          <w:rFonts w:hint="eastAsia" w:ascii="宋体" w:hAnsi="宋体" w:cs="宋体"/>
          <w:color w:val="auto"/>
          <w:sz w:val="24"/>
          <w:highlight w:val="none"/>
        </w:rPr>
        <w:t>37.政府采购合同公告</w:t>
      </w:r>
    </w:p>
    <w:p w14:paraId="0718D686">
      <w:pPr>
        <w:spacing w:line="360" w:lineRule="auto"/>
        <w:ind w:firstLine="420" w:firstLineChars="200"/>
        <w:rPr>
          <w:rFonts w:ascii="宋体" w:hAnsi="宋体" w:cs="宋体"/>
          <w:color w:val="auto"/>
          <w:highlight w:val="none"/>
        </w:rPr>
      </w:pPr>
      <w:r>
        <w:rPr>
          <w:rFonts w:hint="eastAsia" w:cs="宋体"/>
          <w:color w:val="auto"/>
          <w:kern w:val="1"/>
          <w:highlight w:val="none"/>
        </w:rPr>
        <w:t>采购人应当自政府采购合同签订之日起2个工作日内，将政府采购合同</w:t>
      </w:r>
      <w:r>
        <w:rPr>
          <w:rFonts w:hint="eastAsia" w:ascii="宋体" w:hAnsi="宋体" w:cs="宋体"/>
          <w:bCs/>
          <w:color w:val="auto"/>
          <w:kern w:val="1"/>
          <w:highlight w:val="none"/>
        </w:rPr>
        <w:t>在</w:t>
      </w:r>
      <w:r>
        <w:rPr>
          <w:rFonts w:hint="eastAsia"/>
          <w:color w:val="auto"/>
          <w:highlight w:val="none"/>
        </w:rPr>
        <w:t>省级以上人民政府财政部门指定的</w:t>
      </w:r>
      <w:r>
        <w:rPr>
          <w:rFonts w:hint="eastAsia" w:ascii="宋体" w:hAnsi="宋体" w:cs="宋体"/>
          <w:bCs/>
          <w:color w:val="auto"/>
          <w:kern w:val="1"/>
          <w:highlight w:val="none"/>
        </w:rPr>
        <w:t>媒体上</w:t>
      </w:r>
      <w:r>
        <w:rPr>
          <w:rFonts w:hint="eastAsia" w:cs="宋体"/>
          <w:color w:val="auto"/>
          <w:kern w:val="1"/>
          <w:highlight w:val="none"/>
        </w:rPr>
        <w:t>公告，</w:t>
      </w:r>
      <w:r>
        <w:rPr>
          <w:rFonts w:cs="宋体"/>
          <w:color w:val="auto"/>
          <w:kern w:val="1"/>
          <w:highlight w:val="none"/>
        </w:rPr>
        <w:t>但政府采购合同中涉及国家秘密、商业秘密的内容除外。</w:t>
      </w:r>
    </w:p>
    <w:p w14:paraId="6A5B3B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36C3557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76BFFF7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177757B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353FB76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5F97E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021354E9">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8F00CE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003126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3537319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4849E2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38.2.2供应商质疑实行实名制，其质疑应当有具体的质疑事项及事实根据，质疑应当坚持依法依规、诚实信用原则，不得进行虚假、恶意质疑。</w:t>
      </w:r>
    </w:p>
    <w:p w14:paraId="0B6DA543">
      <w:pPr>
        <w:spacing w:line="360" w:lineRule="auto"/>
        <w:ind w:firstLine="420" w:firstLineChars="200"/>
        <w:rPr>
          <w:rFonts w:ascii="宋体" w:hAnsi="宋体" w:cs="宋体"/>
          <w:bCs/>
          <w:color w:val="auto"/>
          <w:highlight w:val="none"/>
        </w:rPr>
      </w:pPr>
      <w:r>
        <w:rPr>
          <w:rFonts w:hint="eastAsia" w:ascii="宋体" w:hAnsi="宋体" w:cs="宋体"/>
          <w:bCs/>
          <w:color w:val="auto"/>
          <w:szCs w:val="21"/>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599ABB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DD4188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528775B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37C60E8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7B2CFDF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（4）属于所质疑的采购人或采购人委托的采购代理机构组织的采购活动。 </w:t>
      </w:r>
    </w:p>
    <w:p w14:paraId="1EBF515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4B00146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6637B7E4">
      <w:pPr>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14:paraId="47ACBE6B">
      <w:pPr>
        <w:spacing w:line="360" w:lineRule="auto"/>
        <w:ind w:firstLine="422" w:firstLineChars="200"/>
        <w:rPr>
          <w:rFonts w:ascii="宋体" w:hAnsi="宋体" w:cs="宋体"/>
          <w:b/>
          <w:color w:val="auto"/>
          <w:szCs w:val="21"/>
          <w:highlight w:val="none"/>
        </w:rPr>
      </w:pPr>
      <w:bookmarkStart w:id="202" w:name="_9.2质疑、投诉应当采用书面形式，质疑函、投诉书均应明确阐述招标文件、"/>
      <w:bookmarkEnd w:id="202"/>
      <w:r>
        <w:rPr>
          <w:rFonts w:hint="eastAsia" w:ascii="宋体" w:hAnsi="宋体" w:cs="宋体"/>
          <w:b/>
          <w:bCs/>
          <w:color w:val="auto"/>
          <w:szCs w:val="21"/>
          <w:highlight w:val="none"/>
        </w:rPr>
        <w:t xml:space="preserve"> 38.2.5 </w:t>
      </w:r>
      <w:r>
        <w:rPr>
          <w:rFonts w:hint="eastAsia" w:ascii="宋体" w:hAns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auto"/>
          <w:highlight w:val="none"/>
        </w:rPr>
        <w:t>：</w:t>
      </w:r>
    </w:p>
    <w:p w14:paraId="2CC3C98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1E12A01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5FAF32A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27B6DD4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4CCB5CE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25AF818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5960B36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09EC066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82C67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519CDE8">
      <w:pPr>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D4F12A6">
      <w:pPr>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723F0D4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w:t>
      </w:r>
      <w:r>
        <w:rPr>
          <w:rFonts w:hint="eastAsia" w:ascii="宋体" w:hAnsi="宋体" w:cs="宋体"/>
          <w:color w:val="auto"/>
          <w:szCs w:val="21"/>
          <w:highlight w:val="none"/>
        </w:rPr>
        <w:t>本级财政部门</w:t>
      </w:r>
      <w:r>
        <w:rPr>
          <w:rFonts w:hint="eastAsia" w:ascii="宋体" w:hAnsi="宋体" w:cs="宋体"/>
          <w:bCs/>
          <w:color w:val="auto"/>
          <w:highlight w:val="none"/>
        </w:rPr>
        <w:t>。</w:t>
      </w:r>
    </w:p>
    <w:p w14:paraId="1CAC3A4A">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3B9DA241">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457534BB">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b/>
          <w:color w:val="auto"/>
          <w:szCs w:val="21"/>
          <w:highlight w:val="none"/>
        </w:rPr>
        <w:t>应当包括下列主要内容</w:t>
      </w:r>
      <w:r>
        <w:rPr>
          <w:rFonts w:hint="eastAsia" w:ascii="宋体" w:hAnsi="宋体" w:cs="宋体"/>
          <w:b/>
          <w:color w:val="auto"/>
          <w:highlight w:val="none"/>
        </w:rPr>
        <w:t>（如材料中有外文资料应同时附上对应的中文译本）（投诉书格式后附）</w:t>
      </w:r>
      <w:r>
        <w:rPr>
          <w:rFonts w:hint="eastAsia" w:ascii="宋体" w:hAnsi="宋体" w:cs="宋体"/>
          <w:b/>
          <w:color w:val="auto"/>
          <w:szCs w:val="21"/>
          <w:highlight w:val="none"/>
        </w:rPr>
        <w:t>：</w:t>
      </w:r>
    </w:p>
    <w:p w14:paraId="7C1542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A1FF5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948D8B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3F2CC3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30ED6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285706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0B7A90C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06475159">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445771CA">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6C8DAA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724C6E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199BDA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4C74AA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387A216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（5）同一投诉事项未经财政部门投诉处理。</w:t>
      </w:r>
    </w:p>
    <w:p w14:paraId="11994509">
      <w:pPr>
        <w:pStyle w:val="14"/>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（6）国务院财政部门规定的其他条件。</w:t>
      </w:r>
    </w:p>
    <w:p w14:paraId="6CFB47ED">
      <w:pPr>
        <w:pStyle w:val="4"/>
        <w:ind w:firstLine="4498" w:firstLineChars="1400"/>
        <w:rPr>
          <w:rFonts w:ascii="宋体" w:hAnsi="宋体" w:cs="宋体"/>
          <w:color w:val="auto"/>
          <w:highlight w:val="none"/>
        </w:rPr>
      </w:pPr>
      <w:bookmarkStart w:id="203" w:name="_Toc28886"/>
      <w:bookmarkStart w:id="204" w:name="_Toc18873"/>
      <w:bookmarkStart w:id="205" w:name="_Toc22303"/>
      <w:bookmarkStart w:id="206" w:name="_Toc17335"/>
      <w:r>
        <w:rPr>
          <w:rFonts w:hint="eastAsia" w:ascii="宋体" w:hAnsi="宋体" w:cs="宋体"/>
          <w:color w:val="auto"/>
          <w:highlight w:val="none"/>
        </w:rPr>
        <w:t>八、验收</w:t>
      </w:r>
      <w:bookmarkEnd w:id="203"/>
      <w:bookmarkEnd w:id="204"/>
      <w:bookmarkEnd w:id="205"/>
      <w:bookmarkEnd w:id="206"/>
    </w:p>
    <w:p w14:paraId="27C79645">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0DE2FAEB">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1A2A229E">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164212EB">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39.3严格按照采购合同开展履约验收。采购人成立验收小组，按照采购合同的约定对中标人履约情况进行验收。验收时，按照采购合同的约定对每一项技术、货物</w:t>
      </w:r>
      <w:r>
        <w:rPr>
          <w:rFonts w:hint="eastAsia"/>
          <w:color w:val="auto"/>
          <w:highlight w:val="none"/>
        </w:rPr>
        <w:t>或服务</w:t>
      </w:r>
      <w:r>
        <w:rPr>
          <w:rFonts w:hint="eastAsia" w:ascii="宋体" w:hAnsi="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729337F2">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26F6D818">
      <w:pPr>
        <w:pStyle w:val="4"/>
        <w:keepNext w:val="0"/>
        <w:keepLines w:val="0"/>
        <w:spacing w:line="360" w:lineRule="auto"/>
        <w:jc w:val="center"/>
        <w:rPr>
          <w:rFonts w:ascii="宋体" w:hAnsi="宋体" w:cs="宋体"/>
          <w:color w:val="auto"/>
          <w:highlight w:val="none"/>
        </w:rPr>
      </w:pPr>
      <w:bookmarkStart w:id="207" w:name="_八、其他事项"/>
      <w:bookmarkEnd w:id="207"/>
      <w:bookmarkStart w:id="208" w:name="_Toc13415"/>
      <w:bookmarkStart w:id="209" w:name="_Toc22183"/>
      <w:bookmarkStart w:id="210" w:name="_Toc18658"/>
      <w:bookmarkStart w:id="211" w:name="_Toc30046"/>
    </w:p>
    <w:p w14:paraId="2481B2AF">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九、其他事项</w:t>
      </w:r>
      <w:bookmarkEnd w:id="208"/>
      <w:bookmarkEnd w:id="209"/>
      <w:bookmarkEnd w:id="210"/>
      <w:bookmarkEnd w:id="211"/>
    </w:p>
    <w:p w14:paraId="2A9F6452">
      <w:pPr>
        <w:spacing w:line="360" w:lineRule="auto"/>
        <w:ind w:firstLine="480" w:firstLineChars="200"/>
        <w:rPr>
          <w:rFonts w:ascii="宋体" w:hAnsi="宋体" w:cs="宋体"/>
          <w:color w:val="auto"/>
          <w:sz w:val="24"/>
          <w:highlight w:val="none"/>
        </w:rPr>
      </w:pPr>
      <w:bookmarkStart w:id="212" w:name="_42.代理服务费"/>
      <w:bookmarkEnd w:id="212"/>
      <w:r>
        <w:rPr>
          <w:rFonts w:hint="eastAsia" w:ascii="宋体" w:hAnsi="宋体" w:cs="宋体"/>
          <w:color w:val="auto"/>
          <w:sz w:val="24"/>
          <w:highlight w:val="none"/>
        </w:rPr>
        <w:t>40.采购代理服务费</w:t>
      </w:r>
    </w:p>
    <w:p w14:paraId="244EB2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40.1采购代理服务费收费标准参照原《国家计委关于印发〈招标代理服务收费管理暂行办法〉的通知》（计价格〔2002〕1980号）、《国家发展改革委办公厅关于招标代理服务收费有关问题的通知》（发改办价格〔2003〕857号）、《国家发展改革委关于降低部分建设项目收费标准规范收费行为等有关问题的通知》（发改价格〔2011〕534号）向中标人收取</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采购代理服务费缴费账户详见“投标人须知前附表”，</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rPr>
        <w:t>标人为联合体的，可以由联合体中的一方或者多方共同缴纳采购代理服务费。以项目中标总金额为计费额，</w:t>
      </w:r>
      <w:r>
        <w:rPr>
          <w:rFonts w:hint="eastAsia" w:ascii="宋体" w:hAnsi="宋体" w:cs="宋体"/>
          <w:bCs/>
          <w:color w:val="auto"/>
          <w:szCs w:val="21"/>
          <w:highlight w:val="none"/>
          <w:lang w:val="en-US" w:eastAsia="zh-CN"/>
        </w:rPr>
        <w:t>具体</w:t>
      </w:r>
      <w:r>
        <w:rPr>
          <w:rFonts w:hint="eastAsia" w:ascii="宋体" w:hAnsi="宋体" w:cs="宋体"/>
          <w:bCs/>
          <w:color w:val="auto"/>
          <w:szCs w:val="21"/>
          <w:highlight w:val="none"/>
        </w:rPr>
        <w:t>按本须知正文第40.2条规定收取。</w:t>
      </w:r>
    </w:p>
    <w:p w14:paraId="6FD771CF">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0C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380D366B">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费率</w:t>
            </w:r>
          </w:p>
          <w:p w14:paraId="16A6569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ign w:val="center"/>
          </w:tcPr>
          <w:p w14:paraId="3D944C7D">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87" w:type="dxa"/>
            <w:noWrap/>
            <w:vAlign w:val="center"/>
          </w:tcPr>
          <w:p w14:paraId="60F3695A">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59" w:type="dxa"/>
            <w:noWrap/>
            <w:vAlign w:val="center"/>
          </w:tcPr>
          <w:p w14:paraId="7CE1079C">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546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AB1A5B5">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77212541">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7" w:type="dxa"/>
            <w:noWrap/>
          </w:tcPr>
          <w:p w14:paraId="315BF153">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tcPr>
          <w:p w14:paraId="6DB6DDB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2E5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8E8210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36AA49AA">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7" w:type="dxa"/>
            <w:noWrap/>
          </w:tcPr>
          <w:p w14:paraId="39C1E9D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tcPr>
          <w:p w14:paraId="70DD97B2">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5190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28A6B89">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54B81B85">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87" w:type="dxa"/>
            <w:noWrap/>
          </w:tcPr>
          <w:p w14:paraId="45506530">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tcPr>
          <w:p w14:paraId="20E2388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696C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7CF1C1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011659C0">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87" w:type="dxa"/>
            <w:noWrap/>
          </w:tcPr>
          <w:p w14:paraId="5F4EFB46">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tcPr>
          <w:p w14:paraId="736302F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761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75FCEE5">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6DC4819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87" w:type="dxa"/>
            <w:noWrap/>
          </w:tcPr>
          <w:p w14:paraId="03AD888E">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tcPr>
          <w:p w14:paraId="331E6435">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14:paraId="4E44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459D30B">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544C659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87" w:type="dxa"/>
            <w:noWrap/>
          </w:tcPr>
          <w:p w14:paraId="58E2733F">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59" w:type="dxa"/>
            <w:noWrap/>
          </w:tcPr>
          <w:p w14:paraId="4309A962">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0.05%</w:t>
            </w:r>
          </w:p>
        </w:tc>
      </w:tr>
      <w:tr w14:paraId="21B1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599240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6C0C56C9">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noWrap/>
          </w:tcPr>
          <w:p w14:paraId="0D50B9BC">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59" w:type="dxa"/>
            <w:noWrap/>
          </w:tcPr>
          <w:p w14:paraId="486E6A51">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4F5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8987273">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1010D4D1">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noWrap/>
          </w:tcPr>
          <w:p w14:paraId="33E0C3BE">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noWrap/>
          </w:tcPr>
          <w:p w14:paraId="568E797F">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2FEF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B88B37D">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3F9E16FB">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87" w:type="dxa"/>
            <w:noWrap/>
          </w:tcPr>
          <w:p w14:paraId="18FDDA62">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noWrap/>
          </w:tcPr>
          <w:p w14:paraId="39BD48D9">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169C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369818A">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noWrap/>
          </w:tcPr>
          <w:p w14:paraId="773361D7">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87" w:type="dxa"/>
            <w:noWrap/>
          </w:tcPr>
          <w:p w14:paraId="4A286B78">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noWrap/>
          </w:tcPr>
          <w:p w14:paraId="10708A5E">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589B42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7D2A7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712F1E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382E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例如：某货物采购代理业务中标金额或者暂定价为</w:t>
      </w: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万元，计算采购代理收费额如下：</w:t>
      </w:r>
    </w:p>
    <w:p w14:paraId="6F41EE66">
      <w:pPr>
        <w:spacing w:line="360" w:lineRule="auto"/>
        <w:ind w:firstLine="420" w:firstLineChars="200"/>
        <w:rPr>
          <w:rFonts w:ascii="宋体" w:hAnsi="宋体" w:cs="宋体"/>
          <w:color w:val="auto"/>
          <w:szCs w:val="21"/>
          <w:highlight w:val="none"/>
        </w:rPr>
      </w:pPr>
      <w:bookmarkStart w:id="213" w:name="OLE_LINK211"/>
      <w:r>
        <w:rPr>
          <w:rFonts w:hint="eastAsia" w:ascii="宋体" w:hAnsi="宋体" w:cs="宋体"/>
          <w:color w:val="auto"/>
          <w:szCs w:val="21"/>
          <w:highlight w:val="none"/>
        </w:rPr>
        <w:t>100 万元×l.5 ％＝ 1.5 万元</w:t>
      </w:r>
    </w:p>
    <w:p w14:paraId="07D5A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 xml:space="preserve"> － 100 ）万元 </w:t>
      </w:r>
      <w:bookmarkStart w:id="214" w:name="OLE_LINK186"/>
      <w:r>
        <w:rPr>
          <w:rFonts w:hint="eastAsia" w:ascii="宋体" w:hAnsi="宋体" w:cs="宋体"/>
          <w:color w:val="auto"/>
          <w:szCs w:val="21"/>
          <w:highlight w:val="none"/>
        </w:rPr>
        <w:t>×</w:t>
      </w:r>
      <w:bookmarkEnd w:id="214"/>
      <w:r>
        <w:rPr>
          <w:rFonts w:hint="eastAsia" w:ascii="宋体" w:hAnsi="宋体" w:cs="宋体"/>
          <w:color w:val="auto"/>
          <w:szCs w:val="21"/>
          <w:highlight w:val="none"/>
        </w:rPr>
        <w:t>1.1％＝1.1万元</w:t>
      </w:r>
    </w:p>
    <w:p w14:paraId="338B65EB">
      <w:pPr>
        <w:spacing w:line="360" w:lineRule="auto"/>
        <w:ind w:firstLine="420" w:firstLineChars="200"/>
        <w:rPr>
          <w:rFonts w:ascii="宋体" w:hAnsi="宋体" w:cs="宋体"/>
          <w:color w:val="auto"/>
          <w:sz w:val="24"/>
          <w:highlight w:val="none"/>
        </w:rPr>
      </w:pPr>
      <w:r>
        <w:rPr>
          <w:rFonts w:hint="eastAsia" w:ascii="宋体" w:hAnsi="宋体" w:cs="宋体"/>
          <w:color w:val="auto"/>
          <w:szCs w:val="20"/>
          <w:highlight w:val="none"/>
        </w:rPr>
        <w:t>合计收费＝</w:t>
      </w:r>
      <w:r>
        <w:rPr>
          <w:rFonts w:hint="eastAsia" w:ascii="宋体" w:hAnsi="宋体" w:cs="宋体"/>
          <w:color w:val="auto"/>
          <w:szCs w:val="20"/>
          <w:highlight w:val="none"/>
          <w:lang w:eastAsia="zh-CN"/>
        </w:rPr>
        <w:t>（</w:t>
      </w:r>
      <w:r>
        <w:rPr>
          <w:rFonts w:hint="eastAsia" w:ascii="宋体" w:hAnsi="宋体" w:cs="宋体"/>
          <w:color w:val="auto"/>
          <w:szCs w:val="20"/>
          <w:highlight w:val="none"/>
        </w:rPr>
        <w:t>1.5+1.1</w:t>
      </w:r>
      <w:r>
        <w:rPr>
          <w:rFonts w:hint="eastAsia" w:ascii="宋体" w:hAnsi="宋体" w:cs="宋体"/>
          <w:color w:val="auto"/>
          <w:szCs w:val="20"/>
          <w:highlight w:val="none"/>
          <w:lang w:eastAsia="zh-CN"/>
        </w:rPr>
        <w:t>）</w:t>
      </w:r>
      <w:r>
        <w:rPr>
          <w:rFonts w:hint="eastAsia" w:ascii="宋体" w:hAnsi="宋体" w:cs="宋体"/>
          <w:color w:val="auto"/>
          <w:szCs w:val="21"/>
          <w:highlight w:val="none"/>
        </w:rPr>
        <w:t>×</w:t>
      </w:r>
      <w:r>
        <w:rPr>
          <w:rFonts w:hint="eastAsia" w:ascii="宋体" w:hAnsi="宋体" w:cs="宋体"/>
          <w:color w:val="auto"/>
          <w:szCs w:val="20"/>
          <w:highlight w:val="none"/>
          <w:lang w:val="en-US" w:eastAsia="zh-CN"/>
        </w:rPr>
        <w:t>80%</w:t>
      </w:r>
      <w:r>
        <w:rPr>
          <w:rFonts w:hint="eastAsia" w:ascii="宋体" w:hAnsi="宋体" w:cs="宋体"/>
          <w:color w:val="auto"/>
          <w:szCs w:val="20"/>
          <w:highlight w:val="none"/>
        </w:rPr>
        <w:t xml:space="preserve">＝ </w:t>
      </w:r>
      <w:r>
        <w:rPr>
          <w:rFonts w:hint="eastAsia" w:ascii="宋体" w:hAnsi="宋体" w:cs="宋体"/>
          <w:color w:val="auto"/>
          <w:szCs w:val="20"/>
          <w:highlight w:val="none"/>
          <w:lang w:val="en-US" w:eastAsia="zh-CN"/>
        </w:rPr>
        <w:t>2.08</w:t>
      </w:r>
      <w:r>
        <w:rPr>
          <w:rFonts w:hint="eastAsia" w:ascii="宋体" w:hAnsi="宋体" w:cs="宋体"/>
          <w:color w:val="auto"/>
          <w:szCs w:val="20"/>
          <w:highlight w:val="none"/>
        </w:rPr>
        <w:t>（万元）</w:t>
      </w:r>
    </w:p>
    <w:bookmarkEnd w:id="213"/>
    <w:p w14:paraId="062FEF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23E50E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563412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2C7BBE47">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0635340F">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52DC1DF1">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76CEE287">
      <w:pPr>
        <w:widowControl/>
        <w:ind w:firstLine="420" w:firstLineChars="200"/>
        <w:rPr>
          <w:rFonts w:ascii="宋体" w:hAnsi="宋体" w:cs="宋体"/>
          <w:color w:val="auto"/>
          <w:highlight w:val="none"/>
        </w:rPr>
      </w:pPr>
    </w:p>
    <w:p w14:paraId="1D8F9E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br w:type="page"/>
      </w:r>
      <w:bookmarkStart w:id="215" w:name="_Toc532545043"/>
    </w:p>
    <w:p w14:paraId="553B7384">
      <w:pPr>
        <w:pStyle w:val="2"/>
        <w:bidi w:val="0"/>
        <w:jc w:val="center"/>
        <w:rPr>
          <w:sz w:val="36"/>
          <w:szCs w:val="36"/>
        </w:rPr>
      </w:pPr>
      <w:bookmarkStart w:id="216" w:name="_Toc5517"/>
      <w:bookmarkStart w:id="217" w:name="_Toc18150"/>
      <w:bookmarkStart w:id="218" w:name="_Toc22348"/>
      <w:bookmarkStart w:id="219" w:name="_Toc29635"/>
      <w:bookmarkStart w:id="220" w:name="_Toc25066"/>
      <w:r>
        <w:rPr>
          <w:rFonts w:hint="eastAsia"/>
          <w:sz w:val="36"/>
          <w:szCs w:val="36"/>
        </w:rPr>
        <w:t xml:space="preserve">第四章  </w:t>
      </w:r>
      <w:bookmarkEnd w:id="215"/>
      <w:bookmarkEnd w:id="216"/>
      <w:bookmarkEnd w:id="217"/>
      <w:r>
        <w:rPr>
          <w:rFonts w:hint="eastAsia"/>
          <w:sz w:val="36"/>
          <w:szCs w:val="36"/>
        </w:rPr>
        <w:t>评标方法和评标标准</w:t>
      </w:r>
      <w:bookmarkEnd w:id="218"/>
      <w:bookmarkEnd w:id="219"/>
      <w:bookmarkEnd w:id="220"/>
    </w:p>
    <w:p w14:paraId="26DA5BB8">
      <w:pPr>
        <w:pStyle w:val="14"/>
        <w:ind w:firstLine="482"/>
        <w:jc w:val="center"/>
        <w:outlineLvl w:val="1"/>
        <w:rPr>
          <w:rFonts w:hAnsi="宋体" w:cs="宋体"/>
          <w:b/>
          <w:bCs/>
          <w:color w:val="auto"/>
          <w:sz w:val="32"/>
          <w:szCs w:val="32"/>
          <w:highlight w:val="none"/>
        </w:rPr>
      </w:pPr>
      <w:bookmarkStart w:id="221" w:name="_Toc3364"/>
      <w:bookmarkStart w:id="222" w:name="_Toc18908"/>
      <w:bookmarkStart w:id="223" w:name="_Toc2086"/>
      <w:bookmarkStart w:id="224" w:name="_Toc31286"/>
      <w:r>
        <w:rPr>
          <w:rFonts w:hint="eastAsia" w:hAnsi="宋体" w:cs="宋体"/>
          <w:b/>
          <w:bCs/>
          <w:color w:val="auto"/>
          <w:sz w:val="32"/>
          <w:szCs w:val="32"/>
          <w:highlight w:val="none"/>
        </w:rPr>
        <w:t>第一节 评标方法</w:t>
      </w:r>
      <w:bookmarkEnd w:id="221"/>
      <w:bookmarkEnd w:id="222"/>
      <w:bookmarkEnd w:id="223"/>
      <w:bookmarkEnd w:id="224"/>
    </w:p>
    <w:p w14:paraId="359E3A94">
      <w:pPr>
        <w:pStyle w:val="14"/>
        <w:tabs>
          <w:tab w:val="left" w:pos="2472"/>
        </w:tabs>
        <w:spacing w:line="460" w:lineRule="exact"/>
        <w:ind w:firstLine="420" w:firstLineChars="200"/>
        <w:rPr>
          <w:rFonts w:hAnsi="宋体" w:cs="宋体"/>
          <w:color w:val="auto"/>
          <w:szCs w:val="21"/>
          <w:highlight w:val="none"/>
        </w:rPr>
      </w:pPr>
      <w:r>
        <w:rPr>
          <w:rFonts w:hint="eastAsia" w:hAnsi="宋体" w:cs="宋体"/>
          <w:color w:val="auto"/>
          <w:szCs w:val="21"/>
          <w:highlight w:val="none"/>
        </w:rPr>
        <w:t>本项目采用以下方式进行评审。</w:t>
      </w:r>
    </w:p>
    <w:p w14:paraId="36F992A3">
      <w:pPr>
        <w:pStyle w:val="14"/>
        <w:tabs>
          <w:tab w:val="left" w:pos="2472"/>
        </w:tabs>
        <w:spacing w:line="460" w:lineRule="exact"/>
        <w:ind w:firstLine="420" w:firstLineChars="200"/>
        <w:rPr>
          <w:rFonts w:hAnsi="宋体" w:cs="宋体"/>
          <w:color w:val="auto"/>
          <w:sz w:val="24"/>
          <w:highlight w:val="none"/>
        </w:rPr>
      </w:pPr>
      <w:r>
        <w:rPr>
          <w:rFonts w:hint="eastAsia" w:hAnsi="宋体" w:cs="宋体"/>
          <w:color w:val="auto"/>
          <w:highlight w:val="none"/>
        </w:rPr>
        <w:t xml:space="preserve">综合评分法，是指投标文件满足招标文件全部实质性要求，且按照评审因素的量化指标评审得分最高的投标人为中标候选人的评标方法。 </w:t>
      </w:r>
    </w:p>
    <w:p w14:paraId="4D913113">
      <w:pPr>
        <w:pStyle w:val="14"/>
        <w:spacing w:line="360" w:lineRule="auto"/>
        <w:ind w:firstLine="315"/>
        <w:rPr>
          <w:rFonts w:hAnsi="宋体" w:cs="宋体"/>
          <w:color w:val="auto"/>
          <w:highlight w:val="none"/>
        </w:rPr>
      </w:pPr>
    </w:p>
    <w:p w14:paraId="015A8031">
      <w:pPr>
        <w:pStyle w:val="14"/>
        <w:tabs>
          <w:tab w:val="left" w:pos="2472"/>
        </w:tabs>
        <w:spacing w:line="460" w:lineRule="exact"/>
        <w:ind w:firstLine="482"/>
        <w:jc w:val="center"/>
        <w:outlineLvl w:val="1"/>
        <w:rPr>
          <w:rFonts w:hAnsi="宋体" w:cs="宋体"/>
          <w:b/>
          <w:bCs/>
          <w:color w:val="auto"/>
          <w:sz w:val="32"/>
          <w:szCs w:val="32"/>
          <w:highlight w:val="none"/>
        </w:rPr>
      </w:pPr>
      <w:bookmarkStart w:id="225" w:name="_Toc6695"/>
      <w:bookmarkStart w:id="226" w:name="_Toc13037"/>
      <w:bookmarkStart w:id="227" w:name="_Toc12508"/>
      <w:bookmarkStart w:id="228" w:name="_Toc13065"/>
      <w:r>
        <w:rPr>
          <w:rFonts w:hint="eastAsia" w:hAnsi="宋体" w:cs="宋体"/>
          <w:b/>
          <w:bCs/>
          <w:color w:val="auto"/>
          <w:sz w:val="32"/>
          <w:szCs w:val="32"/>
          <w:highlight w:val="none"/>
        </w:rPr>
        <w:t>第二节 评标程序</w:t>
      </w:r>
      <w:bookmarkEnd w:id="225"/>
      <w:bookmarkEnd w:id="226"/>
      <w:bookmarkEnd w:id="227"/>
      <w:bookmarkEnd w:id="228"/>
    </w:p>
    <w:p w14:paraId="0B57DF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3667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0AB91D9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25DEC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40E4935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6430FF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7D760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4EEF7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（3）报价文件响应的标的数量及单位与招标文件要求实质性不一致的。</w:t>
      </w:r>
    </w:p>
    <w:p w14:paraId="4547D8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报价超出招标文件规定最高限价，或者超出采购预算</w:t>
      </w:r>
      <w:r>
        <w:rPr>
          <w:rFonts w:hint="eastAsia" w:ascii="宋体" w:hAnsi="宋体" w:cs="宋体"/>
          <w:color w:val="auto"/>
          <w:szCs w:val="21"/>
          <w:highlight w:val="none"/>
          <w:lang w:eastAsia="zh-CN"/>
        </w:rPr>
        <w:t>总</w:t>
      </w:r>
      <w:r>
        <w:rPr>
          <w:rFonts w:hint="eastAsia" w:ascii="宋体" w:hAnsi="宋体" w:cs="宋体"/>
          <w:color w:val="auto"/>
          <w:szCs w:val="21"/>
          <w:highlight w:val="none"/>
        </w:rPr>
        <w:t>金额</w:t>
      </w:r>
      <w:r>
        <w:rPr>
          <w:rFonts w:hint="eastAsia" w:ascii="宋体" w:hAnsi="宋体" w:cs="宋体"/>
          <w:color w:val="auto"/>
          <w:szCs w:val="21"/>
          <w:highlight w:val="none"/>
          <w:lang w:eastAsia="zh-CN"/>
        </w:rPr>
        <w:t>或分项预算金额</w:t>
      </w:r>
      <w:r>
        <w:rPr>
          <w:rFonts w:hint="eastAsia" w:ascii="宋体" w:hAnsi="宋体" w:cs="宋体"/>
          <w:color w:val="auto"/>
          <w:szCs w:val="21"/>
          <w:highlight w:val="none"/>
        </w:rPr>
        <w:t>的。</w:t>
      </w:r>
    </w:p>
    <w:p w14:paraId="54E9BF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）投标人未就所投项目进行报价或者存在漏项报价。投标人未就所投</w:t>
      </w:r>
      <w:r>
        <w:rPr>
          <w:rFonts w:hint="eastAsia" w:cs="宋体"/>
          <w:color w:val="auto"/>
          <w:szCs w:val="21"/>
          <w:highlight w:val="none"/>
        </w:rPr>
        <w:t>项目</w:t>
      </w:r>
      <w:r>
        <w:rPr>
          <w:rFonts w:hint="eastAsia" w:ascii="宋体" w:hAnsi="宋体" w:cs="宋体"/>
          <w:color w:val="auto"/>
          <w:szCs w:val="21"/>
          <w:highlight w:val="none"/>
        </w:rPr>
        <w:t>的单项内容作唯一报价。投标人未就所投项目的全部内容作唯一总价报价。存在有选择、有条件报价的（招标文件允许有备选方案或者其他约定的除外）。</w:t>
      </w:r>
    </w:p>
    <w:p w14:paraId="716E2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）修正后的报价，投标人不确认的。</w:t>
      </w:r>
    </w:p>
    <w:p w14:paraId="618E5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）投标人属于本章第5条第（</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）项情形的。</w:t>
      </w:r>
    </w:p>
    <w:p w14:paraId="3306CE1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1F52AD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08B308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0EBEBE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（3）为无效投标保证金的或者未按照招标文件的规定提交投标保证金的。</w:t>
      </w:r>
    </w:p>
    <w:p w14:paraId="67CD6B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（4）投标文件未提供“投标人须知前附表”第13.1条规定中“必须提供”或者“委托时必须提供”的文件资料的。</w:t>
      </w:r>
    </w:p>
    <w:p w14:paraId="1F5BFF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（5）投标有效期、项目完成时间（交货时间、服务完成时间或者服务期等）、保修期</w:t>
      </w:r>
      <w:r>
        <w:rPr>
          <w:rFonts w:hint="eastAsia" w:ascii="宋体" w:hAnsi="宋体" w:cs="宋体"/>
          <w:color w:val="auto"/>
          <w:szCs w:val="21"/>
          <w:highlight w:val="none"/>
          <w:lang w:eastAsia="zh-CN"/>
        </w:rPr>
        <w:t>等</w:t>
      </w:r>
      <w:r>
        <w:rPr>
          <w:rFonts w:hint="eastAsia" w:ascii="宋体" w:hAnsi="宋体" w:cs="宋体"/>
          <w:color w:val="auto"/>
          <w:szCs w:val="21"/>
          <w:highlight w:val="none"/>
        </w:rPr>
        <w:t>招标文件中标“▲”的商务条款发生负偏离的。</w:t>
      </w:r>
    </w:p>
    <w:p w14:paraId="0273E0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（6）商务条款评审允许负偏离的条款数超过“投标人须知前附表”规定项数的。</w:t>
      </w:r>
    </w:p>
    <w:p w14:paraId="3F8A8D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（7）投标文件的实质性内容未使用中文表述、使用计量单位不符合招标文件要求的。</w:t>
      </w:r>
    </w:p>
    <w:p w14:paraId="5F8CB0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（8）投标文件中的文件资料因填写不齐全或者内容虚假或者出现其他情形而导致被评标委员会认定无效的。</w:t>
      </w:r>
    </w:p>
    <w:p w14:paraId="2C638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（9）投标文件含有采购人不能接受的附加条件的。</w:t>
      </w:r>
    </w:p>
    <w:p w14:paraId="0BDB74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（10）未响应招标文件实质性要求的。</w:t>
      </w:r>
    </w:p>
    <w:p w14:paraId="45F4A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（11）属于投标人须知正文第9.2条情形的。</w:t>
      </w:r>
    </w:p>
    <w:p w14:paraId="3356F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（12）法律、法规和招标文件规定的其他无效情形。</w:t>
      </w:r>
    </w:p>
    <w:p w14:paraId="0388EAA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1B92E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（1）不满足招标文件要求的货物内容、技术要求、安全、质量标准，或者与招标文件中标“▲”的技术参数及配置发生负偏离的。</w:t>
      </w:r>
    </w:p>
    <w:p w14:paraId="7025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567EFA5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（3）投标文件未提供“投标人须知前附表”第13.1条规定中“必须提供”的文件资料的</w:t>
      </w:r>
      <w:r>
        <w:rPr>
          <w:rFonts w:hint="eastAsia" w:ascii="宋体" w:hAnsi="宋体" w:cs="宋体"/>
          <w:color w:val="auto"/>
          <w:szCs w:val="21"/>
          <w:highlight w:val="none"/>
          <w:lang w:eastAsia="zh-CN"/>
        </w:rPr>
        <w:t>。</w:t>
      </w:r>
    </w:p>
    <w:p w14:paraId="506BF8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2D7F7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58EA377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3A8D6C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投标人未在规定时间内进行澄清、说明或者补正的，有可能对评审产生影响</w:t>
      </w:r>
      <w:r>
        <w:rPr>
          <w:rFonts w:hint="eastAsia" w:ascii="宋体" w:hAnsi="宋体" w:cs="宋体"/>
          <w:color w:val="auto"/>
          <w:szCs w:val="21"/>
          <w:highlight w:val="none"/>
        </w:rPr>
        <w:t>。</w:t>
      </w:r>
    </w:p>
    <w:p w14:paraId="199C57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9B6EB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7F3EB3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097EFF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572482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5B4FBD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2D938C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7054F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w:t>
      </w:r>
      <w:r>
        <w:rPr>
          <w:rFonts w:hint="eastAsia" w:ascii="宋体" w:hAnsi="宋体" w:cs="宋体"/>
          <w:b/>
          <w:bCs/>
          <w:color w:val="auto"/>
          <w:highlight w:val="none"/>
        </w:rPr>
        <w:t>修正后的报价经投标人确认后产生约束力，投标人不确认的，其投标无效</w:t>
      </w:r>
      <w:r>
        <w:rPr>
          <w:rFonts w:hint="eastAsia" w:ascii="宋体" w:hAnsi="宋体" w:cs="宋体"/>
          <w:color w:val="auto"/>
          <w:highlight w:val="none"/>
        </w:rPr>
        <w:t>。</w:t>
      </w:r>
    </w:p>
    <w:p w14:paraId="2601F3E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4.2经投标人确认修正后的报价若超过采购预算金额或者最高限价，投标人的投标文件作无效投标处理。</w:t>
      </w:r>
    </w:p>
    <w:p w14:paraId="46999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FF1B6E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48C1D127">
      <w:pPr>
        <w:tabs>
          <w:tab w:val="center" w:pos="4153"/>
          <w:tab w:val="right" w:pos="8306"/>
        </w:tabs>
        <w:spacing w:line="360" w:lineRule="auto"/>
        <w:ind w:firstLine="420" w:firstLineChars="200"/>
        <w:rPr>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325EF9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（2）评标委员会按照招标文件中规定的评标方法和评标标准，对符合性审查合格的投标文件进行商务和技术评估，综合比较与评价。</w:t>
      </w:r>
    </w:p>
    <w:p w14:paraId="7D06F501">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rPr>
        <w:t>（3）评标委员</w:t>
      </w:r>
      <w:r>
        <w:rPr>
          <w:rFonts w:hint="eastAsia" w:ascii="宋体" w:hAnsi="宋体" w:eastAsia="宋体" w:cs="宋体"/>
          <w:color w:val="auto"/>
          <w:highlight w:val="none"/>
        </w:rPr>
        <w:t>会各成员独立对每个投标人的投标文件进行评价，并汇总每个投标人的得分。</w:t>
      </w:r>
    </w:p>
    <w:p w14:paraId="00FDC594">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bCs/>
          <w:color w:val="auto"/>
          <w:highlight w:val="none"/>
          <w:lang w:eastAsia="zh-CN"/>
        </w:rPr>
        <w:t>根据《关于推动解决政府采购异常低价问题的通知》（财库〔2026〕2号），</w:t>
      </w:r>
      <w:r>
        <w:rPr>
          <w:rFonts w:hint="eastAsia" w:ascii="宋体" w:hAnsi="宋体" w:eastAsia="宋体" w:cs="宋体"/>
          <w:b/>
          <w:bCs/>
          <w:color w:val="auto"/>
          <w:highlight w:val="none"/>
          <w:lang w:val="en-US" w:eastAsia="zh-CN"/>
        </w:rPr>
        <w:t>政府采购评审中出现下列情形之一的，评标委员会应当启动异常低价投标审查程序：</w:t>
      </w:r>
    </w:p>
    <w:p w14:paraId="60A80422">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①投标报价低于全部通过符合性审查供应商投标报价平均值50%的，即投标报价&lt;全部通过符合性审查供应商投标报价平均值×50%；</w:t>
      </w:r>
    </w:p>
    <w:p w14:paraId="6A2D714C">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②投标报价低于通过符合性审查的次低报价供应商投标报价50%的，即投标报价&lt;通过符合性审查的次低报价供应商投标报价×50%；</w:t>
      </w:r>
    </w:p>
    <w:p w14:paraId="20247D3B">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③投标报价低于采购项目最高限价45%的，即投标报价&lt;采购项目最高限价×45%；</w:t>
      </w:r>
    </w:p>
    <w:p w14:paraId="1DA8E3BC">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④评审委员会基于专业判断，认为供应商报价过低，有可能影响产品质量或者不能诚信履约的其他情形。</w:t>
      </w:r>
    </w:p>
    <w:p w14:paraId="7A88B1AA">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评标委员会启动异常低价投标审查后，属于前述第①项至第④项情形的，应当要求相关供应商在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w:t>
      </w:r>
    </w:p>
    <w:p w14:paraId="621BCD80">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w:t>
      </w:r>
      <w:r>
        <w:rPr>
          <w:rFonts w:hint="eastAsia" w:ascii="宋体" w:hAnsi="宋体" w:cs="宋体"/>
          <w:b/>
          <w:bCs/>
          <w:color w:val="auto"/>
          <w:highlight w:val="none"/>
          <w:lang w:val="en-US" w:eastAsia="zh-CN"/>
        </w:rPr>
        <w:t>人</w:t>
      </w:r>
      <w:r>
        <w:rPr>
          <w:rFonts w:hint="eastAsia" w:ascii="宋体" w:hAnsi="宋体" w:eastAsia="宋体" w:cs="宋体"/>
          <w:b/>
          <w:bCs/>
          <w:color w:val="auto"/>
          <w:highlight w:val="none"/>
          <w:lang w:val="en-US" w:eastAsia="zh-CN"/>
        </w:rPr>
        <w:t>不能提供书面说明、证明材料，或者提供的书面说明、证明材料不能证明其报价合理性的，评标委员会应当将其作为无效投标处理。</w:t>
      </w:r>
    </w:p>
    <w:p w14:paraId="15DC03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（5）评标委员会按照招标文件中规定的评标方法和标准计算各投标人的报价得分。在评标过程中，不得去掉报价中的最高报价和最低报价。</w:t>
      </w:r>
    </w:p>
    <w:p w14:paraId="732508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（6）各投标人的得分为评标委员会各成员的有效评分的算术平均数。</w:t>
      </w:r>
    </w:p>
    <w:p w14:paraId="0E8B65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（7）评标委员会按照招标文件中的规定推荐中标候选人。</w:t>
      </w:r>
    </w:p>
    <w:p w14:paraId="0473C671">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D64D8A9">
      <w:pPr>
        <w:tabs>
          <w:tab w:val="center" w:pos="4153"/>
          <w:tab w:val="right" w:pos="8306"/>
        </w:tab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6.评审复核</w:t>
      </w:r>
    </w:p>
    <w:p w14:paraId="28CFDC7B">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6.1评标报告签署前，评标委员会要对评审结果进行复核，复核意见要体现在评标报告中。</w:t>
      </w:r>
    </w:p>
    <w:p w14:paraId="067DCBF7">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213FD735">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（一）分值汇总计算错误的。</w:t>
      </w:r>
    </w:p>
    <w:p w14:paraId="2420FE2A">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（二）分项评分超出评分标准范围的。</w:t>
      </w:r>
    </w:p>
    <w:p w14:paraId="2C591914">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40C451A3">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（四）经评标委员会认定评分畸高、畸低的。</w:t>
      </w:r>
    </w:p>
    <w:p w14:paraId="05B8555E">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1DAD670">
      <w:pPr>
        <w:pStyle w:val="3"/>
        <w:numPr>
          <w:ilvl w:val="0"/>
          <w:numId w:val="3"/>
        </w:numPr>
        <w:ind w:firstLine="450"/>
        <w:jc w:val="center"/>
        <w:rPr>
          <w:rFonts w:hint="eastAsia" w:ascii="宋体" w:hAnsi="宋体" w:eastAsia="宋体" w:cs="宋体"/>
          <w:b/>
          <w:bCs w:val="0"/>
          <w:color w:val="auto"/>
          <w:sz w:val="30"/>
          <w:szCs w:val="30"/>
          <w:highlight w:val="none"/>
        </w:rPr>
      </w:pPr>
      <w:bookmarkStart w:id="229" w:name="_Toc17655"/>
      <w:bookmarkStart w:id="230" w:name="_Toc32041"/>
      <w:bookmarkStart w:id="231" w:name="_Toc17840"/>
      <w:bookmarkStart w:id="232" w:name="_Toc25387"/>
      <w:r>
        <w:rPr>
          <w:rFonts w:hint="eastAsia" w:ascii="宋体" w:hAnsi="宋体" w:eastAsia="宋体" w:cs="宋体"/>
          <w:b w:val="0"/>
          <w:color w:val="auto"/>
          <w:sz w:val="30"/>
          <w:szCs w:val="30"/>
          <w:highlight w:val="none"/>
        </w:rPr>
        <w:br w:type="page"/>
      </w:r>
      <w:r>
        <w:rPr>
          <w:rFonts w:hint="eastAsia" w:ascii="宋体" w:hAnsi="宋体" w:eastAsia="宋体" w:cs="宋体"/>
          <w:b/>
          <w:bCs w:val="0"/>
          <w:color w:val="auto"/>
          <w:sz w:val="30"/>
          <w:szCs w:val="30"/>
          <w:highlight w:val="none"/>
        </w:rPr>
        <w:t>评分标准</w:t>
      </w:r>
      <w:bookmarkEnd w:id="229"/>
      <w:bookmarkEnd w:id="230"/>
      <w:bookmarkEnd w:id="231"/>
      <w:bookmarkEnd w:id="232"/>
    </w:p>
    <w:p w14:paraId="1DB81291">
      <w:pPr>
        <w:pStyle w:val="4"/>
        <w:keepNext w:val="0"/>
        <w:keepLines w:val="0"/>
        <w:spacing w:line="240" w:lineRule="auto"/>
        <w:jc w:val="center"/>
        <w:rPr>
          <w:rFonts w:hint="eastAsia"/>
          <w:color w:val="auto"/>
          <w:highlight w:val="none"/>
        </w:rPr>
      </w:pPr>
      <w:bookmarkStart w:id="233" w:name="OLE_LINK144"/>
      <w:bookmarkStart w:id="234" w:name="OLE_LINK192"/>
      <w:r>
        <w:rPr>
          <w:rFonts w:hint="eastAsia"/>
          <w:color w:val="auto"/>
          <w:highlight w:val="none"/>
        </w:rPr>
        <w:t>综合评分法</w:t>
      </w:r>
    </w:p>
    <w:tbl>
      <w:tblPr>
        <w:tblStyle w:val="29"/>
        <w:tblpPr w:leftFromText="180" w:rightFromText="180" w:vertAnchor="text" w:horzAnchor="page" w:tblpX="1220" w:tblpY="656"/>
        <w:tblOverlap w:val="never"/>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101"/>
        <w:gridCol w:w="1259"/>
        <w:gridCol w:w="6253"/>
      </w:tblGrid>
      <w:tr w14:paraId="03B6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3" w:type="dxa"/>
            <w:noWrap w:val="0"/>
            <w:vAlign w:val="center"/>
          </w:tcPr>
          <w:p w14:paraId="5A040740">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序号</w:t>
            </w:r>
          </w:p>
        </w:tc>
        <w:tc>
          <w:tcPr>
            <w:tcW w:w="1101" w:type="dxa"/>
            <w:noWrap w:val="0"/>
            <w:vAlign w:val="center"/>
          </w:tcPr>
          <w:p w14:paraId="1FB39499">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评分类型</w:t>
            </w:r>
          </w:p>
        </w:tc>
        <w:tc>
          <w:tcPr>
            <w:tcW w:w="1259" w:type="dxa"/>
            <w:noWrap w:val="0"/>
            <w:vAlign w:val="center"/>
          </w:tcPr>
          <w:p w14:paraId="3EF6824F">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评审因素</w:t>
            </w:r>
          </w:p>
        </w:tc>
        <w:tc>
          <w:tcPr>
            <w:tcW w:w="6253" w:type="dxa"/>
            <w:noWrap w:val="0"/>
            <w:vAlign w:val="center"/>
          </w:tcPr>
          <w:p w14:paraId="314BAAB9">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评标标准</w:t>
            </w:r>
          </w:p>
        </w:tc>
      </w:tr>
      <w:tr w14:paraId="22B9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noWrap w:val="0"/>
            <w:vAlign w:val="center"/>
          </w:tcPr>
          <w:p w14:paraId="68620C6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01" w:type="dxa"/>
            <w:noWrap w:val="0"/>
            <w:vAlign w:val="center"/>
          </w:tcPr>
          <w:p w14:paraId="62A9E5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价格分（满分</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lang w:eastAsia="zh-CN"/>
              </w:rPr>
              <w:t>）</w:t>
            </w:r>
          </w:p>
        </w:tc>
        <w:tc>
          <w:tcPr>
            <w:tcW w:w="1259" w:type="dxa"/>
            <w:noWrap w:val="0"/>
            <w:vAlign w:val="center"/>
          </w:tcPr>
          <w:p w14:paraId="5A45EB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价格分</w:t>
            </w:r>
          </w:p>
        </w:tc>
        <w:tc>
          <w:tcPr>
            <w:tcW w:w="6253" w:type="dxa"/>
            <w:noWrap w:val="0"/>
            <w:vAlign w:val="center"/>
          </w:tcPr>
          <w:p w14:paraId="583F7A9A">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57DC329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（2）政策性扣除计算方法</w:t>
            </w:r>
            <w:r>
              <w:rPr>
                <w:rFonts w:hint="eastAsia" w:ascii="宋体" w:hAnsi="宋体" w:cs="宋体"/>
                <w:bCs/>
                <w:color w:val="auto"/>
                <w:sz w:val="21"/>
                <w:szCs w:val="21"/>
                <w:highlight w:val="none"/>
                <w:lang w:eastAsia="zh-CN"/>
              </w:rPr>
              <w:t>：</w:t>
            </w:r>
          </w:p>
          <w:p w14:paraId="55BFCDAE">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除上述情况外，评标报价=投标报价。</w:t>
            </w:r>
          </w:p>
          <w:p w14:paraId="760B2ADC">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40E78E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42EF7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④按照</w:t>
            </w:r>
            <w:r>
              <w:rPr>
                <w:rFonts w:hint="eastAsia" w:ascii="宋体" w:hAnsi="宋体" w:eastAsia="宋体" w:cs="宋体"/>
                <w:color w:val="auto"/>
                <w:highlight w:val="none"/>
              </w:rPr>
              <w:t>《国务院办公厅关于在政府采购中实施本国产品标准及相关政策的通</w:t>
            </w:r>
            <w:r>
              <w:rPr>
                <w:rFonts w:hint="eastAsia" w:ascii="宋体" w:hAnsi="宋体" w:cs="宋体"/>
                <w:color w:val="auto"/>
                <w:highlight w:val="none"/>
              </w:rPr>
              <w:t>知》（国办发〔2025〕34号）</w:t>
            </w:r>
            <w:r>
              <w:rPr>
                <w:rFonts w:hint="eastAsia" w:ascii="宋体" w:hAnsi="宋体" w:eastAsia="宋体" w:cs="宋体"/>
                <w:bCs/>
                <w:color w:val="auto"/>
                <w:sz w:val="21"/>
                <w:szCs w:val="21"/>
                <w:highlight w:val="none"/>
              </w:rPr>
              <w:t>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扣除后的价格为评标报价，即评标报价=投标报价×（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0%）。供应商在其投标文件中提供《关于符合本国产品标准的声明函》或财政部会同有关部门规定的有关证明文件，该产品视为本国产品。供应商对声明</w:t>
            </w:r>
            <w:r>
              <w:rPr>
                <w:rFonts w:hint="eastAsia" w:ascii="宋体" w:hAnsi="宋体" w:eastAsia="宋体" w:cs="宋体"/>
                <w:bCs/>
                <w:color w:val="auto"/>
                <w:sz w:val="21"/>
                <w:szCs w:val="21"/>
                <w:highlight w:val="none"/>
                <w:lang w:eastAsia="zh-CN"/>
              </w:rPr>
              <w:t>及证明文件</w:t>
            </w:r>
            <w:r>
              <w:rPr>
                <w:rFonts w:hint="eastAsia" w:ascii="宋体" w:hAnsi="宋体" w:eastAsia="宋体" w:cs="宋体"/>
                <w:bCs/>
                <w:color w:val="auto"/>
                <w:sz w:val="21"/>
                <w:szCs w:val="21"/>
                <w:highlight w:val="none"/>
              </w:rPr>
              <w:t>的真实性负责</w:t>
            </w:r>
            <w:r>
              <w:rPr>
                <w:rFonts w:hint="eastAsia" w:ascii="宋体" w:hAnsi="宋体" w:eastAsia="宋体" w:cs="宋体"/>
                <w:bCs/>
                <w:color w:val="auto"/>
                <w:sz w:val="21"/>
                <w:szCs w:val="21"/>
                <w:highlight w:val="none"/>
                <w:lang w:eastAsia="zh-CN"/>
              </w:rPr>
              <w:t>。</w:t>
            </w:r>
          </w:p>
          <w:p w14:paraId="0C6B2CC9">
            <w:pPr>
              <w:keepNext w:val="0"/>
              <w:keepLines w:val="0"/>
              <w:suppressLineNumbers w:val="0"/>
              <w:snapToGrid w:val="0"/>
              <w:spacing w:before="0" w:beforeAutospacing="0" w:after="0" w:afterAutospacing="0" w:line="360" w:lineRule="auto"/>
              <w:ind w:left="0" w:right="0" w:firstLine="443" w:firstLineChars="2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⑤供应商享受小微企业价格扣除政策的，可重复享受</w:t>
            </w:r>
            <w:r>
              <w:rPr>
                <w:rFonts w:hint="eastAsia" w:ascii="宋体" w:hAnsi="宋体" w:cs="宋体"/>
                <w:color w:val="auto"/>
                <w:highlight w:val="none"/>
              </w:rPr>
              <w:t>本国产品</w:t>
            </w:r>
            <w:r>
              <w:rPr>
                <w:rFonts w:hint="eastAsia" w:ascii="宋体" w:hAnsi="宋体" w:cs="宋体"/>
                <w:color w:val="auto"/>
                <w:highlight w:val="none"/>
                <w:lang w:eastAsia="zh-CN"/>
              </w:rPr>
              <w:t>价格扣除政策，即</w:t>
            </w:r>
            <w:r>
              <w:rPr>
                <w:rFonts w:hint="eastAsia" w:ascii="宋体" w:hAnsi="宋体" w:eastAsia="宋体" w:cs="宋体"/>
                <w:bCs/>
                <w:color w:val="auto"/>
                <w:sz w:val="21"/>
                <w:szCs w:val="21"/>
                <w:highlight w:val="none"/>
              </w:rPr>
              <w:t>评标报价</w:t>
            </w:r>
            <w:r>
              <w:rPr>
                <w:rFonts w:hint="eastAsia" w:ascii="宋体" w:hAnsi="宋体" w:cs="宋体"/>
                <w:color w:val="auto"/>
                <w:highlight w:val="none"/>
                <w:lang w:eastAsia="zh-CN"/>
              </w:rPr>
              <w:t>=投标报价</w:t>
            </w:r>
            <w:r>
              <w:rPr>
                <w:rFonts w:hint="eastAsia" w:ascii="宋体" w:hAnsi="宋体" w:eastAsia="宋体" w:cs="宋体"/>
                <w:bCs/>
                <w:color w:val="auto"/>
                <w:sz w:val="21"/>
                <w:szCs w:val="21"/>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bCs/>
                <w:color w:val="auto"/>
                <w:sz w:val="21"/>
                <w:szCs w:val="21"/>
                <w:highlight w:val="none"/>
                <w:lang w:val="en-US" w:eastAsia="zh-CN"/>
              </w:rPr>
              <w:t>小微企业</w:t>
            </w:r>
            <w:r>
              <w:rPr>
                <w:rFonts w:hint="eastAsia" w:ascii="宋体" w:hAnsi="宋体" w:cs="宋体"/>
                <w:color w:val="auto"/>
                <w:highlight w:val="none"/>
                <w:lang w:eastAsia="zh-CN"/>
              </w:rPr>
              <w:t>价格</w:t>
            </w:r>
            <w:r>
              <w:rPr>
                <w:rFonts w:hint="eastAsia" w:ascii="宋体" w:hAnsi="宋体" w:eastAsia="宋体" w:cs="宋体"/>
                <w:bCs/>
                <w:color w:val="auto"/>
                <w:sz w:val="21"/>
                <w:szCs w:val="21"/>
                <w:highlight w:val="none"/>
                <w:lang w:val="en-US" w:eastAsia="zh-CN"/>
              </w:rPr>
              <w:t>扣除比例</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本国产品</w:t>
            </w:r>
            <w:r>
              <w:rPr>
                <w:rFonts w:hint="eastAsia" w:ascii="宋体" w:hAnsi="宋体" w:cs="宋体"/>
                <w:color w:val="auto"/>
                <w:highlight w:val="none"/>
                <w:lang w:eastAsia="zh-CN"/>
              </w:rPr>
              <w:t>价格</w:t>
            </w:r>
            <w:r>
              <w:rPr>
                <w:rFonts w:hint="eastAsia" w:ascii="宋体" w:hAnsi="宋体" w:cs="宋体"/>
                <w:color w:val="auto"/>
                <w:highlight w:val="none"/>
                <w:lang w:val="en-US" w:eastAsia="zh-CN"/>
              </w:rPr>
              <w:t>扣除比例</w:t>
            </w:r>
            <w:r>
              <w:rPr>
                <w:rFonts w:hint="eastAsia" w:ascii="宋体" w:hAnsi="宋体" w:cs="宋体"/>
                <w:color w:val="auto"/>
                <w:highlight w:val="none"/>
                <w:lang w:eastAsia="zh-CN"/>
              </w:rPr>
              <w:t>），除上述情况外，</w:t>
            </w:r>
            <w:r>
              <w:rPr>
                <w:rFonts w:hint="eastAsia" w:ascii="宋体" w:hAnsi="宋体" w:eastAsia="宋体" w:cs="宋体"/>
                <w:bCs/>
                <w:color w:val="auto"/>
                <w:sz w:val="21"/>
                <w:szCs w:val="21"/>
                <w:highlight w:val="none"/>
              </w:rPr>
              <w:t>评标报价</w:t>
            </w:r>
            <w:r>
              <w:rPr>
                <w:rFonts w:hint="eastAsia" w:ascii="宋体" w:hAnsi="宋体" w:cs="宋体"/>
                <w:color w:val="auto"/>
                <w:highlight w:val="none"/>
                <w:lang w:eastAsia="zh-CN"/>
              </w:rPr>
              <w:t>=投标报价。</w:t>
            </w:r>
          </w:p>
          <w:p w14:paraId="56A7525E">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）满足招标文件要求且评标报价最低的为评标基准价，其价格分为满分。</w:t>
            </w:r>
          </w:p>
          <w:p w14:paraId="6CE5F06D">
            <w:pPr>
              <w:keepNext w:val="0"/>
              <w:keepLines w:val="0"/>
              <w:suppressLineNumbers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）价格分计算公式：        </w:t>
            </w:r>
          </w:p>
          <w:p w14:paraId="1221BC40">
            <w:pPr>
              <w:keepNext w:val="0"/>
              <w:keepLines w:val="0"/>
              <w:suppressLineNumbers w:val="0"/>
              <w:bidi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u w:val="none"/>
              </w:rPr>
              <w:t>30</w:t>
            </w:r>
            <w:r>
              <w:rPr>
                <w:rFonts w:hint="eastAsia" w:ascii="宋体" w:hAnsi="宋体" w:eastAsia="宋体" w:cs="宋体"/>
                <w:bCs/>
                <w:color w:val="auto"/>
                <w:sz w:val="21"/>
                <w:szCs w:val="21"/>
                <w:highlight w:val="none"/>
              </w:rPr>
              <w:t>分</w:t>
            </w:r>
          </w:p>
        </w:tc>
      </w:tr>
      <w:tr w14:paraId="6E84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713" w:type="dxa"/>
            <w:vMerge w:val="restart"/>
            <w:noWrap w:val="0"/>
            <w:vAlign w:val="center"/>
          </w:tcPr>
          <w:p w14:paraId="275BA4F4">
            <w:pPr>
              <w:keepNext w:val="0"/>
              <w:keepLines w:val="0"/>
              <w:suppressLineNumbers w:val="0"/>
              <w:bidi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01" w:type="dxa"/>
            <w:vMerge w:val="restart"/>
            <w:noWrap w:val="0"/>
            <w:vAlign w:val="center"/>
          </w:tcPr>
          <w:p w14:paraId="5ADF49B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技术分</w:t>
            </w:r>
            <w:r>
              <w:rPr>
                <w:rFonts w:hint="eastAsia" w:ascii="宋体" w:hAnsi="宋体" w:cs="宋体"/>
                <w:b w:val="0"/>
                <w:bCs w:val="0"/>
                <w:color w:val="auto"/>
                <w:sz w:val="21"/>
                <w:szCs w:val="21"/>
                <w:highlight w:val="none"/>
                <w:lang w:eastAsia="zh-CN"/>
              </w:rPr>
              <w:t>（满分</w:t>
            </w:r>
            <w:r>
              <w:rPr>
                <w:rFonts w:hint="eastAsia" w:ascii="宋体" w:hAnsi="宋体" w:cs="宋体"/>
                <w:b w:val="0"/>
                <w:bCs w:val="0"/>
                <w:color w:val="auto"/>
                <w:sz w:val="21"/>
                <w:szCs w:val="21"/>
                <w:highlight w:val="none"/>
                <w:lang w:val="en-US" w:eastAsia="zh-CN"/>
              </w:rPr>
              <w:t>48分</w:t>
            </w:r>
            <w:r>
              <w:rPr>
                <w:rFonts w:hint="eastAsia" w:ascii="宋体" w:hAnsi="宋体" w:cs="宋体"/>
                <w:b w:val="0"/>
                <w:bCs w:val="0"/>
                <w:color w:val="auto"/>
                <w:sz w:val="21"/>
                <w:szCs w:val="21"/>
                <w:highlight w:val="none"/>
                <w:lang w:eastAsia="zh-CN"/>
              </w:rPr>
              <w:t>）</w:t>
            </w:r>
          </w:p>
        </w:tc>
        <w:tc>
          <w:tcPr>
            <w:tcW w:w="1259" w:type="dxa"/>
            <w:noWrap w:val="0"/>
            <w:vAlign w:val="center"/>
          </w:tcPr>
          <w:p w14:paraId="6251F3A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技术参数</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rPr>
              <w:t>分）</w:t>
            </w:r>
          </w:p>
        </w:tc>
        <w:tc>
          <w:tcPr>
            <w:tcW w:w="6253" w:type="dxa"/>
            <w:noWrap w:val="0"/>
            <w:vAlign w:val="center"/>
          </w:tcPr>
          <w:p w14:paraId="70F1C2ED">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投标产品完全满足</w:t>
            </w:r>
            <w:r>
              <w:rPr>
                <w:rFonts w:hint="eastAsia" w:ascii="宋体" w:hAnsi="宋体" w:cs="宋体"/>
                <w:b/>
                <w:bCs/>
                <w:color w:val="auto"/>
                <w:sz w:val="21"/>
                <w:szCs w:val="21"/>
                <w:highlight w:val="none"/>
                <w:lang w:eastAsia="zh-CN"/>
              </w:rPr>
              <w:t>招标文件第二章</w:t>
            </w:r>
            <w:r>
              <w:rPr>
                <w:rFonts w:hint="eastAsia" w:ascii="宋体" w:hAnsi="宋体" w:eastAsia="宋体" w:cs="宋体"/>
                <w:b/>
                <w:bCs/>
                <w:color w:val="auto"/>
                <w:sz w:val="21"/>
                <w:szCs w:val="21"/>
                <w:highlight w:val="none"/>
              </w:rPr>
              <w:t>“技术性能、参数及有关要求”且无任何负偏离</w:t>
            </w:r>
            <w:r>
              <w:rPr>
                <w:rFonts w:hint="eastAsia" w:ascii="宋体" w:hAnsi="宋体" w:eastAsia="宋体" w:cs="宋体"/>
                <w:b/>
                <w:bCs/>
                <w:color w:val="auto"/>
                <w:sz w:val="21"/>
                <w:szCs w:val="21"/>
                <w:highlight w:val="none"/>
                <w:lang w:eastAsia="zh-CN"/>
              </w:rPr>
              <w:t>或漏项</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分；投标产品不满足招标文件</w:t>
            </w:r>
            <w:r>
              <w:rPr>
                <w:rFonts w:hint="eastAsia" w:ascii="宋体" w:hAnsi="宋体" w:cs="宋体"/>
                <w:b/>
                <w:bCs/>
                <w:color w:val="auto"/>
                <w:sz w:val="21"/>
                <w:szCs w:val="21"/>
                <w:highlight w:val="none"/>
                <w:lang w:eastAsia="zh-CN"/>
              </w:rPr>
              <w:t>重要</w:t>
            </w:r>
            <w:r>
              <w:rPr>
                <w:rFonts w:hint="eastAsia" w:ascii="宋体" w:hAnsi="宋体" w:eastAsia="宋体" w:cs="宋体"/>
                <w:b/>
                <w:bCs/>
                <w:color w:val="auto"/>
                <w:sz w:val="21"/>
                <w:szCs w:val="21"/>
                <w:highlight w:val="none"/>
              </w:rPr>
              <w:t>参数</w:t>
            </w:r>
            <w:r>
              <w:rPr>
                <w:rFonts w:hint="eastAsia" w:ascii="宋体" w:hAnsi="宋体" w:cs="宋体"/>
                <w:b/>
                <w:bCs/>
                <w:color w:val="auto"/>
                <w:sz w:val="21"/>
                <w:szCs w:val="21"/>
                <w:highlight w:val="none"/>
                <w:lang w:eastAsia="zh-CN"/>
              </w:rPr>
              <w:t>项要求</w:t>
            </w:r>
            <w:r>
              <w:rPr>
                <w:rFonts w:hint="eastAsia" w:ascii="宋体" w:hAnsi="宋体" w:eastAsia="宋体" w:cs="宋体"/>
                <w:b/>
                <w:bCs/>
                <w:color w:val="auto"/>
                <w:sz w:val="21"/>
                <w:szCs w:val="21"/>
                <w:highlight w:val="none"/>
              </w:rPr>
              <w:t>的，即存在负偏离</w:t>
            </w:r>
            <w:r>
              <w:rPr>
                <w:rFonts w:hint="eastAsia" w:ascii="宋体" w:hAnsi="宋体" w:eastAsia="宋体" w:cs="宋体"/>
                <w:b/>
                <w:bCs/>
                <w:color w:val="auto"/>
                <w:sz w:val="21"/>
                <w:szCs w:val="21"/>
                <w:highlight w:val="none"/>
                <w:lang w:eastAsia="zh-CN"/>
              </w:rPr>
              <w:t>或存在漏项的</w:t>
            </w:r>
            <w:r>
              <w:rPr>
                <w:rFonts w:hint="eastAsia" w:ascii="宋体" w:hAnsi="宋体" w:eastAsia="宋体" w:cs="宋体"/>
                <w:b/>
                <w:bCs/>
                <w:color w:val="auto"/>
                <w:sz w:val="21"/>
                <w:szCs w:val="21"/>
                <w:highlight w:val="none"/>
              </w:rPr>
              <w:t>，每一项扣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投标产品不满足招标文件</w:t>
            </w:r>
            <w:r>
              <w:rPr>
                <w:rFonts w:hint="eastAsia" w:ascii="宋体" w:hAnsi="宋体" w:eastAsia="宋体" w:cs="宋体"/>
                <w:b/>
                <w:bCs/>
                <w:color w:val="auto"/>
                <w:sz w:val="21"/>
                <w:szCs w:val="21"/>
                <w:highlight w:val="none"/>
                <w:lang w:eastAsia="zh-CN"/>
              </w:rPr>
              <w:t>一般参数项要求的，即存在</w:t>
            </w:r>
            <w:r>
              <w:rPr>
                <w:rFonts w:hint="eastAsia" w:ascii="宋体" w:hAnsi="宋体" w:eastAsia="宋体" w:cs="宋体"/>
                <w:b/>
                <w:bCs/>
                <w:color w:val="auto"/>
                <w:sz w:val="21"/>
                <w:szCs w:val="21"/>
                <w:highlight w:val="none"/>
              </w:rPr>
              <w:t>负偏离</w:t>
            </w:r>
            <w:r>
              <w:rPr>
                <w:rFonts w:hint="eastAsia" w:ascii="宋体" w:hAnsi="宋体" w:eastAsia="宋体" w:cs="宋体"/>
                <w:b/>
                <w:bCs/>
                <w:color w:val="auto"/>
                <w:sz w:val="21"/>
                <w:szCs w:val="21"/>
                <w:highlight w:val="none"/>
                <w:lang w:eastAsia="zh-CN"/>
              </w:rPr>
              <w:t>或存在漏项的</w:t>
            </w:r>
            <w:r>
              <w:rPr>
                <w:rFonts w:hint="eastAsia" w:ascii="宋体" w:hAnsi="宋体" w:eastAsia="宋体" w:cs="宋体"/>
                <w:b/>
                <w:bCs/>
                <w:color w:val="auto"/>
                <w:sz w:val="21"/>
                <w:szCs w:val="21"/>
                <w:highlight w:val="none"/>
              </w:rPr>
              <w:t>，每一项扣</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扣完</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分为止。</w:t>
            </w:r>
          </w:p>
          <w:p w14:paraId="4A8C86FB">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招标文件第二章“技术性能、参数及有关要求”中标注“▲”为实质性要求项，经评审认定负偏离</w:t>
            </w:r>
            <w:r>
              <w:rPr>
                <w:rFonts w:hint="eastAsia" w:ascii="宋体" w:hAnsi="宋体" w:eastAsia="宋体" w:cs="宋体"/>
                <w:b/>
                <w:bCs/>
                <w:color w:val="auto"/>
                <w:sz w:val="21"/>
                <w:szCs w:val="21"/>
                <w:highlight w:val="none"/>
                <w:lang w:eastAsia="zh-CN"/>
              </w:rPr>
              <w:t>或存在漏项</w:t>
            </w:r>
            <w:r>
              <w:rPr>
                <w:rFonts w:hint="eastAsia" w:ascii="宋体" w:hAnsi="宋体" w:eastAsia="宋体" w:cs="宋体"/>
                <w:b/>
                <w:bCs/>
                <w:color w:val="auto"/>
                <w:sz w:val="21"/>
                <w:szCs w:val="21"/>
                <w:highlight w:val="none"/>
              </w:rPr>
              <w:t>的，投标无效。</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招标文件第二章“技术性能、参数及有关要求”</w:t>
            </w:r>
            <w:r>
              <w:rPr>
                <w:rFonts w:hint="eastAsia" w:ascii="宋体" w:hAnsi="宋体" w:eastAsia="宋体" w:cs="宋体"/>
                <w:b/>
                <w:bCs/>
                <w:color w:val="auto"/>
                <w:sz w:val="21"/>
                <w:szCs w:val="21"/>
                <w:highlight w:val="none"/>
                <w:lang w:eastAsia="zh-CN"/>
              </w:rPr>
              <w:t>中标注</w:t>
            </w:r>
            <w:r>
              <w:rPr>
                <w:rFonts w:hint="eastAsia" w:ascii="宋体" w:hAnsi="宋体" w:eastAsia="宋体" w:cs="宋体"/>
                <w:b/>
                <w:bCs/>
                <w:color w:val="auto"/>
                <w:sz w:val="21"/>
                <w:szCs w:val="21"/>
                <w:highlight w:val="none"/>
                <w:lang w:val="en-US" w:eastAsia="zh-CN"/>
              </w:rPr>
              <w:t>“●”为重要参数</w:t>
            </w:r>
            <w:r>
              <w:rPr>
                <w:rFonts w:hint="eastAsia" w:ascii="宋体" w:hAnsi="宋体" w:cs="宋体"/>
                <w:b/>
                <w:bCs/>
                <w:color w:val="auto"/>
                <w:sz w:val="21"/>
                <w:szCs w:val="21"/>
                <w:highlight w:val="none"/>
                <w:lang w:val="en-US" w:eastAsia="zh-CN"/>
              </w:rPr>
              <w:t>项。招标</w:t>
            </w:r>
            <w:r>
              <w:rPr>
                <w:rFonts w:hint="eastAsia" w:ascii="宋体" w:hAnsi="宋体" w:eastAsia="宋体" w:cs="宋体"/>
                <w:b/>
                <w:bCs/>
                <w:color w:val="auto"/>
                <w:sz w:val="21"/>
                <w:szCs w:val="21"/>
                <w:highlight w:val="none"/>
              </w:rPr>
              <w:t>文件第二章“技术性能、参数及有关要求”</w:t>
            </w:r>
            <w:r>
              <w:rPr>
                <w:rFonts w:hint="eastAsia" w:ascii="宋体" w:hAnsi="宋体" w:eastAsia="宋体" w:cs="宋体"/>
                <w:b/>
                <w:bCs/>
                <w:color w:val="auto"/>
                <w:sz w:val="21"/>
                <w:szCs w:val="21"/>
                <w:highlight w:val="none"/>
                <w:lang w:eastAsia="zh-CN"/>
              </w:rPr>
              <w:t>中未标注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lang w:val="en-US" w:eastAsia="zh-CN"/>
              </w:rPr>
              <w:t>“●”为一般参数项。</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招标文件第二章“技术性能、参数及有关要求”中</w:t>
            </w:r>
            <w:r>
              <w:rPr>
                <w:rFonts w:hint="eastAsia" w:ascii="宋体" w:hAnsi="宋体" w:cs="宋体"/>
                <w:b/>
                <w:bCs/>
                <w:color w:val="auto"/>
                <w:szCs w:val="21"/>
                <w:highlight w:val="none"/>
                <w:lang w:eastAsia="zh-CN"/>
              </w:rPr>
              <w:t>要求</w:t>
            </w:r>
            <w:r>
              <w:rPr>
                <w:rFonts w:hint="eastAsia" w:ascii="宋体" w:hAnsi="宋体" w:cs="宋体"/>
                <w:b/>
                <w:bCs/>
                <w:color w:val="auto"/>
                <w:szCs w:val="21"/>
                <w:highlight w:val="none"/>
              </w:rPr>
              <w:t>提供相关证明材料</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rPr>
              <w:t>证明材料指第三方检测机构出具的检测报告复印件或制造商官网产品截图说明或产品相关技术证明复印件，证明材料需完整体现满足</w:t>
            </w:r>
            <w:r>
              <w:rPr>
                <w:rFonts w:hint="eastAsia" w:ascii="宋体" w:hAnsi="宋体" w:cs="宋体"/>
                <w:b/>
                <w:bCs/>
                <w:color w:val="auto"/>
                <w:szCs w:val="21"/>
                <w:highlight w:val="none"/>
                <w:lang w:val="en-US" w:eastAsia="zh-CN"/>
              </w:rPr>
              <w:t>该</w:t>
            </w:r>
            <w:r>
              <w:rPr>
                <w:rFonts w:hint="eastAsia" w:ascii="宋体" w:hAnsi="宋体" w:cs="宋体"/>
                <w:b/>
                <w:bCs/>
                <w:color w:val="auto"/>
                <w:szCs w:val="21"/>
                <w:highlight w:val="none"/>
              </w:rPr>
              <w:t>项技术要求，加盖投标人公章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投标人须按要求提供</w:t>
            </w:r>
            <w:r>
              <w:rPr>
                <w:rFonts w:hint="eastAsia" w:ascii="宋体" w:hAnsi="宋体" w:cs="宋体"/>
                <w:b/>
                <w:bCs/>
                <w:color w:val="auto"/>
                <w:szCs w:val="21"/>
                <w:highlight w:val="none"/>
              </w:rPr>
              <w:t>相关</w:t>
            </w:r>
            <w:r>
              <w:rPr>
                <w:rFonts w:hint="eastAsia" w:ascii="宋体" w:hAnsi="宋体" w:cs="宋体"/>
                <w:b/>
                <w:bCs/>
                <w:color w:val="auto"/>
                <w:szCs w:val="21"/>
                <w:highlight w:val="none"/>
                <w:lang w:eastAsia="zh-CN"/>
              </w:rPr>
              <w:t>证明材料，</w:t>
            </w:r>
            <w:r>
              <w:rPr>
                <w:rFonts w:hint="eastAsia" w:ascii="宋体" w:hAnsi="宋体" w:cs="宋体"/>
                <w:b/>
                <w:bCs/>
                <w:color w:val="auto"/>
                <w:szCs w:val="21"/>
                <w:highlight w:val="none"/>
              </w:rPr>
              <w:t>否则评标委员会可以视为负偏离或</w:t>
            </w:r>
            <w:r>
              <w:rPr>
                <w:rFonts w:hint="eastAsia" w:ascii="宋体" w:hAnsi="宋体" w:eastAsia="宋体" w:cs="宋体"/>
                <w:b/>
                <w:bCs/>
                <w:color w:val="auto"/>
                <w:sz w:val="21"/>
                <w:szCs w:val="21"/>
                <w:highlight w:val="none"/>
                <w:lang w:eastAsia="zh-CN"/>
              </w:rPr>
              <w:t>存在漏项</w:t>
            </w:r>
            <w:r>
              <w:rPr>
                <w:rFonts w:hint="eastAsia" w:ascii="宋体" w:hAnsi="宋体" w:cs="宋体"/>
                <w:b/>
                <w:bCs/>
                <w:color w:val="auto"/>
                <w:szCs w:val="21"/>
                <w:highlight w:val="none"/>
              </w:rPr>
              <w:t>。</w:t>
            </w:r>
          </w:p>
        </w:tc>
      </w:tr>
      <w:tr w14:paraId="690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continue"/>
            <w:noWrap w:val="0"/>
            <w:vAlign w:val="center"/>
          </w:tcPr>
          <w:p w14:paraId="7D1231C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101" w:type="dxa"/>
            <w:vMerge w:val="continue"/>
            <w:noWrap w:val="0"/>
            <w:vAlign w:val="center"/>
          </w:tcPr>
          <w:p w14:paraId="7145916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259" w:type="dxa"/>
            <w:noWrap w:val="0"/>
            <w:vAlign w:val="center"/>
          </w:tcPr>
          <w:p w14:paraId="094811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实施方案分（满分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253" w:type="dxa"/>
            <w:noWrap w:val="0"/>
            <w:vAlign w:val="center"/>
          </w:tcPr>
          <w:p w14:paraId="4EDA600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w:t>
            </w:r>
            <w:r>
              <w:rPr>
                <w:rFonts w:hint="eastAsia" w:ascii="宋体" w:hAnsi="宋体" w:cs="宋体"/>
                <w:color w:val="auto"/>
                <w:sz w:val="21"/>
                <w:szCs w:val="21"/>
                <w:highlight w:val="none"/>
                <w:lang w:eastAsia="zh-CN"/>
              </w:rPr>
              <w:t>会</w:t>
            </w:r>
            <w:r>
              <w:rPr>
                <w:rFonts w:hint="eastAsia" w:ascii="宋体" w:hAnsi="宋体" w:eastAsia="宋体" w:cs="宋体"/>
                <w:color w:val="auto"/>
                <w:sz w:val="21"/>
                <w:szCs w:val="21"/>
                <w:highlight w:val="none"/>
              </w:rPr>
              <w:t>在相应档次内独立打分，未提供实施方案或实施方案不满足一档评审标准的，得0分</w:t>
            </w:r>
            <w:r>
              <w:rPr>
                <w:rFonts w:hint="eastAsia" w:ascii="宋体" w:hAnsi="宋体" w:eastAsia="宋体" w:cs="宋体"/>
                <w:b w:val="0"/>
                <w:bCs w:val="0"/>
                <w:color w:val="auto"/>
                <w:sz w:val="21"/>
                <w:szCs w:val="21"/>
                <w:highlight w:val="none"/>
              </w:rPr>
              <w:t>：</w:t>
            </w:r>
          </w:p>
          <w:p w14:paraId="4922700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分）：对项目的需求基本理解，实施方案包含有实施要点、人员组织、进度管理等相关内容；方案整体基本符合项目采购需要，没有明显错误。</w:t>
            </w:r>
          </w:p>
          <w:p w14:paraId="7AAE6F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分）：对项目的需求有正确理解，实施方案包含有实施要点、人员组织、进度管理、质量控制</w:t>
            </w:r>
            <w:r>
              <w:rPr>
                <w:rFonts w:hint="eastAsia" w:ascii="宋体" w:hAnsi="宋体" w:cs="宋体"/>
                <w:color w:val="auto"/>
                <w:sz w:val="21"/>
                <w:szCs w:val="21"/>
                <w:highlight w:val="none"/>
                <w:lang w:eastAsia="zh-CN"/>
              </w:rPr>
              <w:t>、安装调试</w:t>
            </w:r>
            <w:r>
              <w:rPr>
                <w:rFonts w:hint="eastAsia" w:ascii="宋体" w:hAnsi="宋体" w:eastAsia="宋体" w:cs="宋体"/>
                <w:color w:val="auto"/>
                <w:sz w:val="21"/>
                <w:szCs w:val="21"/>
                <w:highlight w:val="none"/>
              </w:rPr>
              <w:t>等相关内容，表述正确、有</w:t>
            </w:r>
            <w:r>
              <w:rPr>
                <w:rFonts w:hint="eastAsia" w:ascii="宋体" w:hAnsi="宋体" w:cs="宋体"/>
                <w:color w:val="auto"/>
                <w:sz w:val="21"/>
                <w:szCs w:val="21"/>
                <w:highlight w:val="none"/>
                <w:lang w:eastAsia="zh-CN"/>
              </w:rPr>
              <w:t>针对</w:t>
            </w:r>
            <w:r>
              <w:rPr>
                <w:rFonts w:hint="eastAsia" w:ascii="宋体" w:hAnsi="宋体" w:eastAsia="宋体" w:cs="宋体"/>
                <w:color w:val="auto"/>
                <w:sz w:val="21"/>
                <w:szCs w:val="21"/>
                <w:highlight w:val="none"/>
              </w:rPr>
              <w:t>性；方案整体符合项目采购需要，能够保障项目正常实施。</w:t>
            </w:r>
          </w:p>
          <w:p w14:paraId="168EAF6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分）：对项目的需求有深入理解，方案包含有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实施要点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有具体人员投入安排且分工及职责明确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有详细的产品选型方案能保证产品</w:t>
            </w:r>
            <w:r>
              <w:rPr>
                <w:rFonts w:hint="eastAsia" w:ascii="宋体" w:hAnsi="宋体" w:eastAsia="宋体" w:cs="宋体"/>
                <w:color w:val="auto"/>
                <w:sz w:val="21"/>
                <w:szCs w:val="21"/>
                <w:highlight w:val="none"/>
              </w:rPr>
              <w:t>质量</w:t>
            </w:r>
            <w:r>
              <w:rPr>
                <w:rFonts w:hint="eastAsia" w:ascii="宋体" w:hAnsi="宋体" w:cs="宋体"/>
                <w:color w:val="auto"/>
                <w:sz w:val="21"/>
                <w:szCs w:val="21"/>
                <w:highlight w:val="none"/>
                <w:lang w:val="en-US" w:eastAsia="zh-CN"/>
              </w:rPr>
              <w:t>满足采购需求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有具体的供货计划安排表及保障措施</w:t>
            </w:r>
            <w:r>
              <w:rPr>
                <w:rFonts w:hint="eastAsia" w:ascii="宋体" w:hAnsi="宋体" w:cs="宋体"/>
                <w:color w:val="auto"/>
                <w:sz w:val="21"/>
                <w:szCs w:val="21"/>
                <w:highlight w:val="none"/>
                <w:lang w:eastAsia="zh-CN"/>
              </w:rPr>
              <w:t>；</w:t>
            </w:r>
            <w:r>
              <w:rPr>
                <w:rFonts w:hint="eastAsia" w:ascii="宋体" w:hAnsi="宋体" w:cs="宋体"/>
                <w:bCs/>
                <w:color w:val="auto"/>
                <w:szCs w:val="21"/>
                <w:lang w:bidi="ar"/>
              </w:rPr>
              <w:t>有安装调试标准，确保设备正常使用</w:t>
            </w:r>
            <w:r>
              <w:rPr>
                <w:rFonts w:hint="eastAsia" w:ascii="宋体" w:hAnsi="宋体" w:cs="宋体"/>
                <w:bCs/>
                <w:color w:val="auto"/>
                <w:szCs w:val="21"/>
                <w:lang w:eastAsia="zh-CN" w:bidi="ar"/>
              </w:rPr>
              <w:t>；</w:t>
            </w:r>
            <w:r>
              <w:rPr>
                <w:rFonts w:hint="eastAsia" w:ascii="宋体" w:hAnsi="宋体" w:cs="宋体"/>
                <w:color w:val="auto"/>
                <w:sz w:val="21"/>
                <w:szCs w:val="21"/>
                <w:highlight w:val="none"/>
                <w:lang w:val="en-US" w:eastAsia="zh-CN"/>
              </w:rPr>
              <w:t>有详细具体的</w:t>
            </w:r>
            <w:r>
              <w:rPr>
                <w:rFonts w:hint="eastAsia" w:ascii="宋体" w:hAnsi="宋体" w:eastAsia="宋体" w:cs="宋体"/>
                <w:color w:val="auto"/>
                <w:sz w:val="21"/>
                <w:szCs w:val="21"/>
                <w:highlight w:val="none"/>
              </w:rPr>
              <w:t>风险控制</w:t>
            </w:r>
            <w:r>
              <w:rPr>
                <w:rFonts w:hint="eastAsia" w:ascii="宋体" w:hAnsi="宋体" w:cs="宋体"/>
                <w:color w:val="auto"/>
                <w:sz w:val="21"/>
                <w:szCs w:val="21"/>
                <w:highlight w:val="none"/>
                <w:lang w:val="en-US" w:eastAsia="zh-CN"/>
              </w:rPr>
              <w:t>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验收</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rPr>
              <w:t>、项目移交等方面内容，表述正确、可行，能够完全满足和保障项目实施要求。</w:t>
            </w:r>
          </w:p>
        </w:tc>
      </w:tr>
      <w:tr w14:paraId="3837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restart"/>
            <w:noWrap w:val="0"/>
            <w:vAlign w:val="center"/>
          </w:tcPr>
          <w:p w14:paraId="25933F1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01" w:type="dxa"/>
            <w:vMerge w:val="restart"/>
            <w:noWrap w:val="0"/>
            <w:vAlign w:val="center"/>
          </w:tcPr>
          <w:p w14:paraId="7E62FD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商务分（满分</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w:t>
            </w:r>
          </w:p>
        </w:tc>
        <w:tc>
          <w:tcPr>
            <w:tcW w:w="1259" w:type="dxa"/>
            <w:noWrap w:val="0"/>
            <w:vAlign w:val="center"/>
          </w:tcPr>
          <w:p w14:paraId="3B626E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售后服务方案分（满分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253" w:type="dxa"/>
            <w:noWrap w:val="0"/>
            <w:vAlign w:val="center"/>
          </w:tcPr>
          <w:p w14:paraId="6B300CD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color w:val="auto"/>
                <w:sz w:val="21"/>
                <w:szCs w:val="21"/>
                <w:highlight w:val="none"/>
              </w:rPr>
              <w:t>由评标委员</w:t>
            </w:r>
            <w:r>
              <w:rPr>
                <w:rFonts w:hint="eastAsia" w:ascii="宋体" w:hAnsi="宋体" w:cs="宋体"/>
                <w:color w:val="auto"/>
                <w:sz w:val="21"/>
                <w:szCs w:val="21"/>
                <w:highlight w:val="none"/>
                <w:lang w:eastAsia="zh-CN"/>
              </w:rPr>
              <w:t>会</w:t>
            </w:r>
            <w:r>
              <w:rPr>
                <w:rFonts w:hint="eastAsia" w:ascii="宋体" w:hAnsi="宋体" w:eastAsia="宋体" w:cs="宋体"/>
                <w:color w:val="auto"/>
                <w:sz w:val="21"/>
                <w:szCs w:val="21"/>
                <w:highlight w:val="none"/>
              </w:rPr>
              <w:t>在相应档次内独立打分，未提供售后服务方案或售后服务方案不满足一档评审标准的，得0分</w:t>
            </w:r>
            <w:r>
              <w:rPr>
                <w:rFonts w:hint="eastAsia" w:ascii="宋体" w:hAnsi="宋体" w:eastAsia="宋体" w:cs="宋体"/>
                <w:b w:val="0"/>
                <w:bCs w:val="0"/>
                <w:color w:val="auto"/>
                <w:sz w:val="21"/>
                <w:szCs w:val="21"/>
                <w:highlight w:val="none"/>
              </w:rPr>
              <w:t>：</w:t>
            </w:r>
          </w:p>
          <w:p w14:paraId="4BF6B59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一档（</w:t>
            </w:r>
            <w:r>
              <w:rPr>
                <w:rFonts w:hint="eastAsia"/>
                <w:color w:val="auto"/>
                <w:highlight w:val="none"/>
                <w:lang w:val="en-US" w:eastAsia="zh-CN"/>
              </w:rPr>
              <w:t>4</w:t>
            </w:r>
            <w:r>
              <w:rPr>
                <w:rFonts w:hint="eastAsia"/>
                <w:color w:val="auto"/>
                <w:highlight w:val="none"/>
              </w:rPr>
              <w:t>分）：售后服务方案对“质保期维护方案、到达故障现场时间、故障出现解决方案、定期</w:t>
            </w:r>
            <w:r>
              <w:rPr>
                <w:rFonts w:hint="eastAsia"/>
                <w:color w:val="auto"/>
                <w:highlight w:val="none"/>
                <w:lang w:eastAsia="zh-CN"/>
              </w:rPr>
              <w:t>回访</w:t>
            </w:r>
            <w:r>
              <w:rPr>
                <w:rFonts w:hint="eastAsia"/>
                <w:color w:val="auto"/>
                <w:highlight w:val="none"/>
              </w:rPr>
              <w:t>、备品备件”等内容基本满足招标文件售后服务要求。</w:t>
            </w:r>
          </w:p>
          <w:p w14:paraId="683E8D0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二档（</w:t>
            </w:r>
            <w:r>
              <w:rPr>
                <w:rFonts w:hint="eastAsia"/>
                <w:color w:val="auto"/>
                <w:highlight w:val="none"/>
                <w:lang w:val="en-US" w:eastAsia="zh-CN"/>
              </w:rPr>
              <w:t>8</w:t>
            </w:r>
            <w:r>
              <w:rPr>
                <w:rFonts w:hint="eastAsia"/>
                <w:color w:val="auto"/>
                <w:highlight w:val="none"/>
              </w:rPr>
              <w:t>分）：售后服务方案对“质保期维护方案、到达故障现场时间、故障出现解决方案、定期</w:t>
            </w:r>
            <w:r>
              <w:rPr>
                <w:rFonts w:hint="eastAsia"/>
                <w:color w:val="auto"/>
                <w:highlight w:val="none"/>
                <w:lang w:eastAsia="zh-CN"/>
              </w:rPr>
              <w:t>回访</w:t>
            </w:r>
            <w:r>
              <w:rPr>
                <w:rFonts w:hint="eastAsia"/>
                <w:color w:val="auto"/>
                <w:highlight w:val="none"/>
              </w:rPr>
              <w:t xml:space="preserve">、其他优惠措施、备品备件”等内容的描述完整，方案整体描述细致、合理、可行，故障处理措施到位；提供7×24售后服务热线，有详细的售后服务流程。 </w:t>
            </w:r>
          </w:p>
          <w:p w14:paraId="15B2F4E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w:t>
            </w:r>
            <w:r>
              <w:rPr>
                <w:rFonts w:hint="eastAsia"/>
                <w:color w:val="auto"/>
                <w:highlight w:val="none"/>
                <w:lang w:eastAsia="zh-CN"/>
              </w:rPr>
              <w:t>在满足二档的基础上，</w:t>
            </w:r>
            <w:r>
              <w:rPr>
                <w:rFonts w:hint="eastAsia"/>
                <w:color w:val="auto"/>
                <w:highlight w:val="none"/>
              </w:rPr>
              <w:t>建立有售后应急预案</w:t>
            </w:r>
            <w:r>
              <w:rPr>
                <w:rFonts w:hint="eastAsia"/>
                <w:color w:val="auto"/>
                <w:highlight w:val="none"/>
                <w:lang w:eastAsia="zh-CN"/>
              </w:rPr>
              <w:t>（如重要节假日或其他重要时期，设备</w:t>
            </w:r>
            <w:r>
              <w:rPr>
                <w:rFonts w:hint="eastAsia" w:ascii="宋体" w:hAnsi="宋体" w:cs="宋体"/>
                <w:szCs w:val="21"/>
              </w:rPr>
              <w:t>发生故障时提供备用机或其他替代解决的具体</w:t>
            </w:r>
            <w:r>
              <w:rPr>
                <w:rFonts w:hint="eastAsia" w:ascii="宋体" w:hAnsi="宋体" w:cs="宋体"/>
                <w:szCs w:val="21"/>
                <w:lang w:eastAsia="zh-CN"/>
              </w:rPr>
              <w:t>预案</w:t>
            </w:r>
            <w:r>
              <w:rPr>
                <w:rFonts w:hint="eastAsia"/>
                <w:color w:val="auto"/>
                <w:highlight w:val="none"/>
                <w:lang w:eastAsia="zh-CN"/>
              </w:rPr>
              <w:t>）</w:t>
            </w:r>
            <w:r>
              <w:rPr>
                <w:rFonts w:hint="eastAsia"/>
                <w:color w:val="auto"/>
                <w:highlight w:val="none"/>
                <w:lang w:val="en-US" w:eastAsia="zh-CN"/>
              </w:rPr>
              <w:t>；服务期内对机器人</w:t>
            </w:r>
            <w:r>
              <w:rPr>
                <w:rFonts w:hint="eastAsia"/>
                <w:color w:val="auto"/>
                <w:sz w:val="21"/>
                <w:szCs w:val="24"/>
                <w:highlight w:val="none"/>
                <w:vertAlign w:val="baseline"/>
                <w:lang w:val="en-US" w:eastAsia="zh-CN"/>
              </w:rPr>
              <w:t>新节目增加、现有节目优化、修复已知问题、适配官方系统升级等有详细具体的服务方案；</w:t>
            </w:r>
            <w:r>
              <w:rPr>
                <w:rFonts w:hint="eastAsia"/>
                <w:color w:val="auto"/>
                <w:highlight w:val="none"/>
              </w:rPr>
              <w:t>售后质量保障，有完善的售后服务机制，能为采购人提供优质快捷的</w:t>
            </w:r>
            <w:r>
              <w:rPr>
                <w:rFonts w:hint="eastAsia"/>
                <w:color w:val="auto"/>
                <w:highlight w:val="none"/>
                <w:lang w:val="en-US" w:eastAsia="zh-CN"/>
              </w:rPr>
              <w:t>售后</w:t>
            </w:r>
            <w:r>
              <w:rPr>
                <w:rFonts w:hint="eastAsia"/>
                <w:color w:val="auto"/>
                <w:highlight w:val="none"/>
              </w:rPr>
              <w:t>服务。</w:t>
            </w:r>
          </w:p>
        </w:tc>
      </w:tr>
      <w:tr w14:paraId="6701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continue"/>
            <w:noWrap w:val="0"/>
            <w:vAlign w:val="center"/>
          </w:tcPr>
          <w:p w14:paraId="2BBBB3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p>
        </w:tc>
        <w:tc>
          <w:tcPr>
            <w:tcW w:w="1101" w:type="dxa"/>
            <w:vMerge w:val="continue"/>
            <w:noWrap w:val="0"/>
            <w:vAlign w:val="center"/>
          </w:tcPr>
          <w:p w14:paraId="6AD085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59" w:type="dxa"/>
            <w:noWrap w:val="0"/>
            <w:vAlign w:val="center"/>
          </w:tcPr>
          <w:p w14:paraId="20B344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培训方案分（满分</w:t>
            </w:r>
            <w:r>
              <w:rPr>
                <w:rFonts w:hint="eastAsia" w:ascii="宋体" w:hAnsi="宋体" w:cs="宋体"/>
                <w:color w:val="auto"/>
                <w:sz w:val="21"/>
                <w:szCs w:val="21"/>
                <w:highlight w:val="none"/>
                <w:lang w:val="en-US" w:eastAsia="zh-CN"/>
              </w:rPr>
              <w:t>6分</w:t>
            </w:r>
            <w:r>
              <w:rPr>
                <w:rFonts w:hint="eastAsia" w:ascii="宋体" w:hAnsi="宋体" w:cs="宋体"/>
                <w:color w:val="auto"/>
                <w:sz w:val="21"/>
                <w:szCs w:val="21"/>
                <w:highlight w:val="none"/>
                <w:lang w:eastAsia="zh-CN"/>
              </w:rPr>
              <w:t>）</w:t>
            </w:r>
          </w:p>
        </w:tc>
        <w:tc>
          <w:tcPr>
            <w:tcW w:w="6253" w:type="dxa"/>
            <w:noWrap w:val="0"/>
            <w:vAlign w:val="center"/>
          </w:tcPr>
          <w:p w14:paraId="5939939F">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color w:val="auto"/>
                <w:sz w:val="21"/>
                <w:szCs w:val="21"/>
                <w:highlight w:val="none"/>
              </w:rPr>
              <w:t>由评标委员</w:t>
            </w:r>
            <w:r>
              <w:rPr>
                <w:rFonts w:hint="eastAsia" w:ascii="宋体" w:hAnsi="宋体" w:cs="宋体"/>
                <w:color w:val="auto"/>
                <w:sz w:val="21"/>
                <w:szCs w:val="21"/>
                <w:highlight w:val="none"/>
                <w:lang w:eastAsia="zh-CN"/>
              </w:rPr>
              <w:t>会</w:t>
            </w:r>
            <w:r>
              <w:rPr>
                <w:rFonts w:hint="eastAsia" w:ascii="宋体" w:hAnsi="宋体" w:eastAsia="宋体" w:cs="宋体"/>
                <w:color w:val="auto"/>
                <w:sz w:val="21"/>
                <w:szCs w:val="21"/>
                <w:highlight w:val="none"/>
              </w:rPr>
              <w:t>在相应档次内独立打分，未提供</w:t>
            </w:r>
            <w:r>
              <w:rPr>
                <w:rFonts w:hint="eastAsia" w:ascii="宋体" w:hAnsi="宋体" w:cs="宋体"/>
                <w:color w:val="auto"/>
                <w:sz w:val="21"/>
                <w:szCs w:val="21"/>
                <w:highlight w:val="none"/>
                <w:lang w:eastAsia="zh-CN"/>
              </w:rPr>
              <w:t>培训方案</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培训方案</w:t>
            </w:r>
            <w:r>
              <w:rPr>
                <w:rFonts w:hint="eastAsia" w:ascii="宋体" w:hAnsi="宋体" w:eastAsia="宋体" w:cs="宋体"/>
                <w:color w:val="auto"/>
                <w:sz w:val="21"/>
                <w:szCs w:val="21"/>
                <w:highlight w:val="none"/>
              </w:rPr>
              <w:t>不满足一档评审标准的，得0分</w:t>
            </w:r>
            <w:r>
              <w:rPr>
                <w:rFonts w:hint="eastAsia" w:ascii="宋体" w:hAnsi="宋体" w:eastAsia="宋体" w:cs="宋体"/>
                <w:b w:val="0"/>
                <w:bCs w:val="0"/>
                <w:color w:val="auto"/>
                <w:sz w:val="21"/>
                <w:szCs w:val="21"/>
                <w:highlight w:val="none"/>
              </w:rPr>
              <w:t>：</w:t>
            </w:r>
          </w:p>
          <w:p w14:paraId="28068170">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r>
              <w:rPr>
                <w:rFonts w:hint="eastAsia"/>
                <w:color w:val="auto"/>
                <w:highlight w:val="none"/>
              </w:rPr>
              <w:t>提供有简单的设备操作培训课程安排，有课程及培训内容安排。</w:t>
            </w:r>
          </w:p>
          <w:p w14:paraId="29204613">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二档（</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投标人针对本项目为采购人提供有专人指导的设备操作培训课程安排，有课程及培训内容安排，培训方案满足采购人培训要求。</w:t>
            </w:r>
          </w:p>
          <w:p w14:paraId="787C0E3B">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三档（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投标人针对本项目为采购人提供有专人指导的</w:t>
            </w:r>
            <w:r>
              <w:rPr>
                <w:rFonts w:hint="eastAsia" w:ascii="宋体" w:hAnsi="宋体" w:cs="宋体"/>
                <w:bCs/>
                <w:szCs w:val="21"/>
              </w:rPr>
              <w:t>培训方案</w:t>
            </w:r>
            <w:r>
              <w:rPr>
                <w:rFonts w:hint="eastAsia" w:ascii="宋体" w:hAnsi="宋体" w:cs="宋体"/>
                <w:bCs/>
                <w:szCs w:val="21"/>
                <w:lang w:eastAsia="zh-CN"/>
              </w:rPr>
              <w:t>，方案有</w:t>
            </w:r>
            <w:r>
              <w:rPr>
                <w:rFonts w:hint="eastAsia" w:ascii="宋体" w:hAnsi="宋体" w:cs="宋体"/>
                <w:bCs/>
                <w:szCs w:val="21"/>
              </w:rPr>
              <w:t>详细的计划</w:t>
            </w:r>
            <w:r>
              <w:rPr>
                <w:rFonts w:hint="eastAsia" w:ascii="宋体" w:hAnsi="宋体" w:cs="宋体"/>
                <w:bCs/>
                <w:szCs w:val="21"/>
                <w:lang w:eastAsia="zh-CN"/>
              </w:rPr>
              <w:t>安排、培训内容、培训成果</w:t>
            </w:r>
            <w:r>
              <w:rPr>
                <w:rFonts w:hint="eastAsia" w:ascii="宋体" w:hAnsi="宋体" w:cs="宋体"/>
                <w:bCs/>
                <w:szCs w:val="21"/>
              </w:rPr>
              <w:t>，方案内容至少包含：拟派培训人员的安排及</w:t>
            </w:r>
            <w:r>
              <w:rPr>
                <w:rFonts w:hint="eastAsia" w:ascii="宋体" w:hAnsi="宋体" w:cs="宋体"/>
                <w:bCs/>
                <w:szCs w:val="21"/>
                <w:lang w:eastAsia="zh-CN"/>
              </w:rPr>
              <w:t>资历</w:t>
            </w:r>
            <w:r>
              <w:rPr>
                <w:rFonts w:hint="eastAsia" w:ascii="宋体" w:hAnsi="宋体" w:cs="宋体"/>
                <w:bCs/>
                <w:szCs w:val="21"/>
              </w:rPr>
              <w:t>、培训时间、培训规模人数、设备功能理论、</w:t>
            </w:r>
            <w:r>
              <w:rPr>
                <w:rFonts w:hint="eastAsia" w:ascii="宋体" w:hAnsi="宋体" w:cs="宋体"/>
                <w:bCs/>
                <w:szCs w:val="21"/>
                <w:lang w:eastAsia="zh-CN"/>
              </w:rPr>
              <w:t>设备使用操作、</w:t>
            </w:r>
            <w:r>
              <w:rPr>
                <w:rFonts w:hint="eastAsia" w:ascii="宋体" w:hAnsi="宋体" w:cs="宋体"/>
                <w:bCs/>
                <w:szCs w:val="21"/>
              </w:rPr>
              <w:t>简单故障排除等内容</w:t>
            </w:r>
            <w:r>
              <w:rPr>
                <w:rFonts w:hint="eastAsia"/>
                <w:color w:val="auto"/>
                <w:highlight w:val="none"/>
              </w:rPr>
              <w:t>。</w:t>
            </w:r>
          </w:p>
        </w:tc>
      </w:tr>
      <w:tr w14:paraId="2AA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continue"/>
            <w:noWrap w:val="0"/>
            <w:vAlign w:val="center"/>
          </w:tcPr>
          <w:p w14:paraId="1DD2CCF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101" w:type="dxa"/>
            <w:vMerge w:val="continue"/>
            <w:noWrap w:val="0"/>
            <w:vAlign w:val="center"/>
          </w:tcPr>
          <w:p w14:paraId="2941C8B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259" w:type="dxa"/>
            <w:noWrap w:val="0"/>
            <w:vAlign w:val="center"/>
          </w:tcPr>
          <w:p w14:paraId="6DE78C07">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业绩分（满分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253" w:type="dxa"/>
            <w:noWrap w:val="0"/>
            <w:vAlign w:val="center"/>
          </w:tcPr>
          <w:p w14:paraId="4DE18F33">
            <w:pPr>
              <w:pStyle w:val="11"/>
              <w:keepNext w:val="0"/>
              <w:keepLines w:val="0"/>
              <w:suppressLineNumbers w:val="0"/>
              <w:spacing w:before="0" w:beforeAutospacing="0" w:afterAutospacing="0" w:line="360" w:lineRule="auto"/>
              <w:ind w:left="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eastAsia="zh-CN"/>
              </w:rPr>
              <w:t>或投标产品制造商</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年1月至</w:t>
            </w:r>
            <w:r>
              <w:rPr>
                <w:rFonts w:hint="eastAsia" w:ascii="宋体" w:hAnsi="宋体" w:cs="宋体"/>
                <w:color w:val="auto"/>
                <w:sz w:val="21"/>
                <w:szCs w:val="21"/>
                <w:highlight w:val="none"/>
                <w:lang w:eastAsia="zh-CN"/>
              </w:rPr>
              <w:t>投标截止时间止</w:t>
            </w:r>
            <w:r>
              <w:rPr>
                <w:rFonts w:hint="eastAsia" w:ascii="宋体" w:hAnsi="宋体" w:eastAsia="宋体" w:cs="宋体"/>
                <w:color w:val="auto"/>
                <w:sz w:val="21"/>
                <w:szCs w:val="21"/>
                <w:highlight w:val="none"/>
              </w:rPr>
              <w:t>承接的</w:t>
            </w:r>
            <w:r>
              <w:rPr>
                <w:rFonts w:hint="eastAsia" w:ascii="宋体" w:hAnsi="宋体" w:cs="宋体"/>
                <w:color w:val="auto"/>
                <w:sz w:val="21"/>
                <w:szCs w:val="21"/>
                <w:highlight w:val="none"/>
                <w:lang w:val="en-US" w:eastAsia="zh-CN"/>
              </w:rPr>
              <w:t>类似</w:t>
            </w:r>
            <w:r>
              <w:rPr>
                <w:rFonts w:hint="eastAsia" w:ascii="宋体" w:hAnsi="宋体" w:cs="宋体"/>
                <w:color w:val="auto"/>
                <w:sz w:val="21"/>
                <w:szCs w:val="21"/>
                <w:highlight w:val="none"/>
                <w:lang w:eastAsia="zh-CN"/>
              </w:rPr>
              <w:t>项目销售</w:t>
            </w:r>
            <w:r>
              <w:rPr>
                <w:rFonts w:hint="eastAsia" w:ascii="宋体" w:hAnsi="宋体" w:eastAsia="宋体" w:cs="宋体"/>
                <w:color w:val="auto"/>
                <w:sz w:val="21"/>
                <w:szCs w:val="21"/>
                <w:highlight w:val="none"/>
              </w:rPr>
              <w:t>业绩（</w:t>
            </w:r>
            <w:r>
              <w:rPr>
                <w:rFonts w:hint="eastAsia" w:ascii="宋体" w:hAnsi="宋体" w:cs="宋体"/>
                <w:color w:val="auto"/>
                <w:sz w:val="21"/>
                <w:szCs w:val="21"/>
                <w:highlight w:val="none"/>
                <w:lang w:val="en-US" w:eastAsia="zh-CN"/>
              </w:rPr>
              <w:t>类似</w:t>
            </w:r>
            <w:r>
              <w:rPr>
                <w:rFonts w:hint="eastAsia" w:ascii="宋体" w:hAnsi="宋体" w:cs="宋体"/>
                <w:color w:val="auto"/>
                <w:sz w:val="21"/>
                <w:szCs w:val="21"/>
                <w:highlight w:val="none"/>
                <w:lang w:eastAsia="zh-CN"/>
              </w:rPr>
              <w:t>项目销售</w:t>
            </w:r>
            <w:r>
              <w:rPr>
                <w:rFonts w:hint="eastAsia" w:ascii="宋体" w:hAnsi="宋体" w:eastAsia="宋体" w:cs="宋体"/>
                <w:color w:val="auto"/>
                <w:sz w:val="21"/>
                <w:szCs w:val="21"/>
                <w:highlight w:val="none"/>
              </w:rPr>
              <w:t>业绩是指包含1项</w:t>
            </w:r>
            <w:r>
              <w:rPr>
                <w:rFonts w:hint="eastAsia" w:ascii="宋体" w:hAnsi="宋体" w:eastAsia="宋体" w:cs="宋体"/>
                <w:color w:val="auto"/>
                <w:sz w:val="21"/>
                <w:szCs w:val="21"/>
                <w:highlight w:val="none"/>
                <w:lang w:val="en-US" w:eastAsia="zh-CN"/>
              </w:rPr>
              <w:t>或多项</w:t>
            </w:r>
            <w:r>
              <w:rPr>
                <w:rFonts w:hint="eastAsia" w:ascii="宋体" w:hAnsi="宋体" w:eastAsia="宋体" w:cs="宋体"/>
                <w:color w:val="auto"/>
                <w:sz w:val="21"/>
                <w:szCs w:val="21"/>
                <w:highlight w:val="none"/>
              </w:rPr>
              <w:t>与投标产品相</w:t>
            </w:r>
            <w:r>
              <w:rPr>
                <w:rFonts w:hint="eastAsia" w:ascii="宋体" w:hAnsi="宋体" w:cs="宋体"/>
                <w:color w:val="auto"/>
                <w:sz w:val="21"/>
                <w:szCs w:val="21"/>
                <w:highlight w:val="none"/>
                <w:lang w:eastAsia="zh-CN"/>
              </w:rPr>
              <w:t>同</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项目销售</w:t>
            </w:r>
            <w:r>
              <w:rPr>
                <w:rFonts w:hint="eastAsia" w:ascii="宋体" w:hAnsi="宋体" w:eastAsia="宋体" w:cs="宋体"/>
                <w:color w:val="auto"/>
                <w:sz w:val="21"/>
                <w:szCs w:val="21"/>
                <w:highlight w:val="none"/>
              </w:rPr>
              <w:t>业绩。投标文件中提供有效的合同复印件并加盖投标人公章，合同复印件需要</w:t>
            </w:r>
            <w:r>
              <w:rPr>
                <w:rFonts w:hint="eastAsia" w:ascii="宋体" w:hAnsi="宋体" w:cs="宋体"/>
                <w:color w:val="auto"/>
                <w:sz w:val="21"/>
                <w:szCs w:val="21"/>
                <w:highlight w:val="none"/>
                <w:lang w:eastAsia="zh-CN"/>
              </w:rPr>
              <w:t>清晰</w:t>
            </w:r>
            <w:r>
              <w:rPr>
                <w:rFonts w:hint="eastAsia" w:ascii="宋体" w:hAnsi="宋体" w:eastAsia="宋体" w:cs="宋体"/>
                <w:color w:val="auto"/>
                <w:sz w:val="21"/>
                <w:szCs w:val="21"/>
                <w:highlight w:val="none"/>
              </w:rPr>
              <w:t>体现出合同首页、采购内容和日期、盖章页</w:t>
            </w:r>
            <w:r>
              <w:rPr>
                <w:rFonts w:hint="eastAsia" w:ascii="宋体" w:hAnsi="宋体" w:cs="宋体"/>
                <w:color w:val="auto"/>
                <w:sz w:val="21"/>
                <w:szCs w:val="21"/>
                <w:highlight w:val="none"/>
                <w:lang w:eastAsia="zh-CN"/>
              </w:rPr>
              <w:t>。合同内容不全或不清晰和，不计分。</w:t>
            </w:r>
            <w:r>
              <w:rPr>
                <w:rFonts w:hint="eastAsia" w:ascii="宋体" w:hAnsi="宋体" w:eastAsia="宋体" w:cs="宋体"/>
                <w:color w:val="auto"/>
                <w:sz w:val="21"/>
                <w:szCs w:val="21"/>
                <w:highlight w:val="none"/>
              </w:rPr>
              <w:t>），每份业绩得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同一项目分多个合同签订的，只计分一次。</w:t>
            </w:r>
          </w:p>
        </w:tc>
      </w:tr>
      <w:tr w14:paraId="29E8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noWrap w:val="0"/>
            <w:vAlign w:val="center"/>
          </w:tcPr>
          <w:p w14:paraId="65ECC4F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01" w:type="dxa"/>
            <w:noWrap w:val="0"/>
            <w:vAlign w:val="center"/>
          </w:tcPr>
          <w:p w14:paraId="155D5D2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政策分（满分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1259" w:type="dxa"/>
            <w:noWrap w:val="0"/>
            <w:vAlign w:val="center"/>
          </w:tcPr>
          <w:p w14:paraId="5FAC3C49">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节能环保</w:t>
            </w:r>
            <w:r>
              <w:rPr>
                <w:rFonts w:hint="eastAsia" w:ascii="宋体" w:hAnsi="宋体" w:eastAsia="宋体" w:cs="宋体"/>
                <w:color w:val="auto"/>
                <w:sz w:val="21"/>
                <w:szCs w:val="21"/>
                <w:highlight w:val="none"/>
                <w:lang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253" w:type="dxa"/>
            <w:noWrap w:val="0"/>
            <w:vAlign w:val="center"/>
          </w:tcPr>
          <w:p w14:paraId="2B699C11">
            <w:pPr>
              <w:pStyle w:val="11"/>
              <w:keepNext w:val="0"/>
              <w:keepLines w:val="0"/>
              <w:suppressLineNumbers w:val="0"/>
              <w:spacing w:before="0" w:beforeAutospacing="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产品属于财政部《节能产品政府采购品目清单》内优先采购（清单内未标注“★”的品目）的产品[投标文件中提供有效的认证证书复印件及品目清单（标注出投标产品在品目清单中所属的品目）]的得0.5分，满分</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p>
          <w:p w14:paraId="06B3F8E4">
            <w:pPr>
              <w:pStyle w:val="11"/>
              <w:keepNext w:val="0"/>
              <w:keepLines w:val="0"/>
              <w:suppressLineNumbers w:val="0"/>
              <w:spacing w:before="0" w:beforeAutospacing="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（2）投标产品属于财政部《环境标志产品政府采购品目清单》内的产品[投标文件中提供有效的认证证书复印件及品目清单（标注出投标产品在品目清单中所属的品目）]的得0.5分，满分</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p>
        </w:tc>
      </w:tr>
      <w:bookmarkEnd w:id="233"/>
      <w:bookmarkEnd w:id="234"/>
    </w:tbl>
    <w:p w14:paraId="103E39FF">
      <w:pPr>
        <w:rPr>
          <w:color w:val="auto"/>
          <w:highlight w:val="none"/>
        </w:rPr>
      </w:pPr>
      <w:bookmarkStart w:id="235" w:name="_Toc28332"/>
      <w:bookmarkStart w:id="236" w:name="_Toc30734"/>
      <w:bookmarkStart w:id="237" w:name="_Toc1251"/>
      <w:bookmarkStart w:id="238" w:name="_Toc5054"/>
    </w:p>
    <w:p w14:paraId="0AC131A1">
      <w:pPr>
        <w:pStyle w:val="14"/>
        <w:spacing w:line="360" w:lineRule="auto"/>
        <w:ind w:firstLine="315"/>
        <w:rPr>
          <w:rFonts w:hAnsi="宋体"/>
          <w:bCs/>
          <w:color w:val="auto"/>
          <w:highlight w:val="none"/>
        </w:rPr>
      </w:pPr>
      <w:r>
        <w:rPr>
          <w:rFonts w:hint="eastAsia" w:hAnsi="宋体"/>
          <w:bCs/>
          <w:color w:val="auto"/>
          <w:highlight w:val="none"/>
        </w:rPr>
        <w:t>注：1.计分方法按四舍五入取至百分位；</w:t>
      </w:r>
    </w:p>
    <w:p w14:paraId="16B5A1C6">
      <w:pPr>
        <w:rPr>
          <w:rFonts w:hAnsi="宋体" w:cs="宋体"/>
          <w:b/>
          <w:color w:val="auto"/>
          <w:sz w:val="30"/>
          <w:szCs w:val="30"/>
          <w:highlight w:val="none"/>
        </w:rPr>
      </w:pPr>
      <w:r>
        <w:rPr>
          <w:rFonts w:hint="eastAsia" w:hAnsi="宋体"/>
          <w:bCs/>
          <w:color w:val="auto"/>
          <w:highlight w:val="none"/>
        </w:rPr>
        <w:t xml:space="preserve">       </w:t>
      </w:r>
      <w:r>
        <w:rPr>
          <w:rFonts w:hint="eastAsia" w:asciiTheme="minorEastAsia" w:hAnsiTheme="minorEastAsia" w:eastAsiaTheme="minorEastAsia" w:cstheme="minorEastAsia"/>
          <w:bCs/>
          <w:color w:val="auto"/>
          <w:highlight w:val="none"/>
        </w:rPr>
        <w:t>2.因落实政府采购政策</w:t>
      </w:r>
      <w:r>
        <w:rPr>
          <w:rFonts w:hint="eastAsia" w:hAnsi="宋体"/>
          <w:bCs/>
          <w:color w:val="auto"/>
          <w:highlight w:val="none"/>
        </w:rPr>
        <w:t>进行价格调整的，以调整后的价格计算评标基准价。</w:t>
      </w:r>
    </w:p>
    <w:p w14:paraId="703BBF34">
      <w:pPr>
        <w:rPr>
          <w:rFonts w:hint="eastAsia" w:ascii="Times New Roman" w:hAnsi="Times New Roman" w:eastAsia="宋体" w:cs="Times New Roman"/>
          <w:color w:val="auto"/>
          <w:highlight w:val="none"/>
          <w:lang w:val="en-US" w:eastAsia="zh-CN"/>
        </w:rPr>
      </w:pPr>
    </w:p>
    <w:p w14:paraId="3E3211FB">
      <w:pPr>
        <w:pStyle w:val="3"/>
        <w:ind w:firstLine="45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235"/>
      <w:bookmarkEnd w:id="236"/>
      <w:bookmarkEnd w:id="237"/>
      <w:bookmarkEnd w:id="238"/>
    </w:p>
    <w:p w14:paraId="5C4FAE59">
      <w:pPr>
        <w:spacing w:line="360" w:lineRule="auto"/>
        <w:ind w:firstLine="420" w:firstLineChars="200"/>
        <w:rPr>
          <w:color w:val="auto"/>
          <w:highlight w:val="none"/>
        </w:rPr>
      </w:pPr>
      <w:r>
        <w:rPr>
          <w:rFonts w:hint="eastAsia" w:hAnsi="宋体" w:cs="宋体"/>
          <w:color w:val="auto"/>
          <w:highlight w:val="none"/>
          <w:lang w:val="en-US" w:eastAsia="zh-CN"/>
        </w:rPr>
        <w:t>1</w:t>
      </w:r>
      <w:r>
        <w:rPr>
          <w:rFonts w:hint="eastAsia" w:hAnsi="宋体" w:cs="宋体"/>
          <w:color w:val="auto"/>
          <w:highlight w:val="none"/>
        </w:rPr>
        <w:t>.</w:t>
      </w:r>
      <w:r>
        <w:rPr>
          <w:rFonts w:hint="eastAsia" w:ascii="宋体" w:hAnsi="宋体"/>
          <w:color w:val="auto"/>
          <w:szCs w:val="20"/>
          <w:highlight w:val="none"/>
        </w:rPr>
        <w:t>评标委员会将根据总得分由高到低排列次序并推荐中标候选人。总得分相同时，依次按投标报价低优先、技术分</w:t>
      </w:r>
      <w:r>
        <w:rPr>
          <w:rFonts w:hint="eastAsia"/>
          <w:color w:val="auto"/>
          <w:highlight w:val="none"/>
        </w:rPr>
        <w:t>得分</w:t>
      </w:r>
      <w:r>
        <w:rPr>
          <w:rFonts w:hint="eastAsia" w:ascii="宋体" w:hAnsi="宋体"/>
          <w:color w:val="auto"/>
          <w:szCs w:val="20"/>
          <w:highlight w:val="none"/>
        </w:rPr>
        <w:t>高优先、商务分</w:t>
      </w:r>
      <w:r>
        <w:rPr>
          <w:rFonts w:hint="eastAsia"/>
          <w:color w:val="auto"/>
          <w:highlight w:val="none"/>
        </w:rPr>
        <w:t>得分</w:t>
      </w:r>
      <w:r>
        <w:rPr>
          <w:rFonts w:hint="eastAsia" w:ascii="宋体" w:hAnsi="宋体"/>
          <w:color w:val="auto"/>
          <w:szCs w:val="20"/>
          <w:highlight w:val="none"/>
        </w:rPr>
        <w:t>高优先的顺序排列。投标文件满足招标文件全部实质性要求，且按照评审因素的量化指标评审得分最高的投标人为排名第一的中标候选人。</w:t>
      </w:r>
    </w:p>
    <w:p w14:paraId="511BFDA3">
      <w:pPr>
        <w:pStyle w:val="14"/>
        <w:spacing w:line="360" w:lineRule="auto"/>
        <w:ind w:firstLine="420" w:firstLineChars="200"/>
        <w:rPr>
          <w:rFonts w:hint="eastAsia" w:hAnsi="宋体" w:cs="宋体"/>
          <w:color w:val="auto"/>
          <w:highlight w:val="none"/>
        </w:rPr>
      </w:pPr>
      <w:bookmarkStart w:id="239" w:name="OLE_LINK81"/>
      <w:r>
        <w:rPr>
          <w:rFonts w:hint="eastAsia" w:hAnsi="宋体" w:cs="宋体"/>
          <w:color w:val="auto"/>
          <w:highlight w:val="none"/>
        </w:rPr>
        <w:t>2.</w:t>
      </w:r>
      <w:bookmarkEnd w:id="239"/>
      <w:r>
        <w:rPr>
          <w:rFonts w:hint="eastAsia" w:hAnsi="宋体" w:cs="宋体"/>
          <w:color w:val="auto"/>
          <w:highlight w:val="none"/>
        </w:rPr>
        <w:t>根据《政府采购货物和服务招标投标管理办法》（财政部令第87号）第三十一条第二款规定，采用综合评分法的采购项目，</w:t>
      </w:r>
      <w:r>
        <w:rPr>
          <w:rFonts w:hint="eastAsia" w:hAnsi="宋体" w:cs="宋体"/>
          <w:color w:val="auto"/>
          <w:highlight w:val="none"/>
          <w:lang w:eastAsia="zh-CN"/>
        </w:rPr>
        <w:t>核心产品</w:t>
      </w:r>
      <w:r>
        <w:rPr>
          <w:rFonts w:hint="eastAsia" w:hAnsi="宋体" w:cs="宋体"/>
          <w:color w:val="auto"/>
          <w:highlight w:val="none"/>
        </w:rPr>
        <w:t>提供相同品牌产品且通过资格审查、符合性审查的不同投标人参加同一合同项下投标的，按一家投标人计算，评审后得分最高的同品牌投标人获得中标人推荐资格；评审得分相同的，按照“投标人须知前附表”</w:t>
      </w:r>
      <w:r>
        <w:rPr>
          <w:rFonts w:hint="eastAsia" w:hAnsi="宋体" w:cs="宋体"/>
          <w:color w:val="auto"/>
          <w:highlight w:val="none"/>
          <w:lang w:val="en-US" w:eastAsia="zh-CN"/>
        </w:rPr>
        <w:t>8.4条款的</w:t>
      </w:r>
      <w:r>
        <w:rPr>
          <w:rFonts w:hint="eastAsia" w:hAnsi="宋体" w:cs="宋体"/>
          <w:color w:val="auto"/>
          <w:highlight w:val="none"/>
        </w:rPr>
        <w:t>规定推荐</w:t>
      </w:r>
      <w:r>
        <w:rPr>
          <w:rFonts w:hint="eastAsia" w:hAnsi="宋体" w:cs="宋体"/>
          <w:color w:val="auto"/>
          <w:highlight w:val="none"/>
          <w:lang w:eastAsia="zh-CN"/>
        </w:rPr>
        <w:t>，</w:t>
      </w:r>
      <w:r>
        <w:rPr>
          <w:rFonts w:hint="eastAsia" w:hAnsi="宋体" w:cs="宋体"/>
          <w:color w:val="auto"/>
          <w:highlight w:val="none"/>
        </w:rPr>
        <w:t>确定后其他同品牌投标人不作为中标候选人。</w:t>
      </w:r>
    </w:p>
    <w:p w14:paraId="547F6730">
      <w:pPr>
        <w:pStyle w:val="14"/>
        <w:tabs>
          <w:tab w:val="left" w:pos="2472"/>
        </w:tabs>
        <w:spacing w:line="480" w:lineRule="exact"/>
        <w:ind w:firstLine="420" w:firstLineChars="200"/>
        <w:rPr>
          <w:rFonts w:hAnsi="宋体" w:cs="宋体"/>
          <w:color w:val="auto"/>
          <w:highlight w:val="none"/>
        </w:rPr>
      </w:pPr>
    </w:p>
    <w:p w14:paraId="4F6BC3E7">
      <w:pPr>
        <w:pStyle w:val="3"/>
        <w:spacing w:line="360" w:lineRule="auto"/>
        <w:ind w:firstLine="600" w:firstLineChars="200"/>
        <w:jc w:val="center"/>
        <w:rPr>
          <w:rFonts w:ascii="宋体" w:hAnsi="宋体" w:eastAsia="宋体" w:cs="宋体"/>
          <w:b w:val="0"/>
          <w:color w:val="auto"/>
          <w:sz w:val="30"/>
          <w:szCs w:val="30"/>
          <w:highlight w:val="none"/>
        </w:rPr>
      </w:pPr>
      <w:bookmarkStart w:id="240" w:name="_Toc671"/>
      <w:bookmarkStart w:id="241" w:name="_Toc8014"/>
      <w:bookmarkStart w:id="242" w:name="_Toc21738"/>
      <w:bookmarkStart w:id="243" w:name="_Toc29998"/>
      <w:r>
        <w:rPr>
          <w:rFonts w:hint="eastAsia" w:ascii="宋体" w:hAnsi="宋体" w:eastAsia="宋体" w:cs="宋体"/>
          <w:b w:val="0"/>
          <w:color w:val="auto"/>
          <w:sz w:val="30"/>
          <w:szCs w:val="30"/>
          <w:highlight w:val="none"/>
        </w:rPr>
        <w:t>第五节 评标报告</w:t>
      </w:r>
      <w:bookmarkEnd w:id="240"/>
      <w:bookmarkEnd w:id="241"/>
      <w:bookmarkEnd w:id="242"/>
      <w:bookmarkEnd w:id="243"/>
    </w:p>
    <w:p w14:paraId="3B777543">
      <w:pPr>
        <w:pStyle w:val="71"/>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3C34A4AE">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36584BFD">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39CFE1E0">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BB4CEF4">
      <w:pPr>
        <w:pStyle w:val="14"/>
        <w:tabs>
          <w:tab w:val="left" w:pos="2472"/>
        </w:tabs>
        <w:spacing w:line="460" w:lineRule="exact"/>
        <w:ind w:firstLine="542"/>
        <w:jc w:val="center"/>
        <w:rPr>
          <w:rFonts w:hAnsi="宋体" w:cs="宋体"/>
          <w:b/>
          <w:color w:val="auto"/>
          <w:sz w:val="36"/>
          <w:highlight w:val="none"/>
        </w:rPr>
      </w:pPr>
      <w:r>
        <w:rPr>
          <w:rFonts w:hint="eastAsia" w:hAnsi="宋体" w:cs="宋体"/>
          <w:b/>
          <w:color w:val="auto"/>
          <w:sz w:val="36"/>
          <w:highlight w:val="none"/>
        </w:rPr>
        <w:br w:type="page"/>
      </w:r>
    </w:p>
    <w:p w14:paraId="4838746C">
      <w:pPr>
        <w:pStyle w:val="2"/>
        <w:bidi w:val="0"/>
        <w:jc w:val="center"/>
        <w:rPr>
          <w:sz w:val="36"/>
          <w:szCs w:val="36"/>
        </w:rPr>
      </w:pPr>
      <w:bookmarkStart w:id="244" w:name="_Toc18142"/>
      <w:bookmarkStart w:id="245" w:name="_Toc1169"/>
      <w:bookmarkStart w:id="246" w:name="_Toc17443"/>
      <w:bookmarkStart w:id="247" w:name="_Toc5426"/>
      <w:bookmarkStart w:id="248" w:name="_Toc30669"/>
      <w:r>
        <w:rPr>
          <w:rFonts w:hint="eastAsia"/>
          <w:sz w:val="36"/>
          <w:szCs w:val="36"/>
        </w:rPr>
        <w:t>第五章 拟签订的合同文本</w:t>
      </w:r>
      <w:bookmarkEnd w:id="244"/>
      <w:bookmarkEnd w:id="245"/>
      <w:bookmarkEnd w:id="246"/>
      <w:bookmarkEnd w:id="247"/>
      <w:bookmarkEnd w:id="248"/>
    </w:p>
    <w:p w14:paraId="7450E203">
      <w:pPr>
        <w:snapToGrid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p>
    <w:p w14:paraId="2C1C23EE">
      <w:pPr>
        <w:snapToGrid w:val="0"/>
        <w:spacing w:line="360" w:lineRule="auto"/>
        <w:ind w:right="480" w:firstLine="5670" w:firstLineChars="2700"/>
        <w:rPr>
          <w:rFonts w:hint="eastAsia" w:ascii="宋体" w:hAnsi="宋体" w:eastAsia="宋体" w:cs="宋体"/>
          <w:bCs/>
          <w:color w:val="auto"/>
          <w:szCs w:val="21"/>
          <w:highlight w:val="none"/>
        </w:rPr>
      </w:pPr>
    </w:p>
    <w:p w14:paraId="4E4F5872">
      <w:pPr>
        <w:snapToGrid w:val="0"/>
        <w:spacing w:line="360" w:lineRule="auto"/>
        <w:ind w:right="480" w:firstLine="5670" w:firstLineChars="27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D059E8D">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p>
    <w:p w14:paraId="78B37C0F">
      <w:pPr>
        <w:snapToGrid w:val="0"/>
        <w:spacing w:line="4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441632FD">
      <w:pPr>
        <w:pStyle w:val="17"/>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项目名称：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123DC01A">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项目</w:t>
      </w:r>
      <w:r>
        <w:rPr>
          <w:rFonts w:hint="eastAsia" w:ascii="宋体" w:hAnsi="宋体" w:eastAsia="宋体" w:cs="宋体"/>
          <w:color w:val="auto"/>
          <w:spacing w:val="-20"/>
          <w:szCs w:val="21"/>
          <w:highlight w:val="none"/>
        </w:rPr>
        <w:t>编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EA8EA37">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160F2D8">
      <w:pPr>
        <w:snapToGrid w:val="0"/>
        <w:spacing w:line="360" w:lineRule="auto"/>
        <w:ind w:firstLine="420" w:firstLineChars="200"/>
        <w:rPr>
          <w:rFonts w:hint="eastAsia" w:ascii="宋体" w:hAnsi="宋体" w:eastAsia="宋体" w:cs="宋体"/>
          <w:color w:val="auto"/>
          <w:szCs w:val="21"/>
          <w:highlight w:val="none"/>
        </w:rPr>
      </w:pPr>
    </w:p>
    <w:p w14:paraId="3AA49D0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根据《中华人民共和国政府采购法》、《中华人民共和国民法典》等法律、法规规定，按照招标文件（采购文件）规定条款和投标文件及承诺，甲乙双方签订本合同。</w:t>
      </w:r>
    </w:p>
    <w:p w14:paraId="5D70D086">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第一条　合同标的</w:t>
      </w:r>
    </w:p>
    <w:p w14:paraId="2E89BF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供货一览表</w:t>
      </w:r>
    </w:p>
    <w:tbl>
      <w:tblPr>
        <w:tblStyle w:val="28"/>
        <w:tblpPr w:leftFromText="180" w:rightFromText="180" w:vertAnchor="text" w:horzAnchor="page" w:tblpX="1482"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68"/>
        <w:gridCol w:w="1572"/>
        <w:gridCol w:w="983"/>
        <w:gridCol w:w="1336"/>
        <w:gridCol w:w="602"/>
        <w:gridCol w:w="536"/>
        <w:gridCol w:w="1100"/>
        <w:gridCol w:w="1048"/>
      </w:tblGrid>
      <w:tr w14:paraId="7607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70" w:type="dxa"/>
            <w:noWrap w:val="0"/>
            <w:vAlign w:val="center"/>
          </w:tcPr>
          <w:p w14:paraId="47440C0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8" w:type="dxa"/>
            <w:noWrap w:val="0"/>
            <w:vAlign w:val="center"/>
          </w:tcPr>
          <w:p w14:paraId="5CF991B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572" w:type="dxa"/>
            <w:noWrap w:val="0"/>
            <w:vAlign w:val="center"/>
          </w:tcPr>
          <w:p w14:paraId="5D90E76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983" w:type="dxa"/>
            <w:noWrap w:val="0"/>
            <w:vAlign w:val="center"/>
          </w:tcPr>
          <w:p w14:paraId="229CCB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336" w:type="dxa"/>
            <w:noWrap w:val="0"/>
            <w:vAlign w:val="center"/>
          </w:tcPr>
          <w:p w14:paraId="0AC5A98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生产厂家</w:t>
            </w:r>
          </w:p>
        </w:tc>
        <w:tc>
          <w:tcPr>
            <w:tcW w:w="602" w:type="dxa"/>
            <w:noWrap w:val="0"/>
            <w:vAlign w:val="center"/>
          </w:tcPr>
          <w:p w14:paraId="1F96955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36" w:type="dxa"/>
            <w:noWrap w:val="0"/>
            <w:vAlign w:val="center"/>
          </w:tcPr>
          <w:p w14:paraId="63EF5A4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00" w:type="dxa"/>
            <w:noWrap w:val="0"/>
            <w:vAlign w:val="center"/>
          </w:tcPr>
          <w:p w14:paraId="618747E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价</w:t>
            </w:r>
          </w:p>
          <w:p w14:paraId="69CFE62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048" w:type="dxa"/>
            <w:noWrap w:val="0"/>
            <w:vAlign w:val="center"/>
          </w:tcPr>
          <w:p w14:paraId="0A5DD0B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合价</w:t>
            </w:r>
          </w:p>
          <w:p w14:paraId="677B8A2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625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6298460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8" w:type="dxa"/>
            <w:noWrap w:val="0"/>
            <w:vAlign w:val="center"/>
          </w:tcPr>
          <w:p w14:paraId="3B0EE6C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303B296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28B4EF5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37D3B5F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1A37B0A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2F1E96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1BC316C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5BABBC5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562F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7F3F9D1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8" w:type="dxa"/>
            <w:noWrap w:val="0"/>
            <w:vAlign w:val="center"/>
          </w:tcPr>
          <w:p w14:paraId="1E0AD5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425DE74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1BE6970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62D4EE4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3A9C57B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7312AEC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BBDDD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40325E0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45E0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1BA5AB0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68" w:type="dxa"/>
            <w:noWrap w:val="0"/>
            <w:vAlign w:val="center"/>
          </w:tcPr>
          <w:p w14:paraId="3D29D83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12FFD6B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38A2392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24F407E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0D31EAC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49B99D3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E84C47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76390F0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3CBF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08BBAA8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268" w:type="dxa"/>
            <w:noWrap w:val="0"/>
            <w:vAlign w:val="center"/>
          </w:tcPr>
          <w:p w14:paraId="0D60A4C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0A17156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6D0C285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7ADDBE9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3564A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29FFBF6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100847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500022C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629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115" w:type="dxa"/>
            <w:gridSpan w:val="9"/>
            <w:noWrap w:val="0"/>
            <w:vAlign w:val="center"/>
          </w:tcPr>
          <w:p w14:paraId="377D03F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合同金额（人民币，大写）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094FC3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标的的</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技术要求、商务要求具体见</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附件。</w:t>
      </w:r>
    </w:p>
    <w:p w14:paraId="488EAB5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合同金额</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rPr>
        <w:t>指根据本合同规定乙方在全面履行合同义务后甲方应支付给乙方的</w:t>
      </w:r>
      <w:r>
        <w:rPr>
          <w:rFonts w:hint="eastAsia" w:ascii="宋体" w:hAnsi="宋体" w:eastAsia="宋体" w:cs="宋体"/>
          <w:color w:val="auto"/>
          <w:sz w:val="21"/>
          <w:szCs w:val="21"/>
          <w:highlight w:val="none"/>
          <w:lang w:eastAsia="zh-CN"/>
        </w:rPr>
        <w:t>金额，包括</w:t>
      </w:r>
      <w:r>
        <w:rPr>
          <w:rFonts w:hint="eastAsia" w:ascii="宋体" w:hAnsi="宋体" w:eastAsia="宋体" w:cs="宋体"/>
          <w:color w:val="auto"/>
          <w:sz w:val="21"/>
          <w:szCs w:val="21"/>
          <w:highlight w:val="none"/>
          <w:lang w:val="en-US" w:eastAsia="zh-CN"/>
        </w:rPr>
        <w:t>货物采购、运输、安装调试、保险、培训、售后服务、备品备件、必要检测、利润、税金以及所有的不确定因素的风险等。</w:t>
      </w:r>
    </w:p>
    <w:p w14:paraId="23EC766C">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第二条　质量</w:t>
      </w:r>
      <w:r>
        <w:rPr>
          <w:rFonts w:hint="eastAsia" w:ascii="宋体" w:hAnsi="宋体" w:eastAsia="宋体" w:cs="宋体"/>
          <w:bCs/>
          <w:color w:val="auto"/>
          <w:sz w:val="21"/>
          <w:szCs w:val="21"/>
          <w:highlight w:val="none"/>
          <w:lang w:eastAsia="zh-CN"/>
        </w:rPr>
        <w:t>标准</w:t>
      </w:r>
    </w:p>
    <w:p w14:paraId="5B40C0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2C5993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乙方提供的节能和环保产品必须是列入政府采购品目清单的产品。</w:t>
      </w:r>
    </w:p>
    <w:p w14:paraId="04E040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乙方所提供的货物必须是全新、未使用的原装产品，且在正常安装、使用和保养条件下，其使用寿命期内各项指标均达到招标文件规定或者投标文件及承诺的质量要求。</w:t>
      </w:r>
    </w:p>
    <w:p w14:paraId="24322B8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第三条　权利保证</w:t>
      </w:r>
    </w:p>
    <w:p w14:paraId="5D94866A">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乙方应保证提供的货物完全符合合同规定的</w:t>
      </w:r>
      <w:r>
        <w:rPr>
          <w:rFonts w:hint="eastAsia" w:cs="宋体"/>
          <w:color w:val="auto"/>
          <w:sz w:val="21"/>
          <w:szCs w:val="21"/>
          <w:highlight w:val="none"/>
          <w:lang w:val="en-US" w:eastAsia="zh-CN"/>
        </w:rPr>
        <w:t>品牌、</w:t>
      </w:r>
      <w:r>
        <w:rPr>
          <w:rFonts w:hint="eastAsia" w:ascii="宋体" w:hAnsi="宋体" w:eastAsia="宋体" w:cs="宋体"/>
          <w:color w:val="auto"/>
          <w:sz w:val="21"/>
          <w:szCs w:val="21"/>
          <w:highlight w:val="none"/>
        </w:rPr>
        <w:t>质量、规格和性能要求。乙方应保证货物在正确安装、正常使用和保养条件下，在其使用寿命期内具备合同约定的性能。存在质量保证期的，货物最终交付验收合格后在质量保证期内，本保证保持有效。</w:t>
      </w:r>
    </w:p>
    <w:p w14:paraId="06971F42">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质量保证期内所发现的缺陷，甲方应尽快以书面形式通知乙方。乙方收到通知后，应在规定的响应时间内以合理的速度免费维修或更换有缺陷的货物或部件。乙方预期处理或不予处理的，甲方有权委托第三方处理，相关费用由乙方承担。</w:t>
      </w:r>
    </w:p>
    <w:p w14:paraId="3A3FAB9F">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在质量保证期内，如果货物的质量或规格与合同不符，或证实货物是有缺陷的，包括潜在的缺陷或使用不符合要求的材料等，甲方可以根据本合同第</w:t>
      </w:r>
      <w:r>
        <w:rPr>
          <w:rFonts w:hint="eastAsia" w:ascii="宋体" w:hAnsi="宋体" w:eastAsia="宋体" w:cs="宋体"/>
          <w:color w:val="auto"/>
          <w:sz w:val="21"/>
          <w:szCs w:val="21"/>
          <w:highlight w:val="none"/>
          <w:lang w:eastAsia="zh-CN"/>
        </w:rPr>
        <w:t>十二</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rPr>
        <w:t>规定以书面形式追究乙方的违约责任。</w:t>
      </w:r>
    </w:p>
    <w:p w14:paraId="475E4B26">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乙方在约定的时间内未能弥补缺陷，甲方可采取必要的补救措施，但其风险和费用将由乙方承担，甲方根据合同约定对乙方行使的其他权利不受影响。</w:t>
      </w:r>
    </w:p>
    <w:p w14:paraId="73819902">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乙方应保证所提供货物在使用时不会侵犯任何第三方的专利权、商标权、工业设计权或者其他权利。如乙方违反上述规定，则乙方应负责消除甲方拥有并使用乙方交付的货物、软件、技术资料等所存在的全部法律</w:t>
      </w:r>
      <w:r>
        <w:rPr>
          <w:rFonts w:hint="eastAsia" w:cs="宋体"/>
          <w:color w:val="auto"/>
          <w:sz w:val="21"/>
          <w:szCs w:val="21"/>
          <w:highlight w:val="none"/>
          <w:lang w:eastAsia="zh-CN"/>
        </w:rPr>
        <w:t>责任</w:t>
      </w:r>
      <w:r>
        <w:rPr>
          <w:rFonts w:hint="eastAsia" w:ascii="宋体" w:hAnsi="宋体" w:eastAsia="宋体" w:cs="宋体"/>
          <w:color w:val="auto"/>
          <w:sz w:val="21"/>
          <w:szCs w:val="21"/>
          <w:highlight w:val="none"/>
        </w:rPr>
        <w:t>，并赔偿甲方的损失。如甲方因使用乙方交付的货物构成侵权的，则由乙方承担全部责任。</w:t>
      </w:r>
    </w:p>
    <w:p w14:paraId="6B9C66E9">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乙方保证将要交付的货物的所有权完全属于乙方且无任何抵押、质押、查封等产权瑕疵。</w:t>
      </w:r>
    </w:p>
    <w:p w14:paraId="7294BF93">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7.乙方应按随货物送货的同时向甲方提供使用货物的有关技术资料。</w:t>
      </w:r>
    </w:p>
    <w:p w14:paraId="7FC8A308">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B04EFCC">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包装和运输</w:t>
      </w:r>
    </w:p>
    <w:p w14:paraId="1129A75C">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10B56C3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，乙方应采用保证货物安全的运输方式进行运输，运费、装卸费等由乙方承担，由于包装或运输不当所造成的损坏或损失均由乙方承担。</w:t>
      </w:r>
    </w:p>
    <w:p w14:paraId="79B16D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3.货物的包装应适于长途运输和反复装卸，并且乙方应根据货物不同的特性和要求采取防潮、防雨、防锈、防震、防腐等保护措施，以保证货物安全无损地到达甲方指定地点。</w:t>
      </w:r>
    </w:p>
    <w:p w14:paraId="7C9646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4.乙方在货物发运手续办理完毕后24小时内或者货到甲方48小时前通知甲方，以准备接货。</w:t>
      </w:r>
    </w:p>
    <w:p w14:paraId="37B14C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5.货物应在规定的交付期限内由乙方送达甲方指定的地点，乙方同时需通知甲方货物已送达。</w:t>
      </w:r>
    </w:p>
    <w:p w14:paraId="4B2E28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交付</w:t>
      </w:r>
      <w:r>
        <w:rPr>
          <w:rFonts w:hint="eastAsia" w:ascii="宋体" w:hAnsi="宋体" w:eastAsia="宋体" w:cs="宋体"/>
          <w:color w:val="auto"/>
          <w:sz w:val="21"/>
          <w:szCs w:val="21"/>
          <w:highlight w:val="none"/>
          <w:lang w:eastAsia="zh-CN"/>
        </w:rPr>
        <w:t>的时间、地点和要求</w:t>
      </w:r>
    </w:p>
    <w:p w14:paraId="62A1F8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（以乙方投标文件承诺的时间为准）</w:t>
      </w:r>
      <w:r>
        <w:rPr>
          <w:rFonts w:hint="eastAsia" w:ascii="宋体" w:hAnsi="宋体" w:eastAsia="宋体" w:cs="宋体"/>
          <w:color w:val="auto"/>
          <w:sz w:val="21"/>
          <w:szCs w:val="21"/>
          <w:highlight w:val="none"/>
        </w:rPr>
        <w:t>。</w:t>
      </w:r>
    </w:p>
    <w:p w14:paraId="3FCC32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交付地点：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E2795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乙方在交付货物的同时需向甲方提供有关货物的附随资料，包括但不限于：</w:t>
      </w:r>
      <w:r>
        <w:rPr>
          <w:rFonts w:hint="eastAsia" w:ascii="宋体" w:hAnsi="宋体" w:eastAsia="宋体" w:cs="宋体"/>
          <w:color w:val="auto"/>
          <w:sz w:val="21"/>
          <w:szCs w:val="21"/>
          <w:highlight w:val="none"/>
        </w:rPr>
        <w:t>货物目录、装箱清单、用户手册、质量合格证书、质保证书、</w:t>
      </w:r>
      <w:r>
        <w:rPr>
          <w:rFonts w:hint="eastAsia" w:ascii="宋体" w:hAnsi="宋体" w:eastAsia="宋体" w:cs="宋体"/>
          <w:color w:val="auto"/>
          <w:kern w:val="0"/>
          <w:sz w:val="21"/>
          <w:szCs w:val="21"/>
          <w:highlight w:val="none"/>
        </w:rPr>
        <w:t>安装图纸、使用说明书、技术资料、</w:t>
      </w:r>
      <w:r>
        <w:rPr>
          <w:rFonts w:hint="eastAsia" w:ascii="宋体" w:hAnsi="宋体" w:eastAsia="宋体" w:cs="宋体"/>
          <w:color w:val="auto"/>
          <w:sz w:val="21"/>
          <w:szCs w:val="21"/>
          <w:highlight w:val="none"/>
        </w:rPr>
        <w:t>原厂保修卡、工具和备品、备件</w:t>
      </w:r>
      <w:r>
        <w:rPr>
          <w:rFonts w:hint="eastAsia" w:ascii="宋体" w:hAnsi="宋体" w:cs="宋体"/>
          <w:color w:val="auto"/>
          <w:sz w:val="21"/>
          <w:szCs w:val="21"/>
          <w:highlight w:val="none"/>
          <w:lang w:eastAsia="zh-CN"/>
        </w:rPr>
        <w:t>、保险单</w:t>
      </w:r>
      <w:r>
        <w:rPr>
          <w:rFonts w:hint="eastAsia" w:ascii="宋体" w:hAnsi="宋体" w:eastAsia="宋体" w:cs="宋体"/>
          <w:color w:val="auto"/>
          <w:sz w:val="21"/>
          <w:szCs w:val="21"/>
          <w:highlight w:val="none"/>
        </w:rPr>
        <w:t>等，货物属于进口产品的，供货时应同时附上货物原装进口的有关凭证和中文使用说明书，如有缺失应在合理的规定时间内补齐，否则视为逾期交货。</w:t>
      </w:r>
    </w:p>
    <w:p w14:paraId="634C4F16">
      <w:pPr>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第六条</w:t>
      </w:r>
      <w:r>
        <w:rPr>
          <w:rFonts w:hint="eastAsia" w:ascii="宋体" w:hAnsi="宋体" w:eastAsia="宋体" w:cs="宋体"/>
          <w:color w:val="auto"/>
          <w:sz w:val="21"/>
          <w:szCs w:val="21"/>
          <w:highlight w:val="none"/>
          <w:lang w:val="en-US" w:eastAsia="zh-CN"/>
        </w:rPr>
        <w:t xml:space="preserve">  验收</w:t>
      </w:r>
    </w:p>
    <w:p w14:paraId="1D6EA57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开箱验收：</w:t>
      </w:r>
    </w:p>
    <w:p w14:paraId="7981F7C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乙方代表双方当场</w:t>
      </w:r>
      <w:r>
        <w:rPr>
          <w:rFonts w:hint="eastAsia" w:ascii="宋体" w:hAnsi="宋体" w:eastAsia="宋体" w:cs="宋体"/>
          <w:color w:val="auto"/>
          <w:sz w:val="21"/>
          <w:szCs w:val="21"/>
          <w:highlight w:val="none"/>
        </w:rPr>
        <w:t>进行开箱验收。检查其外包装是否完好无损，并对</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进行核对，检查是否与合同一致，文档材料是否齐全。</w:t>
      </w:r>
    </w:p>
    <w:p w14:paraId="147132A0">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)如发现</w:t>
      </w:r>
      <w:r>
        <w:rPr>
          <w:rFonts w:hint="eastAsia" w:ascii="宋体" w:hAnsi="宋体" w:eastAsia="宋体" w:cs="宋体"/>
          <w:color w:val="auto"/>
          <w:sz w:val="21"/>
          <w:szCs w:val="21"/>
          <w:highlight w:val="none"/>
          <w:lang w:eastAsia="zh-CN"/>
        </w:rPr>
        <w:t>产品数量不对</w:t>
      </w:r>
      <w:r>
        <w:rPr>
          <w:rFonts w:hint="eastAsia" w:ascii="宋体" w:hAnsi="宋体" w:eastAsia="宋体" w:cs="宋体"/>
          <w:color w:val="auto"/>
          <w:sz w:val="21"/>
          <w:szCs w:val="21"/>
          <w:highlight w:val="none"/>
        </w:rPr>
        <w:t>、损坏或其他与合同约定不符的情况，由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采取补齐、更换及其他补救措施。</w:t>
      </w:r>
    </w:p>
    <w:p w14:paraId="589D79DD">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)开箱检验合格后，由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乙方代表双方</w:t>
      </w:r>
      <w:r>
        <w:rPr>
          <w:rFonts w:hint="eastAsia" w:ascii="宋体" w:hAnsi="宋体" w:eastAsia="宋体" w:cs="宋体"/>
          <w:color w:val="auto"/>
          <w:sz w:val="21"/>
          <w:szCs w:val="21"/>
          <w:highlight w:val="none"/>
        </w:rPr>
        <w:t>签署开箱检验验收书，开箱检验验收书应列明合同设备数量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、文档资料等验收情况及评价意见。</w:t>
      </w:r>
    </w:p>
    <w:p w14:paraId="5DD798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2.安装调试后验收：</w:t>
      </w:r>
    </w:p>
    <w:p w14:paraId="76E021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(1)乙方按合同约定完成货物的安装调试后，由甲方对货物进行开机试运行，并对试运行情况进行评价。</w:t>
      </w:r>
    </w:p>
    <w:p w14:paraId="69C884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试运行时由甲方对照招标文件的功能目标及技术指标要求、投标文件响应的功能、参数全面核对检验，所提供货物的性能、参数应与投标时提供的证明文件及响应的功能、参数完全一致，视为验收合格，由甲方代表及乙方代表共同对安装、调试情况进行记录。甲方有权要求乙方在验收时提供检测报告或生产厂家官方技术说明书、官方产品宣传页等证明材料原件，有权将仪器设备送第三方检测机构进行检测，以核验产品的设备性能参数与乙方投标时响应的技术性能、参数完全一致，否则视为验收不合格。</w:t>
      </w:r>
    </w:p>
    <w:p w14:paraId="19C8C1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3.采购项目进行验收时，甲方可以邀请参加本项目的其他投标人、技术专家或者第三方机构参与验收。参与验收的投标人、技术专家或者第三方机构的意见作为验收书的参考资料一并存档。验收费用由乙方承担。</w:t>
      </w:r>
    </w:p>
    <w:p w14:paraId="2B0A6BC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4.甲方有权将货物送第三方具有相应资质的检测或鉴定机构进行检测或鉴定。</w:t>
      </w:r>
    </w:p>
    <w:p w14:paraId="34486B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5.甲方在验收过程中发现乙方提供的货物不满足招标文件、投标文件及合同规定的，可暂缓资金结算，直到乙方及时改正并经甲方验收合格后，方可办理资金结算事宜。</w:t>
      </w:r>
    </w:p>
    <w:p w14:paraId="6D0CBF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甲方保留进一步追究责任的权利。</w:t>
      </w:r>
    </w:p>
    <w:p w14:paraId="0FE2D1F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7.甲方应于货物安装调试完成之日起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0天内完成验收。甲方需要将货物送第三方具有相应资质的检测或鉴定机构进行检测、鉴定的，检测、鉴定的时间不计算在验收完成时间内。</w:t>
      </w:r>
    </w:p>
    <w:p w14:paraId="316200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条　售后服务、服务质量保证期及培训</w:t>
      </w:r>
    </w:p>
    <w:p w14:paraId="5C22B8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w:t>
      </w:r>
      <w:r>
        <w:rPr>
          <w:rFonts w:hint="eastAsia" w:ascii="宋体" w:hAnsi="宋体" w:cs="宋体"/>
          <w:color w:val="auto"/>
          <w:sz w:val="21"/>
          <w:szCs w:val="21"/>
          <w:highlight w:val="none"/>
          <w:lang w:eastAsia="zh-CN"/>
        </w:rPr>
        <w:t>投</w:t>
      </w:r>
      <w:r>
        <w:rPr>
          <w:rFonts w:hint="eastAsia" w:ascii="宋体" w:hAnsi="宋体" w:eastAsia="宋体" w:cs="宋体"/>
          <w:color w:val="auto"/>
          <w:sz w:val="21"/>
          <w:szCs w:val="21"/>
          <w:highlight w:val="none"/>
        </w:rPr>
        <w:t>标文件</w:t>
      </w:r>
      <w:r>
        <w:rPr>
          <w:rFonts w:hint="eastAsia" w:ascii="宋体" w:hAnsi="宋体" w:cs="宋体"/>
          <w:color w:val="auto"/>
          <w:sz w:val="21"/>
          <w:szCs w:val="21"/>
          <w:highlight w:val="none"/>
          <w:lang w:eastAsia="zh-CN"/>
        </w:rPr>
        <w:t>承诺</w:t>
      </w:r>
      <w:r>
        <w:rPr>
          <w:rFonts w:hint="eastAsia" w:ascii="宋体" w:hAnsi="宋体" w:eastAsia="宋体" w:cs="宋体"/>
          <w:color w:val="auto"/>
          <w:sz w:val="21"/>
          <w:szCs w:val="21"/>
          <w:highlight w:val="none"/>
        </w:rPr>
        <w:t>的产品名称、商标品牌、生产厂家、规格型号、技术参数、质量标准向甲方提供未经使用的全新产品。不符合要求的，根据实际情况，由甲方选择以下方式处理：</w:t>
      </w:r>
    </w:p>
    <w:p w14:paraId="461299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更换：由乙方承担所发生的全部费用。</w:t>
      </w:r>
    </w:p>
    <w:p w14:paraId="0617A9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2）</w:t>
      </w:r>
      <w:r>
        <w:rPr>
          <w:rFonts w:hint="eastAsia" w:ascii="宋体" w:hAnsi="宋体" w:eastAsia="宋体" w:cs="宋体"/>
          <w:color w:val="auto"/>
          <w:sz w:val="21"/>
          <w:szCs w:val="21"/>
          <w:highlight w:val="none"/>
        </w:rPr>
        <w:t>贬值处理：由甲乙双方合议定价。</w:t>
      </w:r>
    </w:p>
    <w:p w14:paraId="0DE4CF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3）</w:t>
      </w: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79B23C8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乙方应按照国家有关法律法规、投标文件和合同所附的《售后服务承诺》要求为甲方提供相应的售后服务。</w:t>
      </w:r>
    </w:p>
    <w:p w14:paraId="1261CE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在质保期内，乙方应对货物出现的质量及安全问题负责处理解决并承担一切费用。质保期为自货物交付并验收合格之日起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eastAsia="zh-CN"/>
        </w:rPr>
        <w:t>按乙方投标文件中的承诺为准）</w:t>
      </w:r>
      <w:r>
        <w:rPr>
          <w:rFonts w:hint="eastAsia" w:ascii="宋体" w:hAnsi="宋体" w:eastAsia="宋体" w:cs="宋体"/>
          <w:color w:val="auto"/>
          <w:sz w:val="21"/>
          <w:szCs w:val="21"/>
          <w:highlight w:val="none"/>
        </w:rPr>
        <w:t>。货物自身有质保期且该质保期超过约定质保期的，按照货物质保期计算，货物自身的质保期比约定的质保期短的，按约定的质保期计算。</w:t>
      </w:r>
    </w:p>
    <w:p w14:paraId="08411E74">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质保期届满后，乙方对本合同项下货物提供终身维修服务，且维修时只收取所需维修部件的成本费，服务内容应与质保期内的要求相一致。</w:t>
      </w:r>
    </w:p>
    <w:p w14:paraId="51E34C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甲方应提供必要安装条件（如场地、电源、水源等）。</w:t>
      </w:r>
    </w:p>
    <w:p w14:paraId="4CFB78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 w:eastAsia="zh-CN"/>
        </w:rPr>
        <w:t>按</w:t>
      </w:r>
      <w:r>
        <w:rPr>
          <w:rFonts w:hint="eastAsia" w:ascii="宋体" w:hAnsi="宋体" w:eastAsia="宋体" w:cs="宋体"/>
          <w:color w:val="auto"/>
          <w:sz w:val="21"/>
          <w:szCs w:val="21"/>
          <w:highlight w:val="none"/>
        </w:rPr>
        <w:t>投标文件承诺负责甲方有关人员的培训。</w:t>
      </w:r>
    </w:p>
    <w:p w14:paraId="1D6C01A8">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第八条　货物保管及风险承担</w:t>
      </w:r>
    </w:p>
    <w:p w14:paraId="240AF5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在货物交付前，货物保管责任及损毁、灭失的风险由乙方承担，货物验收合格后的风险转由甲方承担。</w:t>
      </w:r>
    </w:p>
    <w:p w14:paraId="465C86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付款方式</w:t>
      </w:r>
    </w:p>
    <w:p w14:paraId="62541DF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本合同签订后10个工作日内</w:t>
      </w:r>
      <w:r>
        <w:rPr>
          <w:rFonts w:hint="eastAsia" w:ascii="宋体" w:hAnsi="宋体" w:eastAsia="宋体" w:cs="宋体"/>
          <w:color w:val="auto"/>
          <w:kern w:val="10"/>
          <w:sz w:val="21"/>
          <w:szCs w:val="21"/>
          <w:highlight w:val="none"/>
        </w:rPr>
        <w:t>，</w:t>
      </w:r>
      <w:r>
        <w:rPr>
          <w:rFonts w:hint="eastAsia" w:ascii="宋体" w:hAnsi="宋体" w:eastAsia="宋体" w:cs="宋体"/>
          <w:color w:val="auto"/>
          <w:sz w:val="21"/>
          <w:szCs w:val="21"/>
          <w:highlight w:val="none"/>
        </w:rPr>
        <w:t>支付合同合计金额的</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作为预付款；全部货物到货后</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安装调试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经甲方验收合格后，支付剩余</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合同款</w:t>
      </w:r>
      <w:r>
        <w:rPr>
          <w:rFonts w:hint="eastAsia" w:ascii="宋体" w:hAnsi="宋体" w:eastAsia="宋体" w:cs="宋体"/>
          <w:color w:val="auto"/>
          <w:sz w:val="21"/>
          <w:szCs w:val="21"/>
          <w:highlight w:val="none"/>
        </w:rPr>
        <w:t>。</w:t>
      </w:r>
    </w:p>
    <w:p w14:paraId="23F7076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乙方指定以下账户为接受本合同价款的账户，并对其指定的下列账户信息真实性、安全性、准确性负责。</w:t>
      </w:r>
    </w:p>
    <w:p w14:paraId="42C579E5">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F168D83">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AF6CBB9">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478F5F0">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C3E53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44039D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66B425F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乙方应持甲方签字确认的验收合格</w:t>
      </w: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z w:val="21"/>
          <w:szCs w:val="21"/>
          <w:highlight w:val="none"/>
        </w:rPr>
        <w:t>结算货款。</w:t>
      </w:r>
    </w:p>
    <w:p w14:paraId="365671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甲方在支付每笔款项前，乙方应当提供可供政府审计并且符合税务规定的正式发票，</w:t>
      </w:r>
      <w:r>
        <w:rPr>
          <w:rFonts w:hint="eastAsia" w:ascii="宋体" w:hAnsi="宋体" w:eastAsia="宋体" w:cs="宋体"/>
          <w:color w:val="auto"/>
          <w:spacing w:val="-6"/>
          <w:sz w:val="21"/>
          <w:szCs w:val="21"/>
          <w:highlight w:val="none"/>
        </w:rPr>
        <w:t>否则甲方有权拒付相应款项直至乙方能提供符合规定的发票为止。</w:t>
      </w:r>
    </w:p>
    <w:p w14:paraId="3C20CF2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履约保证金</w:t>
      </w:r>
    </w:p>
    <w:p w14:paraId="1FA68A38">
      <w:pPr>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本项目不需要提供履约保证金。</w:t>
      </w:r>
    </w:p>
    <w:p w14:paraId="3A90CEA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税费</w:t>
      </w:r>
    </w:p>
    <w:p w14:paraId="633E502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41FEB9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　违约责任</w:t>
      </w:r>
    </w:p>
    <w:p w14:paraId="187A6D4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乙方仅交付部分货物的，甲方有权解除合同，退还已收货物，乙方应退还已经收取的货款，并按合同金额的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w:t>
      </w:r>
    </w:p>
    <w:p w14:paraId="72EE71D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乙方逾期交付货物的，每逾期一日，</w:t>
      </w:r>
      <w:r>
        <w:rPr>
          <w:rFonts w:hint="eastAsia" w:ascii="宋体" w:hAnsi="宋体" w:eastAsia="宋体" w:cs="宋体"/>
          <w:color w:val="auto"/>
          <w:sz w:val="21"/>
          <w:szCs w:val="21"/>
          <w:highlight w:val="none"/>
          <w:lang w:eastAsia="zh-CN"/>
        </w:rPr>
        <w:t>每日</w:t>
      </w:r>
      <w:r>
        <w:rPr>
          <w:rFonts w:hint="eastAsia" w:ascii="宋体" w:hAnsi="宋体" w:eastAsia="宋体" w:cs="宋体"/>
          <w:color w:val="auto"/>
          <w:sz w:val="21"/>
          <w:szCs w:val="21"/>
          <w:highlight w:val="none"/>
        </w:rPr>
        <w:t>应按合同金额的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‰向甲方支付逾期交付的违约金；逾期超过十</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日的，甲方有权单方解除合同，并要求乙方退还已收取的款项，同时乙方应按照合同金额的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0%向甲方支付违约金并承担因此给甲方造成的经济损失。</w:t>
      </w:r>
    </w:p>
    <w:p w14:paraId="4D0914A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w:t>
      </w:r>
      <w:r>
        <w:rPr>
          <w:rFonts w:hint="eastAsia" w:ascii="宋体" w:hAnsi="宋体" w:eastAsia="宋体" w:cs="宋体"/>
          <w:color w:val="auto"/>
          <w:sz w:val="21"/>
          <w:szCs w:val="21"/>
          <w:highlight w:val="none"/>
          <w:lang w:eastAsia="zh-CN"/>
        </w:rPr>
        <w:t>与招标文件、投标文件不符</w:t>
      </w:r>
      <w:r>
        <w:rPr>
          <w:rFonts w:hint="eastAsia" w:ascii="宋体" w:hAnsi="宋体" w:eastAsia="宋体" w:cs="宋体"/>
          <w:color w:val="auto"/>
          <w:sz w:val="21"/>
          <w:szCs w:val="21"/>
          <w:highlight w:val="none"/>
        </w:rPr>
        <w:t>的，应按甲方的要求、在甲方指定的期限内更换，乙方因更换造成货物逾期交付的，按乙方逾期交付承担违约责任；</w:t>
      </w:r>
      <w:r>
        <w:rPr>
          <w:rFonts w:hint="eastAsia" w:ascii="宋体" w:hAnsi="宋体" w:eastAsia="宋体" w:cs="宋体"/>
          <w:color w:val="auto"/>
          <w:sz w:val="21"/>
          <w:szCs w:val="21"/>
          <w:highlight w:val="none"/>
          <w:lang w:eastAsia="zh-CN"/>
        </w:rPr>
        <w:t>乙方未按甲方要求及期限内更换合格的货物的，</w:t>
      </w:r>
      <w:r>
        <w:rPr>
          <w:rFonts w:hint="eastAsia" w:ascii="宋体" w:hAnsi="宋体" w:eastAsia="宋体" w:cs="宋体"/>
          <w:color w:val="auto"/>
          <w:sz w:val="21"/>
          <w:szCs w:val="21"/>
          <w:highlight w:val="none"/>
        </w:rPr>
        <w:t>甲方有权解除合同，要求乙方退还已收取的货款，并要求乙方按合同合计金额的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0%支付违约金。因包装、运输引起的货物损坏，</w:t>
      </w:r>
      <w:r>
        <w:rPr>
          <w:rFonts w:hint="eastAsia" w:ascii="宋体" w:hAnsi="宋体" w:eastAsia="宋体" w:cs="宋体"/>
          <w:color w:val="auto"/>
          <w:sz w:val="21"/>
          <w:szCs w:val="21"/>
          <w:highlight w:val="none"/>
          <w:lang w:eastAsia="zh-CN"/>
        </w:rPr>
        <w:t>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质量不合格</w:t>
      </w:r>
      <w:r>
        <w:rPr>
          <w:rFonts w:hint="eastAsia" w:ascii="宋体" w:hAnsi="宋体" w:eastAsia="宋体" w:cs="宋体"/>
          <w:color w:val="auto"/>
          <w:sz w:val="21"/>
          <w:szCs w:val="21"/>
          <w:highlight w:val="none"/>
          <w:lang w:eastAsia="zh-CN"/>
        </w:rPr>
        <w:t>，按本条相应要求处理</w:t>
      </w:r>
      <w:r>
        <w:rPr>
          <w:rFonts w:hint="eastAsia" w:ascii="宋体" w:hAnsi="宋体" w:eastAsia="宋体" w:cs="宋体"/>
          <w:color w:val="auto"/>
          <w:sz w:val="21"/>
          <w:szCs w:val="21"/>
          <w:highlight w:val="none"/>
        </w:rPr>
        <w:t>。</w:t>
      </w:r>
    </w:p>
    <w:p w14:paraId="56DDBDC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14:paraId="47162A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乙方未按本合同和招标文件、投标文件中规定的服务承诺提供售后服务的，每违约一次，应按合同合计金额的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%向甲方支付违约金。</w:t>
      </w:r>
    </w:p>
    <w:p w14:paraId="4905324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乙方支付的违约金不足以弥补甲方损失的，应承担赔偿责任，甲方有权继续向乙方追偿。乙方应支付给甲方的任何违约金</w:t>
      </w:r>
      <w:r>
        <w:rPr>
          <w:rFonts w:hint="eastAsia" w:ascii="宋体" w:hAnsi="宋体" w:eastAsia="宋体" w:cs="宋体"/>
          <w:color w:val="auto"/>
          <w:sz w:val="21"/>
          <w:szCs w:val="21"/>
          <w:highlight w:val="none"/>
          <w:lang w:eastAsia="zh-CN"/>
        </w:rPr>
        <w:t>或赔偿</w:t>
      </w:r>
      <w:r>
        <w:rPr>
          <w:rFonts w:hint="eastAsia" w:ascii="宋体" w:hAnsi="宋体" w:eastAsia="宋体" w:cs="宋体"/>
          <w:color w:val="auto"/>
          <w:sz w:val="21"/>
          <w:szCs w:val="21"/>
          <w:highlight w:val="none"/>
        </w:rPr>
        <w:t>，甲方有权从任何应支付未支付给乙方的款项中直接抵扣。</w:t>
      </w:r>
    </w:p>
    <w:p w14:paraId="5A0CC3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甲方延期</w:t>
      </w:r>
      <w:r>
        <w:rPr>
          <w:rFonts w:hint="eastAsia" w:ascii="宋体" w:hAnsi="宋体" w:eastAsia="宋体" w:cs="宋体"/>
          <w:color w:val="auto"/>
          <w:sz w:val="21"/>
          <w:szCs w:val="21"/>
          <w:highlight w:val="none"/>
          <w:lang w:eastAsia="zh-CN"/>
        </w:rPr>
        <w:t>支</w:t>
      </w:r>
      <w:r>
        <w:rPr>
          <w:rFonts w:hint="eastAsia" w:ascii="宋体" w:hAnsi="宋体" w:eastAsia="宋体" w:cs="宋体"/>
          <w:color w:val="auto"/>
          <w:sz w:val="21"/>
          <w:szCs w:val="21"/>
          <w:highlight w:val="none"/>
        </w:rPr>
        <w:t>付</w:t>
      </w:r>
      <w:r>
        <w:rPr>
          <w:rFonts w:hint="eastAsia" w:ascii="宋体" w:hAnsi="宋体" w:eastAsia="宋体" w:cs="宋体"/>
          <w:color w:val="auto"/>
          <w:sz w:val="21"/>
          <w:szCs w:val="21"/>
          <w:highlight w:val="none"/>
          <w:lang w:eastAsia="zh-CN"/>
        </w:rPr>
        <w:t>合同金额</w:t>
      </w:r>
      <w:r>
        <w:rPr>
          <w:rFonts w:hint="eastAsia" w:ascii="宋体" w:hAnsi="宋体" w:eastAsia="宋体" w:cs="宋体"/>
          <w:color w:val="auto"/>
          <w:sz w:val="21"/>
          <w:szCs w:val="21"/>
          <w:highlight w:val="none"/>
        </w:rPr>
        <w:t>的，每天向乙方偿付延期货款额3‰的违约金，但违约金累计不超过延期</w:t>
      </w:r>
      <w:r>
        <w:rPr>
          <w:rFonts w:hint="eastAsia" w:ascii="宋体" w:hAnsi="宋体" w:eastAsia="宋体" w:cs="宋体"/>
          <w:color w:val="auto"/>
          <w:sz w:val="21"/>
          <w:szCs w:val="21"/>
          <w:highlight w:val="none"/>
          <w:lang w:eastAsia="zh-CN"/>
        </w:rPr>
        <w:t>应支付合同金额</w:t>
      </w:r>
      <w:r>
        <w:rPr>
          <w:rFonts w:hint="eastAsia" w:ascii="宋体" w:hAnsi="宋体" w:eastAsia="宋体" w:cs="宋体"/>
          <w:color w:val="auto"/>
          <w:sz w:val="21"/>
          <w:szCs w:val="21"/>
          <w:highlight w:val="none"/>
        </w:rPr>
        <w:t>的5%。</w:t>
      </w:r>
    </w:p>
    <w:p w14:paraId="5C7A3D9A">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.本合同所称的甲方经济损失或者甲方损失，包括甲方遭受的全部直接经济损失及为此支出的合理费用（包括但不限于为此支出的调查费、诉讼费、保全费、律师费、差旅费、保全保险费、鉴定费等）。</w:t>
      </w:r>
    </w:p>
    <w:p w14:paraId="1D8F5E3B">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第十三条　不可抗力事件处理</w:t>
      </w:r>
    </w:p>
    <w:p w14:paraId="24C945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0AA9E0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不可抗力事件发生后，应立即通知对方，并寄送有关权威机构出具的证明。</w:t>
      </w:r>
    </w:p>
    <w:p w14:paraId="56A33AE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不可抗力事件延续一百二十天以上，甲乙双方应通过友好协商，确定是否继续履行合同。</w:t>
      </w:r>
    </w:p>
    <w:p w14:paraId="1BD404B6">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第十四条　合同争议解决</w:t>
      </w:r>
    </w:p>
    <w:p w14:paraId="53C9538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因货物质量问题发生争议的，应提交</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具有相应资质的</w:t>
      </w:r>
      <w:r>
        <w:rPr>
          <w:rFonts w:hint="eastAsia" w:ascii="宋体" w:hAnsi="宋体" w:eastAsia="宋体" w:cs="宋体"/>
          <w:color w:val="auto"/>
          <w:sz w:val="21"/>
          <w:szCs w:val="21"/>
          <w:highlight w:val="none"/>
          <w:lang w:eastAsia="zh-CN"/>
        </w:rPr>
        <w:t>检测或鉴定</w:t>
      </w:r>
      <w:r>
        <w:rPr>
          <w:rFonts w:hint="eastAsia" w:ascii="宋体" w:hAnsi="宋体" w:eastAsia="宋体" w:cs="宋体"/>
          <w:color w:val="auto"/>
          <w:sz w:val="21"/>
          <w:szCs w:val="21"/>
          <w:highlight w:val="none"/>
        </w:rPr>
        <w:t>机构进行鉴定。货物符合标准的，鉴定费由甲方承担；货物不符合标准的，鉴定费由乙方承担。</w:t>
      </w:r>
    </w:p>
    <w:p w14:paraId="152F09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因履行本合同引起的或者与本合同有关的争议，甲乙双方应首先通过友好协商解决，如果协商不能解决，可向甲方所在地有管辖权的人民法院提起诉讼。</w:t>
      </w:r>
    </w:p>
    <w:p w14:paraId="2D3EFB9B">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第十五条　合同生效及其他</w:t>
      </w:r>
    </w:p>
    <w:p w14:paraId="43DE6D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合同经甲乙双方法定代表人或者授权代表签字并加盖单位公章后生效。</w:t>
      </w:r>
    </w:p>
    <w:p w14:paraId="471112B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合同执行中涉及采购资金和采购内容修改或者补充的，须经政府采购监管部门审批，并签书面补充协议报政府采购监管部门备案，方可作为主合同不可分割的一部分。</w:t>
      </w:r>
    </w:p>
    <w:p w14:paraId="05618A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合同未尽事宜，遵照《中华人民共和国民法典》等相关法律、法规规定有关条文执行。</w:t>
      </w:r>
    </w:p>
    <w:p w14:paraId="0979F1F0">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第十六条　合同的变更、终止与转让</w:t>
      </w:r>
    </w:p>
    <w:p w14:paraId="51F9B7F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除《中华人民共和国政府采购法》第五十条规定的情形外，本合同一经签订，甲乙双方不得擅自变更、中止或者终止。</w:t>
      </w:r>
    </w:p>
    <w:p w14:paraId="1334CF2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未经甲方书面同意，乙方不得擅自转让其应履行的合同义务。</w:t>
      </w:r>
    </w:p>
    <w:p w14:paraId="366615C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第十七条　本合同与下列文件一起构成合同文件</w:t>
      </w:r>
    </w:p>
    <w:p w14:paraId="5C6C6E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中标</w:t>
      </w:r>
      <w:r>
        <w:rPr>
          <w:rFonts w:hint="eastAsia" w:ascii="宋体" w:hAnsi="宋体" w:eastAsia="宋体" w:cs="宋体"/>
          <w:color w:val="auto"/>
          <w:sz w:val="21"/>
          <w:szCs w:val="21"/>
          <w:highlight w:val="none"/>
        </w:rPr>
        <w:t>通知书；</w:t>
      </w:r>
    </w:p>
    <w:p w14:paraId="1CC3B6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投标文件</w:t>
      </w:r>
      <w:r>
        <w:rPr>
          <w:rFonts w:hint="eastAsia" w:ascii="宋体" w:hAnsi="宋体" w:eastAsia="宋体" w:cs="宋体"/>
          <w:color w:val="auto"/>
          <w:sz w:val="21"/>
          <w:szCs w:val="21"/>
          <w:highlight w:val="none"/>
        </w:rPr>
        <w:t>；</w:t>
      </w:r>
    </w:p>
    <w:p w14:paraId="1E4D45A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招标文件</w:t>
      </w:r>
      <w:r>
        <w:rPr>
          <w:rFonts w:hint="eastAsia" w:ascii="宋体" w:hAnsi="宋体" w:eastAsia="宋体" w:cs="宋体"/>
          <w:color w:val="auto"/>
          <w:sz w:val="21"/>
          <w:szCs w:val="21"/>
          <w:highlight w:val="none"/>
        </w:rPr>
        <w:t>；</w:t>
      </w:r>
    </w:p>
    <w:p w14:paraId="0F1A2E7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合同附件</w:t>
      </w:r>
      <w:r>
        <w:rPr>
          <w:rFonts w:hint="eastAsia" w:ascii="宋体" w:hAnsi="宋体" w:eastAsia="宋体" w:cs="宋体"/>
          <w:color w:val="auto"/>
          <w:sz w:val="21"/>
          <w:szCs w:val="21"/>
          <w:highlight w:val="none"/>
        </w:rPr>
        <w:t>；</w:t>
      </w:r>
    </w:p>
    <w:p w14:paraId="772D0E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2A9C3F1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6C5574D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第十八条　其他约定事项</w:t>
      </w:r>
    </w:p>
    <w:p w14:paraId="1C1E54C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本合同所有附件及相关文件均为本合同的有效组成部分，与本合同具有同等法律效力。若合同附件与本合同存在不一致的，则以本合同为准。</w:t>
      </w:r>
    </w:p>
    <w:p w14:paraId="7CE266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在履行本合同过程中，所有经甲乙双方签署确认的文件（包括会议纪要、补充协议、往来信函、电子邮件等）即成为本合同的有效组成部分。</w:t>
      </w:r>
    </w:p>
    <w:p w14:paraId="36061C0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.甲乙</w:t>
      </w:r>
      <w:r>
        <w:rPr>
          <w:rFonts w:hint="eastAsia" w:ascii="宋体" w:hAnsi="宋体" w:eastAsia="宋体" w:cs="宋体"/>
          <w:color w:val="auto"/>
          <w:sz w:val="21"/>
          <w:szCs w:val="21"/>
          <w:highlight w:val="none"/>
        </w:rPr>
        <w:t>双方确认，以下为各方真实有效通讯地址：</w:t>
      </w:r>
    </w:p>
    <w:p w14:paraId="431143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18E95B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696E71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6376D0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份，具有同等法律效力，采购代理机构各一份，甲乙双方各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72C7BA77">
      <w:pPr>
        <w:snapToGrid w:val="0"/>
        <w:spacing w:line="360" w:lineRule="auto"/>
        <w:rPr>
          <w:rFonts w:hint="eastAsia" w:ascii="宋体" w:hAnsi="宋体" w:eastAsia="宋体" w:cs="宋体"/>
          <w:color w:val="auto"/>
          <w:szCs w:val="21"/>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9"/>
        <w:gridCol w:w="4800"/>
      </w:tblGrid>
      <w:tr w14:paraId="53FC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trPr>
        <w:tc>
          <w:tcPr>
            <w:tcW w:w="4799" w:type="dxa"/>
            <w:noWrap w:val="0"/>
            <w:vAlign w:val="center"/>
          </w:tcPr>
          <w:p w14:paraId="2AFAD25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64D3ADA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4F3F06CD">
            <w:pPr>
              <w:keepNext w:val="0"/>
              <w:keepLines w:val="0"/>
              <w:suppressLineNumbers w:val="0"/>
              <w:snapToGrid w:val="0"/>
              <w:spacing w:before="0" w:beforeAutospacing="0" w:after="0" w:afterAutospacing="0" w:line="360" w:lineRule="auto"/>
              <w:ind w:left="0" w:right="0"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800" w:type="dxa"/>
            <w:noWrap w:val="0"/>
            <w:vAlign w:val="center"/>
          </w:tcPr>
          <w:p w14:paraId="1F36172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3E7ADF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5C24046B">
            <w:pPr>
              <w:keepNext w:val="0"/>
              <w:keepLines w:val="0"/>
              <w:suppressLineNumbers w:val="0"/>
              <w:snapToGrid w:val="0"/>
              <w:spacing w:before="0" w:beforeAutospacing="0" w:after="0" w:afterAutospacing="0" w:line="360" w:lineRule="auto"/>
              <w:ind w:left="0" w:right="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352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799" w:type="dxa"/>
            <w:noWrap w:val="0"/>
            <w:vAlign w:val="center"/>
          </w:tcPr>
          <w:p w14:paraId="19549FB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800" w:type="dxa"/>
            <w:noWrap w:val="0"/>
            <w:vAlign w:val="center"/>
          </w:tcPr>
          <w:p w14:paraId="6C5892D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7B07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799" w:type="dxa"/>
            <w:noWrap w:val="0"/>
            <w:vAlign w:val="top"/>
          </w:tcPr>
          <w:p w14:paraId="41F66FF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c>
          <w:tcPr>
            <w:tcW w:w="4800" w:type="dxa"/>
            <w:noWrap w:val="0"/>
            <w:vAlign w:val="top"/>
          </w:tcPr>
          <w:p w14:paraId="6619D8F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r>
      <w:tr w14:paraId="660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799" w:type="dxa"/>
            <w:noWrap w:val="0"/>
            <w:vAlign w:val="center"/>
          </w:tcPr>
          <w:p w14:paraId="235B30C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800" w:type="dxa"/>
            <w:noWrap w:val="0"/>
            <w:vAlign w:val="center"/>
          </w:tcPr>
          <w:p w14:paraId="211E469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6A4A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695BE39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800" w:type="dxa"/>
            <w:noWrap w:val="0"/>
            <w:vAlign w:val="center"/>
          </w:tcPr>
          <w:p w14:paraId="10EFC06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5579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4799" w:type="dxa"/>
            <w:noWrap w:val="0"/>
            <w:vAlign w:val="center"/>
          </w:tcPr>
          <w:p w14:paraId="0541646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00" w:type="dxa"/>
            <w:noWrap w:val="0"/>
            <w:vAlign w:val="center"/>
          </w:tcPr>
          <w:p w14:paraId="6511DA7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466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5EE7340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800" w:type="dxa"/>
            <w:noWrap w:val="0"/>
            <w:vAlign w:val="center"/>
          </w:tcPr>
          <w:p w14:paraId="3F048A3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F5D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799" w:type="dxa"/>
            <w:noWrap w:val="0"/>
            <w:vAlign w:val="center"/>
          </w:tcPr>
          <w:p w14:paraId="1F3095C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800" w:type="dxa"/>
            <w:noWrap w:val="0"/>
            <w:vAlign w:val="center"/>
          </w:tcPr>
          <w:p w14:paraId="158C6DA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0B791C1C">
      <w:pPr>
        <w:snapToGrid w:val="0"/>
        <w:spacing w:line="360" w:lineRule="auto"/>
        <w:ind w:left="420" w:hanging="420" w:hangingChars="200"/>
        <w:rPr>
          <w:rFonts w:hint="eastAsia" w:ascii="宋体" w:hAnsi="宋体" w:eastAsia="宋体" w:cs="宋体"/>
          <w:color w:val="auto"/>
          <w:szCs w:val="21"/>
          <w:highlight w:val="none"/>
        </w:rPr>
      </w:pPr>
    </w:p>
    <w:p w14:paraId="67CFD9AD">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p w14:paraId="568E203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一般货物类</w:t>
      </w:r>
    </w:p>
    <w:tbl>
      <w:tblPr>
        <w:tblStyle w:val="28"/>
        <w:tblW w:w="0" w:type="auto"/>
        <w:tblInd w:w="0" w:type="dxa"/>
        <w:tblLayout w:type="fixed"/>
        <w:tblCellMar>
          <w:top w:w="0" w:type="dxa"/>
          <w:left w:w="108" w:type="dxa"/>
          <w:bottom w:w="0" w:type="dxa"/>
          <w:right w:w="108" w:type="dxa"/>
        </w:tblCellMar>
      </w:tblPr>
      <w:tblGrid>
        <w:gridCol w:w="4695"/>
        <w:gridCol w:w="4725"/>
      </w:tblGrid>
      <w:tr w14:paraId="3B98359B">
        <w:tblPrEx>
          <w:tblCellMar>
            <w:top w:w="0" w:type="dxa"/>
            <w:left w:w="108" w:type="dxa"/>
            <w:bottom w:w="0" w:type="dxa"/>
            <w:right w:w="108" w:type="dxa"/>
          </w:tblCellMar>
        </w:tblPrEx>
        <w:trPr>
          <w:trHeight w:val="1302" w:hRule="atLeast"/>
        </w:trPr>
        <w:tc>
          <w:tcPr>
            <w:tcW w:w="9420" w:type="dxa"/>
            <w:gridSpan w:val="2"/>
            <w:tcBorders>
              <w:top w:val="single" w:color="auto" w:sz="4" w:space="0"/>
              <w:left w:val="single" w:color="auto" w:sz="4" w:space="0"/>
              <w:right w:val="single" w:color="auto" w:sz="4" w:space="0"/>
            </w:tcBorders>
            <w:noWrap w:val="0"/>
            <w:vAlign w:val="top"/>
          </w:tcPr>
          <w:p w14:paraId="4E68E604">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14:paraId="0BDD1BF7">
        <w:tblPrEx>
          <w:tblCellMar>
            <w:top w:w="0" w:type="dxa"/>
            <w:left w:w="108" w:type="dxa"/>
            <w:bottom w:w="0" w:type="dxa"/>
            <w:right w:w="108" w:type="dxa"/>
          </w:tblCellMar>
        </w:tblPrEx>
        <w:trPr>
          <w:trHeight w:val="1304" w:hRule="atLeast"/>
        </w:trPr>
        <w:tc>
          <w:tcPr>
            <w:tcW w:w="9420" w:type="dxa"/>
            <w:gridSpan w:val="2"/>
            <w:tcBorders>
              <w:top w:val="single" w:color="auto" w:sz="4" w:space="0"/>
              <w:left w:val="single" w:color="auto" w:sz="4" w:space="0"/>
              <w:right w:val="single" w:color="auto" w:sz="4" w:space="0"/>
            </w:tcBorders>
            <w:noWrap w:val="0"/>
            <w:vAlign w:val="top"/>
          </w:tcPr>
          <w:p w14:paraId="3EAA81EE">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售后服务具体事项：</w:t>
            </w:r>
          </w:p>
        </w:tc>
      </w:tr>
      <w:tr w14:paraId="3B50583E">
        <w:tblPrEx>
          <w:tblCellMar>
            <w:top w:w="0" w:type="dxa"/>
            <w:left w:w="108" w:type="dxa"/>
            <w:bottom w:w="0" w:type="dxa"/>
            <w:right w:w="108" w:type="dxa"/>
          </w:tblCellMar>
        </w:tblPrEx>
        <w:trPr>
          <w:trHeight w:val="1157" w:hRule="atLeast"/>
        </w:trPr>
        <w:tc>
          <w:tcPr>
            <w:tcW w:w="9420" w:type="dxa"/>
            <w:gridSpan w:val="2"/>
            <w:tcBorders>
              <w:top w:val="single" w:color="auto" w:sz="4" w:space="0"/>
              <w:left w:val="single" w:color="auto" w:sz="4" w:space="0"/>
              <w:right w:val="single" w:color="auto" w:sz="4" w:space="0"/>
            </w:tcBorders>
            <w:noWrap w:val="0"/>
            <w:vAlign w:val="top"/>
          </w:tcPr>
          <w:p w14:paraId="5717C806">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保修期责任：</w:t>
            </w:r>
          </w:p>
        </w:tc>
      </w:tr>
      <w:tr w14:paraId="71E93298">
        <w:tblPrEx>
          <w:tblCellMar>
            <w:top w:w="0" w:type="dxa"/>
            <w:left w:w="108" w:type="dxa"/>
            <w:bottom w:w="0" w:type="dxa"/>
            <w:right w:w="108" w:type="dxa"/>
          </w:tblCellMar>
        </w:tblPrEx>
        <w:trPr>
          <w:trHeight w:val="1443" w:hRule="atLeast"/>
        </w:trPr>
        <w:tc>
          <w:tcPr>
            <w:tcW w:w="9420" w:type="dxa"/>
            <w:gridSpan w:val="2"/>
            <w:tcBorders>
              <w:top w:val="single" w:color="auto" w:sz="4" w:space="0"/>
              <w:left w:val="single" w:color="auto" w:sz="4" w:space="0"/>
              <w:right w:val="single" w:color="auto" w:sz="4" w:space="0"/>
            </w:tcBorders>
            <w:noWrap w:val="0"/>
            <w:vAlign w:val="top"/>
          </w:tcPr>
          <w:p w14:paraId="5EFEE843">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4.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14:paraId="3CDDB501">
        <w:tblPrEx>
          <w:tblCellMar>
            <w:top w:w="0" w:type="dxa"/>
            <w:left w:w="108" w:type="dxa"/>
            <w:bottom w:w="0" w:type="dxa"/>
            <w:right w:w="108" w:type="dxa"/>
          </w:tblCellMar>
        </w:tblPrEx>
        <w:trPr>
          <w:trHeight w:val="1816" w:hRule="atLeast"/>
        </w:trPr>
        <w:tc>
          <w:tcPr>
            <w:tcW w:w="4695" w:type="dxa"/>
            <w:tcBorders>
              <w:top w:val="single" w:color="auto" w:sz="4" w:space="0"/>
              <w:left w:val="single" w:color="auto" w:sz="4" w:space="0"/>
              <w:bottom w:val="single" w:color="auto" w:sz="4" w:space="0"/>
              <w:right w:val="single" w:color="auto" w:sz="4" w:space="0"/>
            </w:tcBorders>
            <w:noWrap w:val="0"/>
            <w:vAlign w:val="center"/>
          </w:tcPr>
          <w:p w14:paraId="2C839541">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43EC4CC3">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608AA028">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3600E63B">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725" w:type="dxa"/>
            <w:tcBorders>
              <w:top w:val="single" w:color="auto" w:sz="4" w:space="0"/>
              <w:left w:val="single" w:color="auto" w:sz="4" w:space="0"/>
              <w:bottom w:val="single" w:color="auto" w:sz="4" w:space="0"/>
              <w:right w:val="single" w:color="auto" w:sz="4" w:space="0"/>
            </w:tcBorders>
            <w:noWrap w:val="0"/>
            <w:vAlign w:val="center"/>
          </w:tcPr>
          <w:p w14:paraId="04627984">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072AC00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31CD6CE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10D5AAC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32EF83C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注：售后服务事项填不下时可另加附页</w:t>
      </w:r>
    </w:p>
    <w:p w14:paraId="0E7A45EA">
      <w:pPr>
        <w:snapToGrid w:val="0"/>
        <w:spacing w:line="360" w:lineRule="auto"/>
        <w:jc w:val="left"/>
        <w:rPr>
          <w:rFonts w:hint="eastAsia" w:ascii="宋体" w:hAnsi="宋体" w:eastAsia="宋体" w:cs="宋体"/>
          <w:color w:val="auto"/>
          <w:szCs w:val="21"/>
          <w:highlight w:val="none"/>
        </w:rPr>
      </w:pPr>
    </w:p>
    <w:p w14:paraId="401203C5">
      <w:pPr>
        <w:spacing w:line="360" w:lineRule="auto"/>
        <w:ind w:left="0" w:firstLine="0" w:firstLineChars="0"/>
        <w:outlineLvl w:val="0"/>
        <w:rPr>
          <w:rFonts w:hint="eastAsia" w:ascii="宋体" w:hAnsi="宋体" w:eastAsia="宋体" w:cs="宋体"/>
          <w:b/>
          <w:color w:val="auto"/>
          <w:sz w:val="36"/>
          <w:szCs w:val="20"/>
          <w:highlight w:val="none"/>
        </w:rPr>
      </w:pPr>
    </w:p>
    <w:p w14:paraId="138B9A48">
      <w:pPr>
        <w:spacing w:line="360" w:lineRule="auto"/>
        <w:ind w:left="720" w:firstLine="723" w:firstLineChars="200"/>
        <w:outlineLvl w:val="0"/>
        <w:rPr>
          <w:rFonts w:hint="eastAsia" w:ascii="宋体" w:hAnsi="宋体" w:eastAsia="宋体" w:cs="宋体"/>
          <w:b/>
          <w:color w:val="auto"/>
          <w:sz w:val="36"/>
          <w:szCs w:val="20"/>
          <w:highlight w:val="none"/>
        </w:rPr>
      </w:pPr>
    </w:p>
    <w:p w14:paraId="41BB9CD9">
      <w:pPr>
        <w:spacing w:line="360" w:lineRule="auto"/>
        <w:ind w:left="720" w:firstLine="723" w:firstLineChars="200"/>
        <w:outlineLvl w:val="0"/>
        <w:rPr>
          <w:rFonts w:hint="eastAsia" w:ascii="宋体" w:hAnsi="宋体" w:eastAsia="宋体" w:cs="宋体"/>
          <w:b/>
          <w:color w:val="auto"/>
          <w:sz w:val="36"/>
          <w:szCs w:val="20"/>
          <w:highlight w:val="none"/>
        </w:rPr>
      </w:pPr>
    </w:p>
    <w:p w14:paraId="52A6037E">
      <w:pPr>
        <w:ind w:firstLine="542"/>
        <w:rPr>
          <w:rFonts w:hAnsi="宋体" w:cs="宋体"/>
          <w:b/>
          <w:color w:val="auto"/>
          <w:sz w:val="36"/>
          <w:highlight w:val="none"/>
        </w:rPr>
      </w:pPr>
      <w:r>
        <w:rPr>
          <w:rFonts w:hAnsi="宋体" w:cs="宋体"/>
          <w:b/>
          <w:color w:val="auto"/>
          <w:sz w:val="36"/>
          <w:highlight w:val="none"/>
        </w:rPr>
        <w:br w:type="page"/>
      </w:r>
    </w:p>
    <w:p w14:paraId="583C0293">
      <w:pPr>
        <w:pStyle w:val="2"/>
        <w:bidi w:val="0"/>
        <w:jc w:val="center"/>
        <w:rPr>
          <w:sz w:val="36"/>
          <w:szCs w:val="36"/>
        </w:rPr>
      </w:pPr>
      <w:bookmarkStart w:id="249" w:name="_Toc3923"/>
      <w:bookmarkStart w:id="250" w:name="_Toc20288"/>
      <w:bookmarkStart w:id="251" w:name="_Toc7880"/>
      <w:bookmarkStart w:id="252" w:name="_Toc14291"/>
      <w:bookmarkStart w:id="253" w:name="_Toc23759"/>
      <w:r>
        <w:rPr>
          <w:rFonts w:hint="eastAsia"/>
          <w:sz w:val="36"/>
          <w:szCs w:val="36"/>
        </w:rPr>
        <w:t>第六章 投标文件格式</w:t>
      </w:r>
      <w:bookmarkEnd w:id="249"/>
      <w:bookmarkEnd w:id="250"/>
      <w:bookmarkEnd w:id="251"/>
      <w:bookmarkEnd w:id="252"/>
      <w:bookmarkEnd w:id="253"/>
    </w:p>
    <w:p w14:paraId="51830370">
      <w:pPr>
        <w:pStyle w:val="14"/>
        <w:jc w:val="center"/>
        <w:outlineLvl w:val="1"/>
        <w:rPr>
          <w:rFonts w:hint="eastAsia" w:hAnsi="宋体" w:cs="宋体"/>
          <w:b/>
          <w:bCs/>
          <w:color w:val="auto"/>
          <w:sz w:val="28"/>
          <w:szCs w:val="28"/>
          <w:highlight w:val="none"/>
        </w:rPr>
      </w:pPr>
      <w:bookmarkStart w:id="254" w:name="_Toc24554"/>
      <w:bookmarkStart w:id="255" w:name="_Toc22716"/>
      <w:bookmarkStart w:id="256" w:name="_Toc1470"/>
      <w:bookmarkStart w:id="257" w:name="_Toc5213"/>
      <w:r>
        <w:rPr>
          <w:rFonts w:hint="eastAsia" w:hAnsi="宋体" w:cs="宋体"/>
          <w:color w:val="auto"/>
          <w:highlight w:val="none"/>
        </w:rPr>
        <w:br w:type="page"/>
      </w:r>
      <w:bookmarkEnd w:id="254"/>
      <w:bookmarkEnd w:id="255"/>
      <w:bookmarkEnd w:id="256"/>
      <w:bookmarkEnd w:id="257"/>
      <w:bookmarkStart w:id="258" w:name="_Toc247"/>
      <w:bookmarkStart w:id="259" w:name="_Toc30455"/>
      <w:bookmarkStart w:id="260" w:name="_Toc26915"/>
      <w:bookmarkStart w:id="261" w:name="_Toc29743"/>
      <w:bookmarkStart w:id="262" w:name="_Toc16447"/>
      <w:r>
        <w:rPr>
          <w:rFonts w:hint="eastAsia" w:hAnsi="宋体" w:cs="宋体"/>
          <w:b/>
          <w:bCs/>
          <w:color w:val="auto"/>
          <w:sz w:val="28"/>
          <w:szCs w:val="28"/>
          <w:highlight w:val="none"/>
        </w:rPr>
        <w:t>第</w:t>
      </w: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节 资格证明文件格式</w:t>
      </w:r>
      <w:bookmarkEnd w:id="258"/>
      <w:bookmarkEnd w:id="259"/>
      <w:bookmarkEnd w:id="260"/>
      <w:bookmarkEnd w:id="261"/>
      <w:bookmarkEnd w:id="262"/>
    </w:p>
    <w:p w14:paraId="68AD4CCE">
      <w:pPr>
        <w:pStyle w:val="14"/>
        <w:spacing w:line="360" w:lineRule="auto"/>
        <w:ind w:firstLine="420"/>
        <w:rPr>
          <w:rFonts w:hint="eastAsia" w:hAnsi="宋体" w:cs="宋体"/>
          <w:color w:val="auto"/>
          <w:sz w:val="24"/>
          <w:szCs w:val="24"/>
          <w:highlight w:val="none"/>
          <w:lang w:val="en-US" w:eastAsia="zh-CN"/>
        </w:rPr>
      </w:pPr>
    </w:p>
    <w:p w14:paraId="5DF6D7E3">
      <w:pPr>
        <w:pStyle w:val="14"/>
        <w:spacing w:line="360" w:lineRule="auto"/>
        <w:ind w:firstLine="420"/>
        <w:rPr>
          <w:rFonts w:hint="eastAsia" w:hAnsi="宋体" w:cs="宋体"/>
          <w:b/>
          <w:bCs/>
          <w:color w:val="auto"/>
          <w:sz w:val="24"/>
          <w:szCs w:val="24"/>
          <w:highlight w:val="none"/>
          <w:lang w:val="en-US" w:eastAsia="zh-CN"/>
        </w:rPr>
      </w:pPr>
      <w:r>
        <w:rPr>
          <w:rFonts w:hint="eastAsia" w:hAnsi="宋体" w:cs="宋体"/>
          <w:b/>
          <w:bCs/>
          <w:color w:val="auto"/>
          <w:sz w:val="28"/>
          <w:szCs w:val="28"/>
          <w:highlight w:val="none"/>
          <w:lang w:val="en-US" w:eastAsia="zh-CN"/>
        </w:rPr>
        <w:t>1.资格证明文件封面的格式：</w:t>
      </w:r>
      <w:r>
        <w:rPr>
          <w:rFonts w:hint="eastAsia" w:hAnsi="宋体" w:cs="宋体"/>
          <w:b/>
          <w:bCs/>
          <w:color w:val="auto"/>
          <w:sz w:val="24"/>
          <w:szCs w:val="24"/>
          <w:highlight w:val="none"/>
          <w:lang w:val="en-US" w:eastAsia="zh-CN"/>
        </w:rPr>
        <w:t xml:space="preserve"> </w:t>
      </w:r>
    </w:p>
    <w:p w14:paraId="694175B3">
      <w:pPr>
        <w:pStyle w:val="8"/>
        <w:rPr>
          <w:rFonts w:hint="eastAsia"/>
          <w:color w:val="auto"/>
          <w:highlight w:val="none"/>
          <w:lang w:val="en-US" w:eastAsia="zh-CN"/>
        </w:rPr>
      </w:pPr>
    </w:p>
    <w:p w14:paraId="36CD4304">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3FED547">
      <w:pPr>
        <w:snapToGrid w:val="0"/>
        <w:spacing w:before="165" w:beforeLines="50" w:after="50"/>
        <w:rPr>
          <w:rFonts w:hint="eastAsia" w:ascii="宋体" w:hAnsi="宋体" w:cs="宋体"/>
          <w:color w:val="auto"/>
          <w:sz w:val="24"/>
          <w:szCs w:val="20"/>
          <w:highlight w:val="none"/>
        </w:rPr>
      </w:pPr>
    </w:p>
    <w:p w14:paraId="3CDE6A6C">
      <w:pPr>
        <w:snapToGrid w:val="0"/>
        <w:spacing w:before="165" w:beforeLines="50" w:after="50"/>
        <w:jc w:val="center"/>
        <w:rPr>
          <w:rFonts w:hint="eastAsia" w:ascii="宋体" w:hAnsi="宋体" w:cs="宋体"/>
          <w:b/>
          <w:color w:val="auto"/>
          <w:sz w:val="32"/>
          <w:szCs w:val="32"/>
          <w:highlight w:val="none"/>
        </w:rPr>
      </w:pPr>
    </w:p>
    <w:p w14:paraId="7023CBF0">
      <w:pPr>
        <w:snapToGrid w:val="0"/>
        <w:spacing w:before="165"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8C9EF8C">
      <w:pPr>
        <w:snapToGrid w:val="0"/>
        <w:spacing w:before="165" w:beforeLines="50" w:after="50"/>
        <w:rPr>
          <w:rFonts w:hint="eastAsia" w:ascii="宋体" w:hAnsi="宋体" w:cs="宋体"/>
          <w:bCs/>
          <w:color w:val="auto"/>
          <w:sz w:val="24"/>
          <w:szCs w:val="20"/>
          <w:highlight w:val="none"/>
        </w:rPr>
      </w:pPr>
    </w:p>
    <w:p w14:paraId="0A21159C">
      <w:pPr>
        <w:snapToGrid w:val="0"/>
        <w:spacing w:before="165" w:beforeLines="50" w:after="50"/>
        <w:rPr>
          <w:rFonts w:hint="eastAsia" w:ascii="宋体" w:hAnsi="宋体" w:cs="宋体"/>
          <w:bCs/>
          <w:color w:val="auto"/>
          <w:sz w:val="24"/>
          <w:szCs w:val="20"/>
          <w:highlight w:val="none"/>
        </w:rPr>
      </w:pPr>
    </w:p>
    <w:p w14:paraId="53AEAEC2">
      <w:pPr>
        <w:snapToGrid w:val="0"/>
        <w:spacing w:before="165" w:beforeLines="50" w:after="50"/>
        <w:rPr>
          <w:rFonts w:hint="eastAsia" w:ascii="宋体" w:hAnsi="宋体" w:cs="宋体"/>
          <w:bCs/>
          <w:color w:val="auto"/>
          <w:sz w:val="24"/>
          <w:szCs w:val="20"/>
          <w:highlight w:val="none"/>
        </w:rPr>
      </w:pPr>
    </w:p>
    <w:p w14:paraId="4E2BEFE2">
      <w:pPr>
        <w:snapToGrid w:val="0"/>
        <w:spacing w:before="165" w:beforeLines="50" w:after="50"/>
        <w:rPr>
          <w:rFonts w:hint="eastAsia" w:ascii="宋体" w:hAnsi="宋体" w:cs="宋体"/>
          <w:bCs/>
          <w:color w:val="auto"/>
          <w:sz w:val="24"/>
          <w:szCs w:val="20"/>
          <w:highlight w:val="none"/>
        </w:rPr>
      </w:pPr>
    </w:p>
    <w:p w14:paraId="20A17270">
      <w:pPr>
        <w:snapToGrid w:val="0"/>
        <w:spacing w:before="165" w:beforeLines="50" w:after="50"/>
        <w:rPr>
          <w:rFonts w:hint="eastAsia" w:ascii="宋体" w:hAnsi="宋体" w:cs="宋体"/>
          <w:bCs/>
          <w:color w:val="auto"/>
          <w:sz w:val="24"/>
          <w:szCs w:val="20"/>
          <w:highlight w:val="none"/>
        </w:rPr>
      </w:pPr>
    </w:p>
    <w:p w14:paraId="180A5DA5">
      <w:pPr>
        <w:snapToGrid w:val="0"/>
        <w:spacing w:before="165" w:beforeLines="50" w:after="50"/>
        <w:rPr>
          <w:rFonts w:hint="eastAsia" w:ascii="宋体" w:hAnsi="宋体" w:cs="宋体"/>
          <w:bCs/>
          <w:color w:val="auto"/>
          <w:sz w:val="24"/>
          <w:szCs w:val="20"/>
          <w:highlight w:val="none"/>
        </w:rPr>
      </w:pPr>
    </w:p>
    <w:p w14:paraId="7912E1FD">
      <w:pPr>
        <w:snapToGrid w:val="0"/>
        <w:spacing w:before="165" w:beforeLines="50" w:after="50"/>
        <w:rPr>
          <w:rFonts w:hint="eastAsia" w:ascii="宋体" w:hAnsi="宋体" w:cs="宋体"/>
          <w:bCs/>
          <w:color w:val="auto"/>
          <w:sz w:val="24"/>
          <w:szCs w:val="20"/>
          <w:highlight w:val="none"/>
        </w:rPr>
      </w:pPr>
    </w:p>
    <w:p w14:paraId="021C4E60">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项目名称：</w:t>
      </w:r>
    </w:p>
    <w:p w14:paraId="7104F08F">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p>
    <w:p w14:paraId="13F88D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53E1BAF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793D577">
      <w:pPr>
        <w:pStyle w:val="9"/>
        <w:snapToGrid w:val="0"/>
        <w:spacing w:before="50" w:after="50"/>
        <w:ind w:firstLine="540" w:firstLineChars="225"/>
        <w:rPr>
          <w:rFonts w:hint="eastAsia" w:ascii="宋体" w:hAnsi="宋体" w:cs="宋体"/>
          <w:bCs/>
          <w:color w:val="auto"/>
          <w:sz w:val="24"/>
          <w:szCs w:val="24"/>
          <w:highlight w:val="none"/>
        </w:rPr>
      </w:pPr>
    </w:p>
    <w:p w14:paraId="597F2EB3">
      <w:pPr>
        <w:pStyle w:val="9"/>
        <w:snapToGrid w:val="0"/>
        <w:spacing w:before="50" w:after="50"/>
        <w:ind w:firstLine="960" w:firstLineChars="400"/>
        <w:rPr>
          <w:rFonts w:hint="eastAsia" w:ascii="宋体" w:hAnsi="宋体" w:cs="宋体"/>
          <w:bCs/>
          <w:color w:val="auto"/>
          <w:sz w:val="24"/>
          <w:szCs w:val="24"/>
          <w:highlight w:val="none"/>
        </w:rPr>
      </w:pPr>
    </w:p>
    <w:p w14:paraId="28EB2BF9">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5C77286F">
      <w:pPr>
        <w:widowControl/>
        <w:spacing w:line="360" w:lineRule="auto"/>
        <w:jc w:val="left"/>
        <w:rPr>
          <w:rFonts w:hint="eastAsia" w:ascii="宋体" w:hAnsi="宋体" w:cs="宋体"/>
          <w:color w:val="auto"/>
          <w:sz w:val="30"/>
          <w:szCs w:val="20"/>
          <w:highlight w:val="none"/>
        </w:rPr>
        <w:sectPr>
          <w:footerReference r:id="rId5" w:type="default"/>
          <w:pgSz w:w="11906" w:h="16838"/>
          <w:pgMar w:top="1417" w:right="1417" w:bottom="1417" w:left="1417" w:header="720" w:footer="720" w:gutter="0"/>
          <w:pgNumType w:fmt="decimal" w:start="1"/>
          <w:cols w:space="720" w:num="1"/>
          <w:docGrid w:type="lines" w:linePitch="331" w:charSpace="0"/>
        </w:sectPr>
      </w:pPr>
    </w:p>
    <w:p w14:paraId="323687D7">
      <w:pPr>
        <w:snapToGrid w:val="0"/>
        <w:spacing w:beforeLines="50" w:after="50"/>
        <w:ind w:firstLine="360"/>
        <w:jc w:val="center"/>
        <w:rPr>
          <w:rFonts w:ascii="宋体" w:hAnsi="宋体" w:cs="宋体"/>
          <w:color w:val="auto"/>
          <w:sz w:val="24"/>
          <w:highlight w:val="none"/>
        </w:rPr>
      </w:pPr>
    </w:p>
    <w:p w14:paraId="79204813">
      <w:pPr>
        <w:ind w:firstLine="422"/>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2.资格证明文件目录</w:t>
      </w:r>
    </w:p>
    <w:p w14:paraId="57730877">
      <w:pPr>
        <w:snapToGrid w:val="0"/>
        <w:spacing w:line="360" w:lineRule="auto"/>
        <w:ind w:firstLine="360"/>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3D7AD410">
      <w:pPr>
        <w:snapToGrid w:val="0"/>
        <w:spacing w:line="360" w:lineRule="auto"/>
        <w:ind w:firstLine="482"/>
        <w:rPr>
          <w:rFonts w:ascii="宋体" w:hAnsi="宋体" w:cs="宋体"/>
          <w:b/>
          <w:color w:val="auto"/>
          <w:kern w:val="0"/>
          <w:sz w:val="32"/>
          <w:szCs w:val="32"/>
          <w:highlight w:val="none"/>
          <w:lang w:val="zh-CN"/>
        </w:rPr>
      </w:pPr>
    </w:p>
    <w:p w14:paraId="25A0F530">
      <w:pPr>
        <w:snapToGrid w:val="0"/>
        <w:spacing w:line="360" w:lineRule="auto"/>
        <w:ind w:right="480" w:firstLine="48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7B5331B9">
      <w:pPr>
        <w:snapToGrid w:val="0"/>
        <w:ind w:firstLine="270"/>
        <w:jc w:val="left"/>
        <w:rPr>
          <w:color w:val="auto"/>
          <w:sz w:val="18"/>
          <w:szCs w:val="18"/>
          <w:highlight w:val="none"/>
        </w:rPr>
      </w:pPr>
    </w:p>
    <w:p w14:paraId="0C809637">
      <w:pPr>
        <w:snapToGrid w:val="0"/>
        <w:spacing w:before="50" w:afterLines="50"/>
        <w:ind w:firstLine="422"/>
        <w:jc w:val="center"/>
        <w:rPr>
          <w:rFonts w:ascii="宋体" w:hAnsi="宋体" w:cs="宋体"/>
          <w:b/>
          <w:color w:val="auto"/>
          <w:sz w:val="28"/>
          <w:szCs w:val="28"/>
          <w:highlight w:val="none"/>
        </w:rPr>
      </w:pPr>
      <w:r>
        <w:rPr>
          <w:rFonts w:hint="eastAsia" w:ascii="宋体" w:hAnsi="宋体" w:cs="宋体"/>
          <w:b/>
          <w:color w:val="auto"/>
          <w:sz w:val="28"/>
          <w:szCs w:val="28"/>
          <w:highlight w:val="none"/>
        </w:rPr>
        <w:t>声明函</w:t>
      </w:r>
    </w:p>
    <w:p w14:paraId="2D89B6F4">
      <w:pPr>
        <w:tabs>
          <w:tab w:val="left" w:pos="7200"/>
        </w:tabs>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广西众联工程项目管理有限公司</w:t>
      </w:r>
    </w:p>
    <w:p w14:paraId="331150C4">
      <w:pPr>
        <w:snapToGrid w:val="0"/>
        <w:spacing w:line="360" w:lineRule="auto"/>
        <w:ind w:firstLine="420" w:firstLineChars="200"/>
        <w:jc w:val="left"/>
        <w:rPr>
          <w:color w:val="auto"/>
          <w:szCs w:val="21"/>
          <w:highlight w:val="none"/>
        </w:rPr>
      </w:pPr>
      <w:r>
        <w:rPr>
          <w:rFonts w:hint="eastAsia" w:ascii="宋体" w:hAnsi="宋体" w:cs="宋体"/>
          <w:i/>
          <w:iCs/>
          <w:color w:val="auto"/>
          <w:szCs w:val="21"/>
          <w:highlight w:val="none"/>
          <w:u w:val="single"/>
        </w:rPr>
        <w:t>（投标人名称）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B2ACB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）项目的投标，为便于贵方公正、择优地确定中标人，我方就本次投标有关事项郑重声明如下：</w:t>
      </w:r>
    </w:p>
    <w:p w14:paraId="46C01E69">
      <w:pPr>
        <w:snapToGrid w:val="0"/>
        <w:spacing w:line="360" w:lineRule="auto"/>
        <w:ind w:firstLine="420" w:firstLineChars="200"/>
        <w:jc w:val="left"/>
        <w:rPr>
          <w:color w:val="auto"/>
          <w:szCs w:val="21"/>
          <w:highlight w:val="none"/>
        </w:rPr>
      </w:pPr>
      <w:r>
        <w:rPr>
          <w:rFonts w:hint="eastAsia" w:ascii="宋体" w:hAnsi="宋体" w:cs="宋体"/>
          <w:color w:val="auto"/>
          <w:szCs w:val="21"/>
          <w:highlight w:val="none"/>
        </w:rPr>
        <w:t>1、我方向贵方提交的所有投标文件、资料都是准确的和真实的。</w:t>
      </w:r>
    </w:p>
    <w:p w14:paraId="69E21DF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FE678F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36B2402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18AC084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1BD045BD">
      <w:pPr>
        <w:spacing w:line="360" w:lineRule="auto"/>
        <w:ind w:firstLine="420" w:firstLineChars="200"/>
        <w:contextualSpacing/>
        <w:jc w:val="left"/>
        <w:rPr>
          <w:color w:val="auto"/>
          <w:sz w:val="18"/>
          <w:szCs w:val="18"/>
          <w:highlight w:val="none"/>
        </w:rPr>
      </w:pPr>
      <w:r>
        <w:rPr>
          <w:rFonts w:hint="eastAsia" w:ascii="宋体" w:hAnsi="宋体" w:cs="宋体"/>
          <w:color w:val="auto"/>
          <w:szCs w:val="21"/>
          <w:highlight w:val="none"/>
        </w:rPr>
        <w:t>（3）同意提供按照贵方可能要求的与投标有关的一切数据或者资料。</w:t>
      </w:r>
    </w:p>
    <w:p w14:paraId="67BB6D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5F9636E3">
      <w:pPr>
        <w:spacing w:line="360" w:lineRule="auto"/>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57DD834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5AB76C4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62639E4">
      <w:pPr>
        <w:snapToGrid w:val="0"/>
        <w:spacing w:line="360" w:lineRule="auto"/>
        <w:ind w:firstLine="270"/>
        <w:jc w:val="left"/>
        <w:rPr>
          <w:color w:val="auto"/>
          <w:sz w:val="18"/>
          <w:szCs w:val="18"/>
          <w:highlight w:val="none"/>
        </w:rPr>
      </w:pPr>
    </w:p>
    <w:p w14:paraId="5087F4E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71846E9C">
      <w:pP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0B4E07C4">
      <w:pPr>
        <w:snapToGrid w:val="0"/>
        <w:spacing w:before="50" w:afterLines="50" w:line="360" w:lineRule="auto"/>
        <w:ind w:firstLine="181" w:firstLineChars="100"/>
        <w:jc w:val="left"/>
        <w:rPr>
          <w:rFonts w:ascii="宋体" w:hAnsi="宋体"/>
          <w:color w:val="auto"/>
          <w:sz w:val="18"/>
          <w:szCs w:val="18"/>
          <w:highlight w:val="none"/>
        </w:rPr>
      </w:pPr>
      <w:r>
        <w:rPr>
          <w:rFonts w:hint="eastAsia" w:ascii="宋体" w:hAnsi="宋体"/>
          <w:b/>
          <w:color w:val="auto"/>
          <w:sz w:val="18"/>
          <w:szCs w:val="18"/>
          <w:highlight w:val="none"/>
        </w:rPr>
        <w:t xml:space="preserve">   注： 如为联合体投标，盖章处须加盖联合体各方公章，否则</w:t>
      </w:r>
      <w:r>
        <w:rPr>
          <w:rFonts w:hint="eastAsia" w:ascii="宋体" w:hAnsi="宋体" w:cs="宋体"/>
          <w:b/>
          <w:bCs/>
          <w:color w:val="auto"/>
          <w:sz w:val="18"/>
          <w:szCs w:val="18"/>
          <w:highlight w:val="none"/>
        </w:rPr>
        <w:t>其投标文件作无效响应处理</w:t>
      </w:r>
      <w:r>
        <w:rPr>
          <w:rFonts w:hint="eastAsia" w:ascii="宋体" w:hAnsi="宋体"/>
          <w:b/>
          <w:color w:val="auto"/>
          <w:sz w:val="18"/>
          <w:szCs w:val="18"/>
          <w:highlight w:val="none"/>
        </w:rPr>
        <w:t>。</w:t>
      </w:r>
    </w:p>
    <w:p w14:paraId="284F3811">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6E37D30F">
      <w:pPr>
        <w:snapToGrid w:val="0"/>
        <w:spacing w:before="50" w:afterLines="100"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日</w:t>
      </w:r>
    </w:p>
    <w:p w14:paraId="339451F0">
      <w:pPr>
        <w:snapToGrid w:val="0"/>
        <w:spacing w:line="360" w:lineRule="auto"/>
        <w:ind w:right="480" w:firstLine="42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投标人直接控股股东信息表的格式</w:t>
      </w:r>
      <w:r>
        <w:rPr>
          <w:rFonts w:hint="eastAsia"/>
          <w:color w:val="auto"/>
          <w:sz w:val="28"/>
          <w:szCs w:val="28"/>
          <w:highlight w:val="none"/>
        </w:rPr>
        <w:t>：</w:t>
      </w:r>
    </w:p>
    <w:p w14:paraId="4B9ED559">
      <w:pPr>
        <w:snapToGrid w:val="0"/>
        <w:ind w:firstLine="270"/>
        <w:jc w:val="left"/>
        <w:rPr>
          <w:color w:val="auto"/>
          <w:sz w:val="18"/>
          <w:szCs w:val="18"/>
          <w:highlight w:val="none"/>
        </w:rPr>
      </w:pPr>
    </w:p>
    <w:p w14:paraId="4E8E1A06">
      <w:pPr>
        <w:snapToGrid w:val="0"/>
        <w:spacing w:before="50" w:afterLines="50" w:line="360" w:lineRule="auto"/>
        <w:ind w:firstLine="482"/>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28"/>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38386AF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8AE00A">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A2726F">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7AD9AF">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01C0A6">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DC8A53">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5136E2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6D02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DBCE3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AF46E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2EFAC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0EDEF">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685FB5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EEE9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5270D3">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C1140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05A53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72BE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57AA6CA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168EE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3D711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EFC3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EB18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75B7C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489FD31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2DB708">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A88A4">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26A27B">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26A6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2BD648">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bl>
    <w:p w14:paraId="27E398B6">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注：</w:t>
      </w:r>
    </w:p>
    <w:p w14:paraId="2B42F3B4">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01DC8F">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0FAF3B4">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5B319945">
      <w:pPr>
        <w:snapToGrid w:val="0"/>
        <w:spacing w:before="50" w:afterLines="50"/>
        <w:ind w:firstLine="180" w:firstLineChars="100"/>
        <w:jc w:val="left"/>
        <w:rPr>
          <w:rFonts w:ascii="宋体" w:hAnsi="宋体"/>
          <w:color w:val="auto"/>
          <w:sz w:val="18"/>
          <w:szCs w:val="18"/>
          <w:highlight w:val="none"/>
        </w:rPr>
      </w:pPr>
    </w:p>
    <w:p w14:paraId="1BA084B7">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9937694">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565AE9B8">
      <w:pPr>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EE74024">
      <w:pPr>
        <w:snapToGrid w:val="0"/>
        <w:spacing w:line="360" w:lineRule="auto"/>
        <w:ind w:right="480" w:firstLine="48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投标人直接管理关系信息表的格式</w:t>
      </w:r>
      <w:r>
        <w:rPr>
          <w:rFonts w:hint="eastAsia"/>
          <w:color w:val="auto"/>
          <w:sz w:val="28"/>
          <w:szCs w:val="28"/>
          <w:highlight w:val="none"/>
        </w:rPr>
        <w:t>：</w:t>
      </w:r>
    </w:p>
    <w:p w14:paraId="4D3D84BF">
      <w:pPr>
        <w:snapToGrid w:val="0"/>
        <w:ind w:firstLine="270"/>
        <w:jc w:val="left"/>
        <w:rPr>
          <w:color w:val="auto"/>
          <w:sz w:val="18"/>
          <w:szCs w:val="18"/>
          <w:highlight w:val="none"/>
        </w:rPr>
      </w:pPr>
    </w:p>
    <w:p w14:paraId="7F514B94">
      <w:pPr>
        <w:snapToGrid w:val="0"/>
        <w:spacing w:line="360" w:lineRule="auto"/>
        <w:ind w:firstLine="482"/>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8"/>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6F27F9E">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0837CA">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0052B2">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49C2E5">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B40F5">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63D1B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9E5A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7A69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AB01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274DE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01303FA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A1A1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77C8D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EB47B6">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C6493">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1E8CBEC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0F497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EB5D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C84B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9B46F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32CD656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7F1DD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6F05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35961">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5F92B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bl>
    <w:p w14:paraId="6D2AE7D3">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注：</w:t>
      </w:r>
    </w:p>
    <w:p w14:paraId="3FEB9A2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907B2B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FCA60D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111A0A5A">
      <w:pPr>
        <w:snapToGrid w:val="0"/>
        <w:spacing w:before="50" w:afterLines="50"/>
        <w:ind w:firstLine="180" w:firstLineChars="100"/>
        <w:jc w:val="left"/>
        <w:rPr>
          <w:rFonts w:ascii="宋体" w:hAnsi="宋体"/>
          <w:color w:val="auto"/>
          <w:sz w:val="18"/>
          <w:szCs w:val="18"/>
          <w:highlight w:val="none"/>
        </w:rPr>
      </w:pPr>
    </w:p>
    <w:p w14:paraId="7249FB5B">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5F5F9483">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4966EE0D">
      <w:pPr>
        <w:rPr>
          <w:color w:val="auto"/>
          <w:highlight w:val="none"/>
        </w:rPr>
      </w:pPr>
      <w:r>
        <w:rPr>
          <w:rFonts w:hint="eastAsia"/>
          <w:color w:val="auto"/>
          <w:highlight w:val="none"/>
        </w:rPr>
        <w:br w:type="page"/>
      </w:r>
    </w:p>
    <w:p w14:paraId="5ECE0F87">
      <w:pPr>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t>6.联合体投标协议书的格式：</w:t>
      </w:r>
    </w:p>
    <w:p w14:paraId="0C29CE27">
      <w:pPr>
        <w:spacing w:line="600" w:lineRule="exact"/>
        <w:ind w:firstLine="422"/>
        <w:jc w:val="center"/>
        <w:rPr>
          <w:rFonts w:ascii="宋体" w:hAnsi="宋体" w:cs="宋体"/>
          <w:color w:val="auto"/>
          <w:sz w:val="28"/>
          <w:szCs w:val="28"/>
          <w:highlight w:val="none"/>
        </w:rPr>
      </w:pPr>
      <w:r>
        <w:rPr>
          <w:rFonts w:hint="eastAsia" w:ascii="宋体" w:hAnsi="宋体" w:cs="宋体"/>
          <w:b/>
          <w:bCs/>
          <w:color w:val="auto"/>
          <w:sz w:val="28"/>
          <w:szCs w:val="28"/>
          <w:highlight w:val="none"/>
        </w:rPr>
        <w:t>联合体投标协议书</w:t>
      </w:r>
    </w:p>
    <w:p w14:paraId="1B862804">
      <w:pPr>
        <w:autoSpaceDE w:val="0"/>
        <w:autoSpaceDN w:val="0"/>
        <w:adjustRightInd w:val="0"/>
        <w:jc w:val="left"/>
        <w:rPr>
          <w:rFonts w:ascii="宋体" w:hAnsi="宋体" w:cs="宋体"/>
          <w:color w:val="auto"/>
          <w:kern w:val="0"/>
          <w:szCs w:val="21"/>
          <w:highlight w:val="none"/>
          <w:u w:val="single"/>
        </w:rPr>
      </w:pPr>
    </w:p>
    <w:p w14:paraId="20BD35EC">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广西众联工程项目管理有限公司</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32FA82D3">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68F5B19E">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10C79EA">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1A813180">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9606CC3">
      <w:pPr>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0"/>
          <w:highlight w:val="none"/>
          <w:u w:val="single"/>
        </w:rPr>
        <w:t>（某成员单位名称）为</w:t>
      </w:r>
      <w:r>
        <w:rPr>
          <w:rFonts w:hint="eastAsia" w:ascii="宋体" w:hAnsi="宋体" w:cs="宋体"/>
          <w:color w:val="auto"/>
          <w:kern w:val="0"/>
          <w:szCs w:val="21"/>
          <w:highlight w:val="none"/>
          <w:u w:val="single"/>
        </w:rPr>
        <w:t xml:space="preserve">        </w:t>
      </w:r>
      <w:r>
        <w:rPr>
          <w:rFonts w:hint="eastAsia" w:ascii="宋体" w:hAnsi="宋体" w:cs="宋体"/>
          <w:color w:val="auto"/>
          <w:szCs w:val="20"/>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ascii="宋体" w:hAnsi="宋体" w:cs="宋体"/>
          <w:color w:val="auto"/>
          <w:szCs w:val="20"/>
          <w:highlight w:val="none"/>
        </w:rPr>
        <w:t>%。【如联合体成员中有小型、微型企业的，请填写此条，否则无需填写；如联合体成员中有多个小型、微型企业的，请逐一列出。】</w:t>
      </w:r>
    </w:p>
    <w:p w14:paraId="3A1C0EEA">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37004A08">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FF56F92">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BA63B27">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65CB41E9">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EA3AACA">
      <w:pPr>
        <w:autoSpaceDE w:val="0"/>
        <w:autoSpaceDN w:val="0"/>
        <w:adjustRightInd w:val="0"/>
        <w:spacing w:line="440" w:lineRule="exact"/>
        <w:jc w:val="left"/>
        <w:rPr>
          <w:rFonts w:ascii="宋体" w:hAnsi="宋体" w:cs="宋体"/>
          <w:color w:val="auto"/>
          <w:kern w:val="0"/>
          <w:szCs w:val="21"/>
          <w:highlight w:val="none"/>
        </w:rPr>
      </w:pPr>
    </w:p>
    <w:p w14:paraId="3246833E">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48BFBA78">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66AFC2C">
      <w:pPr>
        <w:autoSpaceDE w:val="0"/>
        <w:autoSpaceDN w:val="0"/>
        <w:adjustRightInd w:val="0"/>
        <w:spacing w:line="440" w:lineRule="exact"/>
        <w:jc w:val="left"/>
        <w:rPr>
          <w:rFonts w:ascii="宋体" w:hAnsi="宋体" w:cs="宋体"/>
          <w:color w:val="auto"/>
          <w:kern w:val="0"/>
          <w:szCs w:val="21"/>
          <w:highlight w:val="none"/>
        </w:rPr>
      </w:pPr>
    </w:p>
    <w:p w14:paraId="17BDA111">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7ACF09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32D7A19">
      <w:pPr>
        <w:overflowPunct w:val="0"/>
        <w:spacing w:line="440" w:lineRule="exact"/>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w:t>
      </w:r>
    </w:p>
    <w:p w14:paraId="4864033B">
      <w:pPr>
        <w:overflowPunct w:val="0"/>
        <w:ind w:firstLine="7140" w:firstLineChars="2975"/>
        <w:rPr>
          <w:rFonts w:ascii="宋体" w:hAnsi="宋体" w:cs="宋体"/>
          <w:color w:val="auto"/>
          <w:sz w:val="24"/>
          <w:szCs w:val="20"/>
          <w:highlight w:val="none"/>
        </w:rPr>
      </w:pPr>
      <w:r>
        <w:rPr>
          <w:rFonts w:hint="eastAsia" w:ascii="宋体" w:hAnsi="宋体" w:cs="宋体"/>
          <w:color w:val="auto"/>
          <w:sz w:val="24"/>
          <w:szCs w:val="20"/>
          <w:highlight w:val="none"/>
        </w:rPr>
        <w:t xml:space="preserve">年  </w:t>
      </w: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rPr>
        <w:tab/>
      </w:r>
      <w:r>
        <w:rPr>
          <w:rFonts w:hint="eastAsia" w:ascii="宋体" w:hAnsi="宋体" w:cs="宋体"/>
          <w:color w:val="auto"/>
          <w:sz w:val="24"/>
          <w:szCs w:val="20"/>
          <w:highlight w:val="none"/>
        </w:rPr>
        <w:t>日</w:t>
      </w:r>
    </w:p>
    <w:p w14:paraId="524867F3">
      <w:pPr>
        <w:jc w:val="center"/>
        <w:outlineLvl w:val="1"/>
        <w:rPr>
          <w:rFonts w:ascii="宋体" w:hAnsi="宋体" w:cs="宋体"/>
          <w:color w:val="auto"/>
          <w:szCs w:val="21"/>
          <w:highlight w:val="none"/>
        </w:rPr>
      </w:pPr>
      <w:r>
        <w:rPr>
          <w:rFonts w:hint="eastAsia" w:ascii="宋体" w:hAnsi="宋体" w:cs="宋体"/>
          <w:color w:val="auto"/>
          <w:szCs w:val="21"/>
          <w:highlight w:val="none"/>
        </w:rPr>
        <w:br w:type="page"/>
      </w:r>
    </w:p>
    <w:p w14:paraId="29EEB0BF">
      <w:pPr>
        <w:ind w:firstLine="422"/>
        <w:jc w:val="center"/>
        <w:outlineLvl w:val="1"/>
        <w:rPr>
          <w:rFonts w:ascii="宋体" w:hAnsi="宋体" w:cs="宋体"/>
          <w:b/>
          <w:bCs/>
          <w:color w:val="auto"/>
          <w:sz w:val="28"/>
          <w:szCs w:val="28"/>
          <w:highlight w:val="none"/>
        </w:rPr>
      </w:pPr>
      <w:bookmarkStart w:id="263" w:name="_Toc15031"/>
      <w:bookmarkStart w:id="264" w:name="_Toc13859"/>
      <w:bookmarkStart w:id="265" w:name="_Toc32555"/>
      <w:bookmarkStart w:id="266" w:name="_Toc13558"/>
      <w:bookmarkStart w:id="267" w:name="_Toc22991"/>
      <w:bookmarkStart w:id="268" w:name="_Toc19686838"/>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节 商务文件格式</w:t>
      </w:r>
      <w:bookmarkEnd w:id="263"/>
      <w:bookmarkEnd w:id="264"/>
      <w:bookmarkEnd w:id="265"/>
      <w:bookmarkEnd w:id="266"/>
      <w:bookmarkEnd w:id="267"/>
      <w:bookmarkEnd w:id="268"/>
    </w:p>
    <w:p w14:paraId="7D5F203C">
      <w:pPr>
        <w:snapToGrid w:val="0"/>
        <w:spacing w:beforeLines="50" w:after="50"/>
        <w:ind w:firstLine="450"/>
        <w:rPr>
          <w:rFonts w:ascii="宋体" w:hAnsi="宋体" w:cs="宋体"/>
          <w:color w:val="auto"/>
          <w:sz w:val="30"/>
          <w:szCs w:val="20"/>
          <w:highlight w:val="none"/>
        </w:rPr>
      </w:pPr>
    </w:p>
    <w:p w14:paraId="7796E19E">
      <w:pPr>
        <w:snapToGrid w:val="0"/>
        <w:spacing w:beforeLines="50" w:after="50"/>
        <w:ind w:firstLine="422"/>
        <w:rPr>
          <w:rFonts w:ascii="宋体" w:hAnsi="宋体" w:cs="宋体"/>
          <w:b/>
          <w:color w:val="auto"/>
          <w:sz w:val="28"/>
          <w:szCs w:val="28"/>
          <w:highlight w:val="none"/>
        </w:rPr>
      </w:pPr>
      <w:r>
        <w:rPr>
          <w:rFonts w:hint="eastAsia" w:ascii="宋体" w:hAnsi="宋体" w:cs="宋体"/>
          <w:b/>
          <w:color w:val="auto"/>
          <w:sz w:val="28"/>
          <w:szCs w:val="28"/>
          <w:highlight w:val="none"/>
        </w:rPr>
        <w:t>1.商务文件封面的格式：</w:t>
      </w:r>
    </w:p>
    <w:p w14:paraId="2ECEA956">
      <w:pPr>
        <w:snapToGrid w:val="0"/>
        <w:ind w:firstLine="270"/>
        <w:jc w:val="left"/>
        <w:rPr>
          <w:color w:val="auto"/>
          <w:sz w:val="18"/>
          <w:szCs w:val="18"/>
          <w:highlight w:val="none"/>
        </w:rPr>
      </w:pPr>
    </w:p>
    <w:p w14:paraId="132EF4C5">
      <w:pPr>
        <w:snapToGrid w:val="0"/>
        <w:spacing w:beforeLines="50" w:after="50"/>
        <w:jc w:val="right"/>
        <w:rPr>
          <w:rFonts w:ascii="宋体" w:hAnsi="宋体" w:cs="宋体"/>
          <w:bCs/>
          <w:color w:val="auto"/>
          <w:sz w:val="32"/>
          <w:szCs w:val="20"/>
          <w:highlight w:val="none"/>
        </w:rPr>
      </w:pPr>
      <w:r>
        <w:rPr>
          <w:rFonts w:hint="eastAsia" w:ascii="宋体" w:hAnsi="宋体" w:cs="宋体"/>
          <w:bCs/>
          <w:color w:val="auto"/>
          <w:highlight w:val="none"/>
        </w:rPr>
        <w:t xml:space="preserve">             电子投标文件</w:t>
      </w:r>
    </w:p>
    <w:p w14:paraId="6AFA31A7">
      <w:pPr>
        <w:snapToGrid w:val="0"/>
        <w:spacing w:beforeLines="50" w:after="50"/>
        <w:ind w:firstLine="360"/>
        <w:rPr>
          <w:rFonts w:ascii="宋体" w:hAnsi="宋体" w:cs="宋体"/>
          <w:color w:val="auto"/>
          <w:sz w:val="24"/>
          <w:szCs w:val="20"/>
          <w:highlight w:val="none"/>
        </w:rPr>
      </w:pPr>
    </w:p>
    <w:p w14:paraId="79E7D9DF">
      <w:pPr>
        <w:snapToGrid w:val="0"/>
        <w:spacing w:beforeLines="50" w:after="50"/>
        <w:ind w:firstLine="482"/>
        <w:jc w:val="center"/>
        <w:rPr>
          <w:rFonts w:ascii="宋体" w:hAnsi="宋体" w:cs="宋体"/>
          <w:b/>
          <w:color w:val="auto"/>
          <w:sz w:val="32"/>
          <w:szCs w:val="32"/>
          <w:highlight w:val="none"/>
        </w:rPr>
      </w:pPr>
    </w:p>
    <w:p w14:paraId="294FE256">
      <w:pPr>
        <w:snapToGrid w:val="0"/>
        <w:spacing w:beforeLines="50" w:after="50"/>
        <w:ind w:firstLine="482"/>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14:paraId="78625FB9">
      <w:pPr>
        <w:snapToGrid w:val="0"/>
        <w:spacing w:beforeLines="50" w:after="50"/>
        <w:ind w:firstLine="360"/>
        <w:rPr>
          <w:rFonts w:ascii="宋体" w:hAnsi="宋体" w:cs="宋体"/>
          <w:bCs/>
          <w:color w:val="auto"/>
          <w:sz w:val="24"/>
          <w:szCs w:val="20"/>
          <w:highlight w:val="none"/>
        </w:rPr>
      </w:pPr>
    </w:p>
    <w:p w14:paraId="3656DBC0">
      <w:pPr>
        <w:snapToGrid w:val="0"/>
        <w:spacing w:beforeLines="50" w:after="50"/>
        <w:ind w:firstLine="540" w:firstLineChars="225"/>
        <w:rPr>
          <w:rFonts w:ascii="宋体" w:hAnsi="宋体" w:cs="宋体"/>
          <w:bCs/>
          <w:color w:val="auto"/>
          <w:sz w:val="24"/>
          <w:highlight w:val="none"/>
        </w:rPr>
      </w:pPr>
    </w:p>
    <w:p w14:paraId="51E02DD2">
      <w:pPr>
        <w:snapToGrid w:val="0"/>
        <w:spacing w:beforeLines="50" w:after="50"/>
        <w:ind w:firstLine="540" w:firstLineChars="225"/>
        <w:rPr>
          <w:rFonts w:ascii="宋体" w:hAnsi="宋体" w:cs="宋体"/>
          <w:bCs/>
          <w:color w:val="auto"/>
          <w:sz w:val="24"/>
          <w:highlight w:val="none"/>
        </w:rPr>
      </w:pPr>
    </w:p>
    <w:p w14:paraId="0505AC48">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18AA2AE">
      <w:pPr>
        <w:snapToGrid w:val="0"/>
        <w:spacing w:beforeLines="50" w:after="50"/>
        <w:ind w:firstLine="540" w:firstLineChars="225"/>
        <w:rPr>
          <w:rFonts w:ascii="宋体" w:hAnsi="宋体" w:cs="宋体"/>
          <w:bCs/>
          <w:color w:val="auto"/>
          <w:sz w:val="24"/>
          <w:szCs w:val="20"/>
          <w:highlight w:val="none"/>
        </w:rPr>
      </w:pPr>
    </w:p>
    <w:p w14:paraId="09EE6D2A">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9EBDF38">
      <w:pPr>
        <w:snapToGrid w:val="0"/>
        <w:spacing w:beforeLines="50" w:after="50"/>
        <w:ind w:firstLine="540" w:firstLineChars="225"/>
        <w:rPr>
          <w:rFonts w:ascii="宋体" w:hAnsi="宋体" w:cs="宋体"/>
          <w:bCs/>
          <w:color w:val="auto"/>
          <w:sz w:val="24"/>
          <w:szCs w:val="20"/>
          <w:highlight w:val="none"/>
        </w:rPr>
      </w:pPr>
    </w:p>
    <w:p w14:paraId="206EE6B0">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4C0B33C5">
      <w:pPr>
        <w:snapToGrid w:val="0"/>
        <w:spacing w:beforeLines="50" w:after="50"/>
        <w:ind w:firstLine="540" w:firstLineChars="225"/>
        <w:rPr>
          <w:rFonts w:ascii="宋体" w:hAnsi="宋体" w:cs="宋体"/>
          <w:bCs/>
          <w:color w:val="auto"/>
          <w:sz w:val="24"/>
          <w:szCs w:val="20"/>
          <w:highlight w:val="none"/>
        </w:rPr>
      </w:pPr>
    </w:p>
    <w:p w14:paraId="1506C510">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0BDB3ECD">
      <w:pPr>
        <w:snapToGrid w:val="0"/>
        <w:spacing w:before="50" w:after="50"/>
        <w:ind w:firstLine="540" w:firstLineChars="225"/>
        <w:rPr>
          <w:rFonts w:ascii="宋体" w:hAnsi="宋体" w:cs="宋体"/>
          <w:bCs/>
          <w:color w:val="auto"/>
          <w:sz w:val="24"/>
          <w:highlight w:val="none"/>
        </w:rPr>
      </w:pPr>
    </w:p>
    <w:p w14:paraId="402B2F66">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676C588A">
      <w:pPr>
        <w:snapToGrid w:val="0"/>
        <w:spacing w:before="50" w:after="50"/>
        <w:ind w:firstLine="960" w:firstLineChars="400"/>
        <w:rPr>
          <w:rFonts w:ascii="宋体" w:hAnsi="宋体" w:cs="宋体"/>
          <w:bCs/>
          <w:color w:val="auto"/>
          <w:sz w:val="24"/>
          <w:highlight w:val="none"/>
        </w:rPr>
      </w:pPr>
    </w:p>
    <w:p w14:paraId="7E7A028F">
      <w:pPr>
        <w:snapToGrid w:val="0"/>
        <w:spacing w:beforeLines="50" w:after="50"/>
        <w:ind w:firstLine="360"/>
        <w:rPr>
          <w:rFonts w:ascii="宋体" w:hAnsi="宋体" w:cs="宋体"/>
          <w:color w:val="auto"/>
          <w:sz w:val="24"/>
          <w:highlight w:val="none"/>
        </w:rPr>
      </w:pPr>
    </w:p>
    <w:p w14:paraId="70593C89">
      <w:pPr>
        <w:snapToGrid w:val="0"/>
        <w:spacing w:beforeLines="50" w:after="50"/>
        <w:ind w:firstLine="360"/>
        <w:rPr>
          <w:rFonts w:ascii="宋体" w:hAnsi="宋体" w:cs="宋体"/>
          <w:color w:val="auto"/>
          <w:sz w:val="24"/>
          <w:highlight w:val="none"/>
        </w:rPr>
      </w:pPr>
    </w:p>
    <w:p w14:paraId="5F0052D3">
      <w:pPr>
        <w:snapToGrid w:val="0"/>
        <w:spacing w:beforeLines="50" w:after="50"/>
        <w:ind w:firstLine="4329" w:firstLineChars="1804"/>
        <w:rPr>
          <w:rFonts w:ascii="宋体" w:hAnsi="宋体" w:cs="宋体"/>
          <w:color w:val="auto"/>
          <w:sz w:val="24"/>
          <w:highlight w:val="none"/>
        </w:rPr>
      </w:pPr>
      <w:r>
        <w:rPr>
          <w:rFonts w:hint="eastAsia" w:ascii="宋体" w:hAnsi="宋体" w:cs="宋体"/>
          <w:color w:val="auto"/>
          <w:sz w:val="24"/>
          <w:highlight w:val="none"/>
        </w:rPr>
        <w:t>年   月   日</w:t>
      </w:r>
    </w:p>
    <w:p w14:paraId="16FD77F2">
      <w:pPr>
        <w:spacing w:line="360" w:lineRule="auto"/>
        <w:ind w:right="420" w:firstLine="360"/>
        <w:rPr>
          <w:rFonts w:ascii="宋体" w:hAnsi="宋体" w:cs="宋体"/>
          <w:color w:val="auto"/>
          <w:sz w:val="24"/>
          <w:szCs w:val="20"/>
          <w:highlight w:val="none"/>
        </w:rPr>
      </w:pPr>
    </w:p>
    <w:p w14:paraId="36BD00C8">
      <w:pPr>
        <w:spacing w:line="360" w:lineRule="auto"/>
        <w:ind w:right="420" w:firstLine="422"/>
        <w:rPr>
          <w:rFonts w:ascii="宋体" w:hAnsi="宋体" w:cs="宋体"/>
          <w:color w:val="auto"/>
          <w:sz w:val="24"/>
          <w:szCs w:val="20"/>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2.商务文件目录</w:t>
      </w:r>
    </w:p>
    <w:p w14:paraId="3F5EEAE0">
      <w:pPr>
        <w:spacing w:line="360" w:lineRule="auto"/>
        <w:ind w:right="420" w:firstLine="36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08110383">
      <w:pPr>
        <w:ind w:firstLine="361"/>
        <w:rPr>
          <w:rFonts w:ascii="宋体" w:hAnsi="宋体" w:cs="宋体"/>
          <w:b/>
          <w:color w:val="auto"/>
          <w:kern w:val="0"/>
          <w:sz w:val="24"/>
          <w:highlight w:val="none"/>
        </w:rPr>
      </w:pPr>
    </w:p>
    <w:p w14:paraId="1FFC5A7B">
      <w:pPr>
        <w:spacing w:line="360" w:lineRule="auto"/>
        <w:ind w:firstLine="361"/>
        <w:rPr>
          <w:rFonts w:ascii="宋体" w:hAnsi="宋体" w:cs="宋体"/>
          <w:b/>
          <w:bCs/>
          <w:color w:val="auto"/>
          <w:sz w:val="24"/>
          <w:highlight w:val="none"/>
        </w:rPr>
      </w:pPr>
    </w:p>
    <w:p w14:paraId="7C354C6D">
      <w:pPr>
        <w:snapToGrid w:val="0"/>
        <w:spacing w:beforeLines="50" w:after="50"/>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3.无串通投标行为的承诺函的格式：</w:t>
      </w:r>
    </w:p>
    <w:p w14:paraId="73B75693">
      <w:pPr>
        <w:snapToGrid w:val="0"/>
        <w:spacing w:beforeLines="50" w:after="50"/>
        <w:ind w:left="420" w:firstLine="422"/>
        <w:jc w:val="center"/>
        <w:rPr>
          <w:rFonts w:ascii="宋体" w:hAnsi="宋体" w:cs="宋体"/>
          <w:b/>
          <w:color w:val="auto"/>
          <w:sz w:val="28"/>
          <w:szCs w:val="28"/>
          <w:highlight w:val="none"/>
        </w:rPr>
      </w:pPr>
    </w:p>
    <w:p w14:paraId="5005002B">
      <w:pPr>
        <w:snapToGrid w:val="0"/>
        <w:spacing w:beforeLines="50" w:after="50"/>
        <w:ind w:left="420" w:firstLine="422"/>
        <w:jc w:val="center"/>
        <w:rPr>
          <w:rFonts w:ascii="宋体" w:hAnsi="宋体" w:cs="宋体"/>
          <w:b/>
          <w:color w:val="auto"/>
          <w:sz w:val="28"/>
          <w:szCs w:val="28"/>
          <w:highlight w:val="none"/>
        </w:rPr>
      </w:pPr>
      <w:r>
        <w:rPr>
          <w:rFonts w:hint="eastAsia" w:ascii="宋体" w:hAnsi="宋体" w:cs="宋体"/>
          <w:b/>
          <w:color w:val="auto"/>
          <w:sz w:val="28"/>
          <w:szCs w:val="28"/>
          <w:highlight w:val="none"/>
        </w:rPr>
        <w:t>参加本项目无</w:t>
      </w:r>
      <w:r>
        <w:rPr>
          <w:rFonts w:hint="eastAsia" w:ascii="宋体" w:hAnsi="宋体" w:cs="宋体"/>
          <w:b/>
          <w:bCs/>
          <w:color w:val="auto"/>
          <w:sz w:val="28"/>
          <w:szCs w:val="28"/>
          <w:highlight w:val="none"/>
        </w:rPr>
        <w:t>串通投标</w:t>
      </w:r>
      <w:r>
        <w:rPr>
          <w:rFonts w:hint="eastAsia" w:ascii="宋体" w:hAnsi="宋体" w:cs="宋体"/>
          <w:b/>
          <w:color w:val="auto"/>
          <w:sz w:val="28"/>
          <w:szCs w:val="28"/>
          <w:highlight w:val="none"/>
        </w:rPr>
        <w:t>行为的承诺函</w:t>
      </w:r>
    </w:p>
    <w:p w14:paraId="2F06DE1A">
      <w:pPr>
        <w:snapToGrid w:val="0"/>
        <w:spacing w:beforeLines="50" w:after="50"/>
        <w:ind w:firstLine="316"/>
        <w:rPr>
          <w:rFonts w:ascii="宋体" w:hAnsi="宋体" w:cs="宋体"/>
          <w:b/>
          <w:color w:val="auto"/>
          <w:szCs w:val="21"/>
          <w:highlight w:val="none"/>
        </w:rPr>
      </w:pPr>
    </w:p>
    <w:p w14:paraId="1486E406">
      <w:pPr>
        <w:snapToGrid w:val="0"/>
        <w:spacing w:beforeLines="50" w:after="50" w:line="360" w:lineRule="auto"/>
        <w:ind w:firstLine="316"/>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3C7DEBDA">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1.不同投标人的投标文件由同一单位或者个人编制；或不同投标人报名的IP地址一致的。</w:t>
      </w:r>
    </w:p>
    <w:p w14:paraId="6944A667">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C3B68A1">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C485DCD">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1A749F67">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4FF4713D">
      <w:pPr>
        <w:snapToGrid w:val="0"/>
        <w:spacing w:beforeLines="50" w:after="50"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.不同投标人的投标保证金从同一单位或者个人账户转出。</w:t>
      </w:r>
    </w:p>
    <w:p w14:paraId="6D9789E7">
      <w:pPr>
        <w:snapToGrid w:val="0"/>
        <w:spacing w:beforeLines="50" w:after="50" w:line="360" w:lineRule="auto"/>
        <w:ind w:firstLine="316"/>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C86FF2E">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739EEDDF">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6E806E3E">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14:paraId="08E083C0">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73233FF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72AD949">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0C5E8BC3">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FB8C5EA">
      <w:pPr>
        <w:snapToGrid w:val="0"/>
        <w:spacing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auto"/>
          <w:szCs w:val="21"/>
          <w:highlight w:val="none"/>
        </w:rPr>
        <w:t>。</w:t>
      </w:r>
    </w:p>
    <w:p w14:paraId="43206892">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C0BDC26">
      <w:pPr>
        <w:snapToGrid w:val="0"/>
        <w:spacing w:line="360" w:lineRule="auto"/>
        <w:ind w:firstLine="6360" w:firstLineChars="26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1519384">
      <w:pPr>
        <w:snapToGrid w:val="0"/>
        <w:spacing w:before="295" w:after="295" w:line="360" w:lineRule="auto"/>
        <w:ind w:firstLine="361"/>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bCs/>
          <w:color w:val="auto"/>
          <w:sz w:val="28"/>
          <w:szCs w:val="28"/>
          <w:highlight w:val="none"/>
        </w:rPr>
        <w:t>4.法定代表人身份证明的格式：</w:t>
      </w:r>
    </w:p>
    <w:p w14:paraId="12FAEEF4">
      <w:pPr>
        <w:spacing w:beforeLines="100" w:afterLines="50"/>
        <w:ind w:left="540" w:firstLine="482"/>
        <w:jc w:val="center"/>
        <w:rPr>
          <w:rFonts w:ascii="宋体" w:hAnsi="宋体" w:cs="宋体"/>
          <w:b/>
          <w:color w:val="auto"/>
          <w:sz w:val="32"/>
          <w:szCs w:val="32"/>
          <w:highlight w:val="none"/>
        </w:rPr>
      </w:pPr>
    </w:p>
    <w:p w14:paraId="2F5AD5FC">
      <w:pPr>
        <w:adjustRightInd w:val="0"/>
        <w:spacing w:beforeLines="100" w:afterLines="50"/>
        <w:ind w:left="539"/>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2DF88A0A">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63F172E">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29E7AD4">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CC18446">
      <w:pPr>
        <w:adjustRightInd w:val="0"/>
        <w:spacing w:line="500" w:lineRule="exact"/>
        <w:ind w:left="539"/>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85E0E3E">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A1942CF">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1F021C51">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特此证明。</w:t>
      </w:r>
    </w:p>
    <w:p w14:paraId="5DFDE49B">
      <w:pPr>
        <w:adjustRightInd w:val="0"/>
        <w:spacing w:line="500" w:lineRule="exact"/>
        <w:ind w:left="539"/>
        <w:rPr>
          <w:rFonts w:ascii="宋体" w:hAnsi="宋体" w:cs="宋体"/>
          <w:color w:val="auto"/>
          <w:sz w:val="24"/>
          <w:highlight w:val="none"/>
        </w:rPr>
      </w:pPr>
    </w:p>
    <w:p w14:paraId="7C4B0B5C">
      <w:pPr>
        <w:adjustRightInd w:val="0"/>
        <w:spacing w:line="500" w:lineRule="exact"/>
        <w:ind w:left="539"/>
        <w:rPr>
          <w:rFonts w:ascii="宋体" w:hAnsi="宋体" w:cs="宋体"/>
          <w:color w:val="auto"/>
          <w:sz w:val="24"/>
          <w:highlight w:val="none"/>
        </w:rPr>
      </w:pPr>
    </w:p>
    <w:p w14:paraId="125879EF">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DE3459A">
      <w:pPr>
        <w:spacing w:line="500" w:lineRule="exact"/>
        <w:ind w:left="540" w:firstLine="360"/>
        <w:rPr>
          <w:rFonts w:ascii="宋体" w:hAnsi="宋体" w:cs="宋体"/>
          <w:color w:val="auto"/>
          <w:sz w:val="24"/>
          <w:highlight w:val="none"/>
        </w:rPr>
      </w:pPr>
    </w:p>
    <w:p w14:paraId="0E1DD0A3">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14:paraId="1040EA3F">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C5EEE6">
      <w:pPr>
        <w:snapToGrid w:val="0"/>
        <w:spacing w:beforeLines="50" w:after="50"/>
        <w:ind w:firstLine="361"/>
        <w:jc w:val="center"/>
        <w:rPr>
          <w:rFonts w:ascii="宋体" w:hAnsi="宋体" w:cs="宋体"/>
          <w:b/>
          <w:color w:val="auto"/>
          <w:sz w:val="24"/>
          <w:highlight w:val="none"/>
        </w:rPr>
      </w:pPr>
    </w:p>
    <w:p w14:paraId="42A672E6">
      <w:pPr>
        <w:snapToGrid w:val="0"/>
        <w:spacing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4F299937">
      <w:pPr>
        <w:snapToGrid w:val="0"/>
        <w:spacing w:beforeLines="50" w:after="50"/>
        <w:ind w:firstLine="600" w:firstLineChars="250"/>
        <w:jc w:val="left"/>
        <w:rPr>
          <w:rFonts w:ascii="宋体" w:hAnsi="宋体" w:cs="宋体"/>
          <w:color w:val="auto"/>
          <w:sz w:val="24"/>
          <w:highlight w:val="none"/>
        </w:rPr>
      </w:pPr>
    </w:p>
    <w:p w14:paraId="52F7CC6B">
      <w:pPr>
        <w:snapToGrid w:val="0"/>
        <w:spacing w:beforeLines="50" w:after="50"/>
        <w:ind w:firstLine="602" w:firstLineChars="250"/>
        <w:jc w:val="left"/>
        <w:rPr>
          <w:rFonts w:ascii="宋体" w:hAnsi="宋体" w:cs="宋体"/>
          <w:b/>
          <w:color w:val="auto"/>
          <w:sz w:val="24"/>
          <w:szCs w:val="20"/>
          <w:highlight w:val="none"/>
        </w:rPr>
      </w:pPr>
    </w:p>
    <w:tbl>
      <w:tblPr>
        <w:tblStyle w:val="28"/>
        <w:tblpPr w:leftFromText="180" w:rightFromText="180" w:vertAnchor="text" w:horzAnchor="margin" w:tblpY="1169"/>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2"/>
      </w:tblGrid>
      <w:tr w14:paraId="47F3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052" w:type="dxa"/>
            <w:tcBorders>
              <w:top w:val="single" w:color="auto" w:sz="4" w:space="0"/>
              <w:left w:val="single" w:color="auto" w:sz="4" w:space="0"/>
              <w:bottom w:val="single" w:color="auto" w:sz="4" w:space="0"/>
              <w:right w:val="single" w:color="auto" w:sz="4" w:space="0"/>
            </w:tcBorders>
            <w:noWrap/>
          </w:tcPr>
          <w:p w14:paraId="0DFBF4E4">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p>
          <w:p w14:paraId="2AF573F3">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r>
              <w:rPr>
                <w:rFonts w:hint="eastAsia" w:ascii="宋体" w:hAnsi="宋体" w:cs="宋体"/>
                <w:b/>
                <w:color w:val="auto"/>
                <w:sz w:val="24"/>
                <w:highlight w:val="none"/>
              </w:rPr>
              <w:t>法定代表人有效身份证复印件粘贴处（正、反面）</w:t>
            </w:r>
          </w:p>
        </w:tc>
      </w:tr>
    </w:tbl>
    <w:p w14:paraId="699C7DD3">
      <w:pPr>
        <w:snapToGrid w:val="0"/>
        <w:spacing w:before="295" w:after="295" w:line="360" w:lineRule="auto"/>
        <w:ind w:firstLine="361"/>
        <w:jc w:val="left"/>
        <w:rPr>
          <w:rFonts w:ascii="宋体" w:hAnsi="宋体" w:cs="宋体"/>
          <w:b/>
          <w:color w:val="auto"/>
          <w:sz w:val="24"/>
          <w:szCs w:val="20"/>
          <w:highlight w:val="none"/>
        </w:rPr>
      </w:pPr>
      <w:r>
        <w:rPr>
          <w:rFonts w:hint="eastAsia" w:ascii="宋体" w:hAnsi="宋体" w:cs="宋体"/>
          <w:b/>
          <w:color w:val="auto"/>
          <w:sz w:val="24"/>
          <w:szCs w:val="20"/>
          <w:highlight w:val="none"/>
        </w:rPr>
        <w:t>附件：</w:t>
      </w:r>
      <w:r>
        <w:rPr>
          <w:rFonts w:hint="eastAsia" w:ascii="宋体" w:hAnsi="宋体" w:cs="宋体"/>
          <w:b/>
          <w:color w:val="auto"/>
          <w:sz w:val="24"/>
          <w:szCs w:val="20"/>
          <w:highlight w:val="none"/>
        </w:rPr>
        <w:br w:type="page"/>
      </w:r>
      <w:r>
        <w:rPr>
          <w:rFonts w:hint="eastAsia" w:ascii="宋体" w:hAnsi="宋体" w:cs="宋体"/>
          <w:b/>
          <w:bCs/>
          <w:color w:val="auto"/>
          <w:sz w:val="30"/>
          <w:szCs w:val="30"/>
          <w:highlight w:val="none"/>
        </w:rPr>
        <w:t>5.法定代表人授权委托书的格式：</w:t>
      </w:r>
    </w:p>
    <w:p w14:paraId="7892C337">
      <w:pPr>
        <w:snapToGrid w:val="0"/>
        <w:spacing w:beforeLines="50" w:after="50"/>
        <w:ind w:firstLine="482"/>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r>
        <w:rPr>
          <w:rFonts w:hint="eastAsia" w:ascii="宋体" w:hAnsi="宋体" w:cs="宋体"/>
          <w:b/>
          <w:bCs/>
          <w:color w:val="auto"/>
          <w:sz w:val="30"/>
          <w:szCs w:val="30"/>
          <w:highlight w:val="none"/>
        </w:rPr>
        <w:t>（如有委托时）</w:t>
      </w:r>
    </w:p>
    <w:p w14:paraId="2A62C095">
      <w:pPr>
        <w:snapToGrid w:val="0"/>
        <w:spacing w:beforeLines="50" w:after="50"/>
        <w:ind w:firstLine="361"/>
        <w:jc w:val="center"/>
        <w:rPr>
          <w:rFonts w:ascii="宋体" w:hAnsi="宋体" w:cs="宋体"/>
          <w:b/>
          <w:color w:val="auto"/>
          <w:sz w:val="24"/>
          <w:highlight w:val="none"/>
        </w:rPr>
      </w:pPr>
    </w:p>
    <w:p w14:paraId="56D7B070">
      <w:pPr>
        <w:spacing w:line="440" w:lineRule="exact"/>
        <w:ind w:firstLine="420" w:firstLineChars="200"/>
        <w:rPr>
          <w:rFonts w:hint="eastAsia" w:ascii="宋体" w:hAnsi="宋体" w:eastAsia="宋体" w:cs="宋体"/>
          <w:color w:val="auto"/>
          <w:szCs w:val="20"/>
          <w:highlight w:val="none"/>
          <w:lang w:eastAsia="zh-CN"/>
        </w:rPr>
      </w:pPr>
      <w:r>
        <w:rPr>
          <w:rFonts w:hint="eastAsia" w:ascii="宋体" w:hAnsi="宋体" w:cs="宋体"/>
          <w:color w:val="auto"/>
          <w:szCs w:val="20"/>
          <w:highlight w:val="none"/>
        </w:rPr>
        <w:t>致：</w:t>
      </w:r>
      <w:r>
        <w:rPr>
          <w:rFonts w:hint="eastAsia" w:ascii="宋体" w:hAnsi="宋体" w:cs="宋体"/>
          <w:color w:val="auto"/>
          <w:szCs w:val="20"/>
          <w:highlight w:val="none"/>
          <w:u w:val="single"/>
          <w:lang w:eastAsia="zh-CN"/>
        </w:rPr>
        <w:t>广西众联工程项目管理有限公司</w:t>
      </w:r>
    </w:p>
    <w:p w14:paraId="6EE6CE80">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本人</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（姓名）系</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（投标人名称）的法定代表人，现授权我单位在职正式员工</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（姓名和职务）为我方代理人。代理人根据授权，以我方名义签署、澄清、说明、补正、递交、撤回、修改贵方组织的</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rPr>
        <w:t>项目（项目编号：</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）的投标文件、签订合同和处理一切有关事宜，其法律后果由我方承担。</w:t>
      </w:r>
    </w:p>
    <w:p w14:paraId="253A7515">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本授权书于</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年</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月</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日签字生效，委托期限：</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w:t>
      </w:r>
    </w:p>
    <w:p w14:paraId="48DDEA49">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代理人无转委托权。</w:t>
      </w:r>
    </w:p>
    <w:p w14:paraId="17404109">
      <w:pPr>
        <w:spacing w:line="360" w:lineRule="auto"/>
        <w:ind w:firstLine="315"/>
        <w:rPr>
          <w:rFonts w:ascii="宋体" w:hAnsi="宋体" w:cs="宋体"/>
          <w:color w:val="auto"/>
          <w:szCs w:val="20"/>
          <w:highlight w:val="none"/>
        </w:rPr>
      </w:pPr>
    </w:p>
    <w:p w14:paraId="790C762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投标人（盖公章）：</w:t>
      </w:r>
    </w:p>
    <w:p w14:paraId="367410BD">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法定代表人（签字）：</w:t>
      </w:r>
    </w:p>
    <w:p w14:paraId="6DBE2C7C">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法定代表人身份证号码：</w:t>
      </w:r>
    </w:p>
    <w:p w14:paraId="07531CAB">
      <w:pPr>
        <w:spacing w:line="360" w:lineRule="auto"/>
        <w:ind w:left="0" w:leftChars="0" w:firstLine="298" w:firstLineChars="142"/>
        <w:rPr>
          <w:rFonts w:ascii="宋体" w:hAnsi="宋体" w:cs="宋体"/>
          <w:color w:val="auto"/>
          <w:szCs w:val="20"/>
          <w:highlight w:val="none"/>
        </w:rPr>
      </w:pPr>
      <w:r>
        <w:rPr>
          <w:rFonts w:hint="eastAsia" w:ascii="宋体" w:hAnsi="宋体" w:cs="宋体"/>
          <w:color w:val="auto"/>
          <w:szCs w:val="20"/>
          <w:highlight w:val="none"/>
        </w:rPr>
        <w:t>委托代理人（签字）：</w:t>
      </w:r>
    </w:p>
    <w:p w14:paraId="4D82C5C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委托代理人身份证号码：</w:t>
      </w:r>
    </w:p>
    <w:p w14:paraId="1C18E47F">
      <w:pPr>
        <w:spacing w:line="360" w:lineRule="auto"/>
        <w:ind w:firstLine="315"/>
        <w:rPr>
          <w:rFonts w:ascii="宋体" w:hAnsi="宋体" w:cs="宋体"/>
          <w:color w:val="auto"/>
          <w:szCs w:val="20"/>
          <w:highlight w:val="none"/>
          <w:u w:val="single"/>
        </w:rPr>
      </w:pPr>
    </w:p>
    <w:p w14:paraId="0F9C550A">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183758D">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4FCC8CE">
      <w:pPr>
        <w:spacing w:line="360" w:lineRule="auto"/>
        <w:ind w:firstLine="315"/>
        <w:rPr>
          <w:rFonts w:ascii="宋体" w:hAnsi="宋体" w:cs="宋体"/>
          <w:color w:val="auto"/>
          <w:szCs w:val="20"/>
          <w:highlight w:val="none"/>
          <w:u w:val="single"/>
        </w:rPr>
      </w:pPr>
    </w:p>
    <w:p w14:paraId="1D4D536C">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1E951C2A">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2FF437C6">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3EB97CE7">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6125462">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25429314">
      <w:pPr>
        <w:spacing w:line="360" w:lineRule="auto"/>
        <w:ind w:firstLine="361"/>
        <w:rPr>
          <w:rFonts w:ascii="宋体" w:hAnsi="宋体" w:cs="宋体"/>
          <w:b/>
          <w:color w:val="auto"/>
          <w:sz w:val="24"/>
          <w:highlight w:val="none"/>
        </w:rPr>
      </w:pPr>
    </w:p>
    <w:p w14:paraId="7BA386A1">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tbl>
      <w:tblPr>
        <w:tblStyle w:val="28"/>
        <w:tblpPr w:leftFromText="180" w:rightFromText="180" w:vertAnchor="text" w:horzAnchor="margin" w:tblpY="26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3CEA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067" w:type="dxa"/>
            <w:tcBorders>
              <w:top w:val="single" w:color="auto" w:sz="4" w:space="0"/>
              <w:left w:val="single" w:color="auto" w:sz="4" w:space="0"/>
              <w:bottom w:val="single" w:color="auto" w:sz="4" w:space="0"/>
              <w:right w:val="single" w:color="auto" w:sz="4" w:space="0"/>
            </w:tcBorders>
            <w:noWrap/>
          </w:tcPr>
          <w:p w14:paraId="7CA561DF">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p>
          <w:p w14:paraId="36907419">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r>
              <w:rPr>
                <w:rFonts w:hint="eastAsia" w:ascii="宋体" w:hAnsi="宋体" w:cs="宋体"/>
                <w:b/>
                <w:bCs/>
                <w:color w:val="auto"/>
                <w:sz w:val="24"/>
                <w:highlight w:val="none"/>
              </w:rPr>
              <w:t>委托代理人有效</w:t>
            </w:r>
            <w:r>
              <w:rPr>
                <w:rFonts w:hint="eastAsia" w:ascii="宋体" w:hAnsi="宋体" w:cs="宋体"/>
                <w:b/>
                <w:color w:val="auto"/>
                <w:sz w:val="24"/>
                <w:highlight w:val="none"/>
              </w:rPr>
              <w:t>身份证复印件粘贴处（正、反面）</w:t>
            </w:r>
          </w:p>
        </w:tc>
      </w:tr>
    </w:tbl>
    <w:p w14:paraId="3340C780">
      <w:pPr>
        <w:ind w:firstLine="360"/>
        <w:rPr>
          <w:rFonts w:ascii="宋体" w:hAnsi="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6.商务条款偏离表的格式：</w:t>
      </w:r>
    </w:p>
    <w:p w14:paraId="2C762BD7">
      <w:pPr>
        <w:snapToGrid w:val="0"/>
        <w:spacing w:beforeLines="50" w:after="50"/>
        <w:rPr>
          <w:rFonts w:ascii="宋体" w:hAnsi="宋体" w:cs="宋体"/>
          <w:color w:val="auto"/>
          <w:highlight w:val="none"/>
        </w:rPr>
      </w:pPr>
    </w:p>
    <w:p w14:paraId="492E0479">
      <w:pPr>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14:paraId="30C151B2">
      <w:pPr>
        <w:ind w:firstLine="450"/>
        <w:jc w:val="center"/>
        <w:rPr>
          <w:rFonts w:ascii="宋体" w:hAnsi="宋体" w:cs="宋体"/>
          <w:color w:val="auto"/>
          <w:sz w:val="30"/>
          <w:szCs w:val="20"/>
          <w:highlight w:val="none"/>
        </w:rPr>
      </w:pPr>
    </w:p>
    <w:p w14:paraId="586B06DF">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11A13E8F">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09620B81">
      <w:pPr>
        <w:spacing w:line="360" w:lineRule="auto"/>
        <w:rPr>
          <w:rFonts w:ascii="宋体" w:hAnsi="宋体" w:cs="宋体"/>
          <w:b/>
          <w:color w:val="auto"/>
          <w:szCs w:val="21"/>
          <w:highlight w:val="none"/>
        </w:rPr>
      </w:pPr>
      <w:r>
        <w:rPr>
          <w:rFonts w:hint="eastAsia" w:ascii="宋体" w:hAnsi="宋体" w:cs="宋体"/>
          <w:bCs/>
          <w:color w:val="auto"/>
          <w:szCs w:val="21"/>
          <w:highlight w:val="none"/>
        </w:rPr>
        <w:t>所投分标（此处有分标时填写具体分标号，无分标时填写“无”）：</w:t>
      </w:r>
      <w:r>
        <w:rPr>
          <w:rFonts w:hint="eastAsia" w:ascii="宋体" w:hAnsi="宋体" w:cs="宋体"/>
          <w:bCs/>
          <w:color w:val="auto"/>
          <w:szCs w:val="21"/>
          <w:highlight w:val="none"/>
          <w:u w:val="single"/>
        </w:rPr>
        <w:t xml:space="preserve">    </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731"/>
        <w:gridCol w:w="3307"/>
        <w:gridCol w:w="1560"/>
      </w:tblGrid>
      <w:tr w14:paraId="088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6305E635">
            <w:pPr>
              <w:keepNext w:val="0"/>
              <w:keepLines w:val="0"/>
              <w:suppressLineNumbers w:val="0"/>
              <w:spacing w:before="0" w:beforeAutospacing="0" w:after="0" w:afterAutospacing="0" w:line="34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31" w:type="dxa"/>
            <w:tcBorders>
              <w:top w:val="single" w:color="auto" w:sz="4" w:space="0"/>
              <w:left w:val="single" w:color="auto" w:sz="4" w:space="0"/>
              <w:bottom w:val="single" w:color="auto" w:sz="4" w:space="0"/>
              <w:right w:val="single" w:color="auto" w:sz="4" w:space="0"/>
            </w:tcBorders>
            <w:noWrap/>
            <w:vAlign w:val="center"/>
          </w:tcPr>
          <w:p w14:paraId="13B42B88">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招标文件的商务条款</w:t>
            </w:r>
            <w:r>
              <w:rPr>
                <w:rFonts w:hint="eastAsia" w:ascii="宋体" w:hAnsi="宋体" w:cs="宋体"/>
                <w:color w:val="auto"/>
                <w:szCs w:val="21"/>
                <w:highlight w:val="none"/>
                <w:lang w:eastAsia="zh-CN"/>
              </w:rPr>
              <w:t>要求</w:t>
            </w:r>
          </w:p>
        </w:tc>
        <w:tc>
          <w:tcPr>
            <w:tcW w:w="3307" w:type="dxa"/>
            <w:tcBorders>
              <w:top w:val="single" w:color="auto" w:sz="4" w:space="0"/>
              <w:left w:val="single" w:color="auto" w:sz="4" w:space="0"/>
              <w:bottom w:val="single" w:color="auto" w:sz="4" w:space="0"/>
              <w:right w:val="single" w:color="auto" w:sz="4" w:space="0"/>
            </w:tcBorders>
            <w:noWrap/>
            <w:vAlign w:val="center"/>
          </w:tcPr>
          <w:p w14:paraId="193F70C3">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投标文件的商务条款响应</w:t>
            </w:r>
            <w:r>
              <w:rPr>
                <w:rFonts w:hint="eastAsia" w:ascii="宋体" w:hAnsi="宋体" w:cs="宋体"/>
                <w:color w:val="auto"/>
                <w:szCs w:val="21"/>
                <w:highlight w:val="none"/>
                <w:lang w:val="en-US" w:eastAsia="zh-CN"/>
              </w:rPr>
              <w:t>内容</w:t>
            </w:r>
          </w:p>
        </w:tc>
        <w:tc>
          <w:tcPr>
            <w:tcW w:w="1560" w:type="dxa"/>
            <w:tcBorders>
              <w:top w:val="single" w:color="auto" w:sz="4" w:space="0"/>
              <w:left w:val="single" w:color="auto" w:sz="4" w:space="0"/>
              <w:bottom w:val="single" w:color="auto" w:sz="4" w:space="0"/>
              <w:right w:val="single" w:color="auto" w:sz="4" w:space="0"/>
            </w:tcBorders>
            <w:noWrap/>
            <w:vAlign w:val="center"/>
          </w:tcPr>
          <w:p w14:paraId="773EDFB0">
            <w:pPr>
              <w:keepNext w:val="0"/>
              <w:keepLines w:val="0"/>
              <w:suppressLineNumbers w:val="0"/>
              <w:spacing w:before="0" w:beforeAutospacing="0" w:after="0" w:afterAutospacing="0" w:line="34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74A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4491F517">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731" w:type="dxa"/>
            <w:tcBorders>
              <w:top w:val="single" w:color="auto" w:sz="4" w:space="0"/>
              <w:left w:val="single" w:color="auto" w:sz="4" w:space="0"/>
              <w:bottom w:val="single" w:color="auto" w:sz="4" w:space="0"/>
              <w:right w:val="single" w:color="auto" w:sz="4" w:space="0"/>
            </w:tcBorders>
            <w:noWrap/>
          </w:tcPr>
          <w:p w14:paraId="26FC6C21">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025B755C">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445E3B75">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6D6E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3F2E1E79">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3731" w:type="dxa"/>
            <w:tcBorders>
              <w:top w:val="single" w:color="auto" w:sz="4" w:space="0"/>
              <w:left w:val="single" w:color="auto" w:sz="4" w:space="0"/>
              <w:bottom w:val="single" w:color="auto" w:sz="4" w:space="0"/>
              <w:right w:val="single" w:color="auto" w:sz="4" w:space="0"/>
            </w:tcBorders>
            <w:noWrap/>
          </w:tcPr>
          <w:p w14:paraId="3FD2742B">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6F6289B3">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1073808">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28A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3D6214E9">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3731" w:type="dxa"/>
            <w:tcBorders>
              <w:top w:val="single" w:color="auto" w:sz="4" w:space="0"/>
              <w:left w:val="single" w:color="auto" w:sz="4" w:space="0"/>
              <w:bottom w:val="single" w:color="auto" w:sz="4" w:space="0"/>
              <w:right w:val="single" w:color="auto" w:sz="4" w:space="0"/>
            </w:tcBorders>
            <w:noWrap/>
          </w:tcPr>
          <w:p w14:paraId="7488F75B">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70252B70">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700655B9">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01BB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1FA82927">
            <w:pPr>
              <w:keepNext w:val="0"/>
              <w:keepLines w:val="0"/>
              <w:suppressLineNumbers w:val="0"/>
              <w:spacing w:before="0" w:beforeAutospacing="0" w:after="0" w:afterAutospacing="0" w:line="3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731" w:type="dxa"/>
            <w:tcBorders>
              <w:top w:val="single" w:color="auto" w:sz="4" w:space="0"/>
              <w:left w:val="single" w:color="auto" w:sz="4" w:space="0"/>
              <w:bottom w:val="single" w:color="auto" w:sz="4" w:space="0"/>
              <w:right w:val="single" w:color="auto" w:sz="4" w:space="0"/>
            </w:tcBorders>
            <w:noWrap/>
          </w:tcPr>
          <w:p w14:paraId="105B64B2">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5749DE07">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4790C890">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bl>
    <w:p w14:paraId="11BEAF9F">
      <w:pPr>
        <w:spacing w:line="360" w:lineRule="auto"/>
        <w:ind w:left="-708" w:leftChars="-337"/>
        <w:rPr>
          <w:rFonts w:ascii="宋体" w:hAnsi="宋体" w:cs="宋体"/>
          <w:color w:val="auto"/>
          <w:szCs w:val="20"/>
          <w:highlight w:val="none"/>
        </w:rPr>
      </w:pPr>
    </w:p>
    <w:p w14:paraId="4F0D669D">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注：</w:t>
      </w:r>
    </w:p>
    <w:p w14:paraId="700DF231">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1.表格内容均需按要求填写并加盖投标人公章。</w:t>
      </w:r>
    </w:p>
    <w:p w14:paraId="1F193545">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2.请逐条对应本项目招标文件“第二章  采购需求”中“商务条款”的要求，详细填写相应的具体内容。“偏离说明”一栏应当选择“正偏离”或“负偏离”或“无偏离”进行填写。</w:t>
      </w:r>
    </w:p>
    <w:p w14:paraId="5E09D5A8">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3.当投标文件的商务内容低于招标文件要求时，投标人应当如实写明“负偏离”。</w:t>
      </w:r>
    </w:p>
    <w:p w14:paraId="4D34CEB6">
      <w:pPr>
        <w:snapToGrid w:val="0"/>
        <w:spacing w:before="50" w:after="50"/>
        <w:ind w:firstLine="360"/>
        <w:rPr>
          <w:rFonts w:ascii="宋体" w:hAnsi="宋体" w:cs="宋体"/>
          <w:color w:val="auto"/>
          <w:sz w:val="24"/>
          <w:highlight w:val="none"/>
        </w:rPr>
      </w:pPr>
    </w:p>
    <w:p w14:paraId="42A76930">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BEF67FB">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1BDCDA8">
      <w:pPr>
        <w:ind w:firstLine="422"/>
        <w:jc w:val="center"/>
        <w:outlineLvl w:val="1"/>
        <w:rPr>
          <w:rFonts w:ascii="宋体" w:hAnsi="宋体" w:cs="宋体"/>
          <w:b/>
          <w:bCs/>
          <w:color w:val="auto"/>
          <w:sz w:val="28"/>
          <w:szCs w:val="28"/>
          <w:highlight w:val="none"/>
        </w:rPr>
      </w:pPr>
      <w:bookmarkStart w:id="269" w:name="_Toc11965"/>
      <w:bookmarkStart w:id="270" w:name="_Toc352"/>
      <w:bookmarkStart w:id="271" w:name="_Toc5911"/>
      <w:bookmarkStart w:id="272" w:name="_Toc19686839"/>
      <w:bookmarkStart w:id="273" w:name="_Toc18262"/>
      <w:bookmarkStart w:id="274" w:name="_Toc8712"/>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三</w:t>
      </w:r>
      <w:r>
        <w:rPr>
          <w:rFonts w:hint="eastAsia" w:ascii="宋体" w:hAnsi="宋体" w:cs="宋体"/>
          <w:b/>
          <w:bCs/>
          <w:color w:val="auto"/>
          <w:sz w:val="28"/>
          <w:szCs w:val="28"/>
          <w:highlight w:val="none"/>
        </w:rPr>
        <w:t>节 技术文件格式</w:t>
      </w:r>
      <w:bookmarkEnd w:id="269"/>
      <w:bookmarkEnd w:id="270"/>
      <w:bookmarkEnd w:id="271"/>
      <w:bookmarkEnd w:id="272"/>
      <w:bookmarkEnd w:id="273"/>
      <w:bookmarkEnd w:id="274"/>
    </w:p>
    <w:p w14:paraId="46A3954D">
      <w:pPr>
        <w:snapToGrid w:val="0"/>
        <w:spacing w:beforeLines="50" w:after="50"/>
        <w:ind w:firstLine="360"/>
        <w:rPr>
          <w:rFonts w:ascii="宋体" w:hAnsi="宋体" w:cs="宋体"/>
          <w:color w:val="auto"/>
          <w:sz w:val="24"/>
          <w:highlight w:val="none"/>
        </w:rPr>
      </w:pPr>
    </w:p>
    <w:p w14:paraId="7D5BC42A">
      <w:pPr>
        <w:snapToGrid w:val="0"/>
        <w:spacing w:beforeLines="50" w:after="50"/>
        <w:ind w:left="142"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1. 技术文件封面的格式： </w:t>
      </w:r>
    </w:p>
    <w:p w14:paraId="507CCE9C">
      <w:pPr>
        <w:snapToGrid w:val="0"/>
        <w:spacing w:beforeLines="50" w:after="50"/>
        <w:ind w:firstLine="360"/>
        <w:rPr>
          <w:rFonts w:ascii="宋体" w:hAnsi="宋体" w:cs="宋体"/>
          <w:color w:val="auto"/>
          <w:sz w:val="24"/>
          <w:highlight w:val="none"/>
        </w:rPr>
      </w:pPr>
    </w:p>
    <w:p w14:paraId="09900E8B">
      <w:pPr>
        <w:snapToGrid w:val="0"/>
        <w:spacing w:beforeLines="50" w:after="50"/>
        <w:ind w:firstLine="6300" w:firstLineChars="3000"/>
        <w:rPr>
          <w:rFonts w:ascii="宋体" w:hAnsi="宋体" w:cs="宋体"/>
          <w:bCs/>
          <w:color w:val="auto"/>
          <w:sz w:val="32"/>
          <w:szCs w:val="20"/>
          <w:highlight w:val="none"/>
        </w:rPr>
      </w:pPr>
      <w:r>
        <w:rPr>
          <w:rFonts w:hint="eastAsia" w:ascii="宋体" w:hAnsi="宋体" w:cs="宋体"/>
          <w:bCs/>
          <w:color w:val="auto"/>
          <w:highlight w:val="none"/>
        </w:rPr>
        <w:t>电子投标文件</w:t>
      </w:r>
    </w:p>
    <w:p w14:paraId="4DB77A70">
      <w:pPr>
        <w:snapToGrid w:val="0"/>
        <w:spacing w:beforeLines="50" w:after="50"/>
        <w:ind w:firstLine="360"/>
        <w:rPr>
          <w:rFonts w:ascii="宋体" w:hAnsi="宋体" w:cs="宋体"/>
          <w:color w:val="auto"/>
          <w:sz w:val="24"/>
          <w:szCs w:val="20"/>
          <w:highlight w:val="none"/>
        </w:rPr>
      </w:pPr>
    </w:p>
    <w:p w14:paraId="52C6839B">
      <w:pPr>
        <w:snapToGrid w:val="0"/>
        <w:spacing w:beforeLines="50" w:after="50"/>
        <w:ind w:firstLine="482"/>
        <w:jc w:val="center"/>
        <w:rPr>
          <w:rFonts w:ascii="宋体" w:hAnsi="宋体" w:cs="宋体"/>
          <w:b/>
          <w:bCs/>
          <w:color w:val="auto"/>
          <w:sz w:val="32"/>
          <w:szCs w:val="32"/>
          <w:highlight w:val="none"/>
        </w:rPr>
      </w:pPr>
    </w:p>
    <w:p w14:paraId="5ADCC4CC">
      <w:pPr>
        <w:snapToGrid w:val="0"/>
        <w:spacing w:beforeLines="50" w:after="50"/>
        <w:ind w:firstLine="482"/>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7413A548">
      <w:pPr>
        <w:snapToGrid w:val="0"/>
        <w:spacing w:beforeLines="50" w:after="50"/>
        <w:ind w:firstLine="360"/>
        <w:rPr>
          <w:rFonts w:ascii="宋体" w:hAnsi="宋体" w:cs="宋体"/>
          <w:bCs/>
          <w:color w:val="auto"/>
          <w:sz w:val="24"/>
          <w:szCs w:val="20"/>
          <w:highlight w:val="none"/>
        </w:rPr>
      </w:pPr>
    </w:p>
    <w:p w14:paraId="3686D118">
      <w:pPr>
        <w:snapToGrid w:val="0"/>
        <w:spacing w:beforeLines="50" w:after="50" w:line="400" w:lineRule="exact"/>
        <w:ind w:firstLine="360" w:firstLineChars="150"/>
        <w:rPr>
          <w:rFonts w:ascii="宋体" w:hAnsi="宋体" w:cs="宋体"/>
          <w:bCs/>
          <w:color w:val="auto"/>
          <w:sz w:val="24"/>
          <w:highlight w:val="none"/>
        </w:rPr>
      </w:pPr>
    </w:p>
    <w:p w14:paraId="4C626732">
      <w:pPr>
        <w:snapToGrid w:val="0"/>
        <w:spacing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3446EED3">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807975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7E739F4C">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C99E5F0">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7584B4E">
      <w:pPr>
        <w:snapToGrid w:val="0"/>
        <w:spacing w:beforeLines="50" w:after="50"/>
        <w:ind w:firstLine="360"/>
        <w:jc w:val="center"/>
        <w:rPr>
          <w:rFonts w:ascii="宋体" w:hAnsi="宋体" w:cs="宋体"/>
          <w:color w:val="auto"/>
          <w:sz w:val="24"/>
          <w:highlight w:val="none"/>
        </w:rPr>
      </w:pPr>
    </w:p>
    <w:p w14:paraId="20BACE07">
      <w:pPr>
        <w:snapToGrid w:val="0"/>
        <w:spacing w:beforeLines="50" w:after="50"/>
        <w:ind w:firstLine="360"/>
        <w:jc w:val="center"/>
        <w:rPr>
          <w:rFonts w:ascii="宋体" w:hAnsi="宋体" w:cs="宋体"/>
          <w:color w:val="auto"/>
          <w:sz w:val="24"/>
          <w:highlight w:val="none"/>
        </w:rPr>
      </w:pPr>
    </w:p>
    <w:p w14:paraId="48BC1075">
      <w:pPr>
        <w:snapToGrid w:val="0"/>
        <w:spacing w:beforeLines="50" w:after="50"/>
        <w:ind w:firstLine="360"/>
        <w:jc w:val="center"/>
        <w:rPr>
          <w:rFonts w:ascii="宋体" w:hAnsi="宋体" w:cs="宋体"/>
          <w:color w:val="auto"/>
          <w:sz w:val="24"/>
          <w:highlight w:val="none"/>
        </w:rPr>
      </w:pPr>
    </w:p>
    <w:p w14:paraId="017C7140">
      <w:pPr>
        <w:snapToGrid w:val="0"/>
        <w:spacing w:beforeLines="50" w:after="50"/>
        <w:ind w:firstLine="360"/>
        <w:jc w:val="center"/>
        <w:rPr>
          <w:rFonts w:ascii="宋体" w:hAnsi="宋体" w:cs="宋体"/>
          <w:color w:val="auto"/>
          <w:sz w:val="24"/>
          <w:highlight w:val="none"/>
        </w:rPr>
      </w:pPr>
    </w:p>
    <w:p w14:paraId="5954DA3C">
      <w:pPr>
        <w:snapToGrid w:val="0"/>
        <w:spacing w:beforeLines="50" w:after="50"/>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  年    月    日</w:t>
      </w:r>
    </w:p>
    <w:p w14:paraId="424B6D46">
      <w:pPr>
        <w:snapToGrid w:val="0"/>
        <w:spacing w:beforeLines="50" w:after="50"/>
        <w:ind w:firstLine="360"/>
        <w:jc w:val="center"/>
        <w:rPr>
          <w:rFonts w:ascii="宋体" w:hAnsi="宋体" w:cs="宋体"/>
          <w:color w:val="auto"/>
          <w:sz w:val="24"/>
          <w:szCs w:val="20"/>
          <w:highlight w:val="none"/>
        </w:rPr>
      </w:pPr>
    </w:p>
    <w:p w14:paraId="706CF1DF">
      <w:pPr>
        <w:snapToGrid w:val="0"/>
        <w:spacing w:beforeLines="50" w:after="50"/>
        <w:ind w:left="142" w:firstLine="361"/>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8"/>
          <w:szCs w:val="28"/>
          <w:highlight w:val="none"/>
        </w:rPr>
        <w:t>2. 技术文件目录</w:t>
      </w:r>
    </w:p>
    <w:p w14:paraId="060FF3B9">
      <w:pPr>
        <w:spacing w:line="360" w:lineRule="auto"/>
        <w:ind w:right="420" w:firstLine="36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341A6DDA">
      <w:pPr>
        <w:snapToGrid w:val="0"/>
        <w:spacing w:beforeLines="50" w:after="50"/>
        <w:ind w:firstLine="361"/>
        <w:jc w:val="left"/>
        <w:rPr>
          <w:rFonts w:ascii="宋体" w:hAnsi="宋体" w:cs="宋体"/>
          <w:b/>
          <w:color w:val="auto"/>
          <w:sz w:val="24"/>
          <w:highlight w:val="none"/>
        </w:rPr>
      </w:pPr>
    </w:p>
    <w:p w14:paraId="7B631936">
      <w:pPr>
        <w:spacing w:line="500" w:lineRule="exact"/>
        <w:ind w:firstLine="452"/>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color w:val="auto"/>
          <w:sz w:val="28"/>
          <w:szCs w:val="28"/>
          <w:highlight w:val="none"/>
        </w:rPr>
        <w:t>3. 技术性能、参数偏离表的格式：</w:t>
      </w:r>
    </w:p>
    <w:p w14:paraId="51A824B4">
      <w:pPr>
        <w:spacing w:line="500" w:lineRule="exact"/>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技术性能、参数偏离表</w:t>
      </w:r>
    </w:p>
    <w:p w14:paraId="4A7E28AE">
      <w:pPr>
        <w:spacing w:line="440" w:lineRule="exact"/>
        <w:ind w:firstLine="420" w:firstLineChars="200"/>
        <w:rPr>
          <w:rFonts w:ascii="宋体" w:hAnsi="宋体" w:cs="宋体"/>
          <w:color w:val="auto"/>
          <w:szCs w:val="20"/>
          <w:highlight w:val="none"/>
        </w:rPr>
      </w:pPr>
    </w:p>
    <w:p w14:paraId="662A473A">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33CC225D">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27A1A150">
      <w:pPr>
        <w:pStyle w:val="14"/>
        <w:spacing w:line="480" w:lineRule="auto"/>
        <w:rPr>
          <w:color w:val="auto"/>
          <w:highlight w:val="none"/>
        </w:rPr>
      </w:pPr>
      <w:r>
        <w:rPr>
          <w:rFonts w:hint="eastAsia" w:hAnsi="宋体" w:cs="宋体"/>
          <w:bCs/>
          <w:color w:val="auto"/>
          <w:szCs w:val="21"/>
          <w:highlight w:val="none"/>
        </w:rPr>
        <w:t>所投分标（此处有分标时填写具体分标号，无分标时填写“无”）：</w:t>
      </w:r>
      <w:r>
        <w:rPr>
          <w:rFonts w:hint="eastAsia" w:hAnsi="宋体" w:cs="宋体"/>
          <w:bCs/>
          <w:color w:val="auto"/>
          <w:szCs w:val="21"/>
          <w:highlight w:val="none"/>
          <w:u w:val="single"/>
        </w:rPr>
        <w:t xml:space="preserve">    </w:t>
      </w:r>
    </w:p>
    <w:tbl>
      <w:tblPr>
        <w:tblStyle w:val="28"/>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249"/>
        <w:gridCol w:w="1110"/>
      </w:tblGrid>
      <w:tr w14:paraId="36F8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E684963">
            <w:pPr>
              <w:keepNext w:val="0"/>
              <w:keepLines w:val="0"/>
              <w:widowControl/>
              <w:suppressLineNumbers w:val="0"/>
              <w:spacing w:before="0" w:beforeAutospacing="0" w:after="0" w:afterAutospacing="0"/>
              <w:ind w:left="0" w:right="0"/>
              <w:jc w:val="left"/>
              <w:rPr>
                <w:rFonts w:ascii="宋体" w:hAnsi="宋体" w:cs="宋体"/>
                <w:color w:val="auto"/>
                <w:szCs w:val="21"/>
                <w:highlight w:val="none"/>
              </w:rPr>
            </w:pPr>
            <w:r>
              <w:rPr>
                <w:rFonts w:hint="eastAsia" w:ascii="宋体" w:hAns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53E4C151">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2CECF81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招标文件采购需求中的技术性能、参数</w:t>
            </w:r>
            <w:r>
              <w:rPr>
                <w:rFonts w:hint="eastAsia" w:ascii="宋体" w:hAnsi="宋体"/>
                <w:color w:val="auto"/>
                <w:szCs w:val="21"/>
                <w:highlight w:val="none"/>
                <w:lang w:eastAsia="zh-CN"/>
              </w:rPr>
              <w:t>要求</w:t>
            </w:r>
          </w:p>
        </w:tc>
        <w:tc>
          <w:tcPr>
            <w:tcW w:w="3249" w:type="dxa"/>
            <w:tcBorders>
              <w:top w:val="single" w:color="auto" w:sz="4" w:space="0"/>
              <w:left w:val="single" w:color="auto" w:sz="4" w:space="0"/>
              <w:bottom w:val="single" w:color="auto" w:sz="4" w:space="0"/>
              <w:right w:val="single" w:color="auto" w:sz="4" w:space="0"/>
            </w:tcBorders>
            <w:vAlign w:val="center"/>
          </w:tcPr>
          <w:p w14:paraId="070E1B52">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olor w:val="auto"/>
                <w:szCs w:val="21"/>
                <w:highlight w:val="none"/>
              </w:rPr>
              <w:t>投标文件响应的技术性能、参数</w:t>
            </w:r>
          </w:p>
        </w:tc>
        <w:tc>
          <w:tcPr>
            <w:tcW w:w="1110" w:type="dxa"/>
            <w:tcBorders>
              <w:top w:val="single" w:color="auto" w:sz="4" w:space="0"/>
              <w:left w:val="single" w:color="auto" w:sz="4" w:space="0"/>
              <w:bottom w:val="single" w:color="auto" w:sz="4" w:space="0"/>
              <w:right w:val="single" w:color="auto" w:sz="4" w:space="0"/>
            </w:tcBorders>
            <w:vAlign w:val="center"/>
          </w:tcPr>
          <w:p w14:paraId="0228F412">
            <w:pPr>
              <w:keepNext w:val="0"/>
              <w:keepLines w:val="0"/>
              <w:widowControl/>
              <w:suppressLineNumbers w:val="0"/>
              <w:spacing w:before="0" w:beforeAutospacing="0" w:after="0" w:afterAutospacing="0"/>
              <w:ind w:left="0" w:right="0"/>
              <w:jc w:val="left"/>
              <w:rPr>
                <w:rFonts w:ascii="宋体" w:hAnsi="宋体" w:cs="宋体"/>
                <w:color w:val="auto"/>
                <w:szCs w:val="21"/>
                <w:highlight w:val="none"/>
              </w:rPr>
            </w:pPr>
            <w:r>
              <w:rPr>
                <w:rFonts w:hint="eastAsia" w:ascii="宋体" w:hAnsi="宋体"/>
                <w:color w:val="auto"/>
                <w:szCs w:val="21"/>
                <w:highlight w:val="none"/>
              </w:rPr>
              <w:t>偏离说明</w:t>
            </w:r>
          </w:p>
        </w:tc>
      </w:tr>
      <w:tr w14:paraId="3410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F825C38">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14:paraId="2EB8DBB5">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E00C21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3F8D7BCC">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B3044D6">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1EC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F81749A">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vAlign w:val="center"/>
          </w:tcPr>
          <w:p w14:paraId="1A5CEA8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02486D8">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75D7B55B">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83BE05F">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62BF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8A6146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058" w:type="dxa"/>
            <w:tcBorders>
              <w:top w:val="single" w:color="auto" w:sz="4" w:space="0"/>
              <w:left w:val="single" w:color="auto" w:sz="4" w:space="0"/>
              <w:bottom w:val="single" w:color="auto" w:sz="4" w:space="0"/>
              <w:right w:val="single" w:color="auto" w:sz="4" w:space="0"/>
            </w:tcBorders>
            <w:vAlign w:val="center"/>
          </w:tcPr>
          <w:p w14:paraId="2FBCB568">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0BAA8B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36469DC0">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16AFE84A">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5FBC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427437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58" w:type="dxa"/>
            <w:tcBorders>
              <w:top w:val="single" w:color="auto" w:sz="4" w:space="0"/>
              <w:left w:val="single" w:color="auto" w:sz="4" w:space="0"/>
              <w:bottom w:val="single" w:color="auto" w:sz="4" w:space="0"/>
              <w:right w:val="single" w:color="auto" w:sz="4" w:space="0"/>
            </w:tcBorders>
            <w:vAlign w:val="center"/>
          </w:tcPr>
          <w:p w14:paraId="4CB98D11">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4007B237">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4A98A4EF">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6F824B43">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04F6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E79DCE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058" w:type="dxa"/>
            <w:tcBorders>
              <w:top w:val="single" w:color="auto" w:sz="4" w:space="0"/>
              <w:left w:val="single" w:color="auto" w:sz="4" w:space="0"/>
              <w:bottom w:val="single" w:color="auto" w:sz="4" w:space="0"/>
              <w:right w:val="single" w:color="auto" w:sz="4" w:space="0"/>
            </w:tcBorders>
            <w:vAlign w:val="center"/>
          </w:tcPr>
          <w:p w14:paraId="5946F674">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33789F92">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4CBB2257">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F56DB77">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623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40C5655">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vAlign w:val="center"/>
          </w:tcPr>
          <w:p w14:paraId="4D7A49B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6EEF1111">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363F70F6">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9E66254">
            <w:pPr>
              <w:keepNext w:val="0"/>
              <w:keepLines w:val="0"/>
              <w:suppressLineNumbers w:val="0"/>
              <w:spacing w:before="0" w:beforeAutospacing="0" w:after="0" w:afterAutospacing="0"/>
              <w:ind w:left="0" w:right="0"/>
              <w:rPr>
                <w:rFonts w:ascii="宋体" w:hAnsi="宋体" w:cs="宋体"/>
                <w:color w:val="auto"/>
                <w:szCs w:val="21"/>
                <w:highlight w:val="none"/>
              </w:rPr>
            </w:pPr>
          </w:p>
        </w:tc>
      </w:tr>
    </w:tbl>
    <w:p w14:paraId="7646CE83">
      <w:pPr>
        <w:pStyle w:val="47"/>
        <w:rPr>
          <w:rFonts w:hAnsi="宋体"/>
          <w:color w:val="auto"/>
          <w:szCs w:val="21"/>
          <w:highlight w:val="none"/>
        </w:rPr>
      </w:pPr>
    </w:p>
    <w:p w14:paraId="41E70CC3">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06CCD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1.表格内容均需按要求填写并加盖投标人公章。</w:t>
      </w:r>
    </w:p>
    <w:p w14:paraId="4F1D6E3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请根据所投货物的实际技术</w:t>
      </w:r>
      <w:r>
        <w:rPr>
          <w:rFonts w:hint="eastAsia" w:ascii="宋体" w:hAnsi="宋体"/>
          <w:color w:val="auto"/>
          <w:szCs w:val="21"/>
          <w:highlight w:val="none"/>
        </w:rPr>
        <w:t>性能、参数</w:t>
      </w:r>
      <w:r>
        <w:rPr>
          <w:rFonts w:hint="eastAsia" w:ascii="宋体" w:hAnsi="宋体" w:cs="宋体"/>
          <w:color w:val="auto"/>
          <w:szCs w:val="21"/>
          <w:highlight w:val="none"/>
        </w:rPr>
        <w:t>，逐条对应本项目招标文件“第二章 采购需求”中“</w:t>
      </w:r>
      <w:r>
        <w:rPr>
          <w:rFonts w:hint="eastAsia" w:ascii="宋体" w:hAnsi="宋体" w:eastAsia="宋体" w:cs="宋体"/>
          <w:b/>
          <w:bCs/>
          <w:color w:val="auto"/>
          <w:sz w:val="21"/>
          <w:szCs w:val="21"/>
          <w:highlight w:val="none"/>
        </w:rPr>
        <w:t>技术性能、参数及有关要求</w:t>
      </w:r>
      <w:r>
        <w:rPr>
          <w:rFonts w:hint="eastAsia" w:ascii="宋体" w:hAnsi="宋体" w:cs="宋体"/>
          <w:color w:val="auto"/>
          <w:szCs w:val="21"/>
          <w:highlight w:val="none"/>
        </w:rPr>
        <w:t>”的条款</w:t>
      </w:r>
      <w:r>
        <w:rPr>
          <w:rFonts w:hint="eastAsia" w:ascii="宋体" w:hAnsi="宋体" w:cs="宋体"/>
          <w:color w:val="auto"/>
          <w:kern w:val="0"/>
          <w:szCs w:val="21"/>
          <w:highlight w:val="none"/>
          <w:lang w:val="zh-CN"/>
        </w:rPr>
        <w:t>作出明确响应，并作出偏离说明</w:t>
      </w:r>
      <w:r>
        <w:rPr>
          <w:rFonts w:hint="eastAsia" w:ascii="宋体" w:hAnsi="宋体" w:cs="宋体"/>
          <w:color w:val="auto"/>
          <w:szCs w:val="21"/>
          <w:highlight w:val="none"/>
        </w:rPr>
        <w:t>。“偏离说明”一栏应当选择“正偏离”或“负偏离”或“无偏离”进行填写。</w:t>
      </w:r>
    </w:p>
    <w:p w14:paraId="7B16F9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.如果招标文件需求为小于或大于某个数值标准时，投标文件</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承诺不得直接复制招标文件需求，投标文件</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承诺内容应当写明投标货物具体参数的具体数值。</w:t>
      </w:r>
    </w:p>
    <w:p w14:paraId="6B2B7951">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.当投标文件的</w:t>
      </w:r>
      <w:r>
        <w:rPr>
          <w:rFonts w:hint="eastAsia" w:ascii="宋体" w:hAnsi="宋体" w:cs="宋体"/>
          <w:color w:val="auto"/>
          <w:szCs w:val="21"/>
          <w:highlight w:val="none"/>
        </w:rPr>
        <w:t>技术</w:t>
      </w:r>
      <w:r>
        <w:rPr>
          <w:rFonts w:hint="eastAsia" w:ascii="宋体" w:hAnsi="宋体"/>
          <w:color w:val="auto"/>
          <w:szCs w:val="21"/>
          <w:highlight w:val="none"/>
        </w:rPr>
        <w:t>性能、参数</w:t>
      </w:r>
      <w:r>
        <w:rPr>
          <w:rFonts w:hint="eastAsia" w:ascii="宋体" w:hAnsi="宋体" w:cs="宋体"/>
          <w:bCs/>
          <w:color w:val="auto"/>
          <w:szCs w:val="21"/>
          <w:highlight w:val="none"/>
        </w:rPr>
        <w:t>内容低于</w:t>
      </w:r>
      <w:r>
        <w:rPr>
          <w:rFonts w:hint="eastAsia" w:ascii="宋体" w:hAnsi="宋体" w:cs="宋体"/>
          <w:bCs/>
          <w:color w:val="auto"/>
          <w:szCs w:val="21"/>
          <w:highlight w:val="none"/>
          <w:lang w:val="en-US" w:eastAsia="zh-CN"/>
        </w:rPr>
        <w:t>或不满足</w:t>
      </w:r>
      <w:r>
        <w:rPr>
          <w:rFonts w:hint="eastAsia" w:ascii="宋体" w:hAnsi="宋体" w:cs="宋体"/>
          <w:bCs/>
          <w:color w:val="auto"/>
          <w:szCs w:val="21"/>
          <w:highlight w:val="none"/>
        </w:rPr>
        <w:t>招标文件要求时，投标人应当如实写明“负偏离”。</w:t>
      </w:r>
    </w:p>
    <w:p w14:paraId="2956C11E">
      <w:pPr>
        <w:spacing w:line="360" w:lineRule="auto"/>
        <w:rPr>
          <w:rFonts w:ascii="宋体" w:hAnsi="宋体" w:cs="宋体"/>
          <w:color w:val="auto"/>
          <w:szCs w:val="21"/>
          <w:highlight w:val="none"/>
        </w:rPr>
      </w:pPr>
    </w:p>
    <w:p w14:paraId="1CC3A690">
      <w:pPr>
        <w:snapToGrid w:val="0"/>
        <w:spacing w:line="360" w:lineRule="auto"/>
        <w:ind w:firstLine="5640" w:firstLineChars="2350"/>
        <w:rPr>
          <w:rFonts w:ascii="宋体" w:hAnsi="宋体" w:cs="宋体"/>
          <w:color w:val="auto"/>
          <w:kern w:val="0"/>
          <w:sz w:val="24"/>
          <w:highlight w:val="none"/>
          <w:lang w:val="zh-CN"/>
        </w:rPr>
      </w:pPr>
    </w:p>
    <w:p w14:paraId="4CC11665">
      <w:pPr>
        <w:snapToGrid w:val="0"/>
        <w:ind w:firstLine="270"/>
        <w:jc w:val="left"/>
        <w:rPr>
          <w:color w:val="auto"/>
          <w:sz w:val="18"/>
          <w:szCs w:val="18"/>
          <w:highlight w:val="none"/>
          <w:lang w:val="zh-CN"/>
        </w:rPr>
      </w:pPr>
    </w:p>
    <w:p w14:paraId="75562E91">
      <w:pPr>
        <w:snapToGrid w:val="0"/>
        <w:spacing w:line="360" w:lineRule="auto"/>
        <w:ind w:firstLine="5880" w:firstLineChars="24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DADFA3A">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EE0C754">
      <w:pPr>
        <w:rPr>
          <w:color w:val="auto"/>
          <w:highlight w:val="none"/>
        </w:rPr>
      </w:pPr>
      <w:r>
        <w:rPr>
          <w:color w:val="auto"/>
          <w:highlight w:val="none"/>
        </w:rPr>
        <w:br w:type="page"/>
      </w:r>
    </w:p>
    <w:p w14:paraId="174648A9">
      <w:pPr>
        <w:snapToGrid w:val="0"/>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4、售后服务方案</w:t>
      </w:r>
    </w:p>
    <w:p w14:paraId="2EAC91D6">
      <w:pPr>
        <w:snapToGrid w:val="0"/>
        <w:spacing w:beforeLines="50" w:after="50"/>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售后服务方案</w:t>
      </w:r>
    </w:p>
    <w:p w14:paraId="42FF7785">
      <w:pPr>
        <w:snapToGrid w:val="0"/>
        <w:spacing w:beforeLines="50" w:after="50"/>
        <w:ind w:firstLine="420" w:firstLineChars="200"/>
        <w:rPr>
          <w:rFonts w:ascii="宋体" w:hAnsi="宋体" w:cs="宋体"/>
          <w:b/>
          <w:color w:val="auto"/>
          <w:szCs w:val="21"/>
          <w:highlight w:val="none"/>
        </w:rPr>
      </w:pPr>
      <w:r>
        <w:rPr>
          <w:rFonts w:hint="eastAsia" w:ascii="宋体" w:hAnsi="宋体" w:cs="宋体"/>
          <w:color w:val="auto"/>
          <w:szCs w:val="21"/>
          <w:highlight w:val="none"/>
        </w:rPr>
        <w:t>由投标人按本项目招标文件“第二章采购需求”中商务条款部分的售后服务要求自行填写，其中要包含售后服务承诺书。</w:t>
      </w:r>
    </w:p>
    <w:p w14:paraId="55C8AD2A">
      <w:pPr>
        <w:autoSpaceDE w:val="0"/>
        <w:autoSpaceDN w:val="0"/>
        <w:ind w:firstLine="316"/>
        <w:rPr>
          <w:rFonts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32"/>
        <w:gridCol w:w="1091"/>
        <w:gridCol w:w="1241"/>
        <w:gridCol w:w="1973"/>
        <w:gridCol w:w="1255"/>
      </w:tblGrid>
      <w:tr w14:paraId="4D2A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1353AE54">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32" w:type="dxa"/>
            <w:vAlign w:val="center"/>
          </w:tcPr>
          <w:p w14:paraId="62819FE6">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机构名称</w:t>
            </w:r>
          </w:p>
        </w:tc>
        <w:tc>
          <w:tcPr>
            <w:tcW w:w="1091" w:type="dxa"/>
            <w:vAlign w:val="center"/>
          </w:tcPr>
          <w:p w14:paraId="3AA20D89">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机构性质</w:t>
            </w:r>
          </w:p>
        </w:tc>
        <w:tc>
          <w:tcPr>
            <w:tcW w:w="1241" w:type="dxa"/>
            <w:vAlign w:val="center"/>
          </w:tcPr>
          <w:p w14:paraId="196F2FBD">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注册地址</w:t>
            </w:r>
          </w:p>
        </w:tc>
        <w:tc>
          <w:tcPr>
            <w:tcW w:w="1973" w:type="dxa"/>
            <w:vAlign w:val="center"/>
          </w:tcPr>
          <w:p w14:paraId="7FCDCD03">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货物技术人员数量</w:t>
            </w:r>
          </w:p>
        </w:tc>
        <w:tc>
          <w:tcPr>
            <w:tcW w:w="1255" w:type="dxa"/>
            <w:vAlign w:val="center"/>
          </w:tcPr>
          <w:p w14:paraId="7DC0D4D7">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联系电话</w:t>
            </w:r>
          </w:p>
        </w:tc>
      </w:tr>
      <w:tr w14:paraId="783E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2481525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1D1994A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4BF2AB96">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4131A783">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445C767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0BBE26D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r w14:paraId="5566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1D3FA02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77D6211C">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5AFC775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52D29B87">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0193A99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08455DAE">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r w14:paraId="0D41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5" w:type="dxa"/>
            <w:vAlign w:val="center"/>
          </w:tcPr>
          <w:p w14:paraId="3618396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15DADBA1">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444117DF">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6F8CF97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7B0D6FD1">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48F7231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bl>
    <w:p w14:paraId="1F6D4EC7">
      <w:pPr>
        <w:autoSpaceDE w:val="0"/>
        <w:autoSpaceDN w:val="0"/>
        <w:ind w:firstLine="316"/>
        <w:rPr>
          <w:rFonts w:ascii="宋体" w:hAnsi="宋体" w:cs="宋体"/>
          <w:color w:val="auto"/>
          <w:kern w:val="0"/>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tbl>
      <w:tblPr>
        <w:tblStyle w:val="28"/>
        <w:tblpPr w:leftFromText="180" w:rightFromText="180" w:vertAnchor="text" w:horzAnchor="page" w:tblpX="1455" w:tblpY="401"/>
        <w:tblOverlap w:val="never"/>
        <w:tblW w:w="9041" w:type="dxa"/>
        <w:tblInd w:w="0" w:type="dxa"/>
        <w:tblLayout w:type="fixed"/>
        <w:tblCellMar>
          <w:top w:w="0" w:type="dxa"/>
          <w:left w:w="108" w:type="dxa"/>
          <w:bottom w:w="0" w:type="dxa"/>
          <w:right w:w="108" w:type="dxa"/>
        </w:tblCellMar>
      </w:tblPr>
      <w:tblGrid>
        <w:gridCol w:w="510"/>
        <w:gridCol w:w="825"/>
        <w:gridCol w:w="885"/>
        <w:gridCol w:w="510"/>
        <w:gridCol w:w="780"/>
        <w:gridCol w:w="765"/>
        <w:gridCol w:w="915"/>
        <w:gridCol w:w="765"/>
        <w:gridCol w:w="1036"/>
        <w:gridCol w:w="1002"/>
        <w:gridCol w:w="1048"/>
      </w:tblGrid>
      <w:tr w14:paraId="4C99830D">
        <w:tblPrEx>
          <w:tblCellMar>
            <w:top w:w="0" w:type="dxa"/>
            <w:left w:w="108" w:type="dxa"/>
            <w:bottom w:w="0" w:type="dxa"/>
            <w:right w:w="108" w:type="dxa"/>
          </w:tblCellMar>
        </w:tblPrEx>
        <w:trPr>
          <w:trHeight w:val="994" w:hRule="atLeast"/>
        </w:trPr>
        <w:tc>
          <w:tcPr>
            <w:tcW w:w="510" w:type="dxa"/>
            <w:tcBorders>
              <w:top w:val="single" w:color="auto" w:sz="6" w:space="0"/>
              <w:left w:val="single" w:color="auto" w:sz="6" w:space="0"/>
              <w:bottom w:val="single" w:color="auto" w:sz="6" w:space="0"/>
              <w:right w:val="single" w:color="auto" w:sz="4" w:space="0"/>
            </w:tcBorders>
            <w:vAlign w:val="center"/>
          </w:tcPr>
          <w:p w14:paraId="633527E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25" w:type="dxa"/>
            <w:tcBorders>
              <w:top w:val="single" w:color="auto" w:sz="6" w:space="0"/>
              <w:left w:val="single" w:color="auto" w:sz="4" w:space="0"/>
              <w:bottom w:val="single" w:color="auto" w:sz="6" w:space="0"/>
              <w:right w:val="single" w:color="auto" w:sz="6" w:space="0"/>
            </w:tcBorders>
            <w:vAlign w:val="center"/>
          </w:tcPr>
          <w:p w14:paraId="00B7C38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885" w:type="dxa"/>
            <w:tcBorders>
              <w:top w:val="single" w:color="auto" w:sz="6" w:space="0"/>
              <w:left w:val="single" w:color="auto" w:sz="6" w:space="0"/>
              <w:bottom w:val="single" w:color="auto" w:sz="6" w:space="0"/>
              <w:right w:val="single" w:color="auto" w:sz="6" w:space="0"/>
            </w:tcBorders>
            <w:vAlign w:val="center"/>
          </w:tcPr>
          <w:p w14:paraId="7F2E9BEA">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510" w:type="dxa"/>
            <w:tcBorders>
              <w:top w:val="single" w:color="auto" w:sz="6" w:space="0"/>
              <w:left w:val="single" w:color="auto" w:sz="6" w:space="0"/>
              <w:bottom w:val="single" w:color="auto" w:sz="6" w:space="0"/>
              <w:right w:val="single" w:color="auto" w:sz="6" w:space="0"/>
            </w:tcBorders>
            <w:vAlign w:val="center"/>
          </w:tcPr>
          <w:p w14:paraId="00CCE36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80" w:type="dxa"/>
            <w:tcBorders>
              <w:top w:val="single" w:color="auto" w:sz="6" w:space="0"/>
              <w:left w:val="single" w:color="auto" w:sz="6" w:space="0"/>
              <w:bottom w:val="single" w:color="auto" w:sz="6" w:space="0"/>
              <w:right w:val="single" w:color="auto" w:sz="6" w:space="0"/>
            </w:tcBorders>
            <w:vAlign w:val="center"/>
          </w:tcPr>
          <w:p w14:paraId="1602DEFE">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765" w:type="dxa"/>
            <w:tcBorders>
              <w:top w:val="single" w:color="auto" w:sz="6" w:space="0"/>
              <w:left w:val="single" w:color="auto" w:sz="6" w:space="0"/>
              <w:bottom w:val="single" w:color="auto" w:sz="6" w:space="0"/>
              <w:right w:val="single" w:color="auto" w:sz="6" w:space="0"/>
            </w:tcBorders>
            <w:vAlign w:val="center"/>
          </w:tcPr>
          <w:p w14:paraId="36FC6FC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915" w:type="dxa"/>
            <w:tcBorders>
              <w:top w:val="single" w:color="auto" w:sz="6" w:space="0"/>
              <w:left w:val="single" w:color="auto" w:sz="6" w:space="0"/>
              <w:bottom w:val="single" w:color="auto" w:sz="6" w:space="0"/>
              <w:right w:val="single" w:color="auto" w:sz="6" w:space="0"/>
            </w:tcBorders>
            <w:vAlign w:val="center"/>
          </w:tcPr>
          <w:p w14:paraId="7B28D84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765" w:type="dxa"/>
            <w:tcBorders>
              <w:top w:val="single" w:color="auto" w:sz="6" w:space="0"/>
              <w:left w:val="single" w:color="auto" w:sz="6" w:space="0"/>
              <w:bottom w:val="single" w:color="auto" w:sz="6" w:space="0"/>
              <w:right w:val="single" w:color="auto" w:sz="6" w:space="0"/>
            </w:tcBorders>
            <w:vAlign w:val="center"/>
          </w:tcPr>
          <w:p w14:paraId="3820488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036" w:type="dxa"/>
            <w:tcBorders>
              <w:top w:val="single" w:color="auto" w:sz="6" w:space="0"/>
              <w:left w:val="single" w:color="auto" w:sz="6" w:space="0"/>
              <w:bottom w:val="single" w:color="auto" w:sz="6" w:space="0"/>
              <w:right w:val="single" w:color="auto" w:sz="6" w:space="0"/>
            </w:tcBorders>
            <w:vAlign w:val="center"/>
          </w:tcPr>
          <w:p w14:paraId="74511B89">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本项目中的职责</w:t>
            </w:r>
          </w:p>
        </w:tc>
        <w:tc>
          <w:tcPr>
            <w:tcW w:w="1002" w:type="dxa"/>
            <w:tcBorders>
              <w:top w:val="single" w:color="auto" w:sz="6" w:space="0"/>
              <w:left w:val="single" w:color="auto" w:sz="6" w:space="0"/>
              <w:bottom w:val="single" w:color="auto" w:sz="6" w:space="0"/>
              <w:right w:val="single" w:color="auto" w:sz="6" w:space="0"/>
            </w:tcBorders>
            <w:vAlign w:val="center"/>
          </w:tcPr>
          <w:p w14:paraId="4A211E6F">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响应时间</w:t>
            </w:r>
          </w:p>
        </w:tc>
        <w:tc>
          <w:tcPr>
            <w:tcW w:w="1048" w:type="dxa"/>
            <w:tcBorders>
              <w:top w:val="single" w:color="auto" w:sz="6" w:space="0"/>
              <w:left w:val="single" w:color="auto" w:sz="6" w:space="0"/>
              <w:bottom w:val="single" w:color="auto" w:sz="6" w:space="0"/>
              <w:right w:val="single" w:color="auto" w:sz="6" w:space="0"/>
            </w:tcBorders>
            <w:vAlign w:val="center"/>
          </w:tcPr>
          <w:p w14:paraId="1235133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到达现场时间</w:t>
            </w:r>
          </w:p>
        </w:tc>
      </w:tr>
      <w:tr w14:paraId="17322EEB">
        <w:tblPrEx>
          <w:tblCellMar>
            <w:top w:w="0" w:type="dxa"/>
            <w:left w:w="108" w:type="dxa"/>
            <w:bottom w:w="0" w:type="dxa"/>
            <w:right w:w="108" w:type="dxa"/>
          </w:tblCellMar>
        </w:tblPrEx>
        <w:trPr>
          <w:trHeight w:val="1050" w:hRule="atLeast"/>
        </w:trPr>
        <w:tc>
          <w:tcPr>
            <w:tcW w:w="510" w:type="dxa"/>
            <w:tcBorders>
              <w:top w:val="single" w:color="auto" w:sz="6" w:space="0"/>
              <w:left w:val="single" w:color="auto" w:sz="6" w:space="0"/>
              <w:bottom w:val="single" w:color="auto" w:sz="6" w:space="0"/>
              <w:right w:val="single" w:color="auto" w:sz="4" w:space="0"/>
            </w:tcBorders>
            <w:vAlign w:val="center"/>
          </w:tcPr>
          <w:p w14:paraId="4FA0A21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825" w:type="dxa"/>
            <w:tcBorders>
              <w:top w:val="single" w:color="auto" w:sz="6" w:space="0"/>
              <w:left w:val="single" w:color="auto" w:sz="4" w:space="0"/>
              <w:bottom w:val="single" w:color="auto" w:sz="6" w:space="0"/>
              <w:right w:val="single" w:color="auto" w:sz="6" w:space="0"/>
            </w:tcBorders>
            <w:vAlign w:val="center"/>
          </w:tcPr>
          <w:p w14:paraId="2BF1DEF2">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总协调人</w:t>
            </w:r>
          </w:p>
        </w:tc>
        <w:tc>
          <w:tcPr>
            <w:tcW w:w="885" w:type="dxa"/>
            <w:tcBorders>
              <w:top w:val="single" w:color="auto" w:sz="6" w:space="0"/>
              <w:left w:val="single" w:color="auto" w:sz="6" w:space="0"/>
              <w:bottom w:val="single" w:color="auto" w:sz="6" w:space="0"/>
              <w:right w:val="single" w:color="auto" w:sz="6" w:space="0"/>
            </w:tcBorders>
            <w:vAlign w:val="center"/>
          </w:tcPr>
          <w:p w14:paraId="336E0D9A">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510" w:type="dxa"/>
            <w:tcBorders>
              <w:top w:val="single" w:color="auto" w:sz="6" w:space="0"/>
              <w:left w:val="single" w:color="auto" w:sz="6" w:space="0"/>
              <w:bottom w:val="single" w:color="auto" w:sz="6" w:space="0"/>
              <w:right w:val="single" w:color="auto" w:sz="6" w:space="0"/>
            </w:tcBorders>
            <w:vAlign w:val="center"/>
          </w:tcPr>
          <w:p w14:paraId="62895C0F">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80" w:type="dxa"/>
            <w:tcBorders>
              <w:top w:val="single" w:color="auto" w:sz="6" w:space="0"/>
              <w:left w:val="single" w:color="auto" w:sz="6" w:space="0"/>
              <w:bottom w:val="single" w:color="auto" w:sz="6" w:space="0"/>
              <w:right w:val="single" w:color="auto" w:sz="6" w:space="0"/>
            </w:tcBorders>
            <w:vAlign w:val="center"/>
          </w:tcPr>
          <w:p w14:paraId="61DDC0A5">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1A905B61">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915" w:type="dxa"/>
            <w:tcBorders>
              <w:top w:val="single" w:color="auto" w:sz="6" w:space="0"/>
              <w:left w:val="single" w:color="auto" w:sz="6" w:space="0"/>
              <w:bottom w:val="single" w:color="auto" w:sz="6" w:space="0"/>
              <w:right w:val="single" w:color="auto" w:sz="6" w:space="0"/>
            </w:tcBorders>
            <w:vAlign w:val="center"/>
          </w:tcPr>
          <w:p w14:paraId="00533B0B">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1AB96619">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36" w:type="dxa"/>
            <w:tcBorders>
              <w:top w:val="single" w:color="auto" w:sz="6" w:space="0"/>
              <w:left w:val="single" w:color="auto" w:sz="6" w:space="0"/>
              <w:bottom w:val="single" w:color="auto" w:sz="6" w:space="0"/>
              <w:right w:val="single" w:color="auto" w:sz="6" w:space="0"/>
            </w:tcBorders>
            <w:vAlign w:val="center"/>
          </w:tcPr>
          <w:p w14:paraId="78C6885D">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28264033">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548805DE">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r>
      <w:tr w14:paraId="2224F8D6">
        <w:tblPrEx>
          <w:tblCellMar>
            <w:top w:w="0" w:type="dxa"/>
            <w:left w:w="108" w:type="dxa"/>
            <w:bottom w:w="0" w:type="dxa"/>
            <w:right w:w="108" w:type="dxa"/>
          </w:tblCellMar>
        </w:tblPrEx>
        <w:trPr>
          <w:trHeight w:val="1073" w:hRule="atLeast"/>
        </w:trPr>
        <w:tc>
          <w:tcPr>
            <w:tcW w:w="510" w:type="dxa"/>
            <w:tcBorders>
              <w:top w:val="single" w:color="auto" w:sz="6" w:space="0"/>
              <w:left w:val="single" w:color="auto" w:sz="6" w:space="0"/>
              <w:bottom w:val="single" w:color="auto" w:sz="6" w:space="0"/>
              <w:right w:val="single" w:color="auto" w:sz="4" w:space="0"/>
            </w:tcBorders>
            <w:vAlign w:val="center"/>
          </w:tcPr>
          <w:p w14:paraId="43F321B8">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825" w:type="dxa"/>
            <w:tcBorders>
              <w:top w:val="single" w:color="auto" w:sz="6" w:space="0"/>
              <w:left w:val="single" w:color="auto" w:sz="4" w:space="0"/>
              <w:bottom w:val="single" w:color="auto" w:sz="6" w:space="0"/>
              <w:right w:val="single" w:color="auto" w:sz="6" w:space="0"/>
            </w:tcBorders>
            <w:vAlign w:val="center"/>
          </w:tcPr>
          <w:p w14:paraId="1E8C7F92">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售后人员</w:t>
            </w:r>
          </w:p>
        </w:tc>
        <w:tc>
          <w:tcPr>
            <w:tcW w:w="885" w:type="dxa"/>
            <w:tcBorders>
              <w:top w:val="single" w:color="auto" w:sz="6" w:space="0"/>
              <w:left w:val="single" w:color="auto" w:sz="6" w:space="0"/>
              <w:bottom w:val="single" w:color="auto" w:sz="6" w:space="0"/>
              <w:right w:val="single" w:color="auto" w:sz="6" w:space="0"/>
            </w:tcBorders>
            <w:vAlign w:val="center"/>
          </w:tcPr>
          <w:p w14:paraId="70ABFAE8">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510" w:type="dxa"/>
            <w:tcBorders>
              <w:top w:val="single" w:color="auto" w:sz="6" w:space="0"/>
              <w:left w:val="single" w:color="auto" w:sz="6" w:space="0"/>
              <w:bottom w:val="single" w:color="auto" w:sz="6" w:space="0"/>
              <w:right w:val="single" w:color="auto" w:sz="6" w:space="0"/>
            </w:tcBorders>
            <w:vAlign w:val="center"/>
          </w:tcPr>
          <w:p w14:paraId="2F3FBD9A">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80" w:type="dxa"/>
            <w:tcBorders>
              <w:top w:val="single" w:color="auto" w:sz="6" w:space="0"/>
              <w:left w:val="single" w:color="auto" w:sz="6" w:space="0"/>
              <w:bottom w:val="single" w:color="auto" w:sz="6" w:space="0"/>
              <w:right w:val="single" w:color="auto" w:sz="6" w:space="0"/>
            </w:tcBorders>
            <w:vAlign w:val="center"/>
          </w:tcPr>
          <w:p w14:paraId="3C5DAF96">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57F4BE59">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915" w:type="dxa"/>
            <w:tcBorders>
              <w:top w:val="single" w:color="auto" w:sz="6" w:space="0"/>
              <w:left w:val="single" w:color="auto" w:sz="6" w:space="0"/>
              <w:bottom w:val="single" w:color="auto" w:sz="6" w:space="0"/>
              <w:right w:val="single" w:color="auto" w:sz="6" w:space="0"/>
            </w:tcBorders>
            <w:vAlign w:val="center"/>
          </w:tcPr>
          <w:p w14:paraId="70E98EBC">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5E42C3C6">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36" w:type="dxa"/>
            <w:tcBorders>
              <w:top w:val="single" w:color="auto" w:sz="6" w:space="0"/>
              <w:left w:val="single" w:color="auto" w:sz="6" w:space="0"/>
              <w:bottom w:val="single" w:color="auto" w:sz="6" w:space="0"/>
              <w:right w:val="single" w:color="auto" w:sz="6" w:space="0"/>
            </w:tcBorders>
            <w:vAlign w:val="center"/>
          </w:tcPr>
          <w:p w14:paraId="3BC581A2">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604927AE">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1FBB9A9F">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r>
    </w:tbl>
    <w:p w14:paraId="05AF9B5D">
      <w:pPr>
        <w:autoSpaceDE w:val="0"/>
        <w:autoSpaceDN w:val="0"/>
        <w:ind w:firstLine="316"/>
        <w:rPr>
          <w:rFonts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p w14:paraId="27855113">
      <w:pPr>
        <w:pStyle w:val="27"/>
        <w:ind w:left="0" w:leftChars="0" w:firstLine="0" w:firstLineChars="0"/>
        <w:rPr>
          <w:rFonts w:ascii="宋体" w:hAnsi="宋体" w:cs="宋体"/>
          <w:color w:val="auto"/>
          <w:szCs w:val="21"/>
          <w:highlight w:val="none"/>
        </w:rPr>
      </w:pPr>
    </w:p>
    <w:p w14:paraId="284BD82B">
      <w:pPr>
        <w:pStyle w:val="27"/>
        <w:spacing w:line="240" w:lineRule="auto"/>
        <w:ind w:left="0" w:leftChars="0" w:firstLine="0" w:firstLineChars="0"/>
        <w:rPr>
          <w:rFonts w:ascii="宋体" w:hAnsi="宋体" w:cs="宋体"/>
          <w:b/>
          <w:color w:val="auto"/>
          <w:kern w:val="0"/>
          <w:szCs w:val="21"/>
          <w:highlight w:val="none"/>
        </w:rPr>
      </w:pPr>
      <w:r>
        <w:rPr>
          <w:rFonts w:hint="eastAsia" w:ascii="宋体" w:hAnsi="宋体" w:cs="宋体"/>
          <w:b/>
          <w:color w:val="auto"/>
          <w:kern w:val="0"/>
          <w:szCs w:val="21"/>
          <w:highlight w:val="none"/>
        </w:rPr>
        <w:t>附表C：维保期满后售后服务</w:t>
      </w:r>
      <w:r>
        <w:rPr>
          <w:rFonts w:hint="eastAsia" w:ascii="宋体" w:hAnsi="宋体" w:cs="宋体"/>
          <w:color w:val="auto"/>
          <w:szCs w:val="21"/>
          <w:highlight w:val="none"/>
        </w:rPr>
        <w:t>（按此格式自制）</w:t>
      </w:r>
    </w:p>
    <w:tbl>
      <w:tblPr>
        <w:tblStyle w:val="28"/>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50"/>
        <w:gridCol w:w="1197"/>
        <w:gridCol w:w="947"/>
        <w:gridCol w:w="766"/>
        <w:gridCol w:w="752"/>
        <w:gridCol w:w="1295"/>
        <w:gridCol w:w="1026"/>
        <w:gridCol w:w="1132"/>
      </w:tblGrid>
      <w:tr w14:paraId="00F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4" w:type="dxa"/>
            <w:gridSpan w:val="5"/>
            <w:tcBorders>
              <w:top w:val="single" w:color="auto" w:sz="4" w:space="0"/>
              <w:left w:val="single" w:color="auto" w:sz="4" w:space="0"/>
              <w:bottom w:val="single" w:color="auto" w:sz="4" w:space="0"/>
              <w:right w:val="single" w:color="auto" w:sz="4" w:space="0"/>
            </w:tcBorders>
            <w:vAlign w:val="center"/>
          </w:tcPr>
          <w:p w14:paraId="538B41DC">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厂家信息</w:t>
            </w:r>
          </w:p>
        </w:tc>
        <w:tc>
          <w:tcPr>
            <w:tcW w:w="4205" w:type="dxa"/>
            <w:gridSpan w:val="4"/>
            <w:tcBorders>
              <w:top w:val="single" w:color="auto" w:sz="4" w:space="0"/>
              <w:left w:val="single" w:color="auto" w:sz="4" w:space="0"/>
              <w:bottom w:val="single" w:color="auto" w:sz="4" w:space="0"/>
              <w:right w:val="single" w:color="auto" w:sz="4" w:space="0"/>
            </w:tcBorders>
            <w:vAlign w:val="center"/>
          </w:tcPr>
          <w:p w14:paraId="26198BC2">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snapToGrid w:val="0"/>
                <w:color w:val="auto"/>
                <w:szCs w:val="21"/>
                <w:highlight w:val="none"/>
              </w:rPr>
              <w:t>授权</w:t>
            </w:r>
            <w:r>
              <w:rPr>
                <w:rFonts w:hint="eastAsia" w:ascii="宋体" w:hAnsi="宋体" w:cs="宋体"/>
                <w:color w:val="auto"/>
                <w:szCs w:val="21"/>
                <w:highlight w:val="none"/>
              </w:rPr>
              <w:t>售后</w:t>
            </w:r>
            <w:r>
              <w:rPr>
                <w:rFonts w:hint="eastAsia" w:ascii="宋体" w:hAnsi="宋体" w:cs="宋体"/>
                <w:snapToGrid w:val="0"/>
                <w:color w:val="auto"/>
                <w:szCs w:val="21"/>
                <w:highlight w:val="none"/>
              </w:rPr>
              <w:t>代理商（如有）</w:t>
            </w:r>
          </w:p>
        </w:tc>
      </w:tr>
      <w:tr w14:paraId="6CB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DE690E9">
            <w:pPr>
              <w:pStyle w:val="14"/>
              <w:keepNext w:val="0"/>
              <w:keepLines w:val="0"/>
              <w:suppressLineNumbers w:val="0"/>
              <w:wordWrap w:val="0"/>
              <w:snapToGrid w:val="0"/>
              <w:spacing w:before="0" w:beforeAutospacing="0" w:after="0" w:afterAutospacing="0"/>
              <w:ind w:left="0" w:right="0"/>
              <w:jc w:val="center"/>
              <w:rPr>
                <w:rFonts w:hAnsi="宋体" w:cs="宋体"/>
                <w:color w:val="auto"/>
                <w:spacing w:val="-20"/>
                <w:highlight w:val="none"/>
              </w:rPr>
            </w:pPr>
            <w:r>
              <w:rPr>
                <w:rFonts w:hint="eastAsia" w:hAnsi="宋体" w:cs="宋体"/>
                <w:color w:val="auto"/>
                <w:spacing w:val="-20"/>
                <w:highlight w:val="none"/>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203F0F77">
            <w:pPr>
              <w:keepNext w:val="0"/>
              <w:keepLines w:val="0"/>
              <w:suppressLineNumbers w:val="0"/>
              <w:wordWrap w:val="0"/>
              <w:topLinePunct/>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物品名称</w:t>
            </w:r>
          </w:p>
          <w:p w14:paraId="6E4885B2">
            <w:pPr>
              <w:keepNext w:val="0"/>
              <w:keepLines w:val="0"/>
              <w:suppressLineNumbers w:val="0"/>
              <w:wordWrap w:val="0"/>
              <w:topLinePunct/>
              <w:spacing w:before="0" w:beforeAutospacing="0" w:after="0" w:afterAutospacing="0"/>
              <w:ind w:left="0" w:right="0"/>
              <w:jc w:val="center"/>
              <w:rPr>
                <w:rFonts w:ascii="宋体" w:hAnsi="宋体" w:cs="宋体"/>
                <w:snapToGrid w:val="0"/>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22EB2BDD">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生产厂家名称</w:t>
            </w:r>
          </w:p>
        </w:tc>
        <w:tc>
          <w:tcPr>
            <w:tcW w:w="947" w:type="dxa"/>
            <w:tcBorders>
              <w:top w:val="single" w:color="auto" w:sz="4" w:space="0"/>
              <w:left w:val="single" w:color="auto" w:sz="4" w:space="0"/>
              <w:bottom w:val="single" w:color="auto" w:sz="4" w:space="0"/>
              <w:right w:val="single" w:color="auto" w:sz="4" w:space="0"/>
            </w:tcBorders>
            <w:vAlign w:val="center"/>
          </w:tcPr>
          <w:p w14:paraId="48574A82">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厂家工程师</w:t>
            </w:r>
          </w:p>
        </w:tc>
        <w:tc>
          <w:tcPr>
            <w:tcW w:w="766" w:type="dxa"/>
            <w:tcBorders>
              <w:top w:val="single" w:color="auto" w:sz="4" w:space="0"/>
              <w:left w:val="single" w:color="auto" w:sz="4" w:space="0"/>
              <w:bottom w:val="single" w:color="auto" w:sz="4" w:space="0"/>
              <w:right w:val="single" w:color="auto" w:sz="4" w:space="0"/>
            </w:tcBorders>
            <w:vAlign w:val="center"/>
          </w:tcPr>
          <w:p w14:paraId="1031680F">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联系方式</w:t>
            </w:r>
          </w:p>
        </w:tc>
        <w:tc>
          <w:tcPr>
            <w:tcW w:w="752" w:type="dxa"/>
            <w:tcBorders>
              <w:top w:val="single" w:color="auto" w:sz="4" w:space="0"/>
              <w:left w:val="single" w:color="auto" w:sz="4" w:space="0"/>
              <w:bottom w:val="single" w:color="auto" w:sz="4" w:space="0"/>
              <w:right w:val="single" w:color="auto" w:sz="4" w:space="0"/>
            </w:tcBorders>
            <w:vAlign w:val="center"/>
          </w:tcPr>
          <w:p w14:paraId="35FC943E">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1C1B53B2">
            <w:pPr>
              <w:pStyle w:val="14"/>
              <w:keepNext w:val="0"/>
              <w:keepLines w:val="0"/>
              <w:suppressLineNumbers w:val="0"/>
              <w:wordWrap w:val="0"/>
              <w:snapToGrid w:val="0"/>
              <w:spacing w:before="0" w:beforeAutospacing="0" w:after="0" w:afterAutospacing="0"/>
              <w:ind w:left="0" w:right="0"/>
              <w:jc w:val="center"/>
              <w:rPr>
                <w:rFonts w:hAnsi="宋体" w:cs="宋体"/>
                <w:snapToGrid w:val="0"/>
                <w:color w:val="auto"/>
                <w:highlight w:val="none"/>
              </w:rPr>
            </w:pPr>
            <w:r>
              <w:rPr>
                <w:rFonts w:hint="eastAsia" w:hAnsi="宋体" w:cs="宋体"/>
                <w:color w:val="auto"/>
                <w:highlight w:val="none"/>
              </w:rPr>
              <w:t>授权售后代理商名称（维修、配件供应及服务）</w:t>
            </w:r>
          </w:p>
        </w:tc>
        <w:tc>
          <w:tcPr>
            <w:tcW w:w="1026" w:type="dxa"/>
            <w:tcBorders>
              <w:top w:val="single" w:color="auto" w:sz="4" w:space="0"/>
              <w:left w:val="single" w:color="auto" w:sz="4" w:space="0"/>
              <w:bottom w:val="single" w:color="auto" w:sz="4" w:space="0"/>
              <w:right w:val="single" w:color="auto" w:sz="4" w:space="0"/>
            </w:tcBorders>
            <w:vAlign w:val="center"/>
          </w:tcPr>
          <w:p w14:paraId="624DE919">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代理商联系人</w:t>
            </w:r>
          </w:p>
        </w:tc>
        <w:tc>
          <w:tcPr>
            <w:tcW w:w="1132" w:type="dxa"/>
            <w:tcBorders>
              <w:top w:val="single" w:color="auto" w:sz="4" w:space="0"/>
              <w:left w:val="single" w:color="auto" w:sz="4" w:space="0"/>
              <w:bottom w:val="single" w:color="auto" w:sz="4" w:space="0"/>
              <w:right w:val="single" w:color="auto" w:sz="4" w:space="0"/>
            </w:tcBorders>
            <w:vAlign w:val="center"/>
          </w:tcPr>
          <w:p w14:paraId="275BC9F3">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联系方式</w:t>
            </w:r>
          </w:p>
        </w:tc>
      </w:tr>
      <w:tr w14:paraId="7986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restart"/>
            <w:tcBorders>
              <w:top w:val="single" w:color="auto" w:sz="4" w:space="0"/>
              <w:left w:val="single" w:color="auto" w:sz="4" w:space="0"/>
              <w:right w:val="single" w:color="auto" w:sz="4" w:space="0"/>
            </w:tcBorders>
          </w:tcPr>
          <w:p w14:paraId="3AF6F0E0">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350" w:type="dxa"/>
            <w:vMerge w:val="restart"/>
            <w:tcBorders>
              <w:top w:val="single" w:color="auto" w:sz="4" w:space="0"/>
              <w:left w:val="single" w:color="auto" w:sz="4" w:space="0"/>
              <w:right w:val="single" w:color="auto" w:sz="4" w:space="0"/>
            </w:tcBorders>
          </w:tcPr>
          <w:p w14:paraId="737E1F70">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restart"/>
            <w:tcBorders>
              <w:top w:val="single" w:color="auto" w:sz="4" w:space="0"/>
              <w:left w:val="single" w:color="auto" w:sz="4" w:space="0"/>
              <w:right w:val="single" w:color="auto" w:sz="4" w:space="0"/>
            </w:tcBorders>
          </w:tcPr>
          <w:p w14:paraId="3CCF928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restart"/>
            <w:tcBorders>
              <w:top w:val="single" w:color="auto" w:sz="4" w:space="0"/>
              <w:left w:val="single" w:color="auto" w:sz="4" w:space="0"/>
              <w:right w:val="single" w:color="auto" w:sz="4" w:space="0"/>
            </w:tcBorders>
          </w:tcPr>
          <w:p w14:paraId="5E399784">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restart"/>
            <w:tcBorders>
              <w:top w:val="single" w:color="auto" w:sz="4" w:space="0"/>
              <w:left w:val="single" w:color="auto" w:sz="4" w:space="0"/>
              <w:right w:val="single" w:color="auto" w:sz="4" w:space="0"/>
            </w:tcBorders>
          </w:tcPr>
          <w:p w14:paraId="389CCAA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6B83EB0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1</w:t>
            </w:r>
          </w:p>
        </w:tc>
        <w:tc>
          <w:tcPr>
            <w:tcW w:w="1295" w:type="dxa"/>
            <w:tcBorders>
              <w:top w:val="single" w:color="auto" w:sz="4" w:space="0"/>
              <w:left w:val="single" w:color="auto" w:sz="4" w:space="0"/>
              <w:bottom w:val="single" w:color="auto" w:sz="4" w:space="0"/>
              <w:right w:val="single" w:color="auto" w:sz="4" w:space="0"/>
            </w:tcBorders>
          </w:tcPr>
          <w:p w14:paraId="6E23C8B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7CFFBC42">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11703EC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0DE5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right w:val="single" w:color="auto" w:sz="4" w:space="0"/>
            </w:tcBorders>
          </w:tcPr>
          <w:p w14:paraId="623B6407">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350" w:type="dxa"/>
            <w:vMerge w:val="continue"/>
            <w:tcBorders>
              <w:left w:val="single" w:color="auto" w:sz="4" w:space="0"/>
              <w:right w:val="single" w:color="auto" w:sz="4" w:space="0"/>
            </w:tcBorders>
          </w:tcPr>
          <w:p w14:paraId="3B35858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right w:val="single" w:color="auto" w:sz="4" w:space="0"/>
            </w:tcBorders>
          </w:tcPr>
          <w:p w14:paraId="05479F1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right w:val="single" w:color="auto" w:sz="4" w:space="0"/>
            </w:tcBorders>
          </w:tcPr>
          <w:p w14:paraId="401C7AA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right w:val="single" w:color="auto" w:sz="4" w:space="0"/>
            </w:tcBorders>
          </w:tcPr>
          <w:p w14:paraId="55B7B40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142FCAA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2</w:t>
            </w:r>
          </w:p>
        </w:tc>
        <w:tc>
          <w:tcPr>
            <w:tcW w:w="1295" w:type="dxa"/>
            <w:tcBorders>
              <w:top w:val="single" w:color="auto" w:sz="4" w:space="0"/>
              <w:left w:val="single" w:color="auto" w:sz="4" w:space="0"/>
              <w:bottom w:val="single" w:color="auto" w:sz="4" w:space="0"/>
              <w:right w:val="single" w:color="auto" w:sz="4" w:space="0"/>
            </w:tcBorders>
          </w:tcPr>
          <w:p w14:paraId="40D21AE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59F26AA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79905D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38B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bottom w:val="single" w:color="auto" w:sz="4" w:space="0"/>
              <w:right w:val="single" w:color="auto" w:sz="4" w:space="0"/>
            </w:tcBorders>
          </w:tcPr>
          <w:p w14:paraId="3084C968">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350" w:type="dxa"/>
            <w:vMerge w:val="continue"/>
            <w:tcBorders>
              <w:left w:val="single" w:color="auto" w:sz="4" w:space="0"/>
              <w:bottom w:val="single" w:color="auto" w:sz="4" w:space="0"/>
              <w:right w:val="single" w:color="auto" w:sz="4" w:space="0"/>
            </w:tcBorders>
          </w:tcPr>
          <w:p w14:paraId="2641289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bottom w:val="single" w:color="auto" w:sz="4" w:space="0"/>
              <w:right w:val="single" w:color="auto" w:sz="4" w:space="0"/>
            </w:tcBorders>
          </w:tcPr>
          <w:p w14:paraId="5B8FC80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bottom w:val="single" w:color="auto" w:sz="4" w:space="0"/>
              <w:right w:val="single" w:color="auto" w:sz="4" w:space="0"/>
            </w:tcBorders>
          </w:tcPr>
          <w:p w14:paraId="322E7C5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bottom w:val="single" w:color="auto" w:sz="4" w:space="0"/>
              <w:right w:val="single" w:color="auto" w:sz="4" w:space="0"/>
            </w:tcBorders>
          </w:tcPr>
          <w:p w14:paraId="41B7313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7FF7B241">
            <w:pPr>
              <w:keepNext w:val="0"/>
              <w:keepLines w:val="0"/>
              <w:suppressLineNumbers w:val="0"/>
              <w:tabs>
                <w:tab w:val="left" w:pos="320"/>
              </w:tabs>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w:t>
            </w:r>
          </w:p>
        </w:tc>
        <w:tc>
          <w:tcPr>
            <w:tcW w:w="1295" w:type="dxa"/>
            <w:tcBorders>
              <w:top w:val="single" w:color="auto" w:sz="4" w:space="0"/>
              <w:left w:val="single" w:color="auto" w:sz="4" w:space="0"/>
              <w:bottom w:val="single" w:color="auto" w:sz="4" w:space="0"/>
              <w:right w:val="single" w:color="auto" w:sz="4" w:space="0"/>
            </w:tcBorders>
          </w:tcPr>
          <w:p w14:paraId="5C610AA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6BFF767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1AB414F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7A87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restart"/>
            <w:tcBorders>
              <w:top w:val="single" w:color="auto" w:sz="4" w:space="0"/>
              <w:left w:val="single" w:color="auto" w:sz="4" w:space="0"/>
              <w:right w:val="single" w:color="auto" w:sz="4" w:space="0"/>
            </w:tcBorders>
          </w:tcPr>
          <w:p w14:paraId="1A2B50AE">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2</w:t>
            </w:r>
          </w:p>
        </w:tc>
        <w:tc>
          <w:tcPr>
            <w:tcW w:w="1350" w:type="dxa"/>
            <w:vMerge w:val="restart"/>
            <w:tcBorders>
              <w:top w:val="single" w:color="auto" w:sz="4" w:space="0"/>
              <w:left w:val="single" w:color="auto" w:sz="4" w:space="0"/>
              <w:right w:val="single" w:color="auto" w:sz="4" w:space="0"/>
            </w:tcBorders>
          </w:tcPr>
          <w:p w14:paraId="0E283491">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restart"/>
            <w:tcBorders>
              <w:top w:val="single" w:color="auto" w:sz="4" w:space="0"/>
              <w:left w:val="single" w:color="auto" w:sz="4" w:space="0"/>
              <w:right w:val="single" w:color="auto" w:sz="4" w:space="0"/>
            </w:tcBorders>
          </w:tcPr>
          <w:p w14:paraId="430245E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restart"/>
            <w:tcBorders>
              <w:top w:val="single" w:color="auto" w:sz="4" w:space="0"/>
              <w:left w:val="single" w:color="auto" w:sz="4" w:space="0"/>
              <w:right w:val="single" w:color="auto" w:sz="4" w:space="0"/>
            </w:tcBorders>
          </w:tcPr>
          <w:p w14:paraId="103BCEF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restart"/>
            <w:tcBorders>
              <w:top w:val="single" w:color="auto" w:sz="4" w:space="0"/>
              <w:left w:val="single" w:color="auto" w:sz="4" w:space="0"/>
              <w:right w:val="single" w:color="auto" w:sz="4" w:space="0"/>
            </w:tcBorders>
          </w:tcPr>
          <w:p w14:paraId="19F1718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23DC2EF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1</w:t>
            </w:r>
          </w:p>
        </w:tc>
        <w:tc>
          <w:tcPr>
            <w:tcW w:w="1295" w:type="dxa"/>
            <w:tcBorders>
              <w:top w:val="single" w:color="auto" w:sz="4" w:space="0"/>
              <w:left w:val="single" w:color="auto" w:sz="4" w:space="0"/>
              <w:bottom w:val="single" w:color="auto" w:sz="4" w:space="0"/>
              <w:right w:val="single" w:color="auto" w:sz="4" w:space="0"/>
            </w:tcBorders>
          </w:tcPr>
          <w:p w14:paraId="580C503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2D35886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FDB30D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0983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right w:val="single" w:color="auto" w:sz="4" w:space="0"/>
            </w:tcBorders>
          </w:tcPr>
          <w:p w14:paraId="17B44240">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350" w:type="dxa"/>
            <w:vMerge w:val="continue"/>
            <w:tcBorders>
              <w:left w:val="single" w:color="auto" w:sz="4" w:space="0"/>
              <w:right w:val="single" w:color="auto" w:sz="4" w:space="0"/>
            </w:tcBorders>
          </w:tcPr>
          <w:p w14:paraId="47D664E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right w:val="single" w:color="auto" w:sz="4" w:space="0"/>
            </w:tcBorders>
          </w:tcPr>
          <w:p w14:paraId="4862D63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right w:val="single" w:color="auto" w:sz="4" w:space="0"/>
            </w:tcBorders>
          </w:tcPr>
          <w:p w14:paraId="0386947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right w:val="single" w:color="auto" w:sz="4" w:space="0"/>
            </w:tcBorders>
          </w:tcPr>
          <w:p w14:paraId="2E6B2C6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4BE5142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2</w:t>
            </w:r>
          </w:p>
        </w:tc>
        <w:tc>
          <w:tcPr>
            <w:tcW w:w="1295" w:type="dxa"/>
            <w:tcBorders>
              <w:top w:val="single" w:color="auto" w:sz="4" w:space="0"/>
              <w:left w:val="single" w:color="auto" w:sz="4" w:space="0"/>
              <w:bottom w:val="single" w:color="auto" w:sz="4" w:space="0"/>
              <w:right w:val="single" w:color="auto" w:sz="4" w:space="0"/>
            </w:tcBorders>
          </w:tcPr>
          <w:p w14:paraId="2D455EF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541E06C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931BBC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38B1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right w:val="single" w:color="auto" w:sz="4" w:space="0"/>
            </w:tcBorders>
          </w:tcPr>
          <w:p w14:paraId="5E224940">
            <w:pPr>
              <w:keepNext w:val="0"/>
              <w:keepLines w:val="0"/>
              <w:suppressLineNumbers w:val="0"/>
              <w:wordWrap w:val="0"/>
              <w:adjustRightInd w:val="0"/>
              <w:snapToGrid w:val="0"/>
              <w:spacing w:before="0" w:beforeAutospacing="0" w:after="0" w:afterAutospacing="0"/>
              <w:ind w:left="0" w:right="0"/>
              <w:rPr>
                <w:rFonts w:ascii="宋体" w:hAnsi="宋体" w:cs="宋体"/>
                <w:snapToGrid w:val="0"/>
                <w:color w:val="auto"/>
                <w:szCs w:val="21"/>
                <w:highlight w:val="none"/>
              </w:rPr>
            </w:pPr>
          </w:p>
        </w:tc>
        <w:tc>
          <w:tcPr>
            <w:tcW w:w="1350" w:type="dxa"/>
            <w:vMerge w:val="continue"/>
            <w:tcBorders>
              <w:left w:val="single" w:color="auto" w:sz="4" w:space="0"/>
              <w:right w:val="single" w:color="auto" w:sz="4" w:space="0"/>
            </w:tcBorders>
          </w:tcPr>
          <w:p w14:paraId="672FA96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right w:val="single" w:color="auto" w:sz="4" w:space="0"/>
            </w:tcBorders>
          </w:tcPr>
          <w:p w14:paraId="236F4BE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right w:val="single" w:color="auto" w:sz="4" w:space="0"/>
            </w:tcBorders>
          </w:tcPr>
          <w:p w14:paraId="323DD96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right w:val="single" w:color="auto" w:sz="4" w:space="0"/>
            </w:tcBorders>
          </w:tcPr>
          <w:p w14:paraId="2C58AD2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0165D10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w:t>
            </w:r>
          </w:p>
        </w:tc>
        <w:tc>
          <w:tcPr>
            <w:tcW w:w="1295" w:type="dxa"/>
            <w:tcBorders>
              <w:top w:val="single" w:color="auto" w:sz="4" w:space="0"/>
              <w:left w:val="single" w:color="auto" w:sz="4" w:space="0"/>
              <w:bottom w:val="single" w:color="auto" w:sz="4" w:space="0"/>
              <w:right w:val="single" w:color="auto" w:sz="4" w:space="0"/>
            </w:tcBorders>
          </w:tcPr>
          <w:p w14:paraId="6F57767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2793F68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5A965FB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2417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4" w:type="dxa"/>
            <w:tcBorders>
              <w:left w:val="single" w:color="auto" w:sz="4" w:space="0"/>
              <w:bottom w:val="single" w:color="auto" w:sz="4" w:space="0"/>
              <w:right w:val="single" w:color="auto" w:sz="4" w:space="0"/>
            </w:tcBorders>
          </w:tcPr>
          <w:p w14:paraId="48E4F405">
            <w:pPr>
              <w:keepNext w:val="0"/>
              <w:keepLines w:val="0"/>
              <w:suppressLineNumbers w:val="0"/>
              <w:wordWrap w:val="0"/>
              <w:adjustRightInd w:val="0"/>
              <w:snapToGrid w:val="0"/>
              <w:spacing w:before="0" w:beforeAutospacing="0" w:after="0" w:afterAutospacing="0"/>
              <w:ind w:left="0" w:right="0"/>
              <w:rPr>
                <w:rFonts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350" w:type="dxa"/>
            <w:tcBorders>
              <w:left w:val="single" w:color="auto" w:sz="4" w:space="0"/>
              <w:bottom w:val="single" w:color="auto" w:sz="4" w:space="0"/>
              <w:right w:val="single" w:color="auto" w:sz="4" w:space="0"/>
            </w:tcBorders>
          </w:tcPr>
          <w:p w14:paraId="661F07D2">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tcBorders>
              <w:left w:val="single" w:color="auto" w:sz="4" w:space="0"/>
              <w:bottom w:val="single" w:color="auto" w:sz="4" w:space="0"/>
              <w:right w:val="single" w:color="auto" w:sz="4" w:space="0"/>
            </w:tcBorders>
          </w:tcPr>
          <w:p w14:paraId="550AD4B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tcBorders>
              <w:left w:val="single" w:color="auto" w:sz="4" w:space="0"/>
              <w:bottom w:val="single" w:color="auto" w:sz="4" w:space="0"/>
              <w:right w:val="single" w:color="auto" w:sz="4" w:space="0"/>
            </w:tcBorders>
          </w:tcPr>
          <w:p w14:paraId="123AB7E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tcBorders>
              <w:left w:val="single" w:color="auto" w:sz="4" w:space="0"/>
              <w:bottom w:val="single" w:color="auto" w:sz="4" w:space="0"/>
              <w:right w:val="single" w:color="auto" w:sz="4" w:space="0"/>
            </w:tcBorders>
          </w:tcPr>
          <w:p w14:paraId="1928CE1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5FD18E7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tcPr>
          <w:p w14:paraId="6A55E19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2813408E">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D48F4A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bl>
    <w:p w14:paraId="67AEC6A8">
      <w:pPr>
        <w:pStyle w:val="27"/>
        <w:ind w:left="0" w:leftChars="0" w:firstLine="0" w:firstLineChars="0"/>
        <w:rPr>
          <w:rFonts w:ascii="宋体" w:hAnsi="宋体" w:cs="宋体"/>
          <w:color w:val="auto"/>
          <w:kern w:val="0"/>
          <w:szCs w:val="21"/>
          <w:highlight w:val="none"/>
        </w:rPr>
      </w:pPr>
    </w:p>
    <w:p w14:paraId="50C8D50A">
      <w:pPr>
        <w:rPr>
          <w:color w:val="auto"/>
          <w:highlight w:val="none"/>
        </w:rPr>
      </w:pPr>
      <w:r>
        <w:rPr>
          <w:rFonts w:hint="eastAsia"/>
          <w:color w:val="auto"/>
          <w:highlight w:val="none"/>
        </w:rPr>
        <w:t>填表说明：</w:t>
      </w:r>
    </w:p>
    <w:p w14:paraId="081D6FED">
      <w:pPr>
        <w:rPr>
          <w:color w:val="auto"/>
          <w:highlight w:val="none"/>
        </w:rPr>
      </w:pPr>
      <w:r>
        <w:rPr>
          <w:rFonts w:hint="eastAsia"/>
          <w:color w:val="auto"/>
          <w:highlight w:val="none"/>
        </w:rPr>
        <w:t>1.若为厂家直接售后，则无需填写授权售后代理商；</w:t>
      </w:r>
    </w:p>
    <w:p w14:paraId="6DFFD41D">
      <w:pPr>
        <w:rPr>
          <w:color w:val="auto"/>
          <w:highlight w:val="none"/>
        </w:rPr>
      </w:pPr>
      <w:r>
        <w:rPr>
          <w:rFonts w:hint="eastAsia"/>
          <w:color w:val="auto"/>
          <w:highlight w:val="none"/>
        </w:rPr>
        <w:t>2.所报授权售后代理商为设备维修、配件供应、维保期满后维保服务采购的重要依据；</w:t>
      </w:r>
    </w:p>
    <w:p w14:paraId="75FECA34">
      <w:pPr>
        <w:rPr>
          <w:color w:val="auto"/>
          <w:highlight w:val="none"/>
        </w:rPr>
      </w:pPr>
      <w:r>
        <w:rPr>
          <w:rFonts w:hint="eastAsia"/>
          <w:color w:val="auto"/>
          <w:highlight w:val="none"/>
        </w:rPr>
        <w:t>3.若售后代理商更换，请及时联系采购单位进行修改，提供更正说明。</w:t>
      </w:r>
    </w:p>
    <w:p w14:paraId="15F36F33">
      <w:pPr>
        <w:ind w:firstLine="480"/>
        <w:rPr>
          <w:rFonts w:ascii="宋体" w:hAnsi="宋体" w:cs="宋体"/>
          <w:color w:val="auto"/>
          <w:sz w:val="32"/>
          <w:szCs w:val="32"/>
          <w:highlight w:val="none"/>
        </w:rPr>
      </w:pPr>
    </w:p>
    <w:p w14:paraId="07A10DBA">
      <w:pPr>
        <w:autoSpaceDE w:val="0"/>
        <w:autoSpaceDN w:val="0"/>
        <w:ind w:left="4334" w:leftChars="2064" w:firstLine="720" w:firstLineChars="300"/>
        <w:rPr>
          <w:rFonts w:ascii="宋体" w:hAnsi="宋体" w:cs="宋体"/>
          <w:color w:val="auto"/>
          <w:kern w:val="0"/>
          <w:sz w:val="24"/>
          <w:highlight w:val="none"/>
        </w:rPr>
      </w:pPr>
      <w:r>
        <w:rPr>
          <w:rFonts w:hint="eastAsia" w:ascii="宋体" w:hAnsi="宋体" w:cs="宋体"/>
          <w:color w:val="auto"/>
          <w:kern w:val="0"/>
          <w:sz w:val="24"/>
          <w:highlight w:val="none"/>
          <w:lang w:val="zh-CN"/>
        </w:rPr>
        <w:t>投标人</w:t>
      </w:r>
      <w:r>
        <w:rPr>
          <w:rFonts w:hint="eastAsia" w:ascii="宋体" w:hAnsi="宋体" w:cs="宋体"/>
          <w:color w:val="auto"/>
          <w:kern w:val="0"/>
          <w:sz w:val="24"/>
          <w:highlight w:val="none"/>
        </w:rPr>
        <w:t>名称</w:t>
      </w:r>
      <w:r>
        <w:rPr>
          <w:rFonts w:hint="eastAsia" w:ascii="宋体" w:hAnsi="宋体" w:cs="宋体"/>
          <w:color w:val="auto"/>
          <w:kern w:val="0"/>
          <w:sz w:val="24"/>
          <w:highlight w:val="none"/>
          <w:lang w:val="zh-CN"/>
        </w:rPr>
        <w:t>(盖公章)</w:t>
      </w:r>
      <w:r>
        <w:rPr>
          <w:rFonts w:hint="eastAsia" w:ascii="宋体" w:hAnsi="宋体" w:cs="宋体"/>
          <w:color w:val="auto"/>
          <w:kern w:val="0"/>
          <w:sz w:val="24"/>
          <w:highlight w:val="none"/>
        </w:rPr>
        <w:t>：</w:t>
      </w:r>
    </w:p>
    <w:p w14:paraId="37E0425A">
      <w:pPr>
        <w:ind w:firstLine="360"/>
        <w:contextualSpacing/>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B34BB7B">
      <w:pPr>
        <w:rPr>
          <w:color w:val="auto"/>
          <w:highlight w:val="none"/>
        </w:rPr>
      </w:pPr>
    </w:p>
    <w:p w14:paraId="644CBDA5">
      <w:pPr>
        <w:ind w:firstLine="361"/>
        <w:jc w:val="center"/>
        <w:outlineLvl w:val="1"/>
        <w:rPr>
          <w:rFonts w:ascii="宋体" w:hAnsi="宋体" w:cs="宋体"/>
          <w:b/>
          <w:bCs/>
          <w:color w:val="auto"/>
          <w:sz w:val="28"/>
          <w:szCs w:val="28"/>
          <w:highlight w:val="none"/>
        </w:rPr>
      </w:pPr>
      <w:r>
        <w:rPr>
          <w:rFonts w:hint="eastAsia" w:ascii="宋体" w:hAnsi="宋体" w:cs="宋体"/>
          <w:b/>
          <w:bCs/>
          <w:color w:val="auto"/>
          <w:sz w:val="24"/>
          <w:highlight w:val="none"/>
        </w:rPr>
        <w:br w:type="page"/>
      </w:r>
      <w:bookmarkStart w:id="275" w:name="_Toc27076"/>
      <w:bookmarkStart w:id="276" w:name="_Toc21638"/>
      <w:bookmarkStart w:id="277" w:name="_Toc10710"/>
      <w:bookmarkStart w:id="278" w:name="_Toc17482"/>
      <w:bookmarkStart w:id="279" w:name="_Toc31296"/>
      <w:r>
        <w:rPr>
          <w:rFonts w:hint="eastAsia" w:ascii="宋体" w:hAnsi="宋体" w:cs="宋体"/>
          <w:b/>
          <w:bCs/>
          <w:color w:val="auto"/>
          <w:sz w:val="28"/>
          <w:szCs w:val="28"/>
          <w:highlight w:val="none"/>
        </w:rPr>
        <w:t>第五节 报价文件格式</w:t>
      </w:r>
      <w:bookmarkEnd w:id="275"/>
      <w:bookmarkEnd w:id="276"/>
      <w:bookmarkEnd w:id="277"/>
      <w:bookmarkEnd w:id="278"/>
      <w:bookmarkEnd w:id="279"/>
    </w:p>
    <w:p w14:paraId="5A214117">
      <w:pPr>
        <w:snapToGrid w:val="0"/>
        <w:spacing w:beforeLines="50" w:after="50" w:line="400" w:lineRule="exact"/>
        <w:ind w:firstLine="360"/>
        <w:jc w:val="left"/>
        <w:rPr>
          <w:rFonts w:ascii="宋体" w:hAnsi="宋体" w:cs="宋体"/>
          <w:color w:val="auto"/>
          <w:sz w:val="24"/>
          <w:highlight w:val="none"/>
        </w:rPr>
      </w:pPr>
    </w:p>
    <w:p w14:paraId="11A2921A">
      <w:pPr>
        <w:snapToGrid w:val="0"/>
        <w:spacing w:beforeLines="50" w:after="50" w:line="400" w:lineRule="exact"/>
        <w:ind w:firstLine="42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1.报价文件封面的格式： </w:t>
      </w:r>
    </w:p>
    <w:p w14:paraId="5F8548F8">
      <w:pPr>
        <w:snapToGrid w:val="0"/>
        <w:spacing w:beforeLines="50" w:after="50" w:line="400" w:lineRule="exact"/>
        <w:ind w:firstLine="422"/>
        <w:jc w:val="left"/>
        <w:rPr>
          <w:rFonts w:ascii="宋体" w:hAnsi="宋体" w:cs="宋体"/>
          <w:b/>
          <w:bCs/>
          <w:color w:val="auto"/>
          <w:sz w:val="28"/>
          <w:szCs w:val="28"/>
          <w:highlight w:val="none"/>
        </w:rPr>
      </w:pPr>
    </w:p>
    <w:p w14:paraId="17C282DC">
      <w:pPr>
        <w:snapToGrid w:val="0"/>
        <w:spacing w:beforeLines="50" w:after="50" w:line="400" w:lineRule="exact"/>
        <w:ind w:firstLine="360"/>
        <w:jc w:val="left"/>
        <w:rPr>
          <w:rFonts w:ascii="宋体" w:hAnsi="宋体" w:cs="宋体"/>
          <w:color w:val="auto"/>
          <w:sz w:val="24"/>
          <w:highlight w:val="none"/>
        </w:rPr>
      </w:pPr>
    </w:p>
    <w:p w14:paraId="0E10BDBA">
      <w:pPr>
        <w:snapToGrid w:val="0"/>
        <w:spacing w:beforeLines="50" w:after="50" w:line="400" w:lineRule="exact"/>
        <w:ind w:firstLine="5040" w:firstLineChars="2400"/>
        <w:jc w:val="right"/>
        <w:rPr>
          <w:rFonts w:ascii="宋体" w:hAnsi="宋体" w:cs="宋体"/>
          <w:bCs/>
          <w:color w:val="auto"/>
          <w:sz w:val="32"/>
          <w:szCs w:val="20"/>
          <w:highlight w:val="none"/>
        </w:rPr>
      </w:pPr>
      <w:r>
        <w:rPr>
          <w:rFonts w:hint="eastAsia" w:ascii="宋体" w:hAnsi="宋体" w:cs="宋体"/>
          <w:bCs/>
          <w:color w:val="auto"/>
          <w:highlight w:val="none"/>
        </w:rPr>
        <w:t>电子投标文件</w:t>
      </w:r>
    </w:p>
    <w:p w14:paraId="487CBCF6">
      <w:pPr>
        <w:snapToGrid w:val="0"/>
        <w:spacing w:beforeLines="50" w:after="50" w:line="400" w:lineRule="exact"/>
        <w:ind w:firstLine="360"/>
        <w:jc w:val="center"/>
        <w:rPr>
          <w:rFonts w:ascii="宋体" w:hAnsi="宋体" w:cs="宋体"/>
          <w:bCs/>
          <w:color w:val="auto"/>
          <w:sz w:val="24"/>
          <w:szCs w:val="20"/>
          <w:highlight w:val="none"/>
        </w:rPr>
      </w:pPr>
    </w:p>
    <w:p w14:paraId="605B308B">
      <w:pPr>
        <w:snapToGrid w:val="0"/>
        <w:spacing w:beforeLines="50" w:after="50" w:line="400" w:lineRule="exact"/>
        <w:ind w:firstLine="482"/>
        <w:jc w:val="center"/>
        <w:rPr>
          <w:rFonts w:ascii="宋体" w:hAnsi="宋体" w:cs="宋体"/>
          <w:b/>
          <w:bCs/>
          <w:color w:val="auto"/>
          <w:sz w:val="32"/>
          <w:szCs w:val="32"/>
          <w:highlight w:val="none"/>
        </w:rPr>
      </w:pPr>
    </w:p>
    <w:p w14:paraId="1878E95F">
      <w:pPr>
        <w:snapToGrid w:val="0"/>
        <w:spacing w:beforeLines="50" w:after="50" w:line="400" w:lineRule="exact"/>
        <w:ind w:firstLine="482"/>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441243B">
      <w:pPr>
        <w:snapToGrid w:val="0"/>
        <w:spacing w:beforeLines="50" w:after="50" w:line="400" w:lineRule="exact"/>
        <w:ind w:firstLine="360"/>
        <w:rPr>
          <w:rFonts w:ascii="宋体" w:hAnsi="宋体" w:cs="宋体"/>
          <w:bCs/>
          <w:color w:val="auto"/>
          <w:sz w:val="24"/>
          <w:szCs w:val="20"/>
          <w:highlight w:val="none"/>
        </w:rPr>
      </w:pPr>
    </w:p>
    <w:p w14:paraId="15094599">
      <w:pPr>
        <w:snapToGrid w:val="0"/>
        <w:spacing w:beforeLines="50" w:after="50" w:line="400" w:lineRule="exact"/>
        <w:ind w:firstLine="360"/>
        <w:rPr>
          <w:rFonts w:ascii="宋体" w:hAnsi="宋体" w:cs="宋体"/>
          <w:bCs/>
          <w:color w:val="auto"/>
          <w:sz w:val="24"/>
          <w:szCs w:val="20"/>
          <w:highlight w:val="none"/>
        </w:rPr>
      </w:pPr>
    </w:p>
    <w:p w14:paraId="2A4DA4EA">
      <w:pPr>
        <w:snapToGrid w:val="0"/>
        <w:spacing w:beforeLines="50" w:after="50" w:line="400" w:lineRule="exact"/>
        <w:ind w:firstLine="360"/>
        <w:rPr>
          <w:rFonts w:ascii="宋体" w:hAnsi="宋体" w:cs="宋体"/>
          <w:bCs/>
          <w:color w:val="auto"/>
          <w:sz w:val="24"/>
          <w:szCs w:val="20"/>
          <w:highlight w:val="none"/>
        </w:rPr>
      </w:pPr>
    </w:p>
    <w:p w14:paraId="6B399501">
      <w:pPr>
        <w:snapToGrid w:val="0"/>
        <w:spacing w:beforeLines="50" w:after="50" w:line="400" w:lineRule="exact"/>
        <w:ind w:firstLine="360"/>
        <w:rPr>
          <w:rFonts w:ascii="宋体" w:hAnsi="宋体" w:cs="宋体"/>
          <w:bCs/>
          <w:color w:val="auto"/>
          <w:sz w:val="24"/>
          <w:szCs w:val="20"/>
          <w:highlight w:val="none"/>
        </w:rPr>
      </w:pPr>
    </w:p>
    <w:p w14:paraId="0434F51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9BA66FC">
      <w:pPr>
        <w:snapToGrid w:val="0"/>
        <w:spacing w:beforeLines="50" w:after="50" w:line="400" w:lineRule="exact"/>
        <w:ind w:firstLine="360" w:firstLineChars="150"/>
        <w:rPr>
          <w:rFonts w:ascii="宋体" w:hAnsi="宋体" w:cs="宋体"/>
          <w:bCs/>
          <w:color w:val="auto"/>
          <w:sz w:val="24"/>
          <w:highlight w:val="none"/>
        </w:rPr>
      </w:pPr>
    </w:p>
    <w:p w14:paraId="66282CF5">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9F22207">
      <w:pPr>
        <w:snapToGrid w:val="0"/>
        <w:spacing w:beforeLines="50" w:after="50" w:line="400" w:lineRule="exact"/>
        <w:ind w:firstLine="360" w:firstLineChars="150"/>
        <w:rPr>
          <w:rFonts w:ascii="宋体" w:hAnsi="宋体" w:cs="宋体"/>
          <w:bCs/>
          <w:color w:val="auto"/>
          <w:sz w:val="24"/>
          <w:highlight w:val="none"/>
        </w:rPr>
      </w:pPr>
    </w:p>
    <w:p w14:paraId="5C4511F7">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0092B6F8">
      <w:pPr>
        <w:snapToGrid w:val="0"/>
        <w:spacing w:beforeLines="50" w:after="50" w:line="400" w:lineRule="exact"/>
        <w:ind w:firstLine="360" w:firstLineChars="150"/>
        <w:rPr>
          <w:rFonts w:ascii="宋体" w:hAnsi="宋体" w:cs="宋体"/>
          <w:bCs/>
          <w:color w:val="auto"/>
          <w:sz w:val="24"/>
          <w:highlight w:val="none"/>
        </w:rPr>
      </w:pPr>
    </w:p>
    <w:p w14:paraId="030A9F1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3A1A39A">
      <w:pPr>
        <w:snapToGrid w:val="0"/>
        <w:spacing w:beforeLines="50" w:after="50" w:line="400" w:lineRule="exact"/>
        <w:ind w:firstLine="360" w:firstLineChars="150"/>
        <w:rPr>
          <w:rFonts w:ascii="宋体" w:hAnsi="宋体" w:cs="宋体"/>
          <w:bCs/>
          <w:color w:val="auto"/>
          <w:sz w:val="24"/>
          <w:highlight w:val="none"/>
        </w:rPr>
      </w:pPr>
    </w:p>
    <w:p w14:paraId="3A644AC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370FB91">
      <w:pPr>
        <w:snapToGrid w:val="0"/>
        <w:spacing w:before="50" w:after="50" w:line="400" w:lineRule="exact"/>
        <w:ind w:firstLine="960" w:firstLineChars="400"/>
        <w:rPr>
          <w:rFonts w:ascii="宋体" w:hAnsi="宋体" w:cs="宋体"/>
          <w:bCs/>
          <w:color w:val="auto"/>
          <w:sz w:val="24"/>
          <w:highlight w:val="none"/>
        </w:rPr>
      </w:pPr>
    </w:p>
    <w:p w14:paraId="092D822F">
      <w:pPr>
        <w:snapToGrid w:val="0"/>
        <w:spacing w:beforeLines="50" w:after="50" w:line="400" w:lineRule="exact"/>
        <w:ind w:firstLine="360"/>
        <w:rPr>
          <w:rFonts w:ascii="宋体" w:hAnsi="宋体" w:cs="宋体"/>
          <w:color w:val="auto"/>
          <w:sz w:val="24"/>
          <w:highlight w:val="none"/>
        </w:rPr>
      </w:pPr>
      <w:r>
        <w:rPr>
          <w:rFonts w:hint="eastAsia" w:ascii="宋体" w:hAnsi="宋体" w:cs="宋体"/>
          <w:color w:val="auto"/>
          <w:sz w:val="24"/>
          <w:highlight w:val="none"/>
        </w:rPr>
        <w:t xml:space="preserve">                                      年   月   日</w:t>
      </w:r>
    </w:p>
    <w:p w14:paraId="1524E8ED">
      <w:pPr>
        <w:snapToGrid w:val="0"/>
        <w:spacing w:beforeLines="50" w:after="50" w:line="360" w:lineRule="auto"/>
        <w:ind w:firstLine="422"/>
        <w:jc w:val="left"/>
        <w:rPr>
          <w:rFonts w:ascii="宋体" w:hAnsi="宋体" w:cs="宋体"/>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4D644B75">
      <w:pPr>
        <w:snapToGrid w:val="0"/>
        <w:spacing w:before="50" w:afterLines="50" w:line="360" w:lineRule="auto"/>
        <w:ind w:firstLine="420"/>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0C3DD830">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3.投标函的格式：</w:t>
      </w:r>
    </w:p>
    <w:p w14:paraId="607DF996">
      <w:pPr>
        <w:spacing w:line="500" w:lineRule="exact"/>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投标函</w:t>
      </w:r>
    </w:p>
    <w:p w14:paraId="591CBBAC">
      <w:pPr>
        <w:spacing w:line="360" w:lineRule="auto"/>
        <w:ind w:firstLine="420" w:firstLineChars="200"/>
        <w:rPr>
          <w:rFonts w:ascii="宋体" w:hAnsi="宋体" w:cs="宋体"/>
          <w:color w:val="auto"/>
          <w:szCs w:val="20"/>
          <w:highlight w:val="none"/>
        </w:rPr>
      </w:pPr>
    </w:p>
    <w:p w14:paraId="5698FDCE">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color w:val="auto"/>
          <w:szCs w:val="20"/>
          <w:highlight w:val="none"/>
          <w:u w:val="single"/>
          <w:lang w:eastAsia="zh-CN"/>
        </w:rPr>
        <w:t>广西众联工程项目管理有限公司</w:t>
      </w:r>
      <w:r>
        <w:rPr>
          <w:rFonts w:hint="eastAsia" w:ascii="宋体" w:hAnsi="宋体" w:cs="宋体"/>
          <w:color w:val="auto"/>
          <w:szCs w:val="20"/>
          <w:highlight w:val="none"/>
        </w:rPr>
        <w:t xml:space="preserve"> </w:t>
      </w:r>
    </w:p>
    <w:p w14:paraId="66BF1BA5">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我方已仔细阅读了贵方组织的</w:t>
      </w:r>
      <w:r>
        <w:rPr>
          <w:rFonts w:hint="eastAsia" w:ascii="宋体" w:hAnsi="宋体" w:cs="宋体"/>
          <w:color w:val="auto"/>
          <w:szCs w:val="20"/>
          <w:highlight w:val="none"/>
          <w:u w:val="single"/>
        </w:rPr>
        <w:t xml:space="preserve">  </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项目（项目编号：</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）的招标文件的全部内容，授权</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(全权代表姓名)</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(职务、职称)为全权代表，现正式递交下述文件参加贵方组织的本次政府采购活动： </w:t>
      </w:r>
    </w:p>
    <w:p w14:paraId="5FF7A476">
      <w:pPr>
        <w:spacing w:line="360" w:lineRule="auto"/>
        <w:ind w:left="0" w:leftChars="0" w:firstLine="319" w:firstLineChars="152"/>
        <w:rPr>
          <w:rFonts w:ascii="宋体" w:hAnsi="宋体" w:cs="宋体"/>
          <w:color w:val="auto"/>
          <w:szCs w:val="20"/>
          <w:highlight w:val="none"/>
        </w:rPr>
      </w:pPr>
      <w:r>
        <w:rPr>
          <w:rFonts w:hint="eastAsia" w:ascii="宋体" w:hAnsi="宋体" w:cs="宋体"/>
          <w:color w:val="auto"/>
          <w:szCs w:val="20"/>
          <w:highlight w:val="none"/>
        </w:rPr>
        <w:t>一、报价文件电子版（包含按投标人须知前附表要求提交的全部文件）；</w:t>
      </w:r>
    </w:p>
    <w:p w14:paraId="7315F58E">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二、资格文件电子版（包含按投标人须知前附表要求提交的全部文件）；</w:t>
      </w:r>
    </w:p>
    <w:p w14:paraId="06673D93">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三、技术文件电子版（包含按投标人须知前附表要求提交的全部文件）；</w:t>
      </w:r>
    </w:p>
    <w:p w14:paraId="60F76C6D">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四、商务文件电子版（包含按投标人须知前附表要求提交的全部文件）；</w:t>
      </w:r>
    </w:p>
    <w:p w14:paraId="2502CC25">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据此函，我方兹宣布：</w:t>
      </w:r>
    </w:p>
    <w:p w14:paraId="304A5299">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1、我方愿意以投标时提供的开标一览表中的投标总</w:t>
      </w:r>
      <w:r>
        <w:rPr>
          <w:rFonts w:hint="eastAsia" w:ascii="宋体" w:hAnsi="宋体" w:cs="宋体"/>
          <w:color w:val="auto"/>
          <w:szCs w:val="22"/>
          <w:highlight w:val="none"/>
        </w:rPr>
        <w:t>报价，在承诺的交付时间内</w:t>
      </w:r>
      <w:r>
        <w:rPr>
          <w:rFonts w:hint="eastAsia" w:ascii="宋体" w:hAnsi="宋体" w:cs="宋体"/>
          <w:color w:val="auto"/>
          <w:szCs w:val="20"/>
          <w:highlight w:val="none"/>
        </w:rPr>
        <w:t>提供本项目招标文件“第二章  采购需求”相应的采购内容，具体详见开标一览表。</w:t>
      </w:r>
    </w:p>
    <w:p w14:paraId="5364077F">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2C6FE0A9">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3、我方所递交的投标文件及有关资料都是内容完整、真实和准确的。</w:t>
      </w:r>
    </w:p>
    <w:p w14:paraId="5040969F">
      <w:pPr>
        <w:spacing w:line="360" w:lineRule="auto"/>
        <w:ind w:left="0" w:leftChars="0" w:firstLine="420" w:firstLineChars="0"/>
        <w:rPr>
          <w:rFonts w:ascii="宋体" w:hAnsi="宋体" w:cs="宋体"/>
          <w:color w:val="auto"/>
          <w:szCs w:val="20"/>
          <w:highlight w:val="none"/>
        </w:rPr>
      </w:pPr>
      <w:r>
        <w:rPr>
          <w:rFonts w:hint="eastAsia" w:ascii="宋体" w:hAnsi="宋体" w:cs="宋体"/>
          <w:color w:val="auto"/>
          <w:szCs w:val="20"/>
          <w:highlight w:val="none"/>
        </w:rPr>
        <w:t>4、</w:t>
      </w:r>
      <w:r>
        <w:rPr>
          <w:rFonts w:hint="eastAsia" w:ascii="宋体" w:hAnsi="宋体" w:cs="宋体"/>
          <w:color w:val="auto"/>
          <w:szCs w:val="21"/>
          <w:highlight w:val="none"/>
        </w:rPr>
        <w:t>如本项目采购内容涉及须符合国家强制规定的，我方承诺我方本次投标（包括资格条件和所投产品）均符合国家有关强制规定。</w:t>
      </w:r>
    </w:p>
    <w:p w14:paraId="13C81EA3">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77AB253">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6、我方已详细审核招标文件，我方知道必须放弃提出含糊不清或误解问题的权利。</w:t>
      </w:r>
    </w:p>
    <w:p w14:paraId="7ADA6FE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7、我方同意应贵方要求提供与本投标有关的任何数据或资料。若贵方需要，我方愿意提供我方作出的一切承诺的证明材料。</w:t>
      </w:r>
    </w:p>
    <w:p w14:paraId="76AB472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8、我方完全理解贵方不一定接受投标报价最低的投标人为中标人的行为。</w:t>
      </w:r>
    </w:p>
    <w:p w14:paraId="3D235BAE">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7B81F">
      <w:pPr>
        <w:numPr>
          <w:ilvl w:val="0"/>
          <w:numId w:val="4"/>
        </w:numPr>
        <w:spacing w:line="360" w:lineRule="auto"/>
        <w:rPr>
          <w:rFonts w:ascii="宋体" w:hAnsi="宋体" w:cs="宋体"/>
          <w:color w:val="auto"/>
          <w:szCs w:val="20"/>
          <w:highlight w:val="none"/>
        </w:rPr>
      </w:pPr>
      <w:r>
        <w:rPr>
          <w:rFonts w:hint="eastAsia" w:ascii="宋体" w:hAnsi="宋体" w:cs="宋体"/>
          <w:color w:val="auto"/>
          <w:szCs w:val="20"/>
          <w:highlight w:val="none"/>
        </w:rPr>
        <w:t>提供虚假材料谋取中标、成交的；</w:t>
      </w:r>
    </w:p>
    <w:p w14:paraId="74A01CF9">
      <w:pPr>
        <w:numPr>
          <w:ilvl w:val="0"/>
          <w:numId w:val="4"/>
        </w:numPr>
        <w:spacing w:line="360" w:lineRule="auto"/>
        <w:rPr>
          <w:rFonts w:ascii="宋体" w:hAnsi="宋体" w:cs="宋体"/>
          <w:color w:val="auto"/>
          <w:szCs w:val="20"/>
          <w:highlight w:val="none"/>
        </w:rPr>
      </w:pPr>
      <w:r>
        <w:rPr>
          <w:rFonts w:hint="eastAsia" w:ascii="宋体" w:hAnsi="宋体" w:cs="宋体"/>
          <w:color w:val="auto"/>
          <w:szCs w:val="20"/>
          <w:highlight w:val="none"/>
        </w:rPr>
        <w:t>采取不正当手段诋毁、排挤其他供应商的；</w:t>
      </w:r>
    </w:p>
    <w:p w14:paraId="3A7E738E">
      <w:pPr>
        <w:numPr>
          <w:ilvl w:val="0"/>
          <w:numId w:val="4"/>
        </w:numPr>
        <w:spacing w:line="360" w:lineRule="auto"/>
        <w:rPr>
          <w:rFonts w:ascii="宋体" w:hAnsi="宋体" w:cs="宋体"/>
          <w:color w:val="auto"/>
          <w:szCs w:val="20"/>
          <w:highlight w:val="none"/>
        </w:rPr>
      </w:pPr>
      <w:r>
        <w:rPr>
          <w:rFonts w:hint="eastAsia" w:ascii="宋体" w:hAnsi="宋体" w:cs="宋体"/>
          <w:color w:val="auto"/>
          <w:szCs w:val="20"/>
          <w:highlight w:val="none"/>
        </w:rPr>
        <w:t>与采购人、其他供应商或者采购代理机构恶意串通的；</w:t>
      </w:r>
    </w:p>
    <w:p w14:paraId="2DE336ED">
      <w:pPr>
        <w:numPr>
          <w:ilvl w:val="0"/>
          <w:numId w:val="4"/>
        </w:numPr>
        <w:spacing w:line="360" w:lineRule="auto"/>
        <w:rPr>
          <w:rFonts w:ascii="宋体" w:hAnsi="宋体" w:cs="宋体"/>
          <w:color w:val="auto"/>
          <w:szCs w:val="20"/>
          <w:highlight w:val="none"/>
        </w:rPr>
      </w:pPr>
      <w:r>
        <w:rPr>
          <w:rFonts w:hint="eastAsia" w:ascii="宋体" w:hAnsi="宋体" w:cs="宋体"/>
          <w:color w:val="auto"/>
          <w:szCs w:val="20"/>
          <w:highlight w:val="none"/>
        </w:rPr>
        <w:t>向采购人、采购代理机构行贿或者提供其他不正当利益的；</w:t>
      </w:r>
    </w:p>
    <w:p w14:paraId="7AAFB9A1">
      <w:pPr>
        <w:numPr>
          <w:ilvl w:val="0"/>
          <w:numId w:val="4"/>
        </w:numPr>
        <w:spacing w:line="360" w:lineRule="auto"/>
        <w:rPr>
          <w:rFonts w:ascii="宋体" w:hAnsi="宋体" w:cs="宋体"/>
          <w:color w:val="auto"/>
          <w:szCs w:val="20"/>
          <w:highlight w:val="none"/>
        </w:rPr>
      </w:pPr>
      <w:r>
        <w:rPr>
          <w:rFonts w:hint="eastAsia" w:ascii="宋体" w:hAnsi="宋体" w:cs="宋体"/>
          <w:color w:val="auto"/>
          <w:szCs w:val="20"/>
          <w:highlight w:val="none"/>
        </w:rPr>
        <w:t>在招标采购过程中与采购人进行协商谈判的；</w:t>
      </w:r>
    </w:p>
    <w:p w14:paraId="22E8221C">
      <w:pPr>
        <w:numPr>
          <w:ilvl w:val="0"/>
          <w:numId w:val="4"/>
        </w:numPr>
        <w:spacing w:line="360" w:lineRule="auto"/>
        <w:rPr>
          <w:rFonts w:ascii="宋体" w:hAnsi="宋体" w:cs="宋体"/>
          <w:color w:val="auto"/>
          <w:szCs w:val="20"/>
          <w:highlight w:val="none"/>
        </w:rPr>
      </w:pPr>
      <w:r>
        <w:rPr>
          <w:rFonts w:hint="eastAsia" w:ascii="宋体" w:hAnsi="宋体" w:cs="宋体"/>
          <w:color w:val="auto"/>
          <w:szCs w:val="20"/>
          <w:highlight w:val="none"/>
        </w:rPr>
        <w:t>拒绝有关部门监督检查或提供虚假情况的。</w:t>
      </w:r>
    </w:p>
    <w:p w14:paraId="1E9129DB">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10、以上事项如有虚假或者隐瞒，我方愿意承担一切后果，并不再寻求任何旨在减轻或者免除法律责任的辩解。</w:t>
      </w:r>
    </w:p>
    <w:p w14:paraId="6EB1F88B">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11、与本投标有关的一切正式往来信函请寄：</w:t>
      </w:r>
    </w:p>
    <w:p w14:paraId="4E1E51C9">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地址：</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w:t>
      </w:r>
    </w:p>
    <w:p w14:paraId="4E9BC56C">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电话：</w:t>
      </w:r>
      <w:r>
        <w:rPr>
          <w:rFonts w:hint="eastAsia" w:ascii="宋体" w:hAnsi="宋体" w:cs="宋体"/>
          <w:color w:val="auto"/>
          <w:szCs w:val="20"/>
          <w:highlight w:val="none"/>
          <w:u w:val="single"/>
        </w:rPr>
        <w:t xml:space="preserve">                                      　　　　　　　　　</w:t>
      </w:r>
    </w:p>
    <w:p w14:paraId="74F7D37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传真：</w:t>
      </w:r>
      <w:r>
        <w:rPr>
          <w:rFonts w:hint="eastAsia" w:ascii="宋体" w:hAnsi="宋体" w:cs="宋体"/>
          <w:color w:val="auto"/>
          <w:szCs w:val="20"/>
          <w:highlight w:val="none"/>
          <w:u w:val="single"/>
        </w:rPr>
        <w:t>　　　　　　　　　　　　　　　　　　　　　　　　　　　　</w:t>
      </w:r>
    </w:p>
    <w:p w14:paraId="4415B8BC">
      <w:pPr>
        <w:spacing w:line="360" w:lineRule="auto"/>
        <w:ind w:firstLine="300"/>
        <w:rPr>
          <w:rFonts w:ascii="宋体" w:hAnsi="宋体" w:cs="宋体"/>
          <w:color w:val="auto"/>
          <w:highlight w:val="none"/>
          <w:u w:val="single"/>
        </w:rPr>
      </w:pPr>
      <w:r>
        <w:rPr>
          <w:rFonts w:hint="eastAsia" w:ascii="宋体" w:hAnsi="宋体" w:cs="宋体"/>
          <w:color w:val="auto"/>
          <w:kern w:val="0"/>
          <w:sz w:val="20"/>
          <w:szCs w:val="21"/>
          <w:highlight w:val="none"/>
        </w:rPr>
        <w:t>电子邮箱：</w:t>
      </w:r>
      <w:r>
        <w:rPr>
          <w:rFonts w:hint="eastAsia" w:ascii="宋体" w:hAnsi="宋体" w:cs="宋体"/>
          <w:color w:val="auto"/>
          <w:kern w:val="0"/>
          <w:sz w:val="20"/>
          <w:szCs w:val="21"/>
          <w:highlight w:val="none"/>
          <w:u w:val="single"/>
        </w:rPr>
        <w:t>　　　　　　　　　　　　　　　　　　　　　　　　　　　　</w:t>
      </w:r>
    </w:p>
    <w:p w14:paraId="3955F08E">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邮政编码：</w:t>
      </w:r>
      <w:r>
        <w:rPr>
          <w:rFonts w:hint="eastAsia" w:ascii="宋体" w:hAnsi="宋体" w:cs="宋体"/>
          <w:color w:val="auto"/>
          <w:szCs w:val="20"/>
          <w:highlight w:val="none"/>
          <w:u w:val="single"/>
        </w:rPr>
        <w:t xml:space="preserve">                                                    </w:t>
      </w:r>
    </w:p>
    <w:p w14:paraId="7ED21613">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开户名称：</w:t>
      </w:r>
      <w:r>
        <w:rPr>
          <w:rFonts w:hint="eastAsia" w:ascii="宋体" w:hAnsi="宋体" w:cs="宋体"/>
          <w:color w:val="auto"/>
          <w:szCs w:val="20"/>
          <w:highlight w:val="none"/>
          <w:u w:val="single"/>
        </w:rPr>
        <w:t xml:space="preserve">                                                    </w:t>
      </w:r>
    </w:p>
    <w:p w14:paraId="51DE1CDB">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开户银行：</w:t>
      </w:r>
      <w:r>
        <w:rPr>
          <w:rFonts w:hint="eastAsia" w:ascii="宋体" w:hAnsi="宋体" w:cs="宋体"/>
          <w:color w:val="auto"/>
          <w:szCs w:val="20"/>
          <w:highlight w:val="none"/>
          <w:u w:val="single"/>
        </w:rPr>
        <w:t xml:space="preserve">                                                    </w:t>
      </w:r>
    </w:p>
    <w:p w14:paraId="0C9FCE01">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银行账号：</w:t>
      </w:r>
      <w:r>
        <w:rPr>
          <w:rFonts w:hint="eastAsia" w:ascii="宋体" w:hAnsi="宋体" w:cs="宋体"/>
          <w:color w:val="auto"/>
          <w:szCs w:val="20"/>
          <w:highlight w:val="none"/>
          <w:u w:val="single"/>
        </w:rPr>
        <w:t xml:space="preserve">                                                    </w:t>
      </w:r>
    </w:p>
    <w:p w14:paraId="69627C13">
      <w:pPr>
        <w:snapToGrid w:val="0"/>
        <w:spacing w:line="360" w:lineRule="auto"/>
        <w:ind w:firstLine="5040" w:firstLineChars="2100"/>
        <w:rPr>
          <w:rFonts w:ascii="宋体" w:hAnsi="宋体" w:cs="宋体"/>
          <w:color w:val="auto"/>
          <w:kern w:val="0"/>
          <w:sz w:val="24"/>
          <w:highlight w:val="none"/>
          <w:lang w:val="zh-CN"/>
        </w:rPr>
      </w:pPr>
    </w:p>
    <w:p w14:paraId="38A91571">
      <w:pPr>
        <w:snapToGrid w:val="0"/>
        <w:spacing w:line="360" w:lineRule="auto"/>
        <w:ind w:firstLine="5040" w:firstLineChars="2100"/>
        <w:rPr>
          <w:rFonts w:ascii="宋体" w:hAnsi="宋体" w:cs="宋体"/>
          <w:color w:val="auto"/>
          <w:kern w:val="0"/>
          <w:sz w:val="24"/>
          <w:highlight w:val="none"/>
          <w:lang w:val="zh-CN"/>
        </w:rPr>
      </w:pPr>
    </w:p>
    <w:p w14:paraId="7521B7B5">
      <w:pPr>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09087638">
      <w:pPr>
        <w:snapToGrid w:val="0"/>
        <w:spacing w:line="360" w:lineRule="auto"/>
        <w:ind w:firstLine="4515" w:firstLineChars="2150"/>
        <w:rPr>
          <w:rFonts w:ascii="宋体" w:hAnsi="宋体" w:cs="宋体"/>
          <w:color w:val="auto"/>
          <w:kern w:val="0"/>
          <w:sz w:val="24"/>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年  月  日</w:t>
      </w:r>
    </w:p>
    <w:p w14:paraId="2E56150F">
      <w:pPr>
        <w:spacing w:line="360" w:lineRule="auto"/>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 开标一览表的格式：</w:t>
      </w:r>
    </w:p>
    <w:p w14:paraId="03984DAB">
      <w:pPr>
        <w:spacing w:line="360" w:lineRule="auto"/>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开标一览表</w:t>
      </w:r>
    </w:p>
    <w:p w14:paraId="5690D225">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48C56DD8">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7A504E80">
      <w:pPr>
        <w:spacing w:line="360" w:lineRule="auto"/>
        <w:rPr>
          <w:rFonts w:ascii="宋体" w:hAnsi="宋体" w:cs="宋体"/>
          <w:b/>
          <w:color w:val="auto"/>
          <w:sz w:val="32"/>
          <w:szCs w:val="20"/>
          <w:highlight w:val="none"/>
        </w:rPr>
      </w:pPr>
      <w:r>
        <w:rPr>
          <w:rFonts w:hint="eastAsia" w:ascii="宋体" w:hAnsi="宋体" w:cs="宋体"/>
          <w:color w:val="auto"/>
          <w:szCs w:val="21"/>
          <w:highlight w:val="none"/>
        </w:rPr>
        <w:t>所投分标（如有则填写，无分标时填写“无”或者留空）：</w:t>
      </w:r>
      <w:r>
        <w:rPr>
          <w:rFonts w:hint="eastAsia" w:ascii="宋体" w:hAnsi="宋体" w:cs="宋体"/>
          <w:color w:val="auto"/>
          <w:szCs w:val="21"/>
          <w:highlight w:val="none"/>
          <w:u w:val="single"/>
        </w:rPr>
        <w:t xml:space="preserve">      </w:t>
      </w:r>
    </w:p>
    <w:tbl>
      <w:tblPr>
        <w:tblStyle w:val="28"/>
        <w:tblW w:w="89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98"/>
        <w:gridCol w:w="1049"/>
        <w:gridCol w:w="877"/>
        <w:gridCol w:w="590"/>
        <w:gridCol w:w="677"/>
        <w:gridCol w:w="1181"/>
        <w:gridCol w:w="1809"/>
        <w:gridCol w:w="946"/>
      </w:tblGrid>
      <w:tr w14:paraId="7EE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3C71399E">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序号</w:t>
            </w:r>
          </w:p>
        </w:tc>
        <w:tc>
          <w:tcPr>
            <w:tcW w:w="1298" w:type="dxa"/>
            <w:tcBorders>
              <w:top w:val="single" w:color="auto" w:sz="4" w:space="0"/>
              <w:left w:val="single" w:color="auto" w:sz="4" w:space="0"/>
              <w:bottom w:val="single" w:color="auto" w:sz="4" w:space="0"/>
              <w:right w:val="single" w:color="auto" w:sz="4" w:space="0"/>
            </w:tcBorders>
            <w:noWrap/>
            <w:vAlign w:val="center"/>
          </w:tcPr>
          <w:p w14:paraId="283BB0C4">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标的名称</w:t>
            </w:r>
          </w:p>
        </w:tc>
        <w:tc>
          <w:tcPr>
            <w:tcW w:w="1049" w:type="dxa"/>
            <w:tcBorders>
              <w:top w:val="single" w:color="auto" w:sz="4" w:space="0"/>
              <w:left w:val="single" w:color="auto" w:sz="4" w:space="0"/>
              <w:bottom w:val="single" w:color="auto" w:sz="4" w:space="0"/>
              <w:right w:val="single" w:color="auto" w:sz="4" w:space="0"/>
            </w:tcBorders>
            <w:noWrap/>
            <w:vAlign w:val="center"/>
          </w:tcPr>
          <w:p w14:paraId="400DA0C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规格型号</w:t>
            </w:r>
          </w:p>
        </w:tc>
        <w:tc>
          <w:tcPr>
            <w:tcW w:w="877" w:type="dxa"/>
            <w:tcBorders>
              <w:top w:val="single" w:color="auto" w:sz="4" w:space="0"/>
              <w:left w:val="single" w:color="auto" w:sz="4" w:space="0"/>
              <w:bottom w:val="single" w:color="auto" w:sz="4" w:space="0"/>
              <w:right w:val="single" w:color="auto" w:sz="4" w:space="0"/>
            </w:tcBorders>
            <w:noWrap/>
            <w:vAlign w:val="center"/>
          </w:tcPr>
          <w:p w14:paraId="6622BF49">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品牌（如有）、国别及制造商</w:t>
            </w:r>
          </w:p>
        </w:tc>
        <w:tc>
          <w:tcPr>
            <w:tcW w:w="590" w:type="dxa"/>
            <w:tcBorders>
              <w:top w:val="single" w:color="auto" w:sz="4" w:space="0"/>
              <w:left w:val="single" w:color="auto" w:sz="4" w:space="0"/>
              <w:bottom w:val="single" w:color="auto" w:sz="4" w:space="0"/>
              <w:right w:val="single" w:color="auto" w:sz="4" w:space="0"/>
            </w:tcBorders>
            <w:noWrap/>
            <w:vAlign w:val="center"/>
          </w:tcPr>
          <w:p w14:paraId="3D29538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单位</w:t>
            </w:r>
          </w:p>
        </w:tc>
        <w:tc>
          <w:tcPr>
            <w:tcW w:w="677" w:type="dxa"/>
            <w:tcBorders>
              <w:top w:val="single" w:color="auto" w:sz="4" w:space="0"/>
              <w:left w:val="single" w:color="auto" w:sz="4" w:space="0"/>
              <w:bottom w:val="single" w:color="auto" w:sz="4" w:space="0"/>
              <w:right w:val="single" w:color="auto" w:sz="4" w:space="0"/>
            </w:tcBorders>
            <w:noWrap/>
            <w:vAlign w:val="center"/>
          </w:tcPr>
          <w:p w14:paraId="1203CD75">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181" w:type="dxa"/>
            <w:tcBorders>
              <w:top w:val="single" w:color="auto" w:sz="4" w:space="0"/>
              <w:left w:val="single" w:color="auto" w:sz="4" w:space="0"/>
              <w:bottom w:val="single" w:color="auto" w:sz="4" w:space="0"/>
              <w:right w:val="single" w:color="auto" w:sz="4" w:space="0"/>
            </w:tcBorders>
            <w:noWrap/>
            <w:vAlign w:val="center"/>
          </w:tcPr>
          <w:p w14:paraId="73005AAD">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单价(元)</w:t>
            </w:r>
          </w:p>
          <w:p w14:paraId="0C795D5B">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②</w:t>
            </w:r>
          </w:p>
        </w:tc>
        <w:tc>
          <w:tcPr>
            <w:tcW w:w="1809" w:type="dxa"/>
            <w:tcBorders>
              <w:top w:val="single" w:color="auto" w:sz="4" w:space="0"/>
              <w:left w:val="single" w:color="auto" w:sz="4" w:space="0"/>
              <w:bottom w:val="single" w:color="auto" w:sz="4" w:space="0"/>
              <w:right w:val="single" w:color="auto" w:sz="4" w:space="0"/>
            </w:tcBorders>
            <w:noWrap/>
            <w:vAlign w:val="center"/>
          </w:tcPr>
          <w:p w14:paraId="1C451AD2">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单项合计（元）</w:t>
            </w:r>
          </w:p>
          <w:p w14:paraId="0E40E216">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946" w:type="dxa"/>
            <w:tcBorders>
              <w:top w:val="single" w:color="auto" w:sz="4" w:space="0"/>
              <w:left w:val="single" w:color="auto" w:sz="4" w:space="0"/>
              <w:bottom w:val="single" w:color="auto" w:sz="4" w:space="0"/>
              <w:right w:val="single" w:color="auto" w:sz="4" w:space="0"/>
            </w:tcBorders>
            <w:noWrap/>
            <w:vAlign w:val="center"/>
          </w:tcPr>
          <w:p w14:paraId="27AE22D3">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rPr>
              <w:t>备注</w:t>
            </w:r>
          </w:p>
        </w:tc>
      </w:tr>
      <w:tr w14:paraId="3B7F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17C0A09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1</w:t>
            </w:r>
          </w:p>
        </w:tc>
        <w:tc>
          <w:tcPr>
            <w:tcW w:w="1298" w:type="dxa"/>
            <w:tcBorders>
              <w:top w:val="single" w:color="auto" w:sz="4" w:space="0"/>
              <w:left w:val="single" w:color="auto" w:sz="4" w:space="0"/>
              <w:bottom w:val="single" w:color="auto" w:sz="4" w:space="0"/>
              <w:right w:val="single" w:color="auto" w:sz="4" w:space="0"/>
            </w:tcBorders>
            <w:noWrap/>
            <w:vAlign w:val="center"/>
          </w:tcPr>
          <w:p w14:paraId="25E1E60C">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71EC542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3AB19E0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2720210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E0BC316">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600905F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1C0D14C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43EA10D0">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7B14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54D24AE2">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2</w:t>
            </w:r>
          </w:p>
        </w:tc>
        <w:tc>
          <w:tcPr>
            <w:tcW w:w="1298" w:type="dxa"/>
            <w:tcBorders>
              <w:top w:val="single" w:color="auto" w:sz="4" w:space="0"/>
              <w:left w:val="single" w:color="auto" w:sz="4" w:space="0"/>
              <w:bottom w:val="single" w:color="auto" w:sz="4" w:space="0"/>
              <w:right w:val="single" w:color="auto" w:sz="4" w:space="0"/>
            </w:tcBorders>
            <w:noWrap/>
            <w:vAlign w:val="center"/>
          </w:tcPr>
          <w:p w14:paraId="6611380B">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3198C4D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8760C8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486354F5">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21ACBE7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14E376F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15C79FB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3B1CE6E0">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389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25255D38">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p>
        </w:tc>
        <w:tc>
          <w:tcPr>
            <w:tcW w:w="1298" w:type="dxa"/>
            <w:tcBorders>
              <w:top w:val="single" w:color="auto" w:sz="4" w:space="0"/>
              <w:left w:val="single" w:color="auto" w:sz="4" w:space="0"/>
              <w:bottom w:val="single" w:color="auto" w:sz="4" w:space="0"/>
              <w:right w:val="single" w:color="auto" w:sz="4" w:space="0"/>
            </w:tcBorders>
            <w:noWrap/>
            <w:vAlign w:val="center"/>
          </w:tcPr>
          <w:p w14:paraId="24F38C1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1B86B8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6EEA1FA">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2CD7988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70036B9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24EEA091">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5A5C7BB6">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1E3B01F2">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0B57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19816368">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4</w:t>
            </w:r>
          </w:p>
        </w:tc>
        <w:tc>
          <w:tcPr>
            <w:tcW w:w="1298" w:type="dxa"/>
            <w:tcBorders>
              <w:top w:val="single" w:color="auto" w:sz="4" w:space="0"/>
              <w:left w:val="single" w:color="auto" w:sz="4" w:space="0"/>
              <w:bottom w:val="single" w:color="auto" w:sz="4" w:space="0"/>
              <w:right w:val="single" w:color="auto" w:sz="4" w:space="0"/>
            </w:tcBorders>
            <w:noWrap/>
            <w:vAlign w:val="center"/>
          </w:tcPr>
          <w:p w14:paraId="032242D3">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4EDC23E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6E3DC1D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6B04CFC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2FC11AE4">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03193D77">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09C0F746">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6E08420F">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6DD2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0D31B98C">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5</w:t>
            </w:r>
          </w:p>
        </w:tc>
        <w:tc>
          <w:tcPr>
            <w:tcW w:w="1298" w:type="dxa"/>
            <w:tcBorders>
              <w:top w:val="single" w:color="auto" w:sz="4" w:space="0"/>
              <w:left w:val="single" w:color="auto" w:sz="4" w:space="0"/>
              <w:bottom w:val="single" w:color="auto" w:sz="4" w:space="0"/>
              <w:right w:val="single" w:color="auto" w:sz="4" w:space="0"/>
            </w:tcBorders>
            <w:noWrap/>
            <w:vAlign w:val="center"/>
          </w:tcPr>
          <w:p w14:paraId="6FFAEBD1">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ADFFF3C">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2E67B5F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2A0D6CD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39D8218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04B4F433">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3632AA9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236935B4">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6C7F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204F8014">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6</w:t>
            </w:r>
          </w:p>
        </w:tc>
        <w:tc>
          <w:tcPr>
            <w:tcW w:w="1298" w:type="dxa"/>
            <w:tcBorders>
              <w:top w:val="single" w:color="auto" w:sz="4" w:space="0"/>
              <w:left w:val="single" w:color="auto" w:sz="4" w:space="0"/>
              <w:bottom w:val="single" w:color="auto" w:sz="4" w:space="0"/>
              <w:right w:val="single" w:color="auto" w:sz="4" w:space="0"/>
            </w:tcBorders>
            <w:noWrap/>
            <w:vAlign w:val="center"/>
          </w:tcPr>
          <w:p w14:paraId="289A0BB4">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C087BC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72F8119">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54063E9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2772F3B">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27962EB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0941BCEA">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2B602AD7">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57B9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0551F1A8">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w:t>
            </w:r>
          </w:p>
        </w:tc>
        <w:tc>
          <w:tcPr>
            <w:tcW w:w="1298" w:type="dxa"/>
            <w:tcBorders>
              <w:top w:val="single" w:color="auto" w:sz="4" w:space="0"/>
              <w:left w:val="single" w:color="auto" w:sz="4" w:space="0"/>
              <w:bottom w:val="single" w:color="auto" w:sz="4" w:space="0"/>
              <w:right w:val="single" w:color="auto" w:sz="4" w:space="0"/>
            </w:tcBorders>
            <w:noWrap/>
            <w:vAlign w:val="center"/>
          </w:tcPr>
          <w:p w14:paraId="04E311A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52D6310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1748DC5">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4F62776A">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1B267E6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4B1C0BE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307749B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7AC8B12D">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46D0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trPr>
        <w:tc>
          <w:tcPr>
            <w:tcW w:w="8909" w:type="dxa"/>
            <w:gridSpan w:val="9"/>
            <w:tcBorders>
              <w:top w:val="single" w:color="auto" w:sz="4" w:space="0"/>
              <w:left w:val="single" w:color="auto" w:sz="4" w:space="0"/>
              <w:bottom w:val="single" w:color="auto" w:sz="4" w:space="0"/>
              <w:right w:val="single" w:color="auto" w:sz="4" w:space="0"/>
            </w:tcBorders>
            <w:noWrap/>
            <w:vAlign w:val="center"/>
          </w:tcPr>
          <w:p w14:paraId="755A3737">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Cs w:val="22"/>
                <w:highlight w:val="none"/>
                <w:u w:val="single"/>
                <w:lang w:val="en-US" w:eastAsia="zh-CN"/>
              </w:rPr>
            </w:pPr>
            <w:r>
              <w:rPr>
                <w:rFonts w:hint="eastAsia" w:ascii="宋体" w:hAnsi="宋体" w:cs="宋体"/>
                <w:color w:val="auto"/>
                <w:szCs w:val="22"/>
                <w:highlight w:val="none"/>
              </w:rPr>
              <w:t>报价合计（包含税费等所有费用）：（大写）人民币</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rPr>
              <w:t xml:space="preserve"> （小写）¥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none"/>
                <w:lang w:val="en-US" w:eastAsia="zh-CN"/>
              </w:rPr>
              <w:t>；</w:t>
            </w:r>
          </w:p>
          <w:p w14:paraId="2CF72E8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2"/>
                <w:highlight w:val="none"/>
                <w:lang w:eastAsia="zh-CN"/>
              </w:rPr>
            </w:pPr>
            <w:r>
              <w:rPr>
                <w:rFonts w:hint="eastAsia" w:ascii="宋体" w:hAnsi="宋体" w:cs="宋体"/>
                <w:color w:val="auto"/>
                <w:szCs w:val="21"/>
                <w:highlight w:val="none"/>
                <w:u w:val="single"/>
              </w:rPr>
              <w:t xml:space="preserve">投标货物中，属于优先采购节能产品总值为¥       （具体明细详见附表，附表格式自拟），占本投标报价的比例为    %。属于优先采购环境标志产品总值为¥       （具体明细详见附表，附表格式自拟），占本投标报价的比例为 </w:t>
            </w:r>
            <w:r>
              <w:rPr>
                <w:rFonts w:hint="eastAsia" w:ascii="宋体" w:hAnsi="宋体" w:cs="宋体"/>
                <w:color w:val="auto"/>
                <w:szCs w:val="21"/>
                <w:highlight w:val="none"/>
                <w:u w:val="single"/>
                <w:lang w:val="en-US" w:eastAsia="zh-CN"/>
              </w:rPr>
              <w:t xml:space="preserve">     %。属于本国产品</w:t>
            </w:r>
            <w:r>
              <w:rPr>
                <w:rFonts w:hint="eastAsia" w:ascii="宋体" w:hAnsi="宋体" w:cs="宋体"/>
                <w:color w:val="auto"/>
                <w:szCs w:val="21"/>
                <w:highlight w:val="none"/>
                <w:u w:val="single"/>
              </w:rPr>
              <w:t>总值为¥       （具体明细详见附表，附表格式自拟）</w:t>
            </w:r>
            <w:r>
              <w:rPr>
                <w:rFonts w:hint="eastAsia" w:ascii="宋体" w:hAnsi="宋体" w:cs="宋体"/>
                <w:color w:val="auto"/>
                <w:szCs w:val="21"/>
                <w:highlight w:val="none"/>
                <w:u w:val="single"/>
                <w:lang w:eastAsia="zh-CN"/>
              </w:rPr>
              <w:t>。</w:t>
            </w:r>
          </w:p>
        </w:tc>
      </w:tr>
      <w:tr w14:paraId="2DE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909" w:type="dxa"/>
            <w:gridSpan w:val="9"/>
            <w:tcBorders>
              <w:top w:val="single" w:color="auto" w:sz="4" w:space="0"/>
              <w:left w:val="single" w:color="auto" w:sz="4" w:space="0"/>
              <w:bottom w:val="single" w:color="auto" w:sz="4" w:space="0"/>
              <w:right w:val="single" w:color="auto" w:sz="4" w:space="0"/>
            </w:tcBorders>
            <w:noWrap/>
            <w:vAlign w:val="center"/>
          </w:tcPr>
          <w:p w14:paraId="30CC0285">
            <w:pPr>
              <w:keepNext w:val="0"/>
              <w:keepLines w:val="0"/>
              <w:suppressLineNumbers w:val="0"/>
              <w:spacing w:before="0" w:beforeAutospacing="0" w:after="0" w:afterAutospacing="0"/>
              <w:ind w:left="0" w:right="0"/>
              <w:rPr>
                <w:rFonts w:hint="default" w:ascii="宋体" w:hAnsi="宋体" w:eastAsia="宋体" w:cs="宋体"/>
                <w:color w:val="auto"/>
                <w:szCs w:val="22"/>
                <w:highlight w:val="none"/>
                <w:u w:val="single"/>
                <w:lang w:val="en-US" w:eastAsia="zh-CN"/>
              </w:rPr>
            </w:pPr>
            <w:r>
              <w:rPr>
                <w:rFonts w:hint="eastAsia" w:ascii="宋体" w:hAnsi="宋体" w:cs="宋体"/>
                <w:color w:val="auto"/>
                <w:szCs w:val="22"/>
                <w:highlight w:val="none"/>
              </w:rPr>
              <w:t>交货时间：</w:t>
            </w:r>
            <w:r>
              <w:rPr>
                <w:rFonts w:hint="eastAsia" w:ascii="宋体" w:hAnsi="宋体" w:cs="宋体"/>
                <w:color w:val="auto"/>
                <w:szCs w:val="22"/>
                <w:highlight w:val="none"/>
                <w:u w:val="single"/>
                <w:lang w:val="en-US" w:eastAsia="zh-CN"/>
              </w:rPr>
              <w:t xml:space="preserve">                          </w:t>
            </w:r>
          </w:p>
        </w:tc>
      </w:tr>
    </w:tbl>
    <w:p w14:paraId="76AFC458">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6CF3E029">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投标人需按本表格式填写，不得自行更改，也不得留空（备注除外），如有多分标，按分标分别提供开标一览表，必须加盖投标人有效公章，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4DBD43C1">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767A64B7">
      <w:pPr>
        <w:snapToGrid w:val="0"/>
        <w:spacing w:before="50" w:after="50"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0A5027C7">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4、以上表格要求细分项目及报价，在“标的名称”一栏中，填写具体货物，在“规格型号”一栏中，填写具体货物规格和型号，如为定制产品写“定制”，</w:t>
      </w:r>
      <w:r>
        <w:rPr>
          <w:rFonts w:hint="eastAsia" w:ascii="宋体" w:hAnsi="宋体" w:cs="宋体"/>
          <w:b/>
          <w:color w:val="auto"/>
          <w:kern w:val="0"/>
          <w:szCs w:val="21"/>
          <w:highlight w:val="none"/>
          <w:lang w:val="zh-CN"/>
        </w:rPr>
        <w:t>否则其投标作无效标处理。</w:t>
      </w:r>
    </w:p>
    <w:p w14:paraId="17FCC807">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5、特别提示：采购代理机构将对项目名称和项目编号，中标人名称、地址和中标金额，主要中标标的的名称、规格型号、数量、单价等予以公示。</w:t>
      </w:r>
    </w:p>
    <w:p w14:paraId="318517FF">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F75153A">
      <w:pPr>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val="zh-CN"/>
        </w:rPr>
        <w:t>符合招标文件中列明的可享受本国产品政策的投标人，请填写《关于符合本国产品标准的声明函》或财政部会同有关部门规定的有关证明文件。注：投标人提供的声明函或证明文件内容不实的，属于提供虚假材料谋取中标、成交，依照《中华人民共和国政府采购法》等国家有关规定追究相应责任。</w:t>
      </w:r>
    </w:p>
    <w:p w14:paraId="75673DE8">
      <w:pPr>
        <w:snapToGrid w:val="0"/>
        <w:spacing w:line="360" w:lineRule="auto"/>
        <w:ind w:firstLine="420" w:firstLineChars="200"/>
        <w:jc w:val="left"/>
        <w:rPr>
          <w:rFonts w:ascii="宋体" w:hAnsi="宋体" w:cs="宋体"/>
          <w:color w:val="auto"/>
          <w:kern w:val="0"/>
          <w:szCs w:val="21"/>
          <w:highlight w:val="none"/>
          <w:lang w:val="zh-CN"/>
        </w:rPr>
      </w:pPr>
    </w:p>
    <w:p w14:paraId="07974A80">
      <w:pPr>
        <w:snapToGrid w:val="0"/>
        <w:spacing w:line="360" w:lineRule="auto"/>
        <w:ind w:firstLine="5760" w:firstLineChars="24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0CA121BE">
      <w:pPr>
        <w:spacing w:line="360" w:lineRule="auto"/>
        <w:ind w:firstLine="360"/>
        <w:jc w:val="right"/>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744378A">
      <w:pPr>
        <w:ind w:firstLine="360"/>
        <w:rPr>
          <w:rFonts w:hint="eastAsia" w:ascii="宋体" w:hAnsi="宋体" w:cs="宋体"/>
          <w:b/>
          <w:bCs/>
          <w:color w:val="auto"/>
          <w:sz w:val="28"/>
          <w:szCs w:val="28"/>
          <w:highlight w:val="none"/>
        </w:rPr>
      </w:pPr>
      <w:bookmarkStart w:id="280" w:name="_Toc19686840"/>
      <w:bookmarkStart w:id="281" w:name="_Toc8131"/>
      <w:bookmarkStart w:id="282" w:name="_Toc26722"/>
      <w:bookmarkStart w:id="283" w:name="_Toc19036"/>
      <w:bookmarkStart w:id="284" w:name="_Toc24690"/>
      <w:bookmarkStart w:id="285" w:name="_Toc12749"/>
    </w:p>
    <w:p w14:paraId="66E76697">
      <w:pPr>
        <w:ind w:firstLine="360"/>
        <w:rPr>
          <w:rFonts w:hint="eastAsia" w:ascii="宋体" w:hAnsi="宋体" w:cs="宋体"/>
          <w:b/>
          <w:bCs/>
          <w:color w:val="auto"/>
          <w:sz w:val="28"/>
          <w:szCs w:val="28"/>
          <w:highlight w:val="none"/>
        </w:rPr>
      </w:pPr>
    </w:p>
    <w:p w14:paraId="0FFD5394">
      <w:pPr>
        <w:ind w:firstLine="360"/>
        <w:rPr>
          <w:rFonts w:hint="eastAsia" w:ascii="宋体" w:hAnsi="宋体" w:cs="宋体"/>
          <w:b/>
          <w:bCs/>
          <w:color w:val="auto"/>
          <w:sz w:val="28"/>
          <w:szCs w:val="28"/>
          <w:highlight w:val="none"/>
        </w:rPr>
      </w:pPr>
    </w:p>
    <w:p w14:paraId="5F64F0A9">
      <w:pPr>
        <w:ind w:firstLine="360"/>
        <w:rPr>
          <w:rFonts w:hint="eastAsia" w:ascii="宋体" w:hAnsi="宋体" w:cs="宋体"/>
          <w:b/>
          <w:bCs/>
          <w:color w:val="auto"/>
          <w:sz w:val="28"/>
          <w:szCs w:val="28"/>
          <w:highlight w:val="none"/>
        </w:rPr>
      </w:pPr>
    </w:p>
    <w:p w14:paraId="0BE0F2E5">
      <w:pPr>
        <w:ind w:firstLine="360"/>
        <w:rPr>
          <w:rFonts w:hint="eastAsia" w:ascii="宋体" w:hAnsi="宋体" w:cs="宋体"/>
          <w:b/>
          <w:bCs/>
          <w:color w:val="auto"/>
          <w:sz w:val="28"/>
          <w:szCs w:val="28"/>
          <w:highlight w:val="none"/>
        </w:rPr>
      </w:pPr>
    </w:p>
    <w:p w14:paraId="7A4883FC">
      <w:pPr>
        <w:ind w:firstLine="360"/>
        <w:rPr>
          <w:rFonts w:hint="eastAsia" w:ascii="宋体" w:hAnsi="宋体" w:cs="宋体"/>
          <w:b/>
          <w:bCs/>
          <w:color w:val="auto"/>
          <w:sz w:val="28"/>
          <w:szCs w:val="28"/>
          <w:highlight w:val="none"/>
        </w:rPr>
      </w:pPr>
    </w:p>
    <w:p w14:paraId="7D939B03">
      <w:pPr>
        <w:ind w:firstLine="360"/>
        <w:rPr>
          <w:rFonts w:hint="eastAsia" w:ascii="宋体" w:hAnsi="宋体" w:cs="宋体"/>
          <w:b/>
          <w:bCs/>
          <w:color w:val="auto"/>
          <w:sz w:val="28"/>
          <w:szCs w:val="28"/>
          <w:highlight w:val="none"/>
        </w:rPr>
      </w:pPr>
    </w:p>
    <w:p w14:paraId="4BDD5FD3">
      <w:pPr>
        <w:ind w:firstLine="360"/>
        <w:rPr>
          <w:rFonts w:hint="eastAsia" w:ascii="宋体" w:hAnsi="宋体" w:cs="宋体"/>
          <w:b/>
          <w:bCs/>
          <w:color w:val="auto"/>
          <w:sz w:val="28"/>
          <w:szCs w:val="28"/>
          <w:highlight w:val="none"/>
        </w:rPr>
      </w:pPr>
    </w:p>
    <w:p w14:paraId="41653BE4">
      <w:pPr>
        <w:ind w:firstLine="360"/>
        <w:rPr>
          <w:rFonts w:hint="eastAsia" w:ascii="宋体" w:hAnsi="宋体" w:cs="宋体"/>
          <w:b/>
          <w:bCs/>
          <w:color w:val="auto"/>
          <w:sz w:val="28"/>
          <w:szCs w:val="28"/>
          <w:highlight w:val="none"/>
        </w:rPr>
      </w:pPr>
    </w:p>
    <w:p w14:paraId="06BA1214">
      <w:pPr>
        <w:ind w:firstLine="360"/>
        <w:rPr>
          <w:rFonts w:hint="eastAsia" w:ascii="宋体" w:hAnsi="宋体" w:cs="宋体"/>
          <w:b/>
          <w:bCs/>
          <w:color w:val="auto"/>
          <w:sz w:val="28"/>
          <w:szCs w:val="28"/>
          <w:highlight w:val="none"/>
        </w:rPr>
      </w:pPr>
    </w:p>
    <w:p w14:paraId="2DD65924">
      <w:pPr>
        <w:ind w:firstLine="360"/>
        <w:rPr>
          <w:rFonts w:hint="eastAsia" w:ascii="宋体" w:hAnsi="宋体" w:cs="宋体"/>
          <w:b/>
          <w:bCs/>
          <w:color w:val="auto"/>
          <w:sz w:val="28"/>
          <w:szCs w:val="28"/>
          <w:highlight w:val="none"/>
        </w:rPr>
      </w:pPr>
    </w:p>
    <w:p w14:paraId="493C64BD">
      <w:pPr>
        <w:ind w:firstLine="360"/>
        <w:rPr>
          <w:rFonts w:hint="eastAsia" w:ascii="宋体" w:hAnsi="宋体" w:cs="宋体"/>
          <w:b/>
          <w:bCs/>
          <w:color w:val="auto"/>
          <w:sz w:val="28"/>
          <w:szCs w:val="28"/>
          <w:highlight w:val="none"/>
        </w:rPr>
      </w:pPr>
    </w:p>
    <w:p w14:paraId="68738EBD">
      <w:pPr>
        <w:ind w:firstLine="360"/>
        <w:rPr>
          <w:rFonts w:hint="eastAsia" w:ascii="宋体" w:hAnsi="宋体" w:cs="宋体"/>
          <w:b/>
          <w:bCs/>
          <w:color w:val="auto"/>
          <w:sz w:val="28"/>
          <w:szCs w:val="28"/>
          <w:highlight w:val="none"/>
        </w:rPr>
      </w:pPr>
    </w:p>
    <w:p w14:paraId="6C493081">
      <w:pPr>
        <w:ind w:firstLine="360"/>
        <w:rPr>
          <w:rFonts w:hint="eastAsia" w:ascii="宋体" w:hAnsi="宋体" w:cs="宋体"/>
          <w:b/>
          <w:bCs/>
          <w:color w:val="auto"/>
          <w:sz w:val="28"/>
          <w:szCs w:val="28"/>
          <w:highlight w:val="none"/>
        </w:rPr>
      </w:pPr>
    </w:p>
    <w:p w14:paraId="3778AE03">
      <w:pPr>
        <w:ind w:firstLine="360"/>
        <w:rPr>
          <w:rFonts w:hint="eastAsia" w:ascii="宋体" w:hAnsi="宋体" w:cs="宋体"/>
          <w:b/>
          <w:bCs/>
          <w:color w:val="auto"/>
          <w:sz w:val="28"/>
          <w:szCs w:val="28"/>
          <w:highlight w:val="none"/>
        </w:rPr>
      </w:pPr>
    </w:p>
    <w:p w14:paraId="7D0A2868">
      <w:pPr>
        <w:ind w:firstLine="360"/>
        <w:rPr>
          <w:rFonts w:hint="eastAsia" w:ascii="宋体" w:hAnsi="宋体" w:cs="宋体"/>
          <w:b/>
          <w:bCs/>
          <w:color w:val="auto"/>
          <w:sz w:val="28"/>
          <w:szCs w:val="28"/>
          <w:highlight w:val="none"/>
        </w:rPr>
      </w:pPr>
    </w:p>
    <w:p w14:paraId="4CD166EF">
      <w:pPr>
        <w:ind w:firstLine="360"/>
        <w:rPr>
          <w:rFonts w:hint="eastAsia" w:ascii="宋体" w:hAnsi="宋体" w:cs="宋体"/>
          <w:b/>
          <w:bCs/>
          <w:color w:val="auto"/>
          <w:sz w:val="28"/>
          <w:szCs w:val="28"/>
          <w:highlight w:val="none"/>
        </w:rPr>
      </w:pPr>
    </w:p>
    <w:p w14:paraId="29EC3EAD">
      <w:pPr>
        <w:ind w:firstLine="360"/>
        <w:rPr>
          <w:rFonts w:hint="eastAsia" w:ascii="宋体" w:hAnsi="宋体" w:cs="宋体"/>
          <w:b/>
          <w:bCs/>
          <w:color w:val="auto"/>
          <w:sz w:val="28"/>
          <w:szCs w:val="28"/>
          <w:highlight w:val="none"/>
        </w:rPr>
      </w:pPr>
    </w:p>
    <w:p w14:paraId="2C73EF49">
      <w:pPr>
        <w:ind w:firstLine="360"/>
        <w:rPr>
          <w:rFonts w:hint="eastAsia" w:ascii="宋体" w:hAnsi="宋体" w:cs="宋体"/>
          <w:b/>
          <w:bCs/>
          <w:color w:val="auto"/>
          <w:sz w:val="28"/>
          <w:szCs w:val="28"/>
          <w:highlight w:val="none"/>
        </w:rPr>
      </w:pPr>
    </w:p>
    <w:p w14:paraId="03F4188D">
      <w:pPr>
        <w:ind w:firstLine="360"/>
        <w:rPr>
          <w:rFonts w:hint="eastAsia" w:ascii="宋体" w:hAnsi="宋体" w:cs="宋体"/>
          <w:b/>
          <w:bCs/>
          <w:color w:val="auto"/>
          <w:sz w:val="28"/>
          <w:szCs w:val="28"/>
          <w:highlight w:val="none"/>
        </w:rPr>
      </w:pPr>
    </w:p>
    <w:p w14:paraId="091AFF42">
      <w:pPr>
        <w:ind w:firstLine="360"/>
        <w:rPr>
          <w:rFonts w:hint="eastAsia" w:ascii="宋体" w:hAnsi="宋体" w:cs="宋体"/>
          <w:b/>
          <w:bCs/>
          <w:color w:val="auto"/>
          <w:sz w:val="28"/>
          <w:szCs w:val="28"/>
          <w:highlight w:val="none"/>
        </w:rPr>
      </w:pPr>
    </w:p>
    <w:p w14:paraId="77C5AB56">
      <w:pPr>
        <w:ind w:firstLine="360"/>
        <w:rPr>
          <w:rFonts w:hint="eastAsia" w:ascii="宋体" w:hAnsi="宋体" w:cs="宋体"/>
          <w:b/>
          <w:bCs/>
          <w:color w:val="auto"/>
          <w:sz w:val="28"/>
          <w:szCs w:val="28"/>
          <w:highlight w:val="none"/>
        </w:rPr>
      </w:pPr>
    </w:p>
    <w:p w14:paraId="6F350084">
      <w:pPr>
        <w:ind w:firstLine="360"/>
        <w:rPr>
          <w:rFonts w:hint="eastAsia" w:ascii="宋体" w:hAnsi="宋体" w:cs="宋体"/>
          <w:b/>
          <w:bCs/>
          <w:color w:val="auto"/>
          <w:sz w:val="28"/>
          <w:szCs w:val="28"/>
          <w:highlight w:val="none"/>
        </w:rPr>
      </w:pPr>
    </w:p>
    <w:p w14:paraId="339BD873">
      <w:pPr>
        <w:ind w:firstLine="360"/>
        <w:rPr>
          <w:rFonts w:hint="eastAsia" w:ascii="宋体" w:hAnsi="宋体" w:cs="宋体"/>
          <w:b/>
          <w:bCs/>
          <w:color w:val="auto"/>
          <w:sz w:val="28"/>
          <w:szCs w:val="28"/>
          <w:highlight w:val="none"/>
        </w:rPr>
      </w:pPr>
    </w:p>
    <w:p w14:paraId="1DE2237C">
      <w:pPr>
        <w:ind w:firstLine="360"/>
        <w:rPr>
          <w:rFonts w:hint="eastAsia" w:ascii="宋体" w:hAnsi="宋体" w:cs="宋体"/>
          <w:b/>
          <w:bCs/>
          <w:color w:val="auto"/>
          <w:sz w:val="28"/>
          <w:szCs w:val="28"/>
          <w:highlight w:val="none"/>
        </w:rPr>
      </w:pPr>
    </w:p>
    <w:p w14:paraId="41905B21">
      <w:pPr>
        <w:ind w:firstLine="360"/>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80"/>
      <w:bookmarkEnd w:id="281"/>
      <w:bookmarkEnd w:id="282"/>
      <w:bookmarkEnd w:id="283"/>
      <w:bookmarkEnd w:id="284"/>
      <w:bookmarkEnd w:id="285"/>
    </w:p>
    <w:p w14:paraId="4EDAFBE6">
      <w:pPr>
        <w:ind w:firstLine="422"/>
        <w:jc w:val="left"/>
        <w:rPr>
          <w:rFonts w:ascii="宋体" w:hAnsi="宋体" w:cs="宋体"/>
          <w:b/>
          <w:color w:val="auto"/>
          <w:sz w:val="28"/>
          <w:szCs w:val="28"/>
          <w:highlight w:val="none"/>
        </w:rPr>
      </w:pPr>
    </w:p>
    <w:p w14:paraId="0967194E">
      <w:pPr>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1.中小企业声明函的格式：</w:t>
      </w:r>
    </w:p>
    <w:p w14:paraId="53B78EEF">
      <w:pPr>
        <w:ind w:firstLine="452"/>
        <w:rPr>
          <w:rFonts w:ascii="宋体" w:hAnsi="宋体" w:cs="宋体"/>
          <w:b/>
          <w:color w:val="auto"/>
          <w:sz w:val="30"/>
          <w:szCs w:val="30"/>
          <w:highlight w:val="none"/>
        </w:rPr>
      </w:pPr>
    </w:p>
    <w:p w14:paraId="24E1320C">
      <w:pPr>
        <w:ind w:firstLine="452"/>
        <w:jc w:val="center"/>
        <w:rPr>
          <w:b/>
          <w:color w:val="auto"/>
          <w:sz w:val="30"/>
          <w:szCs w:val="30"/>
          <w:highlight w:val="none"/>
        </w:rPr>
      </w:pPr>
      <w:r>
        <w:rPr>
          <w:rFonts w:hint="eastAsia"/>
          <w:b/>
          <w:color w:val="auto"/>
          <w:sz w:val="30"/>
          <w:szCs w:val="30"/>
          <w:highlight w:val="none"/>
        </w:rPr>
        <w:t>中小企业声明函</w:t>
      </w:r>
    </w:p>
    <w:p w14:paraId="14B73C66">
      <w:pPr>
        <w:ind w:firstLine="404" w:firstLineChars="200"/>
        <w:rPr>
          <w:rFonts w:hAnsi="宋体"/>
          <w:color w:val="auto"/>
          <w:spacing w:val="-4"/>
          <w:szCs w:val="21"/>
          <w:highlight w:val="none"/>
        </w:rPr>
      </w:pPr>
    </w:p>
    <w:p w14:paraId="6467FF3A">
      <w:pPr>
        <w:spacing w:line="360" w:lineRule="exact"/>
        <w:ind w:firstLine="404" w:firstLineChars="200"/>
        <w:rPr>
          <w:rFonts w:ascii="宋体" w:hAnsi="宋体" w:cs="宋体"/>
          <w:color w:val="auto"/>
          <w:spacing w:val="-4"/>
          <w:szCs w:val="21"/>
          <w:highlight w:val="none"/>
        </w:rPr>
      </w:pPr>
    </w:p>
    <w:p w14:paraId="4A3EC9CF">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本公司（联合体）郑重声明，根据《政府采购促进中小企业发展管理办法》（财库﹝2020﹞46号）的规定，本公司（联合体）参加</w:t>
      </w:r>
      <w:r>
        <w:rPr>
          <w:rFonts w:hint="eastAsia" w:ascii="宋体" w:hAnsi="宋体" w:cs="宋体"/>
          <w:i/>
          <w:iCs/>
          <w:color w:val="auto"/>
          <w:kern w:val="24"/>
          <w:sz w:val="21"/>
          <w:szCs w:val="21"/>
          <w:highlight w:val="none"/>
          <w:u w:val="single"/>
        </w:rPr>
        <w:t>（单位名称）</w:t>
      </w:r>
      <w:r>
        <w:rPr>
          <w:rFonts w:hint="eastAsia" w:ascii="宋体" w:hAnsi="宋体" w:cs="宋体"/>
          <w:color w:val="auto"/>
          <w:kern w:val="24"/>
          <w:sz w:val="21"/>
          <w:szCs w:val="21"/>
          <w:highlight w:val="none"/>
        </w:rPr>
        <w:t>的</w:t>
      </w:r>
      <w:r>
        <w:rPr>
          <w:rFonts w:hint="eastAsia" w:ascii="宋体" w:hAnsi="宋体" w:cs="宋体"/>
          <w:i/>
          <w:iCs/>
          <w:color w:val="auto"/>
          <w:kern w:val="24"/>
          <w:sz w:val="21"/>
          <w:szCs w:val="21"/>
          <w:highlight w:val="none"/>
          <w:u w:val="single"/>
        </w:rPr>
        <w:t>（项目名称）</w:t>
      </w:r>
      <w:r>
        <w:rPr>
          <w:rFonts w:hint="eastAsia" w:ascii="宋体" w:hAnsi="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349DB7B3">
      <w:pPr>
        <w:tabs>
          <w:tab w:val="left" w:pos="1384"/>
          <w:tab w:val="left" w:pos="4562"/>
          <w:tab w:val="left" w:pos="6803"/>
        </w:tabs>
        <w:spacing w:line="360" w:lineRule="exact"/>
        <w:ind w:left="0" w:leftChars="0" w:right="-58"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1.</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6180BCBD">
      <w:pPr>
        <w:tabs>
          <w:tab w:val="left" w:pos="1065"/>
          <w:tab w:val="left" w:pos="6477"/>
        </w:tabs>
        <w:spacing w:line="360" w:lineRule="exact"/>
        <w:ind w:left="0" w:leftChars="0" w:right="-58"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2.</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27368D95">
      <w:pPr>
        <w:spacing w:after="120" w:line="360" w:lineRule="exact"/>
        <w:ind w:left="0" w:leftChars="0" w:right="142" w:firstLine="420" w:firstLineChars="200"/>
        <w:contextualSpacing/>
        <w:rPr>
          <w:rFonts w:hint="default" w:ascii="宋体" w:hAnsi="宋体" w:eastAsia="宋体" w:cs="宋体"/>
          <w:color w:val="auto"/>
          <w:kern w:val="24"/>
          <w:sz w:val="21"/>
          <w:szCs w:val="21"/>
          <w:highlight w:val="none"/>
          <w:lang w:val="en-US" w:eastAsia="zh-CN"/>
        </w:rPr>
      </w:pPr>
      <w:r>
        <w:rPr>
          <w:rFonts w:hint="eastAsia" w:ascii="宋体" w:hAnsi="宋体" w:cs="宋体"/>
          <w:color w:val="auto"/>
          <w:kern w:val="24"/>
          <w:sz w:val="21"/>
          <w:szCs w:val="21"/>
          <w:highlight w:val="none"/>
          <w:lang w:val="en-US" w:eastAsia="zh-CN"/>
        </w:rPr>
        <w:t>3.</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75DFD9C3">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 xml:space="preserve">…… </w:t>
      </w:r>
    </w:p>
    <w:p w14:paraId="2AD0A531">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以上企业，不属于大企业的分支机构，不存在控股股东为大企业的情形，也不存在与大企业的负责人为同一人的情形。</w:t>
      </w:r>
    </w:p>
    <w:p w14:paraId="6CEECDD6">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本企业对上述声明内容的真实性负责。如有虚假，将依法承担相应责任。</w:t>
      </w:r>
    </w:p>
    <w:p w14:paraId="1D5DF9B9">
      <w:pPr>
        <w:spacing w:line="360" w:lineRule="auto"/>
        <w:ind w:left="0" w:leftChars="0" w:firstLine="420" w:firstLineChars="200"/>
        <w:rPr>
          <w:rFonts w:ascii="宋体" w:hAnsi="宋体" w:cs="宋体"/>
          <w:color w:val="auto"/>
          <w:sz w:val="21"/>
          <w:szCs w:val="21"/>
          <w:highlight w:val="none"/>
        </w:rPr>
      </w:pPr>
    </w:p>
    <w:p w14:paraId="35EC7CD1">
      <w:pPr>
        <w:spacing w:line="360" w:lineRule="auto"/>
        <w:ind w:left="0" w:leftChars="0" w:firstLine="420" w:firstLineChars="200"/>
        <w:rPr>
          <w:rFonts w:ascii="宋体" w:hAnsi="宋体" w:cs="宋体"/>
          <w:color w:val="auto"/>
          <w:sz w:val="21"/>
          <w:szCs w:val="21"/>
          <w:highlight w:val="none"/>
        </w:rPr>
      </w:pPr>
    </w:p>
    <w:p w14:paraId="2980B196">
      <w:pPr>
        <w:snapToGrid w:val="0"/>
        <w:spacing w:line="360" w:lineRule="auto"/>
        <w:ind w:left="0" w:leftChars="0"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投标人名称(盖公章)：</w:t>
      </w:r>
    </w:p>
    <w:p w14:paraId="5E42627B">
      <w:pPr>
        <w:snapToGrid w:val="0"/>
        <w:spacing w:line="360" w:lineRule="auto"/>
        <w:ind w:left="0" w:leftChars="0" w:firstLine="420" w:firstLineChars="2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1A37060C">
      <w:pPr>
        <w:spacing w:line="360" w:lineRule="auto"/>
        <w:ind w:firstLine="420" w:firstLineChars="200"/>
        <w:rPr>
          <w:rFonts w:ascii="宋体" w:hAnsi="宋体" w:cs="宋体"/>
          <w:color w:val="auto"/>
          <w:szCs w:val="21"/>
          <w:highlight w:val="none"/>
        </w:rPr>
      </w:pPr>
    </w:p>
    <w:p w14:paraId="645AEB4C">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注：</w:t>
      </w:r>
    </w:p>
    <w:p w14:paraId="43540221">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1、从业人员、营业收入、资产总额填报上一年度数据，无上一年度数据的新成立企业可不填报。</w:t>
      </w:r>
    </w:p>
    <w:p w14:paraId="0C9332F1">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2、请根据自己的真实情况出具《中小企业声明函》。依法享受中小企业扶持政策的，采购人或者采购代理机构在公告中标结果时，同时公告其《中小企业声明函》，接受社会监督。</w:t>
      </w:r>
    </w:p>
    <w:p w14:paraId="56DE8E79">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3、本声明函主要供参加政府采购活动的中小企业填写，非中小企业无需填写。</w:t>
      </w:r>
    </w:p>
    <w:p w14:paraId="3AD3DAC1">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4、小型、微型企业提供中型企业提供的货物的，视同为中型企业。</w:t>
      </w:r>
    </w:p>
    <w:p w14:paraId="11AA35B9">
      <w:pPr>
        <w:ind w:firstLine="452"/>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5D2B8360">
      <w:pPr>
        <w:ind w:firstLine="422"/>
        <w:rPr>
          <w:rFonts w:ascii="宋体" w:hAnsi="宋体" w:cs="宋体"/>
          <w:b/>
          <w:color w:val="auto"/>
          <w:sz w:val="28"/>
          <w:szCs w:val="28"/>
          <w:highlight w:val="none"/>
        </w:rPr>
      </w:pPr>
      <w:r>
        <w:rPr>
          <w:rFonts w:hint="eastAsia" w:ascii="宋体" w:hAnsi="宋体" w:cs="宋体"/>
          <w:b/>
          <w:color w:val="auto"/>
          <w:sz w:val="28"/>
          <w:szCs w:val="28"/>
          <w:highlight w:val="none"/>
        </w:rPr>
        <w:t>2.残疾人福利性单位声明函的格式：</w:t>
      </w:r>
    </w:p>
    <w:p w14:paraId="4359CEBD">
      <w:pPr>
        <w:spacing w:line="360" w:lineRule="auto"/>
        <w:ind w:firstLine="452"/>
        <w:jc w:val="center"/>
        <w:rPr>
          <w:rFonts w:ascii="宋体" w:hAnsi="宋体" w:cs="宋体"/>
          <w:b/>
          <w:color w:val="auto"/>
          <w:sz w:val="30"/>
          <w:szCs w:val="30"/>
          <w:highlight w:val="none"/>
        </w:rPr>
      </w:pPr>
    </w:p>
    <w:p w14:paraId="4530C186">
      <w:pPr>
        <w:spacing w:line="360" w:lineRule="auto"/>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w:t>
      </w:r>
    </w:p>
    <w:p w14:paraId="34B6887C">
      <w:pPr>
        <w:spacing w:line="360" w:lineRule="auto"/>
        <w:ind w:firstLine="452"/>
        <w:jc w:val="center"/>
        <w:rPr>
          <w:rFonts w:ascii="宋体" w:hAnsi="宋体" w:cs="宋体"/>
          <w:b/>
          <w:color w:val="auto"/>
          <w:sz w:val="30"/>
          <w:szCs w:val="30"/>
          <w:highlight w:val="none"/>
        </w:rPr>
      </w:pPr>
    </w:p>
    <w:p w14:paraId="173D9525">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7AED9A">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65CED835">
      <w:pPr>
        <w:spacing w:line="360" w:lineRule="auto"/>
        <w:ind w:firstLine="316"/>
        <w:jc w:val="left"/>
        <w:rPr>
          <w:rFonts w:ascii="宋体" w:hAnsi="宋体" w:cs="宋体"/>
          <w:b/>
          <w:color w:val="auto"/>
          <w:szCs w:val="21"/>
          <w:highlight w:val="none"/>
        </w:rPr>
      </w:pPr>
    </w:p>
    <w:p w14:paraId="2ABE1B39">
      <w:pPr>
        <w:spacing w:line="360" w:lineRule="auto"/>
        <w:ind w:firstLine="316"/>
        <w:jc w:val="left"/>
        <w:rPr>
          <w:rFonts w:ascii="宋体" w:hAnsi="宋体" w:cs="宋体"/>
          <w:b/>
          <w:color w:val="auto"/>
          <w:szCs w:val="21"/>
          <w:highlight w:val="none"/>
        </w:rPr>
      </w:pPr>
    </w:p>
    <w:p w14:paraId="105A8DE8">
      <w:pPr>
        <w:snapToGrid w:val="0"/>
        <w:spacing w:line="360" w:lineRule="auto"/>
        <w:ind w:left="5378" w:leftChars="1736" w:hanging="1732" w:hangingChars="825"/>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投标人名称(盖公章)：</w:t>
      </w:r>
    </w:p>
    <w:p w14:paraId="5B2EC4A3">
      <w:pPr>
        <w:snapToGrid w:val="0"/>
        <w:spacing w:line="360" w:lineRule="auto"/>
        <w:ind w:firstLine="4515" w:firstLineChars="215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年  月  日</w:t>
      </w:r>
    </w:p>
    <w:p w14:paraId="65B472D9">
      <w:pPr>
        <w:spacing w:line="360" w:lineRule="auto"/>
        <w:ind w:left="5132" w:leftChars="1979" w:hanging="976" w:hangingChars="488"/>
        <w:rPr>
          <w:rFonts w:ascii="宋体" w:hAnsi="宋体" w:cs="宋体"/>
          <w:color w:val="auto"/>
          <w:sz w:val="20"/>
          <w:szCs w:val="20"/>
          <w:highlight w:val="none"/>
        </w:rPr>
      </w:pPr>
    </w:p>
    <w:p w14:paraId="63C02E81">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6C18130">
      <w:pPr>
        <w:shd w:val="clear" w:color="auto" w:fill="FFFFFF"/>
        <w:spacing w:line="480" w:lineRule="atLeast"/>
        <w:jc w:val="left"/>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3.《关于符合本国产品标准的声明函》的格式：</w:t>
      </w:r>
    </w:p>
    <w:p w14:paraId="3ADEB8F4">
      <w:pPr>
        <w:shd w:val="clear" w:color="auto" w:fill="FFFFFF"/>
        <w:spacing w:line="480" w:lineRule="atLeast"/>
        <w:jc w:val="left"/>
        <w:rPr>
          <w:rFonts w:hint="eastAsia" w:ascii="宋体" w:hAnsi="宋体" w:cs="宋体"/>
          <w:b/>
          <w:color w:val="auto"/>
          <w:sz w:val="28"/>
          <w:szCs w:val="28"/>
          <w:highlight w:val="none"/>
        </w:rPr>
      </w:pPr>
    </w:p>
    <w:p w14:paraId="5A324F73">
      <w:pPr>
        <w:shd w:val="clear" w:color="auto" w:fill="FFFFFF"/>
        <w:spacing w:line="480" w:lineRule="atLeast"/>
        <w:jc w:val="left"/>
        <w:rPr>
          <w:rFonts w:hint="eastAsia" w:ascii="宋体" w:hAnsi="宋体" w:cs="宋体"/>
          <w:b/>
          <w:color w:val="auto"/>
          <w:sz w:val="28"/>
          <w:szCs w:val="28"/>
          <w:highlight w:val="none"/>
        </w:rPr>
      </w:pPr>
    </w:p>
    <w:p w14:paraId="0D7AD737">
      <w:pPr>
        <w:shd w:val="clear" w:color="auto" w:fill="FFFFFF"/>
        <w:spacing w:line="480" w:lineRule="atLeas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《关于符合本国产品标准的声明函》</w:t>
      </w:r>
    </w:p>
    <w:p w14:paraId="6F612593">
      <w:pPr>
        <w:shd w:val="clear" w:color="auto" w:fill="FFFFFF"/>
        <w:spacing w:line="480" w:lineRule="atLeast"/>
        <w:jc w:val="left"/>
        <w:rPr>
          <w:rFonts w:hint="eastAsia" w:ascii="宋体" w:hAnsi="宋体" w:cs="宋体"/>
          <w:b/>
          <w:color w:val="auto"/>
          <w:sz w:val="28"/>
          <w:szCs w:val="28"/>
          <w:highlight w:val="none"/>
        </w:rPr>
      </w:pPr>
    </w:p>
    <w:p w14:paraId="36C4FC2C">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本公司（单位）</w:t>
      </w:r>
      <w:r>
        <w:rPr>
          <w:rFonts w:hint="eastAsia" w:ascii="宋体" w:hAnsi="宋体" w:eastAsia="宋体" w:cs="宋体"/>
          <w:color w:val="333333"/>
          <w:kern w:val="0"/>
          <w:sz w:val="21"/>
          <w:szCs w:val="21"/>
          <w:u w:val="single"/>
          <w:lang w:val="en-US" w:eastAsia="zh-CN" w:bidi="ar"/>
        </w:rPr>
        <w:t xml:space="preserve">            </w:t>
      </w:r>
      <w:r>
        <w:rPr>
          <w:rFonts w:hint="eastAsia" w:ascii="宋体" w:hAnsi="宋体" w:eastAsia="宋体" w:cs="宋体"/>
          <w:color w:val="333333"/>
          <w:kern w:val="0"/>
          <w:sz w:val="21"/>
          <w:szCs w:val="21"/>
          <w:lang w:val="en-US" w:eastAsia="zh-CN" w:bidi="ar"/>
        </w:rPr>
        <w:t xml:space="preserve">郑重声明，根据《国务院办公厅关于在政府采购中实施本国产品标准及相关政策的通知》（国办发〔2025〕34号）的规定，本公司（单位）提供的以下产品属于本国产品。具体情况如下： </w:t>
      </w:r>
    </w:p>
    <w:p w14:paraId="742D69DE">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1.</w:t>
      </w:r>
      <w:r>
        <w:rPr>
          <w:rFonts w:hint="eastAsia" w:ascii="宋体" w:hAnsi="宋体" w:eastAsia="宋体" w:cs="宋体"/>
          <w:color w:val="333333"/>
          <w:kern w:val="0"/>
          <w:sz w:val="21"/>
          <w:szCs w:val="21"/>
          <w:u w:val="single"/>
          <w:lang w:val="en-US" w:eastAsia="zh-CN" w:bidi="ar"/>
        </w:rPr>
        <w:t xml:space="preserve">（产品名称1）       </w:t>
      </w:r>
      <w:r>
        <w:rPr>
          <w:rFonts w:hint="eastAsia" w:ascii="宋体" w:hAnsi="宋体" w:eastAsia="宋体" w:cs="宋体"/>
          <w:color w:val="333333"/>
          <w:kern w:val="0"/>
          <w:sz w:val="32"/>
          <w:szCs w:val="32"/>
          <w:vertAlign w:val="superscript"/>
          <w:lang w:val="en-US" w:eastAsia="zh-CN" w:bidi="ar"/>
        </w:rPr>
        <w:t>1</w:t>
      </w:r>
      <w:r>
        <w:rPr>
          <w:rFonts w:hint="eastAsia" w:ascii="宋体" w:hAnsi="宋体" w:eastAsia="宋体" w:cs="宋体"/>
          <w:color w:val="333333"/>
          <w:kern w:val="0"/>
          <w:sz w:val="21"/>
          <w:szCs w:val="21"/>
          <w:lang w:val="en-US" w:eastAsia="zh-CN" w:bidi="ar"/>
        </w:rPr>
        <w:t>，生产厂为</w:t>
      </w:r>
      <w:r>
        <w:rPr>
          <w:rFonts w:hint="eastAsia" w:ascii="宋体" w:hAnsi="宋体" w:eastAsia="宋体" w:cs="宋体"/>
          <w:color w:val="333333"/>
          <w:kern w:val="0"/>
          <w:sz w:val="21"/>
          <w:szCs w:val="21"/>
          <w:u w:val="single"/>
          <w:lang w:val="en-US" w:eastAsia="zh-CN" w:bidi="ar"/>
        </w:rPr>
        <w:t xml:space="preserve">（厂名）        </w:t>
      </w:r>
      <w:r>
        <w:rPr>
          <w:rFonts w:hint="eastAsia" w:ascii="宋体" w:hAnsi="宋体" w:eastAsia="宋体" w:cs="宋体"/>
          <w:color w:val="333333"/>
          <w:kern w:val="0"/>
          <w:sz w:val="32"/>
          <w:szCs w:val="32"/>
          <w:vertAlign w:val="superscript"/>
          <w:lang w:val="en-US" w:eastAsia="zh-CN" w:bidi="ar"/>
        </w:rPr>
        <w:t>2</w:t>
      </w:r>
      <w:r>
        <w:rPr>
          <w:rFonts w:hint="eastAsia" w:ascii="宋体" w:hAnsi="宋体" w:eastAsia="宋体" w:cs="宋体"/>
          <w:color w:val="333333"/>
          <w:kern w:val="0"/>
          <w:sz w:val="21"/>
          <w:szCs w:val="21"/>
          <w:lang w:val="en-US" w:eastAsia="zh-CN" w:bidi="ar"/>
        </w:rPr>
        <w:t>，厂址为</w:t>
      </w:r>
      <w:r>
        <w:rPr>
          <w:rFonts w:hint="eastAsia" w:ascii="宋体" w:hAnsi="宋体" w:eastAsia="宋体" w:cs="宋体"/>
          <w:color w:val="333333"/>
          <w:kern w:val="0"/>
          <w:sz w:val="21"/>
          <w:szCs w:val="21"/>
          <w:u w:val="single"/>
          <w:lang w:val="en-US" w:eastAsia="zh-CN" w:bidi="ar"/>
        </w:rPr>
        <w:t xml:space="preserve">（生产厂址）      </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（产品名称1）</w:t>
      </w:r>
      <w:r>
        <w:rPr>
          <w:rFonts w:hint="eastAsia" w:ascii="宋体" w:hAnsi="宋体" w:eastAsia="宋体" w:cs="宋体"/>
          <w:color w:val="333333"/>
          <w:kern w:val="0"/>
          <w:sz w:val="21"/>
          <w:szCs w:val="21"/>
          <w:lang w:val="en-US" w:eastAsia="zh-CN" w:bidi="ar"/>
        </w:rPr>
        <w:t>的中国境内生产的组件成本占比≥</w:t>
      </w:r>
      <w:r>
        <w:rPr>
          <w:rFonts w:hint="eastAsia" w:ascii="宋体" w:hAnsi="宋体" w:eastAsia="宋体" w:cs="宋体"/>
          <w:color w:val="333333"/>
          <w:kern w:val="0"/>
          <w:sz w:val="21"/>
          <w:szCs w:val="21"/>
          <w:u w:val="single"/>
          <w:lang w:val="en-US" w:eastAsia="zh-CN" w:bidi="ar"/>
        </w:rPr>
        <w:t>（规定比例）</w:t>
      </w:r>
      <w:r>
        <w:rPr>
          <w:rFonts w:hint="eastAsia" w:ascii="宋体" w:hAnsi="宋体" w:eastAsia="宋体" w:cs="宋体"/>
          <w:color w:val="333333"/>
          <w:kern w:val="0"/>
          <w:sz w:val="32"/>
          <w:szCs w:val="32"/>
          <w:vertAlign w:val="superscript"/>
          <w:lang w:val="en-US" w:eastAsia="zh-CN" w:bidi="ar"/>
        </w:rPr>
        <w:t>3</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（产品名称1）</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（关键组件）</w:t>
      </w:r>
      <w:r>
        <w:rPr>
          <w:rFonts w:hint="eastAsia" w:ascii="宋体" w:hAnsi="宋体" w:eastAsia="宋体" w:cs="宋体"/>
          <w:color w:val="333333"/>
          <w:kern w:val="0"/>
          <w:sz w:val="32"/>
          <w:szCs w:val="32"/>
          <w:vertAlign w:val="superscript"/>
          <w:lang w:val="en-US" w:eastAsia="zh-CN" w:bidi="ar"/>
        </w:rPr>
        <w:t>4</w:t>
      </w:r>
      <w:r>
        <w:rPr>
          <w:rFonts w:hint="eastAsia" w:ascii="宋体" w:hAnsi="宋体" w:eastAsia="宋体" w:cs="宋体"/>
          <w:color w:val="333333"/>
          <w:kern w:val="0"/>
          <w:sz w:val="21"/>
          <w:szCs w:val="21"/>
          <w:lang w:val="en-US" w:eastAsia="zh-CN" w:bidi="ar"/>
        </w:rPr>
        <w:t>在中国境内生产。</w:t>
      </w:r>
      <w:r>
        <w:rPr>
          <w:rFonts w:hint="eastAsia" w:ascii="宋体" w:hAnsi="宋体" w:eastAsia="宋体" w:cs="宋体"/>
          <w:color w:val="333333"/>
          <w:kern w:val="0"/>
          <w:sz w:val="21"/>
          <w:szCs w:val="21"/>
          <w:u w:val="single"/>
          <w:lang w:val="en-US" w:eastAsia="zh-CN" w:bidi="ar"/>
        </w:rPr>
        <w:t>（产品名称1）</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（关键工序）</w:t>
      </w:r>
      <w:r>
        <w:rPr>
          <w:rFonts w:hint="eastAsia" w:ascii="宋体" w:hAnsi="宋体" w:eastAsia="宋体" w:cs="宋体"/>
          <w:color w:val="333333"/>
          <w:kern w:val="0"/>
          <w:sz w:val="32"/>
          <w:szCs w:val="32"/>
          <w:vertAlign w:val="superscript"/>
          <w:lang w:val="en-US" w:eastAsia="zh-CN" w:bidi="ar"/>
        </w:rPr>
        <w:t>5</w:t>
      </w:r>
      <w:r>
        <w:rPr>
          <w:rFonts w:hint="eastAsia" w:ascii="宋体" w:hAnsi="宋体" w:eastAsia="宋体" w:cs="宋体"/>
          <w:color w:val="333333"/>
          <w:kern w:val="0"/>
          <w:sz w:val="21"/>
          <w:szCs w:val="21"/>
          <w:lang w:val="en-US" w:eastAsia="zh-CN" w:bidi="ar"/>
        </w:rPr>
        <w:t xml:space="preserve">在中国境内完成。 </w:t>
      </w:r>
    </w:p>
    <w:p w14:paraId="22476DE0">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2.</w:t>
      </w:r>
      <w:r>
        <w:rPr>
          <w:rFonts w:hint="eastAsia" w:ascii="宋体" w:hAnsi="宋体" w:eastAsia="宋体" w:cs="宋体"/>
          <w:color w:val="333333"/>
          <w:kern w:val="0"/>
          <w:sz w:val="21"/>
          <w:szCs w:val="21"/>
          <w:u w:val="single"/>
          <w:lang w:val="en-US" w:eastAsia="zh-CN" w:bidi="ar"/>
        </w:rPr>
        <w:t xml:space="preserve">（产品名称2）        </w:t>
      </w:r>
      <w:r>
        <w:rPr>
          <w:rFonts w:hint="eastAsia" w:ascii="宋体" w:hAnsi="宋体" w:eastAsia="宋体" w:cs="宋体"/>
          <w:color w:val="333333"/>
          <w:kern w:val="0"/>
          <w:sz w:val="21"/>
          <w:szCs w:val="21"/>
          <w:lang w:val="en-US" w:eastAsia="zh-CN" w:bidi="ar"/>
        </w:rPr>
        <w:t>，生产厂为</w:t>
      </w:r>
      <w:r>
        <w:rPr>
          <w:rFonts w:hint="eastAsia" w:ascii="宋体" w:hAnsi="宋体" w:eastAsia="宋体" w:cs="宋体"/>
          <w:color w:val="333333"/>
          <w:kern w:val="0"/>
          <w:sz w:val="21"/>
          <w:szCs w:val="21"/>
          <w:u w:val="single"/>
          <w:lang w:val="en-US" w:eastAsia="zh-CN" w:bidi="ar"/>
        </w:rPr>
        <w:t xml:space="preserve">（厂名）        </w:t>
      </w:r>
      <w:r>
        <w:rPr>
          <w:rFonts w:hint="eastAsia" w:ascii="宋体" w:hAnsi="宋体" w:eastAsia="宋体" w:cs="宋体"/>
          <w:color w:val="333333"/>
          <w:kern w:val="0"/>
          <w:sz w:val="21"/>
          <w:szCs w:val="21"/>
          <w:lang w:val="en-US" w:eastAsia="zh-CN" w:bidi="ar"/>
        </w:rPr>
        <w:t>，厂址为</w:t>
      </w:r>
      <w:r>
        <w:rPr>
          <w:rFonts w:hint="eastAsia" w:ascii="宋体" w:hAnsi="宋体" w:eastAsia="宋体" w:cs="宋体"/>
          <w:color w:val="333333"/>
          <w:kern w:val="0"/>
          <w:sz w:val="21"/>
          <w:szCs w:val="21"/>
          <w:u w:val="single"/>
          <w:lang w:val="en-US" w:eastAsia="zh-CN" w:bidi="ar"/>
        </w:rPr>
        <w:t xml:space="preserve">（生产厂址）      </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（产品名称2）</w:t>
      </w:r>
      <w:r>
        <w:rPr>
          <w:rFonts w:hint="eastAsia" w:ascii="宋体" w:hAnsi="宋体" w:eastAsia="宋体" w:cs="宋体"/>
          <w:color w:val="333333"/>
          <w:kern w:val="0"/>
          <w:sz w:val="21"/>
          <w:szCs w:val="21"/>
          <w:lang w:val="en-US" w:eastAsia="zh-CN" w:bidi="ar"/>
        </w:rPr>
        <w:t>的中国境内生产的组件成本占比≥</w:t>
      </w:r>
      <w:r>
        <w:rPr>
          <w:rFonts w:hint="eastAsia" w:ascii="宋体" w:hAnsi="宋体" w:eastAsia="宋体" w:cs="宋体"/>
          <w:color w:val="333333"/>
          <w:kern w:val="0"/>
          <w:sz w:val="21"/>
          <w:szCs w:val="21"/>
          <w:u w:val="single"/>
          <w:lang w:val="en-US" w:eastAsia="zh-CN" w:bidi="ar"/>
        </w:rPr>
        <w:t>（规定比例）</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（产品名称2）</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（关键组件）</w:t>
      </w:r>
      <w:r>
        <w:rPr>
          <w:rFonts w:hint="eastAsia" w:ascii="宋体" w:hAnsi="宋体" w:eastAsia="宋体" w:cs="宋体"/>
          <w:color w:val="333333"/>
          <w:kern w:val="0"/>
          <w:sz w:val="21"/>
          <w:szCs w:val="21"/>
          <w:lang w:val="en-US" w:eastAsia="zh-CN" w:bidi="ar"/>
        </w:rPr>
        <w:t>在中国境内生产。</w:t>
      </w:r>
      <w:r>
        <w:rPr>
          <w:rFonts w:hint="eastAsia" w:ascii="宋体" w:hAnsi="宋体" w:eastAsia="宋体" w:cs="宋体"/>
          <w:color w:val="333333"/>
          <w:kern w:val="0"/>
          <w:sz w:val="21"/>
          <w:szCs w:val="21"/>
          <w:u w:val="single"/>
          <w:lang w:val="en-US" w:eastAsia="zh-CN" w:bidi="ar"/>
        </w:rPr>
        <w:t>（产品名称2）</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（关键工序）</w:t>
      </w:r>
      <w:r>
        <w:rPr>
          <w:rFonts w:hint="eastAsia" w:ascii="宋体" w:hAnsi="宋体" w:eastAsia="宋体" w:cs="宋体"/>
          <w:color w:val="333333"/>
          <w:kern w:val="0"/>
          <w:sz w:val="21"/>
          <w:szCs w:val="21"/>
          <w:lang w:val="en-US" w:eastAsia="zh-CN" w:bidi="ar"/>
        </w:rPr>
        <w:t xml:space="preserve">在中国境内完成。 </w:t>
      </w:r>
    </w:p>
    <w:p w14:paraId="023DA9EC">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 xml:space="preserve">…… </w:t>
      </w:r>
    </w:p>
    <w:p w14:paraId="403ECEEC">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 xml:space="preserve">本公司（单位）对上述声明内容的真实性负责。如有虚假，愿承担相应法律责任。 </w:t>
      </w:r>
    </w:p>
    <w:p w14:paraId="3CADEF36">
      <w:pPr>
        <w:keepNext w:val="0"/>
        <w:keepLines w:val="0"/>
        <w:widowControl/>
        <w:suppressLineNumbers w:val="0"/>
        <w:spacing w:line="360" w:lineRule="auto"/>
        <w:jc w:val="left"/>
        <w:rPr>
          <w:rFonts w:hint="eastAsia" w:ascii="宋体" w:hAnsi="宋体" w:eastAsia="宋体" w:cs="宋体"/>
          <w:color w:val="333333"/>
          <w:kern w:val="0"/>
          <w:sz w:val="21"/>
          <w:szCs w:val="21"/>
          <w:lang w:val="en-US" w:eastAsia="zh-CN" w:bidi="ar"/>
        </w:rPr>
      </w:pPr>
    </w:p>
    <w:p w14:paraId="0F7185DC">
      <w:pPr>
        <w:keepNext w:val="0"/>
        <w:keepLines w:val="0"/>
        <w:widowControl/>
        <w:suppressLineNumbers w:val="0"/>
        <w:spacing w:line="360" w:lineRule="auto"/>
        <w:jc w:val="left"/>
        <w:rPr>
          <w:rFonts w:hint="eastAsia" w:ascii="宋体" w:hAnsi="宋体" w:eastAsia="宋体" w:cs="宋体"/>
          <w:color w:val="333333"/>
          <w:kern w:val="0"/>
          <w:sz w:val="21"/>
          <w:szCs w:val="21"/>
          <w:lang w:val="en-US" w:eastAsia="zh-CN" w:bidi="ar"/>
        </w:rPr>
      </w:pPr>
    </w:p>
    <w:p w14:paraId="34760104">
      <w:pPr>
        <w:keepNext w:val="0"/>
        <w:keepLines w:val="0"/>
        <w:widowControl/>
        <w:suppressLineNumbers w:val="0"/>
        <w:spacing w:line="360" w:lineRule="auto"/>
        <w:jc w:val="left"/>
        <w:rPr>
          <w:sz w:val="21"/>
          <w:szCs w:val="21"/>
        </w:rPr>
      </w:pPr>
      <w:r>
        <w:rPr>
          <w:rFonts w:hint="eastAsia" w:ascii="宋体" w:hAnsi="宋体" w:cs="宋体"/>
          <w:color w:val="auto"/>
          <w:kern w:val="0"/>
          <w:sz w:val="21"/>
          <w:szCs w:val="21"/>
          <w:highlight w:val="none"/>
          <w:lang w:val="zh-CN"/>
        </w:rPr>
        <w:t>投标人名称(盖公章)：</w:t>
      </w:r>
      <w:r>
        <w:rPr>
          <w:rFonts w:hint="eastAsia" w:ascii="宋体" w:hAnsi="宋体" w:eastAsia="宋体" w:cs="宋体"/>
          <w:color w:val="333333"/>
          <w:kern w:val="0"/>
          <w:sz w:val="21"/>
          <w:szCs w:val="21"/>
          <w:lang w:val="en-US" w:eastAsia="zh-CN" w:bidi="ar"/>
        </w:rPr>
        <w:t xml:space="preserve"> </w:t>
      </w:r>
    </w:p>
    <w:p w14:paraId="1916C945">
      <w:pPr>
        <w:keepNext w:val="0"/>
        <w:keepLines w:val="0"/>
        <w:widowControl/>
        <w:suppressLineNumbers w:val="0"/>
        <w:spacing w:line="360" w:lineRule="auto"/>
        <w:jc w:val="left"/>
        <w:rPr>
          <w:sz w:val="21"/>
          <w:szCs w:val="21"/>
        </w:rPr>
      </w:pPr>
      <w:r>
        <w:rPr>
          <w:rFonts w:hint="eastAsia" w:ascii="宋体" w:hAnsi="宋体" w:eastAsia="宋体" w:cs="宋体"/>
          <w:color w:val="333333"/>
          <w:kern w:val="0"/>
          <w:sz w:val="21"/>
          <w:szCs w:val="21"/>
          <w:lang w:val="en-US" w:eastAsia="zh-CN" w:bidi="ar"/>
        </w:rPr>
        <w:t>日期：    年    月   日</w:t>
      </w:r>
    </w:p>
    <w:p w14:paraId="379CD8C9">
      <w:pPr>
        <w:shd w:val="clear" w:color="auto" w:fill="FFFFFF"/>
        <w:spacing w:line="360" w:lineRule="auto"/>
        <w:jc w:val="left"/>
        <w:rPr>
          <w:rFonts w:hint="eastAsia" w:ascii="宋体" w:hAnsi="宋体" w:cs="宋体"/>
          <w:b/>
          <w:color w:val="auto"/>
          <w:sz w:val="28"/>
          <w:szCs w:val="28"/>
          <w:highlight w:val="none"/>
        </w:rPr>
      </w:pPr>
    </w:p>
    <w:p w14:paraId="370DF9DB">
      <w:pPr>
        <w:keepNext w:val="0"/>
        <w:keepLines w:val="0"/>
        <w:widowControl/>
        <w:suppressLineNumbers w:val="0"/>
        <w:jc w:val="left"/>
      </w:pPr>
      <w:r>
        <w:rPr>
          <w:rFonts w:hint="eastAsia" w:ascii="宋体" w:hAnsi="宋体" w:eastAsia="宋体" w:cs="宋体"/>
          <w:color w:val="333333"/>
          <w:kern w:val="0"/>
          <w:sz w:val="22"/>
          <w:szCs w:val="22"/>
          <w:u w:val="single"/>
          <w:lang w:val="en-US" w:eastAsia="zh-CN" w:bidi="ar"/>
        </w:rPr>
        <w:t xml:space="preserve">                                                                                </w:t>
      </w:r>
      <w:r>
        <w:rPr>
          <w:rFonts w:hint="eastAsia" w:ascii="宋体" w:hAnsi="宋体" w:eastAsia="宋体" w:cs="宋体"/>
          <w:color w:val="333333"/>
          <w:kern w:val="0"/>
          <w:sz w:val="22"/>
          <w:szCs w:val="22"/>
          <w:lang w:val="en-US" w:eastAsia="zh-CN" w:bidi="ar"/>
        </w:rPr>
        <w:t xml:space="preserve"> </w:t>
      </w:r>
    </w:p>
    <w:p w14:paraId="5D392A9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1.产品如有型号，请在“产品名称”栏一并填写。 </w:t>
      </w:r>
    </w:p>
    <w:p w14:paraId="5FF0431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2.生产厂名与厂址应与生产厂营业执照载明的相关信息保持一致。 </w:t>
      </w:r>
    </w:p>
    <w:p w14:paraId="6451C9C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3.该产品的中国境内生产的组件成本占比相关要求实施前，“规定比例”栏可不填。 </w:t>
      </w:r>
    </w:p>
    <w:p w14:paraId="0324461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4.该产品的关键组件要求实施前，“关键组件”栏可不填。 </w:t>
      </w:r>
    </w:p>
    <w:p w14:paraId="4CA0B55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5.该产品的关键工序要求实施前，“关键工序”栏可不填。</w:t>
      </w:r>
    </w:p>
    <w:p w14:paraId="26504880">
      <w:pPr>
        <w:shd w:val="clear" w:color="auto" w:fill="FFFFFF"/>
        <w:spacing w:line="480" w:lineRule="atLeast"/>
        <w:jc w:val="left"/>
        <w:rPr>
          <w:rFonts w:hint="eastAsia" w:ascii="宋体" w:hAnsi="宋体" w:cs="宋体"/>
          <w:b/>
          <w:color w:val="auto"/>
          <w:sz w:val="28"/>
          <w:szCs w:val="28"/>
          <w:highlight w:val="none"/>
        </w:rPr>
      </w:pPr>
    </w:p>
    <w:p w14:paraId="414C704F">
      <w:pPr>
        <w:shd w:val="clear" w:color="auto" w:fill="FFFFFF"/>
        <w:spacing w:line="480" w:lineRule="atLeast"/>
        <w:jc w:val="left"/>
        <w:rPr>
          <w:rFonts w:hint="eastAsia" w:ascii="宋体" w:hAnsi="宋体" w:cs="宋体"/>
          <w:b/>
          <w:color w:val="auto"/>
          <w:sz w:val="28"/>
          <w:szCs w:val="28"/>
          <w:highlight w:val="none"/>
        </w:rPr>
      </w:pPr>
    </w:p>
    <w:p w14:paraId="32AF0B92">
      <w:pPr>
        <w:shd w:val="clear" w:color="auto" w:fill="FFFFFF"/>
        <w:spacing w:line="480" w:lineRule="atLeast"/>
        <w:jc w:val="left"/>
        <w:rPr>
          <w:rFonts w:hint="eastAsia" w:ascii="宋体" w:hAnsi="宋体" w:cs="宋体"/>
          <w:b/>
          <w:color w:val="auto"/>
          <w:sz w:val="28"/>
          <w:szCs w:val="28"/>
          <w:highlight w:val="none"/>
        </w:rPr>
      </w:pPr>
    </w:p>
    <w:p w14:paraId="76521307">
      <w:pPr>
        <w:shd w:val="clear" w:color="auto" w:fill="FFFFFF"/>
        <w:spacing w:line="480" w:lineRule="atLeast"/>
        <w:jc w:val="left"/>
        <w:rPr>
          <w:rFonts w:hint="eastAsia" w:ascii="宋体" w:hAnsi="宋体" w:cs="宋体"/>
          <w:b/>
          <w:color w:val="auto"/>
          <w:sz w:val="28"/>
          <w:szCs w:val="28"/>
          <w:highlight w:val="none"/>
        </w:rPr>
      </w:pPr>
    </w:p>
    <w:p w14:paraId="343F61DF">
      <w:pPr>
        <w:shd w:val="clear" w:color="auto" w:fill="FFFFFF"/>
        <w:spacing w:line="480" w:lineRule="atLeast"/>
        <w:jc w:val="left"/>
        <w:rPr>
          <w:rFonts w:hint="eastAsia" w:ascii="宋体" w:hAnsi="宋体" w:cs="宋体"/>
          <w:b/>
          <w:color w:val="auto"/>
          <w:sz w:val="28"/>
          <w:szCs w:val="28"/>
          <w:highlight w:val="none"/>
        </w:rPr>
      </w:pPr>
    </w:p>
    <w:p w14:paraId="4BF8A77C">
      <w:pPr>
        <w:shd w:val="clear" w:color="auto" w:fill="FFFFFF"/>
        <w:spacing w:line="480" w:lineRule="atLeast"/>
        <w:jc w:val="left"/>
        <w:rPr>
          <w:color w:val="auto"/>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广西壮族自治区政府采购项目合同验收书的格式：</w:t>
      </w:r>
    </w:p>
    <w:p w14:paraId="2EECB758">
      <w:pPr>
        <w:shd w:val="clear" w:color="auto" w:fill="FFFFFF"/>
        <w:spacing w:line="480" w:lineRule="atLeast"/>
        <w:ind w:firstLine="480"/>
        <w:jc w:val="center"/>
        <w:rPr>
          <w:rFonts w:ascii="宋体" w:hAnsi="宋体" w:cs="宋体"/>
          <w:color w:val="auto"/>
          <w:kern w:val="0"/>
          <w:sz w:val="32"/>
          <w:szCs w:val="32"/>
          <w:highlight w:val="none"/>
        </w:rPr>
      </w:pPr>
    </w:p>
    <w:p w14:paraId="546F0A51">
      <w:pPr>
        <w:shd w:val="clear" w:color="auto" w:fill="FFFFFF"/>
        <w:spacing w:line="480" w:lineRule="atLeast"/>
        <w:ind w:firstLine="480"/>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11B79548">
      <w:pPr>
        <w:shd w:val="clear" w:color="auto" w:fill="FFFFFF"/>
        <w:spacing w:line="480" w:lineRule="atLeast"/>
        <w:ind w:firstLine="480"/>
        <w:jc w:val="center"/>
        <w:rPr>
          <w:rFonts w:ascii="宋体" w:hAnsi="宋体" w:cs="宋体"/>
          <w:color w:val="auto"/>
          <w:kern w:val="0"/>
          <w:sz w:val="32"/>
          <w:szCs w:val="32"/>
          <w:highlight w:val="none"/>
        </w:rPr>
      </w:pPr>
    </w:p>
    <w:p w14:paraId="3D198E30">
      <w:pPr>
        <w:shd w:val="clear" w:color="auto" w:fill="FFFFFF"/>
        <w:snapToGrid w:val="0"/>
        <w:spacing w:line="320" w:lineRule="atLeas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84C5CFB">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ign w:val="center"/>
          </w:tcPr>
          <w:p w14:paraId="44DC28B6">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ign w:val="center"/>
          </w:tcPr>
          <w:p w14:paraId="57173002">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EB7980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ign w:val="center"/>
          </w:tcPr>
          <w:p w14:paraId="5E55FC36">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ign w:val="center"/>
          </w:tcPr>
          <w:p w14:paraId="06F1E007">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ign w:val="center"/>
          </w:tcPr>
          <w:p w14:paraId="24B6961A">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67806DAE">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ign w:val="center"/>
          </w:tcPr>
          <w:p w14:paraId="47124FA0">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5E393F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0B63B6DD">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545E3957">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7893DCF2">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37A317E6">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28CE01E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FD7008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4A3DBF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45E1C8C2">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6EA8EAA7">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2C7F5160">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538A9003">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49E89D8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47229A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1991D04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37C73D10">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2CD48BE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098D572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383A8EE">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ign w:val="center"/>
          </w:tcPr>
          <w:p w14:paraId="40A3FBB3">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ign w:val="center"/>
          </w:tcPr>
          <w:p w14:paraId="5BCA69DA">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5EED99B9">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52B1DDA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ign w:val="center"/>
          </w:tcPr>
          <w:p w14:paraId="0D50A128">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10B3C577">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ign w:val="center"/>
          </w:tcPr>
          <w:p w14:paraId="5984244E">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ign w:val="center"/>
          </w:tcPr>
          <w:p w14:paraId="150A905B">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6C5303B8">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ign w:val="center"/>
          </w:tcPr>
          <w:p w14:paraId="4BFB4D6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15E517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ign w:val="center"/>
          </w:tcPr>
          <w:p w14:paraId="326EA019">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ign w:val="center"/>
          </w:tcPr>
          <w:p w14:paraId="3936B1D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25B7423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ign w:val="center"/>
          </w:tcPr>
          <w:p w14:paraId="3E810A0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17DBC94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C69331">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2123292">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3E4F23C">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C08BE83">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ign w:val="center"/>
          </w:tcPr>
          <w:p w14:paraId="600F0F5E">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EBE3EB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ign w:val="center"/>
          </w:tcPr>
          <w:p w14:paraId="56F03B21">
            <w:pPr>
              <w:keepNext w:val="0"/>
              <w:keepLines w:val="0"/>
              <w:suppressLineNumbers w:val="0"/>
              <w:spacing w:before="0" w:beforeAutospacing="0" w:after="0" w:afterAutospacing="0"/>
              <w:ind w:left="0" w:right="0"/>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ign w:val="center"/>
          </w:tcPr>
          <w:p w14:paraId="040803B7">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76E8DBF">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F9A3CA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91B3B0">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D7E3CA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7985DD">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688974E3">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7D6B0E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tcMar>
              <w:top w:w="0" w:type="dxa"/>
              <w:left w:w="108" w:type="dxa"/>
              <w:bottom w:w="0" w:type="dxa"/>
              <w:right w:w="108" w:type="dxa"/>
            </w:tcMar>
            <w:vAlign w:val="center"/>
          </w:tcPr>
          <w:p w14:paraId="28420821">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4FAAA691">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ign w:val="center"/>
          </w:tcPr>
          <w:p w14:paraId="571F26CA">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4C9DCB19">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48D0719">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.政府采购项目履约保证金退付意见书的格式：</w:t>
      </w:r>
    </w:p>
    <w:p w14:paraId="3FF95EF4">
      <w:pPr>
        <w:ind w:firstLine="480"/>
        <w:jc w:val="center"/>
        <w:rPr>
          <w:rFonts w:ascii="宋体" w:hAnsi="宋体" w:cs="宋体"/>
          <w:color w:val="auto"/>
          <w:sz w:val="32"/>
          <w:szCs w:val="32"/>
          <w:highlight w:val="none"/>
        </w:rPr>
      </w:pPr>
    </w:p>
    <w:p w14:paraId="417C8E04">
      <w:pPr>
        <w:ind w:firstLine="480"/>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5D8FD9E5">
      <w:pPr>
        <w:ind w:firstLine="540"/>
        <w:jc w:val="center"/>
        <w:rPr>
          <w:rFonts w:ascii="宋体" w:hAnsi="宋体" w:cs="宋体"/>
          <w:color w:val="auto"/>
          <w:sz w:val="36"/>
          <w:szCs w:val="36"/>
          <w:highlight w:val="none"/>
        </w:rPr>
      </w:pPr>
    </w:p>
    <w:tbl>
      <w:tblPr>
        <w:tblStyle w:val="28"/>
        <w:tblW w:w="90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996"/>
      </w:tblGrid>
      <w:tr w14:paraId="5691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ign w:val="center"/>
          </w:tcPr>
          <w:p w14:paraId="09A28215">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供</w:t>
            </w:r>
          </w:p>
          <w:p w14:paraId="7D2C1B92">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应</w:t>
            </w:r>
          </w:p>
          <w:p w14:paraId="2EF95070">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商</w:t>
            </w:r>
          </w:p>
          <w:p w14:paraId="39B38390">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申</w:t>
            </w:r>
          </w:p>
          <w:p w14:paraId="1EBA3989">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请</w:t>
            </w:r>
          </w:p>
        </w:tc>
        <w:tc>
          <w:tcPr>
            <w:tcW w:w="7996" w:type="dxa"/>
            <w:noWrap/>
            <w:vAlign w:val="center"/>
          </w:tcPr>
          <w:p w14:paraId="3D580A30">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项目编号：</w:t>
            </w:r>
          </w:p>
        </w:tc>
      </w:tr>
      <w:tr w14:paraId="7945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ign w:val="center"/>
          </w:tcPr>
          <w:p w14:paraId="5A4E3346">
            <w:pPr>
              <w:keepNext w:val="0"/>
              <w:keepLines w:val="0"/>
              <w:suppressLineNumbers w:val="0"/>
              <w:spacing w:before="0" w:beforeAutospacing="0" w:after="0" w:afterAutospacing="0"/>
              <w:ind w:left="0" w:right="0"/>
              <w:rPr>
                <w:rFonts w:ascii="宋体" w:hAnsi="宋体" w:cs="宋体"/>
                <w:color w:val="auto"/>
                <w:sz w:val="24"/>
                <w:highlight w:val="none"/>
              </w:rPr>
            </w:pPr>
          </w:p>
        </w:tc>
        <w:tc>
          <w:tcPr>
            <w:tcW w:w="7996" w:type="dxa"/>
            <w:noWrap/>
            <w:vAlign w:val="center"/>
          </w:tcPr>
          <w:p w14:paraId="539C4E1E">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项目名称：</w:t>
            </w:r>
          </w:p>
        </w:tc>
      </w:tr>
      <w:tr w14:paraId="4AD9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71FFC65D">
            <w:pPr>
              <w:keepNext w:val="0"/>
              <w:keepLines w:val="0"/>
              <w:suppressLineNumbers w:val="0"/>
              <w:spacing w:before="0" w:beforeAutospacing="0" w:after="0" w:afterAutospacing="0"/>
              <w:ind w:left="0" w:right="0"/>
              <w:rPr>
                <w:rFonts w:ascii="宋体" w:hAnsi="宋体" w:cs="宋体"/>
                <w:color w:val="auto"/>
                <w:sz w:val="24"/>
                <w:highlight w:val="none"/>
              </w:rPr>
            </w:pPr>
          </w:p>
        </w:tc>
        <w:tc>
          <w:tcPr>
            <w:tcW w:w="7996" w:type="dxa"/>
            <w:noWrap/>
          </w:tcPr>
          <w:p w14:paraId="7B74934F">
            <w:pPr>
              <w:keepNext w:val="0"/>
              <w:keepLines w:val="0"/>
              <w:suppressLineNumbers w:val="0"/>
              <w:spacing w:before="0" w:beforeAutospacing="0" w:after="0" w:afterAutospacing="0"/>
              <w:ind w:left="0" w:right="0"/>
              <w:rPr>
                <w:rFonts w:ascii="宋体" w:hAnsi="宋体" w:cs="宋体"/>
                <w:color w:val="auto"/>
                <w:sz w:val="24"/>
                <w:highlight w:val="none"/>
              </w:rPr>
            </w:pPr>
          </w:p>
          <w:p w14:paraId="518079B2">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该项目已于年月日验收并交付使用。根据合同规定，该项目的履约保证金期限于年月日已满，请将履约保证金（大写）人民币                              （小写）¥退付到达以下账户。</w:t>
            </w:r>
          </w:p>
          <w:p w14:paraId="305882D4">
            <w:pPr>
              <w:keepNext w:val="0"/>
              <w:keepLines w:val="0"/>
              <w:suppressLineNumbers w:val="0"/>
              <w:spacing w:before="0" w:beforeAutospacing="0" w:after="0" w:afterAutospacing="0" w:line="400" w:lineRule="exact"/>
              <w:ind w:left="0" w:right="0"/>
              <w:rPr>
                <w:rFonts w:ascii="宋体" w:hAnsi="宋体" w:cs="宋体"/>
                <w:color w:val="auto"/>
                <w:sz w:val="24"/>
                <w:highlight w:val="none"/>
              </w:rPr>
            </w:pPr>
          </w:p>
          <w:p w14:paraId="4A37FEF2">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单位名称：</w:t>
            </w:r>
          </w:p>
          <w:p w14:paraId="236BC1F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开户银行：</w:t>
            </w:r>
          </w:p>
          <w:p w14:paraId="6089E01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账   号：</w:t>
            </w:r>
          </w:p>
          <w:p w14:paraId="7B428E1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p>
          <w:p w14:paraId="4948EDC3">
            <w:pPr>
              <w:keepNext w:val="0"/>
              <w:keepLines w:val="0"/>
              <w:suppressLineNumbers w:val="0"/>
              <w:spacing w:before="0" w:beforeAutospacing="0" w:after="0" w:afterAutospacing="0" w:line="400" w:lineRule="exact"/>
              <w:ind w:left="0" w:right="0"/>
              <w:rPr>
                <w:rFonts w:ascii="宋体" w:hAnsi="宋体" w:cs="宋体"/>
                <w:color w:val="auto"/>
                <w:sz w:val="24"/>
                <w:highlight w:val="none"/>
              </w:rPr>
            </w:pPr>
          </w:p>
          <w:p w14:paraId="22BCB4C8">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4464E6DA">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25A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ign w:val="center"/>
          </w:tcPr>
          <w:p w14:paraId="560A40E3">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采</w:t>
            </w:r>
          </w:p>
          <w:p w14:paraId="741AD159">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购</w:t>
            </w:r>
          </w:p>
          <w:p w14:paraId="67D9FD93">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人</w:t>
            </w:r>
          </w:p>
          <w:p w14:paraId="53D9F00B">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意</w:t>
            </w:r>
          </w:p>
          <w:p w14:paraId="63951A5B">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见</w:t>
            </w:r>
          </w:p>
        </w:tc>
        <w:tc>
          <w:tcPr>
            <w:tcW w:w="7996" w:type="dxa"/>
            <w:noWrap/>
          </w:tcPr>
          <w:p w14:paraId="59E9B23C">
            <w:pPr>
              <w:keepNext w:val="0"/>
              <w:keepLines w:val="0"/>
              <w:suppressLineNumbers w:val="0"/>
              <w:spacing w:before="0" w:beforeAutospacing="0" w:after="0" w:afterAutospacing="0"/>
              <w:ind w:left="0" w:right="0"/>
              <w:rPr>
                <w:rFonts w:ascii="宋体" w:hAnsi="宋体" w:cs="宋体"/>
                <w:color w:val="auto"/>
                <w:sz w:val="24"/>
                <w:highlight w:val="none"/>
              </w:rPr>
            </w:pPr>
          </w:p>
          <w:p w14:paraId="75993136">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2303576">
            <w:pPr>
              <w:keepNext w:val="0"/>
              <w:keepLines w:val="0"/>
              <w:suppressLineNumbers w:val="0"/>
              <w:spacing w:before="0" w:beforeAutospacing="0" w:after="0" w:afterAutospacing="0"/>
              <w:ind w:left="0" w:right="0"/>
              <w:rPr>
                <w:rFonts w:ascii="宋体" w:hAnsi="宋体" w:cs="宋体"/>
                <w:color w:val="auto"/>
                <w:sz w:val="24"/>
                <w:highlight w:val="none"/>
              </w:rPr>
            </w:pPr>
          </w:p>
          <w:p w14:paraId="23CAC034">
            <w:pPr>
              <w:keepNext w:val="0"/>
              <w:keepLines w:val="0"/>
              <w:suppressLineNumbers w:val="0"/>
              <w:spacing w:before="0" w:beforeAutospacing="0" w:after="0" w:afterAutospacing="0"/>
              <w:ind w:left="0" w:right="0"/>
              <w:rPr>
                <w:rFonts w:ascii="宋体" w:hAnsi="宋体" w:cs="宋体"/>
                <w:color w:val="auto"/>
                <w:sz w:val="24"/>
                <w:highlight w:val="none"/>
              </w:rPr>
            </w:pPr>
          </w:p>
          <w:p w14:paraId="2CE06C1C">
            <w:pPr>
              <w:keepNext w:val="0"/>
              <w:keepLines w:val="0"/>
              <w:suppressLineNumbers w:val="0"/>
              <w:spacing w:before="0" w:beforeAutospacing="0" w:after="0" w:afterAutospacing="0"/>
              <w:ind w:left="0" w:right="0"/>
              <w:rPr>
                <w:rFonts w:ascii="宋体" w:hAnsi="宋体" w:cs="宋体"/>
                <w:color w:val="auto"/>
                <w:sz w:val="24"/>
                <w:highlight w:val="none"/>
              </w:rPr>
            </w:pPr>
          </w:p>
          <w:p w14:paraId="44581509">
            <w:pPr>
              <w:keepNext w:val="0"/>
              <w:keepLines w:val="0"/>
              <w:suppressLineNumbers w:val="0"/>
              <w:spacing w:before="0" w:beforeAutospacing="0" w:after="0" w:afterAutospacing="0"/>
              <w:ind w:left="0" w:right="0"/>
              <w:rPr>
                <w:rFonts w:ascii="宋体" w:hAnsi="宋体" w:cs="宋体"/>
                <w:color w:val="auto"/>
                <w:sz w:val="24"/>
                <w:highlight w:val="none"/>
              </w:rPr>
            </w:pPr>
          </w:p>
          <w:p w14:paraId="538DF7B8">
            <w:pPr>
              <w:keepNext w:val="0"/>
              <w:keepLines w:val="0"/>
              <w:suppressLineNumbers w:val="0"/>
              <w:spacing w:before="0" w:beforeAutospacing="0" w:after="0" w:afterAutospacing="0" w:line="520" w:lineRule="exact"/>
              <w:ind w:left="0" w:right="0"/>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6BE82ADC">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5F76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ign w:val="center"/>
          </w:tcPr>
          <w:p w14:paraId="2110090A">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备注</w:t>
            </w:r>
          </w:p>
        </w:tc>
        <w:tc>
          <w:tcPr>
            <w:tcW w:w="7996" w:type="dxa"/>
            <w:noWrap/>
          </w:tcPr>
          <w:p w14:paraId="38E42BE0">
            <w:pPr>
              <w:keepNext w:val="0"/>
              <w:keepLines w:val="0"/>
              <w:suppressLineNumbers w:val="0"/>
              <w:spacing w:before="0" w:beforeAutospacing="0" w:after="0" w:afterAutospacing="0"/>
              <w:ind w:left="0" w:right="0"/>
              <w:rPr>
                <w:rFonts w:ascii="宋体" w:hAnsi="宋体" w:cs="宋体"/>
                <w:color w:val="auto"/>
                <w:sz w:val="24"/>
                <w:highlight w:val="none"/>
              </w:rPr>
            </w:pPr>
          </w:p>
        </w:tc>
      </w:tr>
    </w:tbl>
    <w:p w14:paraId="40A3FEE0">
      <w:pPr>
        <w:spacing w:after="120"/>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注：投标人凭经采购人审批的退付意见书到履约保证金收取单位办理履约保证金退付事宜。</w:t>
      </w:r>
    </w:p>
    <w:p w14:paraId="6916E169">
      <w:pPr>
        <w:rPr>
          <w:rFonts w:ascii="宋体" w:hAnsi="宋体" w:cs="宋体"/>
          <w:color w:val="auto"/>
          <w:sz w:val="20"/>
          <w:highlight w:val="none"/>
        </w:rPr>
      </w:pPr>
      <w:r>
        <w:rPr>
          <w:rFonts w:hint="eastAsia" w:ascii="宋体" w:hAnsi="宋体" w:cs="宋体"/>
          <w:color w:val="auto"/>
          <w:szCs w:val="21"/>
          <w:highlight w:val="none"/>
        </w:rPr>
        <w:br w:type="page"/>
      </w:r>
    </w:p>
    <w:p w14:paraId="027A67CA">
      <w:pPr>
        <w:pStyle w:val="14"/>
        <w:tabs>
          <w:tab w:val="left" w:pos="2472"/>
        </w:tabs>
        <w:spacing w:line="460" w:lineRule="exact"/>
        <w:ind w:firstLine="542"/>
        <w:jc w:val="center"/>
        <w:rPr>
          <w:rFonts w:hAnsi="宋体" w:cs="宋体"/>
          <w:b/>
          <w:color w:val="auto"/>
          <w:sz w:val="36"/>
          <w:highlight w:val="none"/>
        </w:rPr>
      </w:pPr>
    </w:p>
    <w:p w14:paraId="47C1BC48">
      <w:pPr>
        <w:pStyle w:val="14"/>
        <w:tabs>
          <w:tab w:val="left" w:pos="2472"/>
        </w:tabs>
        <w:spacing w:line="460" w:lineRule="exact"/>
        <w:ind w:firstLine="542"/>
        <w:jc w:val="center"/>
        <w:outlineLvl w:val="0"/>
        <w:rPr>
          <w:rFonts w:hAnsi="宋体" w:cs="宋体"/>
          <w:color w:val="auto"/>
          <w:highlight w:val="none"/>
        </w:rPr>
      </w:pPr>
      <w:bookmarkStart w:id="286" w:name="_Toc8663"/>
      <w:bookmarkStart w:id="287" w:name="_Toc19823"/>
      <w:bookmarkStart w:id="288" w:name="_Toc30176"/>
      <w:bookmarkStart w:id="289" w:name="_Toc15281"/>
      <w:bookmarkStart w:id="290" w:name="_Toc32603"/>
      <w:r>
        <w:rPr>
          <w:rStyle w:val="96"/>
          <w:rFonts w:hint="eastAsia"/>
          <w:sz w:val="36"/>
          <w:szCs w:val="36"/>
        </w:rPr>
        <w:t>第七章 质疑、投诉材料格</w:t>
      </w:r>
      <w:bookmarkEnd w:id="286"/>
      <w:bookmarkEnd w:id="287"/>
      <w:bookmarkEnd w:id="288"/>
      <w:r>
        <w:rPr>
          <w:rStyle w:val="96"/>
          <w:rFonts w:hint="eastAsia"/>
          <w:sz w:val="36"/>
          <w:szCs w:val="36"/>
        </w:rPr>
        <w:t>式</w:t>
      </w:r>
      <w:bookmarkEnd w:id="289"/>
      <w:bookmarkStart w:id="291" w:name="_Toc18910"/>
      <w:bookmarkStart w:id="292" w:name="_Toc5790"/>
      <w:bookmarkStart w:id="293" w:name="_Toc12534"/>
      <w:bookmarkStart w:id="294" w:name="_Toc19413"/>
      <w:r>
        <w:rPr>
          <w:rStyle w:val="96"/>
          <w:rFonts w:hint="eastAsia"/>
          <w:sz w:val="36"/>
          <w:szCs w:val="36"/>
        </w:rPr>
        <w:br w:type="page"/>
      </w:r>
      <w:r>
        <w:rPr>
          <w:rFonts w:hint="eastAsia" w:hAnsi="宋体" w:cs="宋体"/>
          <w:color w:val="auto"/>
          <w:sz w:val="32"/>
          <w:szCs w:val="32"/>
          <w:highlight w:val="none"/>
        </w:rPr>
        <w:t>第一节 质疑函（格式）</w:t>
      </w:r>
      <w:bookmarkEnd w:id="290"/>
      <w:bookmarkEnd w:id="291"/>
      <w:bookmarkEnd w:id="292"/>
      <w:bookmarkEnd w:id="293"/>
      <w:bookmarkEnd w:id="294"/>
    </w:p>
    <w:p w14:paraId="7A46D1FB">
      <w:pPr>
        <w:ind w:firstLine="452"/>
        <w:jc w:val="center"/>
        <w:rPr>
          <w:rFonts w:ascii="宋体" w:hAnsi="宋体" w:cs="宋体"/>
          <w:b/>
          <w:bCs/>
          <w:color w:val="auto"/>
          <w:sz w:val="44"/>
          <w:szCs w:val="44"/>
          <w:highlight w:val="none"/>
        </w:rPr>
      </w:pPr>
      <w:r>
        <w:rPr>
          <w:rFonts w:hint="eastAsia" w:ascii="宋体" w:hAnsi="宋体" w:cs="宋体"/>
          <w:b/>
          <w:bCs/>
          <w:color w:val="auto"/>
          <w:sz w:val="30"/>
          <w:szCs w:val="30"/>
          <w:highlight w:val="none"/>
        </w:rPr>
        <w:t>质疑函</w:t>
      </w:r>
    </w:p>
    <w:p w14:paraId="643A6AE3">
      <w:pPr>
        <w:adjustRightInd w:val="0"/>
        <w:snapToGrid w:val="0"/>
        <w:spacing w:beforeLines="100"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3AAC163">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质疑供应商：</w:t>
      </w:r>
    </w:p>
    <w:p w14:paraId="12D4EBA0">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地址：    邮编：</w:t>
      </w:r>
    </w:p>
    <w:p w14:paraId="1AC5053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联系人：联系电话：</w:t>
      </w:r>
    </w:p>
    <w:p w14:paraId="6D21790F">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授权代表：</w:t>
      </w:r>
    </w:p>
    <w:p w14:paraId="54E3BF1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联系电话：</w:t>
      </w:r>
    </w:p>
    <w:p w14:paraId="32F1A682">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地址：     邮编：</w:t>
      </w:r>
    </w:p>
    <w:p w14:paraId="0D49A3E8">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09AB78F">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质疑项目的名称：</w:t>
      </w:r>
    </w:p>
    <w:p w14:paraId="60A79312">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质疑项目的编号：      包号：</w:t>
      </w:r>
    </w:p>
    <w:p w14:paraId="671EEE70">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采购人名称：</w:t>
      </w:r>
      <w:bookmarkStart w:id="295" w:name="PO_3000001867_PM026_5"/>
      <w:bookmarkEnd w:id="295"/>
    </w:p>
    <w:p w14:paraId="0EA189B1">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14:paraId="7EB28FF0">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p>
    <w:p w14:paraId="68623E74">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455F427D">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45A194E7">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E7A1747">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质疑事项1：</w:t>
      </w:r>
    </w:p>
    <w:p w14:paraId="1D6A5600">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事实依据：</w:t>
      </w:r>
    </w:p>
    <w:p w14:paraId="5BA153F0">
      <w:pPr>
        <w:adjustRightInd w:val="0"/>
        <w:snapToGrid w:val="0"/>
        <w:spacing w:line="360" w:lineRule="auto"/>
        <w:ind w:firstLine="360"/>
        <w:rPr>
          <w:rFonts w:ascii="宋体" w:hAnsi="宋体" w:cs="宋体"/>
          <w:color w:val="auto"/>
          <w:sz w:val="24"/>
          <w:highlight w:val="none"/>
        </w:rPr>
      </w:pPr>
    </w:p>
    <w:p w14:paraId="6CA286B5">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法律依据：</w:t>
      </w:r>
    </w:p>
    <w:p w14:paraId="1EF35F5E">
      <w:pPr>
        <w:adjustRightInd w:val="0"/>
        <w:snapToGrid w:val="0"/>
        <w:spacing w:line="360" w:lineRule="auto"/>
        <w:ind w:firstLine="360"/>
        <w:rPr>
          <w:rFonts w:ascii="宋体" w:hAnsi="宋体" w:cs="宋体"/>
          <w:color w:val="auto"/>
          <w:sz w:val="24"/>
          <w:highlight w:val="none"/>
          <w:u w:val="dotted"/>
        </w:rPr>
      </w:pPr>
    </w:p>
    <w:p w14:paraId="3EDAF16D">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质疑事项2</w:t>
      </w:r>
    </w:p>
    <w:p w14:paraId="26744D9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w:t>
      </w:r>
    </w:p>
    <w:p w14:paraId="09AAC00C">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FC6E0E9">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请求：</w:t>
      </w:r>
    </w:p>
    <w:p w14:paraId="729F22EF">
      <w:pPr>
        <w:ind w:firstLine="360"/>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77249BA">
      <w:pPr>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日期：    </w:t>
      </w:r>
    </w:p>
    <w:p w14:paraId="1BFDD9C8">
      <w:pPr>
        <w:ind w:firstLine="361"/>
        <w:rPr>
          <w:rFonts w:ascii="宋体" w:hAnsi="宋体" w:cs="宋体"/>
          <w:b/>
          <w:color w:val="auto"/>
          <w:sz w:val="24"/>
          <w:highlight w:val="none"/>
        </w:rPr>
      </w:pPr>
    </w:p>
    <w:p w14:paraId="415855ED">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t>质疑函制作说明：</w:t>
      </w:r>
    </w:p>
    <w:p w14:paraId="7C8FFC6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6020B26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24C511B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138420B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44E32F0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292884C5">
      <w:pPr>
        <w:widowControl/>
        <w:spacing w:line="360" w:lineRule="auto"/>
        <w:ind w:firstLine="420" w:firstLineChars="200"/>
        <w:jc w:val="left"/>
        <w:rPr>
          <w:rFonts w:ascii="宋体" w:hAnsi="宋体" w:cs="宋体"/>
          <w:color w:val="auto"/>
          <w:sz w:val="28"/>
          <w:szCs w:val="28"/>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AA2776B">
      <w:pPr>
        <w:pStyle w:val="17"/>
        <w:ind w:firstLine="270"/>
        <w:rPr>
          <w:rFonts w:ascii="宋体" w:hAnsi="宋体" w:cs="宋体"/>
          <w:color w:val="auto"/>
          <w:highlight w:val="none"/>
        </w:rPr>
      </w:pPr>
      <w:bookmarkStart w:id="296" w:name="_Toc31115"/>
      <w:bookmarkStart w:id="297" w:name="_Toc11085"/>
    </w:p>
    <w:p w14:paraId="3F0FFE74">
      <w:pPr>
        <w:pStyle w:val="17"/>
        <w:ind w:firstLine="270"/>
        <w:rPr>
          <w:rFonts w:ascii="宋体" w:hAnsi="宋体" w:cs="宋体"/>
          <w:color w:val="auto"/>
          <w:highlight w:val="none"/>
        </w:rPr>
      </w:pPr>
      <w:r>
        <w:rPr>
          <w:rFonts w:hint="eastAsia" w:ascii="宋体" w:hAnsi="宋体" w:cs="宋体"/>
          <w:color w:val="auto"/>
          <w:highlight w:val="none"/>
        </w:rPr>
        <w:br w:type="page"/>
      </w:r>
    </w:p>
    <w:p w14:paraId="017F1BBF">
      <w:pPr>
        <w:pStyle w:val="3"/>
        <w:ind w:firstLine="480"/>
        <w:jc w:val="center"/>
        <w:rPr>
          <w:rFonts w:ascii="宋体" w:hAnsi="宋体" w:eastAsia="宋体" w:cs="宋体"/>
          <w:b w:val="0"/>
          <w:bCs w:val="0"/>
          <w:color w:val="auto"/>
          <w:highlight w:val="none"/>
        </w:rPr>
      </w:pPr>
      <w:bookmarkStart w:id="298" w:name="_Toc11120"/>
      <w:bookmarkStart w:id="299" w:name="_Toc22163"/>
      <w:r>
        <w:rPr>
          <w:rFonts w:hint="eastAsia" w:ascii="宋体" w:hAnsi="宋体" w:eastAsia="宋体" w:cs="宋体"/>
          <w:b w:val="0"/>
          <w:bCs w:val="0"/>
          <w:color w:val="auto"/>
          <w:highlight w:val="none"/>
        </w:rPr>
        <w:t>第二节 投诉书（格式）</w:t>
      </w:r>
      <w:bookmarkEnd w:id="296"/>
      <w:bookmarkEnd w:id="297"/>
      <w:bookmarkEnd w:id="298"/>
      <w:bookmarkEnd w:id="299"/>
    </w:p>
    <w:p w14:paraId="67F202D7">
      <w:pPr>
        <w:ind w:firstLine="452"/>
        <w:jc w:val="center"/>
        <w:rPr>
          <w:rFonts w:ascii="宋体" w:hAnsi="宋体" w:cs="宋体"/>
          <w:b/>
          <w:color w:val="auto"/>
          <w:sz w:val="44"/>
          <w:szCs w:val="44"/>
          <w:highlight w:val="none"/>
        </w:rPr>
      </w:pPr>
      <w:r>
        <w:rPr>
          <w:rFonts w:hint="eastAsia" w:ascii="宋体" w:hAnsi="宋体" w:cs="宋体"/>
          <w:b/>
          <w:color w:val="auto"/>
          <w:sz w:val="30"/>
          <w:szCs w:val="30"/>
          <w:highlight w:val="none"/>
        </w:rPr>
        <w:t>投诉书</w:t>
      </w:r>
    </w:p>
    <w:p w14:paraId="40199686">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4D1D23E">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投诉人：</w:t>
      </w:r>
    </w:p>
    <w:p w14:paraId="0E3D7080">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    邮编：</w:t>
      </w:r>
    </w:p>
    <w:p w14:paraId="21358F46">
      <w:pPr>
        <w:tabs>
          <w:tab w:val="left" w:pos="6510"/>
        </w:tabs>
        <w:spacing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79214A29">
      <w:pPr>
        <w:tabs>
          <w:tab w:val="left" w:pos="6510"/>
        </w:tabs>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联系电话：</w:t>
      </w:r>
    </w:p>
    <w:p w14:paraId="14D6A03C">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授权代表：联系电话：</w:t>
      </w:r>
    </w:p>
    <w:p w14:paraId="4914EF40">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地     址：    邮编：</w:t>
      </w:r>
    </w:p>
    <w:p w14:paraId="4770852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被投诉人1：</w:t>
      </w:r>
    </w:p>
    <w:p w14:paraId="3F4B807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    邮编：</w:t>
      </w:r>
    </w:p>
    <w:p w14:paraId="21A6275B">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43ACA683">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被投诉人2</w:t>
      </w:r>
    </w:p>
    <w:p w14:paraId="4829D121">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w:t>
      </w:r>
    </w:p>
    <w:p w14:paraId="3E14E33D">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相关供应商：</w:t>
      </w:r>
    </w:p>
    <w:p w14:paraId="5C6B496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址：邮编：</w:t>
      </w:r>
    </w:p>
    <w:p w14:paraId="35AEFB1A">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0F238E0A">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二、投诉项目基本情况</w:t>
      </w:r>
    </w:p>
    <w:p w14:paraId="1F4F5B6E">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采购项目名称：</w:t>
      </w:r>
      <w:bookmarkStart w:id="300" w:name="PO_3000001867_PM002_12"/>
      <w:bookmarkEnd w:id="300"/>
    </w:p>
    <w:p w14:paraId="74F21B4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采购项目编号：</w:t>
      </w:r>
      <w:bookmarkStart w:id="301" w:name="PO_3000001867_PM001_9"/>
      <w:bookmarkEnd w:id="301"/>
      <w:r>
        <w:rPr>
          <w:rFonts w:hint="eastAsia" w:ascii="宋体" w:hAnsi="宋体" w:cs="宋体"/>
          <w:color w:val="auto"/>
          <w:sz w:val="24"/>
          <w:highlight w:val="none"/>
        </w:rPr>
        <w:t>包号：</w:t>
      </w:r>
    </w:p>
    <w:p w14:paraId="07015938">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采购人名称：</w:t>
      </w:r>
      <w:bookmarkStart w:id="302" w:name="PO_3000001867_PM026_6"/>
      <w:bookmarkEnd w:id="302"/>
    </w:p>
    <w:p w14:paraId="68AD268C">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315F174A">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42C9198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0A2606B8">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三、质疑基本情况</w:t>
      </w:r>
    </w:p>
    <w:p w14:paraId="2D3874D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    年    月    日,向        提出质疑，质疑事项为：</w:t>
      </w:r>
    </w:p>
    <w:p w14:paraId="35D703D9">
      <w:pPr>
        <w:spacing w:line="360" w:lineRule="auto"/>
        <w:ind w:firstLine="360"/>
        <w:rPr>
          <w:rFonts w:ascii="宋体" w:hAnsi="宋体" w:cs="宋体"/>
          <w:color w:val="auto"/>
          <w:sz w:val="24"/>
          <w:highlight w:val="none"/>
          <w:u w:val="dotted"/>
        </w:rPr>
      </w:pPr>
    </w:p>
    <w:p w14:paraId="266608A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   年  月  日,就质疑事项作出了答复/没有在法定期限内作出答复。</w:t>
      </w:r>
    </w:p>
    <w:p w14:paraId="2FD3C24B">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四、投诉事项具体内容</w:t>
      </w:r>
    </w:p>
    <w:p w14:paraId="74E4460D">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投诉事项 1：</w:t>
      </w:r>
    </w:p>
    <w:p w14:paraId="4A95ECD1">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事实依据：</w:t>
      </w:r>
    </w:p>
    <w:p w14:paraId="431AD753">
      <w:pPr>
        <w:spacing w:line="360" w:lineRule="auto"/>
        <w:ind w:firstLine="360"/>
        <w:rPr>
          <w:rFonts w:ascii="宋体" w:hAnsi="宋体" w:cs="宋体"/>
          <w:color w:val="auto"/>
          <w:sz w:val="24"/>
          <w:highlight w:val="none"/>
          <w:u w:val="dotted"/>
        </w:rPr>
      </w:pPr>
    </w:p>
    <w:p w14:paraId="2A92065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法律依据：</w:t>
      </w:r>
    </w:p>
    <w:p w14:paraId="2A63310A">
      <w:pPr>
        <w:spacing w:line="360" w:lineRule="auto"/>
        <w:ind w:firstLine="360"/>
        <w:rPr>
          <w:rFonts w:ascii="宋体" w:hAnsi="宋体" w:cs="宋体"/>
          <w:color w:val="auto"/>
          <w:sz w:val="24"/>
          <w:highlight w:val="none"/>
          <w:u w:val="dotted"/>
        </w:rPr>
      </w:pPr>
    </w:p>
    <w:p w14:paraId="6DB76991">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投诉事项2</w:t>
      </w:r>
    </w:p>
    <w:p w14:paraId="20D0BA56">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w:t>
      </w:r>
    </w:p>
    <w:p w14:paraId="44D016DA">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BD6E490">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请求：</w:t>
      </w:r>
    </w:p>
    <w:p w14:paraId="5342764B">
      <w:pPr>
        <w:spacing w:line="360" w:lineRule="auto"/>
        <w:ind w:firstLine="360"/>
        <w:rPr>
          <w:rFonts w:ascii="宋体" w:hAnsi="宋体" w:cs="宋体"/>
          <w:color w:val="auto"/>
          <w:sz w:val="24"/>
          <w:highlight w:val="none"/>
          <w:u w:val="single"/>
        </w:rPr>
      </w:pPr>
    </w:p>
    <w:p w14:paraId="57B8F95C">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1346E1C">
      <w:pPr>
        <w:spacing w:line="360" w:lineRule="auto"/>
        <w:ind w:firstLine="6960" w:firstLineChars="2900"/>
        <w:rPr>
          <w:rFonts w:ascii="宋体" w:hAnsi="宋体" w:cs="宋体"/>
          <w:color w:val="auto"/>
          <w:sz w:val="24"/>
          <w:highlight w:val="none"/>
        </w:rPr>
      </w:pPr>
      <w:r>
        <w:rPr>
          <w:rFonts w:hint="eastAsia" w:ascii="宋体" w:hAnsi="宋体" w:cs="宋体"/>
          <w:color w:val="auto"/>
          <w:sz w:val="24"/>
          <w:highlight w:val="none"/>
        </w:rPr>
        <w:t xml:space="preserve">日期：    </w:t>
      </w:r>
    </w:p>
    <w:p w14:paraId="72498AF9">
      <w:pPr>
        <w:spacing w:line="360" w:lineRule="auto"/>
        <w:ind w:firstLine="361"/>
        <w:rPr>
          <w:rFonts w:ascii="宋体" w:hAnsi="宋体" w:cs="宋体"/>
          <w:b/>
          <w:color w:val="auto"/>
          <w:sz w:val="24"/>
          <w:highlight w:val="none"/>
        </w:rPr>
      </w:pPr>
    </w:p>
    <w:p w14:paraId="6624F2A2">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t>投诉书制作说明：</w:t>
      </w:r>
    </w:p>
    <w:p w14:paraId="0400C24A">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430295E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69AF587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292F3C7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60E86A8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45F312D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366F9CD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39D297DC">
      <w:pPr>
        <w:widowControl/>
        <w:spacing w:line="360" w:lineRule="auto"/>
        <w:ind w:firstLine="420" w:firstLineChars="200"/>
        <w:jc w:val="left"/>
        <w:rPr>
          <w:rFonts w:hint="eastAsia" w:ascii="宋体" w:hAnsi="宋体" w:cs="宋体"/>
          <w:color w:val="auto"/>
          <w:szCs w:val="21"/>
          <w:highlight w:val="none"/>
        </w:rPr>
      </w:pPr>
    </w:p>
    <w:p w14:paraId="05E1FF74">
      <w:pPr>
        <w:widowControl/>
        <w:spacing w:line="360" w:lineRule="auto"/>
        <w:ind w:firstLine="0" w:firstLineChars="0"/>
        <w:jc w:val="left"/>
        <w:rPr>
          <w:rFonts w:hint="eastAsia" w:ascii="微软雅黑" w:hAnsi="微软雅黑" w:eastAsia="微软雅黑" w:cs="微软雅黑"/>
          <w:i w:val="0"/>
          <w:iCs w:val="0"/>
          <w:caps w:val="0"/>
          <w:color w:val="auto"/>
          <w:spacing w:val="0"/>
          <w:sz w:val="21"/>
          <w:szCs w:val="21"/>
          <w:highlight w:val="none"/>
          <w:shd w:val="clear" w:fill="FFFFFF"/>
        </w:rPr>
      </w:pPr>
    </w:p>
    <w:sectPr>
      <w:footerReference r:id="rId6" w:type="default"/>
      <w:pgSz w:w="11905" w:h="16838"/>
      <w:pgMar w:top="1417" w:right="1417" w:bottom="1417" w:left="1417" w:header="850" w:footer="850"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0A1902-71DA-40DD-9F4E-446F77A70579}"/>
  </w:font>
  <w:font w:name="黑体">
    <w:panose1 w:val="02010609060101010101"/>
    <w:charset w:val="86"/>
    <w:family w:val="auto"/>
    <w:pitch w:val="default"/>
    <w:sig w:usb0="800002BF" w:usb1="38CF7CFA" w:usb2="00000016" w:usb3="00000000" w:csb0="00040001" w:csb1="00000000"/>
    <w:embedRegular r:id="rId2" w:fontKey="{7D388E8B-9A84-49E2-BC99-CC80F7BCE3F6}"/>
  </w:font>
  <w:font w:name="Courier New">
    <w:panose1 w:val="02070309020205020404"/>
    <w:charset w:val="01"/>
    <w:family w:val="modern"/>
    <w:pitch w:val="default"/>
    <w:sig w:usb0="E0002EFF" w:usb1="C0007843" w:usb2="00000009" w:usb3="00000000" w:csb0="400001FF" w:csb1="FFFF0000"/>
    <w:embedRegular r:id="rId3" w:fontKey="{536E4499-6E43-41E4-A6D8-2205C36ECBD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方正公文小标宋"/>
    <w:panose1 w:val="00000000000000000000"/>
    <w:charset w:val="00"/>
    <w:family w:val="roman"/>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AC30C6BD-6704-47E5-A6F3-C48553DDFF0D}"/>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5" w:fontKey="{8AEDFD3E-2376-4AA5-978B-894FDFB01870}"/>
  </w:font>
  <w:font w:name="Perpetua">
    <w:altName w:val="PMingLiU-ExtB"/>
    <w:panose1 w:val="02020502060401020303"/>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6" w:fontKey="{A6F6DB76-B506-4259-AAD3-2DA8ACE066ED}"/>
  </w:font>
  <w:font w:name="Wingdings 2">
    <w:panose1 w:val="05020102010507070707"/>
    <w:charset w:val="02"/>
    <w:family w:val="auto"/>
    <w:pitch w:val="default"/>
    <w:sig w:usb0="00000000" w:usb1="00000000" w:usb2="00000000" w:usb3="00000000" w:csb0="80000000" w:csb1="00000000"/>
    <w:embedRegular r:id="rId7" w:fontKey="{90869C1C-CEFE-4A75-B10A-21654264CEA6}"/>
  </w:font>
  <w:font w:name="WPSEMBED4">
    <w:panose1 w:val="05020102010507070707"/>
    <w:charset w:val="00"/>
    <w:family w:val="auto"/>
    <w:pitch w:val="default"/>
    <w:sig w:usb0="00000000" w:usb1="00000000" w:usb2="00000000" w:usb3="00000000" w:csb0="80000000" w:csb1="00000000"/>
  </w:font>
  <w:font w:name="方正公文小标宋">
    <w:panose1 w:val="02000500000000000000"/>
    <w:charset w:val="86"/>
    <w:family w:val="auto"/>
    <w:pitch w:val="default"/>
    <w:sig w:usb0="A00002BF" w:usb1="38CF7CFA" w:usb2="00000016" w:usb3="00000000" w:csb0="00040001" w:csb1="00000000"/>
  </w:font>
  <w:font w:name="WPSEMBED3">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FCC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00B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C00BA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C89C">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74112B">
                          <w:pPr>
                            <w:pStyle w:val="17"/>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rytDxgEAAJwDAAAOAAAAAAAAAAEAIAAAAB4BAABkcnMvZTJvRG9jLnht&#10;bFBLBQYAAAAABgAGAFkBAABWBQAAAAA=&#10;">
              <v:fill on="f" focussize="0,0"/>
              <v:stroke on="f"/>
              <v:imagedata o:title=""/>
              <o:lock v:ext="edit" aspectratio="f"/>
              <v:textbox inset="0mm,0mm,0mm,0mm" style="mso-fit-shape-to-text:t;">
                <w:txbxContent>
                  <w:p w14:paraId="3074112B">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9EBC">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D8F48">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D8F48">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553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B5536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1B46">
    <w:pPr>
      <w:pStyle w:val="17"/>
      <w:ind w:firstLine="27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941276">
                          <w:pPr>
                            <w:pStyle w:val="17"/>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y0EMcBAACc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ijMrDD345fu3y49fl59f2fJ1&#10;0qf3WFHZg6fCONy5gbZmjiMFE+2hDSZ9iRCjPKl7vqoLQ2QyXVqv1uuSUpJys0P4xeN1HzC+BWdY&#10;Mmoe6PmyquL0HuNYOpekbtbdK63zE2r7V4AwxwjkHZhuJybjxMmKw36Y6O1dcyZ2Pe1BzS2tPWf6&#10;nSWZ08rMRpiN/WSkjuhvj5HGyNMl1BGKWCWHHi3zmxYsbcWffq56/K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Ay0EMcBAACcAwAADgAAAAAAAAABACAAAAAeAQAAZHJzL2Uyb0RvYy54&#10;bWxQSwUGAAAAAAYABgBZAQAAVwUAAAAA&#10;">
              <v:fill on="f" focussize="0,0"/>
              <v:stroke on="f"/>
              <v:imagedata o:title=""/>
              <o:lock v:ext="edit" aspectratio="f"/>
              <v:textbox inset="0mm,0mm,0mm,0mm" style="mso-fit-shape-to-text:t;">
                <w:txbxContent>
                  <w:p w14:paraId="58941276">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AD329"/>
    <w:multiLevelType w:val="singleLevel"/>
    <w:tmpl w:val="B00AD329"/>
    <w:lvl w:ilvl="0" w:tentative="0">
      <w:start w:val="1"/>
      <w:numFmt w:val="decimal"/>
      <w:suff w:val="nothing"/>
      <w:lvlText w:val="%1）"/>
      <w:lvlJc w:val="left"/>
    </w:lvl>
  </w:abstractNum>
  <w:abstractNum w:abstractNumId="1">
    <w:nsid w:val="BE88B5EC"/>
    <w:multiLevelType w:val="singleLevel"/>
    <w:tmpl w:val="BE88B5EC"/>
    <w:lvl w:ilvl="0" w:tentative="0">
      <w:start w:val="3"/>
      <w:numFmt w:val="chineseCounting"/>
      <w:suff w:val="space"/>
      <w:lvlText w:val="第%1节"/>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6C5B6E05"/>
    <w:multiLevelType w:val="singleLevel"/>
    <w:tmpl w:val="6C5B6E05"/>
    <w:lvl w:ilvl="0" w:tentative="0">
      <w:start w:val="3"/>
      <w:numFmt w:val="decimal"/>
      <w:suff w:val="nothing"/>
      <w:lvlText w:val="%1）"/>
      <w:lvlJc w:val="left"/>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GU1ZTI2MmFhYjllM2NkMmUwOTA3Y2ViMWFhMDEifQ=="/>
    <w:docVar w:name="KSO_WPS_MARK_KEY" w:val="cc415a39-06a3-4dc9-aacc-f90bba6054fc"/>
  </w:docVars>
  <w:rsids>
    <w:rsidRoot w:val="00092860"/>
    <w:rsid w:val="00005EFD"/>
    <w:rsid w:val="00010BF3"/>
    <w:rsid w:val="00040261"/>
    <w:rsid w:val="00040F92"/>
    <w:rsid w:val="000433C1"/>
    <w:rsid w:val="00043F31"/>
    <w:rsid w:val="00047C64"/>
    <w:rsid w:val="0005490F"/>
    <w:rsid w:val="0006056C"/>
    <w:rsid w:val="0006204B"/>
    <w:rsid w:val="00073D4E"/>
    <w:rsid w:val="00092860"/>
    <w:rsid w:val="000B5BCA"/>
    <w:rsid w:val="000B701C"/>
    <w:rsid w:val="000B7547"/>
    <w:rsid w:val="000C1984"/>
    <w:rsid w:val="000C39D5"/>
    <w:rsid w:val="000E6FB9"/>
    <w:rsid w:val="001166DB"/>
    <w:rsid w:val="00116758"/>
    <w:rsid w:val="001256A7"/>
    <w:rsid w:val="001320E9"/>
    <w:rsid w:val="001328D2"/>
    <w:rsid w:val="00144379"/>
    <w:rsid w:val="00146066"/>
    <w:rsid w:val="00160495"/>
    <w:rsid w:val="00166007"/>
    <w:rsid w:val="00192E98"/>
    <w:rsid w:val="001949E5"/>
    <w:rsid w:val="001975A0"/>
    <w:rsid w:val="001A181B"/>
    <w:rsid w:val="001B61CD"/>
    <w:rsid w:val="001C0C05"/>
    <w:rsid w:val="001E11C8"/>
    <w:rsid w:val="00206CEE"/>
    <w:rsid w:val="002208DF"/>
    <w:rsid w:val="002235CA"/>
    <w:rsid w:val="0022459A"/>
    <w:rsid w:val="002346FE"/>
    <w:rsid w:val="002567D5"/>
    <w:rsid w:val="0026013C"/>
    <w:rsid w:val="002615F8"/>
    <w:rsid w:val="0026408B"/>
    <w:rsid w:val="00273835"/>
    <w:rsid w:val="00275094"/>
    <w:rsid w:val="002A0A42"/>
    <w:rsid w:val="002D06FD"/>
    <w:rsid w:val="002D51E2"/>
    <w:rsid w:val="002E1317"/>
    <w:rsid w:val="002E1352"/>
    <w:rsid w:val="002E5D76"/>
    <w:rsid w:val="002E5E75"/>
    <w:rsid w:val="002F7FBA"/>
    <w:rsid w:val="003133C7"/>
    <w:rsid w:val="00323940"/>
    <w:rsid w:val="00332988"/>
    <w:rsid w:val="00334D42"/>
    <w:rsid w:val="00343249"/>
    <w:rsid w:val="003438A9"/>
    <w:rsid w:val="00352BD7"/>
    <w:rsid w:val="00362A7A"/>
    <w:rsid w:val="00383848"/>
    <w:rsid w:val="003A33A9"/>
    <w:rsid w:val="003B0490"/>
    <w:rsid w:val="003B3F39"/>
    <w:rsid w:val="003D2DC5"/>
    <w:rsid w:val="003F2D8B"/>
    <w:rsid w:val="003F6450"/>
    <w:rsid w:val="00404521"/>
    <w:rsid w:val="00404A75"/>
    <w:rsid w:val="0041040E"/>
    <w:rsid w:val="00410CC3"/>
    <w:rsid w:val="00410D76"/>
    <w:rsid w:val="00413E2E"/>
    <w:rsid w:val="004230D0"/>
    <w:rsid w:val="00425E61"/>
    <w:rsid w:val="0043145C"/>
    <w:rsid w:val="004322CC"/>
    <w:rsid w:val="004341BF"/>
    <w:rsid w:val="00451EC7"/>
    <w:rsid w:val="00457796"/>
    <w:rsid w:val="0047417A"/>
    <w:rsid w:val="004766C4"/>
    <w:rsid w:val="00490327"/>
    <w:rsid w:val="00490D6E"/>
    <w:rsid w:val="00492DB5"/>
    <w:rsid w:val="00497589"/>
    <w:rsid w:val="004A4DAC"/>
    <w:rsid w:val="004B7F40"/>
    <w:rsid w:val="004C57B1"/>
    <w:rsid w:val="004D2DE8"/>
    <w:rsid w:val="004D349F"/>
    <w:rsid w:val="004D7C80"/>
    <w:rsid w:val="004E0BEA"/>
    <w:rsid w:val="004E4CAE"/>
    <w:rsid w:val="004F0BE8"/>
    <w:rsid w:val="00501AF1"/>
    <w:rsid w:val="00506186"/>
    <w:rsid w:val="00521698"/>
    <w:rsid w:val="00537C28"/>
    <w:rsid w:val="00541035"/>
    <w:rsid w:val="005425F1"/>
    <w:rsid w:val="0057493F"/>
    <w:rsid w:val="00577B6C"/>
    <w:rsid w:val="005B44CD"/>
    <w:rsid w:val="005C1A10"/>
    <w:rsid w:val="005C5EDB"/>
    <w:rsid w:val="005D39C3"/>
    <w:rsid w:val="005D4278"/>
    <w:rsid w:val="005E055C"/>
    <w:rsid w:val="005E19AB"/>
    <w:rsid w:val="005E2083"/>
    <w:rsid w:val="005F097E"/>
    <w:rsid w:val="005F2507"/>
    <w:rsid w:val="005F3021"/>
    <w:rsid w:val="005F3916"/>
    <w:rsid w:val="00604B77"/>
    <w:rsid w:val="0062026B"/>
    <w:rsid w:val="00621A42"/>
    <w:rsid w:val="00640E1C"/>
    <w:rsid w:val="00642E60"/>
    <w:rsid w:val="006469AF"/>
    <w:rsid w:val="00657C4E"/>
    <w:rsid w:val="00671656"/>
    <w:rsid w:val="006746F4"/>
    <w:rsid w:val="00682DF8"/>
    <w:rsid w:val="00684132"/>
    <w:rsid w:val="00690C83"/>
    <w:rsid w:val="0069357D"/>
    <w:rsid w:val="006944A6"/>
    <w:rsid w:val="006A2183"/>
    <w:rsid w:val="006A243D"/>
    <w:rsid w:val="006A7F25"/>
    <w:rsid w:val="006B14A1"/>
    <w:rsid w:val="006C299A"/>
    <w:rsid w:val="006C30EA"/>
    <w:rsid w:val="006D1017"/>
    <w:rsid w:val="006D1A81"/>
    <w:rsid w:val="006D315D"/>
    <w:rsid w:val="006D3425"/>
    <w:rsid w:val="006E208F"/>
    <w:rsid w:val="006F4B7F"/>
    <w:rsid w:val="006F5C1E"/>
    <w:rsid w:val="006F674C"/>
    <w:rsid w:val="006F7BDE"/>
    <w:rsid w:val="00704EE0"/>
    <w:rsid w:val="0070732A"/>
    <w:rsid w:val="00714F4A"/>
    <w:rsid w:val="007259C4"/>
    <w:rsid w:val="00731D95"/>
    <w:rsid w:val="00736635"/>
    <w:rsid w:val="0074115E"/>
    <w:rsid w:val="00745B91"/>
    <w:rsid w:val="00746AAA"/>
    <w:rsid w:val="007A5708"/>
    <w:rsid w:val="007B3E60"/>
    <w:rsid w:val="007C1F83"/>
    <w:rsid w:val="007C7266"/>
    <w:rsid w:val="007D02E4"/>
    <w:rsid w:val="007D33CA"/>
    <w:rsid w:val="007E170F"/>
    <w:rsid w:val="007E5F9C"/>
    <w:rsid w:val="007F455A"/>
    <w:rsid w:val="00800818"/>
    <w:rsid w:val="00813797"/>
    <w:rsid w:val="00857746"/>
    <w:rsid w:val="00866160"/>
    <w:rsid w:val="00866A3A"/>
    <w:rsid w:val="00872E05"/>
    <w:rsid w:val="00886F11"/>
    <w:rsid w:val="00891BE8"/>
    <w:rsid w:val="00891D19"/>
    <w:rsid w:val="00897E52"/>
    <w:rsid w:val="008A06A8"/>
    <w:rsid w:val="008A1868"/>
    <w:rsid w:val="008A7DA6"/>
    <w:rsid w:val="008B62D3"/>
    <w:rsid w:val="008D09DB"/>
    <w:rsid w:val="008D6905"/>
    <w:rsid w:val="008F08F7"/>
    <w:rsid w:val="009067C1"/>
    <w:rsid w:val="00924691"/>
    <w:rsid w:val="00927301"/>
    <w:rsid w:val="00932E35"/>
    <w:rsid w:val="009354A9"/>
    <w:rsid w:val="009370C0"/>
    <w:rsid w:val="00944E5A"/>
    <w:rsid w:val="0094544D"/>
    <w:rsid w:val="00954A17"/>
    <w:rsid w:val="00964401"/>
    <w:rsid w:val="00974C77"/>
    <w:rsid w:val="0099095F"/>
    <w:rsid w:val="00991794"/>
    <w:rsid w:val="00993EAC"/>
    <w:rsid w:val="009A0D3C"/>
    <w:rsid w:val="009A241A"/>
    <w:rsid w:val="009C1A32"/>
    <w:rsid w:val="009C643F"/>
    <w:rsid w:val="009D331B"/>
    <w:rsid w:val="009E1B7A"/>
    <w:rsid w:val="009E5340"/>
    <w:rsid w:val="00A10BE4"/>
    <w:rsid w:val="00A3709A"/>
    <w:rsid w:val="00A4717F"/>
    <w:rsid w:val="00A543B2"/>
    <w:rsid w:val="00A549DD"/>
    <w:rsid w:val="00A65789"/>
    <w:rsid w:val="00A72626"/>
    <w:rsid w:val="00A907CB"/>
    <w:rsid w:val="00A93131"/>
    <w:rsid w:val="00AA2AE0"/>
    <w:rsid w:val="00AA3904"/>
    <w:rsid w:val="00AB3CBD"/>
    <w:rsid w:val="00AB65BD"/>
    <w:rsid w:val="00AD425F"/>
    <w:rsid w:val="00AF00B1"/>
    <w:rsid w:val="00B144E7"/>
    <w:rsid w:val="00B20EA5"/>
    <w:rsid w:val="00B23A9C"/>
    <w:rsid w:val="00B243DA"/>
    <w:rsid w:val="00B27F7B"/>
    <w:rsid w:val="00B30ABD"/>
    <w:rsid w:val="00B320CD"/>
    <w:rsid w:val="00B5550B"/>
    <w:rsid w:val="00B567E9"/>
    <w:rsid w:val="00B75770"/>
    <w:rsid w:val="00B96B17"/>
    <w:rsid w:val="00BA110F"/>
    <w:rsid w:val="00BB1996"/>
    <w:rsid w:val="00BD63A3"/>
    <w:rsid w:val="00BE144F"/>
    <w:rsid w:val="00BF03CF"/>
    <w:rsid w:val="00BF2141"/>
    <w:rsid w:val="00BF6AB3"/>
    <w:rsid w:val="00C01C69"/>
    <w:rsid w:val="00C23077"/>
    <w:rsid w:val="00C51A0F"/>
    <w:rsid w:val="00C53945"/>
    <w:rsid w:val="00C7117D"/>
    <w:rsid w:val="00C761DB"/>
    <w:rsid w:val="00C77F95"/>
    <w:rsid w:val="00C80FAE"/>
    <w:rsid w:val="00C90C30"/>
    <w:rsid w:val="00C932F3"/>
    <w:rsid w:val="00CA24B8"/>
    <w:rsid w:val="00CA40DD"/>
    <w:rsid w:val="00CB1BD0"/>
    <w:rsid w:val="00CB43A4"/>
    <w:rsid w:val="00CC084B"/>
    <w:rsid w:val="00CC741B"/>
    <w:rsid w:val="00CD6EFC"/>
    <w:rsid w:val="00CE369E"/>
    <w:rsid w:val="00D01581"/>
    <w:rsid w:val="00D16330"/>
    <w:rsid w:val="00D1692A"/>
    <w:rsid w:val="00D20482"/>
    <w:rsid w:val="00D25502"/>
    <w:rsid w:val="00D27548"/>
    <w:rsid w:val="00D27864"/>
    <w:rsid w:val="00D33CB5"/>
    <w:rsid w:val="00D37BA9"/>
    <w:rsid w:val="00D424A0"/>
    <w:rsid w:val="00D4271F"/>
    <w:rsid w:val="00D43ECA"/>
    <w:rsid w:val="00D5590B"/>
    <w:rsid w:val="00D60F26"/>
    <w:rsid w:val="00D60F48"/>
    <w:rsid w:val="00D6155B"/>
    <w:rsid w:val="00D67588"/>
    <w:rsid w:val="00D75E51"/>
    <w:rsid w:val="00D8314B"/>
    <w:rsid w:val="00DA1555"/>
    <w:rsid w:val="00DB0CD8"/>
    <w:rsid w:val="00DC086B"/>
    <w:rsid w:val="00DD2A79"/>
    <w:rsid w:val="00DE6753"/>
    <w:rsid w:val="00E02572"/>
    <w:rsid w:val="00E06334"/>
    <w:rsid w:val="00E0684F"/>
    <w:rsid w:val="00E25E36"/>
    <w:rsid w:val="00E37598"/>
    <w:rsid w:val="00E52EA4"/>
    <w:rsid w:val="00E60F72"/>
    <w:rsid w:val="00E73C5C"/>
    <w:rsid w:val="00E75E67"/>
    <w:rsid w:val="00E7665F"/>
    <w:rsid w:val="00E77C6C"/>
    <w:rsid w:val="00E80839"/>
    <w:rsid w:val="00E90D51"/>
    <w:rsid w:val="00E93F6B"/>
    <w:rsid w:val="00EA6B38"/>
    <w:rsid w:val="00EA74E9"/>
    <w:rsid w:val="00EA7EFA"/>
    <w:rsid w:val="00EB20A0"/>
    <w:rsid w:val="00EC1B3B"/>
    <w:rsid w:val="00EC2F8A"/>
    <w:rsid w:val="00EC67C9"/>
    <w:rsid w:val="00ED56BD"/>
    <w:rsid w:val="00F04877"/>
    <w:rsid w:val="00F1001B"/>
    <w:rsid w:val="00F118ED"/>
    <w:rsid w:val="00F13DF3"/>
    <w:rsid w:val="00F319A0"/>
    <w:rsid w:val="00F31C39"/>
    <w:rsid w:val="00F42A56"/>
    <w:rsid w:val="00F51A7C"/>
    <w:rsid w:val="00F5789B"/>
    <w:rsid w:val="00F62E2E"/>
    <w:rsid w:val="00F7092F"/>
    <w:rsid w:val="00F8334F"/>
    <w:rsid w:val="00F90CD4"/>
    <w:rsid w:val="00F91962"/>
    <w:rsid w:val="00FA6902"/>
    <w:rsid w:val="00FB0D73"/>
    <w:rsid w:val="00FB73A5"/>
    <w:rsid w:val="00FC144D"/>
    <w:rsid w:val="00FC24C0"/>
    <w:rsid w:val="00FD094F"/>
    <w:rsid w:val="00FD1A00"/>
    <w:rsid w:val="00FF2382"/>
    <w:rsid w:val="00FF3DE7"/>
    <w:rsid w:val="00FF6C19"/>
    <w:rsid w:val="010F66F4"/>
    <w:rsid w:val="011E3158"/>
    <w:rsid w:val="01300925"/>
    <w:rsid w:val="01395249"/>
    <w:rsid w:val="01501A81"/>
    <w:rsid w:val="015F6672"/>
    <w:rsid w:val="0178768B"/>
    <w:rsid w:val="01A465D8"/>
    <w:rsid w:val="01AF481A"/>
    <w:rsid w:val="01C35E5B"/>
    <w:rsid w:val="01D05436"/>
    <w:rsid w:val="01D5464B"/>
    <w:rsid w:val="01E834DD"/>
    <w:rsid w:val="01FB1A92"/>
    <w:rsid w:val="01FC3C59"/>
    <w:rsid w:val="02031D61"/>
    <w:rsid w:val="02050B62"/>
    <w:rsid w:val="02195828"/>
    <w:rsid w:val="02210711"/>
    <w:rsid w:val="0227275A"/>
    <w:rsid w:val="02291C3C"/>
    <w:rsid w:val="02310013"/>
    <w:rsid w:val="024617F2"/>
    <w:rsid w:val="025C0116"/>
    <w:rsid w:val="025F4CFF"/>
    <w:rsid w:val="02664218"/>
    <w:rsid w:val="02682A24"/>
    <w:rsid w:val="026B50D9"/>
    <w:rsid w:val="0281282A"/>
    <w:rsid w:val="02A272AC"/>
    <w:rsid w:val="02B32636"/>
    <w:rsid w:val="02C1356F"/>
    <w:rsid w:val="02E31FD2"/>
    <w:rsid w:val="02F06E79"/>
    <w:rsid w:val="0306222B"/>
    <w:rsid w:val="0306705D"/>
    <w:rsid w:val="030D5636"/>
    <w:rsid w:val="031C07A5"/>
    <w:rsid w:val="03255414"/>
    <w:rsid w:val="034A5312"/>
    <w:rsid w:val="03597213"/>
    <w:rsid w:val="036050B1"/>
    <w:rsid w:val="03605F71"/>
    <w:rsid w:val="036B2DF9"/>
    <w:rsid w:val="03770D13"/>
    <w:rsid w:val="03771E7F"/>
    <w:rsid w:val="03AE795E"/>
    <w:rsid w:val="03C03826"/>
    <w:rsid w:val="03C37AEA"/>
    <w:rsid w:val="03EE57A7"/>
    <w:rsid w:val="03FA155C"/>
    <w:rsid w:val="040C4BE3"/>
    <w:rsid w:val="04273B9C"/>
    <w:rsid w:val="043E4F7B"/>
    <w:rsid w:val="044A3F41"/>
    <w:rsid w:val="044B1342"/>
    <w:rsid w:val="044C5900"/>
    <w:rsid w:val="045C19CE"/>
    <w:rsid w:val="04612AD6"/>
    <w:rsid w:val="04631C14"/>
    <w:rsid w:val="046B3DBE"/>
    <w:rsid w:val="048A426A"/>
    <w:rsid w:val="048C6987"/>
    <w:rsid w:val="048D2882"/>
    <w:rsid w:val="04932458"/>
    <w:rsid w:val="04CD4BA2"/>
    <w:rsid w:val="04E470A0"/>
    <w:rsid w:val="04E5492A"/>
    <w:rsid w:val="04E95DFE"/>
    <w:rsid w:val="04EB5E13"/>
    <w:rsid w:val="04F044F7"/>
    <w:rsid w:val="050713FA"/>
    <w:rsid w:val="05233B0B"/>
    <w:rsid w:val="05240B21"/>
    <w:rsid w:val="052FD521"/>
    <w:rsid w:val="0534786B"/>
    <w:rsid w:val="05353DA0"/>
    <w:rsid w:val="05381E09"/>
    <w:rsid w:val="05420BC4"/>
    <w:rsid w:val="05544226"/>
    <w:rsid w:val="0560691E"/>
    <w:rsid w:val="056106F1"/>
    <w:rsid w:val="05622C5A"/>
    <w:rsid w:val="0590302E"/>
    <w:rsid w:val="05961E8B"/>
    <w:rsid w:val="05B80C59"/>
    <w:rsid w:val="05B9052D"/>
    <w:rsid w:val="05C1044E"/>
    <w:rsid w:val="05D10BE5"/>
    <w:rsid w:val="05D40B8B"/>
    <w:rsid w:val="05DC336A"/>
    <w:rsid w:val="05E17F94"/>
    <w:rsid w:val="05E477F8"/>
    <w:rsid w:val="05EF5161"/>
    <w:rsid w:val="05F63235"/>
    <w:rsid w:val="060D53F2"/>
    <w:rsid w:val="061D52B0"/>
    <w:rsid w:val="0639341C"/>
    <w:rsid w:val="067032E2"/>
    <w:rsid w:val="068059CA"/>
    <w:rsid w:val="06A616F4"/>
    <w:rsid w:val="06C615A2"/>
    <w:rsid w:val="06C75A8A"/>
    <w:rsid w:val="06CD1F21"/>
    <w:rsid w:val="06D4416C"/>
    <w:rsid w:val="06E00EB1"/>
    <w:rsid w:val="06E45CC9"/>
    <w:rsid w:val="06F06595"/>
    <w:rsid w:val="06F278E4"/>
    <w:rsid w:val="070D5F42"/>
    <w:rsid w:val="073C1416"/>
    <w:rsid w:val="07452AC7"/>
    <w:rsid w:val="074A5B49"/>
    <w:rsid w:val="075C478E"/>
    <w:rsid w:val="07886409"/>
    <w:rsid w:val="07921036"/>
    <w:rsid w:val="079A4A26"/>
    <w:rsid w:val="07A86AAB"/>
    <w:rsid w:val="07B376E6"/>
    <w:rsid w:val="07B76CEE"/>
    <w:rsid w:val="07C9098B"/>
    <w:rsid w:val="07CD098C"/>
    <w:rsid w:val="07D6030C"/>
    <w:rsid w:val="07F67816"/>
    <w:rsid w:val="07FC379F"/>
    <w:rsid w:val="08265711"/>
    <w:rsid w:val="082E2B4C"/>
    <w:rsid w:val="084D5698"/>
    <w:rsid w:val="08530936"/>
    <w:rsid w:val="087E1C14"/>
    <w:rsid w:val="0881106A"/>
    <w:rsid w:val="089C7BA1"/>
    <w:rsid w:val="089F5020"/>
    <w:rsid w:val="08A1785D"/>
    <w:rsid w:val="08BD66F4"/>
    <w:rsid w:val="08D819CB"/>
    <w:rsid w:val="08E37B9C"/>
    <w:rsid w:val="0900512E"/>
    <w:rsid w:val="092C2D7B"/>
    <w:rsid w:val="09336D88"/>
    <w:rsid w:val="09495EE2"/>
    <w:rsid w:val="09617865"/>
    <w:rsid w:val="09667139"/>
    <w:rsid w:val="096B114E"/>
    <w:rsid w:val="096B707E"/>
    <w:rsid w:val="09755E6F"/>
    <w:rsid w:val="097D5E41"/>
    <w:rsid w:val="09811671"/>
    <w:rsid w:val="098923DA"/>
    <w:rsid w:val="0995305F"/>
    <w:rsid w:val="09CB08A8"/>
    <w:rsid w:val="09CD0A4B"/>
    <w:rsid w:val="09D4375A"/>
    <w:rsid w:val="09DC01FC"/>
    <w:rsid w:val="09FA01B7"/>
    <w:rsid w:val="0A1E54BE"/>
    <w:rsid w:val="0A207B6A"/>
    <w:rsid w:val="0A297634"/>
    <w:rsid w:val="0A321B2F"/>
    <w:rsid w:val="0A391F9C"/>
    <w:rsid w:val="0A3D48EC"/>
    <w:rsid w:val="0A440EE2"/>
    <w:rsid w:val="0A442FC6"/>
    <w:rsid w:val="0A4A209B"/>
    <w:rsid w:val="0A5239AD"/>
    <w:rsid w:val="0A6961D7"/>
    <w:rsid w:val="0A6E76F5"/>
    <w:rsid w:val="0A6E77AA"/>
    <w:rsid w:val="0A7575A6"/>
    <w:rsid w:val="0A7C6B3F"/>
    <w:rsid w:val="0A8050FD"/>
    <w:rsid w:val="0AA84A7A"/>
    <w:rsid w:val="0ABF2050"/>
    <w:rsid w:val="0AC02B81"/>
    <w:rsid w:val="0AC917B7"/>
    <w:rsid w:val="0ACE2BAA"/>
    <w:rsid w:val="0AE54372"/>
    <w:rsid w:val="0AE778EA"/>
    <w:rsid w:val="0B1247E5"/>
    <w:rsid w:val="0B1518C9"/>
    <w:rsid w:val="0B1D0203"/>
    <w:rsid w:val="0B3072B3"/>
    <w:rsid w:val="0B3B24B4"/>
    <w:rsid w:val="0B3C4E9E"/>
    <w:rsid w:val="0B445C63"/>
    <w:rsid w:val="0B460BF8"/>
    <w:rsid w:val="0B4877C7"/>
    <w:rsid w:val="0B4C6367"/>
    <w:rsid w:val="0B514107"/>
    <w:rsid w:val="0B6A45AB"/>
    <w:rsid w:val="0B6E3C03"/>
    <w:rsid w:val="0B8B6D44"/>
    <w:rsid w:val="0BA34615"/>
    <w:rsid w:val="0BAC1C8B"/>
    <w:rsid w:val="0BB67A76"/>
    <w:rsid w:val="0BC578BF"/>
    <w:rsid w:val="0BEF2F28"/>
    <w:rsid w:val="0BF12E98"/>
    <w:rsid w:val="0C0F1C38"/>
    <w:rsid w:val="0C130A20"/>
    <w:rsid w:val="0C2C3397"/>
    <w:rsid w:val="0C416373"/>
    <w:rsid w:val="0C582584"/>
    <w:rsid w:val="0C6336FA"/>
    <w:rsid w:val="0C68698A"/>
    <w:rsid w:val="0C6E6138"/>
    <w:rsid w:val="0C8B04F4"/>
    <w:rsid w:val="0C923886"/>
    <w:rsid w:val="0C9E2876"/>
    <w:rsid w:val="0CA03088"/>
    <w:rsid w:val="0CA569E8"/>
    <w:rsid w:val="0CC26F2D"/>
    <w:rsid w:val="0CC56899"/>
    <w:rsid w:val="0CCB090C"/>
    <w:rsid w:val="0CD86312"/>
    <w:rsid w:val="0CDA0A92"/>
    <w:rsid w:val="0CE07FC0"/>
    <w:rsid w:val="0CE7664A"/>
    <w:rsid w:val="0CED019B"/>
    <w:rsid w:val="0CF213D5"/>
    <w:rsid w:val="0CFF2150"/>
    <w:rsid w:val="0D330BC5"/>
    <w:rsid w:val="0D340ECF"/>
    <w:rsid w:val="0D42705A"/>
    <w:rsid w:val="0D48462F"/>
    <w:rsid w:val="0D525347"/>
    <w:rsid w:val="0D6A7602"/>
    <w:rsid w:val="0D6D238D"/>
    <w:rsid w:val="0D8F75D2"/>
    <w:rsid w:val="0DA14F4D"/>
    <w:rsid w:val="0DB25F8E"/>
    <w:rsid w:val="0DB56F4F"/>
    <w:rsid w:val="0DBD0635"/>
    <w:rsid w:val="0DC84865"/>
    <w:rsid w:val="0DC926D5"/>
    <w:rsid w:val="0DD20498"/>
    <w:rsid w:val="0DD75714"/>
    <w:rsid w:val="0DDE7ADD"/>
    <w:rsid w:val="0DE47945"/>
    <w:rsid w:val="0DF75B9A"/>
    <w:rsid w:val="0DF82F6C"/>
    <w:rsid w:val="0DFE34F8"/>
    <w:rsid w:val="0E003674"/>
    <w:rsid w:val="0E220612"/>
    <w:rsid w:val="0E335B97"/>
    <w:rsid w:val="0E4C6A52"/>
    <w:rsid w:val="0E725B97"/>
    <w:rsid w:val="0E75110F"/>
    <w:rsid w:val="0E7556DE"/>
    <w:rsid w:val="0E8B67DF"/>
    <w:rsid w:val="0E8E68FD"/>
    <w:rsid w:val="0E917CA2"/>
    <w:rsid w:val="0E9A6F2A"/>
    <w:rsid w:val="0EA659C4"/>
    <w:rsid w:val="0EF01944"/>
    <w:rsid w:val="0EF63231"/>
    <w:rsid w:val="0EF90D99"/>
    <w:rsid w:val="0F00618D"/>
    <w:rsid w:val="0F1737C0"/>
    <w:rsid w:val="0F2949AA"/>
    <w:rsid w:val="0F4D74A9"/>
    <w:rsid w:val="0F640F87"/>
    <w:rsid w:val="0F731279"/>
    <w:rsid w:val="0F77651E"/>
    <w:rsid w:val="0F9241F6"/>
    <w:rsid w:val="0F9455C2"/>
    <w:rsid w:val="0F947250"/>
    <w:rsid w:val="0F9C40C8"/>
    <w:rsid w:val="0FB42576"/>
    <w:rsid w:val="0FBF6450"/>
    <w:rsid w:val="0FC73841"/>
    <w:rsid w:val="0FCC660D"/>
    <w:rsid w:val="0FCF7645"/>
    <w:rsid w:val="0FD35D97"/>
    <w:rsid w:val="0FEE7837"/>
    <w:rsid w:val="100A11F9"/>
    <w:rsid w:val="1019154D"/>
    <w:rsid w:val="1027367B"/>
    <w:rsid w:val="104A5ED2"/>
    <w:rsid w:val="104D6255"/>
    <w:rsid w:val="10541BDE"/>
    <w:rsid w:val="10557F85"/>
    <w:rsid w:val="10584BCC"/>
    <w:rsid w:val="106729EA"/>
    <w:rsid w:val="106A24C3"/>
    <w:rsid w:val="107A63E2"/>
    <w:rsid w:val="108D3046"/>
    <w:rsid w:val="10944FD2"/>
    <w:rsid w:val="109945F0"/>
    <w:rsid w:val="10A24A5C"/>
    <w:rsid w:val="10AB5276"/>
    <w:rsid w:val="10B90CC1"/>
    <w:rsid w:val="10DD5602"/>
    <w:rsid w:val="10E127DA"/>
    <w:rsid w:val="10E220ED"/>
    <w:rsid w:val="10EE3E65"/>
    <w:rsid w:val="11024438"/>
    <w:rsid w:val="11097A4C"/>
    <w:rsid w:val="111F5232"/>
    <w:rsid w:val="11241962"/>
    <w:rsid w:val="112A5C06"/>
    <w:rsid w:val="1136674A"/>
    <w:rsid w:val="11386BDA"/>
    <w:rsid w:val="11457119"/>
    <w:rsid w:val="114C374F"/>
    <w:rsid w:val="114F14E4"/>
    <w:rsid w:val="11587AB6"/>
    <w:rsid w:val="115A7AB4"/>
    <w:rsid w:val="116511AC"/>
    <w:rsid w:val="11910467"/>
    <w:rsid w:val="11A5685A"/>
    <w:rsid w:val="11AD135C"/>
    <w:rsid w:val="11C3225E"/>
    <w:rsid w:val="11C813B5"/>
    <w:rsid w:val="11D04827"/>
    <w:rsid w:val="11D277B2"/>
    <w:rsid w:val="11DA1F57"/>
    <w:rsid w:val="11EB1415"/>
    <w:rsid w:val="11F02D62"/>
    <w:rsid w:val="11F336ED"/>
    <w:rsid w:val="120255E6"/>
    <w:rsid w:val="12047890"/>
    <w:rsid w:val="120E3BC4"/>
    <w:rsid w:val="12375093"/>
    <w:rsid w:val="123A1002"/>
    <w:rsid w:val="124B46DF"/>
    <w:rsid w:val="1260352A"/>
    <w:rsid w:val="1265721A"/>
    <w:rsid w:val="126B1E04"/>
    <w:rsid w:val="128F202C"/>
    <w:rsid w:val="128F3AA7"/>
    <w:rsid w:val="12991A5D"/>
    <w:rsid w:val="129E3422"/>
    <w:rsid w:val="12C0479A"/>
    <w:rsid w:val="12C56763"/>
    <w:rsid w:val="12D44BF8"/>
    <w:rsid w:val="12D869DF"/>
    <w:rsid w:val="12E21004"/>
    <w:rsid w:val="12E37F42"/>
    <w:rsid w:val="13076D7C"/>
    <w:rsid w:val="130E7ECE"/>
    <w:rsid w:val="131A4D73"/>
    <w:rsid w:val="1326469B"/>
    <w:rsid w:val="1326677E"/>
    <w:rsid w:val="133D0538"/>
    <w:rsid w:val="1357071E"/>
    <w:rsid w:val="136C7FD9"/>
    <w:rsid w:val="13902C50"/>
    <w:rsid w:val="13934519"/>
    <w:rsid w:val="13B86A7D"/>
    <w:rsid w:val="13CF7ED0"/>
    <w:rsid w:val="13D047EB"/>
    <w:rsid w:val="13DB3F83"/>
    <w:rsid w:val="13E54EC3"/>
    <w:rsid w:val="13F3374D"/>
    <w:rsid w:val="13FC47AB"/>
    <w:rsid w:val="13FE54A6"/>
    <w:rsid w:val="140E01AF"/>
    <w:rsid w:val="14270CF1"/>
    <w:rsid w:val="142C06BC"/>
    <w:rsid w:val="142D2604"/>
    <w:rsid w:val="142F28B9"/>
    <w:rsid w:val="14396C44"/>
    <w:rsid w:val="14484E8D"/>
    <w:rsid w:val="1450092C"/>
    <w:rsid w:val="14691370"/>
    <w:rsid w:val="14795A57"/>
    <w:rsid w:val="14AB460B"/>
    <w:rsid w:val="14C03BE3"/>
    <w:rsid w:val="14C82DE2"/>
    <w:rsid w:val="14D159F1"/>
    <w:rsid w:val="14E83491"/>
    <w:rsid w:val="14F0250E"/>
    <w:rsid w:val="14F21311"/>
    <w:rsid w:val="14F43BAE"/>
    <w:rsid w:val="14F876A6"/>
    <w:rsid w:val="150A4901"/>
    <w:rsid w:val="1517646B"/>
    <w:rsid w:val="15214A13"/>
    <w:rsid w:val="1521711B"/>
    <w:rsid w:val="15235BEC"/>
    <w:rsid w:val="152D417A"/>
    <w:rsid w:val="153951E6"/>
    <w:rsid w:val="1555339C"/>
    <w:rsid w:val="15643BA8"/>
    <w:rsid w:val="15665BE5"/>
    <w:rsid w:val="156E38EE"/>
    <w:rsid w:val="15740080"/>
    <w:rsid w:val="1581422C"/>
    <w:rsid w:val="15836462"/>
    <w:rsid w:val="15855917"/>
    <w:rsid w:val="158D7389"/>
    <w:rsid w:val="159F0E90"/>
    <w:rsid w:val="15AA5213"/>
    <w:rsid w:val="15AE6701"/>
    <w:rsid w:val="15DA5A77"/>
    <w:rsid w:val="15DD358D"/>
    <w:rsid w:val="15DE2BEC"/>
    <w:rsid w:val="15ED1007"/>
    <w:rsid w:val="15F07B65"/>
    <w:rsid w:val="15FD5FF7"/>
    <w:rsid w:val="15FF01DE"/>
    <w:rsid w:val="160A1F61"/>
    <w:rsid w:val="16120462"/>
    <w:rsid w:val="1644187B"/>
    <w:rsid w:val="16580EF6"/>
    <w:rsid w:val="165E63ED"/>
    <w:rsid w:val="167B6C0E"/>
    <w:rsid w:val="168373DC"/>
    <w:rsid w:val="168626AD"/>
    <w:rsid w:val="168E0ABB"/>
    <w:rsid w:val="169A3A63"/>
    <w:rsid w:val="16B424D3"/>
    <w:rsid w:val="16C23E3D"/>
    <w:rsid w:val="16D84525"/>
    <w:rsid w:val="16DE7B91"/>
    <w:rsid w:val="16F639D7"/>
    <w:rsid w:val="16FA5577"/>
    <w:rsid w:val="1700759A"/>
    <w:rsid w:val="170B5DEB"/>
    <w:rsid w:val="17231CAA"/>
    <w:rsid w:val="172408E1"/>
    <w:rsid w:val="173C740E"/>
    <w:rsid w:val="17445A24"/>
    <w:rsid w:val="17715B9E"/>
    <w:rsid w:val="17730677"/>
    <w:rsid w:val="17780248"/>
    <w:rsid w:val="177A4014"/>
    <w:rsid w:val="177C52AB"/>
    <w:rsid w:val="178C1678"/>
    <w:rsid w:val="179B7A41"/>
    <w:rsid w:val="17C112A1"/>
    <w:rsid w:val="17D80CE7"/>
    <w:rsid w:val="17DB2585"/>
    <w:rsid w:val="17DE14ED"/>
    <w:rsid w:val="17F12716"/>
    <w:rsid w:val="180E567F"/>
    <w:rsid w:val="180E5F8F"/>
    <w:rsid w:val="18194E5B"/>
    <w:rsid w:val="181A2107"/>
    <w:rsid w:val="18360182"/>
    <w:rsid w:val="183B1AC3"/>
    <w:rsid w:val="183C0F38"/>
    <w:rsid w:val="184030B8"/>
    <w:rsid w:val="18475A4E"/>
    <w:rsid w:val="184D6F0D"/>
    <w:rsid w:val="18757EE5"/>
    <w:rsid w:val="18790B51"/>
    <w:rsid w:val="187C12F9"/>
    <w:rsid w:val="18847238"/>
    <w:rsid w:val="188925D5"/>
    <w:rsid w:val="188A479A"/>
    <w:rsid w:val="188E75F7"/>
    <w:rsid w:val="189B3AC2"/>
    <w:rsid w:val="189F21ED"/>
    <w:rsid w:val="18B232E6"/>
    <w:rsid w:val="18C06CCE"/>
    <w:rsid w:val="18C7778D"/>
    <w:rsid w:val="18D84350"/>
    <w:rsid w:val="18FC3F1D"/>
    <w:rsid w:val="191C1906"/>
    <w:rsid w:val="195D708F"/>
    <w:rsid w:val="196D1903"/>
    <w:rsid w:val="196D233A"/>
    <w:rsid w:val="198C3906"/>
    <w:rsid w:val="199302C7"/>
    <w:rsid w:val="199413A3"/>
    <w:rsid w:val="199C70B5"/>
    <w:rsid w:val="19A82E33"/>
    <w:rsid w:val="19B0616D"/>
    <w:rsid w:val="19B539B2"/>
    <w:rsid w:val="19D76353"/>
    <w:rsid w:val="19DA7E6E"/>
    <w:rsid w:val="19EF0395"/>
    <w:rsid w:val="19F7593C"/>
    <w:rsid w:val="19FF62E5"/>
    <w:rsid w:val="19FF7C9C"/>
    <w:rsid w:val="1A00283B"/>
    <w:rsid w:val="1A135034"/>
    <w:rsid w:val="1A146B50"/>
    <w:rsid w:val="1A174B1D"/>
    <w:rsid w:val="1A27385F"/>
    <w:rsid w:val="1A387E91"/>
    <w:rsid w:val="1A3A40FB"/>
    <w:rsid w:val="1A4C19F4"/>
    <w:rsid w:val="1A6608F0"/>
    <w:rsid w:val="1A6B5E42"/>
    <w:rsid w:val="1A851F47"/>
    <w:rsid w:val="1A864037"/>
    <w:rsid w:val="1AA33D5D"/>
    <w:rsid w:val="1AA710FE"/>
    <w:rsid w:val="1AAD4CCF"/>
    <w:rsid w:val="1AAE1CBA"/>
    <w:rsid w:val="1AB0206A"/>
    <w:rsid w:val="1ABB35F7"/>
    <w:rsid w:val="1AC45755"/>
    <w:rsid w:val="1ACB4B33"/>
    <w:rsid w:val="1AD31C97"/>
    <w:rsid w:val="1AFE120E"/>
    <w:rsid w:val="1B092502"/>
    <w:rsid w:val="1B1C3714"/>
    <w:rsid w:val="1B1E1E1F"/>
    <w:rsid w:val="1B2905E9"/>
    <w:rsid w:val="1B402D0B"/>
    <w:rsid w:val="1B4924A4"/>
    <w:rsid w:val="1B4A3CA9"/>
    <w:rsid w:val="1B56062E"/>
    <w:rsid w:val="1B583F18"/>
    <w:rsid w:val="1B5C46A7"/>
    <w:rsid w:val="1B5E564F"/>
    <w:rsid w:val="1B5F2182"/>
    <w:rsid w:val="1B6A31E8"/>
    <w:rsid w:val="1B6A60FA"/>
    <w:rsid w:val="1B842574"/>
    <w:rsid w:val="1BA065DA"/>
    <w:rsid w:val="1BA22711"/>
    <w:rsid w:val="1BDB1359"/>
    <w:rsid w:val="1BDF4030"/>
    <w:rsid w:val="1BE44639"/>
    <w:rsid w:val="1BF25E0D"/>
    <w:rsid w:val="1BF3529E"/>
    <w:rsid w:val="1BF806F8"/>
    <w:rsid w:val="1BFC4AC7"/>
    <w:rsid w:val="1C084A7D"/>
    <w:rsid w:val="1C185534"/>
    <w:rsid w:val="1C2B32A2"/>
    <w:rsid w:val="1C3F526D"/>
    <w:rsid w:val="1C46007A"/>
    <w:rsid w:val="1C5D2335"/>
    <w:rsid w:val="1C5D582C"/>
    <w:rsid w:val="1C622307"/>
    <w:rsid w:val="1C665C29"/>
    <w:rsid w:val="1C744D56"/>
    <w:rsid w:val="1C786E29"/>
    <w:rsid w:val="1C805A94"/>
    <w:rsid w:val="1C877DEB"/>
    <w:rsid w:val="1C925F1F"/>
    <w:rsid w:val="1C9E14BD"/>
    <w:rsid w:val="1CAC6DB0"/>
    <w:rsid w:val="1CAD636B"/>
    <w:rsid w:val="1CB6222B"/>
    <w:rsid w:val="1CBD440D"/>
    <w:rsid w:val="1CBE5341"/>
    <w:rsid w:val="1CC21590"/>
    <w:rsid w:val="1CCB3614"/>
    <w:rsid w:val="1CDD7D6D"/>
    <w:rsid w:val="1CF71A94"/>
    <w:rsid w:val="1D012A8E"/>
    <w:rsid w:val="1D06060B"/>
    <w:rsid w:val="1D253EFC"/>
    <w:rsid w:val="1D2A47E8"/>
    <w:rsid w:val="1D2C2906"/>
    <w:rsid w:val="1D393A52"/>
    <w:rsid w:val="1D4B05E0"/>
    <w:rsid w:val="1D6A5FF8"/>
    <w:rsid w:val="1D750703"/>
    <w:rsid w:val="1D7A1894"/>
    <w:rsid w:val="1DB878B6"/>
    <w:rsid w:val="1DCE20EE"/>
    <w:rsid w:val="1DDB508D"/>
    <w:rsid w:val="1DE226E0"/>
    <w:rsid w:val="1DE627B1"/>
    <w:rsid w:val="1DF11408"/>
    <w:rsid w:val="1DF632FD"/>
    <w:rsid w:val="1DFE7AF7"/>
    <w:rsid w:val="1E11113D"/>
    <w:rsid w:val="1E271599"/>
    <w:rsid w:val="1E2B1BA1"/>
    <w:rsid w:val="1E2D0A51"/>
    <w:rsid w:val="1E2E1439"/>
    <w:rsid w:val="1E30165C"/>
    <w:rsid w:val="1E30247B"/>
    <w:rsid w:val="1E380731"/>
    <w:rsid w:val="1E3A4B95"/>
    <w:rsid w:val="1E6E7D5B"/>
    <w:rsid w:val="1E7F2573"/>
    <w:rsid w:val="1E897206"/>
    <w:rsid w:val="1E8B3729"/>
    <w:rsid w:val="1E9B4FE9"/>
    <w:rsid w:val="1EA34647"/>
    <w:rsid w:val="1EB6383B"/>
    <w:rsid w:val="1EBD2C19"/>
    <w:rsid w:val="1EC43D00"/>
    <w:rsid w:val="1EC61011"/>
    <w:rsid w:val="1ED97035"/>
    <w:rsid w:val="1EDC02F8"/>
    <w:rsid w:val="1EE60593"/>
    <w:rsid w:val="1EEB19BE"/>
    <w:rsid w:val="1EF51055"/>
    <w:rsid w:val="1EF80270"/>
    <w:rsid w:val="1EFE5426"/>
    <w:rsid w:val="1F0008D5"/>
    <w:rsid w:val="1F0900D7"/>
    <w:rsid w:val="1F183CCC"/>
    <w:rsid w:val="1F313114"/>
    <w:rsid w:val="1F51174B"/>
    <w:rsid w:val="1F5D2DC6"/>
    <w:rsid w:val="1F5F7CA0"/>
    <w:rsid w:val="1F6462FD"/>
    <w:rsid w:val="1F946E5A"/>
    <w:rsid w:val="1F977874"/>
    <w:rsid w:val="1FB16E1F"/>
    <w:rsid w:val="1FC22195"/>
    <w:rsid w:val="1FD754F6"/>
    <w:rsid w:val="1FFB0FBF"/>
    <w:rsid w:val="1FFF97F9"/>
    <w:rsid w:val="202D76F6"/>
    <w:rsid w:val="203D65D3"/>
    <w:rsid w:val="204C2871"/>
    <w:rsid w:val="20562900"/>
    <w:rsid w:val="205F1D91"/>
    <w:rsid w:val="206343C7"/>
    <w:rsid w:val="207115C6"/>
    <w:rsid w:val="2086299A"/>
    <w:rsid w:val="20936695"/>
    <w:rsid w:val="20AA6F98"/>
    <w:rsid w:val="20D41501"/>
    <w:rsid w:val="20D64231"/>
    <w:rsid w:val="20D96253"/>
    <w:rsid w:val="20E57500"/>
    <w:rsid w:val="20F04671"/>
    <w:rsid w:val="20FE0563"/>
    <w:rsid w:val="210F1FED"/>
    <w:rsid w:val="21172449"/>
    <w:rsid w:val="21181C91"/>
    <w:rsid w:val="21184C84"/>
    <w:rsid w:val="211C688E"/>
    <w:rsid w:val="211E071F"/>
    <w:rsid w:val="21233C69"/>
    <w:rsid w:val="21235044"/>
    <w:rsid w:val="21250ADE"/>
    <w:rsid w:val="212A43D4"/>
    <w:rsid w:val="213760C2"/>
    <w:rsid w:val="215F7CC0"/>
    <w:rsid w:val="2174123C"/>
    <w:rsid w:val="21843D65"/>
    <w:rsid w:val="218B5F26"/>
    <w:rsid w:val="21A31CED"/>
    <w:rsid w:val="21A46BEE"/>
    <w:rsid w:val="21B1594D"/>
    <w:rsid w:val="21B77BBF"/>
    <w:rsid w:val="21C22773"/>
    <w:rsid w:val="21D83489"/>
    <w:rsid w:val="21DC73B6"/>
    <w:rsid w:val="21EB11BF"/>
    <w:rsid w:val="21F64917"/>
    <w:rsid w:val="22090939"/>
    <w:rsid w:val="22571B51"/>
    <w:rsid w:val="22584151"/>
    <w:rsid w:val="22636561"/>
    <w:rsid w:val="22764103"/>
    <w:rsid w:val="227D2267"/>
    <w:rsid w:val="227E17DF"/>
    <w:rsid w:val="22857CBD"/>
    <w:rsid w:val="22913D4B"/>
    <w:rsid w:val="22981F9C"/>
    <w:rsid w:val="229A778D"/>
    <w:rsid w:val="22AE6174"/>
    <w:rsid w:val="22B12860"/>
    <w:rsid w:val="22B83BB3"/>
    <w:rsid w:val="22BD15A2"/>
    <w:rsid w:val="22C11246"/>
    <w:rsid w:val="22C213F6"/>
    <w:rsid w:val="22C65A35"/>
    <w:rsid w:val="22C67910"/>
    <w:rsid w:val="22CF36C0"/>
    <w:rsid w:val="22DA2ABA"/>
    <w:rsid w:val="22DB0A7C"/>
    <w:rsid w:val="22DD12A0"/>
    <w:rsid w:val="22E83BB5"/>
    <w:rsid w:val="22FA4207"/>
    <w:rsid w:val="231B3691"/>
    <w:rsid w:val="231B417D"/>
    <w:rsid w:val="232E1824"/>
    <w:rsid w:val="23363127"/>
    <w:rsid w:val="235D268C"/>
    <w:rsid w:val="2361787B"/>
    <w:rsid w:val="23720081"/>
    <w:rsid w:val="23790C1F"/>
    <w:rsid w:val="238702C2"/>
    <w:rsid w:val="23916F72"/>
    <w:rsid w:val="23AC621F"/>
    <w:rsid w:val="23B1019C"/>
    <w:rsid w:val="23F9568A"/>
    <w:rsid w:val="24012941"/>
    <w:rsid w:val="240B21EF"/>
    <w:rsid w:val="24236C43"/>
    <w:rsid w:val="242C3DBC"/>
    <w:rsid w:val="24355DF3"/>
    <w:rsid w:val="24367605"/>
    <w:rsid w:val="24443DC5"/>
    <w:rsid w:val="244761E2"/>
    <w:rsid w:val="2452597D"/>
    <w:rsid w:val="246B4C91"/>
    <w:rsid w:val="246D0A09"/>
    <w:rsid w:val="246D4CE6"/>
    <w:rsid w:val="247535C1"/>
    <w:rsid w:val="248156CC"/>
    <w:rsid w:val="24873565"/>
    <w:rsid w:val="24A7216D"/>
    <w:rsid w:val="24C034CB"/>
    <w:rsid w:val="24D264B5"/>
    <w:rsid w:val="24EF7A0D"/>
    <w:rsid w:val="24F114D3"/>
    <w:rsid w:val="24F34D4B"/>
    <w:rsid w:val="2506065B"/>
    <w:rsid w:val="25183210"/>
    <w:rsid w:val="252C6B6B"/>
    <w:rsid w:val="252E0845"/>
    <w:rsid w:val="2532716E"/>
    <w:rsid w:val="253378E2"/>
    <w:rsid w:val="253A47ED"/>
    <w:rsid w:val="25420D70"/>
    <w:rsid w:val="25485291"/>
    <w:rsid w:val="256007B2"/>
    <w:rsid w:val="256447BA"/>
    <w:rsid w:val="256471D1"/>
    <w:rsid w:val="2586094A"/>
    <w:rsid w:val="25911A7F"/>
    <w:rsid w:val="25975B6C"/>
    <w:rsid w:val="25A0096A"/>
    <w:rsid w:val="25A30060"/>
    <w:rsid w:val="25A445B6"/>
    <w:rsid w:val="25AF5431"/>
    <w:rsid w:val="25B05051"/>
    <w:rsid w:val="25BD2178"/>
    <w:rsid w:val="25D20619"/>
    <w:rsid w:val="25D30D3F"/>
    <w:rsid w:val="25E17ECF"/>
    <w:rsid w:val="26030548"/>
    <w:rsid w:val="260A4F6A"/>
    <w:rsid w:val="26123616"/>
    <w:rsid w:val="26307F40"/>
    <w:rsid w:val="26323CB8"/>
    <w:rsid w:val="2637724E"/>
    <w:rsid w:val="26427FE4"/>
    <w:rsid w:val="26585DBB"/>
    <w:rsid w:val="265912DF"/>
    <w:rsid w:val="26673500"/>
    <w:rsid w:val="267E14C1"/>
    <w:rsid w:val="26933183"/>
    <w:rsid w:val="26963FCB"/>
    <w:rsid w:val="269D4696"/>
    <w:rsid w:val="269D5C08"/>
    <w:rsid w:val="26AF41D9"/>
    <w:rsid w:val="26AF46AA"/>
    <w:rsid w:val="26B923C6"/>
    <w:rsid w:val="26C076C9"/>
    <w:rsid w:val="26C44A92"/>
    <w:rsid w:val="26C82234"/>
    <w:rsid w:val="26ED60F4"/>
    <w:rsid w:val="26EF40E8"/>
    <w:rsid w:val="26F02336"/>
    <w:rsid w:val="26F8053B"/>
    <w:rsid w:val="26FC3E21"/>
    <w:rsid w:val="271214F2"/>
    <w:rsid w:val="27217B94"/>
    <w:rsid w:val="27252803"/>
    <w:rsid w:val="27310BFB"/>
    <w:rsid w:val="2750640D"/>
    <w:rsid w:val="275335A0"/>
    <w:rsid w:val="27595504"/>
    <w:rsid w:val="276D6179"/>
    <w:rsid w:val="276F1C0A"/>
    <w:rsid w:val="277A3E04"/>
    <w:rsid w:val="27912C60"/>
    <w:rsid w:val="27925AC8"/>
    <w:rsid w:val="27A120BD"/>
    <w:rsid w:val="27A24025"/>
    <w:rsid w:val="27B65DA8"/>
    <w:rsid w:val="27D029C5"/>
    <w:rsid w:val="27D61CCF"/>
    <w:rsid w:val="27FD32DC"/>
    <w:rsid w:val="28075FC6"/>
    <w:rsid w:val="282D64B7"/>
    <w:rsid w:val="283B5FDF"/>
    <w:rsid w:val="28444B01"/>
    <w:rsid w:val="28457743"/>
    <w:rsid w:val="284E4D40"/>
    <w:rsid w:val="284F6DA3"/>
    <w:rsid w:val="28525824"/>
    <w:rsid w:val="28575A54"/>
    <w:rsid w:val="285C301A"/>
    <w:rsid w:val="287A4744"/>
    <w:rsid w:val="287D7A19"/>
    <w:rsid w:val="288B11F3"/>
    <w:rsid w:val="28912087"/>
    <w:rsid w:val="28956565"/>
    <w:rsid w:val="28991214"/>
    <w:rsid w:val="28B53785"/>
    <w:rsid w:val="28B77537"/>
    <w:rsid w:val="28B96069"/>
    <w:rsid w:val="28C606E7"/>
    <w:rsid w:val="28C80F21"/>
    <w:rsid w:val="28DE12D6"/>
    <w:rsid w:val="28E02ADB"/>
    <w:rsid w:val="28F1279C"/>
    <w:rsid w:val="29086F52"/>
    <w:rsid w:val="290A5ABC"/>
    <w:rsid w:val="290B2CB8"/>
    <w:rsid w:val="291A3A54"/>
    <w:rsid w:val="292D4C11"/>
    <w:rsid w:val="29304070"/>
    <w:rsid w:val="29347D47"/>
    <w:rsid w:val="29496622"/>
    <w:rsid w:val="294A57BC"/>
    <w:rsid w:val="294C6E3F"/>
    <w:rsid w:val="29751076"/>
    <w:rsid w:val="297D524A"/>
    <w:rsid w:val="29873689"/>
    <w:rsid w:val="29882031"/>
    <w:rsid w:val="298E088F"/>
    <w:rsid w:val="299C4E7C"/>
    <w:rsid w:val="29A042F6"/>
    <w:rsid w:val="29A32B13"/>
    <w:rsid w:val="29DA0519"/>
    <w:rsid w:val="29DF0BF3"/>
    <w:rsid w:val="2A3719D1"/>
    <w:rsid w:val="2A3E2071"/>
    <w:rsid w:val="2A4D29A2"/>
    <w:rsid w:val="2A514DFD"/>
    <w:rsid w:val="2A533306"/>
    <w:rsid w:val="2A545350"/>
    <w:rsid w:val="2A547601"/>
    <w:rsid w:val="2A551074"/>
    <w:rsid w:val="2A721503"/>
    <w:rsid w:val="2A836DE7"/>
    <w:rsid w:val="2A8A2748"/>
    <w:rsid w:val="2A9071FF"/>
    <w:rsid w:val="2AA42CAA"/>
    <w:rsid w:val="2AA909A7"/>
    <w:rsid w:val="2AAD001C"/>
    <w:rsid w:val="2AB23A66"/>
    <w:rsid w:val="2AB467A5"/>
    <w:rsid w:val="2AC82313"/>
    <w:rsid w:val="2AEC7648"/>
    <w:rsid w:val="2AF633B8"/>
    <w:rsid w:val="2B0B4625"/>
    <w:rsid w:val="2B1C2A55"/>
    <w:rsid w:val="2B28102B"/>
    <w:rsid w:val="2B294AB2"/>
    <w:rsid w:val="2B3A36BA"/>
    <w:rsid w:val="2B3B52BF"/>
    <w:rsid w:val="2B441827"/>
    <w:rsid w:val="2B8102D9"/>
    <w:rsid w:val="2B8E237F"/>
    <w:rsid w:val="2B9C499C"/>
    <w:rsid w:val="2B9C596C"/>
    <w:rsid w:val="2BA054AC"/>
    <w:rsid w:val="2BA107C5"/>
    <w:rsid w:val="2BA5117D"/>
    <w:rsid w:val="2BA660F3"/>
    <w:rsid w:val="2BBC3AB5"/>
    <w:rsid w:val="2BC07A83"/>
    <w:rsid w:val="2BC2145B"/>
    <w:rsid w:val="2BCF61A2"/>
    <w:rsid w:val="2BDF216D"/>
    <w:rsid w:val="2BEB387C"/>
    <w:rsid w:val="2BEB6DE3"/>
    <w:rsid w:val="2BF04FEE"/>
    <w:rsid w:val="2C093973"/>
    <w:rsid w:val="2C0F477D"/>
    <w:rsid w:val="2C114EFC"/>
    <w:rsid w:val="2C126E14"/>
    <w:rsid w:val="2C3D2F50"/>
    <w:rsid w:val="2C43445B"/>
    <w:rsid w:val="2C522220"/>
    <w:rsid w:val="2C5C5E88"/>
    <w:rsid w:val="2C5E1A1C"/>
    <w:rsid w:val="2C63798B"/>
    <w:rsid w:val="2C722EF3"/>
    <w:rsid w:val="2C752395"/>
    <w:rsid w:val="2C784EAD"/>
    <w:rsid w:val="2C8427DC"/>
    <w:rsid w:val="2C8C74BC"/>
    <w:rsid w:val="2C9C632F"/>
    <w:rsid w:val="2CC226F3"/>
    <w:rsid w:val="2CC65AEC"/>
    <w:rsid w:val="2CCA3FCE"/>
    <w:rsid w:val="2CCA4130"/>
    <w:rsid w:val="2CD26DA1"/>
    <w:rsid w:val="2CDE3600"/>
    <w:rsid w:val="2CEB2BB0"/>
    <w:rsid w:val="2CFB1FBE"/>
    <w:rsid w:val="2D1A5245"/>
    <w:rsid w:val="2D1B1014"/>
    <w:rsid w:val="2D2F6D65"/>
    <w:rsid w:val="2D4A35A6"/>
    <w:rsid w:val="2D4F3EFB"/>
    <w:rsid w:val="2D5979AF"/>
    <w:rsid w:val="2D5E5C4E"/>
    <w:rsid w:val="2D720219"/>
    <w:rsid w:val="2D7F67F7"/>
    <w:rsid w:val="2D857E7C"/>
    <w:rsid w:val="2D8D0BF1"/>
    <w:rsid w:val="2D9123C1"/>
    <w:rsid w:val="2D9237DB"/>
    <w:rsid w:val="2DA318B3"/>
    <w:rsid w:val="2DA4527D"/>
    <w:rsid w:val="2DA73053"/>
    <w:rsid w:val="2DAE4E29"/>
    <w:rsid w:val="2DC81391"/>
    <w:rsid w:val="2DCF1D53"/>
    <w:rsid w:val="2DF55124"/>
    <w:rsid w:val="2E1F0FC6"/>
    <w:rsid w:val="2E1F73FD"/>
    <w:rsid w:val="2E23315A"/>
    <w:rsid w:val="2E2E5D1F"/>
    <w:rsid w:val="2E41718E"/>
    <w:rsid w:val="2E4C5B33"/>
    <w:rsid w:val="2E4E3659"/>
    <w:rsid w:val="2E6469D8"/>
    <w:rsid w:val="2E7A4BDE"/>
    <w:rsid w:val="2E8125F6"/>
    <w:rsid w:val="2EAD3047"/>
    <w:rsid w:val="2EC11995"/>
    <w:rsid w:val="2ECC3F84"/>
    <w:rsid w:val="2EDE6FCE"/>
    <w:rsid w:val="2EEB67FF"/>
    <w:rsid w:val="2EF02962"/>
    <w:rsid w:val="2F02488C"/>
    <w:rsid w:val="2F032695"/>
    <w:rsid w:val="2F0C1856"/>
    <w:rsid w:val="2F19594C"/>
    <w:rsid w:val="2F2465CF"/>
    <w:rsid w:val="2F3E46EF"/>
    <w:rsid w:val="2F40430A"/>
    <w:rsid w:val="2F533BAE"/>
    <w:rsid w:val="2F7133A5"/>
    <w:rsid w:val="2F7F4524"/>
    <w:rsid w:val="2F825507"/>
    <w:rsid w:val="2F8D45DF"/>
    <w:rsid w:val="2FA83F6C"/>
    <w:rsid w:val="2FD35801"/>
    <w:rsid w:val="2FD75997"/>
    <w:rsid w:val="2FDE3A6E"/>
    <w:rsid w:val="2FE34799"/>
    <w:rsid w:val="2FF0726B"/>
    <w:rsid w:val="301434E7"/>
    <w:rsid w:val="301A61B0"/>
    <w:rsid w:val="30422D49"/>
    <w:rsid w:val="30535376"/>
    <w:rsid w:val="30536D05"/>
    <w:rsid w:val="30696528"/>
    <w:rsid w:val="306B309F"/>
    <w:rsid w:val="306F381A"/>
    <w:rsid w:val="3077629F"/>
    <w:rsid w:val="30835D5B"/>
    <w:rsid w:val="30847806"/>
    <w:rsid w:val="308B7312"/>
    <w:rsid w:val="308C7CB0"/>
    <w:rsid w:val="30A97210"/>
    <w:rsid w:val="30AF621C"/>
    <w:rsid w:val="30C90309"/>
    <w:rsid w:val="30CB3E03"/>
    <w:rsid w:val="30EE4C7F"/>
    <w:rsid w:val="312F460F"/>
    <w:rsid w:val="313509A7"/>
    <w:rsid w:val="313B1DF4"/>
    <w:rsid w:val="31424616"/>
    <w:rsid w:val="314357CE"/>
    <w:rsid w:val="31554CFE"/>
    <w:rsid w:val="31564310"/>
    <w:rsid w:val="315A12DA"/>
    <w:rsid w:val="316D2E95"/>
    <w:rsid w:val="317621BF"/>
    <w:rsid w:val="317E1A26"/>
    <w:rsid w:val="31815BF7"/>
    <w:rsid w:val="3182167E"/>
    <w:rsid w:val="31842302"/>
    <w:rsid w:val="318B0B72"/>
    <w:rsid w:val="318B746D"/>
    <w:rsid w:val="31927902"/>
    <w:rsid w:val="31A4385D"/>
    <w:rsid w:val="31C31664"/>
    <w:rsid w:val="31EC5C7C"/>
    <w:rsid w:val="32013E16"/>
    <w:rsid w:val="320317D2"/>
    <w:rsid w:val="320E61BF"/>
    <w:rsid w:val="3218038D"/>
    <w:rsid w:val="323375A9"/>
    <w:rsid w:val="324C5B40"/>
    <w:rsid w:val="326B5F1F"/>
    <w:rsid w:val="327D7A47"/>
    <w:rsid w:val="32806231"/>
    <w:rsid w:val="32984499"/>
    <w:rsid w:val="32A53E13"/>
    <w:rsid w:val="32AB107A"/>
    <w:rsid w:val="32B729F1"/>
    <w:rsid w:val="32BB6DE3"/>
    <w:rsid w:val="32CD0B24"/>
    <w:rsid w:val="32CD5FFE"/>
    <w:rsid w:val="32D8566D"/>
    <w:rsid w:val="32D9B601"/>
    <w:rsid w:val="32DC54F1"/>
    <w:rsid w:val="32ED1692"/>
    <w:rsid w:val="330A4F4E"/>
    <w:rsid w:val="33266D1D"/>
    <w:rsid w:val="334761B1"/>
    <w:rsid w:val="33543A27"/>
    <w:rsid w:val="336A1A14"/>
    <w:rsid w:val="337771AE"/>
    <w:rsid w:val="337C5C82"/>
    <w:rsid w:val="33913619"/>
    <w:rsid w:val="33BE25A0"/>
    <w:rsid w:val="33CC7436"/>
    <w:rsid w:val="33D956B7"/>
    <w:rsid w:val="33FB57E7"/>
    <w:rsid w:val="34007CCC"/>
    <w:rsid w:val="34095C7C"/>
    <w:rsid w:val="340D5F26"/>
    <w:rsid w:val="341E3ACD"/>
    <w:rsid w:val="34246A76"/>
    <w:rsid w:val="34277FD4"/>
    <w:rsid w:val="343B63C8"/>
    <w:rsid w:val="345E3486"/>
    <w:rsid w:val="3479242B"/>
    <w:rsid w:val="348002E4"/>
    <w:rsid w:val="348409EA"/>
    <w:rsid w:val="348E0237"/>
    <w:rsid w:val="348E2DDB"/>
    <w:rsid w:val="349A22D7"/>
    <w:rsid w:val="349A75F8"/>
    <w:rsid w:val="34A306BD"/>
    <w:rsid w:val="34A50F54"/>
    <w:rsid w:val="34B61F58"/>
    <w:rsid w:val="34C6455E"/>
    <w:rsid w:val="350E51B1"/>
    <w:rsid w:val="35212EA4"/>
    <w:rsid w:val="353177BD"/>
    <w:rsid w:val="35373AB4"/>
    <w:rsid w:val="355552CD"/>
    <w:rsid w:val="3563644D"/>
    <w:rsid w:val="35637F9E"/>
    <w:rsid w:val="356601D1"/>
    <w:rsid w:val="35692105"/>
    <w:rsid w:val="356F06AA"/>
    <w:rsid w:val="35735382"/>
    <w:rsid w:val="35782FF5"/>
    <w:rsid w:val="357C6BE3"/>
    <w:rsid w:val="35817149"/>
    <w:rsid w:val="35845539"/>
    <w:rsid w:val="359B6AF0"/>
    <w:rsid w:val="359B7B1C"/>
    <w:rsid w:val="35C91BB8"/>
    <w:rsid w:val="35DE7D7F"/>
    <w:rsid w:val="35E0477D"/>
    <w:rsid w:val="35FD1252"/>
    <w:rsid w:val="363D4CA5"/>
    <w:rsid w:val="3646710F"/>
    <w:rsid w:val="364855D2"/>
    <w:rsid w:val="36524514"/>
    <w:rsid w:val="365246A6"/>
    <w:rsid w:val="36537489"/>
    <w:rsid w:val="367227F7"/>
    <w:rsid w:val="36777DDB"/>
    <w:rsid w:val="3679323D"/>
    <w:rsid w:val="36805EF0"/>
    <w:rsid w:val="36940904"/>
    <w:rsid w:val="36AA6330"/>
    <w:rsid w:val="36AD61B6"/>
    <w:rsid w:val="36AF3103"/>
    <w:rsid w:val="36D8791B"/>
    <w:rsid w:val="3715771D"/>
    <w:rsid w:val="37413947"/>
    <w:rsid w:val="375B2A83"/>
    <w:rsid w:val="37607DE1"/>
    <w:rsid w:val="3763586F"/>
    <w:rsid w:val="377957B0"/>
    <w:rsid w:val="377A4097"/>
    <w:rsid w:val="37805A0F"/>
    <w:rsid w:val="37897CF5"/>
    <w:rsid w:val="3799396F"/>
    <w:rsid w:val="379F3789"/>
    <w:rsid w:val="37A74027"/>
    <w:rsid w:val="37BA1510"/>
    <w:rsid w:val="37C16C4A"/>
    <w:rsid w:val="37C3396C"/>
    <w:rsid w:val="37C83914"/>
    <w:rsid w:val="37DE3EDF"/>
    <w:rsid w:val="37DF256A"/>
    <w:rsid w:val="37EF0D06"/>
    <w:rsid w:val="37F60F9E"/>
    <w:rsid w:val="380A746A"/>
    <w:rsid w:val="38173F9E"/>
    <w:rsid w:val="384C4558"/>
    <w:rsid w:val="38525CFB"/>
    <w:rsid w:val="385626AD"/>
    <w:rsid w:val="385E4095"/>
    <w:rsid w:val="389D3961"/>
    <w:rsid w:val="38A9745A"/>
    <w:rsid w:val="38C00076"/>
    <w:rsid w:val="38D1499A"/>
    <w:rsid w:val="38DB2AC2"/>
    <w:rsid w:val="38DD23A1"/>
    <w:rsid w:val="38EC3078"/>
    <w:rsid w:val="38FE5C7B"/>
    <w:rsid w:val="39083A02"/>
    <w:rsid w:val="393F1E98"/>
    <w:rsid w:val="393F3623"/>
    <w:rsid w:val="39551659"/>
    <w:rsid w:val="396211FC"/>
    <w:rsid w:val="396C5D31"/>
    <w:rsid w:val="397638FE"/>
    <w:rsid w:val="397F40BE"/>
    <w:rsid w:val="3981136D"/>
    <w:rsid w:val="398A0125"/>
    <w:rsid w:val="398D772B"/>
    <w:rsid w:val="39902D77"/>
    <w:rsid w:val="399A318C"/>
    <w:rsid w:val="39A51A82"/>
    <w:rsid w:val="39A549E1"/>
    <w:rsid w:val="39AD62B5"/>
    <w:rsid w:val="39C16EF4"/>
    <w:rsid w:val="39D777AE"/>
    <w:rsid w:val="39D93862"/>
    <w:rsid w:val="39DC3DFF"/>
    <w:rsid w:val="39E855C0"/>
    <w:rsid w:val="39EE3059"/>
    <w:rsid w:val="39FA4695"/>
    <w:rsid w:val="3A1A77B0"/>
    <w:rsid w:val="3A2428FE"/>
    <w:rsid w:val="3A255BB6"/>
    <w:rsid w:val="3A326AE9"/>
    <w:rsid w:val="3A3F42AC"/>
    <w:rsid w:val="3A461B40"/>
    <w:rsid w:val="3A4E1904"/>
    <w:rsid w:val="3A7B0598"/>
    <w:rsid w:val="3A7E19E0"/>
    <w:rsid w:val="3A8148E3"/>
    <w:rsid w:val="3A8613E7"/>
    <w:rsid w:val="3AA02F76"/>
    <w:rsid w:val="3AB116BB"/>
    <w:rsid w:val="3AC56A51"/>
    <w:rsid w:val="3AD259A1"/>
    <w:rsid w:val="3AD31550"/>
    <w:rsid w:val="3B080AEA"/>
    <w:rsid w:val="3B102C79"/>
    <w:rsid w:val="3B1479D8"/>
    <w:rsid w:val="3B160EF5"/>
    <w:rsid w:val="3B163570"/>
    <w:rsid w:val="3B2C3654"/>
    <w:rsid w:val="3B4E15CE"/>
    <w:rsid w:val="3B607DD8"/>
    <w:rsid w:val="3B627439"/>
    <w:rsid w:val="3B6F6E58"/>
    <w:rsid w:val="3B7732BF"/>
    <w:rsid w:val="3B856C9C"/>
    <w:rsid w:val="3B9B6E62"/>
    <w:rsid w:val="3BB30F9F"/>
    <w:rsid w:val="3BD677BA"/>
    <w:rsid w:val="3BD71548"/>
    <w:rsid w:val="3BDF7FE6"/>
    <w:rsid w:val="3BEC7F04"/>
    <w:rsid w:val="3BF410C6"/>
    <w:rsid w:val="3BF63A35"/>
    <w:rsid w:val="3C01043E"/>
    <w:rsid w:val="3C0637C5"/>
    <w:rsid w:val="3C0A20E8"/>
    <w:rsid w:val="3C116F0F"/>
    <w:rsid w:val="3C143771"/>
    <w:rsid w:val="3C144568"/>
    <w:rsid w:val="3C1B372E"/>
    <w:rsid w:val="3C3178FE"/>
    <w:rsid w:val="3C6B29AE"/>
    <w:rsid w:val="3C87761C"/>
    <w:rsid w:val="3C882D21"/>
    <w:rsid w:val="3C9A442B"/>
    <w:rsid w:val="3CAD1E92"/>
    <w:rsid w:val="3CB322FE"/>
    <w:rsid w:val="3CBA38CF"/>
    <w:rsid w:val="3CBE0D7A"/>
    <w:rsid w:val="3CD65A21"/>
    <w:rsid w:val="3CDA605D"/>
    <w:rsid w:val="3CDC023F"/>
    <w:rsid w:val="3CE24225"/>
    <w:rsid w:val="3CE53EEB"/>
    <w:rsid w:val="3CED6D57"/>
    <w:rsid w:val="3D046A03"/>
    <w:rsid w:val="3D2F28A7"/>
    <w:rsid w:val="3D362BD2"/>
    <w:rsid w:val="3D4527F4"/>
    <w:rsid w:val="3D4A58EF"/>
    <w:rsid w:val="3D531B62"/>
    <w:rsid w:val="3D6C00EB"/>
    <w:rsid w:val="3D7F5B7C"/>
    <w:rsid w:val="3D7F614C"/>
    <w:rsid w:val="3D982B1C"/>
    <w:rsid w:val="3DA3607C"/>
    <w:rsid w:val="3DA62AE3"/>
    <w:rsid w:val="3DB039E8"/>
    <w:rsid w:val="3DBB1392"/>
    <w:rsid w:val="3DDA30F7"/>
    <w:rsid w:val="3DE94630"/>
    <w:rsid w:val="3DE96E40"/>
    <w:rsid w:val="3DF53DC1"/>
    <w:rsid w:val="3E097590"/>
    <w:rsid w:val="3E167319"/>
    <w:rsid w:val="3E17301D"/>
    <w:rsid w:val="3E1932D9"/>
    <w:rsid w:val="3E1F5C45"/>
    <w:rsid w:val="3E334074"/>
    <w:rsid w:val="3E412892"/>
    <w:rsid w:val="3E45B04A"/>
    <w:rsid w:val="3E476B1C"/>
    <w:rsid w:val="3E4B51D7"/>
    <w:rsid w:val="3E5A6F43"/>
    <w:rsid w:val="3E5F5B84"/>
    <w:rsid w:val="3E6C67AA"/>
    <w:rsid w:val="3E6D5506"/>
    <w:rsid w:val="3EB8671E"/>
    <w:rsid w:val="3EDC6A5F"/>
    <w:rsid w:val="3EE212C3"/>
    <w:rsid w:val="3EF26A86"/>
    <w:rsid w:val="3F087854"/>
    <w:rsid w:val="3F0D17FC"/>
    <w:rsid w:val="3F1E2E26"/>
    <w:rsid w:val="3F231BA4"/>
    <w:rsid w:val="3F3271BB"/>
    <w:rsid w:val="3F3B4506"/>
    <w:rsid w:val="3F444158"/>
    <w:rsid w:val="3F536D21"/>
    <w:rsid w:val="3F9F6674"/>
    <w:rsid w:val="3FAB2A66"/>
    <w:rsid w:val="3FB04EB5"/>
    <w:rsid w:val="3FDD245A"/>
    <w:rsid w:val="3FDE52AE"/>
    <w:rsid w:val="3FF302A3"/>
    <w:rsid w:val="401458C1"/>
    <w:rsid w:val="40254A9D"/>
    <w:rsid w:val="402A48D4"/>
    <w:rsid w:val="402F4E97"/>
    <w:rsid w:val="402F6255"/>
    <w:rsid w:val="404D3F07"/>
    <w:rsid w:val="405753F3"/>
    <w:rsid w:val="406A39EB"/>
    <w:rsid w:val="40701293"/>
    <w:rsid w:val="40853C31"/>
    <w:rsid w:val="40AA07A9"/>
    <w:rsid w:val="40C26D6E"/>
    <w:rsid w:val="40D36688"/>
    <w:rsid w:val="40E829D4"/>
    <w:rsid w:val="41044302"/>
    <w:rsid w:val="41084141"/>
    <w:rsid w:val="410E722C"/>
    <w:rsid w:val="411C4354"/>
    <w:rsid w:val="411E6C03"/>
    <w:rsid w:val="413A1661"/>
    <w:rsid w:val="414A70F3"/>
    <w:rsid w:val="41566655"/>
    <w:rsid w:val="4163028E"/>
    <w:rsid w:val="417906E9"/>
    <w:rsid w:val="4183075F"/>
    <w:rsid w:val="41917B60"/>
    <w:rsid w:val="41987C6E"/>
    <w:rsid w:val="41E371DD"/>
    <w:rsid w:val="41E658BD"/>
    <w:rsid w:val="41EB37AC"/>
    <w:rsid w:val="41F6765C"/>
    <w:rsid w:val="41F7233C"/>
    <w:rsid w:val="421A17F2"/>
    <w:rsid w:val="4226593D"/>
    <w:rsid w:val="423C28F8"/>
    <w:rsid w:val="423F1A36"/>
    <w:rsid w:val="42546990"/>
    <w:rsid w:val="425A6618"/>
    <w:rsid w:val="425D1C65"/>
    <w:rsid w:val="4262727B"/>
    <w:rsid w:val="426976B5"/>
    <w:rsid w:val="42710AB4"/>
    <w:rsid w:val="42722BCF"/>
    <w:rsid w:val="427576B8"/>
    <w:rsid w:val="427D578B"/>
    <w:rsid w:val="42831D8E"/>
    <w:rsid w:val="428760F1"/>
    <w:rsid w:val="42944A2F"/>
    <w:rsid w:val="42A5007F"/>
    <w:rsid w:val="42AB5699"/>
    <w:rsid w:val="42AF2239"/>
    <w:rsid w:val="42BA0A8F"/>
    <w:rsid w:val="42C376FE"/>
    <w:rsid w:val="42C74678"/>
    <w:rsid w:val="42CC74D0"/>
    <w:rsid w:val="42D5354C"/>
    <w:rsid w:val="42D93FD0"/>
    <w:rsid w:val="42DA32B5"/>
    <w:rsid w:val="42EF3C6F"/>
    <w:rsid w:val="430A310A"/>
    <w:rsid w:val="4325415A"/>
    <w:rsid w:val="433169DA"/>
    <w:rsid w:val="43365456"/>
    <w:rsid w:val="43446933"/>
    <w:rsid w:val="434A043B"/>
    <w:rsid w:val="434C3A5B"/>
    <w:rsid w:val="4360054D"/>
    <w:rsid w:val="436942D4"/>
    <w:rsid w:val="43951D96"/>
    <w:rsid w:val="43955308"/>
    <w:rsid w:val="43992BE7"/>
    <w:rsid w:val="43A460B5"/>
    <w:rsid w:val="43AA237A"/>
    <w:rsid w:val="43B864F2"/>
    <w:rsid w:val="43C653C7"/>
    <w:rsid w:val="43C72598"/>
    <w:rsid w:val="43C96710"/>
    <w:rsid w:val="43CC7AED"/>
    <w:rsid w:val="43D91F6F"/>
    <w:rsid w:val="43FC61F4"/>
    <w:rsid w:val="440305EA"/>
    <w:rsid w:val="44123B2B"/>
    <w:rsid w:val="44132AE2"/>
    <w:rsid w:val="441B66A3"/>
    <w:rsid w:val="44242A3A"/>
    <w:rsid w:val="44264774"/>
    <w:rsid w:val="442A4C48"/>
    <w:rsid w:val="443D2366"/>
    <w:rsid w:val="44445A2C"/>
    <w:rsid w:val="44507A88"/>
    <w:rsid w:val="44746709"/>
    <w:rsid w:val="44786B45"/>
    <w:rsid w:val="448355E4"/>
    <w:rsid w:val="44865978"/>
    <w:rsid w:val="448A62F2"/>
    <w:rsid w:val="449053BE"/>
    <w:rsid w:val="449F47B6"/>
    <w:rsid w:val="44A358F9"/>
    <w:rsid w:val="44BC6E13"/>
    <w:rsid w:val="44BE5E0A"/>
    <w:rsid w:val="44D73878"/>
    <w:rsid w:val="44EB382A"/>
    <w:rsid w:val="4512648B"/>
    <w:rsid w:val="45262197"/>
    <w:rsid w:val="453D1D4A"/>
    <w:rsid w:val="45455340"/>
    <w:rsid w:val="455255ED"/>
    <w:rsid w:val="45577096"/>
    <w:rsid w:val="45696229"/>
    <w:rsid w:val="457A00E6"/>
    <w:rsid w:val="45903F48"/>
    <w:rsid w:val="45B95404"/>
    <w:rsid w:val="45D01C84"/>
    <w:rsid w:val="45E00D08"/>
    <w:rsid w:val="45E84276"/>
    <w:rsid w:val="461865CE"/>
    <w:rsid w:val="46407F04"/>
    <w:rsid w:val="464A59F6"/>
    <w:rsid w:val="46515AE5"/>
    <w:rsid w:val="46792157"/>
    <w:rsid w:val="468872F7"/>
    <w:rsid w:val="46B91B8C"/>
    <w:rsid w:val="46BD7176"/>
    <w:rsid w:val="46D16F6D"/>
    <w:rsid w:val="46EB41EB"/>
    <w:rsid w:val="46F25987"/>
    <w:rsid w:val="46F856A4"/>
    <w:rsid w:val="47001DE8"/>
    <w:rsid w:val="47021329"/>
    <w:rsid w:val="47087C9A"/>
    <w:rsid w:val="47090B24"/>
    <w:rsid w:val="471072A6"/>
    <w:rsid w:val="472A0F4D"/>
    <w:rsid w:val="47356D0C"/>
    <w:rsid w:val="4751520E"/>
    <w:rsid w:val="47544D23"/>
    <w:rsid w:val="47554B64"/>
    <w:rsid w:val="476669C6"/>
    <w:rsid w:val="476A2E5A"/>
    <w:rsid w:val="477517FF"/>
    <w:rsid w:val="477F1D6D"/>
    <w:rsid w:val="4793669A"/>
    <w:rsid w:val="479E2B56"/>
    <w:rsid w:val="47B440D5"/>
    <w:rsid w:val="47B6420E"/>
    <w:rsid w:val="47DB78B4"/>
    <w:rsid w:val="47F43FCB"/>
    <w:rsid w:val="47F711E9"/>
    <w:rsid w:val="47FE6991"/>
    <w:rsid w:val="48055032"/>
    <w:rsid w:val="480D021F"/>
    <w:rsid w:val="481539A3"/>
    <w:rsid w:val="482051F9"/>
    <w:rsid w:val="482864A2"/>
    <w:rsid w:val="484C3986"/>
    <w:rsid w:val="484E328B"/>
    <w:rsid w:val="485460B3"/>
    <w:rsid w:val="48774BBF"/>
    <w:rsid w:val="487B57FD"/>
    <w:rsid w:val="487D485E"/>
    <w:rsid w:val="4881622C"/>
    <w:rsid w:val="48AB55FB"/>
    <w:rsid w:val="48AC0690"/>
    <w:rsid w:val="48AC275F"/>
    <w:rsid w:val="48AD113E"/>
    <w:rsid w:val="48B350B4"/>
    <w:rsid w:val="48C37200"/>
    <w:rsid w:val="48D33786"/>
    <w:rsid w:val="48DA500C"/>
    <w:rsid w:val="48E852E0"/>
    <w:rsid w:val="48E97999"/>
    <w:rsid w:val="48F338F7"/>
    <w:rsid w:val="48F84495"/>
    <w:rsid w:val="48F86243"/>
    <w:rsid w:val="490878C6"/>
    <w:rsid w:val="4911426B"/>
    <w:rsid w:val="491744FA"/>
    <w:rsid w:val="49202EED"/>
    <w:rsid w:val="49450F20"/>
    <w:rsid w:val="495711BC"/>
    <w:rsid w:val="496A763E"/>
    <w:rsid w:val="49726EB9"/>
    <w:rsid w:val="49774939"/>
    <w:rsid w:val="497A1012"/>
    <w:rsid w:val="497B2B06"/>
    <w:rsid w:val="499E6DEB"/>
    <w:rsid w:val="49AF5C87"/>
    <w:rsid w:val="49B72A9C"/>
    <w:rsid w:val="49CD051B"/>
    <w:rsid w:val="49CD0ECC"/>
    <w:rsid w:val="49D51486"/>
    <w:rsid w:val="49E328B0"/>
    <w:rsid w:val="49F20EE5"/>
    <w:rsid w:val="49FD772E"/>
    <w:rsid w:val="4A003FE9"/>
    <w:rsid w:val="4A14434A"/>
    <w:rsid w:val="4A363525"/>
    <w:rsid w:val="4A392BEC"/>
    <w:rsid w:val="4A3E37CF"/>
    <w:rsid w:val="4A4F2914"/>
    <w:rsid w:val="4A522E15"/>
    <w:rsid w:val="4A550BDA"/>
    <w:rsid w:val="4A63300C"/>
    <w:rsid w:val="4A90381C"/>
    <w:rsid w:val="4A914BA1"/>
    <w:rsid w:val="4AA56CAA"/>
    <w:rsid w:val="4AAE6DC8"/>
    <w:rsid w:val="4AAF4334"/>
    <w:rsid w:val="4AB54787"/>
    <w:rsid w:val="4ABA7C9E"/>
    <w:rsid w:val="4AC35772"/>
    <w:rsid w:val="4AC65027"/>
    <w:rsid w:val="4AF54207"/>
    <w:rsid w:val="4B0A6930"/>
    <w:rsid w:val="4B150627"/>
    <w:rsid w:val="4B28025D"/>
    <w:rsid w:val="4B2B6F13"/>
    <w:rsid w:val="4B2F3620"/>
    <w:rsid w:val="4B3B666B"/>
    <w:rsid w:val="4B4D496C"/>
    <w:rsid w:val="4B55797D"/>
    <w:rsid w:val="4B5F25AA"/>
    <w:rsid w:val="4B695E19"/>
    <w:rsid w:val="4B74553E"/>
    <w:rsid w:val="4B943D60"/>
    <w:rsid w:val="4B990106"/>
    <w:rsid w:val="4BCD55DC"/>
    <w:rsid w:val="4C203779"/>
    <w:rsid w:val="4C293CDF"/>
    <w:rsid w:val="4C2D72F8"/>
    <w:rsid w:val="4C3432B4"/>
    <w:rsid w:val="4C351555"/>
    <w:rsid w:val="4C475409"/>
    <w:rsid w:val="4C4F1E39"/>
    <w:rsid w:val="4C502F9B"/>
    <w:rsid w:val="4C583BC9"/>
    <w:rsid w:val="4C5B0F68"/>
    <w:rsid w:val="4C781120"/>
    <w:rsid w:val="4C787E88"/>
    <w:rsid w:val="4C7D6434"/>
    <w:rsid w:val="4C831317"/>
    <w:rsid w:val="4C9A2375"/>
    <w:rsid w:val="4CC219A1"/>
    <w:rsid w:val="4CD104FC"/>
    <w:rsid w:val="4CD3309A"/>
    <w:rsid w:val="4CD56832"/>
    <w:rsid w:val="4CDB07FE"/>
    <w:rsid w:val="4CE10AA6"/>
    <w:rsid w:val="4CE730E0"/>
    <w:rsid w:val="4CEEB104"/>
    <w:rsid w:val="4CF117C2"/>
    <w:rsid w:val="4CF338F1"/>
    <w:rsid w:val="4CFF4044"/>
    <w:rsid w:val="4D186F1E"/>
    <w:rsid w:val="4D1C2677"/>
    <w:rsid w:val="4D214CC1"/>
    <w:rsid w:val="4D2E3170"/>
    <w:rsid w:val="4D357576"/>
    <w:rsid w:val="4D382F3D"/>
    <w:rsid w:val="4D4203D5"/>
    <w:rsid w:val="4D6F29BB"/>
    <w:rsid w:val="4D8637D0"/>
    <w:rsid w:val="4D9725D8"/>
    <w:rsid w:val="4D9D459A"/>
    <w:rsid w:val="4DB7190B"/>
    <w:rsid w:val="4DB95832"/>
    <w:rsid w:val="4DC64783"/>
    <w:rsid w:val="4DC92CAF"/>
    <w:rsid w:val="4DD931AD"/>
    <w:rsid w:val="4DDC4386"/>
    <w:rsid w:val="4DFD14CB"/>
    <w:rsid w:val="4E3A1A62"/>
    <w:rsid w:val="4E3D5780"/>
    <w:rsid w:val="4E573A0C"/>
    <w:rsid w:val="4E6A4F7D"/>
    <w:rsid w:val="4E7255AE"/>
    <w:rsid w:val="4E7F4AAD"/>
    <w:rsid w:val="4E892DDF"/>
    <w:rsid w:val="4E912D1A"/>
    <w:rsid w:val="4E9702AC"/>
    <w:rsid w:val="4E991A77"/>
    <w:rsid w:val="4EA22E67"/>
    <w:rsid w:val="4EA474EE"/>
    <w:rsid w:val="4EAB5F49"/>
    <w:rsid w:val="4EB64A0E"/>
    <w:rsid w:val="4EC12668"/>
    <w:rsid w:val="4ED630ED"/>
    <w:rsid w:val="4EDD6366"/>
    <w:rsid w:val="4EE26067"/>
    <w:rsid w:val="4EE47996"/>
    <w:rsid w:val="4EE97817"/>
    <w:rsid w:val="4EEF746A"/>
    <w:rsid w:val="4EFF0B5D"/>
    <w:rsid w:val="4F136752"/>
    <w:rsid w:val="4F275C0C"/>
    <w:rsid w:val="4F346169"/>
    <w:rsid w:val="4F3519C9"/>
    <w:rsid w:val="4F3E72CC"/>
    <w:rsid w:val="4F4617CE"/>
    <w:rsid w:val="4F600861"/>
    <w:rsid w:val="4F622397"/>
    <w:rsid w:val="4F724377"/>
    <w:rsid w:val="4F7C0D5D"/>
    <w:rsid w:val="4F871419"/>
    <w:rsid w:val="4F8B7E11"/>
    <w:rsid w:val="4F936F62"/>
    <w:rsid w:val="4F9A59CD"/>
    <w:rsid w:val="4FA8123B"/>
    <w:rsid w:val="4FB3477D"/>
    <w:rsid w:val="4FC43758"/>
    <w:rsid w:val="4FC70B10"/>
    <w:rsid w:val="4FD5018E"/>
    <w:rsid w:val="4FDA1A9F"/>
    <w:rsid w:val="4FDF5CAB"/>
    <w:rsid w:val="4FE40303"/>
    <w:rsid w:val="4FEB0122"/>
    <w:rsid w:val="4FED287A"/>
    <w:rsid w:val="4FEF1931"/>
    <w:rsid w:val="4FF5922D"/>
    <w:rsid w:val="500E557E"/>
    <w:rsid w:val="501D0414"/>
    <w:rsid w:val="502445CE"/>
    <w:rsid w:val="502B6CBA"/>
    <w:rsid w:val="503016DC"/>
    <w:rsid w:val="504D23D4"/>
    <w:rsid w:val="505518B5"/>
    <w:rsid w:val="506762CA"/>
    <w:rsid w:val="507A5297"/>
    <w:rsid w:val="508828B2"/>
    <w:rsid w:val="50891EC9"/>
    <w:rsid w:val="508D365F"/>
    <w:rsid w:val="5094722E"/>
    <w:rsid w:val="509A37E3"/>
    <w:rsid w:val="509E1DC6"/>
    <w:rsid w:val="50A33B05"/>
    <w:rsid w:val="50AC17BB"/>
    <w:rsid w:val="50B34D82"/>
    <w:rsid w:val="50B53083"/>
    <w:rsid w:val="50B73CE2"/>
    <w:rsid w:val="50B8238B"/>
    <w:rsid w:val="50CF4741"/>
    <w:rsid w:val="50FD5237"/>
    <w:rsid w:val="51160693"/>
    <w:rsid w:val="51192CAF"/>
    <w:rsid w:val="512D795D"/>
    <w:rsid w:val="512F5B8D"/>
    <w:rsid w:val="51495E88"/>
    <w:rsid w:val="514E6A22"/>
    <w:rsid w:val="51541348"/>
    <w:rsid w:val="516B6686"/>
    <w:rsid w:val="516B74D5"/>
    <w:rsid w:val="518A329F"/>
    <w:rsid w:val="51B15182"/>
    <w:rsid w:val="51B234F8"/>
    <w:rsid w:val="51B63682"/>
    <w:rsid w:val="51CB07D0"/>
    <w:rsid w:val="51CE1F40"/>
    <w:rsid w:val="51D053AA"/>
    <w:rsid w:val="51D06C18"/>
    <w:rsid w:val="51D91EE8"/>
    <w:rsid w:val="51E17694"/>
    <w:rsid w:val="5201104D"/>
    <w:rsid w:val="521555D1"/>
    <w:rsid w:val="521913BA"/>
    <w:rsid w:val="521F160C"/>
    <w:rsid w:val="522001DE"/>
    <w:rsid w:val="522A70ED"/>
    <w:rsid w:val="523F1387"/>
    <w:rsid w:val="52493F12"/>
    <w:rsid w:val="5255558D"/>
    <w:rsid w:val="525B5502"/>
    <w:rsid w:val="52635075"/>
    <w:rsid w:val="52692721"/>
    <w:rsid w:val="526D025F"/>
    <w:rsid w:val="52955D9C"/>
    <w:rsid w:val="52A70A18"/>
    <w:rsid w:val="52B2167C"/>
    <w:rsid w:val="52B41D71"/>
    <w:rsid w:val="52BB2A93"/>
    <w:rsid w:val="52DD20EB"/>
    <w:rsid w:val="52E33BCD"/>
    <w:rsid w:val="52E8717A"/>
    <w:rsid w:val="52EC1BD1"/>
    <w:rsid w:val="531B0DBD"/>
    <w:rsid w:val="53461010"/>
    <w:rsid w:val="5347346F"/>
    <w:rsid w:val="5349411C"/>
    <w:rsid w:val="534E733E"/>
    <w:rsid w:val="535168EB"/>
    <w:rsid w:val="535778B4"/>
    <w:rsid w:val="53723F4D"/>
    <w:rsid w:val="5374447A"/>
    <w:rsid w:val="537A33A1"/>
    <w:rsid w:val="539F5E24"/>
    <w:rsid w:val="53B34101"/>
    <w:rsid w:val="53BE3A4C"/>
    <w:rsid w:val="53C06406"/>
    <w:rsid w:val="53D25373"/>
    <w:rsid w:val="53D65E65"/>
    <w:rsid w:val="53F24D97"/>
    <w:rsid w:val="53F97A4A"/>
    <w:rsid w:val="54051227"/>
    <w:rsid w:val="541331EB"/>
    <w:rsid w:val="541A7413"/>
    <w:rsid w:val="541B17A9"/>
    <w:rsid w:val="54435B43"/>
    <w:rsid w:val="544C0BBA"/>
    <w:rsid w:val="544F7290"/>
    <w:rsid w:val="54515984"/>
    <w:rsid w:val="545D75A4"/>
    <w:rsid w:val="54611F7D"/>
    <w:rsid w:val="546A41FA"/>
    <w:rsid w:val="5471253B"/>
    <w:rsid w:val="54745318"/>
    <w:rsid w:val="54817D48"/>
    <w:rsid w:val="548F7D73"/>
    <w:rsid w:val="54A0038E"/>
    <w:rsid w:val="54A06F34"/>
    <w:rsid w:val="54A1691F"/>
    <w:rsid w:val="54A2695B"/>
    <w:rsid w:val="54B4724C"/>
    <w:rsid w:val="54BE4FA1"/>
    <w:rsid w:val="54C87E9C"/>
    <w:rsid w:val="54CB5214"/>
    <w:rsid w:val="54E2413E"/>
    <w:rsid w:val="54E90156"/>
    <w:rsid w:val="54F00716"/>
    <w:rsid w:val="550603CC"/>
    <w:rsid w:val="5516017D"/>
    <w:rsid w:val="551A61C1"/>
    <w:rsid w:val="552E1437"/>
    <w:rsid w:val="55325CA9"/>
    <w:rsid w:val="556067CE"/>
    <w:rsid w:val="556B7A9B"/>
    <w:rsid w:val="557B441B"/>
    <w:rsid w:val="55947B94"/>
    <w:rsid w:val="55A5143F"/>
    <w:rsid w:val="55B456F3"/>
    <w:rsid w:val="55C049DC"/>
    <w:rsid w:val="55C72FB5"/>
    <w:rsid w:val="55D2572A"/>
    <w:rsid w:val="55E353FE"/>
    <w:rsid w:val="55ED0D1A"/>
    <w:rsid w:val="55FE4202"/>
    <w:rsid w:val="560C5695"/>
    <w:rsid w:val="56335103"/>
    <w:rsid w:val="5637740B"/>
    <w:rsid w:val="56387080"/>
    <w:rsid w:val="563F3703"/>
    <w:rsid w:val="56593530"/>
    <w:rsid w:val="568D53FB"/>
    <w:rsid w:val="56926383"/>
    <w:rsid w:val="569B4A27"/>
    <w:rsid w:val="56A42364"/>
    <w:rsid w:val="56A86526"/>
    <w:rsid w:val="56AA4B5B"/>
    <w:rsid w:val="56AC1389"/>
    <w:rsid w:val="56AE4583"/>
    <w:rsid w:val="56BB2D41"/>
    <w:rsid w:val="56CF3435"/>
    <w:rsid w:val="56E20DC9"/>
    <w:rsid w:val="56F429AE"/>
    <w:rsid w:val="56FBD530"/>
    <w:rsid w:val="571548F1"/>
    <w:rsid w:val="572F0E3A"/>
    <w:rsid w:val="572F1D7A"/>
    <w:rsid w:val="57305663"/>
    <w:rsid w:val="57351CDC"/>
    <w:rsid w:val="573657C4"/>
    <w:rsid w:val="573E722C"/>
    <w:rsid w:val="57414038"/>
    <w:rsid w:val="57432E14"/>
    <w:rsid w:val="57547876"/>
    <w:rsid w:val="5767551A"/>
    <w:rsid w:val="57680227"/>
    <w:rsid w:val="576B2687"/>
    <w:rsid w:val="577E684A"/>
    <w:rsid w:val="578B5F50"/>
    <w:rsid w:val="578E6BE2"/>
    <w:rsid w:val="57AD28EF"/>
    <w:rsid w:val="57D21938"/>
    <w:rsid w:val="57DF5099"/>
    <w:rsid w:val="57EE3633"/>
    <w:rsid w:val="58032313"/>
    <w:rsid w:val="582D4E7E"/>
    <w:rsid w:val="58502009"/>
    <w:rsid w:val="58506E64"/>
    <w:rsid w:val="58AC3B96"/>
    <w:rsid w:val="58C549B8"/>
    <w:rsid w:val="58C93758"/>
    <w:rsid w:val="58CD149A"/>
    <w:rsid w:val="58D0757D"/>
    <w:rsid w:val="58F02B16"/>
    <w:rsid w:val="58FB17CE"/>
    <w:rsid w:val="59186E56"/>
    <w:rsid w:val="59243130"/>
    <w:rsid w:val="59440137"/>
    <w:rsid w:val="594A4767"/>
    <w:rsid w:val="595A2602"/>
    <w:rsid w:val="59625CD5"/>
    <w:rsid w:val="5967123C"/>
    <w:rsid w:val="59821298"/>
    <w:rsid w:val="598259D7"/>
    <w:rsid w:val="598E7A6B"/>
    <w:rsid w:val="5998623D"/>
    <w:rsid w:val="59AC17E9"/>
    <w:rsid w:val="59B24CDC"/>
    <w:rsid w:val="59B862D1"/>
    <w:rsid w:val="59BA3933"/>
    <w:rsid w:val="59BF227F"/>
    <w:rsid w:val="59C11035"/>
    <w:rsid w:val="59C15552"/>
    <w:rsid w:val="59D2396D"/>
    <w:rsid w:val="59D93E6F"/>
    <w:rsid w:val="59E94C01"/>
    <w:rsid w:val="59F76576"/>
    <w:rsid w:val="59F91B3E"/>
    <w:rsid w:val="5A252C10"/>
    <w:rsid w:val="5A4920A9"/>
    <w:rsid w:val="5A740BE3"/>
    <w:rsid w:val="5A9265B8"/>
    <w:rsid w:val="5A9409E7"/>
    <w:rsid w:val="5A9F6E0C"/>
    <w:rsid w:val="5AB17215"/>
    <w:rsid w:val="5AB628C1"/>
    <w:rsid w:val="5AB864A8"/>
    <w:rsid w:val="5ABD446A"/>
    <w:rsid w:val="5AC80C0B"/>
    <w:rsid w:val="5AC84955"/>
    <w:rsid w:val="5ACA1DE0"/>
    <w:rsid w:val="5ACB3CC7"/>
    <w:rsid w:val="5AD52888"/>
    <w:rsid w:val="5AD648F7"/>
    <w:rsid w:val="5AEF7A42"/>
    <w:rsid w:val="5B370563"/>
    <w:rsid w:val="5B3F588B"/>
    <w:rsid w:val="5B4919F0"/>
    <w:rsid w:val="5B53063D"/>
    <w:rsid w:val="5B6360E6"/>
    <w:rsid w:val="5B7855EF"/>
    <w:rsid w:val="5B8256C6"/>
    <w:rsid w:val="5B93114D"/>
    <w:rsid w:val="5BA23B41"/>
    <w:rsid w:val="5BA80476"/>
    <w:rsid w:val="5BAD3972"/>
    <w:rsid w:val="5BBB2C8C"/>
    <w:rsid w:val="5BBF103E"/>
    <w:rsid w:val="5BC26D22"/>
    <w:rsid w:val="5BD538CD"/>
    <w:rsid w:val="5BDF5506"/>
    <w:rsid w:val="5BE94C56"/>
    <w:rsid w:val="5BEE41EF"/>
    <w:rsid w:val="5BFC35B7"/>
    <w:rsid w:val="5C0C3C2E"/>
    <w:rsid w:val="5C0E5AC7"/>
    <w:rsid w:val="5C2B5E60"/>
    <w:rsid w:val="5C2F2869"/>
    <w:rsid w:val="5C6171FB"/>
    <w:rsid w:val="5C6C4B26"/>
    <w:rsid w:val="5C717A62"/>
    <w:rsid w:val="5CBE31F8"/>
    <w:rsid w:val="5CCC17F3"/>
    <w:rsid w:val="5CE56107"/>
    <w:rsid w:val="5D063660"/>
    <w:rsid w:val="5D085705"/>
    <w:rsid w:val="5D0E56B3"/>
    <w:rsid w:val="5D206B1C"/>
    <w:rsid w:val="5D264558"/>
    <w:rsid w:val="5D3648D2"/>
    <w:rsid w:val="5D427BD3"/>
    <w:rsid w:val="5D520BBA"/>
    <w:rsid w:val="5D530520"/>
    <w:rsid w:val="5D6A7812"/>
    <w:rsid w:val="5D7C523D"/>
    <w:rsid w:val="5D866A48"/>
    <w:rsid w:val="5D8E5BCA"/>
    <w:rsid w:val="5D8F6EFE"/>
    <w:rsid w:val="5D9545B9"/>
    <w:rsid w:val="5DAB659C"/>
    <w:rsid w:val="5DBB7FBF"/>
    <w:rsid w:val="5DF44155"/>
    <w:rsid w:val="5DF703C1"/>
    <w:rsid w:val="5DFA387C"/>
    <w:rsid w:val="5E317731"/>
    <w:rsid w:val="5E342DDC"/>
    <w:rsid w:val="5E567AD3"/>
    <w:rsid w:val="5E5F37E5"/>
    <w:rsid w:val="5E63574A"/>
    <w:rsid w:val="5E727EF9"/>
    <w:rsid w:val="5E7856ED"/>
    <w:rsid w:val="5E824AEF"/>
    <w:rsid w:val="5E831EED"/>
    <w:rsid w:val="5E976B50"/>
    <w:rsid w:val="5EA3463D"/>
    <w:rsid w:val="5EA40191"/>
    <w:rsid w:val="5EA507C4"/>
    <w:rsid w:val="5EBA426F"/>
    <w:rsid w:val="5ECF79DA"/>
    <w:rsid w:val="5ED33EAA"/>
    <w:rsid w:val="5F0A5B7B"/>
    <w:rsid w:val="5F275D50"/>
    <w:rsid w:val="5F315E14"/>
    <w:rsid w:val="5F41056E"/>
    <w:rsid w:val="5F5E7196"/>
    <w:rsid w:val="5F6441DB"/>
    <w:rsid w:val="5F9B2D2A"/>
    <w:rsid w:val="5FA01A2A"/>
    <w:rsid w:val="5FAB74A6"/>
    <w:rsid w:val="5FB57A68"/>
    <w:rsid w:val="5FB97DE1"/>
    <w:rsid w:val="5FDE3F8D"/>
    <w:rsid w:val="5FEE6054"/>
    <w:rsid w:val="5FF41797"/>
    <w:rsid w:val="5FF84D00"/>
    <w:rsid w:val="601B5BA5"/>
    <w:rsid w:val="60254888"/>
    <w:rsid w:val="603172AE"/>
    <w:rsid w:val="60381469"/>
    <w:rsid w:val="6066176E"/>
    <w:rsid w:val="607050C2"/>
    <w:rsid w:val="60962B30"/>
    <w:rsid w:val="60A46F85"/>
    <w:rsid w:val="60D01B21"/>
    <w:rsid w:val="60E65F26"/>
    <w:rsid w:val="610B37B3"/>
    <w:rsid w:val="61136D51"/>
    <w:rsid w:val="61173FC7"/>
    <w:rsid w:val="611D5553"/>
    <w:rsid w:val="613245A4"/>
    <w:rsid w:val="613942EB"/>
    <w:rsid w:val="614076FE"/>
    <w:rsid w:val="61437D16"/>
    <w:rsid w:val="614C390D"/>
    <w:rsid w:val="615D7BFF"/>
    <w:rsid w:val="61667D19"/>
    <w:rsid w:val="616E43DB"/>
    <w:rsid w:val="6193597B"/>
    <w:rsid w:val="619E61FD"/>
    <w:rsid w:val="61BD1F3B"/>
    <w:rsid w:val="61C1200D"/>
    <w:rsid w:val="61C1318E"/>
    <w:rsid w:val="61C1570C"/>
    <w:rsid w:val="61D27EB7"/>
    <w:rsid w:val="61EB72DC"/>
    <w:rsid w:val="61EC370B"/>
    <w:rsid w:val="61EF6BBC"/>
    <w:rsid w:val="61F155FB"/>
    <w:rsid w:val="61F3554E"/>
    <w:rsid w:val="62164104"/>
    <w:rsid w:val="62171AFF"/>
    <w:rsid w:val="621F2D3C"/>
    <w:rsid w:val="6258410D"/>
    <w:rsid w:val="626649C6"/>
    <w:rsid w:val="627632CC"/>
    <w:rsid w:val="62805AE5"/>
    <w:rsid w:val="62895F5C"/>
    <w:rsid w:val="62962BDD"/>
    <w:rsid w:val="629C0DE1"/>
    <w:rsid w:val="62A43808"/>
    <w:rsid w:val="62A90295"/>
    <w:rsid w:val="62B52A1E"/>
    <w:rsid w:val="62C36C0B"/>
    <w:rsid w:val="62C45F51"/>
    <w:rsid w:val="62D831CE"/>
    <w:rsid w:val="62E269C1"/>
    <w:rsid w:val="62F10032"/>
    <w:rsid w:val="62F802E3"/>
    <w:rsid w:val="62FC0316"/>
    <w:rsid w:val="630730FD"/>
    <w:rsid w:val="63182B98"/>
    <w:rsid w:val="6322220C"/>
    <w:rsid w:val="6327242C"/>
    <w:rsid w:val="632F68AE"/>
    <w:rsid w:val="633F699C"/>
    <w:rsid w:val="634F13C9"/>
    <w:rsid w:val="63534C92"/>
    <w:rsid w:val="636B63CC"/>
    <w:rsid w:val="63711163"/>
    <w:rsid w:val="637D77F6"/>
    <w:rsid w:val="637F59A6"/>
    <w:rsid w:val="638030B4"/>
    <w:rsid w:val="638A7D46"/>
    <w:rsid w:val="638C77B8"/>
    <w:rsid w:val="639D7154"/>
    <w:rsid w:val="63A50CFB"/>
    <w:rsid w:val="63A764BF"/>
    <w:rsid w:val="63CD1390"/>
    <w:rsid w:val="63CF02CC"/>
    <w:rsid w:val="63CF77E6"/>
    <w:rsid w:val="63D222CD"/>
    <w:rsid w:val="63D647CB"/>
    <w:rsid w:val="63DC0D46"/>
    <w:rsid w:val="63E61662"/>
    <w:rsid w:val="63E67F4B"/>
    <w:rsid w:val="63F73764"/>
    <w:rsid w:val="63FA1E1E"/>
    <w:rsid w:val="63FC1162"/>
    <w:rsid w:val="640A3556"/>
    <w:rsid w:val="643378E9"/>
    <w:rsid w:val="643B22DF"/>
    <w:rsid w:val="643E324C"/>
    <w:rsid w:val="6458100E"/>
    <w:rsid w:val="645B49A2"/>
    <w:rsid w:val="645E06F7"/>
    <w:rsid w:val="64680E0B"/>
    <w:rsid w:val="646F75EA"/>
    <w:rsid w:val="64793261"/>
    <w:rsid w:val="64821505"/>
    <w:rsid w:val="648B41DA"/>
    <w:rsid w:val="649C7F73"/>
    <w:rsid w:val="64A157BE"/>
    <w:rsid w:val="64A15950"/>
    <w:rsid w:val="64BF1228"/>
    <w:rsid w:val="64D647E3"/>
    <w:rsid w:val="6509385A"/>
    <w:rsid w:val="65146547"/>
    <w:rsid w:val="651E4D27"/>
    <w:rsid w:val="652F3813"/>
    <w:rsid w:val="65371B1F"/>
    <w:rsid w:val="653F3FA1"/>
    <w:rsid w:val="654232DD"/>
    <w:rsid w:val="6549378C"/>
    <w:rsid w:val="6550759A"/>
    <w:rsid w:val="65637AA1"/>
    <w:rsid w:val="65646421"/>
    <w:rsid w:val="65670DA9"/>
    <w:rsid w:val="65682877"/>
    <w:rsid w:val="657726BA"/>
    <w:rsid w:val="65817A23"/>
    <w:rsid w:val="658E2176"/>
    <w:rsid w:val="65903785"/>
    <w:rsid w:val="65C36AC7"/>
    <w:rsid w:val="65D009D0"/>
    <w:rsid w:val="65D92236"/>
    <w:rsid w:val="65DB7F6A"/>
    <w:rsid w:val="65E73470"/>
    <w:rsid w:val="65EE4FF2"/>
    <w:rsid w:val="65F51D11"/>
    <w:rsid w:val="66041355"/>
    <w:rsid w:val="661B7AB4"/>
    <w:rsid w:val="66233DC3"/>
    <w:rsid w:val="662F4420"/>
    <w:rsid w:val="663C553A"/>
    <w:rsid w:val="66435F91"/>
    <w:rsid w:val="66466EBB"/>
    <w:rsid w:val="665A6CA9"/>
    <w:rsid w:val="668C3E96"/>
    <w:rsid w:val="66A2184D"/>
    <w:rsid w:val="66A72100"/>
    <w:rsid w:val="66B079FD"/>
    <w:rsid w:val="66B67037"/>
    <w:rsid w:val="66E96C4B"/>
    <w:rsid w:val="66F57EC6"/>
    <w:rsid w:val="673408B7"/>
    <w:rsid w:val="67444946"/>
    <w:rsid w:val="674C0926"/>
    <w:rsid w:val="675E09C4"/>
    <w:rsid w:val="677A2258"/>
    <w:rsid w:val="678B49CA"/>
    <w:rsid w:val="679D2B01"/>
    <w:rsid w:val="679F7FA8"/>
    <w:rsid w:val="67BF24B9"/>
    <w:rsid w:val="67BF71F0"/>
    <w:rsid w:val="67C723DB"/>
    <w:rsid w:val="67CC0B6F"/>
    <w:rsid w:val="67DB474B"/>
    <w:rsid w:val="67DD57E7"/>
    <w:rsid w:val="67E87395"/>
    <w:rsid w:val="67E94FB7"/>
    <w:rsid w:val="67EF5A6D"/>
    <w:rsid w:val="67F17444"/>
    <w:rsid w:val="67F61DEB"/>
    <w:rsid w:val="67F854FE"/>
    <w:rsid w:val="68261404"/>
    <w:rsid w:val="6829791C"/>
    <w:rsid w:val="68354A1C"/>
    <w:rsid w:val="683A437C"/>
    <w:rsid w:val="685F19E3"/>
    <w:rsid w:val="6860799A"/>
    <w:rsid w:val="6870599E"/>
    <w:rsid w:val="68AF583C"/>
    <w:rsid w:val="68B8353A"/>
    <w:rsid w:val="68C42C55"/>
    <w:rsid w:val="68C82D6C"/>
    <w:rsid w:val="68C842E3"/>
    <w:rsid w:val="68DE7D57"/>
    <w:rsid w:val="68E15586"/>
    <w:rsid w:val="68E30937"/>
    <w:rsid w:val="68FD5F3D"/>
    <w:rsid w:val="69041F26"/>
    <w:rsid w:val="69085BD7"/>
    <w:rsid w:val="69111BD7"/>
    <w:rsid w:val="69130179"/>
    <w:rsid w:val="69337B02"/>
    <w:rsid w:val="69411A5A"/>
    <w:rsid w:val="696A4E53"/>
    <w:rsid w:val="69797874"/>
    <w:rsid w:val="698305D1"/>
    <w:rsid w:val="699E5E58"/>
    <w:rsid w:val="69A16C2A"/>
    <w:rsid w:val="69A73FEE"/>
    <w:rsid w:val="69C209B5"/>
    <w:rsid w:val="69E12C6F"/>
    <w:rsid w:val="69E564C6"/>
    <w:rsid w:val="69ED257A"/>
    <w:rsid w:val="69FE23BF"/>
    <w:rsid w:val="6A02676B"/>
    <w:rsid w:val="6A1E74AE"/>
    <w:rsid w:val="6A252505"/>
    <w:rsid w:val="6A3749C6"/>
    <w:rsid w:val="6A393F80"/>
    <w:rsid w:val="6A3A7D2A"/>
    <w:rsid w:val="6A4675D7"/>
    <w:rsid w:val="6A4B3D36"/>
    <w:rsid w:val="6A5D1F52"/>
    <w:rsid w:val="6A616D6F"/>
    <w:rsid w:val="6A660125"/>
    <w:rsid w:val="6A6703AA"/>
    <w:rsid w:val="6A6A1A6D"/>
    <w:rsid w:val="6A6A777B"/>
    <w:rsid w:val="6A735507"/>
    <w:rsid w:val="6A8373E5"/>
    <w:rsid w:val="6A981362"/>
    <w:rsid w:val="6AA051A9"/>
    <w:rsid w:val="6AAC38DA"/>
    <w:rsid w:val="6AB62CB0"/>
    <w:rsid w:val="6ABC311D"/>
    <w:rsid w:val="6ACD4F29"/>
    <w:rsid w:val="6AEC75BE"/>
    <w:rsid w:val="6AF07240"/>
    <w:rsid w:val="6B0A20DA"/>
    <w:rsid w:val="6B0E3EE4"/>
    <w:rsid w:val="6B10503D"/>
    <w:rsid w:val="6B113939"/>
    <w:rsid w:val="6B142F59"/>
    <w:rsid w:val="6B254CAF"/>
    <w:rsid w:val="6B3611FB"/>
    <w:rsid w:val="6B402284"/>
    <w:rsid w:val="6B511079"/>
    <w:rsid w:val="6B671AE1"/>
    <w:rsid w:val="6B7D3B9B"/>
    <w:rsid w:val="6B81241F"/>
    <w:rsid w:val="6B8E7DA4"/>
    <w:rsid w:val="6BA37D93"/>
    <w:rsid w:val="6BB12300"/>
    <w:rsid w:val="6BBF3C4F"/>
    <w:rsid w:val="6BCE4EB6"/>
    <w:rsid w:val="6BD63D71"/>
    <w:rsid w:val="6BD65937"/>
    <w:rsid w:val="6BD72D2C"/>
    <w:rsid w:val="6BD76C77"/>
    <w:rsid w:val="6BDC1722"/>
    <w:rsid w:val="6BE16884"/>
    <w:rsid w:val="6BE46AA6"/>
    <w:rsid w:val="6BE46B15"/>
    <w:rsid w:val="6BED4F5E"/>
    <w:rsid w:val="6C246437"/>
    <w:rsid w:val="6C475692"/>
    <w:rsid w:val="6C496181"/>
    <w:rsid w:val="6C574393"/>
    <w:rsid w:val="6C5925AB"/>
    <w:rsid w:val="6C60408A"/>
    <w:rsid w:val="6C643A6C"/>
    <w:rsid w:val="6C6B741E"/>
    <w:rsid w:val="6C783084"/>
    <w:rsid w:val="6C952436"/>
    <w:rsid w:val="6C9E4649"/>
    <w:rsid w:val="6CAB6174"/>
    <w:rsid w:val="6CB5251A"/>
    <w:rsid w:val="6CCD0E25"/>
    <w:rsid w:val="6CCF526B"/>
    <w:rsid w:val="6CD52274"/>
    <w:rsid w:val="6D017311"/>
    <w:rsid w:val="6D022B5D"/>
    <w:rsid w:val="6D154D50"/>
    <w:rsid w:val="6D317DF2"/>
    <w:rsid w:val="6D3B0FF6"/>
    <w:rsid w:val="6D3D6A20"/>
    <w:rsid w:val="6D486CF3"/>
    <w:rsid w:val="6D516C33"/>
    <w:rsid w:val="6D5E513B"/>
    <w:rsid w:val="6D636FB4"/>
    <w:rsid w:val="6D8968A8"/>
    <w:rsid w:val="6D926EB4"/>
    <w:rsid w:val="6D9E2FAE"/>
    <w:rsid w:val="6DA10849"/>
    <w:rsid w:val="6DA742C4"/>
    <w:rsid w:val="6DA7761A"/>
    <w:rsid w:val="6DAA2FD1"/>
    <w:rsid w:val="6DBE7EA9"/>
    <w:rsid w:val="6DD474F8"/>
    <w:rsid w:val="6DD570F2"/>
    <w:rsid w:val="6DDC674B"/>
    <w:rsid w:val="6DE56B86"/>
    <w:rsid w:val="6DFA4A6F"/>
    <w:rsid w:val="6E012557"/>
    <w:rsid w:val="6E160CCD"/>
    <w:rsid w:val="6E164CCF"/>
    <w:rsid w:val="6E274D51"/>
    <w:rsid w:val="6E2F6877"/>
    <w:rsid w:val="6E344540"/>
    <w:rsid w:val="6E410AA3"/>
    <w:rsid w:val="6E4C33CE"/>
    <w:rsid w:val="6E521293"/>
    <w:rsid w:val="6E64413A"/>
    <w:rsid w:val="6E6521E0"/>
    <w:rsid w:val="6E6704AC"/>
    <w:rsid w:val="6E705849"/>
    <w:rsid w:val="6E7B334B"/>
    <w:rsid w:val="6E7F1B73"/>
    <w:rsid w:val="6E852A85"/>
    <w:rsid w:val="6E9B7B2A"/>
    <w:rsid w:val="6EAF69A4"/>
    <w:rsid w:val="6EB676AA"/>
    <w:rsid w:val="6EB73D35"/>
    <w:rsid w:val="6EB96DBC"/>
    <w:rsid w:val="6EC235A3"/>
    <w:rsid w:val="6EC47379"/>
    <w:rsid w:val="6EF105B8"/>
    <w:rsid w:val="6EFF1C15"/>
    <w:rsid w:val="6F1503F3"/>
    <w:rsid w:val="6F1A1D95"/>
    <w:rsid w:val="6F3C71ED"/>
    <w:rsid w:val="6F3F0578"/>
    <w:rsid w:val="6F4D6A39"/>
    <w:rsid w:val="6F510285"/>
    <w:rsid w:val="6F597DD6"/>
    <w:rsid w:val="6F604256"/>
    <w:rsid w:val="6F7C4544"/>
    <w:rsid w:val="6F9140A8"/>
    <w:rsid w:val="6F9615F0"/>
    <w:rsid w:val="6F986E61"/>
    <w:rsid w:val="6F9DDA10"/>
    <w:rsid w:val="6FA764A5"/>
    <w:rsid w:val="6FE2030A"/>
    <w:rsid w:val="6FE514DB"/>
    <w:rsid w:val="6FF730A4"/>
    <w:rsid w:val="6FFFEA43"/>
    <w:rsid w:val="701A7C85"/>
    <w:rsid w:val="70347659"/>
    <w:rsid w:val="703E77DB"/>
    <w:rsid w:val="70776C11"/>
    <w:rsid w:val="707C596B"/>
    <w:rsid w:val="70853245"/>
    <w:rsid w:val="70A405A0"/>
    <w:rsid w:val="70AF15FF"/>
    <w:rsid w:val="70D1292A"/>
    <w:rsid w:val="70E87DC5"/>
    <w:rsid w:val="70E974F5"/>
    <w:rsid w:val="70F116CB"/>
    <w:rsid w:val="70F151B8"/>
    <w:rsid w:val="70FB1A05"/>
    <w:rsid w:val="70FB519D"/>
    <w:rsid w:val="71095B4B"/>
    <w:rsid w:val="710A441D"/>
    <w:rsid w:val="71117D2D"/>
    <w:rsid w:val="71186EFC"/>
    <w:rsid w:val="7151733E"/>
    <w:rsid w:val="715E7E39"/>
    <w:rsid w:val="71797939"/>
    <w:rsid w:val="718D28BF"/>
    <w:rsid w:val="71962116"/>
    <w:rsid w:val="71BB19CF"/>
    <w:rsid w:val="71CF1396"/>
    <w:rsid w:val="71D61D26"/>
    <w:rsid w:val="71D62A2F"/>
    <w:rsid w:val="71DE3F1E"/>
    <w:rsid w:val="71DF3072"/>
    <w:rsid w:val="71E126E7"/>
    <w:rsid w:val="71E17D1E"/>
    <w:rsid w:val="71F8133B"/>
    <w:rsid w:val="71F87B40"/>
    <w:rsid w:val="71FF4FFF"/>
    <w:rsid w:val="72041416"/>
    <w:rsid w:val="72073CDB"/>
    <w:rsid w:val="721075A7"/>
    <w:rsid w:val="725351D9"/>
    <w:rsid w:val="72576A1F"/>
    <w:rsid w:val="7273017D"/>
    <w:rsid w:val="72784480"/>
    <w:rsid w:val="727E4D32"/>
    <w:rsid w:val="728D4B33"/>
    <w:rsid w:val="729A6862"/>
    <w:rsid w:val="729C3858"/>
    <w:rsid w:val="72A76976"/>
    <w:rsid w:val="72B132EC"/>
    <w:rsid w:val="72D005CB"/>
    <w:rsid w:val="72D33B40"/>
    <w:rsid w:val="72D40BA6"/>
    <w:rsid w:val="72DA3447"/>
    <w:rsid w:val="72DE60D9"/>
    <w:rsid w:val="72F62F44"/>
    <w:rsid w:val="73216B98"/>
    <w:rsid w:val="732C01B5"/>
    <w:rsid w:val="732C477D"/>
    <w:rsid w:val="732C5D20"/>
    <w:rsid w:val="73487C44"/>
    <w:rsid w:val="734C0DB6"/>
    <w:rsid w:val="73543548"/>
    <w:rsid w:val="735A49C5"/>
    <w:rsid w:val="7362750D"/>
    <w:rsid w:val="73633B35"/>
    <w:rsid w:val="73733C9A"/>
    <w:rsid w:val="737A4866"/>
    <w:rsid w:val="737E74D1"/>
    <w:rsid w:val="737F73DD"/>
    <w:rsid w:val="737FE046"/>
    <w:rsid w:val="738A2AA2"/>
    <w:rsid w:val="738E13CF"/>
    <w:rsid w:val="73A56913"/>
    <w:rsid w:val="73AC1537"/>
    <w:rsid w:val="73BD732A"/>
    <w:rsid w:val="73D33DFB"/>
    <w:rsid w:val="73DC5565"/>
    <w:rsid w:val="73E774EB"/>
    <w:rsid w:val="73E97C91"/>
    <w:rsid w:val="73FF7E8C"/>
    <w:rsid w:val="740B3A5C"/>
    <w:rsid w:val="7418018A"/>
    <w:rsid w:val="741A521A"/>
    <w:rsid w:val="74223F7C"/>
    <w:rsid w:val="743401C8"/>
    <w:rsid w:val="74457170"/>
    <w:rsid w:val="744A2B6B"/>
    <w:rsid w:val="744E3383"/>
    <w:rsid w:val="74595238"/>
    <w:rsid w:val="746A214D"/>
    <w:rsid w:val="748D1686"/>
    <w:rsid w:val="74B60B36"/>
    <w:rsid w:val="74BD796F"/>
    <w:rsid w:val="74CE60A3"/>
    <w:rsid w:val="74D26794"/>
    <w:rsid w:val="74D31292"/>
    <w:rsid w:val="74EA4E31"/>
    <w:rsid w:val="74F47A21"/>
    <w:rsid w:val="7511518E"/>
    <w:rsid w:val="752E3829"/>
    <w:rsid w:val="7540614A"/>
    <w:rsid w:val="75473BC0"/>
    <w:rsid w:val="75482DB9"/>
    <w:rsid w:val="754A70F1"/>
    <w:rsid w:val="754D7793"/>
    <w:rsid w:val="755C3532"/>
    <w:rsid w:val="75692310"/>
    <w:rsid w:val="75B522AF"/>
    <w:rsid w:val="75B86E38"/>
    <w:rsid w:val="75BA148E"/>
    <w:rsid w:val="75C24164"/>
    <w:rsid w:val="75C716AF"/>
    <w:rsid w:val="75E41779"/>
    <w:rsid w:val="75E47945"/>
    <w:rsid w:val="75E666D0"/>
    <w:rsid w:val="760547CF"/>
    <w:rsid w:val="76067CC9"/>
    <w:rsid w:val="76204F57"/>
    <w:rsid w:val="76216D15"/>
    <w:rsid w:val="7626390E"/>
    <w:rsid w:val="7633475B"/>
    <w:rsid w:val="76351098"/>
    <w:rsid w:val="7648198F"/>
    <w:rsid w:val="764959E1"/>
    <w:rsid w:val="76825E2E"/>
    <w:rsid w:val="768825B8"/>
    <w:rsid w:val="768A1ED3"/>
    <w:rsid w:val="768D2C9B"/>
    <w:rsid w:val="768E20BA"/>
    <w:rsid w:val="76BD56C3"/>
    <w:rsid w:val="76C8243D"/>
    <w:rsid w:val="76DD1CA4"/>
    <w:rsid w:val="77103714"/>
    <w:rsid w:val="771E2069"/>
    <w:rsid w:val="771E53BA"/>
    <w:rsid w:val="771F33D9"/>
    <w:rsid w:val="77442F62"/>
    <w:rsid w:val="774552CC"/>
    <w:rsid w:val="77516B93"/>
    <w:rsid w:val="776D5ECB"/>
    <w:rsid w:val="778E200B"/>
    <w:rsid w:val="778E413F"/>
    <w:rsid w:val="779FD2FD"/>
    <w:rsid w:val="77BD52AE"/>
    <w:rsid w:val="77BFD10F"/>
    <w:rsid w:val="77C97B2F"/>
    <w:rsid w:val="77DE6ED4"/>
    <w:rsid w:val="77E13575"/>
    <w:rsid w:val="77E656B0"/>
    <w:rsid w:val="77FB68EA"/>
    <w:rsid w:val="78107BEA"/>
    <w:rsid w:val="7813104D"/>
    <w:rsid w:val="781C169F"/>
    <w:rsid w:val="782B0C40"/>
    <w:rsid w:val="782B0EDC"/>
    <w:rsid w:val="784067D9"/>
    <w:rsid w:val="784455A5"/>
    <w:rsid w:val="784663E7"/>
    <w:rsid w:val="784B6E7F"/>
    <w:rsid w:val="785B5CA8"/>
    <w:rsid w:val="786B5B34"/>
    <w:rsid w:val="7878412D"/>
    <w:rsid w:val="789500E4"/>
    <w:rsid w:val="78A73C79"/>
    <w:rsid w:val="78A943F7"/>
    <w:rsid w:val="78B67BB8"/>
    <w:rsid w:val="78C12A3A"/>
    <w:rsid w:val="78C53BF6"/>
    <w:rsid w:val="78C74263"/>
    <w:rsid w:val="78CC6C21"/>
    <w:rsid w:val="79072288"/>
    <w:rsid w:val="79287471"/>
    <w:rsid w:val="79497412"/>
    <w:rsid w:val="79552B2F"/>
    <w:rsid w:val="79574BDF"/>
    <w:rsid w:val="795D4376"/>
    <w:rsid w:val="79600A3A"/>
    <w:rsid w:val="797C1945"/>
    <w:rsid w:val="799E2576"/>
    <w:rsid w:val="79D57D57"/>
    <w:rsid w:val="79E41D48"/>
    <w:rsid w:val="79E6008A"/>
    <w:rsid w:val="79EE2BC7"/>
    <w:rsid w:val="79F0693F"/>
    <w:rsid w:val="7A0C1C8A"/>
    <w:rsid w:val="7A2327D0"/>
    <w:rsid w:val="7A276D0A"/>
    <w:rsid w:val="7A286A8A"/>
    <w:rsid w:val="7A292EC9"/>
    <w:rsid w:val="7A2D67A8"/>
    <w:rsid w:val="7A3102BB"/>
    <w:rsid w:val="7A38220D"/>
    <w:rsid w:val="7A4A24F3"/>
    <w:rsid w:val="7A510AAB"/>
    <w:rsid w:val="7A7C6425"/>
    <w:rsid w:val="7A801199"/>
    <w:rsid w:val="7A8C4055"/>
    <w:rsid w:val="7AA234D5"/>
    <w:rsid w:val="7AA7373E"/>
    <w:rsid w:val="7AB756AF"/>
    <w:rsid w:val="7ADC57FF"/>
    <w:rsid w:val="7AE446F6"/>
    <w:rsid w:val="7AE95601"/>
    <w:rsid w:val="7AFC55C7"/>
    <w:rsid w:val="7B025333"/>
    <w:rsid w:val="7B0377A0"/>
    <w:rsid w:val="7B193B8C"/>
    <w:rsid w:val="7B3379EA"/>
    <w:rsid w:val="7B511B08"/>
    <w:rsid w:val="7B6668F3"/>
    <w:rsid w:val="7B704394"/>
    <w:rsid w:val="7B732D7E"/>
    <w:rsid w:val="7B8116F9"/>
    <w:rsid w:val="7B845E1A"/>
    <w:rsid w:val="7B892C43"/>
    <w:rsid w:val="7B914E50"/>
    <w:rsid w:val="7B99644A"/>
    <w:rsid w:val="7B9C4FB3"/>
    <w:rsid w:val="7BA758E6"/>
    <w:rsid w:val="7BC811D9"/>
    <w:rsid w:val="7BCD1CE5"/>
    <w:rsid w:val="7BCE4803"/>
    <w:rsid w:val="7BD824F3"/>
    <w:rsid w:val="7BE34610"/>
    <w:rsid w:val="7BF4681D"/>
    <w:rsid w:val="7BFD9443"/>
    <w:rsid w:val="7C1371C9"/>
    <w:rsid w:val="7C1A138F"/>
    <w:rsid w:val="7C3A6616"/>
    <w:rsid w:val="7C4D5BFF"/>
    <w:rsid w:val="7C6C6790"/>
    <w:rsid w:val="7C76530D"/>
    <w:rsid w:val="7C816402"/>
    <w:rsid w:val="7C8D4370"/>
    <w:rsid w:val="7C8E5CA7"/>
    <w:rsid w:val="7C911938"/>
    <w:rsid w:val="7C933F61"/>
    <w:rsid w:val="7CAE6EDF"/>
    <w:rsid w:val="7CB06D1F"/>
    <w:rsid w:val="7CB13389"/>
    <w:rsid w:val="7CE42778"/>
    <w:rsid w:val="7CF2364D"/>
    <w:rsid w:val="7CF3F65E"/>
    <w:rsid w:val="7CF5F398"/>
    <w:rsid w:val="7CF82DF2"/>
    <w:rsid w:val="7D2963E1"/>
    <w:rsid w:val="7D2F174F"/>
    <w:rsid w:val="7D3A2761"/>
    <w:rsid w:val="7D4E412B"/>
    <w:rsid w:val="7D571A38"/>
    <w:rsid w:val="7D64286E"/>
    <w:rsid w:val="7D6A07B6"/>
    <w:rsid w:val="7D8C77F5"/>
    <w:rsid w:val="7D930A39"/>
    <w:rsid w:val="7DA0242A"/>
    <w:rsid w:val="7DAB3AC9"/>
    <w:rsid w:val="7DB06938"/>
    <w:rsid w:val="7DB27AD5"/>
    <w:rsid w:val="7DC429E5"/>
    <w:rsid w:val="7DE078D4"/>
    <w:rsid w:val="7DE762AB"/>
    <w:rsid w:val="7DFC3C56"/>
    <w:rsid w:val="7E0714D7"/>
    <w:rsid w:val="7E123CE8"/>
    <w:rsid w:val="7E141C0C"/>
    <w:rsid w:val="7E3A5A07"/>
    <w:rsid w:val="7E48158B"/>
    <w:rsid w:val="7E4C610E"/>
    <w:rsid w:val="7E5F1C7A"/>
    <w:rsid w:val="7E630C6D"/>
    <w:rsid w:val="7E633922"/>
    <w:rsid w:val="7E6F03E0"/>
    <w:rsid w:val="7E7B5986"/>
    <w:rsid w:val="7E7F192D"/>
    <w:rsid w:val="7EA16752"/>
    <w:rsid w:val="7EA2423C"/>
    <w:rsid w:val="7EA837BC"/>
    <w:rsid w:val="7EC56ACC"/>
    <w:rsid w:val="7EDA0CF9"/>
    <w:rsid w:val="7EE25F90"/>
    <w:rsid w:val="7EE527EB"/>
    <w:rsid w:val="7EE93FB8"/>
    <w:rsid w:val="7EF679BC"/>
    <w:rsid w:val="7F160CF6"/>
    <w:rsid w:val="7F1709A4"/>
    <w:rsid w:val="7F194FF9"/>
    <w:rsid w:val="7F350F48"/>
    <w:rsid w:val="7F394685"/>
    <w:rsid w:val="7F582E59"/>
    <w:rsid w:val="7F69574C"/>
    <w:rsid w:val="7F6B6EE8"/>
    <w:rsid w:val="7F6D6ECF"/>
    <w:rsid w:val="7F712A0F"/>
    <w:rsid w:val="7F71407E"/>
    <w:rsid w:val="7F7C2186"/>
    <w:rsid w:val="7F7F7818"/>
    <w:rsid w:val="7F870DB0"/>
    <w:rsid w:val="7F874E30"/>
    <w:rsid w:val="7F8A6FB9"/>
    <w:rsid w:val="7F8F2756"/>
    <w:rsid w:val="7F8F2E50"/>
    <w:rsid w:val="7F915899"/>
    <w:rsid w:val="7F973C10"/>
    <w:rsid w:val="7FB22D07"/>
    <w:rsid w:val="7FBF44BA"/>
    <w:rsid w:val="7FBF4563"/>
    <w:rsid w:val="7FC14BAA"/>
    <w:rsid w:val="7FD5FA6E"/>
    <w:rsid w:val="7FD70896"/>
    <w:rsid w:val="7FD72FA6"/>
    <w:rsid w:val="7FDF53F2"/>
    <w:rsid w:val="7FDF6EB8"/>
    <w:rsid w:val="7FE05B47"/>
    <w:rsid w:val="7FE61D45"/>
    <w:rsid w:val="7FEF73BF"/>
    <w:rsid w:val="7FF37CE6"/>
    <w:rsid w:val="7FF487B3"/>
    <w:rsid w:val="7FFC5A55"/>
    <w:rsid w:val="7FFEC488"/>
    <w:rsid w:val="8DAD9AD2"/>
    <w:rsid w:val="9FBAB484"/>
    <w:rsid w:val="A7FFDA0C"/>
    <w:rsid w:val="AF9B4906"/>
    <w:rsid w:val="AFF76302"/>
    <w:rsid w:val="B3AF2F21"/>
    <w:rsid w:val="B7DF0683"/>
    <w:rsid w:val="BE773E0C"/>
    <w:rsid w:val="BF5F036C"/>
    <w:rsid w:val="BFC3E4D3"/>
    <w:rsid w:val="BFF19740"/>
    <w:rsid w:val="CEF7B42C"/>
    <w:rsid w:val="D77B4BA4"/>
    <w:rsid w:val="DFBFBBBD"/>
    <w:rsid w:val="DFD7E17E"/>
    <w:rsid w:val="E6F79743"/>
    <w:rsid w:val="EEDF5B90"/>
    <w:rsid w:val="EFBFFF6F"/>
    <w:rsid w:val="F3AF48D0"/>
    <w:rsid w:val="F4FEC28B"/>
    <w:rsid w:val="FB4F0D70"/>
    <w:rsid w:val="FB795B68"/>
    <w:rsid w:val="FBDDE90D"/>
    <w:rsid w:val="FBED62D5"/>
    <w:rsid w:val="FD8E8EA4"/>
    <w:rsid w:val="FDE77935"/>
    <w:rsid w:val="FEF31734"/>
    <w:rsid w:val="FF5AA2F4"/>
    <w:rsid w:val="FFBB66BD"/>
    <w:rsid w:val="FFEF762D"/>
    <w:rsid w:val="FFFF8FD7"/>
    <w:rsid w:val="FFFF9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96"/>
    <w:qFormat/>
    <w:uiPriority w:val="0"/>
    <w:pPr>
      <w:keepNext/>
      <w:keepLines/>
      <w:widowControl w:val="0"/>
      <w:spacing w:before="240" w:after="120" w:line="360" w:lineRule="auto"/>
      <w:jc w:val="both"/>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next w:val="1"/>
    <w:qFormat/>
    <w:uiPriority w:val="9"/>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9"/>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spacing w:before="120" w:after="120" w:line="360" w:lineRule="auto"/>
      <w:jc w:val="center"/>
      <w:outlineLvl w:val="3"/>
    </w:pPr>
    <w:rPr>
      <w:rFonts w:eastAsia="Ђˎ̥"/>
      <w:sz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next w:val="1"/>
    <w:qFormat/>
    <w:uiPriority w:val="0"/>
    <w:pPr>
      <w:keepNext/>
      <w:keepLines/>
      <w:widowControl w:val="0"/>
      <w:spacing w:before="120" w:after="120"/>
      <w:jc w:val="both"/>
      <w:outlineLvl w:val="5"/>
    </w:pPr>
    <w:rPr>
      <w:rFonts w:ascii="Times New Roman" w:hAnsi="等线 Light" w:eastAsia="宋体" w:cs="Times New Roman"/>
      <w:b/>
      <w:bCs/>
      <w:kern w:val="2"/>
      <w:sz w:val="21"/>
      <w:szCs w:val="24"/>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8">
    <w:name w:val="index 8"/>
    <w:basedOn w:val="1"/>
    <w:next w:val="1"/>
    <w:qFormat/>
    <w:uiPriority w:val="0"/>
    <w:pPr>
      <w:ind w:left="2940"/>
    </w:pPr>
  </w:style>
  <w:style w:type="paragraph" w:styleId="9">
    <w:name w:val="Normal Indent"/>
    <w:basedOn w:val="1"/>
    <w:unhideWhenUsed/>
    <w:qFormat/>
    <w:uiPriority w:val="99"/>
    <w:pPr>
      <w:ind w:firstLine="420"/>
    </w:pPr>
    <w:rPr>
      <w:szCs w:val="20"/>
    </w:rPr>
  </w:style>
  <w:style w:type="paragraph" w:styleId="10">
    <w:name w:val="annotation text"/>
    <w:basedOn w:val="1"/>
    <w:link w:val="55"/>
    <w:unhideWhenUsed/>
    <w:qFormat/>
    <w:uiPriority w:val="0"/>
    <w:pPr>
      <w:jc w:val="left"/>
    </w:pPr>
  </w:style>
  <w:style w:type="paragraph" w:styleId="11">
    <w:name w:val="Body Text"/>
    <w:basedOn w:val="1"/>
    <w:unhideWhenUsed/>
    <w:qFormat/>
    <w:uiPriority w:val="0"/>
    <w:pPr>
      <w:spacing w:after="120"/>
    </w:pPr>
  </w:style>
  <w:style w:type="paragraph" w:styleId="12">
    <w:name w:val="Body Text Indent"/>
    <w:basedOn w:val="1"/>
    <w:unhideWhenUsed/>
    <w:qFormat/>
    <w:uiPriority w:val="99"/>
    <w:pPr>
      <w:spacing w:line="200" w:lineRule="exact"/>
      <w:ind w:firstLine="301"/>
    </w:pPr>
    <w:rPr>
      <w:rFonts w:ascii="宋体" w:hAnsi="Courier New"/>
      <w:spacing w:val="-4"/>
      <w:sz w:val="18"/>
      <w:szCs w:val="20"/>
    </w:rPr>
  </w:style>
  <w:style w:type="paragraph" w:styleId="13">
    <w:name w:val="toc 3"/>
    <w:basedOn w:val="1"/>
    <w:next w:val="1"/>
    <w:unhideWhenUsed/>
    <w:qFormat/>
    <w:uiPriority w:val="39"/>
    <w:pPr>
      <w:jc w:val="left"/>
    </w:pPr>
    <w:rPr>
      <w:rFonts w:ascii="Calibri" w:hAnsi="Calibri"/>
      <w:smallCaps/>
      <w:sz w:val="22"/>
      <w:szCs w:val="22"/>
    </w:rPr>
  </w:style>
  <w:style w:type="paragraph" w:styleId="14">
    <w:name w:val="Plain Text"/>
    <w:basedOn w:val="1"/>
    <w:link w:val="59"/>
    <w:unhideWhenUsed/>
    <w:qFormat/>
    <w:uiPriority w:val="99"/>
    <w:rPr>
      <w:rFonts w:ascii="宋体" w:hAnsi="Courier New"/>
      <w:szCs w:val="20"/>
    </w:rPr>
  </w:style>
  <w:style w:type="paragraph" w:styleId="15">
    <w:name w:val="Body Text Indent 2"/>
    <w:basedOn w:val="1"/>
    <w:semiHidden/>
    <w:unhideWhenUsed/>
    <w:qFormat/>
    <w:uiPriority w:val="99"/>
    <w:pPr>
      <w:spacing w:after="120" w:line="480" w:lineRule="auto"/>
      <w:ind w:left="420" w:leftChars="200"/>
    </w:pPr>
  </w:style>
  <w:style w:type="paragraph" w:styleId="16">
    <w:name w:val="Balloon Text"/>
    <w:basedOn w:val="1"/>
    <w:link w:val="57"/>
    <w:qFormat/>
    <w:uiPriority w:val="0"/>
    <w:rPr>
      <w:sz w:val="18"/>
      <w:szCs w:val="18"/>
    </w:rPr>
  </w:style>
  <w:style w:type="paragraph" w:styleId="17">
    <w:name w:val="footer"/>
    <w:basedOn w:val="1"/>
    <w:next w:val="1"/>
    <w:link w:val="61"/>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360" w:after="360"/>
      <w:jc w:val="left"/>
    </w:pPr>
    <w:rPr>
      <w:rFonts w:ascii="Calibri" w:hAnsi="Calibri"/>
      <w:b/>
      <w:bCs/>
      <w:caps/>
      <w:sz w:val="22"/>
      <w:szCs w:val="22"/>
      <w:u w:val="single"/>
    </w:rPr>
  </w:style>
  <w:style w:type="paragraph" w:styleId="21">
    <w:name w:val="List"/>
    <w:basedOn w:val="1"/>
    <w:unhideWhenUsed/>
    <w:qFormat/>
    <w:uiPriority w:val="99"/>
    <w:pPr>
      <w:ind w:left="200" w:hanging="200" w:hangingChars="200"/>
    </w:pPr>
    <w:rPr>
      <w:sz w:val="28"/>
    </w:rPr>
  </w:style>
  <w:style w:type="paragraph" w:styleId="22">
    <w:name w:val="toc 2"/>
    <w:basedOn w:val="1"/>
    <w:next w:val="1"/>
    <w:unhideWhenUsed/>
    <w:qFormat/>
    <w:uiPriority w:val="39"/>
    <w:pPr>
      <w:jc w:val="left"/>
    </w:pPr>
    <w:rPr>
      <w:rFonts w:ascii="Calibri" w:hAnsi="Calibri"/>
      <w:b/>
      <w:bCs/>
      <w:smallCaps/>
      <w:sz w:val="22"/>
      <w:szCs w:val="22"/>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5">
    <w:name w:val="annotation subject"/>
    <w:basedOn w:val="10"/>
    <w:next w:val="1"/>
    <w:link w:val="63"/>
    <w:qFormat/>
    <w:uiPriority w:val="0"/>
    <w:rPr>
      <w:b/>
      <w:bCs/>
    </w:rPr>
  </w:style>
  <w:style w:type="paragraph" w:styleId="26">
    <w:name w:val="Body Text First Indent"/>
    <w:basedOn w:val="11"/>
    <w:qFormat/>
    <w:uiPriority w:val="0"/>
    <w:pPr>
      <w:ind w:firstLine="420"/>
      <w:textAlignment w:val="baseline"/>
    </w:pPr>
  </w:style>
  <w:style w:type="paragraph" w:styleId="27">
    <w:name w:val="Body Text First Indent 2"/>
    <w:basedOn w:val="12"/>
    <w:unhideWhenUsed/>
    <w:qFormat/>
    <w:uiPriority w:val="99"/>
    <w:pPr>
      <w:spacing w:after="120"/>
      <w:ind w:left="420" w:leftChars="200" w:firstLine="420" w:firstLineChars="200"/>
    </w:pPr>
    <w:rPr>
      <w:rFonts w:ascii="Times New Roman"/>
      <w:sz w:val="21"/>
      <w:szCs w:val="24"/>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unhideWhenUsed/>
    <w:qFormat/>
    <w:uiPriority w:val="0"/>
  </w:style>
  <w:style w:type="character" w:styleId="32">
    <w:name w:val="FollowedHyperlink"/>
    <w:qFormat/>
    <w:uiPriority w:val="0"/>
    <w:rPr>
      <w:rFonts w:hint="eastAsia" w:ascii="微软雅黑" w:hAnsi="微软雅黑" w:eastAsia="微软雅黑" w:cs="微软雅黑"/>
      <w:color w:val="02396F"/>
      <w:u w:val="single"/>
    </w:rPr>
  </w:style>
  <w:style w:type="character" w:styleId="33">
    <w:name w:val="Emphasis"/>
    <w:basedOn w:val="30"/>
    <w:qFormat/>
    <w:uiPriority w:val="0"/>
    <w:rPr>
      <w:i/>
    </w:rPr>
  </w:style>
  <w:style w:type="character" w:styleId="34">
    <w:name w:val="HTML Definition"/>
    <w:basedOn w:val="30"/>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qFormat/>
    <w:uiPriority w:val="0"/>
  </w:style>
  <w:style w:type="character" w:styleId="37">
    <w:name w:val="HTML Variable"/>
    <w:basedOn w:val="30"/>
    <w:semiHidden/>
    <w:unhideWhenUsed/>
    <w:qFormat/>
    <w:uiPriority w:val="0"/>
  </w:style>
  <w:style w:type="character" w:styleId="38">
    <w:name w:val="Hyperlink"/>
    <w:unhideWhenUsed/>
    <w:qFormat/>
    <w:uiPriority w:val="99"/>
    <w:rPr>
      <w:rFonts w:hint="eastAsia" w:ascii="微软雅黑" w:hAnsi="微软雅黑" w:eastAsia="微软雅黑" w:cs="微软雅黑"/>
      <w:color w:val="02396F"/>
      <w:u w:val="single"/>
    </w:rPr>
  </w:style>
  <w:style w:type="character" w:styleId="39">
    <w:name w:val="HTML Code"/>
    <w:basedOn w:val="30"/>
    <w:qFormat/>
    <w:uiPriority w:val="0"/>
    <w:rPr>
      <w:rFonts w:hint="default" w:ascii="monospace" w:hAnsi="monospace" w:eastAsia="monospace" w:cs="monospace"/>
      <w:sz w:val="20"/>
    </w:rPr>
  </w:style>
  <w:style w:type="character" w:styleId="40">
    <w:name w:val="annotation reference"/>
    <w:qFormat/>
    <w:uiPriority w:val="99"/>
    <w:rPr>
      <w:sz w:val="21"/>
      <w:szCs w:val="21"/>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ascii="monospace" w:hAnsi="monospace" w:eastAsia="monospace" w:cs="monospace"/>
    </w:rPr>
  </w:style>
  <w:style w:type="paragraph" w:customStyle="1" w:styleId="4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6">
    <w:name w:val="正文g"/>
    <w:qFormat/>
    <w:uiPriority w:val="0"/>
    <w:pPr>
      <w:jc w:val="both"/>
    </w:pPr>
    <w:rPr>
      <w:rFonts w:ascii="仿宋_GB2312" w:hAnsi="宋体" w:eastAsia="仿宋_GB2312" w:cs="Times New Roman"/>
      <w:kern w:val="2"/>
      <w:sz w:val="21"/>
      <w:szCs w:val="24"/>
      <w:lang w:val="en-US" w:eastAsia="zh-CN" w:bidi="ar-SA"/>
    </w:rPr>
  </w:style>
  <w:style w:type="paragraph" w:customStyle="1" w:styleId="47">
    <w:name w:val="Default"/>
    <w:next w:val="1"/>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character" w:customStyle="1" w:styleId="48">
    <w:name w:val="批注文字 Char1"/>
    <w:qFormat/>
    <w:uiPriority w:val="0"/>
    <w:rPr>
      <w:rFonts w:ascii="Times New Roman" w:hAnsi="Times New Roman"/>
      <w:kern w:val="2"/>
      <w:sz w:val="21"/>
      <w:szCs w:val="24"/>
    </w:rPr>
  </w:style>
  <w:style w:type="character" w:customStyle="1" w:styleId="49">
    <w:name w:val="font31"/>
    <w:basedOn w:val="30"/>
    <w:qFormat/>
    <w:uiPriority w:val="0"/>
    <w:rPr>
      <w:rFonts w:hint="eastAsia" w:ascii="宋体" w:hAnsi="宋体" w:eastAsia="宋体" w:cs="宋体"/>
      <w:color w:val="000000"/>
      <w:sz w:val="22"/>
      <w:szCs w:val="22"/>
      <w:u w:val="none"/>
    </w:rPr>
  </w:style>
  <w:style w:type="character" w:customStyle="1" w:styleId="50">
    <w:name w:val="displayarti"/>
    <w:qFormat/>
    <w:uiPriority w:val="0"/>
    <w:rPr>
      <w:color w:val="FFFFFF"/>
      <w:shd w:val="clear" w:color="auto" w:fill="A00000"/>
    </w:rPr>
  </w:style>
  <w:style w:type="character" w:customStyle="1" w:styleId="51">
    <w:name w:val="prev1"/>
    <w:qFormat/>
    <w:uiPriority w:val="0"/>
    <w:rPr>
      <w:color w:val="888888"/>
    </w:rPr>
  </w:style>
  <w:style w:type="character" w:customStyle="1" w:styleId="52">
    <w:name w:val="NormalCharacter"/>
    <w:qFormat/>
    <w:uiPriority w:val="0"/>
    <w:rPr>
      <w:rFonts w:ascii="Times New Roman" w:hAnsi="Times New Roman" w:eastAsia="宋体" w:cs="Times New Roman"/>
    </w:rPr>
  </w:style>
  <w:style w:type="character" w:customStyle="1" w:styleId="53">
    <w:name w:val="redfilenumber"/>
    <w:qFormat/>
    <w:uiPriority w:val="0"/>
    <w:rPr>
      <w:color w:val="BA2636"/>
      <w:sz w:val="18"/>
      <w:szCs w:val="18"/>
    </w:rPr>
  </w:style>
  <w:style w:type="character" w:customStyle="1" w:styleId="54">
    <w:name w:val="qxdate"/>
    <w:qFormat/>
    <w:uiPriority w:val="0"/>
    <w:rPr>
      <w:color w:val="333333"/>
      <w:sz w:val="18"/>
      <w:szCs w:val="18"/>
    </w:rPr>
  </w:style>
  <w:style w:type="character" w:customStyle="1" w:styleId="55">
    <w:name w:val="批注文字 Char"/>
    <w:link w:val="10"/>
    <w:qFormat/>
    <w:uiPriority w:val="0"/>
    <w:rPr>
      <w:kern w:val="2"/>
      <w:sz w:val="21"/>
      <w:szCs w:val="24"/>
    </w:rPr>
  </w:style>
  <w:style w:type="character" w:customStyle="1" w:styleId="5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7">
    <w:name w:val="批注框文本 Char"/>
    <w:link w:val="16"/>
    <w:qFormat/>
    <w:uiPriority w:val="0"/>
    <w:rPr>
      <w:kern w:val="2"/>
      <w:sz w:val="18"/>
      <w:szCs w:val="18"/>
    </w:rPr>
  </w:style>
  <w:style w:type="character" w:customStyle="1" w:styleId="58">
    <w:name w:val="gjfg"/>
    <w:qFormat/>
    <w:uiPriority w:val="0"/>
  </w:style>
  <w:style w:type="character" w:customStyle="1" w:styleId="59">
    <w:name w:val="纯文本 Char"/>
    <w:link w:val="14"/>
    <w:qFormat/>
    <w:uiPriority w:val="99"/>
    <w:rPr>
      <w:rFonts w:ascii="宋体" w:hAnsi="Courier New"/>
      <w:kern w:val="2"/>
      <w:sz w:val="21"/>
    </w:rPr>
  </w:style>
  <w:style w:type="character" w:customStyle="1" w:styleId="60">
    <w:name w:val="next"/>
    <w:qFormat/>
    <w:uiPriority w:val="0"/>
    <w:rPr>
      <w:rFonts w:ascii="微软雅黑" w:hAnsi="微软雅黑" w:eastAsia="微软雅黑" w:cs="微软雅黑"/>
      <w:sz w:val="21"/>
      <w:szCs w:val="21"/>
    </w:rPr>
  </w:style>
  <w:style w:type="character" w:customStyle="1" w:styleId="61">
    <w:name w:val="页脚 Char"/>
    <w:link w:val="17"/>
    <w:qFormat/>
    <w:uiPriority w:val="99"/>
    <w:rPr>
      <w:kern w:val="2"/>
      <w:sz w:val="18"/>
      <w:szCs w:val="18"/>
    </w:rPr>
  </w:style>
  <w:style w:type="character" w:customStyle="1" w:styleId="62">
    <w:name w:val="redfilefwwh"/>
    <w:qFormat/>
    <w:uiPriority w:val="0"/>
    <w:rPr>
      <w:color w:val="BA2636"/>
      <w:sz w:val="18"/>
      <w:szCs w:val="18"/>
    </w:rPr>
  </w:style>
  <w:style w:type="character" w:customStyle="1" w:styleId="63">
    <w:name w:val="批注主题 Char"/>
    <w:link w:val="25"/>
    <w:qFormat/>
    <w:uiPriority w:val="0"/>
  </w:style>
  <w:style w:type="character" w:customStyle="1" w:styleId="64">
    <w:name w:val="prev"/>
    <w:qFormat/>
    <w:uiPriority w:val="0"/>
    <w:rPr>
      <w:rFonts w:hint="eastAsia" w:ascii="微软雅黑" w:hAnsi="微软雅黑" w:eastAsia="微软雅黑" w:cs="微软雅黑"/>
      <w:sz w:val="21"/>
      <w:szCs w:val="21"/>
    </w:rPr>
  </w:style>
  <w:style w:type="character" w:customStyle="1" w:styleId="65">
    <w:name w:val="next1"/>
    <w:qFormat/>
    <w:uiPriority w:val="0"/>
    <w:rPr>
      <w:color w:val="888888"/>
    </w:rPr>
  </w:style>
  <w:style w:type="character" w:customStyle="1" w:styleId="66">
    <w:name w:val="font21"/>
    <w:basedOn w:val="30"/>
    <w:qFormat/>
    <w:uiPriority w:val="0"/>
    <w:rPr>
      <w:rFonts w:hint="default" w:ascii="Tahoma" w:hAnsi="Tahoma" w:eastAsia="Tahoma" w:cs="Tahoma"/>
      <w:color w:val="000000"/>
      <w:sz w:val="22"/>
      <w:szCs w:val="22"/>
      <w:u w:val="none"/>
    </w:rPr>
  </w:style>
  <w:style w:type="character" w:customStyle="1" w:styleId="67">
    <w:name w:val="15"/>
    <w:qFormat/>
    <w:uiPriority w:val="0"/>
    <w:rPr>
      <w:rFonts w:hint="default" w:ascii="Times New Roman" w:hAnsi="Times New Roman" w:cs="Times New Roman"/>
      <w:sz w:val="21"/>
      <w:szCs w:val="21"/>
    </w:rPr>
  </w:style>
  <w:style w:type="character" w:customStyle="1" w:styleId="68">
    <w:name w:val="cfdate"/>
    <w:qFormat/>
    <w:uiPriority w:val="0"/>
    <w:rPr>
      <w:color w:val="333333"/>
      <w:sz w:val="18"/>
      <w:szCs w:val="18"/>
    </w:rPr>
  </w:style>
  <w:style w:type="paragraph" w:customStyle="1" w:styleId="69">
    <w:name w:val="样式 标题 2 + 宋体"/>
    <w:qFormat/>
    <w:uiPriority w:val="0"/>
    <w:pPr>
      <w:keepNext/>
      <w:keepLines/>
      <w:widowControl w:val="0"/>
      <w:spacing w:before="260" w:after="260" w:line="416" w:lineRule="auto"/>
      <w:jc w:val="both"/>
      <w:outlineLvl w:val="1"/>
    </w:pPr>
    <w:rPr>
      <w:rFonts w:ascii="宋体" w:hAnsi="宋体" w:eastAsia="宋体" w:cs="Times New Roman"/>
      <w:b/>
      <w:bCs/>
      <w:sz w:val="30"/>
      <w:szCs w:val="32"/>
      <w:lang w:val="en-US" w:eastAsia="zh-CN" w:bidi="ar-SA"/>
    </w:rPr>
  </w:style>
  <w:style w:type="paragraph" w:customStyle="1" w:styleId="7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1">
    <w:name w:val="正文2"/>
    <w:basedOn w:val="1"/>
    <w:qFormat/>
    <w:uiPriority w:val="0"/>
    <w:pPr>
      <w:adjustRightInd w:val="0"/>
      <w:spacing w:before="156" w:line="360" w:lineRule="auto"/>
      <w:ind w:firstLine="510" w:firstLineChars="200"/>
    </w:pPr>
    <w:rPr>
      <w:sz w:val="24"/>
      <w:szCs w:val="20"/>
    </w:rPr>
  </w:style>
  <w:style w:type="paragraph" w:customStyle="1" w:styleId="72">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73">
    <w:name w:val="List Paragraph"/>
    <w:basedOn w:val="1"/>
    <w:qFormat/>
    <w:uiPriority w:val="34"/>
    <w:pPr>
      <w:ind w:firstLine="420" w:firstLineChars="200"/>
    </w:pPr>
  </w:style>
  <w:style w:type="paragraph" w:customStyle="1" w:styleId="74">
    <w:name w:val="_Style 3"/>
    <w:basedOn w:val="1"/>
    <w:qFormat/>
    <w:uiPriority w:val="0"/>
  </w:style>
  <w:style w:type="paragraph" w:customStyle="1" w:styleId="75">
    <w:name w:val="表格文字"/>
    <w:basedOn w:val="1"/>
    <w:next w:val="11"/>
    <w:qFormat/>
    <w:uiPriority w:val="0"/>
    <w:pPr>
      <w:adjustRightInd w:val="0"/>
      <w:spacing w:line="420" w:lineRule="atLeast"/>
      <w:jc w:val="left"/>
      <w:textAlignment w:val="baseline"/>
    </w:pPr>
    <w:rPr>
      <w:kern w:val="0"/>
    </w:rPr>
  </w:style>
  <w:style w:type="paragraph" w:customStyle="1" w:styleId="7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7">
    <w:name w:val="font11"/>
    <w:basedOn w:val="30"/>
    <w:qFormat/>
    <w:uiPriority w:val="0"/>
    <w:rPr>
      <w:rFonts w:hint="eastAsia" w:ascii="宋体" w:hAnsi="宋体" w:eastAsia="宋体" w:cs="宋体"/>
      <w:b/>
      <w:color w:val="000000"/>
      <w:sz w:val="20"/>
      <w:szCs w:val="20"/>
      <w:u w:val="none"/>
    </w:rPr>
  </w:style>
  <w:style w:type="paragraph" w:customStyle="1" w:styleId="78">
    <w:name w:val="0正文"/>
    <w:qFormat/>
    <w:uiPriority w:val="99"/>
    <w:pPr>
      <w:widowControl w:val="0"/>
      <w:snapToGrid w:val="0"/>
      <w:spacing w:line="360" w:lineRule="auto"/>
      <w:jc w:val="both"/>
      <w:textAlignment w:val="baseline"/>
    </w:pPr>
    <w:rPr>
      <w:rFonts w:ascii="宋体" w:hAnsi="宋体" w:eastAsia="宋体" w:cs="Times New Roman"/>
      <w:kern w:val="2"/>
      <w:sz w:val="24"/>
      <w:szCs w:val="24"/>
      <w:lang w:val="en-US" w:eastAsia="zh-CN" w:bidi="ar-SA"/>
    </w:rPr>
  </w:style>
  <w:style w:type="paragraph" w:customStyle="1" w:styleId="79">
    <w:name w:val="!正文"/>
    <w:qFormat/>
    <w:uiPriority w:val="0"/>
    <w:pPr>
      <w:widowControl w:val="0"/>
      <w:spacing w:line="360" w:lineRule="auto"/>
    </w:pPr>
    <w:rPr>
      <w:rFonts w:ascii="宋体" w:hAnsi="宋体" w:eastAsia="宋体" w:cs="Times New Roman"/>
      <w:sz w:val="24"/>
      <w:szCs w:val="28"/>
      <w:lang w:val="zh-CN" w:eastAsia="zh-CN" w:bidi="ar-SA"/>
    </w:rPr>
  </w:style>
  <w:style w:type="character" w:customStyle="1" w:styleId="80">
    <w:name w:val="font01"/>
    <w:basedOn w:val="30"/>
    <w:qFormat/>
    <w:uiPriority w:val="0"/>
    <w:rPr>
      <w:rFonts w:hint="eastAsia" w:ascii="仿宋" w:hAnsi="仿宋" w:eastAsia="仿宋" w:cs="仿宋"/>
      <w:color w:val="000000"/>
      <w:sz w:val="21"/>
      <w:szCs w:val="21"/>
      <w:u w:val="none"/>
    </w:rPr>
  </w:style>
  <w:style w:type="character" w:customStyle="1" w:styleId="81">
    <w:name w:val="font91"/>
    <w:qFormat/>
    <w:uiPriority w:val="0"/>
    <w:rPr>
      <w:rFonts w:ascii="Arial" w:hAnsi="Arial" w:cs="Arial"/>
      <w:color w:val="000000"/>
      <w:sz w:val="21"/>
      <w:szCs w:val="21"/>
      <w:u w:val="none"/>
    </w:rPr>
  </w:style>
  <w:style w:type="paragraph" w:customStyle="1" w:styleId="8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BodyText"/>
    <w:basedOn w:val="1"/>
    <w:qFormat/>
    <w:uiPriority w:val="0"/>
    <w:pPr>
      <w:spacing w:line="380" w:lineRule="exact"/>
      <w:textAlignment w:val="baseline"/>
    </w:pPr>
    <w:rPr>
      <w:sz w:val="24"/>
    </w:rPr>
  </w:style>
  <w:style w:type="paragraph" w:customStyle="1" w:styleId="8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90">
    <w:name w:val="font41"/>
    <w:basedOn w:val="30"/>
    <w:qFormat/>
    <w:uiPriority w:val="0"/>
    <w:rPr>
      <w:rFonts w:ascii="Calibri" w:hAnsi="Calibri" w:cs="Calibri"/>
      <w:color w:val="000000"/>
      <w:sz w:val="22"/>
      <w:szCs w:val="22"/>
      <w:u w:val="none"/>
    </w:rPr>
  </w:style>
  <w:style w:type="paragraph" w:customStyle="1" w:styleId="91">
    <w:name w:val="修订8"/>
    <w:hidden/>
    <w:unhideWhenUsed/>
    <w:qFormat/>
    <w:uiPriority w:val="99"/>
    <w:rPr>
      <w:rFonts w:ascii="Times New Roman" w:hAnsi="Times New Roman" w:eastAsia="宋体" w:cs="Times New Roman"/>
      <w:kern w:val="2"/>
      <w:sz w:val="21"/>
      <w:szCs w:val="24"/>
      <w:lang w:val="en-US" w:eastAsia="zh-CN" w:bidi="ar-SA"/>
    </w:rPr>
  </w:style>
  <w:style w:type="paragraph" w:styleId="92">
    <w:name w:val="No Spacing"/>
    <w:qFormat/>
    <w:uiPriority w:val="1"/>
    <w:pPr>
      <w:widowControl w:val="0"/>
      <w:jc w:val="both"/>
    </w:pPr>
    <w:rPr>
      <w:rFonts w:ascii="Times New Roman" w:hAnsi="Times New Roman" w:eastAsia="宋体" w:cs="Times New Roman"/>
      <w:kern w:val="2"/>
      <w:sz w:val="21"/>
      <w:szCs w:val="20"/>
      <w:lang w:val="en-US" w:eastAsia="zh-CN" w:bidi="ar-SA"/>
      <w14:ligatures w14:val="standardContextual"/>
    </w:rPr>
  </w:style>
  <w:style w:type="table" w:customStyle="1" w:styleId="93">
    <w:name w:val="Table Normal"/>
    <w:semiHidden/>
    <w:unhideWhenUsed/>
    <w:qFormat/>
    <w:uiPriority w:val="0"/>
    <w:tblPr>
      <w:tblCellMar>
        <w:top w:w="0" w:type="dxa"/>
        <w:left w:w="0" w:type="dxa"/>
        <w:bottom w:w="0" w:type="dxa"/>
        <w:right w:w="0" w:type="dxa"/>
      </w:tblCellMar>
    </w:tblPr>
  </w:style>
  <w:style w:type="character" w:customStyle="1" w:styleId="94">
    <w:name w:val="layui-layer-tabnow"/>
    <w:basedOn w:val="30"/>
    <w:qFormat/>
    <w:uiPriority w:val="0"/>
    <w:rPr>
      <w:bdr w:val="single" w:color="CCCCCC" w:sz="6" w:space="0"/>
      <w:shd w:val="clear" w:fill="FFFFFF"/>
    </w:rPr>
  </w:style>
  <w:style w:type="character" w:customStyle="1" w:styleId="95">
    <w:name w:val="first-child"/>
    <w:basedOn w:val="30"/>
    <w:qFormat/>
    <w:uiPriority w:val="0"/>
  </w:style>
  <w:style w:type="character" w:customStyle="1" w:styleId="96">
    <w:name w:val="标题 1 Char"/>
    <w:basedOn w:val="30"/>
    <w:link w:val="2"/>
    <w:qFormat/>
    <w:uiPriority w:val="0"/>
    <w:rPr>
      <w:b/>
      <w:bCs/>
      <w:kern w:val="44"/>
      <w:sz w:val="44"/>
      <w:szCs w:val="44"/>
    </w:rPr>
  </w:style>
  <w:style w:type="paragraph" w:customStyle="1" w:styleId="97">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16407</Words>
  <Characters>18642</Characters>
  <Lines>433</Lines>
  <Paragraphs>122</Paragraphs>
  <TotalTime>27</TotalTime>
  <ScaleCrop>false</ScaleCrop>
  <LinksUpToDate>false</LinksUpToDate>
  <CharactersWithSpaces>18837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2024-08-10T01:27:00Z</dcterms:created>
  <dc:creator>Administrator</dc:creator>
  <cp:lastModifiedBy>代理机构李柳婵</cp:lastModifiedBy>
  <cp:lastPrinted>2024-09-27T06:36:00Z</cp:lastPrinted>
  <dcterms:modified xsi:type="dcterms:W3CDTF">2026-02-24T09:47:13Z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4B40246473994A2C9659BD37C90375C8_13</vt:lpwstr>
  </property>
  <property fmtid="{D5CDD505-2E9C-101B-9397-08002B2CF9AE}" pid="4" name="KSOTemplateDocerSaveRecord">
    <vt:lpwstr>eyJoZGlkIjoiNjcyOGU1ZTI2MmFhYjllM2NkMmUwOTA3Y2ViMWFhMDEiLCJ1c2VySWQiOiIxNTA1MDgzOTczIn0=</vt:lpwstr>
  </property>
</Properties>
</file>