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7935">
      <w:pPr>
        <w:spacing w:line="360" w:lineRule="auto"/>
        <w:jc w:val="center"/>
        <w:rPr>
          <w:rFonts w:ascii="宋体" w:hAnsi="宋体" w:cs="宋体"/>
          <w:b/>
          <w:color w:val="000000" w:themeColor="text1"/>
          <w:sz w:val="24"/>
        </w:rPr>
      </w:pPr>
    </w:p>
    <w:p w14:paraId="2BB5B655">
      <w:pPr>
        <w:spacing w:line="360" w:lineRule="auto"/>
        <w:rPr>
          <w:rFonts w:ascii="宋体" w:hAnsi="宋体" w:cs="宋体"/>
          <w:b/>
          <w:color w:val="000000" w:themeColor="text1"/>
          <w:sz w:val="44"/>
          <w:szCs w:val="44"/>
        </w:rPr>
      </w:pPr>
    </w:p>
    <w:p w14:paraId="129BDA22">
      <w:pPr>
        <w:adjustRightInd/>
        <w:spacing w:line="360" w:lineRule="auto"/>
        <w:jc w:val="center"/>
        <w:rPr>
          <w:rFonts w:ascii="宋体" w:hAnsi="宋体" w:cs="宋体"/>
          <w:b/>
          <w:color w:val="000000" w:themeColor="text1"/>
          <w:sz w:val="48"/>
          <w:szCs w:val="48"/>
        </w:rPr>
      </w:pPr>
    </w:p>
    <w:p w14:paraId="5A18C36A">
      <w:pPr>
        <w:adjustRightInd/>
        <w:spacing w:line="360" w:lineRule="auto"/>
        <w:jc w:val="center"/>
        <w:rPr>
          <w:rFonts w:hint="eastAsia" w:ascii="宋体" w:hAnsi="宋体" w:eastAsia="宋体" w:cs="宋体"/>
          <w:color w:val="000000" w:themeColor="text1"/>
          <w:sz w:val="48"/>
          <w:szCs w:val="48"/>
          <w:lang w:eastAsia="zh-CN"/>
        </w:rPr>
      </w:pPr>
      <w:r>
        <w:rPr>
          <w:rFonts w:hint="eastAsia" w:ascii="宋体" w:hAnsi="宋体" w:cs="宋体"/>
          <w:color w:val="000000" w:themeColor="text1"/>
          <w:sz w:val="48"/>
          <w:szCs w:val="48"/>
          <w:lang w:eastAsia="zh-CN"/>
        </w:rPr>
        <w:t>农村义务教育学生营养改善计划学校食材集采集配供应链采购项目</w:t>
      </w:r>
    </w:p>
    <w:p w14:paraId="503CA627">
      <w:pPr>
        <w:adjustRightInd/>
        <w:spacing w:line="360" w:lineRule="auto"/>
        <w:jc w:val="center"/>
        <w:rPr>
          <w:rFonts w:ascii="宋体" w:hAnsi="宋体" w:cs="宋体"/>
          <w:color w:val="000000" w:themeColor="text1"/>
          <w:sz w:val="48"/>
          <w:szCs w:val="48"/>
        </w:rPr>
      </w:pPr>
    </w:p>
    <w:p w14:paraId="717397A1">
      <w:pPr>
        <w:adjustRightInd/>
        <w:spacing w:line="360" w:lineRule="auto"/>
        <w:jc w:val="center"/>
        <w:rPr>
          <w:rFonts w:ascii="宋体" w:hAnsi="宋体" w:cs="宋体"/>
          <w:color w:val="000000" w:themeColor="text1"/>
          <w:sz w:val="48"/>
          <w:szCs w:val="48"/>
        </w:rPr>
      </w:pPr>
      <w:r>
        <w:rPr>
          <w:rFonts w:hint="eastAsia" w:ascii="宋体" w:hAnsi="宋体" w:cs="宋体"/>
          <w:color w:val="000000" w:themeColor="text1"/>
          <w:sz w:val="48"/>
          <w:szCs w:val="48"/>
        </w:rPr>
        <w:t>招标文件</w:t>
      </w:r>
    </w:p>
    <w:p w14:paraId="1882188C">
      <w:pPr>
        <w:adjustRightInd/>
        <w:spacing w:line="360" w:lineRule="auto"/>
        <w:jc w:val="center"/>
        <w:rPr>
          <w:rFonts w:ascii="宋体" w:hAnsi="宋体" w:cs="宋体"/>
          <w:b/>
          <w:color w:val="000000" w:themeColor="text1"/>
          <w:sz w:val="44"/>
          <w:szCs w:val="44"/>
        </w:rPr>
      </w:pPr>
      <w:r>
        <w:rPr>
          <w:rFonts w:hint="eastAsia" w:ascii="宋体" w:hAnsi="宋体" w:cs="宋体"/>
          <w:b/>
          <w:color w:val="000000" w:themeColor="text1"/>
          <w:sz w:val="44"/>
          <w:szCs w:val="44"/>
        </w:rPr>
        <w:t>（电子招投标）</w:t>
      </w:r>
    </w:p>
    <w:p w14:paraId="2C7103C4">
      <w:pPr>
        <w:snapToGrid w:val="0"/>
        <w:spacing w:line="360" w:lineRule="auto"/>
        <w:jc w:val="center"/>
        <w:rPr>
          <w:rFonts w:ascii="宋体" w:hAnsi="宋体" w:cs="宋体"/>
          <w:color w:val="000000" w:themeColor="text1"/>
          <w:sz w:val="30"/>
          <w:szCs w:val="30"/>
        </w:rPr>
      </w:pPr>
    </w:p>
    <w:p w14:paraId="064694A7">
      <w:pPr>
        <w:snapToGrid w:val="0"/>
        <w:spacing w:line="360" w:lineRule="auto"/>
        <w:ind w:firstLine="2700" w:firstLineChars="900"/>
        <w:jc w:val="both"/>
        <w:rPr>
          <w:rFonts w:ascii="宋体" w:hAnsi="宋体" w:cs="宋体"/>
          <w:color w:val="000000" w:themeColor="text1"/>
          <w:sz w:val="30"/>
          <w:szCs w:val="30"/>
        </w:rPr>
      </w:pPr>
      <w:r>
        <w:rPr>
          <w:rFonts w:hint="eastAsia" w:ascii="宋体" w:hAnsi="宋体" w:cs="宋体"/>
          <w:color w:val="000000" w:themeColor="text1"/>
          <w:sz w:val="30"/>
          <w:szCs w:val="30"/>
          <w:lang w:eastAsia="zh-CN"/>
        </w:rPr>
        <w:t>项目</w:t>
      </w:r>
      <w:r>
        <w:rPr>
          <w:rFonts w:hint="eastAsia" w:ascii="宋体" w:hAnsi="宋体" w:cs="宋体"/>
          <w:color w:val="000000" w:themeColor="text1"/>
          <w:sz w:val="30"/>
          <w:szCs w:val="30"/>
        </w:rPr>
        <w:t>编号:BHZC2025-G3-210206-ZZYG</w:t>
      </w:r>
    </w:p>
    <w:p w14:paraId="78AABC74">
      <w:pPr>
        <w:adjustRightInd/>
        <w:spacing w:line="360" w:lineRule="auto"/>
        <w:rPr>
          <w:rFonts w:ascii="宋体" w:hAnsi="宋体" w:cs="宋体"/>
          <w:color w:val="000000" w:themeColor="text1"/>
          <w:sz w:val="28"/>
          <w:szCs w:val="20"/>
        </w:rPr>
      </w:pPr>
    </w:p>
    <w:p w14:paraId="4E0F3E45">
      <w:pPr>
        <w:spacing w:line="360" w:lineRule="auto"/>
        <w:jc w:val="center"/>
        <w:rPr>
          <w:rFonts w:ascii="宋体" w:hAnsi="宋体" w:cs="宋体"/>
          <w:b/>
          <w:color w:val="000000" w:themeColor="text1"/>
          <w:sz w:val="44"/>
          <w:szCs w:val="44"/>
        </w:rPr>
      </w:pPr>
    </w:p>
    <w:p w14:paraId="7B75A178">
      <w:pPr>
        <w:spacing w:line="360" w:lineRule="auto"/>
        <w:jc w:val="center"/>
        <w:rPr>
          <w:rFonts w:ascii="宋体" w:hAnsi="宋体" w:cs="宋体"/>
          <w:b/>
          <w:color w:val="000000" w:themeColor="text1"/>
          <w:sz w:val="44"/>
          <w:szCs w:val="44"/>
        </w:rPr>
      </w:pPr>
    </w:p>
    <w:p w14:paraId="626A452D">
      <w:pPr>
        <w:spacing w:line="360" w:lineRule="auto"/>
        <w:jc w:val="center"/>
        <w:rPr>
          <w:rFonts w:ascii="宋体" w:hAnsi="宋体" w:cs="宋体"/>
          <w:color w:val="000000" w:themeColor="text1"/>
          <w:sz w:val="24"/>
        </w:rPr>
      </w:pPr>
    </w:p>
    <w:p w14:paraId="1536D6C1">
      <w:pPr>
        <w:spacing w:line="360" w:lineRule="auto"/>
        <w:jc w:val="center"/>
        <w:rPr>
          <w:rFonts w:ascii="宋体" w:hAnsi="宋体" w:cs="宋体"/>
          <w:color w:val="000000" w:themeColor="text1"/>
          <w:sz w:val="24"/>
        </w:rPr>
      </w:pPr>
    </w:p>
    <w:p w14:paraId="24CE32F0">
      <w:pPr>
        <w:spacing w:line="360" w:lineRule="auto"/>
        <w:rPr>
          <w:rFonts w:ascii="宋体" w:hAnsi="宋体" w:cs="宋体"/>
          <w:color w:val="000000" w:themeColor="text1"/>
          <w:sz w:val="32"/>
          <w:szCs w:val="32"/>
        </w:rPr>
      </w:pPr>
    </w:p>
    <w:p w14:paraId="3A40A59D">
      <w:pPr>
        <w:spacing w:line="360" w:lineRule="auto"/>
        <w:jc w:val="center"/>
        <w:rPr>
          <w:rFonts w:ascii="宋体" w:hAnsi="宋体" w:cs="宋体"/>
          <w:color w:val="000000" w:themeColor="text1"/>
          <w:sz w:val="32"/>
          <w:szCs w:val="32"/>
        </w:rPr>
      </w:pPr>
      <w:r>
        <w:rPr>
          <w:rFonts w:hint="eastAsia" w:ascii="宋体" w:hAnsi="宋体" w:cs="宋体"/>
          <w:color w:val="000000" w:themeColor="text1"/>
          <w:sz w:val="32"/>
          <w:szCs w:val="32"/>
        </w:rPr>
        <w:t>合浦县教育局</w:t>
      </w:r>
    </w:p>
    <w:p w14:paraId="03CC264C">
      <w:pPr>
        <w:spacing w:line="360" w:lineRule="auto"/>
        <w:jc w:val="center"/>
        <w:rPr>
          <w:rFonts w:ascii="宋体" w:hAnsi="宋体" w:cs="宋体"/>
          <w:bCs/>
          <w:color w:val="000000" w:themeColor="text1"/>
          <w:sz w:val="32"/>
          <w:szCs w:val="32"/>
        </w:rPr>
      </w:pPr>
      <w:r>
        <w:rPr>
          <w:rFonts w:hint="eastAsia" w:ascii="宋体" w:hAnsi="宋体" w:cs="宋体"/>
          <w:bCs/>
          <w:color w:val="000000" w:themeColor="text1"/>
          <w:sz w:val="32"/>
          <w:szCs w:val="32"/>
        </w:rPr>
        <w:t>广西中之元工程管理有限公司</w:t>
      </w:r>
    </w:p>
    <w:p w14:paraId="554D2F67">
      <w:pPr>
        <w:snapToGrid w:val="0"/>
        <w:spacing w:line="360" w:lineRule="auto"/>
        <w:jc w:val="center"/>
        <w:rPr>
          <w:rFonts w:ascii="宋体" w:hAnsi="宋体" w:cs="宋体"/>
          <w:bCs/>
          <w:color w:val="000000" w:themeColor="text1"/>
          <w:sz w:val="32"/>
          <w:szCs w:val="32"/>
        </w:rPr>
      </w:pPr>
      <w:r>
        <w:rPr>
          <w:rFonts w:hint="eastAsia" w:ascii="宋体" w:hAnsi="宋体" w:cs="宋体"/>
          <w:bCs/>
          <w:color w:val="000000" w:themeColor="text1"/>
          <w:sz w:val="32"/>
          <w:szCs w:val="32"/>
        </w:rPr>
        <w:t>二〇二五年十</w:t>
      </w:r>
      <w:r>
        <w:rPr>
          <w:rFonts w:hint="eastAsia" w:ascii="宋体" w:hAnsi="宋体" w:cs="宋体"/>
          <w:bCs/>
          <w:color w:val="000000" w:themeColor="text1"/>
          <w:sz w:val="32"/>
          <w:szCs w:val="32"/>
          <w:lang w:eastAsia="zh-CN"/>
        </w:rPr>
        <w:t>二</w:t>
      </w:r>
      <w:r>
        <w:rPr>
          <w:rFonts w:hint="eastAsia" w:ascii="宋体" w:hAnsi="宋体" w:cs="宋体"/>
          <w:bCs/>
          <w:color w:val="000000" w:themeColor="text1"/>
          <w:sz w:val="32"/>
          <w:szCs w:val="32"/>
        </w:rPr>
        <w:t>月</w:t>
      </w:r>
      <w:r>
        <w:rPr>
          <w:rFonts w:hint="eastAsia" w:ascii="宋体" w:hAnsi="宋体" w:cs="宋体"/>
          <w:bCs/>
          <w:color w:val="000000" w:themeColor="text1"/>
          <w:sz w:val="32"/>
          <w:szCs w:val="32"/>
          <w:lang w:val="en-US" w:eastAsia="zh-CN"/>
        </w:rPr>
        <w:t>一日</w:t>
      </w:r>
      <w:r>
        <w:rPr>
          <w:rFonts w:hint="eastAsia" w:ascii="宋体" w:hAnsi="宋体" w:cs="宋体"/>
          <w:bCs/>
          <w:color w:val="000000" w:themeColor="text1"/>
          <w:sz w:val="32"/>
          <w:szCs w:val="32"/>
        </w:rPr>
        <w:t xml:space="preserve"> </w:t>
      </w:r>
    </w:p>
    <w:p w14:paraId="3C7AFE8B">
      <w:pPr>
        <w:pStyle w:val="634"/>
        <w:outlineLvl w:val="9"/>
        <w:rPr>
          <w:color w:val="000000" w:themeColor="text1"/>
        </w:rPr>
        <w:sectPr>
          <w:footerReference r:id="rId3" w:type="default"/>
          <w:pgSz w:w="11907" w:h="16840"/>
          <w:pgMar w:top="1134" w:right="880" w:bottom="882" w:left="1133" w:header="0" w:footer="715" w:gutter="0"/>
          <w:pgNumType w:fmt="decimal"/>
          <w:cols w:space="720" w:num="1"/>
        </w:sectPr>
      </w:pPr>
    </w:p>
    <w:p w14:paraId="745567DD">
      <w:pPr>
        <w:pStyle w:val="634"/>
        <w:outlineLvl w:val="9"/>
        <w:rPr>
          <w:color w:val="000000" w:themeColor="text1"/>
        </w:rPr>
      </w:pPr>
    </w:p>
    <w:p w14:paraId="74522AE6">
      <w:pPr>
        <w:spacing w:line="360" w:lineRule="auto"/>
        <w:jc w:val="center"/>
        <w:rPr>
          <w:rFonts w:ascii="宋体" w:hAnsi="宋体" w:cs="宋体"/>
          <w:b/>
          <w:color w:val="000000" w:themeColor="text1"/>
          <w:sz w:val="48"/>
          <w:szCs w:val="48"/>
        </w:rPr>
      </w:pPr>
      <w:r>
        <w:rPr>
          <w:rFonts w:hint="eastAsia" w:ascii="宋体" w:hAnsi="宋体" w:cs="宋体"/>
          <w:b/>
          <w:color w:val="000000" w:themeColor="text1"/>
          <w:sz w:val="48"/>
          <w:szCs w:val="48"/>
        </w:rPr>
        <w:t>目  录</w:t>
      </w:r>
    </w:p>
    <w:p w14:paraId="01023EE1">
      <w:pPr>
        <w:spacing w:line="360" w:lineRule="auto"/>
        <w:rPr>
          <w:rFonts w:ascii="宋体" w:hAnsi="宋体" w:cs="宋体"/>
          <w:color w:val="000000" w:themeColor="text1"/>
          <w:sz w:val="32"/>
          <w:szCs w:val="32"/>
        </w:rPr>
      </w:pPr>
    </w:p>
    <w:p w14:paraId="6B139AFE">
      <w:pPr>
        <w:pStyle w:val="42"/>
        <w:tabs>
          <w:tab w:val="right" w:leader="dot" w:pos="9060"/>
        </w:tabs>
        <w:spacing w:line="360" w:lineRule="auto"/>
        <w:rPr>
          <w:rFonts w:asciiTheme="minorEastAsia" w:hAnsiTheme="minorEastAsia" w:eastAsiaTheme="minorEastAsia" w:cstheme="minorBidi"/>
          <w:color w:val="000000" w:themeColor="text1"/>
          <w:sz w:val="32"/>
          <w:szCs w:val="32"/>
        </w:rPr>
      </w:pPr>
      <w:bookmarkStart w:id="0" w:name="_Hlt91233176"/>
      <w:bookmarkEnd w:id="0"/>
      <w:bookmarkStart w:id="1" w:name="_Toc91899869"/>
      <w:r>
        <w:rPr>
          <w:rFonts w:cs="宋体" w:asciiTheme="minorEastAsia" w:hAnsiTheme="minorEastAsia" w:eastAsiaTheme="minorEastAsia"/>
          <w:color w:val="000000" w:themeColor="text1"/>
          <w:sz w:val="32"/>
          <w:szCs w:val="32"/>
        </w:rPr>
        <w:fldChar w:fldCharType="begin"/>
      </w:r>
      <w:r>
        <w:rPr>
          <w:rFonts w:cs="宋体" w:asciiTheme="minorEastAsia" w:hAnsiTheme="minorEastAsia" w:eastAsiaTheme="minorEastAsia"/>
          <w:color w:val="000000" w:themeColor="text1"/>
          <w:sz w:val="32"/>
          <w:szCs w:val="32"/>
        </w:rPr>
        <w:instrText xml:space="preserve"> TOC \o "1-1" \h \z \u </w:instrText>
      </w:r>
      <w:r>
        <w:rPr>
          <w:rFonts w:cs="宋体" w:asciiTheme="minorEastAsia" w:hAnsiTheme="minorEastAsia" w:eastAsiaTheme="minorEastAsia"/>
          <w:color w:val="000000" w:themeColor="text1"/>
          <w:sz w:val="32"/>
          <w:szCs w:val="32"/>
        </w:rPr>
        <w:fldChar w:fldCharType="separate"/>
      </w:r>
      <w:r>
        <w:fldChar w:fldCharType="begin"/>
      </w:r>
      <w:r>
        <w:instrText xml:space="preserve"> HYPERLINK \l "_Toc176368902" </w:instrText>
      </w:r>
      <w:r>
        <w:fldChar w:fldCharType="separate"/>
      </w:r>
      <w:r>
        <w:rPr>
          <w:rStyle w:val="76"/>
          <w:rFonts w:hint="eastAsia" w:cs="宋体" w:asciiTheme="minorEastAsia" w:hAnsiTheme="minorEastAsia" w:eastAsiaTheme="minorEastAsia"/>
          <w:color w:val="000000" w:themeColor="text1"/>
          <w:sz w:val="32"/>
          <w:szCs w:val="32"/>
        </w:rPr>
        <w:t>第一部分招标公告</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_Toc176368902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2</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59C74072">
      <w:pPr>
        <w:pStyle w:val="42"/>
        <w:tabs>
          <w:tab w:val="right" w:leader="dot" w:pos="9060"/>
        </w:tabs>
        <w:spacing w:line="360" w:lineRule="auto"/>
        <w:rPr>
          <w:rFonts w:asciiTheme="minorEastAsia" w:hAnsiTheme="minorEastAsia" w:eastAsiaTheme="minorEastAsia" w:cstheme="minorBidi"/>
          <w:color w:val="000000" w:themeColor="text1"/>
          <w:sz w:val="32"/>
          <w:szCs w:val="32"/>
        </w:rPr>
      </w:pPr>
      <w:r>
        <w:fldChar w:fldCharType="begin"/>
      </w:r>
      <w:r>
        <w:instrText xml:space="preserve"> HYPERLINK \l "_Toc176368903" </w:instrText>
      </w:r>
      <w:r>
        <w:fldChar w:fldCharType="separate"/>
      </w:r>
      <w:r>
        <w:rPr>
          <w:rStyle w:val="76"/>
          <w:rFonts w:hint="eastAsia" w:cs="宋体" w:asciiTheme="minorEastAsia" w:hAnsiTheme="minorEastAsia" w:eastAsiaTheme="minorEastAsia"/>
          <w:color w:val="000000" w:themeColor="text1"/>
          <w:sz w:val="32"/>
          <w:szCs w:val="32"/>
        </w:rPr>
        <w:t>第二部分投标人须知</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_Toc176368903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5</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126DF243">
      <w:pPr>
        <w:pStyle w:val="42"/>
        <w:tabs>
          <w:tab w:val="right" w:leader="dot" w:pos="9060"/>
        </w:tabs>
        <w:spacing w:line="360" w:lineRule="auto"/>
        <w:rPr>
          <w:rFonts w:asciiTheme="minorEastAsia" w:hAnsiTheme="minorEastAsia" w:eastAsiaTheme="minorEastAsia" w:cstheme="minorBidi"/>
          <w:color w:val="000000" w:themeColor="text1"/>
          <w:sz w:val="32"/>
          <w:szCs w:val="32"/>
        </w:rPr>
      </w:pPr>
      <w:r>
        <w:fldChar w:fldCharType="begin"/>
      </w:r>
      <w:r>
        <w:instrText xml:space="preserve"> HYPERLINK \l "_Toc176368904" </w:instrText>
      </w:r>
      <w:r>
        <w:fldChar w:fldCharType="separate"/>
      </w:r>
      <w:r>
        <w:rPr>
          <w:rStyle w:val="76"/>
          <w:rFonts w:hint="eastAsia" w:cs="宋体" w:asciiTheme="minorEastAsia" w:hAnsiTheme="minorEastAsia" w:eastAsiaTheme="minorEastAsia"/>
          <w:color w:val="000000" w:themeColor="text1"/>
          <w:sz w:val="32"/>
          <w:szCs w:val="32"/>
        </w:rPr>
        <w:t>第三部分采购需求</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_Toc176368904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24</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0604BF35">
      <w:pPr>
        <w:pStyle w:val="42"/>
        <w:tabs>
          <w:tab w:val="right" w:leader="dot" w:pos="9060"/>
        </w:tabs>
        <w:spacing w:line="360" w:lineRule="auto"/>
        <w:rPr>
          <w:rFonts w:asciiTheme="minorEastAsia" w:hAnsiTheme="minorEastAsia" w:eastAsiaTheme="minorEastAsia" w:cstheme="minorBidi"/>
          <w:color w:val="000000" w:themeColor="text1"/>
          <w:sz w:val="32"/>
          <w:szCs w:val="32"/>
        </w:rPr>
      </w:pPr>
      <w:r>
        <w:fldChar w:fldCharType="begin"/>
      </w:r>
      <w:r>
        <w:instrText xml:space="preserve"> HYPERLINK \l "_Toc176368905" </w:instrText>
      </w:r>
      <w:r>
        <w:fldChar w:fldCharType="separate"/>
      </w:r>
      <w:r>
        <w:rPr>
          <w:rStyle w:val="76"/>
          <w:rFonts w:hint="eastAsia" w:cs="宋体" w:asciiTheme="minorEastAsia" w:hAnsiTheme="minorEastAsia" w:eastAsiaTheme="minorEastAsia"/>
          <w:color w:val="000000" w:themeColor="text1"/>
          <w:sz w:val="32"/>
          <w:szCs w:val="32"/>
        </w:rPr>
        <w:t>第四部分评标办法</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_Toc176368905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33</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55456E4B">
      <w:pPr>
        <w:pStyle w:val="42"/>
        <w:tabs>
          <w:tab w:val="right" w:leader="dot" w:pos="9060"/>
        </w:tabs>
        <w:spacing w:line="360" w:lineRule="auto"/>
        <w:rPr>
          <w:rFonts w:asciiTheme="minorEastAsia" w:hAnsiTheme="minorEastAsia" w:eastAsiaTheme="minorEastAsia" w:cstheme="minorBidi"/>
          <w:color w:val="000000" w:themeColor="text1"/>
          <w:sz w:val="32"/>
          <w:szCs w:val="32"/>
        </w:rPr>
      </w:pPr>
      <w:r>
        <w:fldChar w:fldCharType="begin"/>
      </w:r>
      <w:r>
        <w:instrText xml:space="preserve"> HYPERLINK \l "_Toc176368906" </w:instrText>
      </w:r>
      <w:r>
        <w:fldChar w:fldCharType="separate"/>
      </w:r>
      <w:r>
        <w:rPr>
          <w:rStyle w:val="76"/>
          <w:rFonts w:hint="eastAsia" w:cs="宋体" w:asciiTheme="minorEastAsia" w:hAnsiTheme="minorEastAsia" w:eastAsiaTheme="minorEastAsia"/>
          <w:color w:val="000000" w:themeColor="text1"/>
          <w:sz w:val="32"/>
          <w:szCs w:val="32"/>
        </w:rPr>
        <w:t>第五部分拟签订的合同文本</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_Toc176368906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42</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139CA7A1">
      <w:pPr>
        <w:pStyle w:val="42"/>
        <w:tabs>
          <w:tab w:val="right" w:leader="dot" w:pos="9060"/>
        </w:tabs>
        <w:spacing w:line="360" w:lineRule="auto"/>
        <w:rPr>
          <w:rFonts w:asciiTheme="minorEastAsia" w:hAnsiTheme="minorEastAsia" w:eastAsiaTheme="minorEastAsia" w:cstheme="minorBidi"/>
          <w:color w:val="000000" w:themeColor="text1"/>
          <w:sz w:val="32"/>
          <w:szCs w:val="32"/>
        </w:rPr>
      </w:pPr>
      <w:r>
        <w:fldChar w:fldCharType="begin"/>
      </w:r>
      <w:r>
        <w:instrText xml:space="preserve"> HYPERLINK \l "_Toc176368907" </w:instrText>
      </w:r>
      <w:r>
        <w:fldChar w:fldCharType="separate"/>
      </w:r>
      <w:r>
        <w:rPr>
          <w:rStyle w:val="76"/>
          <w:rFonts w:hint="eastAsia" w:cs="宋体" w:asciiTheme="minorEastAsia" w:hAnsiTheme="minorEastAsia" w:eastAsiaTheme="minorEastAsia"/>
          <w:color w:val="000000" w:themeColor="text1"/>
          <w:sz w:val="32"/>
          <w:szCs w:val="32"/>
        </w:rPr>
        <w:t>第六部分应提交的有关格式范例</w:t>
      </w:r>
      <w:r>
        <w:rPr>
          <w:rFonts w:asciiTheme="minorEastAsia" w:hAnsiTheme="minorEastAsia" w:eastAsiaTheme="minorEastAsia"/>
          <w:color w:val="000000" w:themeColor="text1"/>
          <w:sz w:val="32"/>
          <w:szCs w:val="32"/>
        </w:rPr>
        <w:tab/>
      </w:r>
      <w:r>
        <w:rPr>
          <w:rFonts w:asciiTheme="minorEastAsia" w:hAnsiTheme="minorEastAsia" w:eastAsiaTheme="minorEastAsia"/>
          <w:color w:val="000000" w:themeColor="text1"/>
          <w:sz w:val="32"/>
          <w:szCs w:val="32"/>
        </w:rPr>
        <w:fldChar w:fldCharType="begin"/>
      </w:r>
      <w:r>
        <w:rPr>
          <w:rFonts w:asciiTheme="minorEastAsia" w:hAnsiTheme="minorEastAsia" w:eastAsiaTheme="minorEastAsia"/>
          <w:color w:val="000000" w:themeColor="text1"/>
          <w:sz w:val="32"/>
          <w:szCs w:val="32"/>
        </w:rPr>
        <w:instrText xml:space="preserve"> PAGEREF _Toc176368907 \h </w:instrText>
      </w:r>
      <w:r>
        <w:rPr>
          <w:rFonts w:asciiTheme="minorEastAsia" w:hAnsiTheme="minorEastAsia" w:eastAsiaTheme="minorEastAsia"/>
          <w:color w:val="000000" w:themeColor="text1"/>
          <w:sz w:val="32"/>
          <w:szCs w:val="32"/>
        </w:rPr>
        <w:fldChar w:fldCharType="separate"/>
      </w:r>
      <w:r>
        <w:rPr>
          <w:rFonts w:asciiTheme="minorEastAsia" w:hAnsiTheme="minorEastAsia" w:eastAsiaTheme="minorEastAsia"/>
          <w:color w:val="000000" w:themeColor="text1"/>
          <w:sz w:val="32"/>
          <w:szCs w:val="32"/>
        </w:rPr>
        <w:t>54</w:t>
      </w:r>
      <w:r>
        <w:rPr>
          <w:rFonts w:asciiTheme="minorEastAsia" w:hAnsiTheme="minorEastAsia" w:eastAsiaTheme="minorEastAsia"/>
          <w:color w:val="000000" w:themeColor="text1"/>
          <w:sz w:val="32"/>
          <w:szCs w:val="32"/>
        </w:rPr>
        <w:fldChar w:fldCharType="end"/>
      </w:r>
      <w:r>
        <w:rPr>
          <w:rFonts w:asciiTheme="minorEastAsia" w:hAnsiTheme="minorEastAsia" w:eastAsiaTheme="minorEastAsia"/>
          <w:color w:val="000000" w:themeColor="text1"/>
          <w:sz w:val="32"/>
          <w:szCs w:val="32"/>
        </w:rPr>
        <w:fldChar w:fldCharType="end"/>
      </w:r>
    </w:p>
    <w:p w14:paraId="0DBFBE3B">
      <w:pPr>
        <w:spacing w:line="360" w:lineRule="auto"/>
        <w:ind w:firstLine="732" w:firstLineChars="229"/>
        <w:rPr>
          <w:rFonts w:ascii="宋体" w:hAnsi="宋体" w:cs="宋体"/>
          <w:color w:val="000000" w:themeColor="text1"/>
          <w:sz w:val="24"/>
        </w:rPr>
      </w:pPr>
      <w:r>
        <w:rPr>
          <w:rFonts w:cs="宋体" w:asciiTheme="minorEastAsia" w:hAnsiTheme="minorEastAsia" w:eastAsiaTheme="minorEastAsia"/>
          <w:color w:val="000000" w:themeColor="text1"/>
          <w:sz w:val="32"/>
          <w:szCs w:val="32"/>
        </w:rPr>
        <w:fldChar w:fldCharType="end"/>
      </w:r>
    </w:p>
    <w:p w14:paraId="14ABD2E5">
      <w:pPr>
        <w:spacing w:line="360" w:lineRule="auto"/>
        <w:ind w:firstLine="549" w:firstLineChars="229"/>
        <w:rPr>
          <w:rFonts w:ascii="宋体" w:hAnsi="宋体" w:cs="宋体"/>
          <w:color w:val="000000" w:themeColor="text1"/>
          <w:sz w:val="24"/>
        </w:rPr>
      </w:pPr>
    </w:p>
    <w:p w14:paraId="7EA38736">
      <w:pPr>
        <w:spacing w:line="360" w:lineRule="auto"/>
        <w:ind w:firstLine="549" w:firstLineChars="229"/>
        <w:rPr>
          <w:rFonts w:ascii="宋体" w:hAnsi="宋体" w:cs="宋体"/>
          <w:color w:val="000000" w:themeColor="text1"/>
          <w:sz w:val="24"/>
        </w:rPr>
      </w:pPr>
    </w:p>
    <w:p w14:paraId="0F98ECE1">
      <w:pPr>
        <w:spacing w:line="360" w:lineRule="auto"/>
        <w:ind w:firstLine="549" w:firstLineChars="229"/>
        <w:rPr>
          <w:rFonts w:ascii="宋体" w:hAnsi="宋体" w:cs="宋体"/>
          <w:color w:val="000000" w:themeColor="text1"/>
          <w:sz w:val="24"/>
        </w:rPr>
      </w:pPr>
    </w:p>
    <w:p w14:paraId="2192AD66">
      <w:pPr>
        <w:spacing w:line="360" w:lineRule="auto"/>
        <w:ind w:firstLine="549" w:firstLineChars="229"/>
        <w:rPr>
          <w:rFonts w:ascii="宋体" w:hAnsi="宋体" w:cs="宋体"/>
          <w:color w:val="000000" w:themeColor="text1"/>
          <w:sz w:val="24"/>
        </w:rPr>
      </w:pPr>
    </w:p>
    <w:p w14:paraId="1ED61CAD">
      <w:pPr>
        <w:spacing w:line="360" w:lineRule="auto"/>
        <w:ind w:firstLine="549" w:firstLineChars="229"/>
        <w:rPr>
          <w:rFonts w:ascii="宋体" w:hAnsi="宋体" w:cs="宋体"/>
          <w:color w:val="000000" w:themeColor="text1"/>
          <w:sz w:val="24"/>
        </w:rPr>
      </w:pPr>
    </w:p>
    <w:p w14:paraId="15832409">
      <w:pPr>
        <w:spacing w:line="360" w:lineRule="auto"/>
        <w:ind w:firstLine="549" w:firstLineChars="229"/>
        <w:rPr>
          <w:rFonts w:ascii="宋体" w:hAnsi="宋体" w:cs="宋体"/>
          <w:color w:val="000000" w:themeColor="text1"/>
          <w:sz w:val="24"/>
        </w:rPr>
      </w:pPr>
    </w:p>
    <w:p w14:paraId="51649B0D">
      <w:pPr>
        <w:spacing w:line="360" w:lineRule="auto"/>
        <w:ind w:firstLine="549" w:firstLineChars="229"/>
        <w:rPr>
          <w:rFonts w:ascii="宋体" w:hAnsi="宋体" w:cs="宋体"/>
          <w:color w:val="000000" w:themeColor="text1"/>
          <w:sz w:val="24"/>
        </w:rPr>
      </w:pPr>
    </w:p>
    <w:p w14:paraId="69537D16">
      <w:pPr>
        <w:spacing w:line="360" w:lineRule="auto"/>
        <w:ind w:firstLine="549" w:firstLineChars="229"/>
        <w:rPr>
          <w:rFonts w:ascii="宋体" w:hAnsi="宋体" w:cs="宋体"/>
          <w:color w:val="000000" w:themeColor="text1"/>
          <w:sz w:val="24"/>
        </w:rPr>
      </w:pPr>
    </w:p>
    <w:p w14:paraId="7DB0BE44">
      <w:pPr>
        <w:spacing w:line="360" w:lineRule="auto"/>
        <w:ind w:firstLine="549" w:firstLineChars="229"/>
        <w:rPr>
          <w:rFonts w:ascii="宋体" w:hAnsi="宋体" w:cs="宋体"/>
          <w:color w:val="000000" w:themeColor="text1"/>
          <w:sz w:val="24"/>
        </w:rPr>
      </w:pPr>
    </w:p>
    <w:p w14:paraId="2D2D97CB">
      <w:pPr>
        <w:spacing w:line="360" w:lineRule="auto"/>
        <w:ind w:firstLine="549" w:firstLineChars="229"/>
        <w:rPr>
          <w:rFonts w:ascii="宋体" w:hAnsi="宋体" w:cs="宋体"/>
          <w:color w:val="000000" w:themeColor="text1"/>
          <w:sz w:val="24"/>
        </w:rPr>
      </w:pPr>
    </w:p>
    <w:p w14:paraId="34649076">
      <w:pPr>
        <w:spacing w:line="360" w:lineRule="auto"/>
        <w:ind w:firstLine="549" w:firstLineChars="229"/>
        <w:rPr>
          <w:rFonts w:ascii="宋体" w:hAnsi="宋体" w:cs="宋体"/>
          <w:color w:val="000000" w:themeColor="text1"/>
          <w:sz w:val="24"/>
        </w:rPr>
      </w:pPr>
    </w:p>
    <w:p w14:paraId="4D0B2EEC">
      <w:pPr>
        <w:spacing w:line="360" w:lineRule="auto"/>
        <w:ind w:firstLine="549" w:firstLineChars="229"/>
        <w:rPr>
          <w:rFonts w:ascii="宋体" w:hAnsi="宋体" w:cs="宋体"/>
          <w:color w:val="000000" w:themeColor="text1"/>
          <w:sz w:val="24"/>
        </w:rPr>
      </w:pPr>
    </w:p>
    <w:p w14:paraId="04099F89">
      <w:pPr>
        <w:spacing w:line="360" w:lineRule="auto"/>
        <w:rPr>
          <w:rFonts w:ascii="宋体" w:hAnsi="宋体" w:cs="宋体"/>
          <w:color w:val="000000" w:themeColor="text1"/>
          <w:sz w:val="24"/>
        </w:rPr>
      </w:pPr>
    </w:p>
    <w:p w14:paraId="2D8B5A4D">
      <w:pPr>
        <w:numPr>
          <w:ilvl w:val="0"/>
          <w:numId w:val="1"/>
        </w:numPr>
        <w:adjustRightInd/>
        <w:spacing w:line="360" w:lineRule="auto"/>
        <w:jc w:val="center"/>
        <w:outlineLvl w:val="0"/>
        <w:rPr>
          <w:rFonts w:ascii="宋体" w:hAnsi="宋体" w:cs="宋体"/>
          <w:b/>
          <w:color w:val="000000" w:themeColor="text1"/>
          <w:sz w:val="36"/>
          <w:szCs w:val="20"/>
        </w:rPr>
      </w:pPr>
      <w:bookmarkStart w:id="2" w:name="第一部分"/>
      <w:r>
        <w:rPr>
          <w:rFonts w:hint="eastAsia" w:ascii="宋体" w:hAnsi="宋体" w:cs="宋体"/>
          <w:b/>
          <w:color w:val="000000" w:themeColor="text1"/>
          <w:sz w:val="36"/>
          <w:szCs w:val="36"/>
        </w:rPr>
        <w:br w:type="page"/>
      </w:r>
      <w:bookmarkEnd w:id="1"/>
      <w:bookmarkEnd w:id="2"/>
      <w:bookmarkStart w:id="3" w:name="_Hlt74729822"/>
      <w:bookmarkEnd w:id="3"/>
      <w:bookmarkStart w:id="4" w:name="_Hlt74728647"/>
      <w:bookmarkEnd w:id="4"/>
      <w:bookmarkStart w:id="5" w:name="_Hlt74649545"/>
      <w:bookmarkEnd w:id="5"/>
      <w:bookmarkStart w:id="6" w:name="_Hlt74707423"/>
      <w:bookmarkEnd w:id="6"/>
      <w:bookmarkStart w:id="7" w:name="_Toc176368902"/>
      <w:bookmarkStart w:id="8" w:name="第二部分"/>
      <w:bookmarkStart w:id="9" w:name="_Toc91899870"/>
      <w:bookmarkStart w:id="10" w:name="_Toc91899871"/>
      <w:r>
        <w:rPr>
          <w:rFonts w:hint="eastAsia" w:ascii="宋体" w:hAnsi="宋体" w:cs="宋体"/>
          <w:b/>
          <w:color w:val="000000" w:themeColor="text1"/>
          <w:sz w:val="36"/>
          <w:szCs w:val="20"/>
        </w:rPr>
        <w:t>招标公告</w:t>
      </w:r>
      <w:bookmarkEnd w:id="7"/>
    </w:p>
    <w:p w14:paraId="7E68F39E">
      <w:pPr>
        <w:spacing w:before="91" w:line="371" w:lineRule="auto"/>
        <w:ind w:left="181" w:right="167" w:firstLine="66"/>
        <w:jc w:val="center"/>
      </w:pPr>
      <w:r>
        <w:rPr>
          <w:rFonts w:ascii="宋体" w:hAnsi="宋体" w:cs="宋体"/>
          <w:b/>
          <w:bCs/>
          <w:spacing w:val="-5"/>
          <w:sz w:val="28"/>
          <w:szCs w:val="28"/>
        </w:rPr>
        <w:t>广西</w:t>
      </w:r>
      <w:r>
        <w:rPr>
          <w:rFonts w:hint="eastAsia" w:ascii="宋体" w:hAnsi="宋体" w:cs="宋体"/>
          <w:b/>
          <w:bCs/>
          <w:spacing w:val="-5"/>
          <w:sz w:val="28"/>
          <w:szCs w:val="28"/>
        </w:rPr>
        <w:t>中之元工</w:t>
      </w:r>
      <w:r>
        <w:rPr>
          <w:rFonts w:ascii="宋体" w:hAnsi="宋体" w:cs="宋体"/>
          <w:b/>
          <w:bCs/>
          <w:spacing w:val="-5"/>
          <w:sz w:val="28"/>
          <w:szCs w:val="28"/>
        </w:rPr>
        <w:t>程</w:t>
      </w:r>
      <w:r>
        <w:rPr>
          <w:rFonts w:hint="eastAsia" w:ascii="宋体" w:hAnsi="宋体" w:cs="宋体"/>
          <w:b/>
          <w:bCs/>
          <w:spacing w:val="-5"/>
          <w:sz w:val="28"/>
          <w:szCs w:val="28"/>
        </w:rPr>
        <w:t>管理</w:t>
      </w:r>
      <w:r>
        <w:rPr>
          <w:rFonts w:ascii="宋体" w:hAnsi="宋体" w:cs="宋体"/>
          <w:b/>
          <w:bCs/>
          <w:spacing w:val="-5"/>
          <w:sz w:val="28"/>
          <w:szCs w:val="28"/>
        </w:rPr>
        <w:t>有限公司关于</w:t>
      </w:r>
      <w:r>
        <w:rPr>
          <w:rFonts w:hint="eastAsia" w:ascii="宋体" w:hAnsi="宋体" w:cs="宋体"/>
          <w:b/>
          <w:bCs/>
          <w:spacing w:val="-5"/>
          <w:sz w:val="28"/>
          <w:szCs w:val="28"/>
          <w:lang w:eastAsia="zh-CN"/>
        </w:rPr>
        <w:t>农村义务教育学生营养改善计划学校食材集采集配供应链采购项目</w:t>
      </w:r>
      <w:r>
        <w:rPr>
          <w:rFonts w:hint="eastAsia" w:ascii="宋体" w:hAnsi="宋体" w:cs="宋体"/>
          <w:b/>
          <w:bCs/>
          <w:spacing w:val="-5"/>
          <w:sz w:val="28"/>
          <w:szCs w:val="28"/>
        </w:rPr>
        <w:t>的</w:t>
      </w:r>
      <w:r>
        <w:rPr>
          <w:rFonts w:ascii="宋体" w:hAnsi="宋体" w:cs="宋体"/>
          <w:b/>
          <w:bCs/>
          <w:spacing w:val="-4"/>
          <w:sz w:val="28"/>
          <w:szCs w:val="28"/>
        </w:rPr>
        <w:t>公开招标公告（远程异地评标）</w:t>
      </w:r>
    </w:p>
    <w:p w14:paraId="28943AC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项目概况</w:t>
      </w:r>
    </w:p>
    <w:p w14:paraId="4986A77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rPr>
      </w:pPr>
      <w:r>
        <w:rPr>
          <w:rFonts w:hint="eastAsia" w:ascii="宋体" w:hAnsi="宋体" w:cs="宋体"/>
          <w:color w:val="000000" w:themeColor="text1"/>
          <w:sz w:val="24"/>
          <w:u w:val="single"/>
          <w:lang w:eastAsia="zh-CN"/>
        </w:rPr>
        <w:t>农村义务教育学生营养改善计划学校食材集采集配供应链采购项目</w:t>
      </w:r>
      <w:r>
        <w:rPr>
          <w:rFonts w:hint="eastAsia" w:ascii="宋体" w:hAnsi="宋体" w:cs="宋体"/>
          <w:color w:val="000000" w:themeColor="text1"/>
          <w:sz w:val="24"/>
        </w:rPr>
        <w:t>招标项目的潜在投标人应在广西政府采购云平台（https://www.gcy.zfcg.gxzf.gov.cn/）获取（下载）招标文件，并于2025年</w:t>
      </w:r>
      <w:r>
        <w:rPr>
          <w:rFonts w:hint="eastAsia" w:ascii="宋体" w:hAnsi="宋体" w:cs="宋体"/>
          <w:color w:val="000000" w:themeColor="text1"/>
          <w:sz w:val="24"/>
          <w:lang w:val="en-US" w:eastAsia="zh-CN"/>
        </w:rPr>
        <w:t>12</w:t>
      </w:r>
      <w:r>
        <w:rPr>
          <w:rFonts w:hint="eastAsia" w:ascii="宋体" w:hAnsi="宋体" w:cs="宋体"/>
          <w:color w:val="000000" w:themeColor="text1"/>
          <w:sz w:val="24"/>
        </w:rPr>
        <w:t xml:space="preserve"> 月</w:t>
      </w:r>
      <w:r>
        <w:rPr>
          <w:rFonts w:hint="eastAsia" w:ascii="宋体" w:hAnsi="宋体" w:cs="宋体"/>
          <w:color w:val="000000" w:themeColor="text1"/>
          <w:sz w:val="24"/>
          <w:lang w:val="en-US" w:eastAsia="zh-CN"/>
        </w:rPr>
        <w:t>25</w:t>
      </w:r>
      <w:r>
        <w:rPr>
          <w:rFonts w:hint="eastAsia" w:ascii="宋体" w:hAnsi="宋体" w:cs="宋体"/>
          <w:color w:val="000000" w:themeColor="text1"/>
          <w:sz w:val="24"/>
        </w:rPr>
        <w:t>日09点00分</w:t>
      </w:r>
      <w:r>
        <w:rPr>
          <w:rFonts w:hint="eastAsia" w:ascii="宋体" w:hAnsi="宋体" w:cs="宋体"/>
          <w:bCs/>
          <w:color w:val="000000" w:themeColor="text1"/>
          <w:sz w:val="24"/>
        </w:rPr>
        <w:t>00秒（北京时间）前</w:t>
      </w:r>
      <w:r>
        <w:rPr>
          <w:rFonts w:hint="eastAsia" w:ascii="宋体" w:hAnsi="宋体" w:cs="宋体"/>
          <w:color w:val="000000" w:themeColor="text1"/>
          <w:sz w:val="24"/>
        </w:rPr>
        <w:t>递交（上传）投标文件。</w:t>
      </w:r>
    </w:p>
    <w:p w14:paraId="5C74EDD0">
      <w:pPr>
        <w:spacing w:line="336" w:lineRule="auto"/>
        <w:rPr>
          <w:rFonts w:ascii="宋体" w:hAnsi="宋体" w:cs="宋体"/>
          <w:b/>
          <w:color w:val="000000" w:themeColor="text1"/>
          <w:sz w:val="24"/>
        </w:rPr>
      </w:pPr>
      <w:r>
        <w:rPr>
          <w:rFonts w:hint="eastAsia" w:ascii="宋体" w:hAnsi="宋体" w:cs="宋体"/>
          <w:b/>
          <w:color w:val="000000" w:themeColor="text1"/>
          <w:sz w:val="24"/>
        </w:rPr>
        <w:t xml:space="preserve">一、项目基本情况                                            </w:t>
      </w:r>
    </w:p>
    <w:p w14:paraId="4FBD23CC">
      <w:pPr>
        <w:spacing w:line="336" w:lineRule="auto"/>
        <w:ind w:firstLine="480" w:firstLineChars="200"/>
        <w:rPr>
          <w:rFonts w:ascii="宋体" w:hAnsi="宋体" w:cs="宋体"/>
          <w:sz w:val="24"/>
        </w:rPr>
      </w:pPr>
      <w:r>
        <w:rPr>
          <w:rFonts w:hint="eastAsia" w:ascii="宋体" w:hAnsi="宋体" w:cs="宋体"/>
          <w:sz w:val="24"/>
        </w:rPr>
        <w:t>项目编号：BHZC2025-G3-210206-ZZYG</w:t>
      </w:r>
    </w:p>
    <w:p w14:paraId="24745A70">
      <w:pPr>
        <w:spacing w:line="336" w:lineRule="auto"/>
        <w:rPr>
          <w:rFonts w:hint="eastAsia" w:ascii="宋体" w:hAnsi="宋体" w:eastAsia="宋体" w:cs="宋体"/>
          <w:color w:val="000000" w:themeColor="text1"/>
          <w:sz w:val="24"/>
          <w:lang w:eastAsia="zh-CN"/>
        </w:rPr>
      </w:pPr>
      <w:r>
        <w:rPr>
          <w:rFonts w:hint="eastAsia" w:ascii="宋体" w:hAnsi="宋体" w:cs="宋体"/>
          <w:color w:val="000000" w:themeColor="text1"/>
          <w:sz w:val="24"/>
        </w:rPr>
        <w:t xml:space="preserve">    项目名称：</w:t>
      </w:r>
      <w:r>
        <w:rPr>
          <w:rFonts w:hint="eastAsia" w:ascii="宋体" w:hAnsi="宋体" w:cs="宋体"/>
          <w:color w:val="000000" w:themeColor="text1"/>
          <w:sz w:val="24"/>
          <w:lang w:eastAsia="zh-CN"/>
        </w:rPr>
        <w:t>农村义务教育学生营养改善计划学校食材集采集配供应链采购项目</w:t>
      </w:r>
    </w:p>
    <w:p w14:paraId="538ECD2A">
      <w:pPr>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预算金额（元）：229,500,000.00</w:t>
      </w:r>
    </w:p>
    <w:p w14:paraId="1746B2CC">
      <w:pPr>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最高限价（元）：229,500,000.00</w:t>
      </w:r>
    </w:p>
    <w:p w14:paraId="3FD0A626">
      <w:pPr>
        <w:pStyle w:val="2"/>
        <w:spacing w:line="336" w:lineRule="auto"/>
        <w:ind w:firstLine="480"/>
        <w:rPr>
          <w:rFonts w:hAnsi="宋体" w:cs="宋体"/>
          <w:bCs/>
          <w:snapToGrid/>
          <w:color w:val="000000" w:themeColor="text1"/>
          <w:kern w:val="2"/>
          <w:sz w:val="24"/>
          <w:szCs w:val="24"/>
        </w:rPr>
      </w:pPr>
      <w:r>
        <w:rPr>
          <w:rFonts w:hint="eastAsia" w:hAnsi="宋体" w:cs="宋体"/>
          <w:color w:val="000000" w:themeColor="text1"/>
          <w:sz w:val="24"/>
        </w:rPr>
        <w:t>简要规格描述或项目基本概况介绍、用途：</w:t>
      </w:r>
      <w:r>
        <w:rPr>
          <w:rFonts w:hint="eastAsia" w:hAnsi="宋体" w:cs="宋体"/>
          <w:color w:val="000000" w:themeColor="text1"/>
          <w:sz w:val="24"/>
          <w:lang w:eastAsia="zh-CN"/>
        </w:rPr>
        <w:t>农村义务教育学生营养改善计划学校食材集采集配供应链采购项目</w:t>
      </w:r>
      <w:r>
        <w:rPr>
          <w:rFonts w:hint="eastAsia" w:hAnsi="宋体" w:cs="宋体"/>
          <w:bCs/>
          <w:snapToGrid/>
          <w:color w:val="000000" w:themeColor="text1"/>
          <w:kern w:val="2"/>
          <w:sz w:val="24"/>
          <w:szCs w:val="24"/>
        </w:rPr>
        <w:t>主要内容：包括合浦县各学校营养餐所使用的米粮类、蔬菜类、食用油类、鲜肉类、水产类、纯奶制品类、豆制品类、禽蛋类、水果类、调味品类。食材的配送服务方式为毛菜配送。</w:t>
      </w:r>
      <w:r>
        <w:rPr>
          <w:rFonts w:hint="eastAsia" w:asciiTheme="minorEastAsia" w:hAnsiTheme="minorEastAsia" w:eastAsiaTheme="minorEastAsia"/>
          <w:snapToGrid/>
          <w:color w:val="000000" w:themeColor="text1"/>
          <w:kern w:val="2"/>
          <w:sz w:val="24"/>
          <w:szCs w:val="24"/>
        </w:rPr>
        <w:t>具体以招标文件第三部分采购需求为准。</w:t>
      </w:r>
    </w:p>
    <w:p w14:paraId="3F22A95A">
      <w:pPr>
        <w:pStyle w:val="128"/>
        <w:snapToGrid w:val="0"/>
        <w:spacing w:before="0" w:line="336" w:lineRule="auto"/>
        <w:ind w:firstLine="480"/>
        <w:rPr>
          <w:rFonts w:ascii="宋体" w:hAnsi="宋体" w:cs="宋体"/>
          <w:color w:val="auto"/>
          <w:highlight w:val="none"/>
        </w:rPr>
      </w:pPr>
      <w:r>
        <w:rPr>
          <w:rFonts w:hint="eastAsia" w:ascii="宋体" w:hAnsi="宋体" w:cs="宋体"/>
          <w:color w:val="auto"/>
          <w:highlight w:val="none"/>
        </w:rPr>
        <w:t>合同履约期限：服务期限为三年，自2025年秋季学期起至2028年秋季学期止。（具体日期以实施日期为准）。</w:t>
      </w:r>
    </w:p>
    <w:p w14:paraId="7759E58D">
      <w:pPr>
        <w:pStyle w:val="2"/>
        <w:spacing w:line="336" w:lineRule="auto"/>
        <w:ind w:firstLine="480"/>
        <w:rPr>
          <w:rFonts w:hAnsi="宋体" w:cs="宋体"/>
          <w:color w:val="auto"/>
          <w:highlight w:val="none"/>
        </w:rPr>
      </w:pPr>
      <w:r>
        <w:rPr>
          <w:rFonts w:hint="eastAsia" w:hAnsi="宋体" w:cs="宋体"/>
          <w:color w:val="auto"/>
          <w:sz w:val="24"/>
          <w:highlight w:val="none"/>
        </w:rPr>
        <w:t>本项目是否接受联合体投标：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hAnsi="宋体" w:cs="宋体"/>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w:t>
      </w:r>
    </w:p>
    <w:p w14:paraId="6BACD091">
      <w:pPr>
        <w:spacing w:line="336"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2B5476F9">
      <w:pPr>
        <w:spacing w:line="336"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398B3FB">
      <w:pPr>
        <w:spacing w:line="336"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rPr>
        <w:t>2.落实政府采购政策需满足的资格要求：</w:t>
      </w:r>
      <w:r>
        <w:rPr>
          <w:rFonts w:hint="eastAsia" w:ascii="宋体" w:hAnsi="宋体" w:cs="宋体"/>
          <w:color w:val="auto"/>
          <w:sz w:val="24"/>
          <w:highlight w:val="none"/>
        </w:rPr>
        <w:t>本项目专门面向中小企业采购。</w:t>
      </w:r>
    </w:p>
    <w:p w14:paraId="30324FBA">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3.本项目的特定资格要求：投标人具备</w:t>
      </w:r>
      <w:r>
        <w:rPr>
          <w:rFonts w:hint="eastAsia" w:ascii="宋体" w:hAnsi="宋体" w:cs="宋体"/>
          <w:color w:val="auto"/>
          <w:sz w:val="24"/>
          <w:highlight w:val="none"/>
          <w:lang w:eastAsia="zh-CN"/>
        </w:rPr>
        <w:t>与其主体一致，且在有效期内</w:t>
      </w:r>
      <w:r>
        <w:rPr>
          <w:rFonts w:hint="eastAsia" w:ascii="宋体" w:hAnsi="宋体" w:cs="宋体"/>
          <w:color w:val="auto"/>
          <w:sz w:val="24"/>
          <w:highlight w:val="none"/>
        </w:rPr>
        <w:t>的《食品经营许可证》或《食品生产许可证》；</w:t>
      </w:r>
    </w:p>
    <w:p w14:paraId="2A5D7BC9">
      <w:pPr>
        <w:snapToGrid w:val="0"/>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DB03E9B">
      <w:pPr>
        <w:snapToGrid w:val="0"/>
        <w:spacing w:line="336" w:lineRule="auto"/>
        <w:rPr>
          <w:rFonts w:ascii="宋体" w:hAnsi="宋体" w:cs="宋体"/>
          <w:b/>
          <w:color w:val="000000" w:themeColor="text1"/>
          <w:sz w:val="24"/>
        </w:rPr>
      </w:pPr>
      <w:r>
        <w:rPr>
          <w:rFonts w:hint="eastAsia" w:ascii="宋体" w:hAnsi="宋体" w:cs="宋体"/>
          <w:b/>
          <w:color w:val="000000" w:themeColor="text1"/>
          <w:sz w:val="24"/>
        </w:rPr>
        <w:t xml:space="preserve">三、获取招标文件 </w:t>
      </w:r>
    </w:p>
    <w:p w14:paraId="21298ECB">
      <w:pPr>
        <w:snapToGrid w:val="0"/>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时间：</w:t>
      </w:r>
      <w:r>
        <w:rPr>
          <w:rFonts w:hint="eastAsia" w:ascii="宋体" w:hAnsi="宋体" w:cs="宋体"/>
          <w:color w:val="000000" w:themeColor="text1"/>
          <w:sz w:val="24"/>
          <w:u w:val="single"/>
        </w:rPr>
        <w:t>2025年</w:t>
      </w:r>
      <w:r>
        <w:rPr>
          <w:rFonts w:hint="eastAsia" w:ascii="宋体" w:hAnsi="宋体" w:cs="宋体"/>
          <w:color w:val="000000" w:themeColor="text1"/>
          <w:sz w:val="24"/>
          <w:u w:val="single"/>
          <w:lang w:val="en-US" w:eastAsia="zh-CN"/>
        </w:rPr>
        <w:t>12</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1</w:t>
      </w:r>
      <w:r>
        <w:rPr>
          <w:rFonts w:hint="eastAsia" w:ascii="宋体" w:hAnsi="宋体" w:cs="宋体"/>
          <w:color w:val="000000" w:themeColor="text1"/>
          <w:sz w:val="24"/>
          <w:u w:val="single"/>
        </w:rPr>
        <w:t>日</w:t>
      </w:r>
      <w:r>
        <w:rPr>
          <w:rFonts w:hint="eastAsia" w:ascii="宋体" w:hAnsi="宋体" w:cs="宋体"/>
          <w:color w:val="000000" w:themeColor="text1"/>
          <w:sz w:val="24"/>
        </w:rPr>
        <w:t>至</w:t>
      </w:r>
      <w:r>
        <w:rPr>
          <w:rFonts w:hint="eastAsia" w:ascii="宋体" w:hAnsi="宋体" w:cs="宋体"/>
          <w:color w:val="000000" w:themeColor="text1"/>
          <w:sz w:val="24"/>
          <w:u w:val="single"/>
        </w:rPr>
        <w:t>2025年</w:t>
      </w:r>
      <w:r>
        <w:rPr>
          <w:rFonts w:hint="eastAsia" w:ascii="宋体" w:hAnsi="宋体" w:cs="宋体"/>
          <w:color w:val="000000" w:themeColor="text1"/>
          <w:sz w:val="24"/>
          <w:u w:val="single"/>
          <w:lang w:val="en-US" w:eastAsia="zh-CN"/>
        </w:rPr>
        <w:t>12</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8</w:t>
      </w:r>
      <w:r>
        <w:rPr>
          <w:rFonts w:hint="eastAsia" w:ascii="宋体" w:hAnsi="宋体" w:cs="宋体"/>
          <w:color w:val="000000" w:themeColor="text1"/>
          <w:sz w:val="24"/>
          <w:u w:val="single"/>
        </w:rPr>
        <w:t>日</w:t>
      </w:r>
      <w:r>
        <w:rPr>
          <w:rFonts w:hint="eastAsia" w:ascii="宋体" w:hAnsi="宋体" w:cs="宋体"/>
          <w:color w:val="000000" w:themeColor="text1"/>
          <w:sz w:val="24"/>
        </w:rPr>
        <w:t>，每天上午00:00至12:00 ，下午12:00至23:59（北京时间，法定节假日除外）</w:t>
      </w:r>
    </w:p>
    <w:p w14:paraId="5D9EDEDE">
      <w:pPr>
        <w:snapToGrid w:val="0"/>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地点（网址）：广西政府采购云平台（https://www.gcy.zfcg.gxzf.gov.cn/） </w:t>
      </w:r>
    </w:p>
    <w:p w14:paraId="4D400977">
      <w:pPr>
        <w:snapToGrid w:val="0"/>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方式：供应商登录广西政府采购云平台（https://www.gcy.zfcg.gxzf.gov.cn/）在线申请获取采购文件（进入“项目采购”应用，在获取采购文件菜单中选择项目，申请获取采购文件）。 </w:t>
      </w:r>
    </w:p>
    <w:p w14:paraId="4DA3D61A">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售价（元）：0</w:t>
      </w:r>
      <w:r>
        <w:rPr>
          <w:rFonts w:hint="eastAsia" w:ascii="宋体" w:hAnsi="宋体" w:cs="宋体"/>
          <w:color w:val="000000" w:themeColor="text1"/>
          <w:sz w:val="24"/>
        </w:rPr>
        <w:tab/>
      </w:r>
    </w:p>
    <w:p w14:paraId="6F2FD852">
      <w:pPr>
        <w:spacing w:line="336" w:lineRule="auto"/>
        <w:rPr>
          <w:rFonts w:ascii="宋体" w:hAnsi="宋体" w:cs="宋体"/>
          <w:b/>
          <w:color w:val="000000" w:themeColor="text1"/>
          <w:sz w:val="24"/>
        </w:rPr>
      </w:pPr>
      <w:r>
        <w:rPr>
          <w:rFonts w:hint="eastAsia" w:ascii="宋体" w:hAnsi="宋体" w:cs="宋体"/>
          <w:b/>
          <w:color w:val="000000" w:themeColor="text1"/>
          <w:sz w:val="24"/>
        </w:rPr>
        <w:t>四、提交投标文件截止时间、开标时间和地点</w:t>
      </w:r>
    </w:p>
    <w:p w14:paraId="0F690B53">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提交投标文件截止时间：</w:t>
      </w:r>
      <w:r>
        <w:rPr>
          <w:rFonts w:hint="eastAsia" w:ascii="宋体" w:hAnsi="宋体" w:cs="宋体"/>
          <w:color w:val="000000" w:themeColor="text1"/>
          <w:sz w:val="24"/>
          <w:u w:val="single"/>
        </w:rPr>
        <w:t xml:space="preserve"> 2025年</w:t>
      </w:r>
      <w:r>
        <w:rPr>
          <w:rFonts w:hint="eastAsia" w:ascii="宋体" w:hAnsi="宋体" w:cs="宋体"/>
          <w:color w:val="000000" w:themeColor="text1"/>
          <w:sz w:val="24"/>
          <w:u w:val="single"/>
          <w:lang w:val="en-US" w:eastAsia="zh-CN"/>
        </w:rPr>
        <w:t>12</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25</w:t>
      </w:r>
      <w:r>
        <w:rPr>
          <w:rFonts w:hint="eastAsia" w:ascii="宋体" w:hAnsi="宋体" w:cs="宋体"/>
          <w:color w:val="000000" w:themeColor="text1"/>
          <w:sz w:val="24"/>
          <w:u w:val="single"/>
        </w:rPr>
        <w:t>日09点00分00秒</w:t>
      </w:r>
      <w:r>
        <w:rPr>
          <w:rFonts w:hint="eastAsia" w:ascii="宋体" w:hAnsi="宋体" w:cs="宋体"/>
          <w:color w:val="000000" w:themeColor="text1"/>
          <w:sz w:val="24"/>
        </w:rPr>
        <w:t>（北京时间）</w:t>
      </w:r>
    </w:p>
    <w:p w14:paraId="30FD3CB0">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投标地点（网址）：广西政府采购云平台（https://www.gcy.zfcg.gxzf.gov.cn/） </w:t>
      </w:r>
    </w:p>
    <w:p w14:paraId="5C510082">
      <w:pPr>
        <w:spacing w:line="336"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开标时间：</w:t>
      </w:r>
      <w:r>
        <w:rPr>
          <w:rFonts w:hint="eastAsia" w:ascii="宋体" w:hAnsi="宋体" w:cs="宋体"/>
          <w:color w:val="000000" w:themeColor="text1"/>
          <w:sz w:val="24"/>
          <w:u w:val="single"/>
        </w:rPr>
        <w:t>2025年</w:t>
      </w:r>
      <w:r>
        <w:rPr>
          <w:rFonts w:hint="eastAsia" w:ascii="宋体" w:hAnsi="宋体" w:cs="宋体"/>
          <w:color w:val="000000" w:themeColor="text1"/>
          <w:sz w:val="24"/>
          <w:u w:val="single"/>
          <w:lang w:val="en-US" w:eastAsia="zh-CN"/>
        </w:rPr>
        <w:t>12</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25</w:t>
      </w:r>
      <w:r>
        <w:rPr>
          <w:rFonts w:hint="eastAsia" w:ascii="宋体" w:hAnsi="宋体" w:cs="宋体"/>
          <w:color w:val="000000" w:themeColor="text1"/>
          <w:sz w:val="24"/>
          <w:u w:val="single"/>
        </w:rPr>
        <w:t>日09点00分00秒</w:t>
      </w:r>
    </w:p>
    <w:p w14:paraId="267220DC">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开标地点（网址）：广西政府采购云平台（https://www.gcy.zfcg.gxzf.gov.cn/）</w:t>
      </w:r>
    </w:p>
    <w:p w14:paraId="4EE0B2E6">
      <w:pPr>
        <w:spacing w:line="336" w:lineRule="auto"/>
        <w:rPr>
          <w:rFonts w:ascii="宋体" w:hAnsi="宋体" w:cs="宋体"/>
          <w:color w:val="000000" w:themeColor="text1"/>
          <w:sz w:val="24"/>
        </w:rPr>
      </w:pPr>
      <w:r>
        <w:rPr>
          <w:rFonts w:hint="eastAsia" w:ascii="宋体" w:hAnsi="宋体" w:cs="宋体"/>
          <w:b/>
          <w:color w:val="000000" w:themeColor="text1"/>
          <w:sz w:val="24"/>
        </w:rPr>
        <w:t xml:space="preserve">五、公告期限 </w:t>
      </w:r>
    </w:p>
    <w:p w14:paraId="3047B6D9">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自本公告发布之日起5个工作日。</w:t>
      </w:r>
    </w:p>
    <w:p w14:paraId="6776BF20">
      <w:pPr>
        <w:spacing w:line="336" w:lineRule="auto"/>
        <w:rPr>
          <w:rFonts w:ascii="宋体" w:hAnsi="宋体" w:cs="宋体"/>
          <w:b/>
          <w:color w:val="000000" w:themeColor="text1"/>
          <w:sz w:val="24"/>
        </w:rPr>
      </w:pPr>
      <w:r>
        <w:rPr>
          <w:rFonts w:hint="eastAsia" w:ascii="宋体" w:hAnsi="宋体" w:cs="宋体"/>
          <w:b/>
          <w:color w:val="000000" w:themeColor="text1"/>
          <w:sz w:val="24"/>
        </w:rPr>
        <w:t>六、其他补充事宜</w:t>
      </w:r>
    </w:p>
    <w:p w14:paraId="71DDF709">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1.投标保证金：本项目不收取投标保证金。</w:t>
      </w:r>
    </w:p>
    <w:p w14:paraId="7D9FDDA9">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026D0D">
      <w:pPr>
        <w:spacing w:line="336" w:lineRule="auto"/>
        <w:ind w:firstLine="480" w:firstLineChars="200"/>
        <w:rPr>
          <w:color w:val="000000" w:themeColor="text1"/>
        </w:rPr>
      </w:pPr>
      <w:r>
        <w:rPr>
          <w:rFonts w:hint="eastAsia" w:ascii="宋体" w:hAnsi="宋体" w:cs="宋体"/>
          <w:snapToGrid w:val="0"/>
          <w:color w:val="000000" w:themeColor="text1"/>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161A42BB">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4.网上公告媒体查询：中国政府采购网http://www.ccgp.gov.cn、广西政府采购网 http://zfcg.gxzf.gov.cn/。</w:t>
      </w:r>
    </w:p>
    <w:p w14:paraId="181AD93C">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8D60DD4">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A860F13">
      <w:pPr>
        <w:spacing w:line="336" w:lineRule="auto"/>
        <w:ind w:firstLine="480" w:firstLineChars="200"/>
        <w:rPr>
          <w:rFonts w:ascii="宋体" w:hAnsi="宋体" w:cs="宋体"/>
          <w:color w:val="000000" w:themeColor="text1"/>
          <w:sz w:val="24"/>
        </w:rPr>
      </w:pPr>
      <w:r>
        <w:rPr>
          <w:rFonts w:hint="eastAsia" w:ascii="宋体" w:hAnsi="宋体" w:cs="宋体"/>
          <w:color w:val="000000" w:themeColor="text1"/>
          <w:sz w:val="24"/>
        </w:rPr>
        <w:t>7.本项目采用远程异地评标。</w:t>
      </w:r>
    </w:p>
    <w:p w14:paraId="53105417">
      <w:pPr>
        <w:spacing w:line="336" w:lineRule="auto"/>
        <w:rPr>
          <w:rFonts w:ascii="宋体" w:hAnsi="宋体" w:cs="宋体"/>
          <w:b/>
          <w:color w:val="000000" w:themeColor="text1"/>
          <w:sz w:val="24"/>
        </w:rPr>
      </w:pPr>
      <w:r>
        <w:rPr>
          <w:rFonts w:hint="eastAsia" w:ascii="宋体" w:hAnsi="宋体" w:cs="宋体"/>
          <w:b/>
          <w:color w:val="000000" w:themeColor="text1"/>
          <w:sz w:val="24"/>
        </w:rPr>
        <w:t>七、对本次采购提出询问、质疑、投诉，请按以下方式联系</w:t>
      </w:r>
    </w:p>
    <w:p w14:paraId="231A9195">
      <w:pPr>
        <w:spacing w:line="336" w:lineRule="auto"/>
        <w:ind w:firstLine="480"/>
        <w:rPr>
          <w:rFonts w:ascii="宋体" w:hAnsi="宋体" w:cs="宋体"/>
          <w:color w:val="000000" w:themeColor="text1"/>
          <w:sz w:val="24"/>
        </w:rPr>
      </w:pPr>
      <w:r>
        <w:rPr>
          <w:rFonts w:hint="eastAsia" w:ascii="宋体" w:hAnsi="宋体" w:cs="宋体"/>
          <w:color w:val="000000" w:themeColor="text1"/>
          <w:sz w:val="24"/>
        </w:rPr>
        <w:t>1.采购人信息</w:t>
      </w:r>
    </w:p>
    <w:p w14:paraId="5F041743">
      <w:pPr>
        <w:spacing w:line="336" w:lineRule="auto"/>
        <w:ind w:firstLine="480"/>
        <w:rPr>
          <w:rFonts w:ascii="宋体" w:hAnsi="宋体" w:cs="宋体"/>
          <w:color w:val="000000" w:themeColor="text1"/>
          <w:sz w:val="24"/>
        </w:rPr>
      </w:pPr>
      <w:r>
        <w:rPr>
          <w:rFonts w:hint="eastAsia" w:ascii="宋体" w:hAnsi="宋体" w:cs="宋体"/>
          <w:color w:val="000000" w:themeColor="text1"/>
          <w:sz w:val="24"/>
        </w:rPr>
        <w:t>名    称：合浦县教育局</w:t>
      </w:r>
    </w:p>
    <w:p w14:paraId="55F77DFE">
      <w:pPr>
        <w:spacing w:line="336"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 xml:space="preserve">地    址：广西合浦县廉州镇小北街44号       </w:t>
      </w:r>
    </w:p>
    <w:p w14:paraId="048C7E87">
      <w:pPr>
        <w:spacing w:line="336" w:lineRule="auto"/>
        <w:ind w:firstLine="480"/>
        <w:rPr>
          <w:rFonts w:ascii="宋体" w:hAnsi="宋体" w:cs="宋体"/>
          <w:color w:val="000000" w:themeColor="text1"/>
          <w:sz w:val="24"/>
        </w:rPr>
      </w:pPr>
      <w:r>
        <w:rPr>
          <w:rFonts w:hint="eastAsia" w:ascii="宋体" w:hAnsi="宋体" w:cs="宋体"/>
          <w:color w:val="000000" w:themeColor="text1"/>
          <w:sz w:val="24"/>
        </w:rPr>
        <w:t xml:space="preserve">项目联系人：洪绍伟  </w:t>
      </w:r>
    </w:p>
    <w:p w14:paraId="7D6ADFEE">
      <w:pPr>
        <w:spacing w:line="336" w:lineRule="auto"/>
        <w:rPr>
          <w:rFonts w:ascii="宋体" w:hAnsi="宋体" w:cs="宋体"/>
          <w:color w:val="000000" w:themeColor="text1"/>
          <w:sz w:val="24"/>
        </w:rPr>
      </w:pPr>
      <w:r>
        <w:rPr>
          <w:rFonts w:hint="eastAsia" w:ascii="宋体" w:hAnsi="宋体" w:cs="宋体"/>
          <w:color w:val="000000" w:themeColor="text1"/>
          <w:sz w:val="24"/>
        </w:rPr>
        <w:t xml:space="preserve">    项目联系方式：0779-7283936 </w:t>
      </w:r>
    </w:p>
    <w:p w14:paraId="50C5F27B">
      <w:pPr>
        <w:spacing w:line="336" w:lineRule="auto"/>
        <w:rPr>
          <w:rFonts w:ascii="宋体" w:hAnsi="宋体" w:cs="宋体"/>
          <w:color w:val="000000" w:themeColor="text1"/>
          <w:sz w:val="24"/>
        </w:rPr>
      </w:pPr>
      <w:r>
        <w:rPr>
          <w:rFonts w:hint="eastAsia" w:ascii="宋体" w:hAnsi="宋体" w:cs="宋体"/>
          <w:color w:val="000000" w:themeColor="text1"/>
          <w:sz w:val="24"/>
        </w:rPr>
        <w:t xml:space="preserve">    2.采购代理机构信息            </w:t>
      </w:r>
    </w:p>
    <w:p w14:paraId="3A9CA3AD">
      <w:pPr>
        <w:spacing w:line="336" w:lineRule="auto"/>
        <w:ind w:firstLine="480"/>
        <w:rPr>
          <w:rFonts w:ascii="宋体" w:hAnsi="宋体" w:cs="宋体"/>
          <w:color w:val="000000" w:themeColor="text1"/>
          <w:sz w:val="24"/>
        </w:rPr>
      </w:pPr>
      <w:r>
        <w:rPr>
          <w:rFonts w:hint="eastAsia" w:ascii="宋体" w:hAnsi="宋体" w:cs="宋体"/>
          <w:color w:val="000000" w:themeColor="text1"/>
          <w:sz w:val="24"/>
        </w:rPr>
        <w:t>名    称：广西中之元工程管理有限公司</w:t>
      </w:r>
    </w:p>
    <w:p w14:paraId="3FE1C836">
      <w:pPr>
        <w:spacing w:line="336" w:lineRule="auto"/>
        <w:ind w:firstLine="480"/>
        <w:rPr>
          <w:rFonts w:ascii="宋体" w:hAnsi="宋体" w:cs="宋体"/>
          <w:color w:val="000000" w:themeColor="text1"/>
          <w:sz w:val="24"/>
        </w:rPr>
      </w:pPr>
      <w:r>
        <w:rPr>
          <w:rFonts w:hint="eastAsia" w:ascii="宋体" w:hAnsi="宋体" w:cs="宋体"/>
          <w:color w:val="000000" w:themeColor="text1"/>
          <w:sz w:val="24"/>
        </w:rPr>
        <w:t>地    址：北海市合浦县廉州镇文昌新城2栋9号楼</w:t>
      </w:r>
    </w:p>
    <w:p w14:paraId="2679A4A4">
      <w:pPr>
        <w:spacing w:line="336" w:lineRule="auto"/>
        <w:rPr>
          <w:rFonts w:ascii="宋体" w:hAnsi="宋体" w:cs="宋体"/>
          <w:color w:val="000000" w:themeColor="text1"/>
          <w:sz w:val="24"/>
        </w:rPr>
      </w:pPr>
      <w:r>
        <w:rPr>
          <w:rFonts w:hint="eastAsia" w:ascii="宋体" w:hAnsi="宋体" w:cs="宋体"/>
          <w:color w:val="000000" w:themeColor="text1"/>
          <w:sz w:val="24"/>
        </w:rPr>
        <w:t xml:space="preserve">    项目联系人（询问）：庞工</w:t>
      </w:r>
    </w:p>
    <w:p w14:paraId="75807FEF">
      <w:pPr>
        <w:spacing w:line="336" w:lineRule="auto"/>
        <w:rPr>
          <w:rFonts w:ascii="宋体" w:hAnsi="宋体" w:cs="宋体"/>
          <w:color w:val="000000" w:themeColor="text1"/>
          <w:sz w:val="24"/>
        </w:rPr>
      </w:pPr>
      <w:r>
        <w:rPr>
          <w:rFonts w:hint="eastAsia" w:ascii="宋体" w:hAnsi="宋体" w:cs="宋体"/>
          <w:color w:val="000000" w:themeColor="text1"/>
          <w:sz w:val="24"/>
        </w:rPr>
        <w:t xml:space="preserve">    项目联系方式（询问）：0779-7200788</w:t>
      </w:r>
    </w:p>
    <w:p w14:paraId="767987B3">
      <w:pPr>
        <w:spacing w:line="360" w:lineRule="auto"/>
        <w:rPr>
          <w:color w:val="000000" w:themeColor="text1"/>
        </w:rPr>
      </w:pPr>
    </w:p>
    <w:p w14:paraId="46E5D387">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 xml:space="preserve">采购人（盖章）：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采购代理机构（盖章）：</w:t>
      </w:r>
    </w:p>
    <w:p w14:paraId="4C70A501">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 xml:space="preserve">合浦县教育局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广西中之元工程管理有限公司</w:t>
      </w:r>
    </w:p>
    <w:p w14:paraId="6B98B0E7">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2025年</w:t>
      </w:r>
      <w:r>
        <w:rPr>
          <w:rFonts w:hint="eastAsia" w:ascii="宋体" w:hAnsi="宋体" w:cs="宋体"/>
          <w:color w:val="000000" w:themeColor="text1"/>
          <w:sz w:val="24"/>
          <w:lang w:val="en-US" w:eastAsia="zh-CN"/>
        </w:rPr>
        <w:t>12</w:t>
      </w:r>
      <w:r>
        <w:rPr>
          <w:rFonts w:hint="eastAsia" w:ascii="宋体" w:hAnsi="宋体" w:cs="宋体"/>
          <w:color w:val="000000" w:themeColor="text1"/>
          <w:sz w:val="24"/>
        </w:rPr>
        <w:t>月</w:t>
      </w:r>
      <w:r>
        <w:rPr>
          <w:rFonts w:hint="eastAsia" w:ascii="宋体" w:hAnsi="宋体" w:cs="宋体"/>
          <w:color w:val="000000" w:themeColor="text1"/>
          <w:sz w:val="24"/>
          <w:lang w:val="en-US" w:eastAsia="zh-CN"/>
        </w:rPr>
        <w:t>1</w:t>
      </w:r>
      <w:r>
        <w:rPr>
          <w:rFonts w:hint="eastAsia" w:ascii="宋体" w:hAnsi="宋体" w:cs="宋体"/>
          <w:color w:val="000000" w:themeColor="text1"/>
          <w:sz w:val="24"/>
        </w:rPr>
        <w:t xml:space="preserve">日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2025年</w:t>
      </w:r>
      <w:r>
        <w:rPr>
          <w:rFonts w:hint="eastAsia" w:ascii="宋体" w:hAnsi="宋体" w:cs="宋体"/>
          <w:color w:val="000000" w:themeColor="text1"/>
          <w:sz w:val="24"/>
          <w:lang w:val="en-US" w:eastAsia="zh-CN"/>
        </w:rPr>
        <w:t>12</w:t>
      </w:r>
      <w:r>
        <w:rPr>
          <w:rFonts w:hint="eastAsia" w:ascii="宋体" w:hAnsi="宋体" w:cs="宋体"/>
          <w:color w:val="000000" w:themeColor="text1"/>
          <w:sz w:val="24"/>
        </w:rPr>
        <w:t>月</w:t>
      </w:r>
      <w:r>
        <w:rPr>
          <w:rFonts w:hint="eastAsia" w:ascii="宋体" w:hAnsi="宋体" w:cs="宋体"/>
          <w:color w:val="000000" w:themeColor="text1"/>
          <w:sz w:val="24"/>
          <w:lang w:val="en-US" w:eastAsia="zh-CN"/>
        </w:rPr>
        <w:t>1</w:t>
      </w:r>
      <w:r>
        <w:rPr>
          <w:rFonts w:hint="eastAsia" w:ascii="宋体" w:hAnsi="宋体" w:cs="宋体"/>
          <w:color w:val="000000" w:themeColor="text1"/>
          <w:sz w:val="24"/>
        </w:rPr>
        <w:t>日</w:t>
      </w:r>
      <w:r>
        <w:rPr>
          <w:rFonts w:hint="eastAsia" w:ascii="宋体" w:hAnsi="宋体" w:cs="宋体"/>
          <w:color w:val="000000" w:themeColor="text1"/>
          <w:sz w:val="24"/>
        </w:rPr>
        <w:br w:type="page"/>
      </w:r>
    </w:p>
    <w:p w14:paraId="65373F93">
      <w:pPr>
        <w:adjustRightInd/>
        <w:spacing w:line="360" w:lineRule="auto"/>
        <w:jc w:val="center"/>
        <w:outlineLvl w:val="0"/>
        <w:rPr>
          <w:rFonts w:ascii="宋体" w:hAnsi="宋体" w:cs="宋体"/>
          <w:b/>
          <w:color w:val="000000" w:themeColor="text1"/>
          <w:sz w:val="36"/>
          <w:szCs w:val="20"/>
        </w:rPr>
      </w:pPr>
      <w:bookmarkStart w:id="11" w:name="_Toc176368903"/>
      <w:r>
        <w:rPr>
          <w:rFonts w:hint="eastAsia" w:ascii="宋体" w:hAnsi="宋体" w:cs="宋体"/>
          <w:b/>
          <w:color w:val="000000" w:themeColor="text1"/>
          <w:sz w:val="36"/>
          <w:szCs w:val="20"/>
        </w:rPr>
        <w:t>第二部分</w:t>
      </w:r>
      <w:bookmarkEnd w:id="8"/>
      <w:r>
        <w:rPr>
          <w:rFonts w:hint="eastAsia" w:ascii="宋体" w:hAnsi="宋体" w:cs="宋体"/>
          <w:b/>
          <w:color w:val="000000" w:themeColor="text1"/>
          <w:sz w:val="36"/>
          <w:szCs w:val="20"/>
        </w:rPr>
        <w:t xml:space="preserve"> 投标人须知</w:t>
      </w:r>
      <w:bookmarkEnd w:id="9"/>
      <w:bookmarkEnd w:id="11"/>
    </w:p>
    <w:p w14:paraId="2E4FBCD2">
      <w:pPr>
        <w:adjustRightInd/>
        <w:spacing w:line="360" w:lineRule="auto"/>
        <w:ind w:firstLine="3845" w:firstLineChars="1197"/>
        <w:outlineLvl w:val="1"/>
        <w:rPr>
          <w:rFonts w:ascii="宋体" w:hAnsi="宋体" w:cs="宋体"/>
          <w:b/>
          <w:color w:val="000000" w:themeColor="text1"/>
          <w:sz w:val="32"/>
          <w:szCs w:val="20"/>
        </w:rPr>
      </w:pPr>
      <w:r>
        <w:rPr>
          <w:rFonts w:hint="eastAsia" w:ascii="宋体" w:hAnsi="宋体" w:cs="宋体"/>
          <w:b/>
          <w:color w:val="000000" w:themeColor="text1"/>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57"/>
        <w:gridCol w:w="6675"/>
      </w:tblGrid>
      <w:tr w14:paraId="6A8E8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80862CB">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2057" w:type="dxa"/>
            <w:tcBorders>
              <w:top w:val="single" w:color="000000" w:sz="8" w:space="0"/>
              <w:left w:val="single" w:color="auto" w:sz="4" w:space="0"/>
              <w:bottom w:val="single" w:color="000000" w:sz="8" w:space="0"/>
              <w:right w:val="single" w:color="000000" w:sz="8" w:space="0"/>
            </w:tcBorders>
            <w:vAlign w:val="center"/>
          </w:tcPr>
          <w:p w14:paraId="731396A3">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事项</w:t>
            </w:r>
          </w:p>
        </w:tc>
        <w:tc>
          <w:tcPr>
            <w:tcW w:w="6675" w:type="dxa"/>
            <w:tcBorders>
              <w:top w:val="single" w:color="000000" w:sz="8" w:space="0"/>
              <w:left w:val="single" w:color="000000" w:sz="2" w:space="0"/>
              <w:bottom w:val="single" w:color="000000" w:sz="8" w:space="0"/>
              <w:right w:val="single" w:color="000000" w:sz="8" w:space="0"/>
            </w:tcBorders>
            <w:vAlign w:val="center"/>
          </w:tcPr>
          <w:p w14:paraId="0446AB3F">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本项目的特别规定</w:t>
            </w:r>
          </w:p>
        </w:tc>
      </w:tr>
      <w:tr w14:paraId="0170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0065FDE">
            <w:pPr>
              <w:snapToGrid w:val="0"/>
              <w:spacing w:line="360" w:lineRule="auto"/>
              <w:jc w:val="center"/>
              <w:rPr>
                <w:rFonts w:ascii="宋体" w:hAnsi="宋体" w:cs="宋体"/>
                <w:color w:val="000000" w:themeColor="text1"/>
                <w:sz w:val="24"/>
              </w:rPr>
            </w:pPr>
          </w:p>
          <w:p w14:paraId="56DA8062">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2057" w:type="dxa"/>
            <w:tcBorders>
              <w:top w:val="single" w:color="000000" w:sz="8" w:space="0"/>
              <w:left w:val="single" w:color="auto" w:sz="4" w:space="0"/>
              <w:bottom w:val="single" w:color="000000" w:sz="8" w:space="0"/>
              <w:right w:val="single" w:color="000000" w:sz="8" w:space="0"/>
            </w:tcBorders>
            <w:vAlign w:val="center"/>
          </w:tcPr>
          <w:p w14:paraId="0FF0115E">
            <w:pPr>
              <w:snapToGrid w:val="0"/>
              <w:spacing w:line="360" w:lineRule="auto"/>
              <w:ind w:firstLine="241" w:firstLineChars="100"/>
              <w:rPr>
                <w:rFonts w:ascii="宋体" w:hAnsi="宋体" w:cs="宋体"/>
                <w:b/>
                <w:color w:val="000000" w:themeColor="text1"/>
                <w:sz w:val="24"/>
              </w:rPr>
            </w:pPr>
            <w:r>
              <w:rPr>
                <w:rFonts w:hint="eastAsia" w:ascii="宋体" w:hAnsi="宋体" w:cs="宋体"/>
                <w:b/>
                <w:color w:val="000000" w:themeColor="text1"/>
                <w:sz w:val="24"/>
              </w:rPr>
              <w:t>项目属性</w:t>
            </w:r>
          </w:p>
        </w:tc>
        <w:tc>
          <w:tcPr>
            <w:tcW w:w="6675" w:type="dxa"/>
            <w:tcBorders>
              <w:top w:val="single" w:color="000000" w:sz="8" w:space="0"/>
              <w:left w:val="single" w:color="000000" w:sz="2" w:space="0"/>
              <w:bottom w:val="single" w:color="000000" w:sz="8" w:space="0"/>
              <w:right w:val="single" w:color="000000" w:sz="8" w:space="0"/>
            </w:tcBorders>
            <w:vAlign w:val="center"/>
          </w:tcPr>
          <w:p w14:paraId="58BF1766">
            <w:pPr>
              <w:spacing w:line="360" w:lineRule="auto"/>
              <w:rPr>
                <w:rFonts w:ascii="宋体" w:hAnsi="宋体" w:cs="宋体"/>
                <w:color w:val="000000" w:themeColor="text1"/>
                <w:sz w:val="24"/>
              </w:rPr>
            </w:pPr>
            <w:r>
              <w:rPr>
                <w:rFonts w:hint="eastAsia" w:ascii="宋体" w:hAnsi="宋体" w:cs="宋体"/>
                <w:color w:val="000000" w:themeColor="text1"/>
                <w:sz w:val="24"/>
              </w:rPr>
              <w:t>服务类。</w:t>
            </w:r>
          </w:p>
        </w:tc>
      </w:tr>
      <w:tr w14:paraId="725B0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B6D5D71">
            <w:pPr>
              <w:snapToGrid w:val="0"/>
              <w:spacing w:line="360" w:lineRule="auto"/>
              <w:jc w:val="center"/>
              <w:rPr>
                <w:rFonts w:ascii="宋体" w:hAnsi="宋体" w:cs="宋体"/>
                <w:color w:val="000000" w:themeColor="text1"/>
                <w:sz w:val="24"/>
              </w:rPr>
            </w:pPr>
          </w:p>
          <w:p w14:paraId="24B9161C">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2057" w:type="dxa"/>
            <w:tcBorders>
              <w:top w:val="single" w:color="000000" w:sz="8" w:space="0"/>
              <w:left w:val="single" w:color="auto" w:sz="4" w:space="0"/>
              <w:bottom w:val="single" w:color="000000" w:sz="8" w:space="0"/>
              <w:right w:val="single" w:color="000000" w:sz="8" w:space="0"/>
            </w:tcBorders>
            <w:vAlign w:val="center"/>
          </w:tcPr>
          <w:p w14:paraId="10FB6309">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采购标的及其对应的中小企业划分标准所属行业</w:t>
            </w:r>
          </w:p>
        </w:tc>
        <w:tc>
          <w:tcPr>
            <w:tcW w:w="6675" w:type="dxa"/>
            <w:tcBorders>
              <w:top w:val="single" w:color="000000" w:sz="8" w:space="0"/>
              <w:left w:val="single" w:color="000000" w:sz="2" w:space="0"/>
              <w:bottom w:val="single" w:color="000000" w:sz="8" w:space="0"/>
              <w:right w:val="single" w:color="000000" w:sz="8" w:space="0"/>
            </w:tcBorders>
            <w:vAlign w:val="center"/>
          </w:tcPr>
          <w:p w14:paraId="527839BB">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（1）标的：</w:t>
            </w:r>
            <w:r>
              <w:rPr>
                <w:rFonts w:hint="eastAsia" w:ascii="宋体" w:hAnsi="宋体" w:cs="宋体"/>
                <w:color w:val="000000" w:themeColor="text1"/>
                <w:kern w:val="0"/>
                <w:sz w:val="24"/>
                <w:u w:val="single"/>
              </w:rPr>
              <w:t xml:space="preserve"> </w:t>
            </w:r>
            <w:r>
              <w:rPr>
                <w:rFonts w:hint="eastAsia" w:ascii="宋体" w:hAnsi="宋体" w:cs="宋体"/>
                <w:color w:val="000000" w:themeColor="text1"/>
                <w:kern w:val="0"/>
                <w:sz w:val="24"/>
                <w:u w:val="single"/>
                <w:lang w:eastAsia="zh-CN"/>
              </w:rPr>
              <w:t>农村义务教育学生营养改善计划学校食材集采集配供应链采购项目</w:t>
            </w:r>
            <w:r>
              <w:rPr>
                <w:rFonts w:hint="eastAsia" w:ascii="宋体" w:hAnsi="宋体" w:cs="宋体"/>
                <w:color w:val="000000" w:themeColor="text1"/>
                <w:kern w:val="0"/>
                <w:sz w:val="24"/>
                <w:u w:val="single"/>
              </w:rPr>
              <w:t xml:space="preserve"> </w:t>
            </w:r>
            <w:r>
              <w:rPr>
                <w:rFonts w:hint="eastAsia" w:ascii="宋体" w:hAnsi="宋体" w:cs="宋体"/>
                <w:color w:val="000000" w:themeColor="text1"/>
                <w:kern w:val="0"/>
                <w:sz w:val="24"/>
              </w:rPr>
              <w:t>，</w:t>
            </w:r>
            <w:r>
              <w:rPr>
                <w:rFonts w:hint="eastAsia" w:ascii="宋体" w:hAnsi="宋体" w:cs="宋体"/>
                <w:kern w:val="0"/>
                <w:sz w:val="24"/>
              </w:rPr>
              <w:t>属于</w:t>
            </w:r>
            <w:r>
              <w:rPr>
                <w:rFonts w:hint="eastAsia" w:ascii="宋体" w:hAnsi="宋体" w:cs="宋体"/>
                <w:kern w:val="0"/>
                <w:sz w:val="24"/>
                <w:u w:val="single"/>
              </w:rPr>
              <w:t>批发业</w:t>
            </w:r>
            <w:r>
              <w:rPr>
                <w:rFonts w:hint="eastAsia" w:ascii="宋体" w:hAnsi="宋体" w:cs="宋体"/>
                <w:kern w:val="0"/>
                <w:sz w:val="24"/>
              </w:rPr>
              <w:t>行业；</w:t>
            </w:r>
          </w:p>
          <w:p w14:paraId="600C03D0">
            <w:pPr>
              <w:pStyle w:val="4"/>
              <w:rPr>
                <w:rFonts w:ascii="宋体" w:hAnsi="宋体" w:eastAsia="宋体" w:cs="宋体"/>
                <w:color w:val="000000" w:themeColor="text1"/>
                <w:lang w:val="en-US"/>
              </w:rPr>
            </w:pPr>
            <w:r>
              <w:rPr>
                <w:rFonts w:hint="eastAsia" w:ascii="宋体" w:hAnsi="宋体" w:eastAsia="宋体" w:cs="宋体"/>
                <w:color w:val="000000" w:themeColor="text1"/>
                <w:lang w:val="en-US"/>
              </w:rPr>
              <w:t>……</w:t>
            </w:r>
          </w:p>
        </w:tc>
      </w:tr>
      <w:tr w14:paraId="3CF07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05347CC">
            <w:pPr>
              <w:snapToGrid w:val="0"/>
              <w:spacing w:line="360" w:lineRule="auto"/>
              <w:jc w:val="center"/>
              <w:rPr>
                <w:rFonts w:ascii="宋体" w:hAnsi="宋体" w:cs="宋体"/>
                <w:color w:val="000000" w:themeColor="text1"/>
                <w:sz w:val="24"/>
              </w:rPr>
            </w:pPr>
          </w:p>
          <w:p w14:paraId="5F705B61">
            <w:pPr>
              <w:snapToGrid w:val="0"/>
              <w:spacing w:line="360" w:lineRule="auto"/>
              <w:jc w:val="center"/>
              <w:rPr>
                <w:rFonts w:ascii="宋体" w:hAnsi="宋体" w:cs="宋体"/>
                <w:color w:val="000000" w:themeColor="text1"/>
                <w:sz w:val="24"/>
              </w:rPr>
            </w:pPr>
          </w:p>
          <w:p w14:paraId="4E3E8CD9">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3</w:t>
            </w:r>
          </w:p>
        </w:tc>
        <w:tc>
          <w:tcPr>
            <w:tcW w:w="2057" w:type="dxa"/>
            <w:tcBorders>
              <w:top w:val="single" w:color="000000" w:sz="8" w:space="0"/>
              <w:left w:val="single" w:color="auto" w:sz="4" w:space="0"/>
              <w:bottom w:val="single" w:color="000000" w:sz="8" w:space="0"/>
              <w:right w:val="single" w:color="000000" w:sz="8" w:space="0"/>
            </w:tcBorders>
            <w:vAlign w:val="center"/>
          </w:tcPr>
          <w:p w14:paraId="10E562F3">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是否允许采购进口产品</w:t>
            </w:r>
          </w:p>
        </w:tc>
        <w:tc>
          <w:tcPr>
            <w:tcW w:w="6675" w:type="dxa"/>
            <w:tcBorders>
              <w:top w:val="single" w:color="000000" w:sz="8" w:space="0"/>
              <w:left w:val="single" w:color="000000" w:sz="2" w:space="0"/>
              <w:bottom w:val="single" w:color="000000" w:sz="8" w:space="0"/>
              <w:right w:val="single" w:color="000000" w:sz="8" w:space="0"/>
            </w:tcBorders>
            <w:vAlign w:val="center"/>
          </w:tcPr>
          <w:p w14:paraId="7525AF1C">
            <w:pPr>
              <w:spacing w:line="360" w:lineRule="auto"/>
              <w:rPr>
                <w:rFonts w:ascii="宋体" w:hAnsi="宋体" w:cs="宋体"/>
                <w:color w:val="000000" w:themeColor="text1"/>
                <w:kern w:val="0"/>
                <w:sz w:val="24"/>
              </w:rPr>
            </w:pPr>
            <w:sdt>
              <w:sdtPr>
                <w:rPr>
                  <w:rFonts w:hint="eastAsia" w:ascii="宋体" w:hAnsi="宋体" w:cs="宋体"/>
                  <w:color w:val="000000" w:themeColor="text1"/>
                  <w:kern w:val="0"/>
                  <w:sz w:val="24"/>
                </w:rPr>
                <w:id w:val="-1828425707"/>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本项目不允许采购进口产品。</w:t>
            </w:r>
          </w:p>
          <w:p w14:paraId="36DFDE3A">
            <w:pPr>
              <w:spacing w:line="360" w:lineRule="auto"/>
              <w:rPr>
                <w:rFonts w:ascii="宋体" w:hAnsi="宋体" w:cs="宋体"/>
                <w:color w:val="000000" w:themeColor="text1"/>
              </w:rPr>
            </w:pPr>
            <w:sdt>
              <w:sdtPr>
                <w:rPr>
                  <w:rFonts w:hint="eastAsia" w:ascii="宋体" w:hAnsi="宋体" w:cs="宋体"/>
                  <w:color w:val="000000" w:themeColor="text1"/>
                  <w:kern w:val="0"/>
                  <w:sz w:val="24"/>
                </w:rPr>
                <w:id w:val="-52852824"/>
              </w:sdtPr>
              <w:sdtEndPr>
                <w:rPr>
                  <w:rFonts w:hint="eastAsia" w:ascii="宋体" w:hAnsi="宋体" w:cs="宋体"/>
                  <w:color w:val="000000" w:themeColor="text1"/>
                  <w:kern w:val="0"/>
                  <w:sz w:val="24"/>
                </w:rPr>
              </w:sdtEndPr>
              <w:sdtContent>
                <w:r>
                  <w:rPr>
                    <w:rFonts w:hint="eastAsia" w:ascii="宋体" w:hAnsi="宋体" w:cs="宋体"/>
                    <w:color w:val="000000" w:themeColor="text1"/>
                    <w:kern w:val="0"/>
                    <w:sz w:val="24"/>
                  </w:rPr>
                  <w:t>☐</w:t>
                </w:r>
              </w:sdtContent>
            </w:sdt>
            <w:r>
              <w:rPr>
                <w:rFonts w:hint="eastAsia" w:ascii="宋体" w:hAnsi="宋体" w:cs="宋体"/>
                <w:color w:val="000000" w:themeColor="text1"/>
                <w:kern w:val="0"/>
                <w:sz w:val="24"/>
              </w:rPr>
              <w:t>可以就采购进口产品。</w:t>
            </w:r>
          </w:p>
        </w:tc>
      </w:tr>
      <w:tr w14:paraId="47163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01A7F24">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4</w:t>
            </w:r>
          </w:p>
        </w:tc>
        <w:tc>
          <w:tcPr>
            <w:tcW w:w="2057" w:type="dxa"/>
            <w:tcBorders>
              <w:top w:val="single" w:color="000000" w:sz="8" w:space="0"/>
              <w:left w:val="single" w:color="auto" w:sz="4" w:space="0"/>
              <w:bottom w:val="single" w:color="000000" w:sz="8" w:space="0"/>
              <w:right w:val="single" w:color="000000" w:sz="8" w:space="0"/>
            </w:tcBorders>
            <w:vAlign w:val="center"/>
          </w:tcPr>
          <w:p w14:paraId="468C7CE7">
            <w:pPr>
              <w:snapToGrid w:val="0"/>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分包</w:t>
            </w:r>
          </w:p>
        </w:tc>
        <w:tc>
          <w:tcPr>
            <w:tcW w:w="6675" w:type="dxa"/>
            <w:tcBorders>
              <w:top w:val="single" w:color="000000" w:sz="8" w:space="0"/>
              <w:left w:val="single" w:color="000000" w:sz="2" w:space="0"/>
              <w:bottom w:val="single" w:color="000000" w:sz="8" w:space="0"/>
              <w:right w:val="single" w:color="000000" w:sz="8" w:space="0"/>
            </w:tcBorders>
            <w:vAlign w:val="center"/>
          </w:tcPr>
          <w:p w14:paraId="04667CAD">
            <w:pPr>
              <w:spacing w:line="360" w:lineRule="auto"/>
              <w:rPr>
                <w:rFonts w:ascii="宋体" w:hAnsi="宋体" w:cs="宋体"/>
                <w:color w:val="000000" w:themeColor="text1"/>
                <w:sz w:val="24"/>
              </w:rPr>
            </w:pPr>
            <w:sdt>
              <w:sdtPr>
                <w:rPr>
                  <w:rFonts w:hint="eastAsia" w:ascii="宋体" w:hAnsi="宋体" w:cs="宋体"/>
                  <w:color w:val="000000" w:themeColor="text1"/>
                  <w:kern w:val="0"/>
                  <w:sz w:val="24"/>
                </w:rPr>
                <w:id w:val="-1477286927"/>
              </w:sdtPr>
              <w:sdtEndPr>
                <w:rPr>
                  <w:rFonts w:hint="eastAsia" w:ascii="宋体" w:hAnsi="宋体" w:cs="宋体"/>
                  <w:color w:val="000000" w:themeColor="text1"/>
                  <w:kern w:val="0"/>
                  <w:sz w:val="24"/>
                </w:rPr>
              </w:sdtEndPr>
              <w:sdtContent>
                <w:r>
                  <w:rPr>
                    <w:rFonts w:hint="eastAsia" w:ascii="MS Gothic" w:hAnsi="MS Gothic" w:eastAsia="MS Gothic" w:cs="宋体"/>
                    <w:color w:val="000000" w:themeColor="text1"/>
                    <w:kern w:val="0"/>
                    <w:sz w:val="24"/>
                  </w:rPr>
                  <w:t>☐</w:t>
                </w:r>
              </w:sdtContent>
            </w:sdt>
            <w:r>
              <w:rPr>
                <w:rFonts w:hint="eastAsia" w:ascii="宋体" w:hAnsi="宋体" w:cs="宋体"/>
                <w:color w:val="000000" w:themeColor="text1"/>
                <w:kern w:val="0"/>
                <w:sz w:val="24"/>
              </w:rPr>
              <w:t xml:space="preserve"> A</w:t>
            </w:r>
            <w:r>
              <w:rPr>
                <w:rFonts w:hint="eastAsia" w:ascii="宋体" w:hAnsi="宋体" w:cs="宋体"/>
                <w:color w:val="000000" w:themeColor="text1"/>
                <w:sz w:val="24"/>
              </w:rPr>
              <w:t>同意将非主体、非关键性的工作分包。</w:t>
            </w:r>
            <w:sdt>
              <w:sdtPr>
                <w:rPr>
                  <w:rFonts w:hint="eastAsia" w:ascii="宋体" w:hAnsi="宋体" w:cs="宋体"/>
                  <w:color w:val="000000" w:themeColor="text1"/>
                  <w:kern w:val="0"/>
                  <w:sz w:val="24"/>
                </w:rPr>
                <w:id w:val="-1276331357"/>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 xml:space="preserve"> B</w:t>
            </w:r>
            <w:r>
              <w:rPr>
                <w:rFonts w:hint="eastAsia" w:ascii="宋体" w:hAnsi="宋体" w:cs="宋体"/>
                <w:color w:val="000000" w:themeColor="text1"/>
                <w:sz w:val="24"/>
              </w:rPr>
              <w:t>不同意分包。</w:t>
            </w:r>
          </w:p>
          <w:p w14:paraId="142EF1B9">
            <w:pPr>
              <w:spacing w:line="360" w:lineRule="auto"/>
              <w:rPr>
                <w:rFonts w:ascii="宋体" w:hAnsi="宋体" w:cs="宋体"/>
                <w:color w:val="000000" w:themeColor="text1"/>
                <w:sz w:val="24"/>
              </w:rPr>
            </w:pPr>
            <w:r>
              <w:rPr>
                <w:rFonts w:hint="eastAsia" w:ascii="宋体" w:hAnsi="宋体" w:cs="宋体"/>
                <w:color w:val="000000" w:themeColor="text1"/>
                <w:sz w:val="24"/>
              </w:rPr>
              <w:t>注：不得限制大中型企业向小微企业合理分包。</w:t>
            </w:r>
          </w:p>
        </w:tc>
      </w:tr>
      <w:tr w14:paraId="1D6C1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2E8C001">
            <w:pPr>
              <w:snapToGrid w:val="0"/>
              <w:spacing w:line="360" w:lineRule="auto"/>
              <w:jc w:val="center"/>
              <w:rPr>
                <w:rFonts w:ascii="宋体" w:hAnsi="宋体" w:cs="宋体"/>
                <w:color w:val="000000" w:themeColor="text1"/>
                <w:sz w:val="24"/>
              </w:rPr>
            </w:pPr>
          </w:p>
          <w:p w14:paraId="3B2DE4D2">
            <w:pPr>
              <w:snapToGrid w:val="0"/>
              <w:spacing w:line="360" w:lineRule="auto"/>
              <w:jc w:val="center"/>
              <w:rPr>
                <w:rFonts w:ascii="宋体" w:hAnsi="宋体" w:cs="宋体"/>
                <w:color w:val="000000" w:themeColor="text1"/>
                <w:sz w:val="24"/>
              </w:rPr>
            </w:pPr>
          </w:p>
          <w:p w14:paraId="47A15D2A">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5</w:t>
            </w:r>
          </w:p>
        </w:tc>
        <w:tc>
          <w:tcPr>
            <w:tcW w:w="2057" w:type="dxa"/>
            <w:tcBorders>
              <w:top w:val="single" w:color="000000" w:sz="8" w:space="0"/>
              <w:left w:val="single" w:color="auto" w:sz="4" w:space="0"/>
              <w:bottom w:val="single" w:color="000000" w:sz="8" w:space="0"/>
              <w:right w:val="single" w:color="000000" w:sz="8" w:space="0"/>
            </w:tcBorders>
            <w:vAlign w:val="center"/>
          </w:tcPr>
          <w:p w14:paraId="7474F874">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开标前答疑会或现场考察</w:t>
            </w:r>
          </w:p>
        </w:tc>
        <w:tc>
          <w:tcPr>
            <w:tcW w:w="6675" w:type="dxa"/>
            <w:tcBorders>
              <w:top w:val="single" w:color="000000" w:sz="8" w:space="0"/>
              <w:left w:val="single" w:color="000000" w:sz="2" w:space="0"/>
              <w:bottom w:val="single" w:color="000000" w:sz="8" w:space="0"/>
              <w:right w:val="single" w:color="000000" w:sz="8" w:space="0"/>
            </w:tcBorders>
            <w:vAlign w:val="center"/>
          </w:tcPr>
          <w:p w14:paraId="04387A64">
            <w:pPr>
              <w:spacing w:line="360" w:lineRule="auto"/>
              <w:rPr>
                <w:rFonts w:ascii="宋体" w:hAnsi="宋体" w:cs="宋体"/>
                <w:color w:val="000000" w:themeColor="text1"/>
                <w:sz w:val="24"/>
              </w:rPr>
            </w:pPr>
            <w:sdt>
              <w:sdtPr>
                <w:rPr>
                  <w:rFonts w:hint="eastAsia" w:ascii="宋体" w:hAnsi="宋体" w:cs="宋体"/>
                  <w:color w:val="000000" w:themeColor="text1"/>
                  <w:kern w:val="0"/>
                  <w:sz w:val="24"/>
                </w:rPr>
                <w:id w:val="-212966419"/>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A</w:t>
            </w:r>
            <w:r>
              <w:rPr>
                <w:rFonts w:hint="eastAsia" w:ascii="宋体" w:hAnsi="宋体" w:cs="宋体"/>
                <w:color w:val="000000" w:themeColor="text1"/>
                <w:sz w:val="24"/>
              </w:rPr>
              <w:t>不组织。</w:t>
            </w:r>
          </w:p>
          <w:p w14:paraId="087B3F1E">
            <w:pPr>
              <w:spacing w:line="360" w:lineRule="auto"/>
              <w:rPr>
                <w:rFonts w:ascii="宋体" w:hAnsi="宋体" w:cs="宋体"/>
                <w:color w:val="000000" w:themeColor="text1"/>
                <w:sz w:val="24"/>
                <w:szCs w:val="20"/>
              </w:rPr>
            </w:pPr>
            <w:sdt>
              <w:sdtPr>
                <w:rPr>
                  <w:rFonts w:hint="eastAsia" w:ascii="宋体" w:hAnsi="宋体" w:cs="宋体"/>
                  <w:color w:val="000000" w:themeColor="text1"/>
                  <w:kern w:val="0"/>
                  <w:sz w:val="24"/>
                </w:rPr>
                <w:id w:val="-999802974"/>
              </w:sdtPr>
              <w:sdtEndPr>
                <w:rPr>
                  <w:rFonts w:hint="eastAsia" w:ascii="宋体" w:hAnsi="宋体" w:cs="宋体"/>
                  <w:color w:val="000000" w:themeColor="text1"/>
                  <w:kern w:val="0"/>
                  <w:sz w:val="24"/>
                </w:rPr>
              </w:sdtEndPr>
              <w:sdtContent>
                <w:r>
                  <w:rPr>
                    <w:rFonts w:hint="eastAsia" w:ascii="宋体" w:hAnsi="宋体" w:cs="宋体"/>
                    <w:color w:val="000000" w:themeColor="text1"/>
                    <w:kern w:val="0"/>
                    <w:sz w:val="24"/>
                  </w:rPr>
                  <w:t>☐</w:t>
                </w:r>
              </w:sdtContent>
            </w:sdt>
            <w:r>
              <w:rPr>
                <w:rFonts w:hint="eastAsia" w:ascii="宋体" w:hAnsi="宋体" w:cs="宋体"/>
                <w:color w:val="000000" w:themeColor="text1"/>
                <w:kern w:val="0"/>
                <w:sz w:val="24"/>
              </w:rPr>
              <w:t>B组织，</w:t>
            </w:r>
            <w:r>
              <w:rPr>
                <w:rFonts w:hint="eastAsia" w:ascii="宋体" w:hAnsi="宋体" w:cs="宋体"/>
                <w:color w:val="000000" w:themeColor="text1"/>
                <w:sz w:val="24"/>
              </w:rPr>
              <w:t>时间：,地点：，联系人：，联系方式：</w:t>
            </w:r>
            <w:r>
              <w:rPr>
                <w:rFonts w:hint="eastAsia" w:ascii="宋体" w:hAnsi="宋体" w:cs="宋体"/>
                <w:color w:val="000000" w:themeColor="text1"/>
                <w:sz w:val="24"/>
                <w:szCs w:val="20"/>
              </w:rPr>
              <w:t>。</w:t>
            </w:r>
          </w:p>
        </w:tc>
      </w:tr>
      <w:tr w14:paraId="4B9A9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D7953AB">
            <w:pPr>
              <w:snapToGrid w:val="0"/>
              <w:spacing w:line="360" w:lineRule="auto"/>
              <w:jc w:val="center"/>
              <w:rPr>
                <w:rFonts w:ascii="宋体" w:hAnsi="宋体" w:cs="宋体"/>
                <w:color w:val="000000" w:themeColor="text1"/>
                <w:sz w:val="24"/>
              </w:rPr>
            </w:pPr>
          </w:p>
          <w:p w14:paraId="54814EB0">
            <w:pPr>
              <w:snapToGrid w:val="0"/>
              <w:spacing w:line="360" w:lineRule="auto"/>
              <w:jc w:val="center"/>
              <w:rPr>
                <w:rFonts w:ascii="宋体" w:hAnsi="宋体" w:cs="宋体"/>
                <w:color w:val="000000" w:themeColor="text1"/>
                <w:sz w:val="24"/>
              </w:rPr>
            </w:pPr>
          </w:p>
          <w:p w14:paraId="20B42F7B">
            <w:pPr>
              <w:snapToGrid w:val="0"/>
              <w:spacing w:line="360" w:lineRule="auto"/>
              <w:jc w:val="center"/>
              <w:rPr>
                <w:rFonts w:ascii="宋体" w:hAnsi="宋体" w:cs="宋体"/>
                <w:color w:val="000000" w:themeColor="text1"/>
                <w:sz w:val="24"/>
              </w:rPr>
            </w:pPr>
          </w:p>
          <w:p w14:paraId="09BF5704">
            <w:pPr>
              <w:snapToGrid w:val="0"/>
              <w:spacing w:line="360" w:lineRule="auto"/>
              <w:jc w:val="center"/>
              <w:rPr>
                <w:rFonts w:ascii="宋体" w:hAnsi="宋体" w:cs="宋体"/>
                <w:color w:val="000000" w:themeColor="text1"/>
                <w:sz w:val="24"/>
              </w:rPr>
            </w:pPr>
          </w:p>
          <w:p w14:paraId="251C0996">
            <w:pPr>
              <w:snapToGrid w:val="0"/>
              <w:spacing w:line="360" w:lineRule="auto"/>
              <w:jc w:val="center"/>
              <w:rPr>
                <w:rFonts w:ascii="宋体" w:hAnsi="宋体" w:cs="宋体"/>
                <w:color w:val="000000" w:themeColor="text1"/>
                <w:sz w:val="24"/>
              </w:rPr>
            </w:pPr>
          </w:p>
          <w:p w14:paraId="50B70D5D">
            <w:pPr>
              <w:snapToGrid w:val="0"/>
              <w:spacing w:line="360" w:lineRule="auto"/>
              <w:jc w:val="center"/>
              <w:rPr>
                <w:rFonts w:ascii="宋体" w:hAnsi="宋体" w:cs="宋体"/>
                <w:color w:val="000000" w:themeColor="text1"/>
                <w:sz w:val="24"/>
              </w:rPr>
            </w:pPr>
          </w:p>
          <w:p w14:paraId="315EEE98">
            <w:pPr>
              <w:snapToGrid w:val="0"/>
              <w:spacing w:line="360" w:lineRule="auto"/>
              <w:jc w:val="center"/>
              <w:rPr>
                <w:rFonts w:ascii="宋体" w:hAnsi="宋体" w:cs="宋体"/>
                <w:color w:val="000000" w:themeColor="text1"/>
                <w:sz w:val="24"/>
              </w:rPr>
            </w:pPr>
          </w:p>
          <w:p w14:paraId="5ED5F25A">
            <w:pPr>
              <w:snapToGrid w:val="0"/>
              <w:spacing w:line="360" w:lineRule="auto"/>
              <w:jc w:val="center"/>
              <w:rPr>
                <w:rFonts w:ascii="宋体" w:hAnsi="宋体" w:cs="宋体"/>
                <w:color w:val="000000" w:themeColor="text1"/>
                <w:sz w:val="24"/>
              </w:rPr>
            </w:pPr>
          </w:p>
          <w:p w14:paraId="355C538D">
            <w:pPr>
              <w:snapToGrid w:val="0"/>
              <w:spacing w:line="360" w:lineRule="auto"/>
              <w:jc w:val="center"/>
              <w:rPr>
                <w:rFonts w:ascii="宋体" w:hAnsi="宋体" w:cs="宋体"/>
                <w:color w:val="000000" w:themeColor="text1"/>
                <w:sz w:val="24"/>
              </w:rPr>
            </w:pPr>
          </w:p>
          <w:p w14:paraId="3D97CAD3">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6</w:t>
            </w:r>
          </w:p>
        </w:tc>
        <w:tc>
          <w:tcPr>
            <w:tcW w:w="2057" w:type="dxa"/>
            <w:tcBorders>
              <w:top w:val="single" w:color="000000" w:sz="8" w:space="0"/>
              <w:left w:val="single" w:color="auto" w:sz="4" w:space="0"/>
              <w:bottom w:val="single" w:color="000000" w:sz="8" w:space="0"/>
              <w:right w:val="single" w:color="000000" w:sz="8" w:space="0"/>
            </w:tcBorders>
            <w:vAlign w:val="center"/>
          </w:tcPr>
          <w:p w14:paraId="1C0FC898">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样品提供</w:t>
            </w:r>
          </w:p>
        </w:tc>
        <w:tc>
          <w:tcPr>
            <w:tcW w:w="6675" w:type="dxa"/>
            <w:tcBorders>
              <w:top w:val="single" w:color="000000" w:sz="8" w:space="0"/>
              <w:left w:val="single" w:color="000000" w:sz="2" w:space="0"/>
              <w:bottom w:val="single" w:color="000000" w:sz="8" w:space="0"/>
              <w:right w:val="single" w:color="000000" w:sz="8" w:space="0"/>
            </w:tcBorders>
            <w:vAlign w:val="center"/>
          </w:tcPr>
          <w:p w14:paraId="0B95F45A">
            <w:pPr>
              <w:spacing w:line="360" w:lineRule="auto"/>
              <w:rPr>
                <w:rFonts w:ascii="宋体" w:hAnsi="宋体" w:cs="宋体"/>
                <w:color w:val="000000" w:themeColor="text1"/>
                <w:sz w:val="24"/>
              </w:rPr>
            </w:pPr>
            <w:sdt>
              <w:sdtPr>
                <w:rPr>
                  <w:rFonts w:hint="eastAsia" w:ascii="宋体" w:hAnsi="宋体" w:cs="宋体"/>
                  <w:color w:val="000000" w:themeColor="text1"/>
                  <w:kern w:val="0"/>
                  <w:sz w:val="24"/>
                </w:rPr>
                <w:id w:val="-1639946486"/>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A</w:t>
            </w:r>
            <w:r>
              <w:rPr>
                <w:rFonts w:hint="eastAsia" w:ascii="宋体" w:hAnsi="宋体" w:cs="宋体"/>
                <w:color w:val="000000" w:themeColor="text1"/>
                <w:sz w:val="24"/>
              </w:rPr>
              <w:t>不要求提供。</w:t>
            </w:r>
          </w:p>
          <w:p w14:paraId="7D8CCCD5">
            <w:pPr>
              <w:spacing w:line="360" w:lineRule="auto"/>
              <w:rPr>
                <w:rFonts w:ascii="宋体" w:hAnsi="宋体" w:cs="宋体"/>
                <w:color w:val="000000" w:themeColor="text1"/>
                <w:kern w:val="0"/>
                <w:sz w:val="24"/>
              </w:rPr>
            </w:pPr>
            <w:sdt>
              <w:sdtPr>
                <w:rPr>
                  <w:rFonts w:hint="eastAsia" w:ascii="宋体" w:hAnsi="宋体" w:cs="宋体"/>
                  <w:color w:val="000000" w:themeColor="text1"/>
                  <w:kern w:val="0"/>
                  <w:sz w:val="24"/>
                </w:rPr>
                <w:id w:val="1026831988"/>
              </w:sdtPr>
              <w:sdtEndPr>
                <w:rPr>
                  <w:rFonts w:hint="eastAsia" w:ascii="宋体" w:hAnsi="宋体" w:cs="宋体"/>
                  <w:color w:val="000000" w:themeColor="text1"/>
                  <w:kern w:val="0"/>
                  <w:sz w:val="24"/>
                </w:rPr>
              </w:sdtEndPr>
              <w:sdtContent>
                <w:r>
                  <w:rPr>
                    <w:rFonts w:hint="eastAsia" w:ascii="MS Gothic" w:hAnsi="MS Gothic" w:eastAsia="MS Gothic" w:cs="宋体"/>
                    <w:color w:val="000000" w:themeColor="text1"/>
                    <w:kern w:val="0"/>
                    <w:sz w:val="24"/>
                  </w:rPr>
                  <w:t>☐</w:t>
                </w:r>
              </w:sdtContent>
            </w:sdt>
            <w:r>
              <w:rPr>
                <w:rFonts w:hint="eastAsia" w:ascii="宋体" w:hAnsi="宋体" w:cs="宋体"/>
                <w:color w:val="000000" w:themeColor="text1"/>
                <w:kern w:val="0"/>
                <w:sz w:val="24"/>
              </w:rPr>
              <w:t>B要求提供，</w:t>
            </w:r>
          </w:p>
          <w:p w14:paraId="3186B4D2">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（1）</w:t>
            </w:r>
            <w:r>
              <w:rPr>
                <w:rFonts w:hint="eastAsia" w:ascii="宋体" w:hAnsi="宋体" w:cs="宋体"/>
                <w:snapToGrid w:val="0"/>
                <w:color w:val="000000" w:themeColor="text1"/>
                <w:kern w:val="28"/>
                <w:sz w:val="24"/>
              </w:rPr>
              <w:t>样品：</w:t>
            </w:r>
            <w:r>
              <w:rPr>
                <w:rFonts w:hint="eastAsia" w:ascii="宋体" w:hAnsi="宋体" w:cs="宋体"/>
                <w:snapToGrid w:val="0"/>
                <w:color w:val="000000" w:themeColor="text1"/>
                <w:kern w:val="28"/>
                <w:sz w:val="24"/>
                <w:lang w:val="en-US" w:eastAsia="zh-CN"/>
              </w:rPr>
              <w:t xml:space="preserve">  </w:t>
            </w:r>
            <w:r>
              <w:rPr>
                <w:rFonts w:hint="eastAsia" w:ascii="宋体" w:hAnsi="宋体" w:cs="宋体"/>
                <w:color w:val="000000" w:themeColor="text1"/>
                <w:kern w:val="0"/>
                <w:sz w:val="24"/>
              </w:rPr>
              <w:t>；</w:t>
            </w:r>
          </w:p>
          <w:p w14:paraId="1FD007EA">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（2）</w:t>
            </w:r>
            <w:r>
              <w:rPr>
                <w:rFonts w:hint="eastAsia" w:ascii="宋体" w:hAnsi="宋体" w:cs="宋体"/>
                <w:snapToGrid w:val="0"/>
                <w:color w:val="000000" w:themeColor="text1"/>
                <w:kern w:val="28"/>
                <w:sz w:val="24"/>
              </w:rPr>
              <w:t>样品制作的标准和要求：</w:t>
            </w:r>
            <w:r>
              <w:rPr>
                <w:rFonts w:hint="eastAsia" w:ascii="宋体" w:hAnsi="宋体" w:cs="宋体"/>
                <w:snapToGrid w:val="0"/>
                <w:color w:val="000000" w:themeColor="text1"/>
                <w:kern w:val="28"/>
                <w:sz w:val="24"/>
                <w:lang w:val="en-US" w:eastAsia="zh-CN"/>
              </w:rPr>
              <w:t xml:space="preserve">   </w:t>
            </w:r>
            <w:r>
              <w:rPr>
                <w:rFonts w:hint="eastAsia" w:ascii="宋体" w:hAnsi="宋体" w:cs="宋体"/>
                <w:color w:val="000000" w:themeColor="text1"/>
                <w:kern w:val="0"/>
                <w:sz w:val="24"/>
              </w:rPr>
              <w:t>；</w:t>
            </w:r>
          </w:p>
          <w:p w14:paraId="1B9F32F2">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（3）样品的评审方法以及评审标准</w:t>
            </w:r>
            <w:r>
              <w:rPr>
                <w:rFonts w:hint="eastAsia" w:ascii="宋体" w:hAnsi="宋体" w:cs="宋体"/>
                <w:snapToGrid w:val="0"/>
                <w:color w:val="000000" w:themeColor="text1"/>
                <w:kern w:val="28"/>
                <w:sz w:val="24"/>
              </w:rPr>
              <w:t>：详见</w:t>
            </w:r>
            <w:r>
              <w:rPr>
                <w:rFonts w:hint="eastAsia" w:ascii="宋体" w:hAnsi="宋体" w:cs="宋体"/>
                <w:color w:val="000000" w:themeColor="text1"/>
                <w:sz w:val="24"/>
                <w:u w:val="single"/>
              </w:rPr>
              <w:t>评标办法</w:t>
            </w:r>
            <w:r>
              <w:rPr>
                <w:rFonts w:hint="eastAsia" w:ascii="宋体" w:hAnsi="宋体" w:cs="宋体"/>
                <w:color w:val="000000" w:themeColor="text1"/>
                <w:kern w:val="0"/>
                <w:sz w:val="24"/>
              </w:rPr>
              <w:t>；</w:t>
            </w:r>
          </w:p>
          <w:p w14:paraId="1EEBFBA5">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（4）是否需要随样品提交检测报告：</w:t>
            </w:r>
            <w:sdt>
              <w:sdtPr>
                <w:rPr>
                  <w:rFonts w:hint="eastAsia" w:ascii="宋体" w:hAnsi="宋体" w:cs="宋体"/>
                  <w:color w:val="000000" w:themeColor="text1"/>
                  <w:kern w:val="0"/>
                  <w:sz w:val="24"/>
                </w:rPr>
                <w:id w:val="1303421454"/>
              </w:sdtPr>
              <w:sdtEndPr>
                <w:rPr>
                  <w:rFonts w:hint="eastAsia" w:ascii="宋体" w:hAnsi="宋体" w:cs="宋体"/>
                  <w:color w:val="000000" w:themeColor="text1"/>
                  <w:kern w:val="0"/>
                  <w:sz w:val="24"/>
                </w:rPr>
              </w:sdtEndPr>
              <w:sdtContent>
                <w:r>
                  <w:rPr>
                    <w:rFonts w:hint="eastAsia" w:ascii="MS Gothic" w:hAnsi="MS Gothic" w:eastAsia="MS Gothic" w:cs="宋体"/>
                    <w:color w:val="000000" w:themeColor="text1"/>
                    <w:kern w:val="0"/>
                    <w:sz w:val="24"/>
                  </w:rPr>
                  <w:t>☐</w:t>
                </w:r>
              </w:sdtContent>
            </w:sdt>
            <w:r>
              <w:rPr>
                <w:rFonts w:hint="eastAsia" w:ascii="宋体" w:hAnsi="宋体" w:cs="宋体"/>
                <w:color w:val="000000" w:themeColor="text1"/>
                <w:kern w:val="0"/>
                <w:sz w:val="24"/>
              </w:rPr>
              <w:t>否；</w:t>
            </w:r>
            <w:sdt>
              <w:sdtPr>
                <w:rPr>
                  <w:rFonts w:hint="eastAsia" w:ascii="宋体" w:hAnsi="宋体" w:cs="宋体"/>
                  <w:color w:val="000000" w:themeColor="text1"/>
                  <w:kern w:val="0"/>
                  <w:sz w:val="24"/>
                </w:rPr>
                <w:id w:val="1621728433"/>
              </w:sdtPr>
              <w:sdtEndPr>
                <w:rPr>
                  <w:rFonts w:hint="eastAsia" w:ascii="宋体" w:hAnsi="宋体" w:cs="宋体"/>
                  <w:color w:val="000000" w:themeColor="text1"/>
                  <w:kern w:val="0"/>
                  <w:sz w:val="24"/>
                </w:rPr>
              </w:sdtEndPr>
              <w:sdtContent>
                <w:r>
                  <w:rPr>
                    <w:rFonts w:hint="eastAsia" w:ascii="宋体" w:hAnsi="宋体" w:cs="宋体"/>
                    <w:color w:val="000000" w:themeColor="text1"/>
                    <w:kern w:val="0"/>
                    <w:sz w:val="24"/>
                  </w:rPr>
                  <w:t>☐</w:t>
                </w:r>
              </w:sdtContent>
            </w:sdt>
            <w:r>
              <w:rPr>
                <w:rFonts w:hint="eastAsia" w:ascii="宋体" w:hAnsi="宋体" w:cs="宋体"/>
                <w:color w:val="000000" w:themeColor="text1"/>
                <w:kern w:val="0"/>
                <w:sz w:val="24"/>
              </w:rPr>
              <w:t>是，检测机构的要求</w:t>
            </w:r>
            <w:r>
              <w:rPr>
                <w:rFonts w:hint="eastAsia" w:ascii="宋体" w:hAnsi="宋体" w:cs="宋体"/>
                <w:color w:val="000000" w:themeColor="text1"/>
                <w:sz w:val="24"/>
              </w:rPr>
              <w:t>：</w:t>
            </w:r>
            <w:r>
              <w:rPr>
                <w:rFonts w:hint="eastAsia" w:ascii="宋体" w:hAnsi="宋体" w:cs="宋体"/>
                <w:color w:val="000000" w:themeColor="text1"/>
                <w:kern w:val="0"/>
                <w:sz w:val="24"/>
              </w:rPr>
              <w:t>；检测内容</w:t>
            </w:r>
            <w:r>
              <w:rPr>
                <w:rFonts w:hint="eastAsia" w:ascii="宋体" w:hAnsi="宋体" w:cs="宋体"/>
                <w:color w:val="000000" w:themeColor="text1"/>
                <w:sz w:val="24"/>
              </w:rPr>
              <w:t>：</w:t>
            </w:r>
            <w:r>
              <w:rPr>
                <w:rFonts w:hint="eastAsia" w:ascii="宋体" w:hAnsi="宋体" w:cs="宋体"/>
                <w:color w:val="000000" w:themeColor="text1"/>
                <w:kern w:val="0"/>
                <w:sz w:val="24"/>
              </w:rPr>
              <w:t>。</w:t>
            </w:r>
          </w:p>
          <w:p w14:paraId="3B911788">
            <w:pPr>
              <w:spacing w:line="360" w:lineRule="auto"/>
              <w:rPr>
                <w:rFonts w:ascii="宋体" w:hAnsi="宋体" w:cs="宋体"/>
                <w:color w:val="000000" w:themeColor="text1"/>
                <w:sz w:val="24"/>
              </w:rPr>
            </w:pPr>
            <w:r>
              <w:rPr>
                <w:rFonts w:hint="eastAsia" w:ascii="宋体" w:hAnsi="宋体" w:cs="宋体"/>
                <w:color w:val="000000" w:themeColor="text1"/>
                <w:sz w:val="24"/>
              </w:rPr>
              <w:t>（5）提供样品的时间：</w:t>
            </w:r>
            <w:r>
              <w:rPr>
                <w:rFonts w:hint="eastAsia" w:ascii="宋体" w:hAnsi="宋体" w:cs="宋体"/>
                <w:color w:val="000000" w:themeColor="text1"/>
                <w:kern w:val="0"/>
                <w:sz w:val="24"/>
              </w:rPr>
              <w:t>；地点：；联系人</w:t>
            </w:r>
            <w:r>
              <w:rPr>
                <w:rFonts w:hint="eastAsia" w:ascii="宋体" w:hAnsi="宋体" w:cs="宋体"/>
                <w:color w:val="000000" w:themeColor="text1"/>
                <w:sz w:val="24"/>
              </w:rPr>
              <w:t>：，</w:t>
            </w:r>
            <w:r>
              <w:rPr>
                <w:rFonts w:hint="eastAsia" w:ascii="宋体" w:hAnsi="宋体" w:cs="宋体"/>
                <w:color w:val="000000" w:themeColor="text1"/>
                <w:kern w:val="28"/>
                <w:sz w:val="24"/>
              </w:rPr>
              <w:t>联系电话：</w:t>
            </w:r>
            <w:r>
              <w:rPr>
                <w:rFonts w:hint="eastAsia" w:ascii="宋体" w:hAnsi="宋体" w:cs="宋体"/>
                <w:color w:val="000000" w:themeColor="text1"/>
                <w:sz w:val="24"/>
              </w:rPr>
              <w:t>。请投标人在上述时间内提供样品并按规定位置安装完毕。超过截止时间的，采购人或采购代理机构将不予接收，并将清场并封闭样品现场。</w:t>
            </w:r>
          </w:p>
          <w:p w14:paraId="4E63E29E">
            <w:pPr>
              <w:spacing w:line="360" w:lineRule="auto"/>
              <w:rPr>
                <w:rFonts w:ascii="宋体" w:hAnsi="宋体" w:cs="宋体"/>
                <w:color w:val="000000" w:themeColor="text1"/>
                <w:sz w:val="24"/>
              </w:rPr>
            </w:pPr>
            <w:r>
              <w:rPr>
                <w:rFonts w:hint="eastAsia" w:ascii="宋体" w:hAnsi="宋体" w:cs="宋体"/>
                <w:color w:val="000000" w:themeColor="text1"/>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D7BE27D">
            <w:pPr>
              <w:spacing w:line="360" w:lineRule="auto"/>
              <w:rPr>
                <w:rFonts w:ascii="宋体" w:hAnsi="宋体" w:cs="宋体"/>
                <w:b/>
                <w:color w:val="000000" w:themeColor="text1"/>
                <w:sz w:val="24"/>
              </w:rPr>
            </w:pPr>
            <w:r>
              <w:rPr>
                <w:rFonts w:hint="eastAsia" w:ascii="宋体" w:hAnsi="宋体" w:cs="宋体"/>
                <w:color w:val="000000" w:themeColor="text1"/>
                <w:sz w:val="24"/>
              </w:rPr>
              <w:t>（7）制作、运输、安装和保管样品所发生的一切费用由投标人自理。</w:t>
            </w:r>
          </w:p>
        </w:tc>
      </w:tr>
      <w:tr w14:paraId="1007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BB28343">
            <w:pPr>
              <w:snapToGrid w:val="0"/>
              <w:spacing w:line="360" w:lineRule="auto"/>
              <w:jc w:val="center"/>
              <w:rPr>
                <w:rFonts w:ascii="宋体" w:hAnsi="宋体" w:cs="宋体"/>
                <w:color w:val="000000" w:themeColor="text1"/>
                <w:sz w:val="24"/>
              </w:rPr>
            </w:pPr>
          </w:p>
          <w:p w14:paraId="29DC515D">
            <w:pPr>
              <w:snapToGrid w:val="0"/>
              <w:spacing w:line="360" w:lineRule="auto"/>
              <w:jc w:val="center"/>
              <w:rPr>
                <w:rFonts w:ascii="宋体" w:hAnsi="宋体" w:cs="宋体"/>
                <w:color w:val="000000" w:themeColor="text1"/>
                <w:sz w:val="24"/>
              </w:rPr>
            </w:pPr>
          </w:p>
          <w:p w14:paraId="61793B21">
            <w:pPr>
              <w:snapToGrid w:val="0"/>
              <w:spacing w:line="360" w:lineRule="auto"/>
              <w:jc w:val="center"/>
              <w:rPr>
                <w:rFonts w:ascii="宋体" w:hAnsi="宋体" w:cs="宋体"/>
                <w:color w:val="000000" w:themeColor="text1"/>
                <w:sz w:val="24"/>
              </w:rPr>
            </w:pPr>
          </w:p>
          <w:p w14:paraId="2E1B1063">
            <w:pPr>
              <w:snapToGrid w:val="0"/>
              <w:spacing w:line="360" w:lineRule="auto"/>
              <w:jc w:val="center"/>
              <w:rPr>
                <w:rFonts w:ascii="宋体" w:hAnsi="宋体" w:cs="宋体"/>
                <w:color w:val="000000" w:themeColor="text1"/>
                <w:sz w:val="24"/>
              </w:rPr>
            </w:pPr>
          </w:p>
          <w:p w14:paraId="1141CC30">
            <w:pPr>
              <w:snapToGrid w:val="0"/>
              <w:spacing w:line="360" w:lineRule="auto"/>
              <w:jc w:val="center"/>
              <w:rPr>
                <w:rFonts w:ascii="宋体" w:hAnsi="宋体" w:cs="宋体"/>
                <w:color w:val="000000" w:themeColor="text1"/>
                <w:sz w:val="24"/>
              </w:rPr>
            </w:pPr>
          </w:p>
          <w:p w14:paraId="5B851D62">
            <w:pPr>
              <w:snapToGrid w:val="0"/>
              <w:spacing w:line="360" w:lineRule="auto"/>
              <w:jc w:val="center"/>
              <w:rPr>
                <w:rFonts w:ascii="宋体" w:hAnsi="宋体" w:cs="宋体"/>
                <w:color w:val="000000" w:themeColor="text1"/>
                <w:sz w:val="24"/>
              </w:rPr>
            </w:pPr>
          </w:p>
          <w:p w14:paraId="6720490A">
            <w:pPr>
              <w:snapToGrid w:val="0"/>
              <w:spacing w:line="360" w:lineRule="auto"/>
              <w:jc w:val="center"/>
              <w:rPr>
                <w:rFonts w:ascii="宋体" w:hAnsi="宋体" w:cs="宋体"/>
                <w:color w:val="000000" w:themeColor="text1"/>
                <w:sz w:val="24"/>
              </w:rPr>
            </w:pPr>
          </w:p>
          <w:p w14:paraId="7792853A">
            <w:pPr>
              <w:snapToGrid w:val="0"/>
              <w:spacing w:line="360" w:lineRule="auto"/>
              <w:jc w:val="center"/>
              <w:rPr>
                <w:rFonts w:ascii="宋体" w:hAnsi="宋体" w:cs="宋体"/>
                <w:color w:val="000000" w:themeColor="text1"/>
                <w:sz w:val="24"/>
              </w:rPr>
            </w:pPr>
          </w:p>
          <w:p w14:paraId="27CA9BC2">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7</w:t>
            </w:r>
          </w:p>
        </w:tc>
        <w:tc>
          <w:tcPr>
            <w:tcW w:w="2057" w:type="dxa"/>
            <w:tcBorders>
              <w:top w:val="single" w:color="000000" w:sz="8" w:space="0"/>
              <w:left w:val="single" w:color="auto" w:sz="4" w:space="0"/>
              <w:bottom w:val="single" w:color="000000" w:sz="8" w:space="0"/>
              <w:right w:val="single" w:color="000000" w:sz="8" w:space="0"/>
            </w:tcBorders>
            <w:vAlign w:val="center"/>
          </w:tcPr>
          <w:p w14:paraId="02331804">
            <w:pPr>
              <w:snapToGrid w:val="0"/>
              <w:spacing w:line="360" w:lineRule="auto"/>
              <w:jc w:val="center"/>
              <w:rPr>
                <w:rFonts w:ascii="宋体" w:hAnsi="宋体" w:cs="宋体"/>
                <w:bCs/>
                <w:color w:val="000000" w:themeColor="text1"/>
                <w:sz w:val="24"/>
              </w:rPr>
            </w:pPr>
            <w:r>
              <w:rPr>
                <w:rFonts w:hint="eastAsia" w:ascii="宋体" w:hAnsi="宋体" w:cs="宋体"/>
                <w:b/>
                <w:color w:val="000000" w:themeColor="text1"/>
                <w:sz w:val="24"/>
              </w:rPr>
              <w:t>方案讲解演示</w:t>
            </w:r>
          </w:p>
        </w:tc>
        <w:tc>
          <w:tcPr>
            <w:tcW w:w="6675" w:type="dxa"/>
            <w:tcBorders>
              <w:top w:val="single" w:color="000000" w:sz="8" w:space="0"/>
              <w:left w:val="single" w:color="000000" w:sz="2" w:space="0"/>
              <w:bottom w:val="single" w:color="000000" w:sz="8" w:space="0"/>
              <w:right w:val="single" w:color="000000" w:sz="8" w:space="0"/>
            </w:tcBorders>
            <w:vAlign w:val="center"/>
          </w:tcPr>
          <w:p w14:paraId="51DAF580">
            <w:pPr>
              <w:spacing w:line="360" w:lineRule="auto"/>
              <w:rPr>
                <w:rFonts w:ascii="宋体" w:hAnsi="宋体" w:cs="宋体"/>
                <w:color w:val="000000" w:themeColor="text1"/>
                <w:sz w:val="24"/>
              </w:rPr>
            </w:pPr>
            <w:sdt>
              <w:sdtPr>
                <w:rPr>
                  <w:rFonts w:hint="eastAsia" w:ascii="宋体" w:hAnsi="宋体" w:cs="宋体"/>
                  <w:color w:val="000000" w:themeColor="text1"/>
                  <w:kern w:val="0"/>
                  <w:sz w:val="24"/>
                </w:rPr>
                <w:id w:val="-1859348549"/>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A</w:t>
            </w:r>
            <w:r>
              <w:rPr>
                <w:rFonts w:hint="eastAsia" w:ascii="宋体" w:hAnsi="宋体" w:cs="宋体"/>
                <w:color w:val="000000" w:themeColor="text1"/>
                <w:sz w:val="24"/>
              </w:rPr>
              <w:t>不组织。</w:t>
            </w:r>
          </w:p>
          <w:p w14:paraId="5DE820ED">
            <w:pPr>
              <w:spacing w:line="360" w:lineRule="auto"/>
              <w:rPr>
                <w:rFonts w:ascii="宋体" w:hAnsi="宋体" w:cs="宋体"/>
                <w:color w:val="000000" w:themeColor="text1"/>
                <w:kern w:val="0"/>
                <w:sz w:val="24"/>
              </w:rPr>
            </w:pPr>
            <w:sdt>
              <w:sdtPr>
                <w:rPr>
                  <w:rFonts w:hint="eastAsia" w:ascii="宋体" w:hAnsi="宋体" w:cs="宋体"/>
                  <w:color w:val="000000" w:themeColor="text1"/>
                  <w:kern w:val="0"/>
                  <w:sz w:val="24"/>
                </w:rPr>
                <w:id w:val="1174071719"/>
              </w:sdtPr>
              <w:sdtEndPr>
                <w:rPr>
                  <w:rFonts w:hint="eastAsia" w:ascii="宋体" w:hAnsi="宋体" w:cs="宋体"/>
                  <w:color w:val="000000" w:themeColor="text1"/>
                  <w:kern w:val="0"/>
                  <w:sz w:val="24"/>
                </w:rPr>
              </w:sdtEndPr>
              <w:sdtContent>
                <w:r>
                  <w:rPr>
                    <w:rFonts w:hint="eastAsia" w:ascii="宋体" w:hAnsi="宋体" w:cs="宋体"/>
                    <w:color w:val="000000" w:themeColor="text1"/>
                    <w:kern w:val="0"/>
                    <w:sz w:val="24"/>
                  </w:rPr>
                  <w:t>☐</w:t>
                </w:r>
              </w:sdtContent>
            </w:sdt>
            <w:r>
              <w:rPr>
                <w:rFonts w:hint="eastAsia" w:ascii="宋体" w:hAnsi="宋体" w:cs="宋体"/>
                <w:color w:val="000000" w:themeColor="text1"/>
                <w:kern w:val="0"/>
                <w:sz w:val="24"/>
              </w:rPr>
              <w:t>B组织。</w:t>
            </w:r>
          </w:p>
          <w:p w14:paraId="1432B471">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（1）在评标时安排每个投标人进行方案讲解演示。每个投标人时间不超过</w:t>
            </w:r>
            <w:r>
              <w:rPr>
                <w:rFonts w:hint="eastAsia" w:ascii="宋体" w:hAnsi="宋体" w:cs="宋体"/>
                <w:color w:val="000000" w:themeColor="text1"/>
                <w:kern w:val="0"/>
                <w:sz w:val="24"/>
                <w:u w:val="single"/>
              </w:rPr>
              <w:t>20（编制时可根据项目情况进行调整）</w:t>
            </w:r>
            <w:r>
              <w:rPr>
                <w:rFonts w:hint="eastAsia" w:ascii="宋体" w:hAnsi="宋体" w:cs="宋体"/>
                <w:color w:val="000000" w:themeColor="text1"/>
                <w:kern w:val="0"/>
                <w:sz w:val="24"/>
              </w:rPr>
              <w:t>分钟，讲解次序以投标文件解密时间先后次序为准，讲解演示人员不超过</w:t>
            </w:r>
            <w:r>
              <w:rPr>
                <w:rFonts w:hint="eastAsia" w:ascii="宋体" w:hAnsi="宋体" w:cs="宋体"/>
                <w:color w:val="000000" w:themeColor="text1"/>
                <w:kern w:val="0"/>
                <w:sz w:val="24"/>
                <w:u w:val="single"/>
              </w:rPr>
              <w:t>3（编制时可根据项目情况进行调整）</w:t>
            </w:r>
            <w:r>
              <w:rPr>
                <w:rFonts w:hint="eastAsia" w:ascii="宋体" w:hAnsi="宋体" w:cs="宋体"/>
                <w:color w:val="000000" w:themeColor="text1"/>
                <w:kern w:val="0"/>
                <w:sz w:val="24"/>
              </w:rPr>
              <w:t>人。讲解演示结束后按要求解答评标委员会提问。</w:t>
            </w:r>
          </w:p>
          <w:p w14:paraId="4C19AEDF">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（2）方案讲解演示可选择以下其中一种方式：</w:t>
            </w:r>
          </w:p>
          <w:p w14:paraId="3D88DFC1">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方式一：广西政府采购云平台在线讲解演示。广西政府采购云平台在线讲解需投标人根据广西政府采购云平台操作要求做好准备工作，提前完善软硬件配置环境。</w:t>
            </w:r>
          </w:p>
          <w:p w14:paraId="15B85FFE">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方式二：评审现场讲解演示。现场讲解地点为，讲解演示所用电脑等设备由投标人自备。现场讲解演示人员进场时提供讲解人员名单（加盖公章或授权代表签名）及身份证明，否则不得讲解演示。</w:t>
            </w:r>
          </w:p>
          <w:p w14:paraId="6083EE71">
            <w:pPr>
              <w:snapToGrid w:val="0"/>
              <w:spacing w:line="360" w:lineRule="auto"/>
              <w:rPr>
                <w:rFonts w:ascii="宋体" w:hAnsi="宋体" w:cs="宋体"/>
                <w:b/>
                <w:color w:val="000000" w:themeColor="text1"/>
                <w:kern w:val="0"/>
                <w:sz w:val="24"/>
                <w:lang w:val="zh-CN"/>
              </w:rPr>
            </w:pPr>
            <w:r>
              <w:rPr>
                <w:rFonts w:hint="eastAsia" w:ascii="宋体" w:hAnsi="宋体" w:cs="宋体"/>
                <w:color w:val="000000" w:themeColor="text1"/>
                <w:kern w:val="0"/>
                <w:sz w:val="24"/>
              </w:rPr>
              <w:t>注：因投标人自身原因导致无法演示或者演示效果不理想的，责任自负。因平台原因导致本项目方案讲解演示环节无法顺利开展，按照相关规定执行。</w:t>
            </w:r>
          </w:p>
        </w:tc>
      </w:tr>
      <w:tr w14:paraId="220A0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4EC9E46">
            <w:pPr>
              <w:snapToGrid w:val="0"/>
              <w:spacing w:line="360" w:lineRule="auto"/>
              <w:jc w:val="center"/>
              <w:rPr>
                <w:rFonts w:ascii="宋体" w:hAnsi="宋体" w:cs="宋体"/>
                <w:color w:val="000000" w:themeColor="text1"/>
                <w:sz w:val="24"/>
              </w:rPr>
            </w:pPr>
          </w:p>
          <w:p w14:paraId="16F639E9">
            <w:pPr>
              <w:snapToGrid w:val="0"/>
              <w:spacing w:line="360" w:lineRule="auto"/>
              <w:jc w:val="center"/>
              <w:rPr>
                <w:rFonts w:ascii="宋体" w:hAnsi="宋体" w:cs="宋体"/>
                <w:color w:val="000000" w:themeColor="text1"/>
                <w:sz w:val="24"/>
              </w:rPr>
            </w:pPr>
          </w:p>
          <w:p w14:paraId="1904DCCD">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8</w:t>
            </w:r>
          </w:p>
        </w:tc>
        <w:tc>
          <w:tcPr>
            <w:tcW w:w="2057" w:type="dxa"/>
            <w:vMerge w:val="restart"/>
            <w:tcBorders>
              <w:top w:val="single" w:color="000000" w:sz="8" w:space="0"/>
              <w:left w:val="single" w:color="auto" w:sz="4" w:space="0"/>
              <w:right w:val="single" w:color="000000" w:sz="8" w:space="0"/>
            </w:tcBorders>
            <w:vAlign w:val="center"/>
          </w:tcPr>
          <w:p w14:paraId="7B2B52E4">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投标人应当提供的资格、资信证明文件</w:t>
            </w:r>
          </w:p>
        </w:tc>
        <w:tc>
          <w:tcPr>
            <w:tcW w:w="6675" w:type="dxa"/>
            <w:tcBorders>
              <w:top w:val="single" w:color="000000" w:sz="8" w:space="0"/>
              <w:left w:val="single" w:color="000000" w:sz="2" w:space="0"/>
              <w:bottom w:val="single" w:color="auto" w:sz="4" w:space="0"/>
              <w:right w:val="single" w:color="000000" w:sz="8" w:space="0"/>
            </w:tcBorders>
            <w:vAlign w:val="center"/>
          </w:tcPr>
          <w:p w14:paraId="28DF8406">
            <w:pPr>
              <w:spacing w:line="360" w:lineRule="auto"/>
              <w:rPr>
                <w:rFonts w:ascii="宋体" w:hAnsi="宋体" w:cs="宋体"/>
                <w:color w:val="000000" w:themeColor="text1"/>
                <w:sz w:val="24"/>
              </w:rPr>
            </w:pPr>
            <w:r>
              <w:rPr>
                <w:rFonts w:hint="eastAsia" w:ascii="宋体" w:hAnsi="宋体" w:cs="宋体"/>
                <w:color w:val="000000" w:themeColor="text1"/>
                <w:sz w:val="24"/>
              </w:rPr>
              <w:t>（1）资格证明文件：见招标文件第二部分11.1。</w:t>
            </w:r>
          </w:p>
          <w:p w14:paraId="1E89ECCE">
            <w:pPr>
              <w:spacing w:line="360" w:lineRule="auto"/>
              <w:rPr>
                <w:rFonts w:ascii="宋体" w:hAnsi="宋体" w:cs="宋体"/>
                <w:snapToGrid w:val="0"/>
                <w:color w:val="000000" w:themeColor="text1"/>
                <w:kern w:val="0"/>
                <w:szCs w:val="21"/>
              </w:rPr>
            </w:pPr>
            <w:r>
              <w:rPr>
                <w:rFonts w:hint="eastAsia" w:ascii="宋体" w:hAnsi="宋体" w:cs="宋体"/>
                <w:color w:val="000000" w:themeColor="text1"/>
                <w:kern w:val="0"/>
                <w:sz w:val="24"/>
                <w:lang w:val="zh-CN"/>
              </w:rPr>
              <w:t>投标人未提供有效的资格证明文件的，视为投标人不具备招标文件中规定的资格要求，投标无效。</w:t>
            </w:r>
          </w:p>
        </w:tc>
      </w:tr>
      <w:tr w14:paraId="2FD63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blHeader/>
        </w:trPr>
        <w:tc>
          <w:tcPr>
            <w:tcW w:w="629" w:type="dxa"/>
            <w:vMerge w:val="continue"/>
            <w:tcBorders>
              <w:left w:val="single" w:color="auto" w:sz="4" w:space="0"/>
              <w:bottom w:val="single" w:color="auto" w:sz="4" w:space="0"/>
              <w:right w:val="single" w:color="auto" w:sz="4" w:space="0"/>
            </w:tcBorders>
          </w:tcPr>
          <w:p w14:paraId="464A79BC">
            <w:pPr>
              <w:snapToGrid w:val="0"/>
              <w:spacing w:line="360" w:lineRule="auto"/>
              <w:jc w:val="center"/>
              <w:rPr>
                <w:rFonts w:ascii="宋体" w:hAnsi="宋体" w:cs="宋体"/>
                <w:color w:val="000000" w:themeColor="text1"/>
                <w:sz w:val="24"/>
              </w:rPr>
            </w:pPr>
          </w:p>
        </w:tc>
        <w:tc>
          <w:tcPr>
            <w:tcW w:w="2057" w:type="dxa"/>
            <w:vMerge w:val="continue"/>
            <w:tcBorders>
              <w:left w:val="single" w:color="auto" w:sz="4" w:space="0"/>
              <w:bottom w:val="single" w:color="000000" w:sz="8" w:space="0"/>
              <w:right w:val="single" w:color="000000" w:sz="8" w:space="0"/>
            </w:tcBorders>
            <w:vAlign w:val="center"/>
          </w:tcPr>
          <w:p w14:paraId="25DD865A">
            <w:pPr>
              <w:snapToGrid w:val="0"/>
              <w:spacing w:line="360" w:lineRule="auto"/>
              <w:jc w:val="center"/>
              <w:rPr>
                <w:rFonts w:ascii="宋体" w:hAnsi="宋体" w:cs="宋体"/>
                <w:b/>
                <w:color w:val="000000" w:themeColor="text1"/>
                <w:sz w:val="24"/>
              </w:rPr>
            </w:pPr>
          </w:p>
        </w:tc>
        <w:tc>
          <w:tcPr>
            <w:tcW w:w="6675" w:type="dxa"/>
            <w:tcBorders>
              <w:top w:val="single" w:color="auto" w:sz="4" w:space="0"/>
              <w:left w:val="single" w:color="000000" w:sz="2" w:space="0"/>
              <w:bottom w:val="single" w:color="000000" w:sz="8" w:space="0"/>
              <w:right w:val="single" w:color="000000" w:sz="8" w:space="0"/>
            </w:tcBorders>
            <w:vAlign w:val="center"/>
          </w:tcPr>
          <w:p w14:paraId="121C2BC0">
            <w:pPr>
              <w:spacing w:line="360" w:lineRule="auto"/>
              <w:rPr>
                <w:rFonts w:ascii="宋体" w:hAnsi="宋体" w:cs="宋体"/>
                <w:color w:val="000000" w:themeColor="text1"/>
                <w:sz w:val="24"/>
              </w:rPr>
            </w:pPr>
            <w:r>
              <w:rPr>
                <w:rFonts w:hint="eastAsia" w:ascii="宋体" w:hAnsi="宋体" w:cs="宋体"/>
                <w:color w:val="000000" w:themeColor="text1"/>
                <w:sz w:val="24"/>
              </w:rPr>
              <w:t>（2）资信证明文件：根据招标文件第四部分评标标准提供。</w:t>
            </w:r>
          </w:p>
        </w:tc>
      </w:tr>
      <w:tr w14:paraId="108B5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CB26D4C">
            <w:pPr>
              <w:snapToGrid w:val="0"/>
              <w:spacing w:line="360" w:lineRule="auto"/>
              <w:jc w:val="center"/>
              <w:rPr>
                <w:rFonts w:ascii="宋体" w:hAnsi="宋体" w:cs="宋体"/>
                <w:color w:val="000000" w:themeColor="text1"/>
                <w:sz w:val="24"/>
              </w:rPr>
            </w:pPr>
          </w:p>
          <w:p w14:paraId="7EDEA890">
            <w:pPr>
              <w:snapToGrid w:val="0"/>
              <w:spacing w:line="360" w:lineRule="auto"/>
              <w:jc w:val="center"/>
              <w:rPr>
                <w:rFonts w:ascii="宋体" w:hAnsi="宋体" w:cs="宋体"/>
                <w:color w:val="000000" w:themeColor="text1"/>
                <w:sz w:val="24"/>
              </w:rPr>
            </w:pPr>
          </w:p>
          <w:p w14:paraId="501C0C21">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9</w:t>
            </w:r>
          </w:p>
        </w:tc>
        <w:tc>
          <w:tcPr>
            <w:tcW w:w="2057" w:type="dxa"/>
            <w:tcBorders>
              <w:top w:val="single" w:color="000000" w:sz="8" w:space="0"/>
              <w:left w:val="single" w:color="000000" w:sz="2" w:space="0"/>
              <w:bottom w:val="single" w:color="000000" w:sz="8" w:space="0"/>
              <w:right w:val="single" w:color="000000" w:sz="8" w:space="0"/>
            </w:tcBorders>
            <w:vAlign w:val="center"/>
          </w:tcPr>
          <w:p w14:paraId="2722E21F">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节能产品、环境标志产品</w:t>
            </w:r>
          </w:p>
        </w:tc>
        <w:tc>
          <w:tcPr>
            <w:tcW w:w="6675" w:type="dxa"/>
            <w:tcBorders>
              <w:top w:val="single" w:color="000000" w:sz="8" w:space="0"/>
              <w:left w:val="single" w:color="000000" w:sz="2" w:space="0"/>
              <w:bottom w:val="single" w:color="000000" w:sz="8" w:space="0"/>
              <w:right w:val="single" w:color="000000" w:sz="8" w:space="0"/>
            </w:tcBorders>
            <w:vAlign w:val="center"/>
          </w:tcPr>
          <w:p w14:paraId="58EE55EC">
            <w:pPr>
              <w:snapToGrid w:val="0"/>
              <w:spacing w:line="360" w:lineRule="auto"/>
              <w:rPr>
                <w:rFonts w:ascii="宋体" w:hAnsi="宋体" w:cs="宋体"/>
                <w:color w:val="000000" w:themeColor="text1"/>
              </w:rPr>
            </w:pPr>
            <w:r>
              <w:rPr>
                <w:rFonts w:hint="eastAsia" w:ascii="宋体" w:hAnsi="宋体" w:cs="宋体"/>
                <w:color w:val="000000" w:themeColor="text1"/>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36B4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2FDB0A9">
            <w:pPr>
              <w:snapToGrid w:val="0"/>
              <w:spacing w:line="360" w:lineRule="auto"/>
              <w:jc w:val="center"/>
              <w:rPr>
                <w:rFonts w:ascii="宋体" w:hAnsi="宋体" w:cs="宋体"/>
                <w:color w:val="000000" w:themeColor="text1"/>
                <w:sz w:val="24"/>
              </w:rPr>
            </w:pPr>
          </w:p>
          <w:p w14:paraId="1833F393">
            <w:pPr>
              <w:snapToGrid w:val="0"/>
              <w:spacing w:line="360" w:lineRule="auto"/>
              <w:jc w:val="center"/>
              <w:rPr>
                <w:rFonts w:ascii="宋体" w:hAnsi="宋体" w:cs="宋体"/>
                <w:color w:val="000000" w:themeColor="text1"/>
                <w:sz w:val="24"/>
              </w:rPr>
            </w:pPr>
          </w:p>
          <w:p w14:paraId="37CB1D77">
            <w:pPr>
              <w:snapToGrid w:val="0"/>
              <w:spacing w:line="360" w:lineRule="auto"/>
              <w:jc w:val="center"/>
              <w:rPr>
                <w:rFonts w:ascii="宋体" w:hAnsi="宋体" w:cs="宋体"/>
                <w:color w:val="000000" w:themeColor="text1"/>
                <w:sz w:val="24"/>
              </w:rPr>
            </w:pPr>
          </w:p>
          <w:p w14:paraId="7B4383D4">
            <w:pPr>
              <w:snapToGrid w:val="0"/>
              <w:spacing w:line="360" w:lineRule="auto"/>
              <w:jc w:val="center"/>
              <w:rPr>
                <w:rFonts w:ascii="宋体" w:hAnsi="宋体" w:cs="宋体"/>
                <w:color w:val="000000" w:themeColor="text1"/>
                <w:sz w:val="24"/>
              </w:rPr>
            </w:pPr>
          </w:p>
          <w:p w14:paraId="4039F899">
            <w:pPr>
              <w:snapToGrid w:val="0"/>
              <w:spacing w:line="360" w:lineRule="auto"/>
              <w:jc w:val="center"/>
              <w:rPr>
                <w:rFonts w:ascii="宋体" w:hAnsi="宋体" w:cs="宋体"/>
                <w:color w:val="000000" w:themeColor="text1"/>
                <w:sz w:val="24"/>
              </w:rPr>
            </w:pPr>
          </w:p>
          <w:p w14:paraId="21B8423B">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10</w:t>
            </w:r>
          </w:p>
        </w:tc>
        <w:tc>
          <w:tcPr>
            <w:tcW w:w="2057" w:type="dxa"/>
            <w:tcBorders>
              <w:top w:val="single" w:color="000000" w:sz="8" w:space="0"/>
              <w:left w:val="single" w:color="000000" w:sz="2" w:space="0"/>
              <w:bottom w:val="single" w:color="000000" w:sz="8" w:space="0"/>
              <w:right w:val="single" w:color="000000" w:sz="8" w:space="0"/>
            </w:tcBorders>
            <w:vAlign w:val="center"/>
          </w:tcPr>
          <w:p w14:paraId="712B1C47">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675" w:type="dxa"/>
            <w:tcBorders>
              <w:top w:val="single" w:color="000000" w:sz="8" w:space="0"/>
              <w:left w:val="single" w:color="000000" w:sz="2" w:space="0"/>
              <w:bottom w:val="single" w:color="000000" w:sz="8" w:space="0"/>
              <w:right w:val="single" w:color="000000" w:sz="8" w:space="0"/>
            </w:tcBorders>
            <w:vAlign w:val="center"/>
          </w:tcPr>
          <w:p w14:paraId="292F31D2">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Cs/>
                <w:color w:val="auto"/>
                <w:kern w:val="0"/>
                <w:sz w:val="24"/>
                <w:lang w:val="zh-CN"/>
              </w:rPr>
              <w:t>投标文件</w:t>
            </w:r>
            <w:r>
              <w:rPr>
                <w:rFonts w:hint="eastAsia" w:ascii="宋体" w:hAnsi="宋体" w:cs="宋体"/>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投标文件中价格全部采用人民币报价。招标文件未列明，而投标人认为必需的费用也需列入报价。提醒：验收时检测费用由采购人承担，不包含在投标总价中。</w:t>
            </w:r>
          </w:p>
          <w:p w14:paraId="7F11115F">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投标报价出现下列情形的，投标无效：</w:t>
            </w:r>
          </w:p>
          <w:p w14:paraId="3582033A">
            <w:pPr>
              <w:snapToGrid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投标文件出现不是唯一的、有选择性投标报价的；</w:t>
            </w:r>
          </w:p>
          <w:p w14:paraId="2D0D4E8F">
            <w:pPr>
              <w:snapToGrid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投标报价超过招标文件中规定的预算金额或者最高限价的；</w:t>
            </w:r>
          </w:p>
          <w:p w14:paraId="03B9817C">
            <w:pPr>
              <w:spacing w:line="360" w:lineRule="auto"/>
              <w:ind w:firstLine="240" w:firstLineChars="100"/>
              <w:rPr>
                <w:rFonts w:ascii="宋体" w:hAnsi="宋体" w:cs="宋体"/>
                <w:color w:val="auto"/>
                <w:sz w:val="24"/>
              </w:rPr>
            </w:pPr>
            <w:r>
              <w:rPr>
                <w:rFonts w:hint="eastAsia" w:ascii="宋体" w:hAnsi="宋体" w:cs="宋体"/>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rPr>
              <w:t>;</w:t>
            </w:r>
          </w:p>
          <w:p w14:paraId="2A7274FE">
            <w:pPr>
              <w:spacing w:line="360" w:lineRule="auto"/>
              <w:ind w:firstLine="240" w:firstLineChars="100"/>
              <w:rPr>
                <w:rFonts w:ascii="宋体" w:hAnsi="宋体" w:cs="宋体"/>
                <w:color w:val="auto"/>
                <w:sz w:val="24"/>
              </w:rPr>
            </w:pPr>
            <w:r>
              <w:rPr>
                <w:rFonts w:hint="eastAsia" w:ascii="宋体" w:hAnsi="宋体" w:cs="宋体"/>
                <w:color w:val="auto"/>
                <w:kern w:val="0"/>
                <w:sz w:val="24"/>
              </w:rPr>
              <w:t>投标人对根据修正原则修正后的报价不确认的</w:t>
            </w:r>
            <w:r>
              <w:rPr>
                <w:rFonts w:hint="eastAsia" w:ascii="宋体" w:hAnsi="宋体" w:cs="宋体"/>
                <w:color w:val="auto"/>
                <w:sz w:val="24"/>
              </w:rPr>
              <w:t>。</w:t>
            </w:r>
          </w:p>
        </w:tc>
      </w:tr>
      <w:tr w14:paraId="2D75A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4C176B1F">
            <w:pPr>
              <w:snapToGrid w:val="0"/>
              <w:spacing w:line="360" w:lineRule="auto"/>
              <w:jc w:val="center"/>
              <w:rPr>
                <w:rFonts w:ascii="宋体" w:hAnsi="宋体" w:cs="宋体"/>
                <w:color w:val="000000" w:themeColor="text1"/>
                <w:sz w:val="24"/>
              </w:rPr>
            </w:pPr>
          </w:p>
          <w:p w14:paraId="53904E6B">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11</w:t>
            </w:r>
          </w:p>
        </w:tc>
        <w:tc>
          <w:tcPr>
            <w:tcW w:w="2057" w:type="dxa"/>
            <w:tcBorders>
              <w:top w:val="single" w:color="000000" w:sz="8" w:space="0"/>
              <w:left w:val="single" w:color="000000" w:sz="2" w:space="0"/>
              <w:right w:val="single" w:color="000000" w:sz="8" w:space="0"/>
            </w:tcBorders>
            <w:vAlign w:val="center"/>
          </w:tcPr>
          <w:p w14:paraId="7DFFDD8C">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中小企业信用融资</w:t>
            </w:r>
          </w:p>
        </w:tc>
        <w:tc>
          <w:tcPr>
            <w:tcW w:w="6675" w:type="dxa"/>
            <w:tcBorders>
              <w:top w:val="single" w:color="000000" w:sz="8" w:space="0"/>
              <w:left w:val="single" w:color="000000" w:sz="2" w:space="0"/>
              <w:right w:val="single" w:color="000000" w:sz="8" w:space="0"/>
            </w:tcBorders>
            <w:vAlign w:val="center"/>
          </w:tcPr>
          <w:p w14:paraId="3C2E7808">
            <w:pPr>
              <w:spacing w:line="360" w:lineRule="auto"/>
              <w:ind w:firstLine="480" w:firstLineChars="200"/>
              <w:rPr>
                <w:rFonts w:ascii="宋体" w:hAnsi="宋体" w:cs="宋体"/>
                <w:snapToGrid w:val="0"/>
                <w:color w:val="000000" w:themeColor="text1"/>
                <w:kern w:val="28"/>
                <w:sz w:val="24"/>
              </w:rPr>
            </w:pPr>
            <w:r>
              <w:rPr>
                <w:rFonts w:hint="eastAsia" w:ascii="宋体" w:hAnsi="宋体" w:cs="宋体"/>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1898E1D">
            <w:pPr>
              <w:spacing w:line="360" w:lineRule="auto"/>
              <w:ind w:firstLine="480" w:firstLineChars="200"/>
              <w:rPr>
                <w:rFonts w:ascii="宋体" w:hAnsi="宋体" w:cs="宋体"/>
                <w:color w:val="000000" w:themeColor="text1"/>
                <w:sz w:val="24"/>
              </w:rPr>
            </w:pPr>
            <w:r>
              <w:rPr>
                <w:rFonts w:hint="eastAsia" w:ascii="宋体" w:hAnsi="宋体" w:cs="宋体"/>
                <w:snapToGrid w:val="0"/>
                <w:color w:val="000000" w:themeColor="text1"/>
                <w:kern w:val="28"/>
                <w:sz w:val="24"/>
              </w:rPr>
              <w:t>供应商中标后也可在“广西政府采购云”平台申请政采贷：操作路径：登录广西政府采购云平台-金融服务中心-【融资服务】，可在热门申请中选择产品直接申请。</w:t>
            </w:r>
          </w:p>
        </w:tc>
      </w:tr>
      <w:tr w14:paraId="10308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6EE8506E">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12</w:t>
            </w:r>
          </w:p>
        </w:tc>
        <w:tc>
          <w:tcPr>
            <w:tcW w:w="2057" w:type="dxa"/>
            <w:tcBorders>
              <w:top w:val="single" w:color="000000" w:sz="8" w:space="0"/>
              <w:left w:val="single" w:color="000000" w:sz="2" w:space="0"/>
              <w:bottom w:val="single" w:color="000000" w:sz="8" w:space="0"/>
              <w:right w:val="single" w:color="000000" w:sz="8" w:space="0"/>
            </w:tcBorders>
            <w:vAlign w:val="center"/>
          </w:tcPr>
          <w:p w14:paraId="3485D2C1">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 xml:space="preserve">备份投标文件送达地点和签收人员 </w:t>
            </w:r>
          </w:p>
        </w:tc>
        <w:tc>
          <w:tcPr>
            <w:tcW w:w="6675" w:type="dxa"/>
            <w:tcBorders>
              <w:top w:val="single" w:color="000000" w:sz="8" w:space="0"/>
              <w:left w:val="single" w:color="000000" w:sz="2" w:space="0"/>
              <w:bottom w:val="single" w:color="000000" w:sz="8" w:space="0"/>
              <w:right w:val="single" w:color="000000" w:sz="8" w:space="0"/>
            </w:tcBorders>
            <w:vAlign w:val="center"/>
          </w:tcPr>
          <w:p w14:paraId="4EBC5CD7">
            <w:pPr>
              <w:spacing w:line="360" w:lineRule="auto"/>
              <w:rPr>
                <w:rFonts w:ascii="宋体" w:hAnsi="宋体" w:cs="宋体"/>
                <w:color w:val="000000" w:themeColor="text1"/>
                <w:sz w:val="24"/>
              </w:rPr>
            </w:pPr>
            <w:sdt>
              <w:sdtPr>
                <w:rPr>
                  <w:rFonts w:hint="eastAsia" w:ascii="宋体" w:hAnsi="宋体" w:cs="宋体"/>
                  <w:color w:val="000000" w:themeColor="text1"/>
                  <w:kern w:val="0"/>
                  <w:sz w:val="24"/>
                </w:rPr>
                <w:id w:val="1297724926"/>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A</w:t>
            </w:r>
            <w:r>
              <w:rPr>
                <w:rFonts w:hint="eastAsia" w:ascii="宋体" w:hAnsi="宋体" w:cs="宋体"/>
                <w:color w:val="000000" w:themeColor="text1"/>
                <w:sz w:val="24"/>
              </w:rPr>
              <w:t>不接受。</w:t>
            </w:r>
          </w:p>
          <w:p w14:paraId="3E3F88A7">
            <w:pPr>
              <w:pStyle w:val="32"/>
              <w:spacing w:line="360" w:lineRule="auto"/>
              <w:rPr>
                <w:rFonts w:hAnsi="宋体" w:cs="宋体"/>
                <w:color w:val="000000" w:themeColor="text1"/>
                <w:kern w:val="28"/>
                <w:sz w:val="24"/>
              </w:rPr>
            </w:pPr>
            <w:sdt>
              <w:sdtPr>
                <w:rPr>
                  <w:rFonts w:hint="eastAsia" w:hAnsi="宋体" w:cs="宋体"/>
                  <w:color w:val="000000" w:themeColor="text1"/>
                  <w:kern w:val="0"/>
                  <w:sz w:val="24"/>
                </w:rPr>
                <w:id w:val="1206604863"/>
              </w:sdtPr>
              <w:sdtEndPr>
                <w:rPr>
                  <w:rFonts w:hint="eastAsia" w:hAnsi="宋体" w:cs="宋体"/>
                  <w:color w:val="000000" w:themeColor="text1"/>
                  <w:kern w:val="0"/>
                  <w:sz w:val="24"/>
                </w:rPr>
              </w:sdtEndPr>
              <w:sdtContent>
                <w:r>
                  <w:rPr>
                    <w:rFonts w:hint="eastAsia" w:ascii="MS Mincho" w:hAnsi="MS Mincho" w:eastAsia="MS Mincho" w:cs="MS Mincho"/>
                    <w:color w:val="000000" w:themeColor="text1"/>
                    <w:kern w:val="0"/>
                    <w:sz w:val="24"/>
                  </w:rPr>
                  <w:t>☐</w:t>
                </w:r>
              </w:sdtContent>
            </w:sdt>
            <w:r>
              <w:rPr>
                <w:rFonts w:hint="eastAsia" w:hAnsi="宋体" w:cs="宋体"/>
                <w:color w:val="000000" w:themeColor="text1"/>
                <w:kern w:val="0"/>
                <w:sz w:val="24"/>
              </w:rPr>
              <w:t>B</w:t>
            </w:r>
            <w:r>
              <w:rPr>
                <w:rFonts w:hint="eastAsia" w:hAnsi="宋体" w:cs="宋体"/>
                <w:color w:val="000000" w:themeColor="text1"/>
                <w:sz w:val="24"/>
              </w:rPr>
              <w:t>接受</w:t>
            </w:r>
            <w:r>
              <w:rPr>
                <w:rFonts w:hint="eastAsia" w:hAnsi="宋体" w:cs="宋体"/>
                <w:color w:val="000000" w:themeColor="text1"/>
                <w:kern w:val="0"/>
                <w:sz w:val="24"/>
              </w:rPr>
              <w:t>：</w:t>
            </w:r>
            <w:r>
              <w:rPr>
                <w:rFonts w:hint="eastAsia" w:hAnsi="宋体" w:cs="宋体"/>
                <w:color w:val="000000" w:themeColor="text1"/>
                <w:kern w:val="28"/>
                <w:sz w:val="24"/>
              </w:rPr>
              <w:t>备份投标文件送达地点：；备份投标文件签收人员联系电话：</w:t>
            </w:r>
            <w:r>
              <w:rPr>
                <w:rFonts w:hint="eastAsia" w:hAnsi="宋体" w:cs="宋体"/>
                <w:color w:val="000000" w:themeColor="text1"/>
                <w:sz w:val="24"/>
              </w:rPr>
              <w:t>。</w:t>
            </w:r>
            <w:r>
              <w:rPr>
                <w:rFonts w:hint="eastAsia" w:hAnsi="宋体" w:cs="宋体"/>
                <w:b/>
                <w:color w:val="000000" w:themeColor="text1"/>
                <w:sz w:val="24"/>
              </w:rPr>
              <w:t>采购人、采购代理机构不强制或变相强制投标人提交备份投标文件。</w:t>
            </w:r>
          </w:p>
        </w:tc>
      </w:tr>
      <w:tr w14:paraId="16354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79BA0E9F">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13</w:t>
            </w:r>
          </w:p>
        </w:tc>
        <w:tc>
          <w:tcPr>
            <w:tcW w:w="2057" w:type="dxa"/>
            <w:vMerge w:val="restart"/>
            <w:tcBorders>
              <w:top w:val="single" w:color="000000" w:sz="8" w:space="0"/>
              <w:left w:val="single" w:color="000000" w:sz="2" w:space="0"/>
              <w:right w:val="single" w:color="000000" w:sz="8" w:space="0"/>
            </w:tcBorders>
            <w:vAlign w:val="center"/>
          </w:tcPr>
          <w:p w14:paraId="204CF751">
            <w:pPr>
              <w:snapToGrid w:val="0"/>
              <w:spacing w:line="360" w:lineRule="auto"/>
              <w:jc w:val="center"/>
              <w:rPr>
                <w:rFonts w:ascii="宋体" w:hAnsi="宋体" w:cs="宋体"/>
                <w:b/>
                <w:color w:val="000000" w:themeColor="text1"/>
                <w:sz w:val="24"/>
              </w:rPr>
            </w:pPr>
            <w:r>
              <w:rPr>
                <w:rFonts w:hint="eastAsia" w:cs="仿宋_GB2312" w:asciiTheme="minorEastAsia" w:hAnsiTheme="minorEastAsia" w:eastAsiaTheme="minorEastAsia"/>
                <w:b/>
                <w:color w:val="000000" w:themeColor="text1"/>
                <w:sz w:val="24"/>
              </w:rPr>
              <w:t>特别说明</w:t>
            </w:r>
          </w:p>
        </w:tc>
        <w:tc>
          <w:tcPr>
            <w:tcW w:w="6675" w:type="dxa"/>
            <w:tcBorders>
              <w:top w:val="single" w:color="000000" w:sz="8" w:space="0"/>
              <w:left w:val="single" w:color="000000" w:sz="2" w:space="0"/>
              <w:bottom w:val="single" w:color="000000" w:sz="8" w:space="0"/>
              <w:right w:val="single" w:color="000000" w:sz="8" w:space="0"/>
            </w:tcBorders>
            <w:vAlign w:val="center"/>
          </w:tcPr>
          <w:p w14:paraId="3DC4496E">
            <w:pPr>
              <w:spacing w:line="360" w:lineRule="auto"/>
              <w:rPr>
                <w:rFonts w:ascii="宋体" w:hAnsi="宋体" w:cs="宋体"/>
                <w:snapToGrid w:val="0"/>
                <w:color w:val="000000" w:themeColor="text1"/>
                <w:kern w:val="28"/>
                <w:sz w:val="24"/>
              </w:rPr>
            </w:pPr>
            <w:r>
              <w:rPr>
                <w:rFonts w:hint="eastAsia" w:ascii="宋体" w:hAnsi="宋体" w:cs="宋体"/>
                <w:snapToGrid w:val="0"/>
                <w:color w:val="000000" w:themeColor="text1"/>
                <w:kern w:val="28"/>
                <w:sz w:val="24"/>
              </w:rPr>
              <w:t>联合体投标的，联合体各方分别提供与联合体协议中规定的分工内容相应的业绩证明材料，业绩数量以提供材料较少的一方为准。</w:t>
            </w:r>
          </w:p>
        </w:tc>
      </w:tr>
      <w:tr w14:paraId="303EA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28F9DBD6">
            <w:pPr>
              <w:snapToGrid w:val="0"/>
              <w:spacing w:line="360" w:lineRule="auto"/>
              <w:jc w:val="center"/>
              <w:rPr>
                <w:rFonts w:ascii="宋体" w:hAnsi="宋体" w:cs="宋体"/>
                <w:color w:val="000000" w:themeColor="text1"/>
                <w:sz w:val="24"/>
              </w:rPr>
            </w:pPr>
          </w:p>
        </w:tc>
        <w:tc>
          <w:tcPr>
            <w:tcW w:w="2057" w:type="dxa"/>
            <w:vMerge w:val="continue"/>
            <w:tcBorders>
              <w:left w:val="single" w:color="000000" w:sz="2" w:space="0"/>
              <w:bottom w:val="single" w:color="auto" w:sz="4" w:space="0"/>
              <w:right w:val="single" w:color="000000" w:sz="8" w:space="0"/>
            </w:tcBorders>
            <w:vAlign w:val="center"/>
          </w:tcPr>
          <w:p w14:paraId="6DD8CD0D">
            <w:pPr>
              <w:snapToGrid w:val="0"/>
              <w:spacing w:line="360" w:lineRule="auto"/>
              <w:jc w:val="center"/>
              <w:rPr>
                <w:rFonts w:ascii="宋体" w:hAnsi="宋体" w:cs="宋体"/>
                <w:b/>
                <w:color w:val="000000" w:themeColor="text1"/>
                <w:sz w:val="24"/>
              </w:rPr>
            </w:pPr>
          </w:p>
        </w:tc>
        <w:tc>
          <w:tcPr>
            <w:tcW w:w="6675" w:type="dxa"/>
            <w:tcBorders>
              <w:top w:val="single" w:color="000000" w:sz="8" w:space="0"/>
              <w:left w:val="single" w:color="000000" w:sz="2" w:space="0"/>
              <w:bottom w:val="single" w:color="auto" w:sz="4" w:space="0"/>
              <w:right w:val="single" w:color="000000" w:sz="8" w:space="0"/>
            </w:tcBorders>
            <w:vAlign w:val="center"/>
          </w:tcPr>
          <w:p w14:paraId="47BF5552">
            <w:pPr>
              <w:spacing w:line="360" w:lineRule="auto"/>
              <w:rPr>
                <w:rFonts w:ascii="宋体" w:hAnsi="宋体" w:cs="宋体"/>
                <w:snapToGrid w:val="0"/>
                <w:color w:val="000000" w:themeColor="text1"/>
                <w:kern w:val="28"/>
                <w:sz w:val="24"/>
              </w:rPr>
            </w:pPr>
            <w:sdt>
              <w:sdtPr>
                <w:rPr>
                  <w:rFonts w:hint="eastAsia" w:cs="Arial" w:asciiTheme="minorEastAsia" w:hAnsiTheme="minorEastAsia" w:eastAsiaTheme="minorEastAsia"/>
                  <w:color w:val="000000" w:themeColor="text1"/>
                  <w:kern w:val="0"/>
                  <w:sz w:val="24"/>
                </w:rPr>
                <w:id w:val="-1816336663"/>
              </w:sdtPr>
              <w:sdtEndPr>
                <w:rPr>
                  <w:rFonts w:hint="eastAsia" w:cs="Arial" w:asciiTheme="minorEastAsia" w:hAnsiTheme="minorEastAsia" w:eastAsiaTheme="minorEastAsia"/>
                  <w:color w:val="000000" w:themeColor="text1"/>
                  <w:kern w:val="0"/>
                  <w:sz w:val="24"/>
                </w:rPr>
              </w:sdtEndPr>
              <w:sdtContent>
                <w:r>
                  <w:rPr>
                    <w:rFonts w:hint="eastAsia" w:ascii="MS Mincho" w:hAnsi="MS Mincho" w:eastAsia="MS Mincho" w:cs="MS Mincho"/>
                    <w:color w:val="000000" w:themeColor="text1"/>
                    <w:kern w:val="0"/>
                    <w:sz w:val="24"/>
                  </w:rPr>
                  <w:t>☐</w:t>
                </w:r>
              </w:sdtContent>
            </w:sdt>
            <w:r>
              <w:rPr>
                <w:rFonts w:hint="eastAsia" w:ascii="宋体" w:hAnsi="宋体" w:cs="宋体"/>
                <w:snapToGrid w:val="0"/>
                <w:color w:val="000000" w:themeColor="text1"/>
                <w:kern w:val="28"/>
                <w:sz w:val="24"/>
              </w:rPr>
              <w:t>联合体投标的，联合体各方均需按招标文件第四部分评标标准要求提供资信证明文件，否则视为不符合相关要求。</w:t>
            </w:r>
          </w:p>
          <w:p w14:paraId="37D6FB48">
            <w:pPr>
              <w:spacing w:line="360" w:lineRule="auto"/>
              <w:rPr>
                <w:rFonts w:ascii="宋体" w:hAnsi="宋体" w:cs="宋体"/>
                <w:snapToGrid w:val="0"/>
                <w:color w:val="000000" w:themeColor="text1"/>
                <w:kern w:val="28"/>
                <w:sz w:val="24"/>
              </w:rPr>
            </w:pPr>
            <w:sdt>
              <w:sdtPr>
                <w:rPr>
                  <w:rFonts w:hint="eastAsia" w:cs="Arial" w:asciiTheme="minorEastAsia" w:hAnsiTheme="minorEastAsia" w:eastAsiaTheme="minorEastAsia"/>
                  <w:color w:val="000000" w:themeColor="text1"/>
                  <w:kern w:val="0"/>
                  <w:sz w:val="24"/>
                </w:rPr>
                <w:id w:val="-232311894"/>
              </w:sdtPr>
              <w:sdtEndPr>
                <w:rPr>
                  <w:rFonts w:hint="eastAsia" w:cs="Arial" w:asciiTheme="minorEastAsia" w:hAnsiTheme="minorEastAsia" w:eastAsiaTheme="minorEastAsia"/>
                  <w:color w:val="000000" w:themeColor="text1"/>
                  <w:kern w:val="0"/>
                  <w:sz w:val="24"/>
                </w:rPr>
              </w:sdtEndPr>
              <w:sdtContent>
                <w:r>
                  <w:rPr>
                    <w:rFonts w:hint="eastAsia" w:ascii="MS Gothic" w:hAnsi="MS Gothic" w:eastAsia="MS Gothic" w:cs="Arial"/>
                    <w:color w:val="000000" w:themeColor="text1"/>
                    <w:kern w:val="0"/>
                    <w:sz w:val="24"/>
                  </w:rPr>
                  <w:t>☐</w:t>
                </w:r>
              </w:sdtContent>
            </w:sdt>
            <w:r>
              <w:rPr>
                <w:rFonts w:hint="eastAsia" w:ascii="宋体" w:hAnsi="宋体" w:cs="宋体"/>
                <w:snapToGrid w:val="0"/>
                <w:color w:val="000000" w:themeColor="text1"/>
                <w:kern w:val="28"/>
                <w:sz w:val="24"/>
              </w:rPr>
              <w:t>联合体投标的，联合体中有一方或者联合体成员根据分工按招标文件第四部分评标标准要求提供资信证明文件的，视为符合了相关要求。</w:t>
            </w:r>
          </w:p>
        </w:tc>
      </w:tr>
      <w:tr w14:paraId="4DA1D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DD0B8E4">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14</w:t>
            </w:r>
          </w:p>
        </w:tc>
        <w:tc>
          <w:tcPr>
            <w:tcW w:w="2057" w:type="dxa"/>
            <w:tcBorders>
              <w:top w:val="single" w:color="auto" w:sz="4" w:space="0"/>
              <w:left w:val="single" w:color="auto" w:sz="4" w:space="0"/>
              <w:bottom w:val="single" w:color="auto" w:sz="4" w:space="0"/>
              <w:right w:val="single" w:color="auto" w:sz="4" w:space="0"/>
            </w:tcBorders>
            <w:vAlign w:val="center"/>
          </w:tcPr>
          <w:p w14:paraId="717A8FCD">
            <w:pPr>
              <w:snapToGrid w:val="0"/>
              <w:spacing w:line="360" w:lineRule="auto"/>
              <w:jc w:val="center"/>
              <w:rPr>
                <w:rFonts w:ascii="宋体" w:hAnsi="宋体" w:cs="宋体"/>
                <w:b/>
                <w:color w:val="000000" w:themeColor="text1"/>
                <w:sz w:val="24"/>
              </w:rPr>
            </w:pPr>
            <w:r>
              <w:rPr>
                <w:rFonts w:hint="eastAsia" w:ascii="宋体" w:hAnsi="宋体" w:cs="宋体"/>
                <w:b/>
                <w:color w:val="000000" w:themeColor="text1"/>
                <w:sz w:val="24"/>
              </w:rPr>
              <w:t>解释权</w:t>
            </w:r>
          </w:p>
        </w:tc>
        <w:tc>
          <w:tcPr>
            <w:tcW w:w="6675" w:type="dxa"/>
            <w:tcBorders>
              <w:top w:val="single" w:color="auto" w:sz="4" w:space="0"/>
              <w:left w:val="single" w:color="auto" w:sz="4" w:space="0"/>
              <w:bottom w:val="single" w:color="auto" w:sz="4" w:space="0"/>
              <w:right w:val="single" w:color="auto" w:sz="4" w:space="0"/>
            </w:tcBorders>
            <w:vAlign w:val="center"/>
          </w:tcPr>
          <w:p w14:paraId="581A941D">
            <w:pPr>
              <w:spacing w:line="360" w:lineRule="auto"/>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本招标文件解释权属采购人及代理机构。</w:t>
            </w:r>
          </w:p>
        </w:tc>
      </w:tr>
    </w:tbl>
    <w:p w14:paraId="107FA062">
      <w:pPr>
        <w:snapToGrid w:val="0"/>
        <w:spacing w:line="360" w:lineRule="auto"/>
        <w:jc w:val="center"/>
        <w:rPr>
          <w:rFonts w:ascii="宋体" w:hAnsi="宋体" w:cs="宋体"/>
          <w:b/>
          <w:color w:val="000000" w:themeColor="text1"/>
          <w:sz w:val="32"/>
          <w:szCs w:val="20"/>
        </w:rPr>
      </w:pPr>
    </w:p>
    <w:bookmarkEnd w:id="10"/>
    <w:p w14:paraId="498DAC00">
      <w:pPr>
        <w:adjustRightInd/>
        <w:spacing w:line="360" w:lineRule="auto"/>
        <w:ind w:firstLine="3845" w:firstLineChars="1197"/>
        <w:outlineLvl w:val="1"/>
        <w:rPr>
          <w:rFonts w:ascii="宋体" w:hAnsi="宋体" w:cs="宋体"/>
          <w:b/>
          <w:color w:val="000000" w:themeColor="text1"/>
          <w:sz w:val="32"/>
          <w:szCs w:val="20"/>
        </w:rPr>
      </w:pPr>
      <w:bookmarkStart w:id="12" w:name="_Toc164416483"/>
      <w:bookmarkStart w:id="13" w:name="第三部分"/>
      <w:r>
        <w:rPr>
          <w:rFonts w:hint="eastAsia" w:ascii="宋体" w:hAnsi="宋体" w:cs="宋体"/>
          <w:b/>
          <w:color w:val="000000" w:themeColor="text1"/>
          <w:sz w:val="32"/>
          <w:szCs w:val="20"/>
        </w:rPr>
        <w:t>一、总则</w:t>
      </w:r>
    </w:p>
    <w:p w14:paraId="53A616B0">
      <w:pPr>
        <w:snapToGrid w:val="0"/>
        <w:spacing w:line="360" w:lineRule="auto"/>
        <w:ind w:firstLine="361" w:firstLineChars="150"/>
        <w:jc w:val="left"/>
        <w:rPr>
          <w:rFonts w:ascii="宋体" w:hAnsi="宋体" w:cs="宋体"/>
          <w:b/>
          <w:color w:val="000000" w:themeColor="text1"/>
          <w:sz w:val="24"/>
        </w:rPr>
      </w:pPr>
      <w:r>
        <w:rPr>
          <w:rFonts w:hint="eastAsia" w:ascii="宋体" w:hAnsi="宋体" w:cs="宋体"/>
          <w:b/>
          <w:color w:val="000000" w:themeColor="text1"/>
          <w:sz w:val="24"/>
        </w:rPr>
        <w:t>1. 适用范围</w:t>
      </w:r>
    </w:p>
    <w:p w14:paraId="591CB320">
      <w:pPr>
        <w:snapToGrid w:val="0"/>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本招标文件适用于该项目的招标、投标、开标、资格审查及信用信息查询、评标、定标、合同、验收等行为（法律、法规另有规定的，从其规定）。</w:t>
      </w:r>
    </w:p>
    <w:p w14:paraId="6C5351A2">
      <w:pPr>
        <w:adjustRightInd/>
        <w:spacing w:line="360" w:lineRule="auto"/>
        <w:rPr>
          <w:rFonts w:ascii="宋体" w:hAnsi="宋体" w:cs="宋体"/>
          <w:b/>
          <w:color w:val="000000" w:themeColor="text1"/>
          <w:sz w:val="24"/>
        </w:rPr>
      </w:pPr>
      <w:r>
        <w:rPr>
          <w:rFonts w:hint="eastAsia" w:ascii="宋体" w:hAnsi="宋体" w:cs="宋体"/>
          <w:b/>
          <w:color w:val="000000" w:themeColor="text1"/>
          <w:sz w:val="24"/>
        </w:rPr>
        <w:t xml:space="preserve">   2.定义</w:t>
      </w:r>
    </w:p>
    <w:p w14:paraId="6225461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 “采购人”系指招标公告中载明的本项目的采购人。</w:t>
      </w:r>
    </w:p>
    <w:p w14:paraId="22139DA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2.2 “采购代理机构”系指招标公告中载明的本项目的采购代理机构。</w:t>
      </w:r>
    </w:p>
    <w:p w14:paraId="5E2D32F5">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2.3 “投标人”系指是指响应招标、参加投标竞争的法人、其他组织或者自然人。</w:t>
      </w:r>
    </w:p>
    <w:p w14:paraId="5CB94687">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2.4 “法定代表人（负责人）”系指法人企业的法定负责人，或其他组织为法律、行政法规规定代表单位行使职权的主要负责人，或自然人本人。</w:t>
      </w:r>
    </w:p>
    <w:p w14:paraId="5A68D941">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B8B5EFE">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78B5A324">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2.6“电子交易平台”系指本项目政府采购活动所依托的广西政府采购云平台（https://www.gcy.zfcg.gxzf.gov.cn/）。</w:t>
      </w:r>
    </w:p>
    <w:p w14:paraId="08324785">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2.7 “▲” 系指实质性要求条款，“</w:t>
      </w:r>
      <w:r>
        <w:rPr>
          <w:rFonts w:ascii="Wingdings" w:hAnsi="Wingdings" w:cs="宋体"/>
          <w:color w:val="000000" w:themeColor="text1"/>
          <w:kern w:val="0"/>
          <w:sz w:val="24"/>
        </w:rPr>
        <w:sym w:font="Wingdings" w:char="F0FE"/>
      </w:r>
      <w:r>
        <w:rPr>
          <w:rFonts w:ascii="宋体" w:hAnsi="宋体" w:cs="宋体"/>
          <w:color w:val="000000" w:themeColor="text1"/>
          <w:kern w:val="0"/>
          <w:sz w:val="24"/>
        </w:rPr>
        <w:t>”</w:t>
      </w:r>
      <w:r>
        <w:rPr>
          <w:rFonts w:hint="eastAsia" w:ascii="宋体" w:hAnsi="宋体" w:cs="宋体"/>
          <w:color w:val="000000" w:themeColor="text1"/>
          <w:sz w:val="24"/>
        </w:rPr>
        <w:t>系指适用本项目的要求，“</w:t>
      </w:r>
      <w:r>
        <w:rPr>
          <w:rFonts w:hint="eastAsia" w:ascii="宋体" w:hAnsi="宋体" w:cs="宋体"/>
          <w:color w:val="000000" w:themeColor="text1"/>
          <w:kern w:val="0"/>
          <w:sz w:val="24"/>
        </w:rPr>
        <w:t>□</w:t>
      </w:r>
      <w:r>
        <w:rPr>
          <w:rFonts w:ascii="宋体" w:hAnsi="宋体" w:cs="宋体"/>
          <w:color w:val="000000" w:themeColor="text1"/>
          <w:kern w:val="0"/>
          <w:sz w:val="24"/>
        </w:rPr>
        <w:t>”</w:t>
      </w:r>
      <w:r>
        <w:rPr>
          <w:rFonts w:hint="eastAsia" w:ascii="宋体" w:hAnsi="宋体" w:cs="宋体"/>
          <w:color w:val="000000" w:themeColor="text1"/>
          <w:sz w:val="24"/>
        </w:rPr>
        <w:t>系指不适用本项目的要求。</w:t>
      </w:r>
    </w:p>
    <w:p w14:paraId="03BBF410">
      <w:pPr>
        <w:spacing w:line="360" w:lineRule="auto"/>
        <w:ind w:firstLine="241" w:firstLineChars="100"/>
        <w:rPr>
          <w:rFonts w:ascii="宋体" w:hAnsi="宋体" w:cs="宋体"/>
          <w:b/>
          <w:color w:val="000000" w:themeColor="text1"/>
          <w:sz w:val="24"/>
        </w:rPr>
      </w:pPr>
      <w:r>
        <w:rPr>
          <w:rFonts w:hint="eastAsia" w:ascii="宋体" w:hAnsi="宋体" w:cs="宋体"/>
          <w:b/>
          <w:color w:val="000000" w:themeColor="text1"/>
          <w:sz w:val="24"/>
        </w:rPr>
        <w:t>3.采购项目需要落实的政府采购政策</w:t>
      </w:r>
    </w:p>
    <w:p w14:paraId="1EC37754">
      <w:pPr>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rPr>
        <w:t>优先采购向我国企业转让技术、与我国企业签订消化吸收再创新方案的供应商的进口产品</w:t>
      </w:r>
      <w:r>
        <w:rPr>
          <w:rFonts w:hint="eastAsia" w:ascii="宋体" w:hAnsi="宋体" w:cs="宋体"/>
          <w:color w:val="000000" w:themeColor="text1"/>
          <w:sz w:val="24"/>
        </w:rPr>
        <w:t>。</w:t>
      </w:r>
    </w:p>
    <w:p w14:paraId="0933CC42">
      <w:pPr>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3.2 支持绿色发展</w:t>
      </w:r>
    </w:p>
    <w:p w14:paraId="671F8DF0">
      <w:pPr>
        <w:spacing w:line="360" w:lineRule="auto"/>
        <w:ind w:firstLine="480" w:firstLineChars="200"/>
        <w:rPr>
          <w:rFonts w:ascii="宋体" w:hAnsi="宋体" w:cs="宋体"/>
          <w:b/>
          <w:color w:val="000000" w:themeColor="text1"/>
          <w:sz w:val="24"/>
        </w:rPr>
      </w:pPr>
      <w:r>
        <w:rPr>
          <w:rFonts w:hint="eastAsia" w:ascii="宋体" w:hAnsi="宋体" w:cs="宋体"/>
          <w:color w:val="000000" w:themeColor="text1"/>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rPr>
        <w:t>▲采购人拟采购的产品属于政府强制采购的节能产品品目清单范围的，投标人相应的投标产品未获得国家确定的认证机构出具的、处于有效期之内的节能产品认证证书的，投标无效。</w:t>
      </w:r>
    </w:p>
    <w:p w14:paraId="7D8B9EC1">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3.2.2 修缮、装修类项目采购建材的，采购人应将绿色建筑和绿色建材性能、指标等作为实质性条件纳入招标文件和合同。</w:t>
      </w:r>
    </w:p>
    <w:p w14:paraId="27A13884">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2D96011">
      <w:pPr>
        <w:spacing w:line="360" w:lineRule="auto"/>
        <w:ind w:firstLine="480" w:firstLineChars="200"/>
        <w:rPr>
          <w:rFonts w:ascii="宋体" w:hAnsi="宋体" w:cs="宋体"/>
          <w:color w:val="000000" w:themeColor="text1"/>
          <w:sz w:val="24"/>
        </w:rPr>
      </w:pPr>
      <w:r>
        <w:rPr>
          <w:rFonts w:ascii="宋体" w:hAnsi="宋体" w:cs="宋体"/>
          <w:color w:val="000000" w:themeColor="text1"/>
          <w:sz w:val="24"/>
        </w:rPr>
        <w:t xml:space="preserve">3.2.4 </w:t>
      </w:r>
      <w:r>
        <w:rPr>
          <w:rFonts w:hint="eastAsia" w:ascii="宋体" w:hAnsi="宋体" w:cs="宋体"/>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C9B5DE6">
      <w:pPr>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3.3支持中小企业发展</w:t>
      </w:r>
    </w:p>
    <w:p w14:paraId="7EF66779">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57A19E5">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符合中小企业划分标准的个体工商户，在政府采购活动中视同中小企业。</w:t>
      </w:r>
    </w:p>
    <w:p w14:paraId="672E6491">
      <w:pPr>
        <w:widowControl/>
        <w:spacing w:line="360" w:lineRule="auto"/>
        <w:ind w:firstLine="480" w:firstLineChars="200"/>
        <w:jc w:val="left"/>
        <w:rPr>
          <w:rFonts w:ascii="宋体" w:hAnsi="宋体" w:cs="宋体"/>
          <w:color w:val="000000" w:themeColor="text1"/>
          <w:kern w:val="0"/>
          <w:sz w:val="24"/>
        </w:rPr>
      </w:pPr>
      <w:r>
        <w:rPr>
          <w:rFonts w:ascii="宋体" w:hAnsi="宋体" w:cs="宋体"/>
          <w:bCs/>
          <w:color w:val="000000" w:themeColor="text1"/>
          <w:sz w:val="24"/>
        </w:rPr>
        <w:t>3.3.2</w:t>
      </w:r>
      <w:r>
        <w:rPr>
          <w:rFonts w:hint="eastAsia" w:ascii="宋体" w:hAnsi="宋体" w:cs="宋体"/>
          <w:color w:val="000000" w:themeColor="text1"/>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3262707">
      <w:pPr>
        <w:widowControl/>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以联合体形式参加政府采购活动，联合体各方均为中小企业的，联合体视同中小企业。其中，联合体各方均为小微企业的，联合体视同小微企业。</w:t>
      </w:r>
    </w:p>
    <w:p w14:paraId="7CCCB68F">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rPr>
        <w:t>20</w:t>
      </w:r>
      <w:r>
        <w:rPr>
          <w:rFonts w:hint="eastAsia" w:ascii="宋体" w:hAnsi="宋体" w:cs="宋体"/>
          <w:color w:val="000000" w:themeColor="text1"/>
          <w:sz w:val="24"/>
        </w:rPr>
        <w:t>%的扣除，用扣除后的价格参与评审。接受大中型企业与小微企业组成联合体或者允许大中型企业向一家或者多家小微企业分包的政府采购项目，对于</w:t>
      </w:r>
      <w:bookmarkStart w:id="14" w:name="_Hlk101132181"/>
      <w:r>
        <w:rPr>
          <w:rFonts w:hint="eastAsia" w:ascii="宋体" w:hAnsi="宋体" w:cs="宋体"/>
          <w:color w:val="000000" w:themeColor="text1"/>
          <w:sz w:val="24"/>
        </w:rPr>
        <w:t>联合协议或者分包意向协议约定小微企业的合同份额占到合同总金额30%以上的</w:t>
      </w:r>
      <w:bookmarkEnd w:id="14"/>
      <w:r>
        <w:rPr>
          <w:rFonts w:hint="eastAsia" w:ascii="宋体" w:hAnsi="宋体" w:cs="宋体"/>
          <w:color w:val="000000" w:themeColor="text1"/>
          <w:sz w:val="24"/>
        </w:rPr>
        <w:t>，对联合体或者大中型企业的报价给予</w:t>
      </w:r>
      <w:r>
        <w:rPr>
          <w:rFonts w:ascii="宋体" w:hAnsi="宋体" w:cs="宋体"/>
          <w:color w:val="000000" w:themeColor="text1"/>
          <w:sz w:val="24"/>
        </w:rPr>
        <w:t>6</w:t>
      </w:r>
      <w:r>
        <w:rPr>
          <w:rFonts w:hint="eastAsia" w:ascii="宋体" w:hAnsi="宋体" w:cs="宋体"/>
          <w:color w:val="000000" w:themeColor="text1"/>
          <w:sz w:val="24"/>
        </w:rPr>
        <w:t>%的扣除，用扣除后的价格参加评审。组成联合体或者接受分包的小微企业与联合体内其他企业、分包企业之间存在直接控股、管理关系的，不享受价格扣除优惠政策。</w:t>
      </w:r>
    </w:p>
    <w:p w14:paraId="7E317A48">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3.3.4符合《关于促进残疾人就业政府采购政策的通知》（财库〔2017〕141号）规定的条件并提供《残疾人福利性单位声明函》（附件1）的残疾人福利性单位视同小型、微型企业；</w:t>
      </w:r>
    </w:p>
    <w:p w14:paraId="35BF2DD1">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BE163A1">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481464A">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3.3.7中小企业享受扶持政策获得政府采购合同的，小微企业不得将合同分包给大中型企业，中型企业不得将合同分包给大型企业。</w:t>
      </w:r>
    </w:p>
    <w:p w14:paraId="0B03FC0E">
      <w:pPr>
        <w:spacing w:line="360" w:lineRule="auto"/>
        <w:ind w:firstLine="240" w:firstLineChars="100"/>
        <w:rPr>
          <w:rFonts w:ascii="宋体" w:hAnsi="宋体" w:cs="宋体"/>
          <w:color w:val="000000" w:themeColor="text1"/>
          <w:sz w:val="24"/>
        </w:rPr>
      </w:pPr>
      <w:r>
        <w:rPr>
          <w:rFonts w:hint="eastAsia" w:ascii="宋体" w:hAnsi="宋体" w:cs="宋体"/>
          <w:color w:val="000000" w:themeColor="text1"/>
          <w:sz w:val="24"/>
        </w:rPr>
        <w:t>3.4</w:t>
      </w:r>
      <w:r>
        <w:rPr>
          <w:rFonts w:hint="eastAsia" w:ascii="宋体" w:hAnsi="宋体" w:cs="宋体"/>
          <w:bCs/>
          <w:color w:val="000000" w:themeColor="text1"/>
          <w:sz w:val="24"/>
        </w:rPr>
        <w:t>支持创新发展</w:t>
      </w:r>
    </w:p>
    <w:p w14:paraId="1A402183">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3.4.1 采购人优先采购被认定为首台套产品和“制造精品”的自主创新产品。</w:t>
      </w:r>
    </w:p>
    <w:p w14:paraId="51728B68">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3.4.2首台套产品被纳入《首台套产品推广应用指导目录》之日起</w:t>
      </w:r>
      <w:r>
        <w:rPr>
          <w:rFonts w:ascii="宋体" w:hAnsi="宋体" w:cs="宋体"/>
          <w:color w:val="000000" w:themeColor="text1"/>
          <w:sz w:val="24"/>
        </w:rPr>
        <w:t>3</w:t>
      </w:r>
      <w:r>
        <w:rPr>
          <w:rFonts w:hint="eastAsia" w:ascii="宋体" w:hAnsi="宋体" w:cs="宋体"/>
          <w:color w:val="000000" w:themeColor="text1"/>
          <w:sz w:val="24"/>
        </w:rPr>
        <w:t>年内，以及产品核心技术高于国内领先水平，并具有明晰自主知识产权的“制造精品”产品，自认定之日起2年内视同已具备相应销售业绩，参加政府采购活动时业绩分值为满分。</w:t>
      </w:r>
    </w:p>
    <w:p w14:paraId="06A1022C">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3.5平等对待内外资企业</w:t>
      </w:r>
    </w:p>
    <w:p w14:paraId="461C5FBD">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4082AA8">
      <w:pPr>
        <w:pStyle w:val="82"/>
        <w:rPr>
          <w:bCs/>
          <w:color w:val="000000" w:themeColor="text1"/>
        </w:rPr>
      </w:pPr>
      <w:r>
        <w:rPr>
          <w:rFonts w:hint="eastAsia"/>
          <w:color w:val="000000" w:themeColor="text1"/>
        </w:rPr>
        <w:t>3.6平等对待符合条件的破产重整企业</w:t>
      </w:r>
    </w:p>
    <w:p w14:paraId="2237FF53">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平等对待符合条件的破产重整企业，切实保障企业公平竞争，平等维护企业的合法利益。</w:t>
      </w:r>
    </w:p>
    <w:p w14:paraId="49B74719">
      <w:pPr>
        <w:spacing w:line="360" w:lineRule="auto"/>
        <w:ind w:firstLine="241" w:firstLineChars="100"/>
        <w:rPr>
          <w:rFonts w:ascii="宋体" w:hAnsi="宋体" w:cs="宋体"/>
          <w:b/>
          <w:color w:val="000000" w:themeColor="text1"/>
          <w:sz w:val="24"/>
        </w:rPr>
      </w:pPr>
      <w:r>
        <w:rPr>
          <w:rFonts w:hint="eastAsia" w:ascii="宋体" w:hAnsi="宋体" w:cs="宋体"/>
          <w:b/>
          <w:color w:val="000000" w:themeColor="text1"/>
          <w:sz w:val="24"/>
        </w:rPr>
        <w:t>4. 询问、质疑、投诉</w:t>
      </w:r>
    </w:p>
    <w:p w14:paraId="57808C36">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4.1在线询问、质疑、投诉。</w:t>
      </w:r>
    </w:p>
    <w:p w14:paraId="4B5F4B98">
      <w:pPr>
        <w:spacing w:line="360" w:lineRule="auto"/>
        <w:ind w:firstLine="480" w:firstLineChars="200"/>
        <w:rPr>
          <w:rFonts w:asciiTheme="minorEastAsia" w:hAnsiTheme="minorEastAsia" w:eastAsiaTheme="minorEastAsia"/>
          <w:color w:val="000000" w:themeColor="text1"/>
          <w:sz w:val="24"/>
          <w:lang w:val="zh-CN"/>
        </w:rPr>
      </w:pPr>
      <w:r>
        <w:rPr>
          <w:rFonts w:hint="eastAsia" w:asciiTheme="minorEastAsia" w:hAnsiTheme="minorEastAsia" w:eastAsiaTheme="minor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070D6AD6">
      <w:pPr>
        <w:pStyle w:val="82"/>
        <w:rPr>
          <w:color w:val="000000" w:themeColor="text1"/>
        </w:rPr>
      </w:pPr>
      <w:r>
        <w:rPr>
          <w:rFonts w:hint="eastAsia"/>
          <w:color w:val="000000" w:themeColor="text1"/>
        </w:rPr>
        <w:t xml:space="preserve">询问联系部门：广西中之元工程管理有限公司招标部        联系电话：0779-7200788 </w:t>
      </w:r>
      <w:r>
        <w:rPr>
          <w:rFonts w:hint="eastAsia"/>
          <w:color w:val="000000" w:themeColor="text1"/>
          <w:lang w:val="en-US" w:eastAsia="zh-CN"/>
        </w:rPr>
        <w:t xml:space="preserve">  </w:t>
      </w:r>
      <w:r>
        <w:rPr>
          <w:rFonts w:hint="eastAsia"/>
          <w:color w:val="000000" w:themeColor="text1"/>
        </w:rPr>
        <w:t>联系人：庞工   地址：北海市合浦县廉州镇文昌新城2栋9号楼</w:t>
      </w:r>
    </w:p>
    <w:p w14:paraId="378087D9">
      <w:pPr>
        <w:pStyle w:val="82"/>
        <w:rPr>
          <w:color w:val="000000" w:themeColor="text1"/>
        </w:rPr>
      </w:pPr>
      <w:r>
        <w:rPr>
          <w:rFonts w:hint="eastAsia"/>
          <w:color w:val="000000" w:themeColor="text1"/>
        </w:rPr>
        <w:t xml:space="preserve">质疑联系部门：广西中之元工程管理有限公司招标部        联系电话：0779-7200788 </w:t>
      </w:r>
      <w:r>
        <w:rPr>
          <w:rFonts w:hint="eastAsia"/>
          <w:color w:val="000000" w:themeColor="text1"/>
          <w:lang w:val="en-US" w:eastAsia="zh-CN"/>
        </w:rPr>
        <w:t xml:space="preserve">  </w:t>
      </w:r>
      <w:r>
        <w:rPr>
          <w:rFonts w:hint="eastAsia"/>
          <w:color w:val="000000" w:themeColor="text1"/>
        </w:rPr>
        <w:t xml:space="preserve">联系人：庞工   地址：北海市合浦县廉州镇文昌新城2栋9号楼 </w:t>
      </w:r>
    </w:p>
    <w:p w14:paraId="5262F817">
      <w:pPr>
        <w:pStyle w:val="82"/>
        <w:rPr>
          <w:color w:val="000000" w:themeColor="text1"/>
        </w:rPr>
      </w:pPr>
      <w:r>
        <w:rPr>
          <w:rFonts w:hint="eastAsia"/>
          <w:color w:val="000000" w:themeColor="text1"/>
        </w:rPr>
        <w:t>投诉联系部门：合浦县财政局政府采购监督管理股</w:t>
      </w:r>
      <w:r>
        <w:rPr>
          <w:rFonts w:hint="eastAsia"/>
          <w:color w:val="000000" w:themeColor="text1"/>
          <w:lang w:val="en-US" w:eastAsia="zh-CN"/>
        </w:rPr>
        <w:t xml:space="preserve">          </w:t>
      </w:r>
      <w:r>
        <w:rPr>
          <w:rFonts w:hint="eastAsia"/>
          <w:color w:val="000000" w:themeColor="text1"/>
        </w:rPr>
        <w:t xml:space="preserve">联系电话：0779-7213187 </w:t>
      </w:r>
      <w:r>
        <w:rPr>
          <w:rFonts w:hint="eastAsia"/>
          <w:color w:val="000000" w:themeColor="text1"/>
          <w:lang w:val="en-US" w:eastAsia="zh-CN"/>
        </w:rPr>
        <w:t xml:space="preserve">  </w:t>
      </w:r>
      <w:r>
        <w:rPr>
          <w:rFonts w:hint="eastAsia"/>
          <w:color w:val="000000" w:themeColor="text1"/>
        </w:rPr>
        <w:t>联系人：茅股长   地址：北海市合浦县廉州镇明园南路50号</w:t>
      </w:r>
    </w:p>
    <w:p w14:paraId="02275E2A">
      <w:pPr>
        <w:autoSpaceDE w:val="0"/>
        <w:autoSpaceDN w:val="0"/>
        <w:spacing w:line="360" w:lineRule="auto"/>
        <w:ind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4.2供应商询问</w:t>
      </w:r>
    </w:p>
    <w:p w14:paraId="076E207C">
      <w:pPr>
        <w:autoSpaceDE w:val="0"/>
        <w:autoSpaceDN w:val="0"/>
        <w:spacing w:line="360" w:lineRule="auto"/>
        <w:ind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E9DEBE0">
      <w:pPr>
        <w:autoSpaceDE w:val="0"/>
        <w:autoSpaceDN w:val="0"/>
        <w:spacing w:line="360" w:lineRule="auto"/>
        <w:ind w:firstLine="240" w:firstLineChars="1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4.3供应商质疑</w:t>
      </w:r>
    </w:p>
    <w:p w14:paraId="4E5583E8">
      <w:pPr>
        <w:pStyle w:val="32"/>
        <w:spacing w:line="360" w:lineRule="auto"/>
        <w:ind w:firstLine="480" w:firstLineChars="200"/>
        <w:rPr>
          <w:rFonts w:hAnsi="宋体" w:cs="宋体"/>
          <w:color w:val="000000" w:themeColor="text1"/>
          <w:sz w:val="24"/>
        </w:rPr>
      </w:pPr>
      <w:r>
        <w:rPr>
          <w:rFonts w:hint="eastAsia" w:hAnsi="宋体" w:cs="宋体"/>
          <w:color w:val="000000" w:themeColor="text1"/>
          <w:kern w:val="0"/>
          <w:sz w:val="24"/>
          <w:lang w:val="zh-CN"/>
        </w:rPr>
        <w:t>4.3</w:t>
      </w:r>
      <w:r>
        <w:rPr>
          <w:rFonts w:hint="eastAsia" w:hAnsi="宋体" w:cs="宋体"/>
          <w:color w:val="000000" w:themeColor="text1"/>
          <w:sz w:val="24"/>
        </w:rPr>
        <w:t>.1提出质疑的供应商应当是参与所质疑项目采购活动的供应商。潜在供应商已依法获取其可质疑的招标文件的，可以对该文件提出质疑。</w:t>
      </w:r>
    </w:p>
    <w:p w14:paraId="7D3B8DEF">
      <w:pPr>
        <w:pStyle w:val="32"/>
        <w:spacing w:line="360" w:lineRule="auto"/>
        <w:ind w:firstLine="480" w:firstLineChars="200"/>
        <w:rPr>
          <w:rFonts w:hAnsi="宋体" w:cs="宋体"/>
          <w:color w:val="000000" w:themeColor="text1"/>
          <w:sz w:val="24"/>
        </w:rPr>
      </w:pPr>
      <w:r>
        <w:rPr>
          <w:rFonts w:hint="eastAsia" w:hAnsi="宋体" w:cs="宋体"/>
          <w:color w:val="000000" w:themeColor="text1"/>
          <w:kern w:val="0"/>
          <w:sz w:val="24"/>
          <w:lang w:val="zh-CN"/>
        </w:rPr>
        <w:t>4.3</w:t>
      </w:r>
      <w:r>
        <w:rPr>
          <w:rFonts w:hint="eastAsia" w:hAnsi="宋体" w:cs="宋体"/>
          <w:color w:val="000000" w:themeColor="text1"/>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FE77CFE">
      <w:pPr>
        <w:pStyle w:val="2"/>
        <w:spacing w:line="360" w:lineRule="auto"/>
        <w:ind w:firstLine="480" w:firstLineChars="200"/>
        <w:rPr>
          <w:rFonts w:hAnsi="宋体" w:cs="宋体"/>
          <w:snapToGrid/>
          <w:color w:val="000000" w:themeColor="text1"/>
          <w:kern w:val="2"/>
          <w:sz w:val="24"/>
        </w:rPr>
      </w:pPr>
      <w:r>
        <w:rPr>
          <w:rFonts w:hint="eastAsia" w:hAnsi="宋体" w:cs="宋体"/>
          <w:snapToGrid/>
          <w:color w:val="000000" w:themeColor="text1"/>
          <w:kern w:val="2"/>
          <w:sz w:val="24"/>
        </w:rPr>
        <w:t>4.3.2.1对招标文件提出质疑的，质疑期限为供应商获得招标文件之日或者招标文件公告期限届满之日起计算。</w:t>
      </w:r>
    </w:p>
    <w:p w14:paraId="46391BBB">
      <w:pPr>
        <w:pStyle w:val="32"/>
        <w:spacing w:line="360" w:lineRule="auto"/>
        <w:ind w:left="479" w:leftChars="228"/>
        <w:rPr>
          <w:rFonts w:hAnsi="宋体" w:cs="宋体"/>
          <w:color w:val="000000" w:themeColor="text1"/>
          <w:sz w:val="24"/>
        </w:rPr>
      </w:pPr>
      <w:r>
        <w:rPr>
          <w:rFonts w:hint="eastAsia" w:hAnsi="宋体" w:cs="宋体"/>
          <w:color w:val="000000" w:themeColor="text1"/>
          <w:sz w:val="24"/>
        </w:rPr>
        <w:t>4.3.2.2对采购过程提出质疑的，质疑期限为各采购程序环节结束之日起计算。4.3.2.3对采购结果提出质疑的，质疑期限自采购结果公告期限届满之日起计算。</w:t>
      </w:r>
    </w:p>
    <w:p w14:paraId="16866DF8">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w:t>
      </w:r>
      <w:r>
        <w:rPr>
          <w:rFonts w:hint="eastAsia" w:hAnsi="宋体" w:cs="宋体"/>
          <w:color w:val="000000" w:themeColor="text1"/>
          <w:sz w:val="24"/>
        </w:rPr>
        <w:t>供应商提出质疑应当提交质疑函和必要的证明材料。质疑函应当包括下列内容：</w:t>
      </w:r>
    </w:p>
    <w:p w14:paraId="4FB4D79C">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4.3.3.1供应商的姓名或者名称、地址、邮编、联系人及联系电话；</w:t>
      </w:r>
    </w:p>
    <w:p w14:paraId="566D27E6">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4.3.3.2质疑项目的名称、编号；</w:t>
      </w:r>
    </w:p>
    <w:p w14:paraId="410BE451">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4.3.3.3具体、明确的质疑事项和与质疑事项相关的请求；</w:t>
      </w:r>
    </w:p>
    <w:p w14:paraId="52E7FF5B">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4.3.3.4事实依据；</w:t>
      </w:r>
    </w:p>
    <w:p w14:paraId="5541C115">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4.3.3.5必要的法律依据；</w:t>
      </w:r>
    </w:p>
    <w:p w14:paraId="4369799F">
      <w:pPr>
        <w:pStyle w:val="32"/>
        <w:spacing w:line="360" w:lineRule="auto"/>
        <w:ind w:firstLine="480" w:firstLineChars="200"/>
        <w:rPr>
          <w:rFonts w:hAnsi="宋体" w:cs="宋体"/>
          <w:color w:val="000000" w:themeColor="text1"/>
          <w:kern w:val="0"/>
          <w:sz w:val="24"/>
          <w:lang w:val="zh-CN"/>
        </w:rPr>
      </w:pPr>
      <w:r>
        <w:rPr>
          <w:rFonts w:hint="eastAsia" w:hAnsi="宋体" w:cs="宋体"/>
          <w:color w:val="000000" w:themeColor="text1"/>
          <w:kern w:val="0"/>
          <w:sz w:val="24"/>
          <w:lang w:val="zh-CN"/>
        </w:rPr>
        <w:t>4.3.3.6提出质疑的日期。</w:t>
      </w:r>
    </w:p>
    <w:p w14:paraId="5FDB3033">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供应商提交的质疑函需一式三份。供应商为自然人的，应当由本人签字；供应商为法人或者其他组织的，应当由法定代表人、主要负责人，或者其授权代表签字或者盖章，并加盖公章。</w:t>
      </w:r>
    </w:p>
    <w:p w14:paraId="2E363D86">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质疑函范本及制作说明详见附件2。</w:t>
      </w:r>
    </w:p>
    <w:p w14:paraId="203A62BF">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4.3.4对同一采购程序环节的质疑，供应商须在法定质疑期内一次性提出。</w:t>
      </w:r>
    </w:p>
    <w:p w14:paraId="3D8382A4">
      <w:pPr>
        <w:pStyle w:val="886"/>
        <w:shd w:val="clear" w:color="auto" w:fill="FFFFFF"/>
        <w:snapToGrid w:val="0"/>
        <w:spacing w:before="0" w:beforeAutospacing="0" w:after="0" w:afterAutospacing="0" w:line="360" w:lineRule="auto"/>
        <w:ind w:firstLine="480" w:firstLineChars="200"/>
        <w:contextualSpacing/>
        <w:rPr>
          <w:color w:val="000000" w:themeColor="text1"/>
        </w:rPr>
      </w:pPr>
      <w:r>
        <w:rPr>
          <w:rFonts w:hint="eastAsia"/>
          <w:color w:val="000000" w:themeColor="text1"/>
          <w:lang w:val="zh-CN"/>
        </w:rPr>
        <w:t>4.3</w:t>
      </w:r>
      <w:r>
        <w:rPr>
          <w:rFonts w:hint="eastAsia"/>
          <w:color w:val="000000" w:themeColor="text1"/>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59FA4AF">
      <w:pPr>
        <w:pStyle w:val="32"/>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4.3.6根据采购人与采购代理机构签订的采购委托协议，质疑答复责任主体如下：</w:t>
      </w:r>
    </w:p>
    <w:p w14:paraId="4C5F49F2">
      <w:pPr>
        <w:widowControl/>
        <w:adjustRightInd/>
        <w:spacing w:line="360" w:lineRule="auto"/>
        <w:jc w:val="center"/>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040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C3D5B7A">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3B6D73A7">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质疑答复责任主体</w:t>
            </w:r>
          </w:p>
        </w:tc>
      </w:tr>
      <w:tr w14:paraId="504B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09F2D54">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333A40C">
            <w:pPr>
              <w:pStyle w:val="32"/>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9A066BF">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w:t>
            </w:r>
          </w:p>
        </w:tc>
      </w:tr>
      <w:tr w14:paraId="1705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FF6569">
            <w:pPr>
              <w:widowControl/>
              <w:adjustRightInd/>
              <w:spacing w:line="360" w:lineRule="auto"/>
              <w:jc w:val="left"/>
              <w:rPr>
                <w:rFonts w:asciiTheme="minorEastAsia" w:hAnsiTheme="minorEastAsia" w:eastAsiaTheme="minorEastAsia"/>
                <w:color w:val="000000" w:themeColor="text1"/>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3A321ECB">
            <w:pPr>
              <w:pStyle w:val="32"/>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172E943">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采购代理机构</w:t>
            </w:r>
          </w:p>
        </w:tc>
      </w:tr>
      <w:tr w14:paraId="1A9A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6E18BFD">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55D5D38">
            <w:pPr>
              <w:pStyle w:val="32"/>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8DD4E86">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w:t>
            </w:r>
          </w:p>
        </w:tc>
      </w:tr>
      <w:tr w14:paraId="0DBE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17CCA7">
            <w:pPr>
              <w:widowControl/>
              <w:adjustRightInd/>
              <w:spacing w:line="360" w:lineRule="auto"/>
              <w:jc w:val="left"/>
              <w:rPr>
                <w:rFonts w:asciiTheme="minorEastAsia" w:hAnsiTheme="minorEastAsia" w:eastAsiaTheme="minorEastAsia"/>
                <w:color w:val="000000" w:themeColor="text1"/>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6614ABDA">
            <w:pPr>
              <w:pStyle w:val="32"/>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9B5102C">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采购代理机构</w:t>
            </w:r>
          </w:p>
        </w:tc>
      </w:tr>
      <w:tr w14:paraId="546E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37E1157">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CCCBDA2">
            <w:pPr>
              <w:pStyle w:val="32"/>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B6E0DA">
            <w:pPr>
              <w:pStyle w:val="3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采购代理机构</w:t>
            </w:r>
          </w:p>
        </w:tc>
      </w:tr>
    </w:tbl>
    <w:p w14:paraId="50FE24EE">
      <w:pPr>
        <w:pStyle w:val="886"/>
        <w:shd w:val="clear" w:color="auto" w:fill="FFFFFF"/>
        <w:snapToGrid w:val="0"/>
        <w:spacing w:before="0" w:beforeAutospacing="0" w:after="0" w:afterAutospacing="0" w:line="360" w:lineRule="auto"/>
        <w:ind w:firstLine="480" w:firstLineChars="200"/>
        <w:contextualSpacing/>
        <w:rPr>
          <w:color w:val="000000" w:themeColor="text1"/>
          <w:lang w:val="zh-CN"/>
        </w:rPr>
      </w:pPr>
      <w:r>
        <w:rPr>
          <w:rFonts w:hint="eastAsia"/>
          <w:color w:val="000000" w:themeColor="text1"/>
          <w:lang w:val="zh-CN"/>
        </w:rPr>
        <w:t>注：</w:t>
      </w:r>
      <w:r>
        <w:rPr>
          <w:rFonts w:hint="eastAsia" w:asciiTheme="minorEastAsia" w:hAnsiTheme="minorEastAsia" w:eastAsiaTheme="minorEastAsia"/>
          <w:color w:val="000000" w:themeColor="text1"/>
        </w:rPr>
        <w:t>采购人或代理机构或应当协助质疑答复责任主体及时答复</w:t>
      </w:r>
      <w:r>
        <w:rPr>
          <w:rFonts w:hint="eastAsia"/>
          <w:color w:val="000000" w:themeColor="text1"/>
        </w:rPr>
        <w:t>供应商的书面质疑。</w:t>
      </w:r>
    </w:p>
    <w:p w14:paraId="3F8AD366">
      <w:pPr>
        <w:pStyle w:val="886"/>
        <w:shd w:val="clear" w:color="auto" w:fill="FFFFFF"/>
        <w:snapToGrid w:val="0"/>
        <w:spacing w:before="0" w:beforeAutospacing="0" w:after="0" w:afterAutospacing="0" w:line="360" w:lineRule="auto"/>
        <w:ind w:firstLine="480" w:firstLineChars="200"/>
        <w:contextualSpacing/>
        <w:rPr>
          <w:color w:val="000000" w:themeColor="text1"/>
        </w:rPr>
      </w:pPr>
      <w:r>
        <w:rPr>
          <w:rFonts w:hint="eastAsia"/>
          <w:color w:val="000000" w:themeColor="text1"/>
          <w:lang w:val="zh-CN"/>
        </w:rPr>
        <w:t>4.3</w:t>
      </w:r>
      <w:r>
        <w:rPr>
          <w:rFonts w:hint="eastAsia"/>
          <w:color w:val="000000" w:themeColor="text1"/>
        </w:rPr>
        <w:t>.7询问或者质疑事项可能影响采购结果的，采购人应当暂停签订合同，已经签订合同的，应当中止履行合同。</w:t>
      </w:r>
    </w:p>
    <w:p w14:paraId="16B27377">
      <w:pPr>
        <w:pStyle w:val="886"/>
        <w:shd w:val="clear" w:color="auto" w:fill="FFFFFF"/>
        <w:snapToGrid w:val="0"/>
        <w:spacing w:after="240" w:afterAutospacing="0" w:line="360" w:lineRule="auto"/>
        <w:ind w:firstLine="480" w:firstLineChars="200"/>
        <w:contextualSpacing/>
        <w:rPr>
          <w:color w:val="000000" w:themeColor="text1"/>
          <w:lang w:val="zh-CN"/>
        </w:rPr>
      </w:pPr>
      <w:r>
        <w:rPr>
          <w:rFonts w:hint="eastAsia"/>
          <w:color w:val="000000" w:themeColor="text1"/>
          <w:lang w:val="zh-CN"/>
        </w:rPr>
        <w:t>4.4供应商投诉</w:t>
      </w:r>
    </w:p>
    <w:p w14:paraId="23D13C8E">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4.4.1质疑供应商对采购人、采购代理机构的答复不满意或者采购人、采购代理机构未在规定的时间内作出答复的，可以在答复期满后十五个工作日内向同级政府采购监督管理部门提出投诉。</w:t>
      </w:r>
    </w:p>
    <w:p w14:paraId="02C07643">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4.4.</w:t>
      </w:r>
      <w:r>
        <w:rPr>
          <w:rFonts w:hint="eastAsia"/>
          <w:color w:val="000000" w:themeColor="text1"/>
          <w:lang w:val="zh-CN"/>
        </w:rPr>
        <w:t>2</w:t>
      </w:r>
      <w:r>
        <w:rPr>
          <w:rFonts w:hint="eastAsia"/>
          <w:color w:val="000000" w:themeColor="text1"/>
        </w:rPr>
        <w:t>供应商投诉的事项不得超出已质疑事项的范围，基于质疑答复内容提出的投诉事项除外。</w:t>
      </w:r>
    </w:p>
    <w:p w14:paraId="56244230">
      <w:pPr>
        <w:pStyle w:val="886"/>
        <w:shd w:val="clear" w:color="auto" w:fill="FFFFFF"/>
        <w:snapToGrid w:val="0"/>
        <w:spacing w:after="240" w:afterAutospacing="0" w:line="360" w:lineRule="auto"/>
        <w:ind w:firstLine="480" w:firstLineChars="200"/>
        <w:contextualSpacing/>
        <w:rPr>
          <w:color w:val="000000" w:themeColor="text1"/>
        </w:rPr>
      </w:pPr>
      <w:r>
        <w:rPr>
          <w:rFonts w:hint="eastAsia"/>
          <w:color w:val="000000" w:themeColor="text1"/>
        </w:rPr>
        <w:t>4.4.3供应商投诉应当有明确的请求和必要的证明材料。</w:t>
      </w:r>
    </w:p>
    <w:p w14:paraId="35B6160A">
      <w:pPr>
        <w:pStyle w:val="886"/>
        <w:shd w:val="clear" w:color="auto" w:fill="FFFFFF"/>
        <w:snapToGrid w:val="0"/>
        <w:spacing w:after="240" w:afterAutospacing="0" w:line="360" w:lineRule="auto"/>
        <w:ind w:firstLine="480" w:firstLineChars="200"/>
        <w:contextualSpacing/>
        <w:rPr>
          <w:color w:val="000000" w:themeColor="text1"/>
          <w:sz w:val="18"/>
          <w:szCs w:val="18"/>
        </w:rPr>
      </w:pPr>
      <w:r>
        <w:rPr>
          <w:rFonts w:hint="eastAsia"/>
          <w:color w:val="000000" w:themeColor="text1"/>
        </w:rPr>
        <w:t>4.4.4以联合体形式参加政府采购活动的，其投诉应当由组成联合体的所有供应商共同提出。</w:t>
      </w:r>
    </w:p>
    <w:p w14:paraId="1D310C69">
      <w:pPr>
        <w:adjustRightInd/>
        <w:spacing w:line="360" w:lineRule="auto"/>
        <w:jc w:val="center"/>
        <w:outlineLvl w:val="1"/>
        <w:rPr>
          <w:rFonts w:ascii="宋体" w:hAnsi="宋体" w:cs="宋体"/>
          <w:b/>
          <w:color w:val="000000" w:themeColor="text1"/>
          <w:sz w:val="32"/>
          <w:szCs w:val="20"/>
        </w:rPr>
      </w:pPr>
      <w:r>
        <w:rPr>
          <w:rFonts w:hint="eastAsia" w:ascii="宋体" w:hAnsi="宋体" w:cs="宋体"/>
          <w:b/>
          <w:color w:val="000000" w:themeColor="text1"/>
          <w:sz w:val="32"/>
          <w:szCs w:val="20"/>
        </w:rPr>
        <w:t>二、招标文件的构成、澄清、修改</w:t>
      </w:r>
    </w:p>
    <w:p w14:paraId="6DA0ED5E">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5．招标文件的构成</w:t>
      </w:r>
    </w:p>
    <w:p w14:paraId="09CD2B4B">
      <w:pPr>
        <w:pStyle w:val="32"/>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 招标文件包括下列文件及附件：</w:t>
      </w:r>
    </w:p>
    <w:p w14:paraId="50596CF7">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5.1.1招标公告；</w:t>
      </w:r>
    </w:p>
    <w:p w14:paraId="0AFB0B79">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5.1.2投标人须知；</w:t>
      </w:r>
    </w:p>
    <w:p w14:paraId="1F503ED6">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5.1.3采购需求；</w:t>
      </w:r>
    </w:p>
    <w:p w14:paraId="5650CB82">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5.1.4评标办法；</w:t>
      </w:r>
    </w:p>
    <w:p w14:paraId="649AE7BF">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5.1.5拟签订的合同文本；</w:t>
      </w:r>
    </w:p>
    <w:p w14:paraId="10D660EF">
      <w:pPr>
        <w:pStyle w:val="32"/>
        <w:tabs>
          <w:tab w:val="left" w:pos="840"/>
        </w:tabs>
        <w:spacing w:line="360" w:lineRule="auto"/>
        <w:ind w:firstLine="480" w:firstLineChars="200"/>
        <w:rPr>
          <w:rFonts w:hAnsi="宋体" w:cs="宋体"/>
          <w:color w:val="000000" w:themeColor="text1"/>
          <w:sz w:val="24"/>
          <w:szCs w:val="24"/>
        </w:rPr>
      </w:pPr>
      <w:r>
        <w:rPr>
          <w:rFonts w:hint="eastAsia" w:hAnsi="宋体" w:cs="宋体"/>
          <w:color w:val="000000" w:themeColor="text1"/>
          <w:sz w:val="24"/>
        </w:rPr>
        <w:t>5.1.6</w:t>
      </w:r>
      <w:r>
        <w:rPr>
          <w:rFonts w:hint="eastAsia" w:hAnsi="宋体" w:cs="宋体"/>
          <w:color w:val="000000" w:themeColor="text1"/>
          <w:sz w:val="24"/>
          <w:szCs w:val="24"/>
        </w:rPr>
        <w:t>应提交的有关格式范例。</w:t>
      </w:r>
    </w:p>
    <w:p w14:paraId="66EA117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5.2与本项目有关的</w:t>
      </w:r>
      <w:r>
        <w:rPr>
          <w:rFonts w:hint="eastAsia" w:ascii="宋体" w:hAnsi="宋体" w:cs="宋体"/>
          <w:bCs/>
          <w:color w:val="000000" w:themeColor="text1"/>
          <w:sz w:val="24"/>
        </w:rPr>
        <w:t>澄清或者修改的内容为招标文件的组成部分</w:t>
      </w:r>
      <w:r>
        <w:rPr>
          <w:rFonts w:hint="eastAsia" w:ascii="宋体" w:hAnsi="宋体" w:cs="宋体"/>
          <w:color w:val="000000" w:themeColor="text1"/>
          <w:sz w:val="24"/>
        </w:rPr>
        <w:t>。</w:t>
      </w:r>
    </w:p>
    <w:p w14:paraId="27E4BEEC">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6. 招标文件的澄清、修改</w:t>
      </w:r>
    </w:p>
    <w:p w14:paraId="5470778D">
      <w:pPr>
        <w:pStyle w:val="128"/>
        <w:snapToGrid w:val="0"/>
        <w:spacing w:before="0"/>
        <w:ind w:firstLine="480"/>
        <w:rPr>
          <w:rFonts w:ascii="宋体" w:hAnsi="宋体" w:cs="宋体"/>
          <w:color w:val="000000" w:themeColor="text1"/>
        </w:rPr>
      </w:pPr>
      <w:r>
        <w:rPr>
          <w:rFonts w:hint="eastAsia" w:ascii="宋体" w:hAnsi="宋体" w:cs="宋体"/>
          <w:color w:val="000000" w:themeColor="text1"/>
        </w:rPr>
        <w:t>6.1已获取招标文件的潜在投标人，若有问题需要澄清，应于投标截止时间前，以书面形式向采购代理机构提出。</w:t>
      </w:r>
    </w:p>
    <w:p w14:paraId="2C2D1878">
      <w:pPr>
        <w:pStyle w:val="128"/>
        <w:snapToGrid w:val="0"/>
        <w:spacing w:before="0"/>
        <w:ind w:firstLine="480"/>
        <w:rPr>
          <w:rFonts w:ascii="宋体" w:hAnsi="宋体" w:cs="宋体"/>
          <w:color w:val="000000" w:themeColor="text1"/>
        </w:rPr>
      </w:pPr>
      <w:r>
        <w:rPr>
          <w:rFonts w:hint="eastAsia" w:ascii="宋体" w:hAnsi="宋体" w:cs="宋体"/>
          <w:color w:val="000000" w:themeColor="text1"/>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2FE4787">
      <w:pPr>
        <w:pStyle w:val="23"/>
        <w:rPr>
          <w:rFonts w:hAnsi="宋体" w:cs="宋体"/>
          <w:color w:val="000000" w:themeColor="text1"/>
          <w:sz w:val="18"/>
          <w:szCs w:val="18"/>
          <w:lang w:val="en-US"/>
        </w:rPr>
      </w:pPr>
    </w:p>
    <w:p w14:paraId="01D6497C">
      <w:pPr>
        <w:adjustRightInd/>
        <w:spacing w:line="360" w:lineRule="auto"/>
        <w:jc w:val="center"/>
        <w:outlineLvl w:val="1"/>
        <w:rPr>
          <w:rFonts w:ascii="宋体" w:hAnsi="宋体" w:cs="宋体"/>
          <w:b/>
          <w:color w:val="000000" w:themeColor="text1"/>
          <w:sz w:val="30"/>
          <w:szCs w:val="20"/>
        </w:rPr>
      </w:pPr>
      <w:r>
        <w:rPr>
          <w:rFonts w:hint="eastAsia" w:ascii="宋体" w:hAnsi="宋体" w:cs="宋体"/>
          <w:b/>
          <w:color w:val="000000" w:themeColor="text1"/>
          <w:sz w:val="30"/>
          <w:szCs w:val="20"/>
        </w:rPr>
        <w:t>三、投标</w:t>
      </w:r>
    </w:p>
    <w:p w14:paraId="639E854C">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7. 招标文件的获取</w:t>
      </w:r>
    </w:p>
    <w:p w14:paraId="21E9EA06">
      <w:pPr>
        <w:spacing w:line="360" w:lineRule="auto"/>
        <w:ind w:firstLine="480" w:firstLineChars="200"/>
        <w:rPr>
          <w:rFonts w:ascii="宋体" w:hAnsi="宋体" w:cs="宋体"/>
          <w:snapToGrid w:val="0"/>
          <w:color w:val="000000" w:themeColor="text1"/>
          <w:kern w:val="28"/>
          <w:sz w:val="24"/>
        </w:rPr>
      </w:pPr>
      <w:r>
        <w:rPr>
          <w:rFonts w:hint="eastAsia" w:ascii="宋体" w:hAnsi="宋体" w:cs="宋体"/>
          <w:snapToGrid w:val="0"/>
          <w:color w:val="000000" w:themeColor="text1"/>
          <w:kern w:val="28"/>
          <w:sz w:val="24"/>
        </w:rPr>
        <w:t>详见招标公告中获取招标文件的时间期限、地点、方式及招标文件售价。</w:t>
      </w:r>
    </w:p>
    <w:p w14:paraId="2FFE61BA">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8.开标前答疑会或现场考察</w:t>
      </w:r>
    </w:p>
    <w:p w14:paraId="29394061">
      <w:pPr>
        <w:pStyle w:val="32"/>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采购人组织潜在投标人现场考察或者召开开标前答疑会的，潜在投标人按第二部分投标人须知前附表的规定参加现场考察或者开标前答疑会。</w:t>
      </w:r>
    </w:p>
    <w:p w14:paraId="5EEFA7C8">
      <w:pPr>
        <w:pStyle w:val="32"/>
        <w:spacing w:line="360" w:lineRule="auto"/>
        <w:rPr>
          <w:rFonts w:hAnsi="宋体" w:cs="宋体"/>
          <w:b/>
          <w:color w:val="000000" w:themeColor="text1"/>
          <w:szCs w:val="24"/>
        </w:rPr>
      </w:pPr>
      <w:r>
        <w:rPr>
          <w:rFonts w:hint="eastAsia" w:hAnsi="宋体" w:cs="宋体"/>
          <w:b/>
          <w:color w:val="000000" w:themeColor="text1"/>
          <w:kern w:val="28"/>
          <w:sz w:val="24"/>
          <w:szCs w:val="24"/>
        </w:rPr>
        <w:t>9.投标保证金</w:t>
      </w:r>
    </w:p>
    <w:p w14:paraId="5600936F">
      <w:pPr>
        <w:pStyle w:val="2"/>
        <w:spacing w:line="360" w:lineRule="auto"/>
        <w:ind w:firstLine="470" w:firstLineChars="196"/>
        <w:rPr>
          <w:rFonts w:hAnsi="宋体" w:cs="宋体"/>
          <w:color w:val="000000" w:themeColor="text1"/>
          <w:sz w:val="24"/>
        </w:rPr>
      </w:pPr>
      <w:r>
        <w:rPr>
          <w:rFonts w:hint="eastAsia" w:hAnsi="宋体" w:cs="宋体"/>
          <w:color w:val="000000" w:themeColor="text1"/>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72AC2194">
      <w:pPr>
        <w:pStyle w:val="82"/>
        <w:ind w:firstLine="480" w:firstLineChars="200"/>
        <w:rPr>
          <w:rFonts w:cs="宋体"/>
          <w:color w:val="000000" w:themeColor="text1"/>
          <w:kern w:val="2"/>
          <w:szCs w:val="24"/>
        </w:rPr>
      </w:pPr>
      <w:r>
        <w:rPr>
          <w:rFonts w:hint="eastAsia" w:cs="宋体"/>
          <w:color w:val="000000" w:themeColor="text1"/>
          <w:kern w:val="2"/>
          <w:szCs w:val="24"/>
        </w:rPr>
        <w:t>投标保证金收取银行账户</w:t>
      </w:r>
    </w:p>
    <w:p w14:paraId="1ED4E155">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开户名称： </w:t>
      </w:r>
    </w:p>
    <w:p w14:paraId="4CF10513">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开户银行： </w:t>
      </w:r>
    </w:p>
    <w:p w14:paraId="6C8076C4">
      <w:pPr>
        <w:pStyle w:val="82"/>
        <w:ind w:firstLine="480" w:firstLineChars="200"/>
        <w:rPr>
          <w:rFonts w:cs="宋体"/>
          <w:color w:val="000000" w:themeColor="text1"/>
          <w:kern w:val="2"/>
          <w:szCs w:val="24"/>
        </w:rPr>
      </w:pPr>
      <w:r>
        <w:rPr>
          <w:rFonts w:hint="eastAsia" w:cs="宋体"/>
          <w:color w:val="000000" w:themeColor="text1"/>
          <w:kern w:val="2"/>
          <w:szCs w:val="24"/>
        </w:rPr>
        <w:t>银行账号：</w:t>
      </w:r>
    </w:p>
    <w:p w14:paraId="103B55F8">
      <w:pPr>
        <w:pStyle w:val="2"/>
        <w:spacing w:line="360" w:lineRule="auto"/>
        <w:ind w:firstLine="470" w:firstLineChars="196"/>
        <w:rPr>
          <w:rFonts w:hAnsi="宋体" w:cs="宋体"/>
          <w:color w:val="000000" w:themeColor="text1"/>
          <w:sz w:val="24"/>
        </w:rPr>
      </w:pPr>
      <w:r>
        <w:rPr>
          <w:rFonts w:hint="eastAsia" w:hAnsi="宋体" w:cs="宋体"/>
          <w:color w:val="000000" w:themeColor="text1"/>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6A273EFF">
      <w:pPr>
        <w:pStyle w:val="2"/>
        <w:spacing w:line="360" w:lineRule="auto"/>
        <w:ind w:firstLine="470" w:firstLineChars="196"/>
        <w:rPr>
          <w:rFonts w:hAnsi="宋体" w:cs="宋体"/>
          <w:color w:val="000000" w:themeColor="text1"/>
          <w:sz w:val="24"/>
        </w:rPr>
      </w:pPr>
      <w:r>
        <w:rPr>
          <w:rFonts w:hint="eastAsia" w:hAnsi="宋体" w:cs="宋体"/>
          <w:color w:val="000000" w:themeColor="text1"/>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5F89F84E">
      <w:pPr>
        <w:pStyle w:val="2"/>
        <w:spacing w:line="360" w:lineRule="auto"/>
        <w:ind w:firstLine="470" w:firstLineChars="196"/>
        <w:rPr>
          <w:rFonts w:hAnsi="宋体" w:cs="宋体"/>
          <w:color w:val="000000" w:themeColor="text1"/>
          <w:sz w:val="24"/>
        </w:rPr>
      </w:pPr>
      <w:r>
        <w:rPr>
          <w:rFonts w:hint="eastAsia" w:hAnsi="宋体" w:cs="宋体"/>
          <w:color w:val="000000" w:themeColor="text1"/>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0E9A22E9">
      <w:pPr>
        <w:pStyle w:val="32"/>
        <w:spacing w:line="360" w:lineRule="auto"/>
        <w:ind w:firstLine="480" w:firstLineChars="200"/>
        <w:rPr>
          <w:rFonts w:hAnsi="宋体" w:cs="宋体"/>
          <w:color w:val="000000" w:themeColor="text1"/>
          <w:sz w:val="24"/>
        </w:rPr>
      </w:pPr>
      <w:r>
        <w:rPr>
          <w:rFonts w:hint="eastAsia" w:hAnsi="宋体" w:cs="宋体"/>
          <w:color w:val="000000" w:themeColor="text1"/>
          <w:sz w:val="24"/>
        </w:rPr>
        <w:t>9.3保证金不予退还情形：（1）投标人在投标有效期内撤销投标文件的；（2）采购文件规定的其他情形。</w:t>
      </w:r>
    </w:p>
    <w:p w14:paraId="2480C3CC">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10. 投标文件的语言</w:t>
      </w:r>
    </w:p>
    <w:p w14:paraId="7455A148">
      <w:pPr>
        <w:autoSpaceDE w:val="0"/>
        <w:autoSpaceDN w:val="0"/>
        <w:spacing w:line="360" w:lineRule="auto"/>
        <w:ind w:firstLine="480" w:firstLineChars="200"/>
        <w:rPr>
          <w:rFonts w:ascii="宋体" w:hAnsi="宋体" w:cs="宋体"/>
          <w:color w:val="000000" w:themeColor="text1"/>
          <w:sz w:val="24"/>
          <w:lang w:val="zh-CN"/>
        </w:rPr>
      </w:pPr>
      <w:r>
        <w:rPr>
          <w:rFonts w:hint="eastAsia" w:ascii="宋体" w:hAnsi="宋体" w:cs="宋体"/>
          <w:color w:val="000000" w:themeColor="text1"/>
          <w:sz w:val="24"/>
        </w:rPr>
        <w:t>投标文件及投标人与采购有关的来往通知、函件和文件均应使用中文。</w:t>
      </w:r>
    </w:p>
    <w:p w14:paraId="4D810287">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11. 投标文件的组成</w:t>
      </w:r>
    </w:p>
    <w:p w14:paraId="5FFF3A97">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11.1</w:t>
      </w:r>
      <w:r>
        <w:rPr>
          <w:rFonts w:hint="eastAsia" w:ascii="宋体" w:hAnsi="宋体" w:cs="宋体"/>
          <w:b/>
          <w:color w:val="000000" w:themeColor="text1"/>
          <w:sz w:val="24"/>
        </w:rPr>
        <w:t>资格文件</w:t>
      </w:r>
      <w:r>
        <w:rPr>
          <w:rFonts w:hint="eastAsia" w:ascii="宋体" w:hAnsi="宋体" w:cs="宋体"/>
          <w:color w:val="000000" w:themeColor="text1"/>
          <w:sz w:val="24"/>
        </w:rPr>
        <w:t>：</w:t>
      </w:r>
    </w:p>
    <w:p w14:paraId="20BBE358">
      <w:pPr>
        <w:snapToGrid w:val="0"/>
        <w:spacing w:line="360" w:lineRule="auto"/>
        <w:ind w:firstLine="480" w:firstLineChars="200"/>
        <w:rPr>
          <w:rFonts w:ascii="宋体" w:hAnsi="宋体" w:cs="宋体"/>
          <w:color w:val="000000" w:themeColor="text1"/>
          <w:sz w:val="24"/>
        </w:rPr>
      </w:pPr>
      <w:r>
        <w:rPr>
          <w:rFonts w:hint="eastAsia" w:ascii="宋体" w:hAnsi="宋体" w:cs="宋体"/>
          <w:sz w:val="24"/>
        </w:rPr>
        <w:t>▲</w:t>
      </w:r>
      <w:r>
        <w:rPr>
          <w:rFonts w:hint="eastAsia" w:ascii="宋体" w:hAnsi="宋体" w:cs="宋体"/>
          <w:color w:val="000000" w:themeColor="text1"/>
          <w:sz w:val="24"/>
        </w:rPr>
        <w:t>11.1.1符合参加政府采购活动应当具备的一般条件的承诺函；</w:t>
      </w:r>
    </w:p>
    <w:p w14:paraId="15EC4F6C">
      <w:pPr>
        <w:snapToGrid w:val="0"/>
        <w:spacing w:line="360" w:lineRule="auto"/>
        <w:ind w:firstLine="480" w:firstLineChars="200"/>
        <w:rPr>
          <w:rFonts w:ascii="宋体" w:hAnsi="宋体" w:cs="宋体"/>
          <w:sz w:val="24"/>
        </w:rPr>
      </w:pPr>
      <w:r>
        <w:rPr>
          <w:rFonts w:hint="eastAsia" w:ascii="宋体" w:hAnsi="宋体" w:cs="宋体"/>
          <w:sz w:val="24"/>
        </w:rPr>
        <w:t>▲11.1.2落实政府采购政策需满足的资格要求；</w:t>
      </w:r>
    </w:p>
    <w:p w14:paraId="317BCD6C">
      <w:pPr>
        <w:snapToGrid w:val="0"/>
        <w:spacing w:line="360" w:lineRule="auto"/>
        <w:ind w:firstLine="480" w:firstLineChars="200"/>
        <w:rPr>
          <w:rFonts w:ascii="宋体" w:hAnsi="宋体" w:cs="宋体"/>
          <w:sz w:val="24"/>
        </w:rPr>
      </w:pPr>
      <w:r>
        <w:rPr>
          <w:rFonts w:hint="eastAsia" w:ascii="宋体" w:hAnsi="宋体" w:cs="宋体"/>
          <w:sz w:val="24"/>
        </w:rPr>
        <w:t>▲11.1.3本项目的特定资格要求。</w:t>
      </w:r>
    </w:p>
    <w:p w14:paraId="23B55987">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2商务技术</w:t>
      </w:r>
      <w:r>
        <w:rPr>
          <w:rFonts w:hint="eastAsia" w:ascii="宋体" w:hAnsi="宋体" w:cs="宋体"/>
          <w:b/>
          <w:sz w:val="24"/>
          <w:lang w:val="zh-CN"/>
        </w:rPr>
        <w:t>文件：</w:t>
      </w:r>
    </w:p>
    <w:p w14:paraId="6C179A8E">
      <w:pPr>
        <w:snapToGrid w:val="0"/>
        <w:spacing w:line="360" w:lineRule="auto"/>
        <w:ind w:firstLine="480" w:firstLineChars="200"/>
        <w:rPr>
          <w:rFonts w:ascii="宋体" w:hAnsi="宋体" w:cs="宋体"/>
          <w:sz w:val="24"/>
        </w:rPr>
      </w:pPr>
      <w:r>
        <w:rPr>
          <w:rFonts w:hint="eastAsia" w:ascii="宋体" w:hAnsi="宋体" w:cs="宋体"/>
          <w:sz w:val="24"/>
        </w:rPr>
        <w:t>▲11.2.1投标函；</w:t>
      </w:r>
    </w:p>
    <w:p w14:paraId="4F2B8746">
      <w:pPr>
        <w:snapToGrid w:val="0"/>
        <w:spacing w:line="360" w:lineRule="auto"/>
        <w:ind w:firstLine="480" w:firstLineChars="200"/>
        <w:rPr>
          <w:rFonts w:ascii="宋体" w:hAnsi="宋体" w:cs="宋体"/>
          <w:sz w:val="24"/>
        </w:rPr>
      </w:pPr>
      <w:r>
        <w:rPr>
          <w:rFonts w:hint="eastAsia" w:ascii="宋体" w:hAnsi="宋体" w:cs="宋体"/>
          <w:sz w:val="24"/>
        </w:rPr>
        <w:t>▲11.2.2授权委托书或法定代表人（单位负责人、自然人本人）身份证明；</w:t>
      </w:r>
    </w:p>
    <w:p w14:paraId="60799278">
      <w:pPr>
        <w:snapToGrid w:val="0"/>
        <w:spacing w:line="360" w:lineRule="auto"/>
        <w:ind w:firstLine="720" w:firstLineChars="300"/>
        <w:rPr>
          <w:rFonts w:ascii="宋体" w:hAnsi="宋体" w:cs="宋体"/>
          <w:sz w:val="24"/>
        </w:rPr>
      </w:pPr>
      <w:r>
        <w:rPr>
          <w:rFonts w:hint="eastAsia" w:ascii="宋体" w:hAnsi="宋体" w:cs="宋体"/>
          <w:sz w:val="24"/>
        </w:rPr>
        <w:t>11.2.3评标标准相应的商务技术资料；</w:t>
      </w:r>
    </w:p>
    <w:p w14:paraId="63794ACF">
      <w:pPr>
        <w:snapToGrid w:val="0"/>
        <w:spacing w:line="360" w:lineRule="auto"/>
        <w:ind w:firstLine="480" w:firstLineChars="200"/>
        <w:rPr>
          <w:rFonts w:ascii="宋体" w:hAnsi="宋体" w:cs="宋体"/>
          <w:sz w:val="24"/>
        </w:rPr>
      </w:pPr>
      <w:r>
        <w:rPr>
          <w:rFonts w:hint="eastAsia" w:ascii="宋体" w:hAnsi="宋体" w:cs="宋体"/>
          <w:sz w:val="24"/>
        </w:rPr>
        <w:t>▲11.2.4投标标的清单；</w:t>
      </w:r>
    </w:p>
    <w:p w14:paraId="38ACB2EC">
      <w:pPr>
        <w:snapToGrid w:val="0"/>
        <w:spacing w:line="360" w:lineRule="auto"/>
        <w:ind w:firstLine="480" w:firstLineChars="200"/>
        <w:rPr>
          <w:rFonts w:ascii="宋体" w:hAnsi="宋体" w:cs="宋体"/>
          <w:color w:val="000000" w:themeColor="text1"/>
          <w:sz w:val="24"/>
        </w:rPr>
      </w:pPr>
      <w:r>
        <w:rPr>
          <w:rFonts w:hint="eastAsia" w:ascii="宋体" w:hAnsi="宋体" w:cs="宋体"/>
          <w:sz w:val="24"/>
        </w:rPr>
        <w:t>▲</w:t>
      </w:r>
      <w:r>
        <w:rPr>
          <w:rFonts w:hint="eastAsia" w:ascii="宋体" w:hAnsi="宋体" w:cs="宋体"/>
          <w:color w:val="000000" w:themeColor="text1"/>
          <w:sz w:val="24"/>
        </w:rPr>
        <w:t>11.2.5商务技术偏离表；</w:t>
      </w:r>
    </w:p>
    <w:p w14:paraId="6DA096ED">
      <w:pPr>
        <w:snapToGrid w:val="0"/>
        <w:spacing w:line="360" w:lineRule="auto"/>
        <w:ind w:firstLine="480" w:firstLineChars="200"/>
        <w:rPr>
          <w:rFonts w:ascii="宋体" w:hAnsi="宋体" w:cs="宋体"/>
          <w:color w:val="000000" w:themeColor="text1"/>
          <w:sz w:val="24"/>
          <w:lang w:val="zh-CN"/>
        </w:rPr>
      </w:pPr>
      <w:r>
        <w:rPr>
          <w:rFonts w:hint="eastAsia" w:ascii="宋体" w:hAnsi="宋体" w:cs="宋体"/>
          <w:sz w:val="24"/>
        </w:rPr>
        <w:t>▲</w:t>
      </w:r>
      <w:r>
        <w:rPr>
          <w:rFonts w:hint="eastAsia" w:ascii="宋体" w:hAnsi="宋体" w:cs="宋体"/>
          <w:color w:val="000000" w:themeColor="text1"/>
          <w:sz w:val="24"/>
          <w:lang w:val="zh-CN"/>
        </w:rPr>
        <w:t>11.</w:t>
      </w:r>
      <w:r>
        <w:rPr>
          <w:rFonts w:hint="eastAsia" w:ascii="宋体" w:hAnsi="宋体" w:cs="宋体"/>
          <w:color w:val="000000" w:themeColor="text1"/>
          <w:sz w:val="24"/>
        </w:rPr>
        <w:t>2</w:t>
      </w:r>
      <w:r>
        <w:rPr>
          <w:rFonts w:hint="eastAsia" w:ascii="宋体" w:hAnsi="宋体" w:cs="宋体"/>
          <w:color w:val="000000" w:themeColor="text1"/>
          <w:sz w:val="24"/>
          <w:lang w:val="zh-CN"/>
        </w:rPr>
        <w:t>.</w:t>
      </w:r>
      <w:r>
        <w:rPr>
          <w:rFonts w:hint="eastAsia" w:ascii="宋体" w:hAnsi="宋体" w:cs="宋体"/>
          <w:color w:val="000000" w:themeColor="text1"/>
          <w:sz w:val="24"/>
        </w:rPr>
        <w:t>6</w:t>
      </w:r>
      <w:r>
        <w:rPr>
          <w:rFonts w:hint="eastAsia" w:ascii="宋体" w:hAnsi="宋体" w:cs="宋体"/>
          <w:color w:val="000000" w:themeColor="text1"/>
          <w:sz w:val="24"/>
          <w:lang w:val="zh-CN"/>
        </w:rPr>
        <w:t>政府采购供应商廉洁自律承诺书；</w:t>
      </w:r>
    </w:p>
    <w:p w14:paraId="68A6B109">
      <w:pPr>
        <w:pStyle w:val="82"/>
        <w:rPr>
          <w:rFonts w:hint="eastAsia"/>
          <w:color w:val="000000" w:themeColor="text1"/>
        </w:rPr>
      </w:pPr>
      <w:r>
        <w:rPr>
          <w:rFonts w:hint="eastAsia" w:cs="宋体"/>
        </w:rPr>
        <w:t>▲</w:t>
      </w:r>
      <w:r>
        <w:rPr>
          <w:rFonts w:hint="eastAsia"/>
          <w:color w:val="000000" w:themeColor="text1"/>
        </w:rPr>
        <w:t>11.2.7承诺函。</w:t>
      </w:r>
    </w:p>
    <w:p w14:paraId="549F832E">
      <w:pPr>
        <w:pStyle w:val="82"/>
        <w:ind w:firstLine="789" w:firstLineChars="329"/>
        <w:rPr>
          <w:rFonts w:hint="default" w:eastAsia="宋体"/>
          <w:color w:val="000000" w:themeColor="text1"/>
          <w:lang w:val="en-US" w:eastAsia="zh-CN"/>
        </w:rPr>
      </w:pPr>
      <w:r>
        <w:rPr>
          <w:rFonts w:hint="eastAsia"/>
          <w:color w:val="000000" w:themeColor="text1"/>
          <w:lang w:val="en-US" w:eastAsia="zh-CN"/>
        </w:rPr>
        <w:t>11.2.8 其它资料。</w:t>
      </w:r>
    </w:p>
    <w:p w14:paraId="7377083A">
      <w:pPr>
        <w:snapToGrid w:val="0"/>
        <w:spacing w:line="360" w:lineRule="auto"/>
        <w:ind w:firstLine="482" w:firstLineChars="200"/>
        <w:rPr>
          <w:rFonts w:ascii="宋体" w:hAnsi="宋体" w:cs="宋体"/>
          <w:b/>
          <w:color w:val="000000" w:themeColor="text1"/>
          <w:sz w:val="24"/>
          <w:u w:val="single"/>
          <w:lang w:val="zh-CN"/>
        </w:rPr>
      </w:pPr>
      <w:r>
        <w:rPr>
          <w:rFonts w:hint="eastAsia" w:ascii="宋体" w:hAnsi="宋体" w:cs="宋体"/>
          <w:b/>
          <w:color w:val="000000" w:themeColor="text1"/>
          <w:kern w:val="0"/>
          <w:sz w:val="24"/>
          <w:lang w:val="zh-CN"/>
        </w:rPr>
        <w:t>11.</w:t>
      </w:r>
      <w:r>
        <w:rPr>
          <w:rFonts w:hint="eastAsia" w:ascii="宋体" w:hAnsi="宋体" w:cs="宋体"/>
          <w:b/>
          <w:color w:val="000000" w:themeColor="text1"/>
          <w:kern w:val="0"/>
          <w:sz w:val="24"/>
        </w:rPr>
        <w:t>3</w:t>
      </w:r>
      <w:r>
        <w:rPr>
          <w:rFonts w:hint="eastAsia" w:ascii="宋体" w:hAnsi="宋体" w:cs="宋体"/>
          <w:b/>
          <w:color w:val="000000" w:themeColor="text1"/>
          <w:sz w:val="24"/>
        </w:rPr>
        <w:t xml:space="preserve">报价文件： </w:t>
      </w:r>
    </w:p>
    <w:p w14:paraId="404B7B31">
      <w:pPr>
        <w:snapToGrid w:val="0"/>
        <w:spacing w:line="360" w:lineRule="auto"/>
        <w:ind w:firstLine="420" w:firstLineChars="200"/>
        <w:rPr>
          <w:rFonts w:ascii="宋体" w:hAnsi="宋体" w:cs="宋体"/>
          <w:color w:val="000000" w:themeColor="text1"/>
          <w:sz w:val="24"/>
        </w:rPr>
      </w:pPr>
      <w:r>
        <w:rPr>
          <w:rFonts w:hint="eastAsia" w:cs="宋体"/>
        </w:rPr>
        <w:t>▲</w:t>
      </w:r>
      <w:r>
        <w:rPr>
          <w:rFonts w:hint="eastAsia" w:ascii="宋体" w:hAnsi="宋体" w:cs="宋体"/>
          <w:color w:val="000000" w:themeColor="text1"/>
          <w:sz w:val="24"/>
        </w:rPr>
        <w:t>11.3.1开标一览表（报价表）；</w:t>
      </w:r>
    </w:p>
    <w:p w14:paraId="1C8F58F9">
      <w:pPr>
        <w:snapToGrid w:val="0"/>
        <w:spacing w:line="360" w:lineRule="auto"/>
        <w:ind w:firstLine="420" w:firstLineChars="200"/>
        <w:rPr>
          <w:rFonts w:ascii="宋体" w:hAnsi="宋体" w:cs="宋体"/>
          <w:sz w:val="24"/>
        </w:rPr>
      </w:pPr>
      <w:r>
        <w:rPr>
          <w:rFonts w:hint="eastAsia" w:cs="宋体"/>
        </w:rPr>
        <w:t>▲</w:t>
      </w:r>
      <w:r>
        <w:rPr>
          <w:rFonts w:hint="eastAsia" w:ascii="宋体" w:hAnsi="宋体" w:cs="宋体"/>
          <w:sz w:val="24"/>
        </w:rPr>
        <w:t>11.3.2中小企业声明函。</w:t>
      </w:r>
    </w:p>
    <w:p w14:paraId="168609EA">
      <w:pPr>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rPr>
        <w:t>投标文件含有采购人不能接受的附加条件的，投标无效；</w:t>
      </w:r>
    </w:p>
    <w:p w14:paraId="27904755">
      <w:pPr>
        <w:spacing w:line="360" w:lineRule="auto"/>
        <w:ind w:firstLine="482" w:firstLineChars="200"/>
        <w:rPr>
          <w:rFonts w:ascii="宋体" w:hAnsi="宋体" w:cs="宋体"/>
          <w:b/>
          <w:color w:val="000000" w:themeColor="text1"/>
          <w:sz w:val="24"/>
          <w:szCs w:val="21"/>
        </w:rPr>
      </w:pPr>
      <w:r>
        <w:rPr>
          <w:rFonts w:hint="eastAsia" w:ascii="宋体" w:hAnsi="宋体" w:cs="宋体"/>
          <w:b/>
          <w:color w:val="000000" w:themeColor="text1"/>
          <w:sz w:val="24"/>
        </w:rPr>
        <w:t>投标人提供虚假材料投标的，投标无效。</w:t>
      </w:r>
    </w:p>
    <w:p w14:paraId="21DAB002">
      <w:pPr>
        <w:pStyle w:val="128"/>
        <w:snapToGrid w:val="0"/>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12</w:t>
      </w:r>
      <w:r>
        <w:rPr>
          <w:rFonts w:hint="eastAsia" w:ascii="宋体" w:hAnsi="宋体" w:cs="宋体"/>
          <w:b/>
          <w:color w:val="000000" w:themeColor="text1"/>
          <w:kern w:val="0"/>
          <w:szCs w:val="24"/>
          <w:lang w:val="zh-CN"/>
        </w:rPr>
        <w:t xml:space="preserve">. </w:t>
      </w:r>
      <w:r>
        <w:rPr>
          <w:rFonts w:hint="eastAsia" w:ascii="宋体" w:hAnsi="宋体" w:cs="宋体"/>
          <w:b/>
          <w:color w:val="000000" w:themeColor="text1"/>
          <w:szCs w:val="24"/>
        </w:rPr>
        <w:t>投标文件的编制</w:t>
      </w:r>
    </w:p>
    <w:p w14:paraId="56547244">
      <w:pPr>
        <w:spacing w:line="360" w:lineRule="auto"/>
        <w:ind w:firstLine="480" w:firstLineChars="200"/>
        <w:rPr>
          <w:rFonts w:ascii="宋体" w:hAnsi="宋体" w:cs="宋体"/>
          <w:b/>
          <w:color w:val="000000" w:themeColor="text1"/>
          <w:sz w:val="24"/>
        </w:rPr>
      </w:pPr>
      <w:r>
        <w:rPr>
          <w:rFonts w:hint="eastAsia" w:ascii="宋体" w:hAnsi="宋体" w:cs="宋体"/>
          <w:color w:val="000000" w:themeColor="text1"/>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D41F86C">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14C62FF2">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12.3使用“广西政府采购云平台电子交易客户端”需要提前申领CA数字证书，申领流程请自行前往“</w:t>
      </w:r>
      <w:r>
        <w:rPr>
          <w:rFonts w:hint="eastAsia" w:ascii="宋体" w:hAnsi="宋体" w:cs="宋体"/>
          <w:color w:val="000000" w:themeColor="text1"/>
          <w:sz w:val="24"/>
        </w:rPr>
        <w:t>广西政府采购网（http://zfcg.gxzf.gov.cn/）—办事服务—下载专区</w:t>
      </w:r>
      <w:r>
        <w:rPr>
          <w:rFonts w:hint="eastAsia" w:ascii="宋体" w:hAnsi="宋体" w:cs="宋体"/>
          <w:color w:val="000000" w:themeColor="text1"/>
          <w:kern w:val="0"/>
          <w:sz w:val="24"/>
          <w:lang w:val="zh-CN"/>
        </w:rPr>
        <w:t>”进行查阅。</w:t>
      </w:r>
    </w:p>
    <w:p w14:paraId="1F870227">
      <w:pPr>
        <w:snapToGrid w:val="0"/>
        <w:spacing w:line="360" w:lineRule="auto"/>
        <w:rPr>
          <w:rFonts w:ascii="宋体" w:hAnsi="宋体" w:cs="宋体"/>
          <w:b/>
          <w:color w:val="000000" w:themeColor="text1"/>
          <w:sz w:val="24"/>
        </w:rPr>
      </w:pPr>
      <w:r>
        <w:rPr>
          <w:rFonts w:hint="eastAsia" w:ascii="宋体" w:hAnsi="宋体" w:cs="宋体"/>
          <w:b/>
          <w:color w:val="000000" w:themeColor="text1"/>
          <w:sz w:val="24"/>
        </w:rPr>
        <w:t>13.投标文件的签署、盖章</w:t>
      </w:r>
    </w:p>
    <w:p w14:paraId="70B6FDEB">
      <w:pPr>
        <w:pStyle w:val="128"/>
        <w:snapToGrid w:val="0"/>
        <w:spacing w:before="0"/>
        <w:ind w:firstLine="480"/>
        <w:rPr>
          <w:rFonts w:ascii="宋体" w:hAnsi="宋体" w:cs="宋体"/>
          <w:b/>
          <w:color w:val="000000" w:themeColor="text1"/>
        </w:rPr>
      </w:pPr>
      <w:r>
        <w:rPr>
          <w:rFonts w:hint="eastAsia" w:ascii="宋体" w:hAnsi="宋体" w:cs="宋体"/>
          <w:color w:val="000000" w:themeColor="text1"/>
          <w:szCs w:val="24"/>
        </w:rPr>
        <w:t>13.1投标文件按照招标文件第六部分格式要</w:t>
      </w:r>
      <w:r>
        <w:rPr>
          <w:rFonts w:hint="eastAsia" w:ascii="宋体" w:hAnsi="宋体" w:cs="宋体"/>
          <w:color w:val="000000" w:themeColor="text1"/>
        </w:rPr>
        <w:t>求进行签署、盖章。</w:t>
      </w:r>
      <w:r>
        <w:rPr>
          <w:rFonts w:hint="eastAsia" w:ascii="宋体" w:hAnsi="宋体" w:cs="宋体"/>
          <w:b/>
          <w:color w:val="000000" w:themeColor="text1"/>
        </w:rPr>
        <w:t>▲投标人的投标文件未按照招标文件要求签署、盖章的，其投标无效</w:t>
      </w:r>
      <w:r>
        <w:rPr>
          <w:rFonts w:hint="eastAsia" w:ascii="宋体" w:hAnsi="宋体" w:cs="宋体"/>
          <w:color w:val="000000" w:themeColor="text1"/>
          <w:szCs w:val="24"/>
        </w:rPr>
        <w:t>。</w:t>
      </w:r>
    </w:p>
    <w:p w14:paraId="1BDD80C0">
      <w:pPr>
        <w:pStyle w:val="128"/>
        <w:snapToGrid w:val="0"/>
        <w:spacing w:before="0"/>
        <w:ind w:firstLine="480"/>
        <w:rPr>
          <w:rFonts w:ascii="宋体" w:hAnsi="宋体" w:cs="宋体"/>
          <w:color w:val="000000" w:themeColor="text1"/>
        </w:rPr>
      </w:pPr>
      <w:r>
        <w:rPr>
          <w:rFonts w:hint="eastAsia" w:ascii="宋体" w:hAnsi="宋体" w:cs="宋体"/>
          <w:color w:val="000000" w:themeColor="text1"/>
        </w:rPr>
        <w:t>13.2为确保网上操作合法、有效和安全，投标人应当在投标截止时间前完成在“广西政府采购云平台”的身份认证，确保在电子投标过程中能够对相关数据电文进行加密和使用电子签名。</w:t>
      </w:r>
    </w:p>
    <w:p w14:paraId="1FFECDE7">
      <w:pPr>
        <w:pStyle w:val="128"/>
        <w:snapToGrid w:val="0"/>
        <w:spacing w:before="0"/>
        <w:ind w:firstLine="480"/>
        <w:rPr>
          <w:rFonts w:ascii="宋体" w:hAnsi="宋体" w:cs="宋体"/>
          <w:color w:val="000000" w:themeColor="text1"/>
          <w:szCs w:val="24"/>
        </w:rPr>
      </w:pPr>
      <w:r>
        <w:rPr>
          <w:rFonts w:hint="eastAsia" w:ascii="宋体" w:hAnsi="宋体" w:cs="宋体"/>
          <w:color w:val="000000" w:themeColor="text1"/>
        </w:rPr>
        <w:t>13.3招标文件对投标文件签署、盖章的要求适用于电子签名、CA签章以及招标文件明确允许的其他方式。</w:t>
      </w:r>
    </w:p>
    <w:p w14:paraId="01D12791">
      <w:pPr>
        <w:pStyle w:val="128"/>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14. 投标文件的提交、补充、修改、撤回</w:t>
      </w:r>
    </w:p>
    <w:p w14:paraId="607EAD22">
      <w:pPr>
        <w:pStyle w:val="128"/>
        <w:spacing w:before="0"/>
        <w:ind w:firstLine="480"/>
        <w:rPr>
          <w:rFonts w:ascii="宋体" w:hAnsi="宋体" w:cs="宋体"/>
          <w:color w:val="000000" w:themeColor="text1"/>
          <w:szCs w:val="24"/>
        </w:rPr>
      </w:pPr>
      <w:r>
        <w:rPr>
          <w:rFonts w:hint="eastAsia" w:ascii="宋体" w:hAnsi="宋体" w:cs="宋体"/>
          <w:color w:val="000000" w:themeColor="text1"/>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C4AF7FA">
      <w:pPr>
        <w:pStyle w:val="128"/>
        <w:spacing w:before="0"/>
        <w:ind w:firstLine="480"/>
        <w:rPr>
          <w:rFonts w:ascii="宋体" w:hAnsi="宋体" w:cs="宋体"/>
          <w:color w:val="000000" w:themeColor="text1"/>
          <w:szCs w:val="24"/>
        </w:rPr>
      </w:pPr>
      <w:r>
        <w:rPr>
          <w:rFonts w:hint="eastAsia" w:ascii="宋体" w:hAnsi="宋体" w:cs="宋体"/>
          <w:color w:val="000000" w:themeColor="text1"/>
          <w:szCs w:val="24"/>
        </w:rPr>
        <w:t>14.2电子交易平台收到投标文件，将妥善保存并即时向供应商发出确认回执通知。在投标截止时间前，除供应商补充、修改或者撤回投标文件外，任何单位和个人不得解密或提取投标文件。</w:t>
      </w:r>
    </w:p>
    <w:p w14:paraId="0D8A0286">
      <w:pPr>
        <w:pStyle w:val="128"/>
        <w:spacing w:before="0"/>
        <w:ind w:firstLine="480"/>
        <w:rPr>
          <w:rFonts w:ascii="宋体" w:hAnsi="宋体" w:cs="宋体"/>
          <w:color w:val="000000" w:themeColor="text1"/>
          <w:szCs w:val="24"/>
        </w:rPr>
      </w:pPr>
      <w:r>
        <w:rPr>
          <w:rFonts w:hint="eastAsia" w:ascii="宋体" w:hAnsi="宋体" w:cs="宋体"/>
          <w:color w:val="000000" w:themeColor="text1"/>
          <w:szCs w:val="24"/>
        </w:rPr>
        <w:t>14.3采购人、采购代理机构可以视情况延长投标文件提交的截止时间。在上述情况下，采购代理机构与投标人以前在投标截止期方面的全部权利、责任和义务，将适用于延长至新的投标截止期。</w:t>
      </w:r>
    </w:p>
    <w:p w14:paraId="68E200D7">
      <w:pPr>
        <w:pStyle w:val="32"/>
        <w:spacing w:line="360" w:lineRule="auto"/>
        <w:rPr>
          <w:rFonts w:hAnsi="宋体" w:cs="宋体"/>
          <w:b/>
          <w:color w:val="000000" w:themeColor="text1"/>
          <w:sz w:val="24"/>
          <w:szCs w:val="24"/>
        </w:rPr>
      </w:pPr>
      <w:r>
        <w:rPr>
          <w:rFonts w:hint="eastAsia" w:hAnsi="宋体" w:cs="宋体"/>
          <w:b/>
          <w:color w:val="000000" w:themeColor="text1"/>
          <w:sz w:val="24"/>
          <w:szCs w:val="24"/>
        </w:rPr>
        <w:t>15.备份投标文件</w:t>
      </w:r>
    </w:p>
    <w:p w14:paraId="74E9FD74">
      <w:pPr>
        <w:pStyle w:val="32"/>
        <w:spacing w:line="360" w:lineRule="auto"/>
        <w:ind w:firstLine="360" w:firstLineChars="150"/>
        <w:rPr>
          <w:rFonts w:hAnsi="宋体" w:cs="宋体"/>
          <w:b/>
          <w:color w:val="000000" w:themeColor="text1"/>
          <w:sz w:val="24"/>
          <w:szCs w:val="24"/>
        </w:rPr>
      </w:pPr>
      <w:r>
        <w:rPr>
          <w:rFonts w:hint="eastAsia" w:hAnsi="宋体" w:cs="宋体"/>
          <w:color w:val="000000" w:themeColor="text1"/>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rPr>
        <w:t>但采购人、采购代理机构不强制或变相强制投标人提交备份投标文件。</w:t>
      </w:r>
    </w:p>
    <w:p w14:paraId="5567999F">
      <w:pPr>
        <w:pStyle w:val="32"/>
        <w:spacing w:line="360" w:lineRule="auto"/>
        <w:ind w:firstLine="480" w:firstLineChars="200"/>
        <w:rPr>
          <w:rFonts w:hAnsi="宋体" w:cs="宋体"/>
          <w:b/>
          <w:color w:val="000000" w:themeColor="text1"/>
          <w:sz w:val="24"/>
          <w:szCs w:val="24"/>
        </w:rPr>
      </w:pPr>
      <w:r>
        <w:rPr>
          <w:rFonts w:hint="eastAsia" w:hAnsi="宋体" w:cs="宋体"/>
          <w:color w:val="000000" w:themeColor="text1"/>
          <w:sz w:val="24"/>
          <w:szCs w:val="24"/>
        </w:rPr>
        <w:t>15.2备份投标文件须在“</w:t>
      </w:r>
      <w:r>
        <w:rPr>
          <w:rFonts w:hint="eastAsia" w:hAnsi="宋体" w:cs="宋体"/>
          <w:color w:val="000000" w:themeColor="text1"/>
          <w:sz w:val="24"/>
        </w:rPr>
        <w:t>广西政府采购云平台</w:t>
      </w:r>
      <w:r>
        <w:rPr>
          <w:rFonts w:hint="eastAsia" w:hAnsi="宋体" w:cs="宋体"/>
          <w:color w:val="000000" w:themeColor="text1"/>
          <w:sz w:val="24"/>
          <w:szCs w:val="24"/>
        </w:rPr>
        <w:t>投标客户端”制作生成，并储存在</w:t>
      </w:r>
      <w:r>
        <w:rPr>
          <w:rFonts w:hint="eastAsia" w:hAnsi="宋体" w:cs="宋体"/>
          <w:color w:val="000000" w:themeColor="text1"/>
          <w:sz w:val="24"/>
        </w:rPr>
        <w:t>DVD光盘等存储介质</w:t>
      </w:r>
      <w:r>
        <w:rPr>
          <w:rFonts w:hint="eastAsia" w:hAnsi="宋体" w:cs="宋体"/>
          <w:color w:val="000000" w:themeColor="text1"/>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rPr>
        <w:t>不符合上述制作、</w:t>
      </w:r>
      <w:r>
        <w:rPr>
          <w:rFonts w:hint="eastAsia" w:hAnsi="宋体" w:cs="宋体"/>
          <w:b/>
          <w:color w:val="000000" w:themeColor="text1"/>
          <w:sz w:val="24"/>
          <w:szCs w:val="24"/>
        </w:rPr>
        <w:t>存储、密封规定的备份投标文件将被视为无效或者被拒绝接收。</w:t>
      </w:r>
    </w:p>
    <w:p w14:paraId="7135D23D">
      <w:pPr>
        <w:pStyle w:val="32"/>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15.3直接提交备份投标文件的，投标人应于投标截止时间前在招标公告中载明的开标地点将备份投标文件提交给采购代理机构，采购代理机构将拒绝接受逾期送达的备份投标文件。</w:t>
      </w:r>
    </w:p>
    <w:p w14:paraId="4AA32C81">
      <w:pPr>
        <w:pStyle w:val="32"/>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rPr>
        <w:t>招标文件第二部分投标人须知前附表规定的备份投标文件送达地点；</w:t>
      </w:r>
      <w:r>
        <w:rPr>
          <w:rFonts w:hint="eastAsia" w:hAnsi="宋体" w:cs="宋体"/>
          <w:color w:val="000000" w:themeColor="text1"/>
          <w:sz w:val="24"/>
          <w:szCs w:val="24"/>
        </w:rPr>
        <w:t>送达时间以签收人签收时间为准。采购代理机构将拒绝接受逾期送达的备份投标文件。邮寄过程中，电子备份投标文件发生泄露、遗失、损坏或延期送达等情况的，由投标人自行负责。</w:t>
      </w:r>
    </w:p>
    <w:p w14:paraId="70ED5B08">
      <w:pPr>
        <w:pStyle w:val="32"/>
        <w:spacing w:line="360" w:lineRule="auto"/>
        <w:ind w:firstLine="479" w:firstLineChars="199"/>
        <w:rPr>
          <w:rFonts w:hAnsi="宋体" w:cs="宋体"/>
          <w:b/>
          <w:color w:val="000000" w:themeColor="text1"/>
          <w:sz w:val="24"/>
          <w:szCs w:val="24"/>
        </w:rPr>
      </w:pPr>
      <w:r>
        <w:rPr>
          <w:rFonts w:hint="eastAsia" w:hAnsi="宋体" w:cs="宋体"/>
          <w:b/>
          <w:color w:val="000000" w:themeColor="text1"/>
          <w:sz w:val="24"/>
          <w:szCs w:val="24"/>
        </w:rPr>
        <w:t>15.5投标人仅提交备份投标文件，未在电子交易平台传输递交投标文件的，投标无效。</w:t>
      </w:r>
    </w:p>
    <w:p w14:paraId="524CA782">
      <w:pPr>
        <w:pStyle w:val="128"/>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16.投标文件的无效处理</w:t>
      </w:r>
    </w:p>
    <w:p w14:paraId="6435EFF7">
      <w:pPr>
        <w:pStyle w:val="24"/>
        <w:spacing w:line="360" w:lineRule="auto"/>
        <w:ind w:firstLine="360" w:firstLineChars="150"/>
        <w:rPr>
          <w:rFonts w:cs="宋体"/>
          <w:color w:val="000000" w:themeColor="text1"/>
          <w:szCs w:val="21"/>
        </w:rPr>
      </w:pPr>
      <w:r>
        <w:rPr>
          <w:rFonts w:hint="eastAsia" w:cs="宋体"/>
          <w:color w:val="000000" w:themeColor="text1"/>
          <w:szCs w:val="21"/>
        </w:rPr>
        <w:t>有招标文件第四部分</w:t>
      </w:r>
      <w:r>
        <w:rPr>
          <w:rFonts w:cs="宋体"/>
          <w:color w:val="000000" w:themeColor="text1"/>
          <w:szCs w:val="21"/>
        </w:rPr>
        <w:t>4.2规定</w:t>
      </w:r>
      <w:r>
        <w:rPr>
          <w:rFonts w:hint="eastAsia" w:cs="宋体"/>
          <w:color w:val="000000" w:themeColor="text1"/>
          <w:szCs w:val="21"/>
        </w:rPr>
        <w:t>的情形之一的，投标无效：</w:t>
      </w:r>
    </w:p>
    <w:p w14:paraId="7CEB2EFC">
      <w:pPr>
        <w:pStyle w:val="128"/>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17.投标有效期</w:t>
      </w:r>
    </w:p>
    <w:p w14:paraId="0968D4AE">
      <w:pPr>
        <w:spacing w:line="360" w:lineRule="auto"/>
        <w:ind w:firstLine="480" w:firstLineChars="200"/>
        <w:rPr>
          <w:rFonts w:ascii="宋体" w:hAnsi="宋体" w:cs="宋体"/>
          <w:b/>
          <w:color w:val="000000" w:themeColor="text1"/>
          <w:sz w:val="24"/>
          <w:szCs w:val="21"/>
        </w:rPr>
      </w:pPr>
      <w:r>
        <w:rPr>
          <w:rFonts w:hint="eastAsia" w:ascii="宋体" w:hAnsi="宋体" w:cs="宋体"/>
          <w:color w:val="000000" w:themeColor="text1"/>
          <w:sz w:val="24"/>
          <w:szCs w:val="20"/>
        </w:rPr>
        <w:t>17.1投标有效期为从提交投标文件的截止之日起60天。▲</w:t>
      </w:r>
      <w:r>
        <w:rPr>
          <w:rFonts w:hint="eastAsia" w:ascii="宋体" w:hAnsi="宋体" w:cs="宋体"/>
          <w:b/>
          <w:color w:val="000000" w:themeColor="text1"/>
          <w:sz w:val="24"/>
          <w:szCs w:val="20"/>
        </w:rPr>
        <w:t>投标人的投标文件中承</w:t>
      </w:r>
      <w:r>
        <w:rPr>
          <w:rFonts w:hint="eastAsia" w:ascii="宋体" w:hAnsi="宋体" w:cs="宋体"/>
          <w:b/>
          <w:color w:val="000000" w:themeColor="text1"/>
          <w:sz w:val="24"/>
          <w:szCs w:val="21"/>
        </w:rPr>
        <w:t>诺的投标有效期少于招标文件中载明的投标有效期的，投标无效。</w:t>
      </w:r>
    </w:p>
    <w:p w14:paraId="516FDC45">
      <w:pPr>
        <w:pStyle w:val="128"/>
        <w:spacing w:before="0"/>
        <w:ind w:firstLine="480"/>
        <w:rPr>
          <w:rFonts w:ascii="宋体" w:hAnsi="宋体" w:cs="宋体"/>
          <w:color w:val="000000" w:themeColor="text1"/>
        </w:rPr>
      </w:pPr>
      <w:r>
        <w:rPr>
          <w:rFonts w:hint="eastAsia" w:ascii="宋体" w:hAnsi="宋体" w:cs="宋体"/>
          <w:color w:val="000000" w:themeColor="text1"/>
        </w:rPr>
        <w:t>17.2投标文件合格投递后，自投标截止日期起，在投标有效期内有效。</w:t>
      </w:r>
    </w:p>
    <w:p w14:paraId="5957FB0A">
      <w:pPr>
        <w:pStyle w:val="128"/>
        <w:spacing w:before="0"/>
        <w:ind w:firstLine="480"/>
        <w:rPr>
          <w:rFonts w:ascii="宋体" w:hAnsi="宋体" w:cs="宋体"/>
          <w:color w:val="000000" w:themeColor="text1"/>
        </w:rPr>
      </w:pPr>
      <w:r>
        <w:rPr>
          <w:rFonts w:hint="eastAsia" w:ascii="宋体" w:hAnsi="宋体" w:cs="宋体"/>
          <w:color w:val="000000" w:themeColor="text1"/>
        </w:rPr>
        <w:t>17.3在原定投标有效期满之前，如果出现特殊情况，采购代理机构可以以书面形式通知投标人延长投标有效期。投标人同意延长的，不得要求或被允许修改其投标文件，投标人拒绝延长的，其投标无效。</w:t>
      </w:r>
    </w:p>
    <w:p w14:paraId="41041AC3">
      <w:pPr>
        <w:pStyle w:val="128"/>
        <w:spacing w:before="0"/>
        <w:ind w:left="0" w:leftChars="0" w:firstLine="0" w:firstLineChars="0"/>
        <w:rPr>
          <w:rFonts w:ascii="宋体" w:hAnsi="宋体" w:cs="宋体"/>
          <w:b/>
          <w:color w:val="000000" w:themeColor="text1"/>
          <w:sz w:val="32"/>
        </w:rPr>
      </w:pPr>
    </w:p>
    <w:p w14:paraId="1134DE9C">
      <w:pPr>
        <w:pStyle w:val="128"/>
        <w:spacing w:before="0"/>
        <w:ind w:firstLine="1928" w:firstLineChars="600"/>
        <w:outlineLvl w:val="1"/>
        <w:rPr>
          <w:rFonts w:ascii="宋体" w:hAnsi="宋体" w:cs="宋体"/>
          <w:b/>
          <w:color w:val="000000" w:themeColor="text1"/>
          <w:sz w:val="32"/>
        </w:rPr>
      </w:pPr>
      <w:r>
        <w:rPr>
          <w:rFonts w:hint="eastAsia" w:ascii="宋体" w:hAnsi="宋体" w:cs="宋体"/>
          <w:b/>
          <w:color w:val="000000" w:themeColor="text1"/>
          <w:sz w:val="32"/>
        </w:rPr>
        <w:t>四、开标、资格审查与信用信息查询</w:t>
      </w:r>
    </w:p>
    <w:p w14:paraId="12A1CD92">
      <w:pPr>
        <w:pStyle w:val="554"/>
        <w:spacing w:before="0" w:line="360" w:lineRule="auto"/>
        <w:ind w:left="0" w:firstLine="241" w:firstLineChars="100"/>
        <w:contextualSpacing/>
        <w:rPr>
          <w:rFonts w:ascii="宋体" w:hAnsi="宋体" w:cs="宋体"/>
          <w:color w:val="000000" w:themeColor="text1"/>
          <w:sz w:val="24"/>
        </w:rPr>
      </w:pPr>
      <w:r>
        <w:rPr>
          <w:rFonts w:hint="eastAsia" w:ascii="宋体" w:hAnsi="宋体" w:cs="宋体"/>
          <w:b/>
          <w:color w:val="000000" w:themeColor="text1"/>
          <w:sz w:val="24"/>
          <w:szCs w:val="24"/>
        </w:rPr>
        <w:t>18.开标</w:t>
      </w:r>
    </w:p>
    <w:p w14:paraId="1FC91033">
      <w:pPr>
        <w:pStyle w:val="554"/>
        <w:spacing w:before="0" w:line="360" w:lineRule="auto"/>
        <w:ind w:left="0" w:firstLine="480" w:firstLineChars="200"/>
        <w:contextualSpacing/>
        <w:rPr>
          <w:rFonts w:ascii="宋体" w:hAnsi="宋体" w:cs="宋体"/>
          <w:color w:val="000000" w:themeColor="text1"/>
          <w:sz w:val="24"/>
        </w:rPr>
      </w:pPr>
      <w:r>
        <w:rPr>
          <w:rFonts w:hint="eastAsia" w:ascii="宋体" w:hAnsi="宋体" w:cs="宋体"/>
          <w:color w:val="000000" w:themeColor="text1"/>
          <w:sz w:val="24"/>
        </w:rPr>
        <w:t>18.1采购代理机构按照招标文件规定的时间通过电子交易平台组织开标，所有投标人均应当准时在线参加。投标人不足3家的，不得开标。</w:t>
      </w:r>
    </w:p>
    <w:p w14:paraId="21986D5D">
      <w:pPr>
        <w:pStyle w:val="554"/>
        <w:spacing w:before="0" w:line="360" w:lineRule="auto"/>
        <w:ind w:left="0" w:firstLine="240" w:firstLineChars="100"/>
        <w:contextualSpacing/>
        <w:rPr>
          <w:rFonts w:ascii="宋体" w:hAnsi="宋体" w:cs="宋体"/>
          <w:color w:val="000000" w:themeColor="text1"/>
          <w:sz w:val="24"/>
        </w:rPr>
      </w:pPr>
      <w:r>
        <w:rPr>
          <w:rFonts w:hint="eastAsia" w:ascii="宋体" w:hAnsi="宋体" w:cs="宋体"/>
          <w:color w:val="000000" w:themeColor="text1"/>
          <w:sz w:val="24"/>
        </w:rPr>
        <w:t>　18.2开标时，电子交易平台按开标时间自动提取所有投标文件。采购代理机构依托电子交易平台发起开始解密指令，投标人按照平台提示和招标文件的规定在半小时内完成在线解密。</w:t>
      </w:r>
    </w:p>
    <w:p w14:paraId="08B3C80C">
      <w:pPr>
        <w:pStyle w:val="554"/>
        <w:spacing w:before="0" w:line="360" w:lineRule="auto"/>
        <w:ind w:left="0" w:firstLine="240" w:firstLineChars="100"/>
        <w:contextualSpacing/>
        <w:rPr>
          <w:rFonts w:ascii="宋体" w:hAnsi="宋体" w:cs="宋体"/>
          <w:b/>
          <w:color w:val="000000" w:themeColor="text1"/>
          <w:sz w:val="24"/>
        </w:rPr>
      </w:pPr>
      <w:r>
        <w:rPr>
          <w:rFonts w:hint="eastAsia" w:ascii="宋体" w:hAnsi="宋体" w:cs="宋体"/>
          <w:color w:val="000000" w:themeColor="text1"/>
          <w:sz w:val="24"/>
        </w:rPr>
        <w:t>　18.3</w:t>
      </w:r>
      <w:r>
        <w:rPr>
          <w:rFonts w:hint="eastAsia" w:ascii="宋体" w:hAnsi="宋体" w:cs="宋体"/>
          <w:b/>
          <w:color w:val="000000" w:themeColor="text1"/>
          <w:sz w:val="24"/>
        </w:rPr>
        <w:t>投标文件未按时解密，投标人提供了备份投标文件的，以备份投标文件作为依据，否则视为投标文件撤回。投标文件已按时解密的，备份投标文件自动失效。</w:t>
      </w:r>
    </w:p>
    <w:p w14:paraId="7F183ADD">
      <w:pPr>
        <w:widowControl/>
        <w:spacing w:line="360" w:lineRule="auto"/>
        <w:jc w:val="left"/>
        <w:rPr>
          <w:rFonts w:ascii="宋体" w:hAnsi="宋体" w:cs="宋体"/>
          <w:b/>
          <w:color w:val="000000" w:themeColor="text1"/>
          <w:sz w:val="24"/>
          <w:szCs w:val="20"/>
        </w:rPr>
      </w:pPr>
      <w:r>
        <w:rPr>
          <w:rFonts w:hint="eastAsia" w:ascii="宋体" w:hAnsi="宋体" w:cs="宋体"/>
          <w:b/>
          <w:color w:val="000000" w:themeColor="text1"/>
          <w:sz w:val="24"/>
          <w:szCs w:val="20"/>
        </w:rPr>
        <w:t>　19、资格审查</w:t>
      </w:r>
    </w:p>
    <w:p w14:paraId="5CEF33F4">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kern w:val="0"/>
          <w:sz w:val="24"/>
        </w:rPr>
        <w:t>19.1</w:t>
      </w:r>
      <w:r>
        <w:rPr>
          <w:rFonts w:hint="eastAsia" w:ascii="宋体" w:hAnsi="宋体" w:cs="宋体"/>
          <w:color w:val="000000" w:themeColor="text1"/>
          <w:sz w:val="24"/>
        </w:rPr>
        <w:t>采购人或采购代理机构依据法律法规和招标文件的规定，对投标人的资格进行审查。</w:t>
      </w:r>
    </w:p>
    <w:p w14:paraId="28A82ECF">
      <w:pPr>
        <w:pStyle w:val="128"/>
        <w:spacing w:before="0"/>
        <w:ind w:firstLine="480"/>
        <w:rPr>
          <w:rFonts w:ascii="宋体" w:hAnsi="宋体" w:cs="宋体"/>
          <w:color w:val="000000" w:themeColor="text1"/>
        </w:rPr>
      </w:pPr>
      <w:r>
        <w:rPr>
          <w:rFonts w:hint="eastAsia" w:ascii="宋体" w:hAnsi="宋体" w:cs="宋体"/>
          <w:color w:val="000000" w:themeColor="text1"/>
          <w:kern w:val="0"/>
          <w:szCs w:val="24"/>
        </w:rPr>
        <w:t>19.2投标人未按照招标文件要求提供与</w:t>
      </w:r>
      <w:r>
        <w:rPr>
          <w:rFonts w:hint="eastAsia" w:ascii="宋体" w:hAnsi="宋体" w:cs="宋体"/>
          <w:color w:val="000000" w:themeColor="text1"/>
        </w:rPr>
        <w:t>资格条件相应的</w:t>
      </w:r>
      <w:r>
        <w:rPr>
          <w:rFonts w:hint="eastAsia" w:ascii="宋体" w:hAnsi="宋体" w:cs="宋体"/>
          <w:color w:val="000000" w:themeColor="text1"/>
          <w:kern w:val="0"/>
          <w:szCs w:val="24"/>
        </w:rPr>
        <w:t>有效资格证明材料的，视为</w:t>
      </w:r>
      <w:r>
        <w:rPr>
          <w:rFonts w:hint="eastAsia" w:ascii="宋体" w:hAnsi="宋体" w:cs="宋体"/>
          <w:color w:val="000000" w:themeColor="text1"/>
        </w:rPr>
        <w:t>投标人不具备招标文件中规定的资格要求，其投标无效。</w:t>
      </w:r>
    </w:p>
    <w:p w14:paraId="2F3241D0">
      <w:pPr>
        <w:pStyle w:val="128"/>
        <w:spacing w:before="0"/>
        <w:ind w:firstLine="480"/>
        <w:rPr>
          <w:rFonts w:ascii="宋体" w:hAnsi="宋体" w:cs="宋体"/>
          <w:color w:val="000000" w:themeColor="text1"/>
        </w:rPr>
      </w:pPr>
      <w:r>
        <w:rPr>
          <w:rFonts w:hint="eastAsia" w:ascii="宋体" w:hAnsi="宋体" w:cs="宋体"/>
          <w:color w:val="000000" w:themeColor="text1"/>
          <w:kern w:val="0"/>
          <w:szCs w:val="24"/>
        </w:rPr>
        <w:t>19.</w:t>
      </w:r>
      <w:r>
        <w:rPr>
          <w:rFonts w:hint="eastAsia" w:ascii="宋体" w:hAnsi="宋体" w:cs="宋体"/>
          <w:color w:val="000000" w:themeColor="text1"/>
        </w:rPr>
        <w:t>3对未通过资格审查的投标人，采购人或采购代理机构告知其未通过的原因。</w:t>
      </w:r>
    </w:p>
    <w:p w14:paraId="2DC4B845">
      <w:pPr>
        <w:pStyle w:val="128"/>
        <w:spacing w:before="0"/>
        <w:ind w:firstLine="480"/>
        <w:rPr>
          <w:rFonts w:ascii="宋体" w:hAnsi="宋体" w:cs="宋体"/>
          <w:color w:val="000000" w:themeColor="text1"/>
        </w:rPr>
      </w:pPr>
      <w:r>
        <w:rPr>
          <w:rFonts w:hint="eastAsia" w:ascii="宋体" w:hAnsi="宋体" w:cs="宋体"/>
          <w:color w:val="000000" w:themeColor="text1"/>
          <w:kern w:val="0"/>
          <w:szCs w:val="24"/>
        </w:rPr>
        <w:t>19.</w:t>
      </w:r>
      <w:r>
        <w:rPr>
          <w:rFonts w:hint="eastAsia" w:ascii="宋体" w:hAnsi="宋体" w:cs="宋体"/>
          <w:color w:val="000000" w:themeColor="text1"/>
        </w:rPr>
        <w:t>4合格投标人不足3家的，不再评标。</w:t>
      </w:r>
    </w:p>
    <w:p w14:paraId="545B0006">
      <w:pPr>
        <w:pStyle w:val="128"/>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20、信用信息查询</w:t>
      </w:r>
    </w:p>
    <w:p w14:paraId="5D68A7A7">
      <w:pPr>
        <w:pStyle w:val="128"/>
        <w:spacing w:before="0"/>
        <w:ind w:firstLine="495" w:firstLineChars="0"/>
        <w:rPr>
          <w:rFonts w:ascii="宋体" w:hAnsi="宋体" w:cs="宋体"/>
          <w:color w:val="000000" w:themeColor="text1"/>
          <w:kern w:val="0"/>
          <w:szCs w:val="24"/>
        </w:rPr>
      </w:pPr>
      <w:r>
        <w:rPr>
          <w:rFonts w:hint="eastAsia" w:ascii="宋体" w:hAnsi="宋体" w:cs="宋体"/>
          <w:color w:val="000000" w:themeColor="text1"/>
          <w:kern w:val="0"/>
          <w:szCs w:val="24"/>
        </w:rPr>
        <w:t>20.1信用信息查询渠道及截止时间：采购人或采购代理机构将在资格审查时通过“信用中国”网站(www.creditchina.gov.cn)、中国政府采购网(www.ccgp.gov.cn)渠道查询投标人接受资格时的信用记录。</w:t>
      </w:r>
    </w:p>
    <w:p w14:paraId="03AC60A3">
      <w:pPr>
        <w:pStyle w:val="128"/>
        <w:spacing w:before="0"/>
        <w:ind w:firstLine="495" w:firstLineChars="0"/>
        <w:rPr>
          <w:rFonts w:ascii="宋体" w:hAnsi="宋体" w:cs="宋体"/>
          <w:color w:val="000000" w:themeColor="text1"/>
          <w:kern w:val="0"/>
          <w:szCs w:val="24"/>
        </w:rPr>
      </w:pPr>
      <w:r>
        <w:rPr>
          <w:rFonts w:hint="eastAsia" w:ascii="宋体" w:hAnsi="宋体" w:cs="宋体"/>
          <w:color w:val="000000" w:themeColor="text1"/>
          <w:kern w:val="0"/>
          <w:szCs w:val="24"/>
        </w:rPr>
        <w:t>20.2信用信息查询记录和证据留存的具体方式：现场查询的投标人的信用记录、查询结果经确认后将与采购文件一起存档。</w:t>
      </w:r>
    </w:p>
    <w:p w14:paraId="0FE3A68C">
      <w:pPr>
        <w:pStyle w:val="128"/>
        <w:spacing w:before="0"/>
        <w:ind w:firstLine="495" w:firstLineChars="0"/>
        <w:rPr>
          <w:rFonts w:ascii="宋体" w:hAnsi="宋体" w:cs="宋体"/>
          <w:color w:val="000000" w:themeColor="text1"/>
          <w:kern w:val="0"/>
          <w:szCs w:val="24"/>
        </w:rPr>
      </w:pPr>
      <w:r>
        <w:rPr>
          <w:rFonts w:hint="eastAsia" w:ascii="宋体" w:hAnsi="宋体" w:cs="宋体"/>
          <w:color w:val="000000" w:themeColor="text1"/>
          <w:kern w:val="0"/>
          <w:szCs w:val="24"/>
        </w:rPr>
        <w:t>20.3信用信息的使用规则：经查询列入失信被执行人名单、重大税收违法案件当事人名单、政府采购严重违法失信行为记录名单的投标人将被拒绝参与政府采购活动。</w:t>
      </w:r>
    </w:p>
    <w:p w14:paraId="483F277B">
      <w:pPr>
        <w:pStyle w:val="128"/>
        <w:spacing w:before="0"/>
        <w:ind w:firstLine="480"/>
        <w:rPr>
          <w:rFonts w:ascii="宋体" w:hAnsi="宋体" w:cs="宋体"/>
          <w:color w:val="000000" w:themeColor="text1"/>
        </w:rPr>
      </w:pPr>
      <w:r>
        <w:rPr>
          <w:rFonts w:hint="eastAsia" w:ascii="宋体" w:hAnsi="宋体" w:cs="宋体"/>
          <w:color w:val="000000" w:themeColor="text1"/>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rPr>
        <w:t>。</w:t>
      </w:r>
    </w:p>
    <w:p w14:paraId="5BF17166">
      <w:pPr>
        <w:pStyle w:val="128"/>
        <w:spacing w:before="0"/>
        <w:ind w:firstLine="0" w:firstLineChars="0"/>
        <w:rPr>
          <w:rFonts w:ascii="宋体" w:hAnsi="宋体" w:cs="宋体"/>
          <w:color w:val="000000" w:themeColor="text1"/>
          <w:kern w:val="0"/>
          <w:szCs w:val="24"/>
        </w:rPr>
      </w:pPr>
    </w:p>
    <w:p w14:paraId="6B42F209">
      <w:pPr>
        <w:snapToGrid w:val="0"/>
        <w:spacing w:line="360" w:lineRule="auto"/>
        <w:jc w:val="center"/>
        <w:outlineLvl w:val="1"/>
        <w:rPr>
          <w:rFonts w:ascii="宋体" w:hAnsi="宋体" w:cs="宋体"/>
          <w:b/>
          <w:color w:val="000000" w:themeColor="text1"/>
          <w:sz w:val="36"/>
          <w:szCs w:val="36"/>
        </w:rPr>
      </w:pPr>
      <w:r>
        <w:rPr>
          <w:rFonts w:hint="eastAsia" w:ascii="宋体" w:hAnsi="宋体" w:cs="宋体"/>
          <w:b/>
          <w:color w:val="000000" w:themeColor="text1"/>
          <w:sz w:val="36"/>
          <w:szCs w:val="36"/>
        </w:rPr>
        <w:t>五、评标</w:t>
      </w:r>
    </w:p>
    <w:p w14:paraId="3122132B">
      <w:pPr>
        <w:spacing w:line="360" w:lineRule="auto"/>
        <w:rPr>
          <w:rFonts w:ascii="宋体" w:hAnsi="宋体" w:cs="宋体"/>
          <w:b/>
          <w:color w:val="000000" w:themeColor="text1"/>
          <w:sz w:val="24"/>
        </w:rPr>
      </w:pPr>
      <w:bookmarkStart w:id="15" w:name="_Toc91899903"/>
      <w:r>
        <w:rPr>
          <w:rFonts w:hint="eastAsia" w:ascii="宋体" w:hAnsi="宋体" w:cs="宋体"/>
          <w:b/>
          <w:color w:val="000000" w:themeColor="text1"/>
          <w:sz w:val="24"/>
        </w:rPr>
        <w:t>21.评标</w:t>
      </w:r>
    </w:p>
    <w:p w14:paraId="1565FBD6">
      <w:pPr>
        <w:pStyle w:val="82"/>
        <w:rPr>
          <w:color w:val="000000" w:themeColor="text1"/>
        </w:rPr>
      </w:pPr>
      <w:r>
        <w:rPr>
          <w:rFonts w:hint="eastAsia"/>
          <w:color w:val="000000" w:themeColor="text1"/>
        </w:rPr>
        <w:t>21.1本招标采购项目的评标委员会由采购人代表和评审专家组成，成员人数应当为7人以上单数，其中评审专家不得少于成员总数的三分之二。采购项目符合下列情形之一的，评标委员会成员人数应当为7人以上单数：（一）采购预算金额在1000万元以上；（二）技术复杂；（三）社会影响较大。</w:t>
      </w:r>
    </w:p>
    <w:p w14:paraId="63EF2132">
      <w:pPr>
        <w:spacing w:line="360" w:lineRule="auto"/>
        <w:ind w:firstLine="482" w:firstLineChars="200"/>
        <w:rPr>
          <w:rFonts w:cs="宋体" w:asciiTheme="minorEastAsia" w:hAnsiTheme="minorEastAsia" w:eastAsiaTheme="minorEastAsia"/>
          <w:b/>
          <w:color w:val="000000" w:themeColor="text1"/>
          <w:sz w:val="24"/>
        </w:rPr>
      </w:pPr>
      <w:r>
        <w:rPr>
          <w:rFonts w:hint="eastAsia" w:ascii="宋体" w:hAnsi="宋体" w:cs="宋体"/>
          <w:b/>
          <w:color w:val="000000" w:themeColor="text1"/>
          <w:sz w:val="24"/>
        </w:rPr>
        <w:t>21.2</w:t>
      </w:r>
      <w:r>
        <w:rPr>
          <w:rFonts w:hint="eastAsia" w:cs="宋体" w:asciiTheme="minorEastAsia" w:hAnsiTheme="minorEastAsia" w:eastAsiaTheme="minorEastAsia"/>
          <w:color w:val="000000" w:themeColor="text1"/>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000000" w:themeColor="text1"/>
          <w:sz w:val="24"/>
        </w:rPr>
        <w:t>详见招标文件第四部分评标办法。</w:t>
      </w:r>
    </w:p>
    <w:p w14:paraId="78FD2925">
      <w:pPr>
        <w:spacing w:line="360" w:lineRule="auto"/>
        <w:rPr>
          <w:rFonts w:ascii="宋体" w:hAnsi="宋体" w:cs="宋体"/>
          <w:b/>
          <w:color w:val="000000" w:themeColor="text1"/>
          <w:sz w:val="24"/>
        </w:rPr>
      </w:pPr>
    </w:p>
    <w:p w14:paraId="768C442F">
      <w:pPr>
        <w:snapToGrid w:val="0"/>
        <w:spacing w:line="360" w:lineRule="auto"/>
        <w:jc w:val="center"/>
        <w:outlineLvl w:val="1"/>
        <w:rPr>
          <w:rFonts w:ascii="宋体" w:hAnsi="宋体" w:cs="宋体"/>
          <w:b/>
          <w:color w:val="000000" w:themeColor="text1"/>
          <w:sz w:val="36"/>
          <w:szCs w:val="36"/>
        </w:rPr>
      </w:pPr>
      <w:r>
        <w:rPr>
          <w:rFonts w:hint="eastAsia" w:ascii="宋体" w:hAnsi="宋体" w:cs="宋体"/>
          <w:b/>
          <w:color w:val="000000" w:themeColor="text1"/>
          <w:sz w:val="36"/>
          <w:szCs w:val="36"/>
        </w:rPr>
        <w:t>六、定 标</w:t>
      </w:r>
    </w:p>
    <w:p w14:paraId="37B2B926">
      <w:pPr>
        <w:pStyle w:val="24"/>
        <w:spacing w:line="360" w:lineRule="auto"/>
        <w:ind w:left="479" w:hanging="479" w:hangingChars="199"/>
        <w:rPr>
          <w:rFonts w:cs="宋体"/>
          <w:b/>
          <w:color w:val="000000" w:themeColor="text1"/>
        </w:rPr>
      </w:pPr>
      <w:r>
        <w:rPr>
          <w:rFonts w:hint="eastAsia" w:cs="宋体"/>
          <w:b/>
          <w:color w:val="000000" w:themeColor="text1"/>
        </w:rPr>
        <w:t>22. 确定中标供应商</w:t>
      </w:r>
    </w:p>
    <w:p w14:paraId="36D7F0F3">
      <w:pPr>
        <w:pStyle w:val="128"/>
        <w:snapToGrid w:val="0"/>
        <w:spacing w:before="0"/>
        <w:ind w:firstLine="480"/>
        <w:rPr>
          <w:rFonts w:ascii="宋体" w:hAnsi="宋体" w:cs="宋体"/>
          <w:b/>
          <w:color w:val="000000" w:themeColor="text1"/>
          <w:szCs w:val="24"/>
        </w:rPr>
      </w:pPr>
      <w:r>
        <w:rPr>
          <w:rFonts w:hint="eastAsia" w:ascii="宋体" w:hAnsi="宋体" w:cs="宋体"/>
          <w:color w:val="000000" w:themeColor="text1"/>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14:paraId="57D5F0FF">
      <w:pPr>
        <w:pStyle w:val="128"/>
        <w:snapToGrid w:val="0"/>
        <w:spacing w:before="0"/>
        <w:ind w:firstLine="0" w:firstLineChars="0"/>
        <w:rPr>
          <w:rFonts w:ascii="宋体" w:hAnsi="宋体" w:cs="宋体"/>
          <w:b/>
          <w:color w:val="000000" w:themeColor="text1"/>
          <w:szCs w:val="24"/>
        </w:rPr>
      </w:pPr>
      <w:r>
        <w:rPr>
          <w:rFonts w:hint="eastAsia" w:ascii="宋体" w:hAnsi="宋体" w:cs="宋体"/>
          <w:b/>
          <w:color w:val="000000" w:themeColor="text1"/>
          <w:szCs w:val="24"/>
        </w:rPr>
        <w:t>23. 中标通知与中标结果公告</w:t>
      </w:r>
    </w:p>
    <w:p w14:paraId="12DB785D">
      <w:pPr>
        <w:widowControl/>
        <w:shd w:val="clear" w:color="auto" w:fill="FFFFFF"/>
        <w:spacing w:line="360" w:lineRule="auto"/>
        <w:ind w:firstLine="480"/>
        <w:jc w:val="left"/>
        <w:rPr>
          <w:rFonts w:ascii="宋体" w:hAnsi="宋体" w:cs="宋体"/>
          <w:color w:val="000000" w:themeColor="text1"/>
          <w:sz w:val="24"/>
        </w:rPr>
      </w:pPr>
      <w:r>
        <w:rPr>
          <w:rFonts w:hint="eastAsia" w:ascii="宋体" w:hAnsi="宋体" w:cs="宋体"/>
          <w:color w:val="000000" w:themeColor="text1"/>
          <w:sz w:val="24"/>
        </w:rPr>
        <w:t>23.1自中标人确定之日起2个工作日内，采购代理机构通过电子交易平台向中标人发出中标通知书，同时编制发布采购结果公告。采购代理机构也可以以纸质形式进行中标通知。</w:t>
      </w:r>
    </w:p>
    <w:p w14:paraId="7A8F1AFD">
      <w:pPr>
        <w:widowControl/>
        <w:shd w:val="clear" w:color="auto" w:fill="FFFFFF"/>
        <w:spacing w:line="360" w:lineRule="auto"/>
        <w:ind w:firstLine="480"/>
        <w:jc w:val="left"/>
        <w:rPr>
          <w:rFonts w:ascii="宋体" w:hAnsi="宋体" w:cs="宋体"/>
          <w:color w:val="000000" w:themeColor="text1"/>
          <w:sz w:val="24"/>
        </w:rPr>
      </w:pPr>
      <w:r>
        <w:rPr>
          <w:rFonts w:hint="eastAsia" w:ascii="宋体" w:hAnsi="宋体" w:cs="宋体"/>
          <w:color w:val="000000" w:themeColor="text1"/>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64301663">
      <w:pPr>
        <w:widowControl/>
        <w:shd w:val="clear" w:color="auto" w:fill="FFFFFF"/>
        <w:spacing w:line="360" w:lineRule="auto"/>
        <w:ind w:firstLine="480"/>
        <w:jc w:val="left"/>
        <w:rPr>
          <w:rFonts w:ascii="宋体" w:hAnsi="宋体" w:cs="宋体"/>
          <w:b/>
          <w:color w:val="000000" w:themeColor="text1"/>
          <w:sz w:val="32"/>
        </w:rPr>
      </w:pPr>
      <w:r>
        <w:rPr>
          <w:rFonts w:hint="eastAsia" w:ascii="宋体" w:hAnsi="宋体" w:cs="宋体"/>
          <w:color w:val="000000" w:themeColor="text1"/>
          <w:sz w:val="24"/>
        </w:rPr>
        <w:t>23.3公告期限为1个工作日。</w:t>
      </w:r>
    </w:p>
    <w:p w14:paraId="214EC7A8">
      <w:pPr>
        <w:snapToGrid w:val="0"/>
        <w:spacing w:line="360" w:lineRule="auto"/>
        <w:ind w:left="120" w:leftChars="57" w:firstLine="482" w:firstLineChars="150"/>
        <w:jc w:val="center"/>
        <w:outlineLvl w:val="1"/>
        <w:rPr>
          <w:rFonts w:ascii="宋体" w:hAnsi="宋体" w:cs="宋体"/>
          <w:b/>
          <w:color w:val="000000" w:themeColor="text1"/>
          <w:sz w:val="32"/>
        </w:rPr>
      </w:pPr>
      <w:r>
        <w:rPr>
          <w:rFonts w:hint="eastAsia" w:ascii="宋体" w:hAnsi="宋体" w:cs="宋体"/>
          <w:b/>
          <w:color w:val="000000" w:themeColor="text1"/>
          <w:sz w:val="32"/>
        </w:rPr>
        <w:t>七、合同授予</w:t>
      </w:r>
    </w:p>
    <w:p w14:paraId="4F08B3EB">
      <w:pPr>
        <w:pStyle w:val="24"/>
        <w:spacing w:line="360" w:lineRule="auto"/>
        <w:ind w:left="479" w:hanging="479" w:hangingChars="199"/>
        <w:rPr>
          <w:rFonts w:cs="宋体"/>
          <w:b/>
          <w:color w:val="000000" w:themeColor="text1"/>
        </w:rPr>
      </w:pPr>
      <w:r>
        <w:rPr>
          <w:rFonts w:hint="eastAsia" w:cs="宋体"/>
          <w:b/>
          <w:color w:val="000000" w:themeColor="text1"/>
        </w:rPr>
        <w:t xml:space="preserve">24. </w:t>
      </w:r>
      <w:r>
        <w:rPr>
          <w:rFonts w:hint="eastAsia" w:cs="宋体"/>
          <w:color w:val="000000" w:themeColor="text1"/>
        </w:rPr>
        <w:t>合同主要条款详见第五部分拟签订的合同文本。</w:t>
      </w:r>
    </w:p>
    <w:p w14:paraId="2EE9AD99">
      <w:pPr>
        <w:pStyle w:val="24"/>
        <w:spacing w:line="360" w:lineRule="auto"/>
        <w:ind w:left="479" w:hanging="479" w:hangingChars="199"/>
        <w:rPr>
          <w:rFonts w:cs="宋体"/>
          <w:b/>
          <w:color w:val="000000" w:themeColor="text1"/>
        </w:rPr>
      </w:pPr>
      <w:r>
        <w:rPr>
          <w:rFonts w:hint="eastAsia" w:cs="宋体"/>
          <w:b/>
          <w:color w:val="000000" w:themeColor="text1"/>
        </w:rPr>
        <w:t>25. 合同的签订</w:t>
      </w:r>
    </w:p>
    <w:p w14:paraId="43E070BC">
      <w:pPr>
        <w:widowControl/>
        <w:shd w:val="clear" w:color="auto" w:fill="FFFFFF"/>
        <w:spacing w:line="360" w:lineRule="auto"/>
        <w:ind w:firstLine="480"/>
        <w:jc w:val="left"/>
        <w:rPr>
          <w:rFonts w:ascii="宋体" w:hAnsi="宋体" w:cs="宋体"/>
          <w:color w:val="000000" w:themeColor="text1"/>
          <w:kern w:val="0"/>
          <w:sz w:val="24"/>
        </w:rPr>
      </w:pPr>
      <w:r>
        <w:rPr>
          <w:rFonts w:hint="eastAsia" w:ascii="宋体" w:hAnsi="宋体" w:cs="宋体"/>
          <w:color w:val="000000" w:themeColor="text1"/>
          <w:sz w:val="24"/>
        </w:rPr>
        <w:t>25.1</w:t>
      </w:r>
      <w:r>
        <w:rPr>
          <w:rFonts w:hint="eastAsia" w:ascii="宋体" w:hAnsi="宋体" w:cs="宋体"/>
          <w:color w:val="auto"/>
          <w:kern w:val="0"/>
          <w:sz w:val="24"/>
        </w:rPr>
        <w:t>采购人与中标供应商应当自中标通知书发出之日起25日内，按照采购文件确定的事项签订政府采购电子合同，具备条件的项目应缩短合同签订时间至8个工作日内。采购人因不</w:t>
      </w:r>
      <w:r>
        <w:rPr>
          <w:rFonts w:hint="eastAsia" w:ascii="宋体" w:hAnsi="宋体" w:cs="宋体"/>
          <w:color w:val="000000" w:themeColor="text1"/>
          <w:kern w:val="0"/>
          <w:sz w:val="24"/>
        </w:rPr>
        <w:t>可抗力原因延迟签订电子合同的，应当自不可抗力事由消除之日起5个工作日内完成合同签订事宜。鼓励采购人通过完善内部流程进一步缩短电子合同签订期限。</w:t>
      </w:r>
    </w:p>
    <w:p w14:paraId="218D6730">
      <w:pPr>
        <w:pStyle w:val="128"/>
        <w:snapToGrid w:val="0"/>
        <w:spacing w:before="0"/>
        <w:ind w:firstLine="480"/>
        <w:rPr>
          <w:rFonts w:ascii="宋体" w:hAnsi="宋体" w:cs="宋体"/>
          <w:color w:val="000000" w:themeColor="text1"/>
          <w:kern w:val="0"/>
        </w:rPr>
      </w:pPr>
      <w:r>
        <w:rPr>
          <w:rFonts w:hint="eastAsia" w:ascii="宋体" w:hAnsi="宋体" w:cs="宋体"/>
          <w:color w:val="000000" w:themeColor="text1"/>
          <w:kern w:val="0"/>
          <w:lang w:val="zh-CN"/>
        </w:rPr>
        <w:t>25.2中标人按规定的日期、时间、地点，由法定代表人或其授权代表与采购人代表签订合同。如中标人为联合体的，由联合体成员各方法定代表人或其授权代表与采购人代表签订合同。</w:t>
      </w:r>
    </w:p>
    <w:p w14:paraId="117BA990">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25.3如签订合同并生效后，供应商无故拒绝或延期，除按照合同条款处理外，列入不良行为记录一次，并给予通报。</w:t>
      </w:r>
    </w:p>
    <w:p w14:paraId="597E96E3">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25.4中标供应商拒绝与采购人签订合同的，采购人可以按照评审报告推荐的中标候选人名单排序，确定下一候选人为中标供应商，也可以重新开展政府采购活动。</w:t>
      </w:r>
    </w:p>
    <w:p w14:paraId="57885C9C">
      <w:pPr>
        <w:pStyle w:val="128"/>
        <w:snapToGrid w:val="0"/>
        <w:spacing w:before="0" w:after="120"/>
        <w:ind w:firstLine="480"/>
        <w:rPr>
          <w:rFonts w:ascii="宋体" w:hAnsi="宋体" w:cs="宋体"/>
          <w:color w:val="000000" w:themeColor="text1"/>
        </w:rPr>
      </w:pPr>
      <w:r>
        <w:rPr>
          <w:rFonts w:hint="eastAsia" w:ascii="宋体" w:hAnsi="宋体" w:cs="宋体"/>
          <w:color w:val="000000" w:themeColor="text1"/>
        </w:rPr>
        <w:t>25.5采购合同由采购人与中标供应商根据招标文件、投标文件等内容通过政府采购电子交易平台在线签订，自动备案。</w:t>
      </w:r>
    </w:p>
    <w:p w14:paraId="26B1B984">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25.6政采贷</w:t>
      </w:r>
    </w:p>
    <w:p w14:paraId="49D423A9">
      <w:pPr>
        <w:pStyle w:val="128"/>
        <w:snapToGrid w:val="0"/>
        <w:spacing w:before="0"/>
        <w:ind w:firstLine="480"/>
        <w:rPr>
          <w:rFonts w:ascii="宋体" w:hAnsi="宋体" w:cs="宋体"/>
          <w:color w:val="000000" w:themeColor="text1"/>
        </w:rPr>
      </w:pPr>
      <w:r>
        <w:rPr>
          <w:rFonts w:hint="eastAsia" w:ascii="宋体" w:hAnsi="宋体" w:cs="宋体"/>
          <w:color w:val="000000" w:themeColor="text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AC90E2C">
      <w:pPr>
        <w:pStyle w:val="128"/>
        <w:snapToGrid w:val="0"/>
        <w:spacing w:before="0"/>
        <w:ind w:firstLine="480"/>
        <w:rPr>
          <w:rFonts w:ascii="宋体" w:hAnsi="宋体" w:cs="宋体"/>
          <w:color w:val="000000" w:themeColor="text1"/>
        </w:rPr>
      </w:pPr>
      <w:r>
        <w:rPr>
          <w:rFonts w:hint="eastAsia" w:ascii="宋体" w:hAnsi="宋体" w:cs="宋体"/>
          <w:color w:val="000000" w:themeColor="text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5D6BDA78">
      <w:pPr>
        <w:pStyle w:val="128"/>
        <w:snapToGrid w:val="0"/>
        <w:spacing w:before="0"/>
        <w:ind w:firstLine="480"/>
        <w:rPr>
          <w:rFonts w:ascii="宋体" w:hAnsi="宋体" w:cs="宋体"/>
          <w:color w:val="000000" w:themeColor="text1"/>
        </w:rPr>
      </w:pPr>
      <w:r>
        <w:rPr>
          <w:rFonts w:hint="eastAsia" w:ascii="宋体" w:hAnsi="宋体" w:cs="宋体"/>
          <w:color w:val="000000" w:themeColor="text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0FF1863">
      <w:pPr>
        <w:pStyle w:val="128"/>
        <w:snapToGrid w:val="0"/>
        <w:spacing w:before="0"/>
        <w:ind w:firstLine="480"/>
        <w:rPr>
          <w:rFonts w:ascii="宋体" w:hAnsi="宋体" w:cs="宋体"/>
          <w:color w:val="000000" w:themeColor="text1"/>
        </w:rPr>
      </w:pPr>
      <w:r>
        <w:rPr>
          <w:rFonts w:hint="eastAsia" w:ascii="宋体" w:hAnsi="宋体" w:cs="宋体"/>
          <w:color w:val="000000" w:themeColor="text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11C88813">
      <w:pPr>
        <w:pStyle w:val="128"/>
        <w:snapToGrid w:val="0"/>
        <w:spacing w:before="0"/>
        <w:ind w:firstLine="480"/>
        <w:rPr>
          <w:rFonts w:ascii="宋体" w:hAnsi="宋体" w:cs="宋体"/>
          <w:color w:val="000000" w:themeColor="text1"/>
        </w:rPr>
      </w:pPr>
      <w:r>
        <w:rPr>
          <w:rFonts w:hint="eastAsia" w:ascii="宋体" w:hAnsi="宋体" w:cs="宋体"/>
          <w:color w:val="000000" w:themeColor="text1"/>
        </w:rPr>
        <w:t>（四）贷款发放。贷款金融机构根据贷款协议向供应商发放贷款。</w:t>
      </w:r>
    </w:p>
    <w:p w14:paraId="4D5DBE0A">
      <w:pPr>
        <w:pStyle w:val="128"/>
        <w:snapToGrid w:val="0"/>
        <w:spacing w:before="0"/>
        <w:ind w:firstLine="480"/>
        <w:rPr>
          <w:rFonts w:ascii="宋体" w:hAnsi="宋体" w:cs="宋体"/>
          <w:color w:val="000000" w:themeColor="text1"/>
        </w:rPr>
      </w:pPr>
      <w:r>
        <w:rPr>
          <w:rFonts w:hint="eastAsia" w:ascii="宋体" w:hAnsi="宋体" w:cs="宋体"/>
          <w:color w:val="000000" w:themeColor="text1"/>
        </w:rPr>
        <w:t>（五）按期还款。供应商获得贷款后应自觉履行政府采购合同，合同履行完毕后，采购单位根据合同约定时间和账户信息，严格按照财政资金管理的相关规定，及时将资金支付到采购合同收款账户。</w:t>
      </w:r>
    </w:p>
    <w:p w14:paraId="2AA06A7E">
      <w:pPr>
        <w:pStyle w:val="128"/>
        <w:snapToGrid w:val="0"/>
        <w:spacing w:before="0"/>
        <w:ind w:firstLine="480"/>
        <w:rPr>
          <w:rFonts w:ascii="宋体" w:hAnsi="宋体" w:cs="宋体"/>
          <w:color w:val="000000" w:themeColor="text1"/>
        </w:rPr>
      </w:pPr>
      <w:r>
        <w:rPr>
          <w:rFonts w:hint="eastAsia" w:ascii="宋体" w:hAnsi="宋体" w:cs="宋体"/>
          <w:color w:val="000000" w:themeColor="text1"/>
        </w:rPr>
        <w:t>（六）业务终止。贷款偿清后，贷款金融机构或北海市小微企业融资担保有限公司及时办理应收账款质押注销登记，业务终止。</w:t>
      </w:r>
    </w:p>
    <w:p w14:paraId="424113E7">
      <w:pPr>
        <w:pStyle w:val="128"/>
        <w:snapToGrid w:val="0"/>
        <w:spacing w:before="0"/>
        <w:ind w:firstLine="480"/>
        <w:rPr>
          <w:rFonts w:ascii="宋体" w:hAnsi="宋体" w:cs="宋体"/>
          <w:color w:val="000000" w:themeColor="text1"/>
        </w:rPr>
      </w:pPr>
      <w:r>
        <w:rPr>
          <w:rFonts w:hint="eastAsia" w:ascii="宋体" w:hAnsi="宋体" w:cs="宋体"/>
          <w:color w:val="000000" w:themeColor="text1"/>
        </w:rPr>
        <w:t>注：相关合作银行的具体操作流程详见北海市政府采购中心首页“政采贷”板块。</w:t>
      </w:r>
    </w:p>
    <w:p w14:paraId="0C6556D0">
      <w:pPr>
        <w:pStyle w:val="128"/>
        <w:snapToGrid w:val="0"/>
        <w:spacing w:before="0"/>
        <w:ind w:firstLine="480"/>
        <w:rPr>
          <w:rFonts w:ascii="宋体" w:hAnsi="宋体" w:cs="宋体"/>
          <w:color w:val="000000" w:themeColor="text1"/>
        </w:rPr>
      </w:pPr>
      <w:r>
        <w:rPr>
          <w:rFonts w:hint="eastAsia" w:ascii="宋体" w:hAnsi="宋体" w:cs="宋体"/>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14:paraId="3DA5C933">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rPr>
      </w:pPr>
      <w:r>
        <w:rPr>
          <w:rFonts w:hint="eastAsia" w:ascii="宋体" w:hAnsi="宋体" w:cs="宋体"/>
          <w:color w:val="000000" w:themeColor="text1"/>
          <w:sz w:val="24"/>
          <w:szCs w:val="20"/>
        </w:rPr>
        <w:t>供应商中标后可在“广西政府采购云”平台申请政采贷：操作路径：登录广西政府采购云平台-金融服务中心-【融资服务】，可在热门申请中选择产品直接申请。详见如下：</w:t>
      </w:r>
    </w:p>
    <w:p w14:paraId="20F4E29D">
      <w:pPr>
        <w:pStyle w:val="82"/>
        <w:rPr>
          <w:color w:val="000000" w:themeColor="text1"/>
        </w:rPr>
      </w:pPr>
      <w:r>
        <w:rPr>
          <w:rFonts w:hint="eastAsia"/>
          <w:color w:val="000000" w:themeColor="text1"/>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color w:val="000000" w:themeColor="text1"/>
          <w:sz w:val="24"/>
          <w:szCs w:val="20"/>
        </w:rPr>
        <w:t>https://jinrong.gcy.zfcg.gxzf.gov.cn/finance/loan/gx</w:t>
      </w:r>
      <w:r>
        <w:rPr>
          <w:rStyle w:val="76"/>
          <w:rFonts w:ascii="宋体" w:hAnsi="宋体" w:eastAsia="宋体" w:cs="Times New Roman"/>
          <w:snapToGrid/>
          <w:color w:val="000000" w:themeColor="text1"/>
          <w:sz w:val="24"/>
          <w:szCs w:val="20"/>
        </w:rPr>
        <w:fldChar w:fldCharType="end"/>
      </w:r>
      <w:r>
        <w:rPr>
          <w:rFonts w:hint="eastAsia"/>
          <w:color w:val="000000" w:themeColor="text1"/>
        </w:rPr>
        <w:t>）</w:t>
      </w:r>
    </w:p>
    <w:p w14:paraId="781EBC84">
      <w:pPr>
        <w:pStyle w:val="82"/>
        <w:rPr>
          <w:color w:val="000000" w:themeColor="text1"/>
        </w:rPr>
      </w:pPr>
      <w:r>
        <w:rPr>
          <w:rFonts w:hint="eastAsia"/>
          <w:color w:val="000000" w:themeColor="text1"/>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2E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B948320">
            <w:pPr>
              <w:pStyle w:val="82"/>
              <w:ind w:firstLine="0"/>
              <w:jc w:val="center"/>
              <w:rPr>
                <w:color w:val="000000" w:themeColor="text1"/>
              </w:rPr>
            </w:pPr>
            <w:r>
              <w:rPr>
                <w:rFonts w:hint="eastAsia"/>
                <w:color w:val="000000" w:themeColor="text1"/>
              </w:rPr>
              <w:t>银行名称</w:t>
            </w:r>
          </w:p>
        </w:tc>
        <w:tc>
          <w:tcPr>
            <w:tcW w:w="1134" w:type="dxa"/>
            <w:vAlign w:val="center"/>
          </w:tcPr>
          <w:p w14:paraId="0711B766">
            <w:pPr>
              <w:pStyle w:val="82"/>
              <w:ind w:firstLine="0"/>
              <w:jc w:val="center"/>
              <w:rPr>
                <w:color w:val="000000" w:themeColor="text1"/>
              </w:rPr>
            </w:pPr>
            <w:r>
              <w:rPr>
                <w:rFonts w:hint="eastAsia"/>
                <w:color w:val="000000" w:themeColor="text1"/>
              </w:rPr>
              <w:t>联系电话</w:t>
            </w:r>
          </w:p>
        </w:tc>
        <w:tc>
          <w:tcPr>
            <w:tcW w:w="1701" w:type="dxa"/>
            <w:vAlign w:val="center"/>
          </w:tcPr>
          <w:p w14:paraId="2BC58229">
            <w:pPr>
              <w:pStyle w:val="82"/>
              <w:ind w:firstLine="0"/>
              <w:jc w:val="center"/>
              <w:rPr>
                <w:color w:val="000000" w:themeColor="text1"/>
              </w:rPr>
            </w:pPr>
            <w:r>
              <w:rPr>
                <w:rFonts w:hint="eastAsia"/>
                <w:color w:val="000000" w:themeColor="text1"/>
              </w:rPr>
              <w:t>最高授信金额</w:t>
            </w:r>
          </w:p>
        </w:tc>
        <w:tc>
          <w:tcPr>
            <w:tcW w:w="993" w:type="dxa"/>
            <w:vAlign w:val="center"/>
          </w:tcPr>
          <w:p w14:paraId="69F88E3F">
            <w:pPr>
              <w:pStyle w:val="82"/>
              <w:ind w:firstLine="0"/>
              <w:jc w:val="center"/>
              <w:rPr>
                <w:color w:val="000000" w:themeColor="text1"/>
              </w:rPr>
            </w:pPr>
            <w:r>
              <w:rPr>
                <w:rFonts w:hint="eastAsia"/>
                <w:color w:val="000000" w:themeColor="text1"/>
              </w:rPr>
              <w:t>最长授信期限</w:t>
            </w:r>
          </w:p>
        </w:tc>
        <w:tc>
          <w:tcPr>
            <w:tcW w:w="850" w:type="dxa"/>
            <w:vAlign w:val="center"/>
          </w:tcPr>
          <w:p w14:paraId="03A8137D">
            <w:pPr>
              <w:pStyle w:val="82"/>
              <w:ind w:firstLine="0"/>
              <w:jc w:val="center"/>
              <w:rPr>
                <w:color w:val="000000" w:themeColor="text1"/>
              </w:rPr>
            </w:pPr>
            <w:r>
              <w:rPr>
                <w:rFonts w:hint="eastAsia"/>
                <w:color w:val="000000" w:themeColor="text1"/>
              </w:rPr>
              <w:t>最低利率</w:t>
            </w:r>
          </w:p>
        </w:tc>
        <w:tc>
          <w:tcPr>
            <w:tcW w:w="3366" w:type="dxa"/>
            <w:vAlign w:val="center"/>
          </w:tcPr>
          <w:p w14:paraId="539050B7">
            <w:pPr>
              <w:pStyle w:val="82"/>
              <w:ind w:firstLine="0"/>
              <w:jc w:val="center"/>
              <w:rPr>
                <w:color w:val="000000" w:themeColor="text1"/>
              </w:rPr>
            </w:pPr>
            <w:r>
              <w:rPr>
                <w:rFonts w:hint="eastAsia"/>
                <w:color w:val="000000" w:themeColor="text1"/>
              </w:rPr>
              <w:t>流程简介</w:t>
            </w:r>
          </w:p>
        </w:tc>
      </w:tr>
      <w:tr w14:paraId="3394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F15928">
            <w:pPr>
              <w:pStyle w:val="82"/>
              <w:ind w:firstLine="0"/>
              <w:jc w:val="center"/>
              <w:rPr>
                <w:color w:val="000000" w:themeColor="text1"/>
              </w:rPr>
            </w:pPr>
            <w:r>
              <w:rPr>
                <w:rFonts w:hint="eastAsia"/>
                <w:color w:val="000000" w:themeColor="text1"/>
              </w:rPr>
              <w:t>建设银行</w:t>
            </w:r>
          </w:p>
        </w:tc>
        <w:tc>
          <w:tcPr>
            <w:tcW w:w="1134" w:type="dxa"/>
            <w:vAlign w:val="center"/>
          </w:tcPr>
          <w:p w14:paraId="0789349C">
            <w:pPr>
              <w:pStyle w:val="82"/>
              <w:ind w:firstLine="0"/>
              <w:jc w:val="center"/>
              <w:rPr>
                <w:color w:val="000000" w:themeColor="text1"/>
              </w:rPr>
            </w:pPr>
            <w:r>
              <w:rPr>
                <w:rFonts w:hint="eastAsia"/>
                <w:color w:val="000000" w:themeColor="text1"/>
              </w:rPr>
              <w:t>13077729988</w:t>
            </w:r>
          </w:p>
        </w:tc>
        <w:tc>
          <w:tcPr>
            <w:tcW w:w="1701" w:type="dxa"/>
            <w:vAlign w:val="center"/>
          </w:tcPr>
          <w:p w14:paraId="711DC0AB">
            <w:pPr>
              <w:pStyle w:val="82"/>
              <w:ind w:firstLine="0"/>
              <w:rPr>
                <w:color w:val="000000" w:themeColor="text1"/>
              </w:rPr>
            </w:pPr>
            <w:r>
              <w:rPr>
                <w:rFonts w:hint="eastAsia"/>
                <w:color w:val="000000" w:themeColor="text1"/>
              </w:rPr>
              <w:t>最高3千万</w:t>
            </w:r>
          </w:p>
        </w:tc>
        <w:tc>
          <w:tcPr>
            <w:tcW w:w="993" w:type="dxa"/>
            <w:vAlign w:val="center"/>
          </w:tcPr>
          <w:p w14:paraId="0B4188E2">
            <w:pPr>
              <w:pStyle w:val="82"/>
              <w:ind w:firstLine="0"/>
              <w:jc w:val="center"/>
              <w:rPr>
                <w:color w:val="000000" w:themeColor="text1"/>
              </w:rPr>
            </w:pPr>
            <w:r>
              <w:rPr>
                <w:rFonts w:hint="eastAsia"/>
                <w:color w:val="000000" w:themeColor="text1"/>
              </w:rPr>
              <w:t>1年</w:t>
            </w:r>
          </w:p>
        </w:tc>
        <w:tc>
          <w:tcPr>
            <w:tcW w:w="850" w:type="dxa"/>
            <w:vAlign w:val="center"/>
          </w:tcPr>
          <w:p w14:paraId="73906F35">
            <w:pPr>
              <w:pStyle w:val="82"/>
              <w:ind w:firstLine="0"/>
              <w:jc w:val="center"/>
              <w:rPr>
                <w:color w:val="000000" w:themeColor="text1"/>
              </w:rPr>
            </w:pPr>
            <w:r>
              <w:rPr>
                <w:rFonts w:hint="eastAsia"/>
                <w:color w:val="000000" w:themeColor="text1"/>
              </w:rPr>
              <w:t>4%</w:t>
            </w:r>
          </w:p>
        </w:tc>
        <w:tc>
          <w:tcPr>
            <w:tcW w:w="3366" w:type="dxa"/>
            <w:vAlign w:val="center"/>
          </w:tcPr>
          <w:p w14:paraId="6AB9371F">
            <w:pPr>
              <w:pStyle w:val="82"/>
              <w:ind w:firstLine="0"/>
              <w:rPr>
                <w:color w:val="000000" w:themeColor="text1"/>
              </w:rPr>
            </w:pPr>
            <w:r>
              <w:rPr>
                <w:rFonts w:hint="eastAsia"/>
                <w:color w:val="000000" w:themeColor="text1"/>
              </w:rPr>
              <w:t>开设账号，线下提供申请材料，进入贷款审批流程，贷款审批通过后可自主用款，银行官方网银可自主还款。</w:t>
            </w:r>
          </w:p>
        </w:tc>
      </w:tr>
      <w:tr w14:paraId="1181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14A6B">
            <w:pPr>
              <w:pStyle w:val="82"/>
              <w:ind w:firstLine="0"/>
              <w:jc w:val="center"/>
              <w:rPr>
                <w:color w:val="000000" w:themeColor="text1"/>
              </w:rPr>
            </w:pPr>
            <w:r>
              <w:rPr>
                <w:rFonts w:hint="eastAsia"/>
                <w:color w:val="000000" w:themeColor="text1"/>
              </w:rPr>
              <w:t>中国银行</w:t>
            </w:r>
          </w:p>
        </w:tc>
        <w:tc>
          <w:tcPr>
            <w:tcW w:w="1134" w:type="dxa"/>
            <w:vAlign w:val="center"/>
          </w:tcPr>
          <w:p w14:paraId="2ABE4EF7">
            <w:pPr>
              <w:pStyle w:val="82"/>
              <w:ind w:firstLine="0"/>
              <w:jc w:val="center"/>
              <w:rPr>
                <w:color w:val="000000" w:themeColor="text1"/>
              </w:rPr>
            </w:pPr>
            <w:r>
              <w:rPr>
                <w:rFonts w:hint="eastAsia"/>
                <w:color w:val="000000" w:themeColor="text1"/>
              </w:rPr>
              <w:t>0779-3997084</w:t>
            </w:r>
          </w:p>
        </w:tc>
        <w:tc>
          <w:tcPr>
            <w:tcW w:w="1701" w:type="dxa"/>
            <w:vAlign w:val="center"/>
          </w:tcPr>
          <w:p w14:paraId="26C4AD3B">
            <w:pPr>
              <w:pStyle w:val="82"/>
              <w:ind w:firstLine="0"/>
              <w:rPr>
                <w:color w:val="000000" w:themeColor="text1"/>
              </w:rPr>
            </w:pPr>
            <w:r>
              <w:rPr>
                <w:rFonts w:hint="eastAsia"/>
                <w:color w:val="000000" w:themeColor="text1"/>
              </w:rPr>
              <w:t>最高1千万</w:t>
            </w:r>
          </w:p>
        </w:tc>
        <w:tc>
          <w:tcPr>
            <w:tcW w:w="993" w:type="dxa"/>
            <w:vAlign w:val="center"/>
          </w:tcPr>
          <w:p w14:paraId="2E34C623">
            <w:pPr>
              <w:pStyle w:val="82"/>
              <w:ind w:firstLine="0"/>
              <w:jc w:val="center"/>
              <w:rPr>
                <w:color w:val="000000" w:themeColor="text1"/>
              </w:rPr>
            </w:pPr>
            <w:r>
              <w:rPr>
                <w:rFonts w:hint="eastAsia"/>
                <w:color w:val="000000" w:themeColor="text1"/>
              </w:rPr>
              <w:t>3年</w:t>
            </w:r>
          </w:p>
        </w:tc>
        <w:tc>
          <w:tcPr>
            <w:tcW w:w="850" w:type="dxa"/>
            <w:vAlign w:val="center"/>
          </w:tcPr>
          <w:p w14:paraId="4D71A76D">
            <w:pPr>
              <w:pStyle w:val="82"/>
              <w:ind w:firstLine="0"/>
              <w:jc w:val="center"/>
              <w:rPr>
                <w:color w:val="000000" w:themeColor="text1"/>
              </w:rPr>
            </w:pPr>
            <w:r>
              <w:rPr>
                <w:rFonts w:hint="eastAsia"/>
                <w:color w:val="000000" w:themeColor="text1"/>
              </w:rPr>
              <w:t>1.93%</w:t>
            </w:r>
          </w:p>
        </w:tc>
        <w:tc>
          <w:tcPr>
            <w:tcW w:w="3366" w:type="dxa"/>
            <w:vAlign w:val="center"/>
          </w:tcPr>
          <w:p w14:paraId="2F8AE9A0">
            <w:pPr>
              <w:pStyle w:val="82"/>
              <w:ind w:firstLine="0"/>
              <w:rPr>
                <w:color w:val="000000" w:themeColor="text1"/>
              </w:rPr>
            </w:pPr>
            <w:r>
              <w:rPr>
                <w:rFonts w:hint="eastAsia"/>
                <w:color w:val="000000" w:themeColor="text1"/>
              </w:rPr>
              <w:t>在银行开户，线上申请，上传所需材料，等待审批，审批通过后可直接在手机银行提款。</w:t>
            </w:r>
          </w:p>
        </w:tc>
      </w:tr>
      <w:tr w14:paraId="1F89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6447A9">
            <w:pPr>
              <w:pStyle w:val="82"/>
              <w:ind w:firstLine="0"/>
              <w:jc w:val="center"/>
              <w:rPr>
                <w:color w:val="000000" w:themeColor="text1"/>
              </w:rPr>
            </w:pPr>
            <w:r>
              <w:rPr>
                <w:rFonts w:hint="eastAsia"/>
                <w:color w:val="000000" w:themeColor="text1"/>
              </w:rPr>
              <w:t>兴业银行</w:t>
            </w:r>
          </w:p>
        </w:tc>
        <w:tc>
          <w:tcPr>
            <w:tcW w:w="1134" w:type="dxa"/>
            <w:vAlign w:val="center"/>
          </w:tcPr>
          <w:p w14:paraId="58EDAB8B">
            <w:pPr>
              <w:pStyle w:val="82"/>
              <w:ind w:firstLine="0"/>
              <w:jc w:val="center"/>
              <w:rPr>
                <w:color w:val="000000" w:themeColor="text1"/>
              </w:rPr>
            </w:pPr>
            <w:r>
              <w:rPr>
                <w:rFonts w:hint="eastAsia"/>
                <w:color w:val="000000" w:themeColor="text1"/>
              </w:rPr>
              <w:t>0779-3158330</w:t>
            </w:r>
          </w:p>
        </w:tc>
        <w:tc>
          <w:tcPr>
            <w:tcW w:w="1701" w:type="dxa"/>
            <w:vAlign w:val="center"/>
          </w:tcPr>
          <w:p w14:paraId="5708A816">
            <w:pPr>
              <w:pStyle w:val="82"/>
              <w:ind w:firstLine="0"/>
              <w:rPr>
                <w:color w:val="000000" w:themeColor="text1"/>
              </w:rPr>
            </w:pPr>
            <w:r>
              <w:rPr>
                <w:rFonts w:hint="eastAsia"/>
                <w:color w:val="000000" w:themeColor="text1"/>
              </w:rPr>
              <w:t>最高1千万（单笔提款金额达合同金额70%）</w:t>
            </w:r>
          </w:p>
        </w:tc>
        <w:tc>
          <w:tcPr>
            <w:tcW w:w="993" w:type="dxa"/>
            <w:vAlign w:val="center"/>
          </w:tcPr>
          <w:p w14:paraId="7177FADC">
            <w:pPr>
              <w:pStyle w:val="82"/>
              <w:ind w:firstLine="0"/>
              <w:jc w:val="center"/>
              <w:rPr>
                <w:color w:val="000000" w:themeColor="text1"/>
              </w:rPr>
            </w:pPr>
            <w:r>
              <w:rPr>
                <w:rFonts w:hint="eastAsia"/>
                <w:color w:val="000000" w:themeColor="text1"/>
              </w:rPr>
              <w:t>1年</w:t>
            </w:r>
          </w:p>
        </w:tc>
        <w:tc>
          <w:tcPr>
            <w:tcW w:w="850" w:type="dxa"/>
            <w:vAlign w:val="center"/>
          </w:tcPr>
          <w:p w14:paraId="1BC07C17">
            <w:pPr>
              <w:pStyle w:val="82"/>
              <w:ind w:firstLine="0"/>
              <w:jc w:val="center"/>
              <w:rPr>
                <w:color w:val="000000" w:themeColor="text1"/>
              </w:rPr>
            </w:pPr>
            <w:r>
              <w:rPr>
                <w:rFonts w:hint="eastAsia"/>
                <w:color w:val="000000" w:themeColor="text1"/>
              </w:rPr>
              <w:t>3.70%</w:t>
            </w:r>
          </w:p>
        </w:tc>
        <w:tc>
          <w:tcPr>
            <w:tcW w:w="3366" w:type="dxa"/>
            <w:vAlign w:val="center"/>
          </w:tcPr>
          <w:p w14:paraId="0425E7A7">
            <w:pPr>
              <w:pStyle w:val="82"/>
              <w:ind w:firstLine="0"/>
              <w:rPr>
                <w:color w:val="000000" w:themeColor="text1"/>
              </w:rPr>
            </w:pPr>
            <w:r>
              <w:rPr>
                <w:rFonts w:hint="eastAsia"/>
                <w:color w:val="000000" w:themeColor="text1"/>
              </w:rPr>
              <w:t>全流程线上，初次申请开立账户，提供营业执照、采购合同、信用材料等，申请复审，签订合同，提交单笔贷款使用需求，贷款到账后受托使用。</w:t>
            </w:r>
          </w:p>
        </w:tc>
      </w:tr>
      <w:tr w14:paraId="7B45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AFBA6A">
            <w:pPr>
              <w:pStyle w:val="82"/>
              <w:ind w:firstLine="0"/>
              <w:jc w:val="center"/>
              <w:rPr>
                <w:color w:val="000000" w:themeColor="text1"/>
              </w:rPr>
            </w:pPr>
            <w:r>
              <w:rPr>
                <w:rFonts w:hint="eastAsia"/>
                <w:color w:val="000000" w:themeColor="text1"/>
              </w:rPr>
              <w:t>工商银行</w:t>
            </w:r>
          </w:p>
        </w:tc>
        <w:tc>
          <w:tcPr>
            <w:tcW w:w="1134" w:type="dxa"/>
            <w:vAlign w:val="center"/>
          </w:tcPr>
          <w:p w14:paraId="0525C1E3">
            <w:pPr>
              <w:pStyle w:val="82"/>
              <w:ind w:firstLine="0"/>
              <w:jc w:val="center"/>
              <w:rPr>
                <w:color w:val="000000" w:themeColor="text1"/>
              </w:rPr>
            </w:pPr>
            <w:r>
              <w:rPr>
                <w:rFonts w:hint="eastAsia"/>
                <w:color w:val="000000" w:themeColor="text1"/>
              </w:rPr>
              <w:t>0779-3050645</w:t>
            </w:r>
          </w:p>
        </w:tc>
        <w:tc>
          <w:tcPr>
            <w:tcW w:w="1701" w:type="dxa"/>
            <w:vAlign w:val="center"/>
          </w:tcPr>
          <w:p w14:paraId="6D0B297B">
            <w:pPr>
              <w:pStyle w:val="82"/>
              <w:ind w:firstLine="0"/>
              <w:rPr>
                <w:color w:val="000000" w:themeColor="text1"/>
              </w:rPr>
            </w:pPr>
            <w:r>
              <w:rPr>
                <w:rFonts w:hint="eastAsia"/>
                <w:color w:val="000000" w:themeColor="text1"/>
              </w:rPr>
              <w:t>最高1千万且不超过合同金额70%</w:t>
            </w:r>
          </w:p>
        </w:tc>
        <w:tc>
          <w:tcPr>
            <w:tcW w:w="993" w:type="dxa"/>
            <w:vAlign w:val="center"/>
          </w:tcPr>
          <w:p w14:paraId="6474BEC0">
            <w:pPr>
              <w:pStyle w:val="82"/>
              <w:ind w:firstLine="0"/>
              <w:jc w:val="center"/>
              <w:rPr>
                <w:color w:val="000000" w:themeColor="text1"/>
              </w:rPr>
            </w:pPr>
            <w:r>
              <w:rPr>
                <w:rFonts w:hint="eastAsia"/>
                <w:color w:val="000000" w:themeColor="text1"/>
              </w:rPr>
              <w:t>货物类1年</w:t>
            </w:r>
          </w:p>
          <w:p w14:paraId="49CDFE1C">
            <w:pPr>
              <w:pStyle w:val="82"/>
              <w:ind w:firstLine="0"/>
              <w:jc w:val="center"/>
              <w:rPr>
                <w:color w:val="000000" w:themeColor="text1"/>
              </w:rPr>
            </w:pPr>
            <w:r>
              <w:rPr>
                <w:rFonts w:hint="eastAsia"/>
                <w:color w:val="000000" w:themeColor="text1"/>
              </w:rPr>
              <w:t>服务类3年</w:t>
            </w:r>
          </w:p>
          <w:p w14:paraId="4828A6E8">
            <w:pPr>
              <w:pStyle w:val="82"/>
              <w:ind w:firstLine="0"/>
              <w:jc w:val="center"/>
              <w:rPr>
                <w:color w:val="000000" w:themeColor="text1"/>
              </w:rPr>
            </w:pPr>
            <w:r>
              <w:rPr>
                <w:rFonts w:hint="eastAsia"/>
                <w:color w:val="000000" w:themeColor="text1"/>
              </w:rPr>
              <w:t>工程类5年</w:t>
            </w:r>
          </w:p>
        </w:tc>
        <w:tc>
          <w:tcPr>
            <w:tcW w:w="850" w:type="dxa"/>
            <w:vAlign w:val="center"/>
          </w:tcPr>
          <w:p w14:paraId="7350E35E">
            <w:pPr>
              <w:pStyle w:val="82"/>
              <w:ind w:firstLine="0"/>
              <w:jc w:val="center"/>
              <w:rPr>
                <w:color w:val="000000" w:themeColor="text1"/>
              </w:rPr>
            </w:pPr>
            <w:r>
              <w:rPr>
                <w:rFonts w:hint="eastAsia"/>
                <w:color w:val="000000" w:themeColor="text1"/>
              </w:rPr>
              <w:t>3.45%</w:t>
            </w:r>
          </w:p>
        </w:tc>
        <w:tc>
          <w:tcPr>
            <w:tcW w:w="3366" w:type="dxa"/>
            <w:vAlign w:val="center"/>
          </w:tcPr>
          <w:p w14:paraId="29D070CC">
            <w:pPr>
              <w:pStyle w:val="82"/>
              <w:ind w:firstLine="0"/>
              <w:rPr>
                <w:color w:val="000000" w:themeColor="text1"/>
              </w:rPr>
            </w:pPr>
            <w:r>
              <w:rPr>
                <w:rFonts w:hint="eastAsia"/>
                <w:color w:val="000000" w:themeColor="text1"/>
              </w:rPr>
              <w:t>为中征系统白名单企业，提供相关要求材料，内部审批后放款自主借还。</w:t>
            </w:r>
          </w:p>
        </w:tc>
      </w:tr>
      <w:tr w14:paraId="5B5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2A90780">
            <w:pPr>
              <w:pStyle w:val="82"/>
              <w:ind w:firstLine="0"/>
              <w:jc w:val="center"/>
              <w:rPr>
                <w:color w:val="000000" w:themeColor="text1"/>
              </w:rPr>
            </w:pPr>
            <w:r>
              <w:rPr>
                <w:rFonts w:hint="eastAsia"/>
                <w:color w:val="000000" w:themeColor="text1"/>
              </w:rPr>
              <w:t>国民村镇银行</w:t>
            </w:r>
          </w:p>
        </w:tc>
        <w:tc>
          <w:tcPr>
            <w:tcW w:w="1134" w:type="dxa"/>
            <w:vAlign w:val="center"/>
          </w:tcPr>
          <w:p w14:paraId="47205B01">
            <w:pPr>
              <w:pStyle w:val="82"/>
              <w:ind w:firstLine="0"/>
              <w:jc w:val="center"/>
              <w:rPr>
                <w:color w:val="000000" w:themeColor="text1"/>
              </w:rPr>
            </w:pPr>
            <w:r>
              <w:rPr>
                <w:rFonts w:hint="eastAsia"/>
                <w:color w:val="000000" w:themeColor="text1"/>
              </w:rPr>
              <w:t>0779-2668801</w:t>
            </w:r>
          </w:p>
        </w:tc>
        <w:tc>
          <w:tcPr>
            <w:tcW w:w="1701" w:type="dxa"/>
            <w:vAlign w:val="center"/>
          </w:tcPr>
          <w:p w14:paraId="5C6180C4">
            <w:pPr>
              <w:pStyle w:val="82"/>
              <w:ind w:firstLine="0"/>
              <w:rPr>
                <w:color w:val="000000" w:themeColor="text1"/>
              </w:rPr>
            </w:pPr>
            <w:r>
              <w:rPr>
                <w:rFonts w:hint="eastAsia"/>
                <w:color w:val="000000" w:themeColor="text1"/>
              </w:rPr>
              <w:t>最高500万</w:t>
            </w:r>
          </w:p>
        </w:tc>
        <w:tc>
          <w:tcPr>
            <w:tcW w:w="993" w:type="dxa"/>
            <w:vAlign w:val="center"/>
          </w:tcPr>
          <w:p w14:paraId="1F7B4EF6">
            <w:pPr>
              <w:pStyle w:val="82"/>
              <w:ind w:firstLine="0"/>
              <w:jc w:val="center"/>
              <w:rPr>
                <w:color w:val="000000" w:themeColor="text1"/>
              </w:rPr>
            </w:pPr>
            <w:r>
              <w:rPr>
                <w:rFonts w:hint="eastAsia"/>
                <w:color w:val="000000" w:themeColor="text1"/>
              </w:rPr>
              <w:t>5年</w:t>
            </w:r>
          </w:p>
        </w:tc>
        <w:tc>
          <w:tcPr>
            <w:tcW w:w="850" w:type="dxa"/>
            <w:vAlign w:val="center"/>
          </w:tcPr>
          <w:p w14:paraId="6C46ECE8">
            <w:pPr>
              <w:pStyle w:val="82"/>
              <w:ind w:firstLine="0"/>
              <w:jc w:val="center"/>
              <w:rPr>
                <w:color w:val="000000" w:themeColor="text1"/>
              </w:rPr>
            </w:pPr>
            <w:r>
              <w:rPr>
                <w:rFonts w:hint="eastAsia"/>
                <w:color w:val="000000" w:themeColor="text1"/>
              </w:rPr>
              <w:t>2.80%</w:t>
            </w:r>
          </w:p>
        </w:tc>
        <w:tc>
          <w:tcPr>
            <w:tcW w:w="3366" w:type="dxa"/>
            <w:vAlign w:val="center"/>
          </w:tcPr>
          <w:p w14:paraId="69104F89">
            <w:pPr>
              <w:pStyle w:val="82"/>
              <w:ind w:firstLine="0"/>
              <w:rPr>
                <w:color w:val="000000" w:themeColor="text1"/>
              </w:rPr>
            </w:pPr>
            <w:r>
              <w:rPr>
                <w:rFonts w:hint="eastAsia"/>
                <w:color w:val="000000" w:themeColor="text1"/>
              </w:rPr>
              <w:t>银行开户，线下申请并提供材料，信用良好企业最快1天获批即可提款</w:t>
            </w:r>
          </w:p>
        </w:tc>
      </w:tr>
      <w:tr w14:paraId="1743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FC86D1">
            <w:pPr>
              <w:pStyle w:val="82"/>
              <w:ind w:firstLine="0"/>
              <w:jc w:val="center"/>
              <w:rPr>
                <w:color w:val="000000" w:themeColor="text1"/>
              </w:rPr>
            </w:pPr>
            <w:r>
              <w:rPr>
                <w:rFonts w:hint="eastAsia"/>
                <w:color w:val="000000" w:themeColor="text1"/>
              </w:rPr>
              <w:t>桂林银行</w:t>
            </w:r>
          </w:p>
        </w:tc>
        <w:tc>
          <w:tcPr>
            <w:tcW w:w="1134" w:type="dxa"/>
            <w:vAlign w:val="center"/>
          </w:tcPr>
          <w:p w14:paraId="03A229EB">
            <w:pPr>
              <w:pStyle w:val="82"/>
              <w:ind w:firstLine="0"/>
              <w:jc w:val="center"/>
              <w:rPr>
                <w:color w:val="000000" w:themeColor="text1"/>
              </w:rPr>
            </w:pPr>
            <w:r>
              <w:rPr>
                <w:rFonts w:hint="eastAsia"/>
                <w:color w:val="000000" w:themeColor="text1"/>
              </w:rPr>
              <w:t>18577993959</w:t>
            </w:r>
          </w:p>
        </w:tc>
        <w:tc>
          <w:tcPr>
            <w:tcW w:w="1701" w:type="dxa"/>
            <w:vAlign w:val="center"/>
          </w:tcPr>
          <w:p w14:paraId="133288F6">
            <w:pPr>
              <w:pStyle w:val="82"/>
              <w:ind w:firstLine="0"/>
              <w:rPr>
                <w:color w:val="000000" w:themeColor="text1"/>
              </w:rPr>
            </w:pPr>
            <w:r>
              <w:rPr>
                <w:rFonts w:hint="eastAsia"/>
                <w:color w:val="000000" w:themeColor="text1"/>
              </w:rPr>
              <w:t>最高1千万</w:t>
            </w:r>
          </w:p>
        </w:tc>
        <w:tc>
          <w:tcPr>
            <w:tcW w:w="993" w:type="dxa"/>
            <w:vAlign w:val="center"/>
          </w:tcPr>
          <w:p w14:paraId="50324439">
            <w:pPr>
              <w:pStyle w:val="82"/>
              <w:ind w:firstLine="0"/>
              <w:jc w:val="center"/>
              <w:rPr>
                <w:color w:val="000000" w:themeColor="text1"/>
              </w:rPr>
            </w:pPr>
            <w:r>
              <w:rPr>
                <w:rFonts w:hint="eastAsia"/>
                <w:color w:val="000000" w:themeColor="text1"/>
              </w:rPr>
              <w:t>1年</w:t>
            </w:r>
          </w:p>
        </w:tc>
        <w:tc>
          <w:tcPr>
            <w:tcW w:w="850" w:type="dxa"/>
            <w:vAlign w:val="center"/>
          </w:tcPr>
          <w:p w14:paraId="67EB02EE">
            <w:pPr>
              <w:pStyle w:val="82"/>
              <w:ind w:firstLine="0"/>
              <w:jc w:val="center"/>
              <w:rPr>
                <w:color w:val="000000" w:themeColor="text1"/>
              </w:rPr>
            </w:pPr>
            <w:r>
              <w:rPr>
                <w:rFonts w:hint="eastAsia"/>
                <w:color w:val="000000" w:themeColor="text1"/>
              </w:rPr>
              <w:t>3.45%</w:t>
            </w:r>
          </w:p>
        </w:tc>
        <w:tc>
          <w:tcPr>
            <w:tcW w:w="3366" w:type="dxa"/>
            <w:vAlign w:val="center"/>
          </w:tcPr>
          <w:p w14:paraId="017D8F6B">
            <w:pPr>
              <w:pStyle w:val="82"/>
              <w:ind w:firstLine="0"/>
              <w:rPr>
                <w:color w:val="000000" w:themeColor="text1"/>
              </w:rPr>
            </w:pPr>
            <w:r>
              <w:rPr>
                <w:rFonts w:hint="eastAsia"/>
                <w:color w:val="000000" w:themeColor="text1"/>
              </w:rPr>
              <w:t>线下申请，材料齐全最快1周内即可放款。</w:t>
            </w:r>
          </w:p>
        </w:tc>
      </w:tr>
      <w:tr w14:paraId="7F1C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95BB73">
            <w:pPr>
              <w:pStyle w:val="82"/>
              <w:ind w:firstLine="0"/>
              <w:jc w:val="center"/>
              <w:rPr>
                <w:color w:val="000000" w:themeColor="text1"/>
              </w:rPr>
            </w:pPr>
            <w:r>
              <w:rPr>
                <w:rFonts w:hint="eastAsia"/>
                <w:color w:val="000000" w:themeColor="text1"/>
              </w:rPr>
              <w:t>中小微商务服务公司</w:t>
            </w:r>
          </w:p>
        </w:tc>
        <w:tc>
          <w:tcPr>
            <w:tcW w:w="1134" w:type="dxa"/>
            <w:vAlign w:val="center"/>
          </w:tcPr>
          <w:p w14:paraId="231A6606">
            <w:pPr>
              <w:pStyle w:val="82"/>
              <w:ind w:firstLine="0"/>
              <w:jc w:val="center"/>
              <w:rPr>
                <w:color w:val="000000" w:themeColor="text1"/>
              </w:rPr>
            </w:pPr>
            <w:r>
              <w:rPr>
                <w:rFonts w:hint="eastAsia"/>
                <w:color w:val="000000" w:themeColor="text1"/>
              </w:rPr>
              <w:t>19907799988</w:t>
            </w:r>
          </w:p>
        </w:tc>
        <w:tc>
          <w:tcPr>
            <w:tcW w:w="1701" w:type="dxa"/>
            <w:vAlign w:val="center"/>
          </w:tcPr>
          <w:p w14:paraId="7971C18F">
            <w:pPr>
              <w:pStyle w:val="82"/>
              <w:ind w:firstLine="0"/>
              <w:rPr>
                <w:color w:val="000000" w:themeColor="text1"/>
              </w:rPr>
            </w:pPr>
          </w:p>
        </w:tc>
        <w:tc>
          <w:tcPr>
            <w:tcW w:w="993" w:type="dxa"/>
            <w:vAlign w:val="center"/>
          </w:tcPr>
          <w:p w14:paraId="26C10C7C">
            <w:pPr>
              <w:pStyle w:val="82"/>
              <w:ind w:firstLine="0"/>
              <w:jc w:val="center"/>
              <w:rPr>
                <w:color w:val="000000" w:themeColor="text1"/>
              </w:rPr>
            </w:pPr>
          </w:p>
        </w:tc>
        <w:tc>
          <w:tcPr>
            <w:tcW w:w="850" w:type="dxa"/>
            <w:vAlign w:val="center"/>
          </w:tcPr>
          <w:p w14:paraId="03698B61">
            <w:pPr>
              <w:pStyle w:val="82"/>
              <w:ind w:firstLine="0"/>
              <w:jc w:val="center"/>
              <w:rPr>
                <w:color w:val="000000" w:themeColor="text1"/>
              </w:rPr>
            </w:pPr>
          </w:p>
        </w:tc>
        <w:tc>
          <w:tcPr>
            <w:tcW w:w="3366" w:type="dxa"/>
            <w:vAlign w:val="center"/>
          </w:tcPr>
          <w:p w14:paraId="6280BBE7">
            <w:pPr>
              <w:pStyle w:val="82"/>
              <w:ind w:firstLine="0"/>
              <w:rPr>
                <w:color w:val="000000" w:themeColor="text1"/>
              </w:rPr>
            </w:pPr>
            <w:r>
              <w:rPr>
                <w:rFonts w:hint="eastAsia"/>
                <w:color w:val="000000" w:themeColor="text1"/>
              </w:rPr>
              <w:t>具体业务可电话咨询。</w:t>
            </w:r>
          </w:p>
        </w:tc>
      </w:tr>
    </w:tbl>
    <w:p w14:paraId="25FCC64C">
      <w:pPr>
        <w:pStyle w:val="82"/>
        <w:rPr>
          <w:color w:val="000000" w:themeColor="text1"/>
        </w:rPr>
      </w:pPr>
      <w:r>
        <w:rPr>
          <w:rFonts w:hint="eastAsia"/>
          <w:color w:val="000000" w:themeColor="text1"/>
        </w:rPr>
        <w:t>注：表中联系电话、授信金额、授信期限、最低利率等信息可能动态更新，仅供参考，具体以办理时相关银行公布的为准。</w:t>
      </w:r>
    </w:p>
    <w:p w14:paraId="5CE48237">
      <w:pPr>
        <w:pStyle w:val="128"/>
        <w:snapToGrid w:val="0"/>
        <w:spacing w:before="0"/>
        <w:ind w:firstLine="480"/>
        <w:rPr>
          <w:rFonts w:ascii="宋体" w:hAnsi="宋体" w:cs="宋体"/>
          <w:color w:val="000000" w:themeColor="text1"/>
        </w:rPr>
      </w:pPr>
    </w:p>
    <w:p w14:paraId="77102F54">
      <w:pPr>
        <w:pStyle w:val="24"/>
        <w:spacing w:line="360" w:lineRule="auto"/>
        <w:ind w:left="479" w:hanging="479" w:hangingChars="199"/>
        <w:rPr>
          <w:rFonts w:cs="宋体"/>
          <w:b/>
          <w:color w:val="000000" w:themeColor="text1"/>
        </w:rPr>
      </w:pPr>
      <w:r>
        <w:rPr>
          <w:rFonts w:hint="eastAsia" w:cs="宋体"/>
          <w:b/>
          <w:color w:val="000000" w:themeColor="text1"/>
        </w:rPr>
        <w:t>26. 履约保证金</w:t>
      </w:r>
    </w:p>
    <w:p w14:paraId="2D5AF249">
      <w:pPr>
        <w:tabs>
          <w:tab w:val="left" w:pos="0"/>
        </w:tabs>
        <w:spacing w:line="360" w:lineRule="auto"/>
        <w:ind w:firstLine="482"/>
        <w:rPr>
          <w:rFonts w:ascii="宋体" w:hAnsi="宋体" w:cs="宋体"/>
          <w:color w:val="000000" w:themeColor="text1"/>
          <w:sz w:val="24"/>
        </w:rPr>
      </w:pPr>
      <w:r>
        <w:rPr>
          <w:rFonts w:hint="eastAsia" w:ascii="宋体" w:hAnsi="宋体" w:cs="宋体"/>
          <w:color w:val="000000" w:themeColor="text1"/>
          <w:kern w:val="0"/>
          <w:sz w:val="24"/>
        </w:rPr>
        <w:t>26.1拟签订的合同文本要求中标供应商提交履约保证金的，供应商应当以支票、汇票、本票或者金融机构、担保机构出具的保函等非现金形式提交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rPr>
        <w:t>延迟退还的，应当按照合同约定和法律规定承担相应的赔偿责任</w:t>
      </w:r>
      <w:r>
        <w:rPr>
          <w:rFonts w:hint="eastAsia" w:ascii="宋体" w:hAnsi="宋体" w:cs="宋体"/>
          <w:color w:val="000000" w:themeColor="text1"/>
          <w:sz w:val="24"/>
        </w:rPr>
        <w:t>。</w:t>
      </w:r>
    </w:p>
    <w:p w14:paraId="3EA9E228">
      <w:pPr>
        <w:pStyle w:val="82"/>
        <w:ind w:firstLine="480" w:firstLineChars="200"/>
        <w:rPr>
          <w:rFonts w:cs="宋体"/>
          <w:color w:val="000000" w:themeColor="text1"/>
          <w:kern w:val="2"/>
          <w:szCs w:val="24"/>
        </w:rPr>
      </w:pPr>
      <w:r>
        <w:rPr>
          <w:rFonts w:hint="eastAsia" w:cs="宋体"/>
          <w:color w:val="000000" w:themeColor="text1"/>
        </w:rPr>
        <w:t>履约保证金</w:t>
      </w:r>
      <w:r>
        <w:rPr>
          <w:rFonts w:hint="eastAsia" w:cs="宋体"/>
          <w:color w:val="000000" w:themeColor="text1"/>
          <w:kern w:val="2"/>
          <w:szCs w:val="24"/>
        </w:rPr>
        <w:t>收取银行账户</w:t>
      </w:r>
    </w:p>
    <w:p w14:paraId="00FC12F7">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开户名称： </w:t>
      </w:r>
    </w:p>
    <w:p w14:paraId="57739FA3">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开户银行： </w:t>
      </w:r>
    </w:p>
    <w:p w14:paraId="01B1DD69">
      <w:pPr>
        <w:pStyle w:val="82"/>
        <w:ind w:firstLine="480" w:firstLineChars="200"/>
        <w:rPr>
          <w:rFonts w:cs="宋体"/>
          <w:color w:val="000000" w:themeColor="text1"/>
          <w:kern w:val="2"/>
          <w:szCs w:val="24"/>
        </w:rPr>
      </w:pPr>
      <w:r>
        <w:rPr>
          <w:rFonts w:hint="eastAsia" w:cs="宋体"/>
          <w:color w:val="000000" w:themeColor="text1"/>
          <w:kern w:val="2"/>
          <w:szCs w:val="24"/>
        </w:rPr>
        <w:t>银行账号：</w:t>
      </w:r>
    </w:p>
    <w:p w14:paraId="0B8A2C03">
      <w:pPr>
        <w:pStyle w:val="82"/>
        <w:ind w:firstLine="480" w:firstLineChars="200"/>
        <w:rPr>
          <w:snapToGrid w:val="0"/>
          <w:color w:val="000000" w:themeColor="text1"/>
        </w:rPr>
      </w:pPr>
      <w:r>
        <w:rPr>
          <w:rFonts w:hint="eastAsia"/>
          <w:snapToGrid w:val="0"/>
          <w:color w:val="000000" w:themeColor="text1"/>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5AAF1FAD">
      <w:pPr>
        <w:pStyle w:val="82"/>
        <w:rPr>
          <w:color w:val="000000" w:themeColor="text1"/>
        </w:rPr>
      </w:pPr>
      <w:r>
        <w:rPr>
          <w:rFonts w:hint="eastAsia"/>
          <w:color w:val="000000" w:themeColor="text1"/>
        </w:rPr>
        <w:t>26.3履约保证金的退还。验收合格的政府采购项目，采购人应当按照合同约定的退还方式，在5个工作日内办理履约保证金退还手续。</w:t>
      </w:r>
    </w:p>
    <w:p w14:paraId="27F2F75F">
      <w:pPr>
        <w:pStyle w:val="82"/>
        <w:rPr>
          <w:color w:val="000000" w:themeColor="text1"/>
        </w:rPr>
      </w:pPr>
      <w:r>
        <w:rPr>
          <w:rFonts w:hint="eastAsia"/>
          <w:color w:val="000000" w:themeColor="text1"/>
        </w:rPr>
        <w:t>26.4履约保证金不予退还情形：（1）中标供应商未能全部履行政府采购合同的；（2）采购文件规定的其他情形。</w:t>
      </w:r>
    </w:p>
    <w:p w14:paraId="7A1934AF">
      <w:pPr>
        <w:pStyle w:val="82"/>
        <w:rPr>
          <w:color w:val="000000" w:themeColor="text1"/>
        </w:rPr>
      </w:pPr>
      <w:r>
        <w:rPr>
          <w:color w:val="000000" w:themeColor="text1"/>
        </w:rPr>
        <w:t>27.预付款</w:t>
      </w:r>
    </w:p>
    <w:p w14:paraId="65376E75">
      <w:pPr>
        <w:adjustRightInd/>
        <w:spacing w:line="360" w:lineRule="auto"/>
        <w:ind w:firstLine="480" w:firstLineChars="200"/>
        <w:rPr>
          <w:rFonts w:ascii="宋体" w:hAnsi="宋体"/>
          <w:color w:val="000000" w:themeColor="text1"/>
          <w:sz w:val="24"/>
        </w:rPr>
      </w:pPr>
      <w:r>
        <w:rPr>
          <w:rFonts w:hint="eastAsia" w:ascii="宋体" w:hAnsi="宋体"/>
          <w:color w:val="000000" w:themeColor="text1"/>
          <w:sz w:val="24"/>
        </w:rPr>
        <w:t>采购单位应当在政府采购合同中约定预付款，对中小企业合同预付款比例原则上不低于合同金额的3</w:t>
      </w:r>
      <w:r>
        <w:rPr>
          <w:rFonts w:ascii="宋体" w:hAnsi="宋体"/>
          <w:color w:val="000000" w:themeColor="text1"/>
          <w:sz w:val="24"/>
        </w:rPr>
        <w:t>0％</w:t>
      </w:r>
      <w:r>
        <w:rPr>
          <w:rFonts w:hint="eastAsia" w:ascii="宋体" w:hAnsi="宋体"/>
          <w:color w:val="000000" w:themeColor="text1"/>
          <w:sz w:val="24"/>
        </w:rPr>
        <w:t>，不高于合同金额的5</w:t>
      </w:r>
      <w:r>
        <w:rPr>
          <w:rFonts w:ascii="宋体" w:hAnsi="宋体"/>
          <w:color w:val="000000" w:themeColor="text1"/>
          <w:sz w:val="24"/>
        </w:rPr>
        <w:t>0%；项目分年安排预算的，每年预付款比例</w:t>
      </w:r>
      <w:r>
        <w:rPr>
          <w:rFonts w:hint="eastAsia" w:ascii="宋体" w:hAnsi="宋体"/>
          <w:color w:val="000000" w:themeColor="text1"/>
          <w:sz w:val="24"/>
        </w:rPr>
        <w:t>不低于</w:t>
      </w:r>
      <w:r>
        <w:rPr>
          <w:rFonts w:ascii="宋体" w:hAnsi="宋体"/>
          <w:color w:val="000000" w:themeColor="text1"/>
          <w:sz w:val="24"/>
        </w:rPr>
        <w:t>项目年度计划支付资金额的</w:t>
      </w:r>
      <w:r>
        <w:rPr>
          <w:rFonts w:hint="eastAsia" w:ascii="宋体" w:hAnsi="宋体"/>
          <w:color w:val="000000" w:themeColor="text1"/>
          <w:sz w:val="24"/>
        </w:rPr>
        <w:t>3</w:t>
      </w:r>
      <w:r>
        <w:rPr>
          <w:rFonts w:ascii="宋体" w:hAnsi="宋体"/>
          <w:color w:val="000000" w:themeColor="text1"/>
          <w:sz w:val="24"/>
        </w:rPr>
        <w:t>0％</w:t>
      </w:r>
      <w:r>
        <w:rPr>
          <w:rFonts w:hint="eastAsia" w:ascii="宋体" w:hAnsi="宋体"/>
          <w:color w:val="000000" w:themeColor="text1"/>
          <w:sz w:val="24"/>
        </w:rPr>
        <w:t>，不高于合同金额的5</w:t>
      </w:r>
      <w:r>
        <w:rPr>
          <w:rFonts w:ascii="宋体" w:hAnsi="宋体"/>
          <w:color w:val="000000" w:themeColor="text1"/>
          <w:sz w:val="24"/>
        </w:rPr>
        <w:t>0%；采购项目实施以人工投入为主的，</w:t>
      </w:r>
      <w:r>
        <w:rPr>
          <w:rFonts w:hint="eastAsia" w:ascii="宋体" w:hAnsi="宋体"/>
          <w:color w:val="000000" w:themeColor="text1"/>
          <w:sz w:val="24"/>
        </w:rPr>
        <w:t>可适当降低预付款比例，但不得低于1</w:t>
      </w:r>
      <w:r>
        <w:rPr>
          <w:rFonts w:ascii="宋体" w:hAnsi="宋体"/>
          <w:color w:val="000000" w:themeColor="text1"/>
          <w:sz w:val="24"/>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rPr>
        <w:t>供应商</w:t>
      </w:r>
      <w:r>
        <w:rPr>
          <w:rFonts w:ascii="宋体" w:hAnsi="宋体"/>
          <w:color w:val="000000" w:themeColor="text1"/>
          <w:sz w:val="24"/>
        </w:rPr>
        <w:t>明确表示无需预付款或者主动要求降低预付款比例的，</w:t>
      </w:r>
      <w:r>
        <w:rPr>
          <w:rFonts w:hint="eastAsia" w:ascii="宋体" w:hAnsi="宋体"/>
          <w:color w:val="000000" w:themeColor="text1"/>
          <w:sz w:val="24"/>
        </w:rPr>
        <w:t>采购单位</w:t>
      </w:r>
      <w:r>
        <w:rPr>
          <w:rFonts w:ascii="宋体" w:hAnsi="宋体"/>
          <w:color w:val="000000" w:themeColor="text1"/>
          <w:sz w:val="24"/>
        </w:rPr>
        <w:t>可不适用前述规定。</w:t>
      </w:r>
      <w:r>
        <w:rPr>
          <w:rFonts w:hint="eastAsia" w:ascii="宋体" w:hAnsi="宋体"/>
          <w:color w:val="000000" w:themeColor="text1"/>
          <w:sz w:val="24"/>
        </w:rPr>
        <w:t>采购单位</w:t>
      </w:r>
      <w:r>
        <w:rPr>
          <w:rFonts w:ascii="宋体" w:hAnsi="宋体"/>
          <w:color w:val="000000" w:themeColor="text1"/>
          <w:sz w:val="24"/>
        </w:rPr>
        <w:t>根据项目特点、供应商诚信等因素，可以要求</w:t>
      </w:r>
      <w:r>
        <w:rPr>
          <w:rFonts w:hint="eastAsia" w:ascii="宋体" w:hAnsi="宋体"/>
          <w:color w:val="000000" w:themeColor="text1"/>
          <w:sz w:val="24"/>
        </w:rPr>
        <w:t>供应商</w:t>
      </w:r>
      <w:r>
        <w:rPr>
          <w:rFonts w:ascii="宋体" w:hAnsi="宋体"/>
          <w:color w:val="000000" w:themeColor="text1"/>
          <w:sz w:val="24"/>
        </w:rPr>
        <w:t>提交银行、保险公司等金融机构出具的预付款保函或其他担保措施。政府采购预付款应在合同生效以及具备实施条件后</w:t>
      </w:r>
      <w:r>
        <w:rPr>
          <w:rFonts w:hint="eastAsia" w:ascii="宋体" w:hAnsi="宋体"/>
          <w:color w:val="000000" w:themeColor="text1"/>
          <w:sz w:val="24"/>
        </w:rPr>
        <w:t>5</w:t>
      </w:r>
      <w:r>
        <w:rPr>
          <w:rFonts w:ascii="宋体" w:hAnsi="宋体"/>
          <w:color w:val="000000" w:themeColor="text1"/>
          <w:sz w:val="24"/>
        </w:rPr>
        <w:t>个工作日内支付。</w:t>
      </w:r>
      <w:r>
        <w:rPr>
          <w:rFonts w:hint="eastAsia" w:ascii="宋体" w:hAnsi="宋体"/>
          <w:color w:val="000000" w:themeColor="text1"/>
          <w:sz w:val="24"/>
        </w:rPr>
        <w:t>政府采购工程以及与工程建设有关的货物、服务，采用招标方式采购的，预付款从其相关规定。</w:t>
      </w:r>
    </w:p>
    <w:p w14:paraId="32531466">
      <w:pPr>
        <w:adjustRightInd/>
        <w:spacing w:line="360" w:lineRule="auto"/>
        <w:ind w:firstLine="480" w:firstLineChars="200"/>
        <w:rPr>
          <w:rFonts w:ascii="宋体" w:hAnsi="宋体" w:cs="宋体"/>
          <w:b/>
          <w:color w:val="000000" w:themeColor="text1"/>
          <w:sz w:val="32"/>
        </w:rPr>
      </w:pPr>
      <w:r>
        <w:rPr>
          <w:rFonts w:hint="eastAsia" w:ascii="宋体" w:hAnsi="宋体"/>
          <w:color w:val="000000" w:themeColor="text1"/>
          <w:sz w:val="24"/>
        </w:rPr>
        <w:t>供应商可登录广西政府采购云平台前台大厅选择金融服务</w:t>
      </w:r>
      <w:r>
        <w:rPr>
          <w:rFonts w:ascii="宋体" w:hAnsi="宋体"/>
          <w:color w:val="000000" w:themeColor="text1"/>
          <w:sz w:val="24"/>
        </w:rPr>
        <w:t xml:space="preserve"> - </w:t>
      </w:r>
      <w:r>
        <w:rPr>
          <w:rFonts w:hint="eastAsia" w:ascii="宋体" w:hAnsi="宋体"/>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hint="eastAsia" w:ascii="宋体" w:hAnsi="宋体"/>
          <w:color w:val="000000" w:themeColor="text1"/>
          <w:sz w:val="24"/>
        </w:rPr>
        <w:t>金融专线</w:t>
      </w:r>
      <w:r>
        <w:rPr>
          <w:rFonts w:ascii="宋体" w:hAnsi="宋体"/>
          <w:color w:val="000000" w:themeColor="text1"/>
          <w:sz w:val="24"/>
        </w:rPr>
        <w:t>400-903-9583。</w:t>
      </w:r>
    </w:p>
    <w:p w14:paraId="41A3EEC8">
      <w:pPr>
        <w:snapToGrid w:val="0"/>
        <w:spacing w:line="360" w:lineRule="auto"/>
        <w:ind w:firstLine="3357" w:firstLineChars="1045"/>
        <w:outlineLvl w:val="1"/>
        <w:rPr>
          <w:rFonts w:ascii="宋体" w:hAnsi="宋体" w:cs="宋体"/>
          <w:b/>
          <w:color w:val="000000" w:themeColor="text1"/>
          <w:sz w:val="24"/>
        </w:rPr>
      </w:pPr>
      <w:r>
        <w:rPr>
          <w:rFonts w:hint="eastAsia" w:ascii="宋体" w:hAnsi="宋体" w:cs="宋体"/>
          <w:b/>
          <w:color w:val="000000" w:themeColor="text1"/>
          <w:sz w:val="32"/>
        </w:rPr>
        <w:t>八、电子交易活动的中止</w:t>
      </w:r>
    </w:p>
    <w:p w14:paraId="1CC8A68A">
      <w:pPr>
        <w:pStyle w:val="128"/>
        <w:snapToGrid w:val="0"/>
        <w:spacing w:before="0"/>
        <w:ind w:firstLine="0" w:firstLineChars="0"/>
        <w:rPr>
          <w:rFonts w:ascii="宋体" w:hAnsi="宋体" w:cs="宋体"/>
          <w:color w:val="000000" w:themeColor="text1"/>
        </w:rPr>
      </w:pPr>
      <w:r>
        <w:rPr>
          <w:rFonts w:ascii="宋体" w:hAnsi="宋体" w:cs="宋体"/>
          <w:b/>
          <w:bCs/>
          <w:color w:val="000000" w:themeColor="text1"/>
        </w:rPr>
        <w:t>2</w:t>
      </w:r>
      <w:r>
        <w:rPr>
          <w:rFonts w:ascii="宋体" w:hAnsi="宋体" w:cs="宋体"/>
          <w:b/>
          <w:bCs/>
          <w:color w:val="000000" w:themeColor="text1"/>
          <w:szCs w:val="24"/>
        </w:rPr>
        <w:t>8</w:t>
      </w:r>
      <w:r>
        <w:rPr>
          <w:rFonts w:hint="eastAsia" w:ascii="宋体" w:hAnsi="宋体" w:cs="宋体"/>
          <w:b/>
          <w:color w:val="000000" w:themeColor="text1"/>
          <w:szCs w:val="24"/>
        </w:rPr>
        <w:t>. 电子交易活动的中止。</w:t>
      </w:r>
      <w:r>
        <w:rPr>
          <w:rFonts w:hint="eastAsia" w:ascii="宋体" w:hAnsi="宋体" w:cs="宋体"/>
          <w:color w:val="000000" w:themeColor="text1"/>
        </w:rPr>
        <w:t>采购过程中出现以下情形，导致电子交易平台无法正常运行，或者无法保证电子交易的公平、公正和安全时，采购代理机构可中止电子交易活动：</w:t>
      </w:r>
    </w:p>
    <w:p w14:paraId="52D12E9D">
      <w:pPr>
        <w:pStyle w:val="128"/>
        <w:snapToGrid w:val="0"/>
        <w:spacing w:before="0"/>
        <w:ind w:firstLine="480"/>
        <w:rPr>
          <w:rFonts w:ascii="宋体" w:hAnsi="宋体" w:cs="宋体"/>
          <w:color w:val="000000" w:themeColor="text1"/>
        </w:rPr>
      </w:pPr>
      <w:r>
        <w:rPr>
          <w:rFonts w:hint="eastAsia" w:ascii="宋体" w:hAnsi="宋体" w:cs="宋体"/>
          <w:color w:val="000000" w:themeColor="text1"/>
        </w:rPr>
        <w:t xml:space="preserve">28.1电子交易平台发生故障而无法登录访问的； </w:t>
      </w:r>
    </w:p>
    <w:p w14:paraId="79B6ABF9">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28.2电子交易平台应用或数据库出现错误，不能进行正常操作的；</w:t>
      </w:r>
    </w:p>
    <w:p w14:paraId="70A1D6B3">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28.3电子交易平台发现严重安全漏洞，有潜在泄密危险的；</w:t>
      </w:r>
    </w:p>
    <w:p w14:paraId="42F1A000">
      <w:pPr>
        <w:pStyle w:val="128"/>
        <w:snapToGrid w:val="0"/>
        <w:spacing w:before="0"/>
        <w:ind w:firstLine="480"/>
        <w:rPr>
          <w:rFonts w:ascii="宋体" w:hAnsi="宋体" w:cs="宋体"/>
          <w:color w:val="000000" w:themeColor="text1"/>
        </w:rPr>
      </w:pPr>
      <w:r>
        <w:rPr>
          <w:rFonts w:hint="eastAsia" w:ascii="宋体" w:hAnsi="宋体" w:cs="宋体"/>
          <w:color w:val="000000" w:themeColor="text1"/>
        </w:rPr>
        <w:t xml:space="preserve">28.4病毒发作导致不能进行正常操作的； </w:t>
      </w:r>
    </w:p>
    <w:p w14:paraId="3B0F5AC5">
      <w:pPr>
        <w:pStyle w:val="128"/>
        <w:snapToGrid w:val="0"/>
        <w:spacing w:before="0"/>
        <w:ind w:firstLine="480"/>
        <w:rPr>
          <w:rFonts w:ascii="宋体" w:hAnsi="宋体" w:cs="宋体"/>
          <w:color w:val="000000" w:themeColor="text1"/>
        </w:rPr>
      </w:pPr>
      <w:r>
        <w:rPr>
          <w:rFonts w:hint="eastAsia" w:ascii="宋体" w:hAnsi="宋体" w:cs="宋体"/>
          <w:color w:val="000000" w:themeColor="text1"/>
        </w:rPr>
        <w:t>28.5其他无法保证电子交易的公平、公正和安全的情况。</w:t>
      </w:r>
    </w:p>
    <w:p w14:paraId="2E340765">
      <w:pPr>
        <w:pStyle w:val="128"/>
        <w:snapToGrid w:val="0"/>
        <w:spacing w:before="0"/>
        <w:ind w:firstLine="0" w:firstLineChars="0"/>
        <w:rPr>
          <w:rFonts w:ascii="宋体" w:hAnsi="宋体" w:cs="宋体"/>
          <w:color w:val="000000" w:themeColor="text1"/>
        </w:rPr>
      </w:pPr>
      <w:r>
        <w:rPr>
          <w:rFonts w:hint="eastAsia" w:ascii="宋体" w:hAnsi="宋体" w:cs="宋体"/>
          <w:color w:val="000000" w:themeColor="text1"/>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736D022">
      <w:pPr>
        <w:tabs>
          <w:tab w:val="left" w:pos="0"/>
        </w:tabs>
        <w:spacing w:line="360" w:lineRule="auto"/>
        <w:ind w:firstLine="480"/>
        <w:rPr>
          <w:rFonts w:ascii="宋体" w:hAnsi="宋体" w:cs="宋体"/>
          <w:color w:val="000000" w:themeColor="text1"/>
          <w:sz w:val="24"/>
        </w:rPr>
      </w:pPr>
    </w:p>
    <w:p w14:paraId="3B079040">
      <w:pPr>
        <w:snapToGrid w:val="0"/>
        <w:spacing w:line="360" w:lineRule="auto"/>
        <w:ind w:left="120" w:leftChars="57" w:firstLine="482" w:firstLineChars="150"/>
        <w:jc w:val="center"/>
        <w:outlineLvl w:val="1"/>
        <w:rPr>
          <w:rFonts w:ascii="宋体" w:hAnsi="宋体" w:cs="宋体"/>
          <w:b/>
          <w:color w:val="000000" w:themeColor="text1"/>
          <w:sz w:val="32"/>
        </w:rPr>
      </w:pPr>
      <w:r>
        <w:rPr>
          <w:rFonts w:hint="eastAsia" w:ascii="宋体" w:hAnsi="宋体" w:cs="宋体"/>
          <w:b/>
          <w:color w:val="000000" w:themeColor="text1"/>
          <w:sz w:val="32"/>
        </w:rPr>
        <w:t>九、验收</w:t>
      </w:r>
    </w:p>
    <w:p w14:paraId="009BADAE">
      <w:pPr>
        <w:pStyle w:val="24"/>
        <w:spacing w:line="360" w:lineRule="auto"/>
        <w:ind w:firstLine="0" w:firstLineChars="0"/>
        <w:rPr>
          <w:rFonts w:cs="宋体"/>
          <w:b/>
          <w:color w:val="000000" w:themeColor="text1"/>
        </w:rPr>
      </w:pPr>
      <w:r>
        <w:rPr>
          <w:rFonts w:hint="eastAsia" w:cs="宋体"/>
          <w:b/>
          <w:color w:val="000000" w:themeColor="text1"/>
        </w:rPr>
        <w:t>30.验收</w:t>
      </w:r>
    </w:p>
    <w:p w14:paraId="3CCE8BBC">
      <w:pPr>
        <w:tabs>
          <w:tab w:val="left" w:pos="0"/>
        </w:tabs>
        <w:spacing w:line="360" w:lineRule="auto"/>
        <w:ind w:firstLine="480"/>
        <w:rPr>
          <w:rFonts w:ascii="宋体" w:hAnsi="宋体" w:cs="宋体"/>
          <w:color w:val="000000" w:themeColor="text1"/>
          <w:kern w:val="0"/>
          <w:sz w:val="24"/>
        </w:rPr>
      </w:pPr>
      <w:r>
        <w:rPr>
          <w:rFonts w:hint="eastAsia" w:ascii="宋体" w:hAnsi="宋体" w:cs="宋体"/>
          <w:color w:val="000000" w:themeColor="text1"/>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FE7203">
      <w:pPr>
        <w:tabs>
          <w:tab w:val="left" w:pos="0"/>
        </w:tabs>
        <w:spacing w:line="360" w:lineRule="auto"/>
        <w:ind w:firstLine="480"/>
        <w:rPr>
          <w:rFonts w:ascii="宋体" w:hAnsi="宋体" w:cs="宋体"/>
          <w:color w:val="000000" w:themeColor="text1"/>
          <w:kern w:val="0"/>
          <w:sz w:val="24"/>
        </w:rPr>
      </w:pPr>
      <w:r>
        <w:rPr>
          <w:rFonts w:hint="eastAsia" w:ascii="宋体" w:hAnsi="宋体" w:cs="宋体"/>
          <w:color w:val="000000" w:themeColor="text1"/>
          <w:kern w:val="0"/>
          <w:sz w:val="24"/>
        </w:rPr>
        <w:t>30.2采购人可以邀请参加本项目的其他投标人或者第三方机构参与验收。参与验收的投标人或者第三方机构的意见作为验收书的参考资料一并存档。</w:t>
      </w:r>
    </w:p>
    <w:p w14:paraId="35CA1A34">
      <w:pPr>
        <w:tabs>
          <w:tab w:val="left" w:pos="0"/>
        </w:tabs>
        <w:spacing w:line="360" w:lineRule="auto"/>
        <w:ind w:firstLine="480"/>
        <w:rPr>
          <w:rFonts w:ascii="宋体" w:hAnsi="宋体" w:cs="宋体"/>
          <w:color w:val="000000" w:themeColor="text1"/>
          <w:kern w:val="0"/>
          <w:sz w:val="24"/>
        </w:rPr>
      </w:pPr>
      <w:r>
        <w:rPr>
          <w:rFonts w:hint="eastAsia" w:ascii="宋体" w:hAnsi="宋体" w:cs="宋体"/>
          <w:color w:val="000000" w:themeColor="text1"/>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851569C">
      <w:pPr>
        <w:tabs>
          <w:tab w:val="left" w:pos="0"/>
        </w:tabs>
        <w:spacing w:line="360" w:lineRule="auto"/>
        <w:ind w:firstLine="480"/>
        <w:rPr>
          <w:rFonts w:ascii="宋体" w:hAnsi="宋体" w:cs="宋体"/>
          <w:color w:val="000000" w:themeColor="text1"/>
          <w:kern w:val="0"/>
          <w:sz w:val="24"/>
        </w:rPr>
      </w:pPr>
      <w:r>
        <w:rPr>
          <w:rFonts w:hint="eastAsia" w:ascii="宋体" w:hAnsi="宋体" w:cs="宋体"/>
          <w:color w:val="000000" w:themeColor="text1"/>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C33E3F5">
      <w:pPr>
        <w:snapToGrid w:val="0"/>
        <w:spacing w:line="360" w:lineRule="auto"/>
        <w:ind w:left="120" w:leftChars="57" w:firstLine="482" w:firstLineChars="150"/>
        <w:jc w:val="center"/>
        <w:outlineLvl w:val="1"/>
        <w:rPr>
          <w:rFonts w:ascii="宋体" w:hAnsi="宋体" w:cs="宋体"/>
          <w:b/>
          <w:color w:val="000000" w:themeColor="text1"/>
          <w:sz w:val="32"/>
        </w:rPr>
      </w:pPr>
      <w:r>
        <w:rPr>
          <w:rFonts w:hint="eastAsia" w:ascii="宋体" w:hAnsi="宋体" w:cs="宋体"/>
          <w:b/>
          <w:color w:val="000000" w:themeColor="text1"/>
          <w:sz w:val="32"/>
        </w:rPr>
        <w:t>十、代理费用的收取标准和方式</w:t>
      </w:r>
    </w:p>
    <w:p w14:paraId="565259DD">
      <w:pPr>
        <w:pStyle w:val="24"/>
        <w:spacing w:line="360" w:lineRule="auto"/>
        <w:ind w:firstLine="0" w:firstLineChars="0"/>
        <w:rPr>
          <w:rFonts w:cs="宋体"/>
          <w:b/>
          <w:color w:val="000000" w:themeColor="text1"/>
        </w:rPr>
      </w:pPr>
      <w:r>
        <w:rPr>
          <w:rFonts w:hint="eastAsia" w:cs="宋体"/>
          <w:b/>
          <w:color w:val="000000" w:themeColor="text1"/>
        </w:rPr>
        <w:t>31.代理费用的收取标准和方式（适用于有权收取代理费用的采购代理机构）</w:t>
      </w:r>
    </w:p>
    <w:p w14:paraId="0FDDD98D">
      <w:pPr>
        <w:pStyle w:val="82"/>
        <w:ind w:firstLine="480" w:firstLineChars="200"/>
        <w:rPr>
          <w:rFonts w:cs="宋体"/>
          <w:color w:val="000000" w:themeColor="text1"/>
          <w:kern w:val="2"/>
          <w:szCs w:val="24"/>
        </w:rPr>
      </w:pPr>
      <w:r>
        <w:rPr>
          <w:rFonts w:hint="eastAsia" w:cs="宋体"/>
          <w:color w:val="000000" w:themeColor="text1"/>
          <w:kern w:val="2"/>
          <w:szCs w:val="24"/>
        </w:rPr>
        <w:t>31.1采购代理费支付方式：</w:t>
      </w:r>
    </w:p>
    <w:p w14:paraId="3101BF27">
      <w:pPr>
        <w:pStyle w:val="82"/>
        <w:ind w:firstLine="480" w:firstLineChars="200"/>
        <w:rPr>
          <w:rFonts w:cs="宋体"/>
          <w:color w:val="000000" w:themeColor="text1"/>
          <w:kern w:val="2"/>
          <w:szCs w:val="24"/>
        </w:rPr>
      </w:pPr>
      <w:r>
        <w:rPr>
          <w:rFonts w:hint="eastAsia" w:ascii="MS Mincho" w:hAnsi="MS Mincho" w:eastAsia="MS Mincho" w:cs="宋体"/>
          <w:color w:val="000000" w:themeColor="text1"/>
          <w:kern w:val="2"/>
          <w:szCs w:val="24"/>
        </w:rPr>
        <w:t>☑</w:t>
      </w:r>
      <w:r>
        <w:rPr>
          <w:rFonts w:hint="eastAsia" w:cs="宋体"/>
          <w:color w:val="000000" w:themeColor="text1"/>
          <w:kern w:val="2"/>
          <w:szCs w:val="24"/>
        </w:rPr>
        <w:t>本项目代理服务费由中标供应商一次性向采购代理机构支付。</w:t>
      </w:r>
    </w:p>
    <w:p w14:paraId="7E2575D7">
      <w:pPr>
        <w:pStyle w:val="82"/>
        <w:ind w:firstLine="480" w:firstLineChars="200"/>
        <w:rPr>
          <w:rFonts w:cs="宋体"/>
          <w:color w:val="000000" w:themeColor="text1"/>
          <w:kern w:val="2"/>
          <w:szCs w:val="24"/>
        </w:rPr>
      </w:pPr>
      <w:r>
        <w:rPr>
          <w:rFonts w:hint="eastAsia" w:cs="宋体"/>
          <w:color w:val="000000" w:themeColor="text1"/>
          <w:kern w:val="2"/>
          <w:szCs w:val="24"/>
        </w:rPr>
        <w:t>□采购人支付。</w:t>
      </w:r>
    </w:p>
    <w:p w14:paraId="0D14C17F">
      <w:pPr>
        <w:pStyle w:val="82"/>
        <w:ind w:firstLine="480" w:firstLineChars="200"/>
        <w:rPr>
          <w:rFonts w:cs="宋体"/>
          <w:color w:val="000000" w:themeColor="text1"/>
          <w:kern w:val="2"/>
          <w:szCs w:val="24"/>
        </w:rPr>
      </w:pPr>
      <w:r>
        <w:rPr>
          <w:rFonts w:hint="eastAsia" w:cs="宋体"/>
          <w:color w:val="000000" w:themeColor="text1"/>
          <w:kern w:val="2"/>
          <w:szCs w:val="24"/>
        </w:rPr>
        <w:t>31.2采购代理费收取标准：</w:t>
      </w:r>
    </w:p>
    <w:p w14:paraId="5A0F4C1D">
      <w:pPr>
        <w:pStyle w:val="82"/>
        <w:ind w:firstLine="480" w:firstLineChars="200"/>
        <w:rPr>
          <w:rFonts w:cs="宋体"/>
          <w:color w:val="000000" w:themeColor="text1"/>
          <w:kern w:val="2"/>
          <w:szCs w:val="24"/>
        </w:rPr>
      </w:pPr>
      <w:r>
        <w:rPr>
          <w:rFonts w:hint="eastAsia" w:ascii="MS Mincho" w:hAnsi="MS Mincho" w:eastAsia="MS Mincho" w:cs="宋体"/>
          <w:color w:val="000000" w:themeColor="text1"/>
          <w:kern w:val="2"/>
          <w:szCs w:val="24"/>
        </w:rPr>
        <w:t>☑</w:t>
      </w:r>
      <w:r>
        <w:rPr>
          <w:rFonts w:hint="eastAsia" w:cs="宋体"/>
          <w:color w:val="000000" w:themeColor="text1"/>
          <w:kern w:val="2"/>
          <w:szCs w:val="24"/>
        </w:rPr>
        <w:t>以分标（</w:t>
      </w:r>
      <w:r>
        <w:rPr>
          <w:rFonts w:hint="eastAsia" w:ascii="MS Mincho" w:hAnsi="MS Mincho" w:eastAsia="MS Mincho" w:cs="宋体"/>
          <w:color w:val="000000" w:themeColor="text1"/>
          <w:kern w:val="2"/>
          <w:szCs w:val="24"/>
        </w:rPr>
        <w:t>☑</w:t>
      </w:r>
      <w:r>
        <w:rPr>
          <w:rFonts w:hint="eastAsia" w:cs="宋体"/>
          <w:color w:val="000000" w:themeColor="text1"/>
          <w:kern w:val="2"/>
          <w:szCs w:val="24"/>
        </w:rPr>
        <w:t>中标金额</w:t>
      </w:r>
      <w:r>
        <w:rPr>
          <w:rFonts w:cs="宋体"/>
          <w:color w:val="000000" w:themeColor="text1"/>
          <w:kern w:val="2"/>
          <w:szCs w:val="24"/>
        </w:rPr>
        <w:t>/</w:t>
      </w:r>
      <w:r>
        <w:rPr>
          <w:rFonts w:hint="eastAsia" w:cs="宋体"/>
          <w:color w:val="000000" w:themeColor="text1"/>
          <w:kern w:val="2"/>
          <w:szCs w:val="24"/>
        </w:rPr>
        <w:t>□采购预算</w:t>
      </w:r>
      <w:r>
        <w:rPr>
          <w:rFonts w:cs="宋体"/>
          <w:color w:val="000000" w:themeColor="text1"/>
          <w:kern w:val="2"/>
          <w:szCs w:val="24"/>
        </w:rPr>
        <w:t>/</w:t>
      </w:r>
      <w:r>
        <w:rPr>
          <w:rFonts w:hint="eastAsia" w:cs="宋体"/>
          <w:color w:val="000000" w:themeColor="text1"/>
          <w:kern w:val="2"/>
          <w:szCs w:val="24"/>
        </w:rPr>
        <w:t>□暂定成交金额</w:t>
      </w:r>
      <w:r>
        <w:rPr>
          <w:rFonts w:cs="宋体"/>
          <w:color w:val="000000" w:themeColor="text1"/>
          <w:kern w:val="2"/>
          <w:szCs w:val="24"/>
        </w:rPr>
        <w:t>/</w:t>
      </w:r>
      <w:r>
        <w:rPr>
          <w:rFonts w:hint="eastAsia" w:cs="宋体"/>
          <w:color w:val="000000" w:themeColor="text1"/>
          <w:kern w:val="2"/>
          <w:szCs w:val="24"/>
        </w:rPr>
        <w:t>□其他</w:t>
      </w:r>
      <w:r>
        <w:rPr>
          <w:rFonts w:cs="宋体"/>
          <w:color w:val="000000" w:themeColor="text1"/>
          <w:kern w:val="2"/>
          <w:szCs w:val="24"/>
        </w:rPr>
        <w:t xml:space="preserve"> / </w:t>
      </w:r>
      <w:r>
        <w:rPr>
          <w:rFonts w:hint="eastAsia" w:cs="宋体"/>
          <w:color w:val="000000" w:themeColor="text1"/>
          <w:kern w:val="2"/>
          <w:szCs w:val="24"/>
        </w:rPr>
        <w:t>）为计费额，按代理服务收费标准（□货物类</w:t>
      </w:r>
      <w:r>
        <w:rPr>
          <w:rFonts w:cs="宋体"/>
          <w:color w:val="000000" w:themeColor="text1"/>
          <w:kern w:val="2"/>
          <w:szCs w:val="24"/>
        </w:rPr>
        <w:t>/</w:t>
      </w:r>
      <w:r>
        <w:rPr>
          <w:rFonts w:hint="eastAsia" w:ascii="MS Mincho" w:hAnsi="MS Mincho" w:eastAsia="MS Mincho" w:cs="宋体"/>
          <w:color w:val="000000" w:themeColor="text1"/>
          <w:kern w:val="2"/>
          <w:szCs w:val="24"/>
        </w:rPr>
        <w:t>☑</w:t>
      </w:r>
      <w:r>
        <w:rPr>
          <w:rFonts w:hint="eastAsia" w:cs="宋体"/>
          <w:color w:val="000000" w:themeColor="text1"/>
          <w:kern w:val="2"/>
          <w:szCs w:val="24"/>
        </w:rPr>
        <w:t>服务类</w:t>
      </w:r>
      <w:r>
        <w:rPr>
          <w:rFonts w:cs="宋体"/>
          <w:color w:val="000000" w:themeColor="text1"/>
          <w:kern w:val="2"/>
          <w:szCs w:val="24"/>
        </w:rPr>
        <w:t>/</w:t>
      </w:r>
      <w:r>
        <w:rPr>
          <w:rFonts w:hint="eastAsia" w:cs="宋体"/>
          <w:color w:val="000000" w:themeColor="text1"/>
          <w:kern w:val="2"/>
          <w:szCs w:val="24"/>
        </w:rPr>
        <w:t>□工程类）采用差额定率累进法计算出收费基准价格，采购代理收费以（☑收费基准价格</w:t>
      </w:r>
      <w:r>
        <w:rPr>
          <w:rFonts w:cs="宋体"/>
          <w:color w:val="000000" w:themeColor="text1"/>
          <w:kern w:val="2"/>
          <w:szCs w:val="24"/>
        </w:rPr>
        <w:t>/</w:t>
      </w:r>
      <w:r>
        <w:rPr>
          <w:rFonts w:hint="eastAsia" w:ascii="MS Mincho" w:hAnsi="MS Mincho" w:cs="宋体"/>
          <w:color w:val="000000" w:themeColor="text1"/>
          <w:kern w:val="2"/>
          <w:szCs w:val="24"/>
        </w:rPr>
        <w:t>□</w:t>
      </w:r>
      <w:r>
        <w:rPr>
          <w:rFonts w:hint="eastAsia" w:cs="宋体"/>
          <w:color w:val="000000" w:themeColor="text1"/>
          <w:kern w:val="2"/>
          <w:szCs w:val="24"/>
        </w:rPr>
        <w:t>收费基准价格下浮</w:t>
      </w:r>
      <w:r>
        <w:rPr>
          <w:rFonts w:cs="宋体"/>
          <w:color w:val="000000" w:themeColor="text1"/>
          <w:kern w:val="2"/>
          <w:szCs w:val="24"/>
        </w:rPr>
        <w:t xml:space="preserve"> 20 %/</w:t>
      </w:r>
      <w:r>
        <w:rPr>
          <w:rFonts w:hint="eastAsia" w:cs="宋体"/>
          <w:color w:val="000000" w:themeColor="text1"/>
          <w:kern w:val="2"/>
          <w:szCs w:val="24"/>
        </w:rPr>
        <w:t>□收费基准价格上浮</w:t>
      </w:r>
      <w:r>
        <w:rPr>
          <w:rFonts w:cs="宋体"/>
          <w:color w:val="000000" w:themeColor="text1"/>
          <w:kern w:val="2"/>
          <w:szCs w:val="24"/>
        </w:rPr>
        <w:t xml:space="preserve"> / %</w:t>
      </w:r>
      <w:r>
        <w:rPr>
          <w:rFonts w:hint="eastAsia" w:cs="宋体"/>
          <w:color w:val="000000" w:themeColor="text1"/>
          <w:kern w:val="2"/>
          <w:szCs w:val="24"/>
        </w:rPr>
        <w:t>）收取。</w:t>
      </w:r>
    </w:p>
    <w:p w14:paraId="33A2462E">
      <w:pPr>
        <w:pStyle w:val="82"/>
        <w:ind w:firstLine="480" w:firstLineChars="200"/>
        <w:rPr>
          <w:rFonts w:cs="宋体"/>
          <w:color w:val="000000" w:themeColor="text1"/>
          <w:kern w:val="2"/>
          <w:szCs w:val="24"/>
        </w:rPr>
      </w:pPr>
      <w:r>
        <w:rPr>
          <w:rFonts w:hint="eastAsia" w:cs="宋体"/>
          <w:color w:val="000000" w:themeColor="text1"/>
          <w:kern w:val="2"/>
          <w:szCs w:val="24"/>
        </w:rPr>
        <w:t>□固定采购代理收费。</w:t>
      </w:r>
    </w:p>
    <w:p w14:paraId="5E5DE43B">
      <w:pPr>
        <w:pStyle w:val="82"/>
        <w:ind w:firstLine="480" w:firstLineChars="200"/>
        <w:rPr>
          <w:rFonts w:cs="宋体"/>
          <w:color w:val="000000" w:themeColor="text1"/>
          <w:kern w:val="2"/>
          <w:szCs w:val="24"/>
        </w:rPr>
      </w:pPr>
      <w:r>
        <w:rPr>
          <w:rFonts w:hint="eastAsia" w:cs="宋体"/>
          <w:color w:val="000000" w:themeColor="text1"/>
          <w:kern w:val="2"/>
          <w:szCs w:val="24"/>
        </w:rPr>
        <w:t>31.3采购代理费收取银行账户</w:t>
      </w:r>
    </w:p>
    <w:p w14:paraId="023CBB77">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开户名称：广西中之元工程管理有限公司 </w:t>
      </w:r>
    </w:p>
    <w:p w14:paraId="24E736CF">
      <w:pPr>
        <w:pStyle w:val="82"/>
        <w:ind w:firstLine="480" w:firstLineChars="200"/>
        <w:rPr>
          <w:rFonts w:cs="宋体"/>
          <w:color w:val="000000" w:themeColor="text1"/>
          <w:kern w:val="2"/>
          <w:szCs w:val="24"/>
        </w:rPr>
      </w:pPr>
      <w:r>
        <w:rPr>
          <w:rFonts w:hint="eastAsia" w:cs="宋体"/>
          <w:color w:val="000000" w:themeColor="text1"/>
          <w:kern w:val="2"/>
          <w:szCs w:val="24"/>
        </w:rPr>
        <w:t xml:space="preserve">开户银行：中国建设银行股份有限公司广西贸易试验区南宁片区五象支行 </w:t>
      </w:r>
    </w:p>
    <w:p w14:paraId="775A6E43">
      <w:pPr>
        <w:pStyle w:val="82"/>
        <w:ind w:firstLine="480" w:firstLineChars="200"/>
        <w:rPr>
          <w:rFonts w:cs="宋体"/>
          <w:color w:val="000000" w:themeColor="text1"/>
          <w:kern w:val="2"/>
          <w:szCs w:val="24"/>
        </w:rPr>
      </w:pPr>
      <w:r>
        <w:rPr>
          <w:rFonts w:hint="eastAsia" w:cs="宋体"/>
          <w:color w:val="000000" w:themeColor="text1"/>
          <w:kern w:val="2"/>
          <w:szCs w:val="24"/>
        </w:rPr>
        <w:t>银行账号：45050160500100000543</w:t>
      </w:r>
    </w:p>
    <w:bookmarkEnd w:id="12"/>
    <w:bookmarkEnd w:id="13"/>
    <w:bookmarkEnd w:id="15"/>
    <w:p w14:paraId="6078FF16">
      <w:pPr>
        <w:snapToGrid w:val="0"/>
        <w:spacing w:line="360" w:lineRule="auto"/>
        <w:ind w:firstLine="480" w:firstLineChars="200"/>
        <w:rPr>
          <w:rFonts w:ascii="宋体" w:hAnsi="宋体" w:cs="宋体"/>
          <w:b/>
          <w:color w:val="000000" w:themeColor="text1"/>
          <w:sz w:val="36"/>
          <w:szCs w:val="36"/>
        </w:rPr>
      </w:pPr>
      <w:bookmarkStart w:id="16" w:name="_Toc176368904"/>
      <w:bookmarkStart w:id="17" w:name="第四部分"/>
      <w:r>
        <w:rPr>
          <w:rFonts w:hint="eastAsia" w:ascii="宋体" w:hAnsi="宋体" w:cs="宋体"/>
          <w:bCs/>
          <w:color w:val="000000" w:themeColor="text1"/>
          <w:sz w:val="24"/>
        </w:rPr>
        <w:t>31.4代理服务收费标准：《关于进一步放开建设项目专业服务价格的通知》（发改价格〔2015〕299号），决定全面放开招标代理费，由实行政府指导价管理改为实行市场调节价，价格由双方协商确定。</w:t>
      </w:r>
      <w:r>
        <w:rPr>
          <w:rFonts w:ascii="宋体" w:hAnsi="宋体" w:cs="宋体"/>
          <w:b/>
          <w:color w:val="000000" w:themeColor="text1"/>
          <w:sz w:val="36"/>
          <w:szCs w:val="36"/>
        </w:rPr>
        <w:br w:type="page"/>
      </w:r>
    </w:p>
    <w:p w14:paraId="087CDEBB">
      <w:pPr>
        <w:spacing w:line="360" w:lineRule="auto"/>
        <w:jc w:val="center"/>
        <w:outlineLvl w:val="0"/>
        <w:rPr>
          <w:rFonts w:ascii="宋体" w:hAnsi="宋体" w:cs="宋体"/>
          <w:b/>
          <w:color w:val="000000" w:themeColor="text1"/>
          <w:sz w:val="36"/>
          <w:szCs w:val="36"/>
        </w:rPr>
      </w:pPr>
      <w:r>
        <w:rPr>
          <w:rFonts w:hint="eastAsia" w:ascii="宋体" w:hAnsi="宋体" w:cs="宋体"/>
          <w:b/>
          <w:color w:val="000000" w:themeColor="text1"/>
          <w:sz w:val="36"/>
          <w:szCs w:val="36"/>
        </w:rPr>
        <w:t>第三部分 采购需求</w:t>
      </w:r>
      <w:bookmarkEnd w:id="16"/>
    </w:p>
    <w:p w14:paraId="48B2A0B6">
      <w:pPr>
        <w:spacing w:before="65" w:line="228" w:lineRule="auto"/>
        <w:ind w:left="9"/>
        <w:rPr>
          <w:rFonts w:ascii="宋体" w:hAnsi="宋体" w:cs="宋体"/>
          <w:szCs w:val="21"/>
        </w:rPr>
      </w:pPr>
      <w:r>
        <w:rPr>
          <w:rFonts w:hint="eastAsia" w:ascii="宋体" w:hAnsi="宋体" w:cs="宋体"/>
          <w:spacing w:val="-2"/>
          <w:szCs w:val="21"/>
        </w:rPr>
        <w:t>说明：</w:t>
      </w:r>
    </w:p>
    <w:p w14:paraId="6F0EE743">
      <w:pPr>
        <w:spacing w:before="42" w:line="228" w:lineRule="auto"/>
        <w:ind w:left="442"/>
        <w:rPr>
          <w:rFonts w:ascii="宋体" w:hAnsi="宋体" w:cs="宋体"/>
          <w:szCs w:val="21"/>
        </w:rPr>
      </w:pPr>
      <w:r>
        <w:rPr>
          <w:rFonts w:hint="eastAsia" w:ascii="宋体" w:hAnsi="宋体" w:cs="宋体"/>
          <w:spacing w:val="7"/>
          <w:szCs w:val="21"/>
        </w:rPr>
        <w:t>1. 为落实政府采购政策需满足的要求</w:t>
      </w:r>
    </w:p>
    <w:p w14:paraId="5FE54DCB">
      <w:pPr>
        <w:spacing w:before="162" w:line="377" w:lineRule="auto"/>
        <w:ind w:left="12" w:right="355" w:firstLine="425"/>
        <w:rPr>
          <w:rFonts w:ascii="宋体" w:hAnsi="宋体" w:cs="宋体"/>
          <w:szCs w:val="21"/>
        </w:rPr>
      </w:pPr>
      <w:r>
        <w:rPr>
          <w:rFonts w:hint="eastAsia" w:ascii="宋体" w:hAnsi="宋体" w:cs="宋体"/>
          <w:spacing w:val="9"/>
          <w:szCs w:val="21"/>
        </w:rPr>
        <w:t>（1）本招标文件所称中小企业必须符合《政府采购促进中小企业发展管理办法》（财库〔</w:t>
      </w:r>
      <w:r>
        <w:rPr>
          <w:rFonts w:hint="eastAsia" w:ascii="宋体" w:hAnsi="宋体" w:cs="宋体"/>
          <w:spacing w:val="8"/>
          <w:szCs w:val="21"/>
        </w:rPr>
        <w:t>2020〕46</w:t>
      </w:r>
      <w:r>
        <w:rPr>
          <w:rFonts w:hint="eastAsia" w:ascii="宋体" w:hAnsi="宋体" w:cs="宋体"/>
          <w:spacing w:val="5"/>
          <w:szCs w:val="21"/>
        </w:rPr>
        <w:t>号）的规定。</w:t>
      </w:r>
    </w:p>
    <w:p w14:paraId="793F2CA4">
      <w:pPr>
        <w:pStyle w:val="23"/>
        <w:spacing w:before="1" w:line="302" w:lineRule="auto"/>
        <w:ind w:left="5" w:right="318" w:firstLine="428"/>
        <w:rPr>
          <w:rFonts w:hAnsi="宋体" w:cs="宋体"/>
          <w:sz w:val="21"/>
        </w:rPr>
      </w:pPr>
      <w:r>
        <w:rPr>
          <w:rFonts w:hint="eastAsia" w:hAnsi="宋体" w:cs="宋体"/>
          <w:spacing w:val="9"/>
          <w:sz w:val="21"/>
        </w:rPr>
        <w:t xml:space="preserve">2.“实质性要求”是指招标文件中已经指明不满足则投标无效的条款，或者不能负偏离的条款，或者采 </w:t>
      </w:r>
      <w:r>
        <w:rPr>
          <w:rFonts w:hint="eastAsia" w:hAnsi="宋体" w:cs="宋体"/>
          <w:spacing w:val="2"/>
          <w:sz w:val="21"/>
        </w:rPr>
        <w:t>购需求中带“▲”的条款。</w:t>
      </w:r>
    </w:p>
    <w:p w14:paraId="130B368C">
      <w:pPr>
        <w:spacing w:before="162" w:line="303" w:lineRule="auto"/>
        <w:ind w:left="24" w:right="458" w:firstLine="411"/>
        <w:rPr>
          <w:rFonts w:ascii="宋体" w:hAnsi="宋体" w:cs="宋体"/>
          <w:szCs w:val="21"/>
        </w:rPr>
      </w:pPr>
      <w:r>
        <w:rPr>
          <w:rFonts w:hint="eastAsia" w:ascii="宋体" w:hAnsi="宋体" w:cs="宋体"/>
          <w:spacing w:val="10"/>
          <w:szCs w:val="21"/>
        </w:rPr>
        <w:t>3.采购需求中出现的品牌、型号或者生产</w:t>
      </w:r>
      <w:r>
        <w:rPr>
          <w:rFonts w:hint="eastAsia" w:ascii="宋体" w:hAnsi="宋体" w:cs="宋体"/>
          <w:spacing w:val="9"/>
          <w:szCs w:val="21"/>
        </w:rPr>
        <w:t>厂家仅起参考作用，不属于指定品牌、型号或者生产厂家的情形。投标人可参照或者选用其他相当的品牌、型号或者生</w:t>
      </w:r>
      <w:r>
        <w:rPr>
          <w:rFonts w:hint="eastAsia" w:ascii="宋体" w:hAnsi="宋体" w:cs="宋体"/>
          <w:spacing w:val="8"/>
          <w:szCs w:val="21"/>
        </w:rPr>
        <w:t>产厂家替代。</w:t>
      </w:r>
    </w:p>
    <w:p w14:paraId="2877A681">
      <w:pPr>
        <w:spacing w:before="161" w:line="322" w:lineRule="auto"/>
        <w:ind w:left="13" w:right="407" w:firstLine="417"/>
        <w:rPr>
          <w:rFonts w:ascii="宋体" w:hAnsi="宋体" w:cs="宋体"/>
          <w:szCs w:val="21"/>
        </w:rPr>
      </w:pPr>
      <w:r>
        <w:rPr>
          <w:rFonts w:hint="eastAsia" w:ascii="宋体" w:hAnsi="宋体" w:cs="宋体"/>
          <w:spacing w:val="4"/>
          <w:szCs w:val="21"/>
        </w:rPr>
        <w:t>4. 投标人应根据自身实际情况如实响应招标文件，对招标文件提出的要求和条件作</w:t>
      </w:r>
      <w:r>
        <w:rPr>
          <w:rFonts w:hint="eastAsia" w:ascii="宋体" w:hAnsi="宋体" w:cs="宋体"/>
          <w:spacing w:val="3"/>
          <w:szCs w:val="21"/>
        </w:rPr>
        <w:t>出明确响应，</w:t>
      </w:r>
      <w:r>
        <w:rPr>
          <w:rFonts w:hint="eastAsia" w:ascii="宋体" w:hAnsi="宋体" w:cs="宋体"/>
          <w:b/>
          <w:bCs/>
          <w:spacing w:val="9"/>
          <w:szCs w:val="21"/>
        </w:rPr>
        <w:t>否则将作无效响应处理</w:t>
      </w:r>
      <w:r>
        <w:rPr>
          <w:rFonts w:hint="eastAsia" w:ascii="宋体" w:hAnsi="宋体" w:cs="宋体"/>
          <w:spacing w:val="9"/>
          <w:szCs w:val="21"/>
        </w:rPr>
        <w:t>。对于重要技术条款或技术参数应当在投标文件中提供技术支持资料，技术支持</w:t>
      </w:r>
      <w:r>
        <w:rPr>
          <w:rFonts w:hint="eastAsia" w:ascii="宋体" w:hAnsi="宋体" w:cs="宋体"/>
          <w:spacing w:val="8"/>
          <w:szCs w:val="21"/>
        </w:rPr>
        <w:t>资料以招标文件中规定的形式为准，</w:t>
      </w:r>
      <w:r>
        <w:rPr>
          <w:rFonts w:hint="eastAsia" w:ascii="宋体" w:hAnsi="宋体" w:cs="宋体"/>
          <w:b/>
          <w:bCs/>
          <w:spacing w:val="8"/>
          <w:szCs w:val="21"/>
        </w:rPr>
        <w:t>否则将视为无效技术支持资料</w:t>
      </w:r>
      <w:r>
        <w:rPr>
          <w:rFonts w:hint="eastAsia" w:ascii="宋体" w:hAnsi="宋体" w:cs="宋体"/>
          <w:spacing w:val="8"/>
          <w:szCs w:val="21"/>
        </w:rPr>
        <w:t>。</w:t>
      </w:r>
    </w:p>
    <w:p w14:paraId="02ABA6B2">
      <w:pPr>
        <w:spacing w:before="272" w:line="228" w:lineRule="auto"/>
        <w:ind w:left="431"/>
        <w:rPr>
          <w:rFonts w:ascii="宋体" w:hAnsi="宋体" w:cs="宋体"/>
          <w:szCs w:val="21"/>
        </w:rPr>
      </w:pPr>
      <w:r>
        <w:rPr>
          <w:rFonts w:hint="eastAsia" w:ascii="宋体" w:hAnsi="宋体" w:cs="宋体"/>
          <w:spacing w:val="9"/>
          <w:szCs w:val="21"/>
        </w:rPr>
        <w:t>5.投标人必须自行为其投标产品侵犯他人的知识产权或者专利成果的行为承担相应法律责任。</w:t>
      </w:r>
    </w:p>
    <w:p w14:paraId="404A1D44">
      <w:pPr>
        <w:spacing w:before="153" w:line="299" w:lineRule="auto"/>
        <w:ind w:left="12" w:right="267" w:firstLine="414"/>
        <w:rPr>
          <w:rFonts w:ascii="宋体" w:hAnsi="宋体" w:cs="宋体"/>
          <w:szCs w:val="21"/>
        </w:rPr>
      </w:pPr>
      <w:r>
        <w:rPr>
          <w:rFonts w:hint="eastAsia" w:ascii="宋体" w:hAnsi="宋体" w:cs="宋体"/>
          <w:spacing w:val="10"/>
          <w:szCs w:val="21"/>
        </w:rPr>
        <w:t>6.采购标的的所属行业：根据《关于印发中小企业划型标准规定的通知》 (工信部联企业(2011)300</w:t>
      </w:r>
      <w:r>
        <w:rPr>
          <w:rFonts w:hint="eastAsia" w:ascii="宋体" w:hAnsi="宋体" w:cs="宋体"/>
          <w:spacing w:val="4"/>
          <w:szCs w:val="21"/>
        </w:rPr>
        <w:t>号)规定的划分标准（附件 1</w:t>
      </w:r>
      <w:r>
        <w:rPr>
          <w:rFonts w:hint="eastAsia" w:ascii="宋体" w:hAnsi="宋体" w:cs="宋体"/>
          <w:spacing w:val="23"/>
          <w:szCs w:val="21"/>
        </w:rPr>
        <w:t>），</w:t>
      </w:r>
      <w:r>
        <w:rPr>
          <w:rFonts w:hint="eastAsia" w:ascii="宋体" w:hAnsi="宋体" w:cs="宋体"/>
          <w:b/>
          <w:bCs/>
          <w:spacing w:val="4"/>
          <w:szCs w:val="21"/>
        </w:rPr>
        <w:t>本项目采购标的所属</w:t>
      </w:r>
      <w:r>
        <w:rPr>
          <w:rFonts w:hint="eastAsia" w:ascii="宋体" w:hAnsi="宋体" w:cs="宋体"/>
          <w:b/>
          <w:bCs/>
          <w:spacing w:val="3"/>
          <w:szCs w:val="21"/>
        </w:rPr>
        <w:t>行业：批发业。</w:t>
      </w:r>
    </w:p>
    <w:p w14:paraId="212566FD">
      <w:pPr>
        <w:spacing w:line="140" w:lineRule="exact"/>
      </w:pPr>
    </w:p>
    <w:tbl>
      <w:tblPr>
        <w:tblStyle w:val="962"/>
        <w:tblW w:w="9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8316"/>
        <w:gridCol w:w="18"/>
      </w:tblGrid>
      <w:tr w14:paraId="74901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905" w:type="dxa"/>
            <w:gridSpan w:val="3"/>
          </w:tcPr>
          <w:p w14:paraId="5736B9C3">
            <w:pPr>
              <w:pStyle w:val="337"/>
              <w:spacing w:before="65" w:line="229" w:lineRule="auto"/>
              <w:rPr>
                <w:rFonts w:ascii="宋体" w:hAnsi="宋体" w:cs="宋体"/>
                <w:sz w:val="21"/>
                <w:szCs w:val="21"/>
              </w:rPr>
            </w:pPr>
            <w:r>
              <w:rPr>
                <w:rFonts w:hint="eastAsia" w:ascii="宋体" w:hAnsi="宋体" w:cs="宋体"/>
                <w:b/>
                <w:bCs/>
                <w:spacing w:val="2"/>
                <w:sz w:val="21"/>
                <w:szCs w:val="21"/>
              </w:rPr>
              <w:t>一、项目要求</w:t>
            </w:r>
          </w:p>
        </w:tc>
      </w:tr>
      <w:tr w14:paraId="75A0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2" w:hRule="atLeast"/>
        </w:trPr>
        <w:tc>
          <w:tcPr>
            <w:tcW w:w="1571" w:type="dxa"/>
            <w:vAlign w:val="center"/>
          </w:tcPr>
          <w:p w14:paraId="3B7F1C9A">
            <w:pPr>
              <w:spacing w:line="322" w:lineRule="auto"/>
              <w:jc w:val="center"/>
              <w:rPr>
                <w:rFonts w:ascii="宋体" w:hAnsi="宋体" w:cs="宋体"/>
                <w:szCs w:val="21"/>
              </w:rPr>
            </w:pPr>
          </w:p>
          <w:p w14:paraId="0B67983C">
            <w:pPr>
              <w:pStyle w:val="337"/>
              <w:spacing w:before="65" w:line="228" w:lineRule="auto"/>
              <w:ind w:left="177"/>
              <w:jc w:val="center"/>
              <w:rPr>
                <w:rFonts w:ascii="宋体" w:hAnsi="宋体" w:cs="宋体"/>
                <w:sz w:val="21"/>
                <w:szCs w:val="21"/>
              </w:rPr>
            </w:pPr>
            <w:r>
              <w:rPr>
                <w:rFonts w:hint="eastAsia" w:ascii="宋体" w:hAnsi="宋体" w:cs="宋体"/>
                <w:b/>
                <w:bCs/>
                <w:spacing w:val="2"/>
                <w:sz w:val="21"/>
                <w:szCs w:val="21"/>
              </w:rPr>
              <w:t>实施方案说明</w:t>
            </w:r>
          </w:p>
        </w:tc>
        <w:tc>
          <w:tcPr>
            <w:tcW w:w="8334" w:type="dxa"/>
            <w:gridSpan w:val="2"/>
          </w:tcPr>
          <w:p w14:paraId="0CD0B48B">
            <w:pPr>
              <w:pStyle w:val="337"/>
              <w:spacing w:before="249" w:line="343" w:lineRule="auto"/>
              <w:ind w:left="145" w:right="101" w:firstLine="390"/>
              <w:rPr>
                <w:rFonts w:ascii="宋体" w:hAnsi="宋体" w:cs="宋体"/>
                <w:sz w:val="21"/>
                <w:szCs w:val="21"/>
              </w:rPr>
            </w:pPr>
            <w:r>
              <w:rPr>
                <w:rFonts w:hint="eastAsia" w:ascii="宋体" w:hAnsi="宋体" w:cs="宋体"/>
                <w:spacing w:val="7"/>
                <w:sz w:val="21"/>
                <w:szCs w:val="21"/>
              </w:rPr>
              <w:t>为进一步严防严管严控校园食品安全风险，建立食品安全追溯体系，根据中华人民共和国教育部、中华人民共和国国家市场监督管理总局、中华人民共和国国家卫生健康委员会联合发布的《学校食品安全与营养健康管理规定》（第45号令）、《自治区教育厅 自治区财政厅关于进一步做好农村义务教育学生营养改善计划全覆盖工作的通知》（桂教财务〔2024〕8号）、《教育部办公厅 市场监管总局办公厅关于印发&lt;学校食堂大宗食材采购验收管理工作指引&gt;的通知》（教体艺厅函〔2025〕30号）文件精神以及县委县政府关于加强学校食堂食品安全管理的工作要求，特制定本方案。</w:t>
            </w:r>
          </w:p>
        </w:tc>
      </w:tr>
      <w:tr w14:paraId="0980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0" w:hRule="atLeast"/>
        </w:trPr>
        <w:tc>
          <w:tcPr>
            <w:tcW w:w="1571" w:type="dxa"/>
          </w:tcPr>
          <w:p w14:paraId="790E45A4">
            <w:pPr>
              <w:spacing w:line="263" w:lineRule="auto"/>
              <w:rPr>
                <w:rFonts w:ascii="宋体" w:hAnsi="宋体" w:cs="宋体"/>
                <w:szCs w:val="21"/>
              </w:rPr>
            </w:pPr>
          </w:p>
          <w:p w14:paraId="5F8CD686">
            <w:pPr>
              <w:spacing w:line="264" w:lineRule="auto"/>
              <w:rPr>
                <w:rFonts w:ascii="宋体" w:hAnsi="宋体" w:cs="宋体"/>
                <w:szCs w:val="21"/>
              </w:rPr>
            </w:pPr>
          </w:p>
          <w:p w14:paraId="09CFC99F">
            <w:pPr>
              <w:spacing w:line="264" w:lineRule="auto"/>
              <w:rPr>
                <w:rFonts w:ascii="宋体" w:hAnsi="宋体" w:cs="宋体"/>
                <w:szCs w:val="21"/>
              </w:rPr>
            </w:pPr>
          </w:p>
          <w:p w14:paraId="56D8DEAF">
            <w:pPr>
              <w:pStyle w:val="337"/>
              <w:spacing w:before="65" w:line="230" w:lineRule="auto"/>
              <w:ind w:left="384"/>
              <w:rPr>
                <w:rFonts w:ascii="宋体" w:hAnsi="宋体" w:cs="宋体"/>
                <w:sz w:val="21"/>
                <w:szCs w:val="21"/>
              </w:rPr>
            </w:pPr>
            <w:r>
              <w:rPr>
                <w:rFonts w:hint="eastAsia" w:ascii="宋体" w:hAnsi="宋体" w:cs="宋体"/>
                <w:b/>
                <w:bCs/>
                <w:spacing w:val="2"/>
                <w:sz w:val="21"/>
                <w:szCs w:val="21"/>
              </w:rPr>
              <w:t>指导思想</w:t>
            </w:r>
          </w:p>
        </w:tc>
        <w:tc>
          <w:tcPr>
            <w:tcW w:w="8334" w:type="dxa"/>
            <w:gridSpan w:val="2"/>
          </w:tcPr>
          <w:p w14:paraId="5C00610D">
            <w:pPr>
              <w:pStyle w:val="337"/>
              <w:spacing w:before="249" w:line="343" w:lineRule="auto"/>
              <w:ind w:left="145" w:right="101" w:firstLine="390"/>
              <w:rPr>
                <w:rFonts w:ascii="宋体" w:hAnsi="宋体" w:cs="宋体"/>
                <w:sz w:val="21"/>
                <w:szCs w:val="21"/>
              </w:rPr>
            </w:pPr>
            <w:r>
              <w:rPr>
                <w:rFonts w:hint="eastAsia" w:ascii="宋体" w:hAnsi="宋体" w:cs="宋体"/>
                <w:spacing w:val="7"/>
                <w:sz w:val="21"/>
                <w:szCs w:val="21"/>
              </w:rPr>
              <w:t>以习近平新时代中国特色社会主义思想为指导，深入贯彻落实习近平总书记对食品安全提出的“四个最严”要求，坚持“公开透明、安全为先”的食品安全工作原则，规范合浦县实施农村义务教育学生营养改善计划学校食堂食品原材料采购配送行为，确保学生饮食卫生安全，营造良好的校园学习生活环境，构建和谐校园、平安校园良好格局。</w:t>
            </w:r>
          </w:p>
        </w:tc>
      </w:tr>
      <w:tr w14:paraId="27B6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571" w:type="dxa"/>
          </w:tcPr>
          <w:p w14:paraId="690510BC">
            <w:pPr>
              <w:spacing w:line="270" w:lineRule="auto"/>
              <w:rPr>
                <w:rFonts w:ascii="宋体" w:hAnsi="宋体" w:cs="宋体"/>
                <w:color w:val="auto"/>
                <w:szCs w:val="21"/>
              </w:rPr>
            </w:pPr>
          </w:p>
          <w:p w14:paraId="55D78616">
            <w:pPr>
              <w:pStyle w:val="337"/>
              <w:spacing w:before="65" w:line="229" w:lineRule="auto"/>
              <w:ind w:left="384"/>
              <w:rPr>
                <w:rFonts w:ascii="宋体" w:hAnsi="宋体" w:cs="宋体"/>
                <w:color w:val="auto"/>
                <w:sz w:val="21"/>
                <w:szCs w:val="21"/>
              </w:rPr>
            </w:pPr>
            <w:r>
              <w:rPr>
                <w:rFonts w:hint="eastAsia" w:ascii="宋体" w:hAnsi="宋体" w:cs="宋体"/>
                <w:b/>
                <w:bCs/>
                <w:color w:val="auto"/>
                <w:spacing w:val="2"/>
                <w:sz w:val="21"/>
                <w:szCs w:val="21"/>
              </w:rPr>
              <w:t>工作目标</w:t>
            </w:r>
          </w:p>
        </w:tc>
        <w:tc>
          <w:tcPr>
            <w:tcW w:w="8334" w:type="dxa"/>
            <w:gridSpan w:val="2"/>
          </w:tcPr>
          <w:p w14:paraId="4217C67C">
            <w:pPr>
              <w:pStyle w:val="337"/>
              <w:spacing w:before="249" w:line="343" w:lineRule="auto"/>
              <w:ind w:left="145" w:right="101" w:firstLine="390"/>
              <w:rPr>
                <w:rFonts w:ascii="宋体" w:hAnsi="宋体" w:cs="宋体"/>
                <w:color w:val="auto"/>
                <w:sz w:val="21"/>
                <w:szCs w:val="21"/>
              </w:rPr>
            </w:pPr>
            <w:r>
              <w:rPr>
                <w:rFonts w:hint="eastAsia" w:ascii="宋体" w:hAnsi="宋体" w:cs="宋体"/>
                <w:color w:val="auto"/>
                <w:spacing w:val="7"/>
                <w:sz w:val="21"/>
                <w:szCs w:val="21"/>
              </w:rPr>
              <w:t>本着“确保安全、规范管理、降低成本、提高质量 ”为宗旨，严防食源性公共卫生事故发生，确保学校食品安全与营养健康。</w:t>
            </w:r>
          </w:p>
        </w:tc>
      </w:tr>
      <w:tr w14:paraId="53860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571" w:type="dxa"/>
            <w:vAlign w:val="center"/>
          </w:tcPr>
          <w:p w14:paraId="12A48690">
            <w:pPr>
              <w:pStyle w:val="337"/>
              <w:spacing w:before="65" w:line="228" w:lineRule="auto"/>
              <w:jc w:val="center"/>
              <w:rPr>
                <w:rFonts w:ascii="宋体" w:hAnsi="宋体" w:cs="宋体"/>
                <w:sz w:val="21"/>
                <w:szCs w:val="21"/>
              </w:rPr>
            </w:pPr>
            <w:r>
              <w:rPr>
                <w:rFonts w:hint="eastAsia" w:ascii="宋体" w:hAnsi="宋体" w:cs="宋体"/>
                <w:b/>
                <w:bCs/>
                <w:spacing w:val="4"/>
                <w:sz w:val="21"/>
                <w:szCs w:val="21"/>
              </w:rPr>
              <w:t>基本原则</w:t>
            </w:r>
          </w:p>
        </w:tc>
        <w:tc>
          <w:tcPr>
            <w:tcW w:w="8334" w:type="dxa"/>
            <w:gridSpan w:val="2"/>
          </w:tcPr>
          <w:p w14:paraId="5019C57A">
            <w:pPr>
              <w:pStyle w:val="337"/>
              <w:spacing w:before="249" w:line="343" w:lineRule="auto"/>
              <w:ind w:left="145" w:right="101" w:firstLine="390"/>
              <w:rPr>
                <w:rFonts w:ascii="宋体" w:hAnsi="宋体" w:cs="宋体"/>
                <w:spacing w:val="7"/>
                <w:sz w:val="21"/>
                <w:szCs w:val="21"/>
              </w:rPr>
            </w:pPr>
            <w:r>
              <w:rPr>
                <w:rFonts w:hint="eastAsia" w:ascii="宋体" w:hAnsi="宋体" w:cs="宋体"/>
                <w:spacing w:val="7"/>
                <w:sz w:val="21"/>
                <w:szCs w:val="21"/>
              </w:rPr>
              <w:t>政府主导，合力推进，坚持公开、公平、公正的原则；坚持严格把关、确保质量的原则；坚持安全、营养、方便、快捷的原则；坚持降低成本，物美价廉的原则。</w:t>
            </w:r>
          </w:p>
        </w:tc>
      </w:tr>
      <w:tr w14:paraId="0198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1306" w:hRule="atLeast"/>
        </w:trPr>
        <w:tc>
          <w:tcPr>
            <w:tcW w:w="1571" w:type="dxa"/>
            <w:vAlign w:val="center"/>
          </w:tcPr>
          <w:p w14:paraId="1AA42BE2">
            <w:pPr>
              <w:spacing w:line="282" w:lineRule="auto"/>
              <w:jc w:val="center"/>
              <w:rPr>
                <w:rFonts w:ascii="宋体" w:hAnsi="宋体" w:cs="宋体"/>
                <w:szCs w:val="21"/>
              </w:rPr>
            </w:pPr>
          </w:p>
          <w:p w14:paraId="71FB5840">
            <w:pPr>
              <w:pStyle w:val="337"/>
              <w:spacing w:before="65" w:line="228" w:lineRule="auto"/>
              <w:jc w:val="center"/>
              <w:rPr>
                <w:rFonts w:ascii="宋体" w:hAnsi="宋体" w:cs="宋体"/>
                <w:sz w:val="21"/>
                <w:szCs w:val="21"/>
              </w:rPr>
            </w:pPr>
            <w:r>
              <w:rPr>
                <w:rFonts w:hint="eastAsia" w:ascii="宋体" w:hAnsi="宋体" w:cs="宋体"/>
                <w:b/>
                <w:bCs/>
                <w:spacing w:val="4"/>
                <w:sz w:val="21"/>
                <w:szCs w:val="21"/>
              </w:rPr>
              <w:t>实施范围</w:t>
            </w:r>
          </w:p>
        </w:tc>
        <w:tc>
          <w:tcPr>
            <w:tcW w:w="8316" w:type="dxa"/>
          </w:tcPr>
          <w:p w14:paraId="2B4255CF">
            <w:pPr>
              <w:pStyle w:val="337"/>
              <w:spacing w:before="249" w:line="343" w:lineRule="auto"/>
              <w:ind w:left="145" w:right="101" w:firstLine="390"/>
              <w:rPr>
                <w:rFonts w:ascii="宋体" w:hAnsi="宋体" w:cs="宋体"/>
                <w:sz w:val="21"/>
                <w:szCs w:val="21"/>
              </w:rPr>
            </w:pPr>
            <w:r>
              <w:rPr>
                <w:rFonts w:hint="eastAsia" w:ascii="宋体" w:hAnsi="宋体" w:cs="宋体"/>
                <w:spacing w:val="7"/>
                <w:sz w:val="21"/>
                <w:szCs w:val="21"/>
              </w:rPr>
              <w:t>合浦县实施农村义务教育学生营养改善计划学校。食材集采集配包括学校营养餐所使用的米粮类、蔬菜类、食用油类、鲜肉类、水产类、纯奶制品类、豆制品类、禽蛋类、水果类、调味品类。食材的配送服务方式为毛菜配送。</w:t>
            </w:r>
          </w:p>
        </w:tc>
      </w:tr>
      <w:tr w14:paraId="6360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1071" w:hRule="atLeast"/>
        </w:trPr>
        <w:tc>
          <w:tcPr>
            <w:tcW w:w="1571" w:type="dxa"/>
          </w:tcPr>
          <w:p w14:paraId="00CFFB68">
            <w:pPr>
              <w:spacing w:line="292" w:lineRule="auto"/>
              <w:rPr>
                <w:rFonts w:ascii="宋体" w:hAnsi="宋体" w:cs="宋体"/>
                <w:szCs w:val="21"/>
              </w:rPr>
            </w:pPr>
          </w:p>
          <w:p w14:paraId="07E96E3D">
            <w:pPr>
              <w:pStyle w:val="337"/>
              <w:spacing w:before="65" w:line="228" w:lineRule="auto"/>
              <w:jc w:val="center"/>
              <w:rPr>
                <w:rFonts w:ascii="宋体" w:hAnsi="宋体" w:cs="宋体"/>
                <w:sz w:val="21"/>
                <w:szCs w:val="21"/>
              </w:rPr>
            </w:pPr>
            <w:r>
              <w:rPr>
                <w:rFonts w:hint="eastAsia" w:ascii="宋体" w:hAnsi="宋体" w:cs="宋体"/>
                <w:b/>
                <w:bCs/>
                <w:spacing w:val="4"/>
                <w:sz w:val="21"/>
                <w:szCs w:val="21"/>
              </w:rPr>
              <w:t>实施时间</w:t>
            </w:r>
          </w:p>
        </w:tc>
        <w:tc>
          <w:tcPr>
            <w:tcW w:w="8316" w:type="dxa"/>
          </w:tcPr>
          <w:p w14:paraId="7AE5CAC6">
            <w:pPr>
              <w:pStyle w:val="337"/>
              <w:spacing w:before="249" w:line="343" w:lineRule="auto"/>
              <w:ind w:left="145" w:right="101" w:firstLine="390"/>
              <w:rPr>
                <w:rFonts w:ascii="宋体" w:hAnsi="宋体" w:cs="宋体"/>
                <w:sz w:val="21"/>
                <w:szCs w:val="21"/>
              </w:rPr>
            </w:pPr>
            <w:r>
              <w:rPr>
                <w:rFonts w:hint="eastAsia" w:ascii="宋体" w:hAnsi="宋体" w:cs="宋体"/>
                <w:spacing w:val="7"/>
                <w:sz w:val="21"/>
                <w:szCs w:val="21"/>
              </w:rPr>
              <w:t>服务期限为三年，自2025年秋季学期起至2028年秋季学期止。（具体日期以实施日期为准）。</w:t>
            </w:r>
          </w:p>
        </w:tc>
      </w:tr>
      <w:tr w14:paraId="099C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1367" w:hRule="atLeast"/>
        </w:trPr>
        <w:tc>
          <w:tcPr>
            <w:tcW w:w="1571" w:type="dxa"/>
          </w:tcPr>
          <w:p w14:paraId="69F275D5">
            <w:pPr>
              <w:spacing w:line="305" w:lineRule="auto"/>
              <w:rPr>
                <w:rFonts w:ascii="宋体" w:hAnsi="宋体" w:cs="宋体"/>
                <w:szCs w:val="21"/>
              </w:rPr>
            </w:pPr>
          </w:p>
          <w:p w14:paraId="59107AE9">
            <w:pPr>
              <w:spacing w:line="305" w:lineRule="auto"/>
              <w:rPr>
                <w:rFonts w:ascii="宋体" w:hAnsi="宋体" w:cs="宋体"/>
                <w:szCs w:val="21"/>
              </w:rPr>
            </w:pPr>
          </w:p>
          <w:p w14:paraId="7502D9B9">
            <w:pPr>
              <w:pStyle w:val="337"/>
              <w:spacing w:before="65" w:line="228" w:lineRule="auto"/>
              <w:jc w:val="center"/>
              <w:rPr>
                <w:rFonts w:ascii="宋体" w:hAnsi="宋体" w:cs="宋体"/>
                <w:sz w:val="21"/>
                <w:szCs w:val="21"/>
              </w:rPr>
            </w:pPr>
            <w:r>
              <w:rPr>
                <w:rFonts w:hint="eastAsia" w:ascii="宋体" w:hAnsi="宋体" w:cs="宋体"/>
                <w:b/>
                <w:bCs/>
                <w:spacing w:val="4"/>
                <w:sz w:val="21"/>
                <w:szCs w:val="21"/>
              </w:rPr>
              <w:t>实施方式</w:t>
            </w:r>
          </w:p>
        </w:tc>
        <w:tc>
          <w:tcPr>
            <w:tcW w:w="8316" w:type="dxa"/>
          </w:tcPr>
          <w:p w14:paraId="11ABC4B5">
            <w:pPr>
              <w:pStyle w:val="337"/>
              <w:spacing w:before="249" w:line="343" w:lineRule="auto"/>
              <w:ind w:left="145" w:right="101" w:firstLine="390"/>
              <w:rPr>
                <w:rFonts w:ascii="宋体" w:hAnsi="宋体" w:cs="宋体"/>
                <w:sz w:val="21"/>
                <w:szCs w:val="21"/>
              </w:rPr>
            </w:pPr>
            <w:r>
              <w:rPr>
                <w:rFonts w:hint="eastAsia" w:ascii="宋体" w:hAnsi="宋体" w:cs="宋体"/>
                <w:spacing w:val="7"/>
                <w:sz w:val="21"/>
                <w:szCs w:val="21"/>
              </w:rPr>
              <w:t>县教育局作为学校食材集采集配采购项目的管理单位，通过公开招标引入有资质、有实力、信誉好，具备专业投资运营能力的供应商，由中标的供应商(下称供应商)按照各学校的实际采购计划和需求统一配送到各学校。</w:t>
            </w:r>
          </w:p>
        </w:tc>
      </w:tr>
      <w:tr w14:paraId="74A8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2145" w:hRule="atLeast"/>
        </w:trPr>
        <w:tc>
          <w:tcPr>
            <w:tcW w:w="1571" w:type="dxa"/>
          </w:tcPr>
          <w:p w14:paraId="2576CB3F">
            <w:pPr>
              <w:spacing w:line="247" w:lineRule="auto"/>
              <w:rPr>
                <w:rFonts w:ascii="Arial"/>
              </w:rPr>
            </w:pPr>
          </w:p>
          <w:p w14:paraId="44231BD9">
            <w:pPr>
              <w:spacing w:line="247" w:lineRule="auto"/>
              <w:rPr>
                <w:rFonts w:ascii="Arial"/>
              </w:rPr>
            </w:pPr>
          </w:p>
          <w:p w14:paraId="1AC34E9C">
            <w:pPr>
              <w:spacing w:line="247" w:lineRule="auto"/>
              <w:rPr>
                <w:rFonts w:ascii="Arial"/>
              </w:rPr>
            </w:pPr>
          </w:p>
          <w:p w14:paraId="4A7A0A58">
            <w:pPr>
              <w:spacing w:line="247" w:lineRule="auto"/>
              <w:rPr>
                <w:rFonts w:ascii="Arial"/>
              </w:rPr>
            </w:pPr>
          </w:p>
          <w:p w14:paraId="2426C105">
            <w:pPr>
              <w:spacing w:line="247" w:lineRule="auto"/>
              <w:rPr>
                <w:rFonts w:ascii="Arial"/>
              </w:rPr>
            </w:pPr>
          </w:p>
          <w:p w14:paraId="248642FD">
            <w:pPr>
              <w:pStyle w:val="337"/>
              <w:spacing w:before="65" w:line="228" w:lineRule="auto"/>
              <w:jc w:val="center"/>
            </w:pPr>
            <w:r>
              <w:rPr>
                <w:rFonts w:hint="eastAsia" w:ascii="宋体" w:hAnsi="宋体" w:cs="宋体"/>
                <w:b/>
                <w:bCs/>
                <w:spacing w:val="4"/>
                <w:sz w:val="21"/>
                <w:szCs w:val="21"/>
              </w:rPr>
              <w:t>标段数据</w:t>
            </w:r>
          </w:p>
        </w:tc>
        <w:tc>
          <w:tcPr>
            <w:tcW w:w="8316" w:type="dxa"/>
          </w:tcPr>
          <w:p w14:paraId="15D39C3A">
            <w:pPr>
              <w:pStyle w:val="337"/>
              <w:spacing w:before="249" w:line="343" w:lineRule="auto"/>
              <w:ind w:left="145" w:right="101" w:firstLine="390"/>
            </w:pPr>
            <w:r>
              <w:rPr>
                <w:rFonts w:hint="eastAsia" w:ascii="宋体" w:hAnsi="宋体" w:cs="宋体"/>
                <w:spacing w:val="7"/>
                <w:sz w:val="21"/>
                <w:szCs w:val="21"/>
              </w:rPr>
              <w:t>目前，合浦县实施农村义务教育学生营养改善计划学校318所（具体以实际为准）。其中：小学289所（具体以实际为准），初中29所（具体以实际为准），用餐人数约79000人（具体以实际为准），每年资金约7650 万元，三年资金共约 22950万元。资金来源为上级补助资金和县级配套资金。为便于配送，科学监督管理，保障质量安全，通过公开招标的方式遴选入围供应商。</w:t>
            </w:r>
          </w:p>
        </w:tc>
      </w:tr>
      <w:tr w14:paraId="3C3E9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1306" w:hRule="atLeast"/>
        </w:trPr>
        <w:tc>
          <w:tcPr>
            <w:tcW w:w="1571" w:type="dxa"/>
            <w:vAlign w:val="center"/>
          </w:tcPr>
          <w:p w14:paraId="2F011FDD">
            <w:pPr>
              <w:pStyle w:val="337"/>
              <w:spacing w:before="65" w:line="228" w:lineRule="auto"/>
              <w:jc w:val="center"/>
            </w:pPr>
            <w:r>
              <w:rPr>
                <w:rFonts w:hint="eastAsia" w:ascii="宋体" w:hAnsi="宋体" w:cs="宋体"/>
                <w:b/>
                <w:bCs/>
                <w:spacing w:val="4"/>
                <w:sz w:val="21"/>
                <w:szCs w:val="21"/>
              </w:rPr>
              <w:t>相关要求</w:t>
            </w:r>
          </w:p>
        </w:tc>
        <w:tc>
          <w:tcPr>
            <w:tcW w:w="8316" w:type="dxa"/>
          </w:tcPr>
          <w:p w14:paraId="1BED4248">
            <w:pPr>
              <w:pStyle w:val="23"/>
              <w:rPr>
                <w:b/>
                <w:bCs/>
                <w:sz w:val="21"/>
              </w:rPr>
            </w:pPr>
            <w:r>
              <w:rPr>
                <w:rFonts w:hint="eastAsia"/>
                <w:b/>
                <w:bCs/>
                <w:sz w:val="21"/>
              </w:rPr>
              <w:t>（一）</w:t>
            </w:r>
            <w:r>
              <w:rPr>
                <w:b/>
                <w:bCs/>
                <w:sz w:val="21"/>
              </w:rPr>
              <w:t>基本</w:t>
            </w:r>
            <w:r>
              <w:rPr>
                <w:rFonts w:hint="eastAsia"/>
                <w:b/>
                <w:bCs/>
                <w:sz w:val="21"/>
              </w:rPr>
              <w:t>要求</w:t>
            </w:r>
          </w:p>
          <w:p w14:paraId="7F64BAE1">
            <w:pPr>
              <w:pStyle w:val="23"/>
              <w:ind w:firstLine="420" w:firstLineChars="200"/>
              <w:rPr>
                <w:sz w:val="21"/>
              </w:rPr>
            </w:pPr>
            <w:r>
              <w:rPr>
                <w:sz w:val="21"/>
              </w:rPr>
              <w:t>1.供应商应</w:t>
            </w:r>
            <w:r>
              <w:rPr>
                <w:rFonts w:hint="eastAsia"/>
                <w:sz w:val="21"/>
              </w:rPr>
              <w:t>具有良好的商业信誉和健全的财会制度，参加此次采购活动前三年内，在经营活动中依法经营，管理规范、诚实守信、未出现经营假冒伪劣产品行为，无食品卫生及食品安全不良记录，没有重大违法违纪记录。</w:t>
            </w:r>
          </w:p>
          <w:p w14:paraId="70FFFAB8">
            <w:pPr>
              <w:pStyle w:val="23"/>
              <w:ind w:firstLine="420" w:firstLineChars="200"/>
              <w:rPr>
                <w:sz w:val="21"/>
              </w:rPr>
            </w:pPr>
            <w:r>
              <w:rPr>
                <w:sz w:val="21"/>
              </w:rPr>
              <w:t>2.供应商应</w:t>
            </w:r>
            <w:r>
              <w:rPr>
                <w:rFonts w:hint="eastAsia"/>
                <w:sz w:val="21"/>
              </w:rPr>
              <w:t>具有履行合同所必须的供货、配送和售后服务能力。</w:t>
            </w:r>
          </w:p>
          <w:p w14:paraId="04BDB51C">
            <w:pPr>
              <w:pStyle w:val="23"/>
              <w:ind w:firstLine="420" w:firstLineChars="200"/>
              <w:rPr>
                <w:sz w:val="21"/>
              </w:rPr>
            </w:pPr>
            <w:r>
              <w:rPr>
                <w:sz w:val="21"/>
              </w:rPr>
              <w:t>3.供应商应</w:t>
            </w:r>
            <w:r>
              <w:rPr>
                <w:rFonts w:hint="eastAsia"/>
                <w:sz w:val="21"/>
              </w:rPr>
              <w:t>依法取得相应的《营业执照》、食品经营许可证或相关备案证明等证照（</w:t>
            </w:r>
            <w:r>
              <w:rPr>
                <w:sz w:val="21"/>
              </w:rPr>
              <w:t>具体</w:t>
            </w:r>
            <w:r>
              <w:rPr>
                <w:rFonts w:hint="eastAsia"/>
                <w:sz w:val="21"/>
              </w:rPr>
              <w:t>证件类别以市场监督管理</w:t>
            </w:r>
            <w:r>
              <w:rPr>
                <w:sz w:val="21"/>
              </w:rPr>
              <w:t>部门规定</w:t>
            </w:r>
            <w:r>
              <w:rPr>
                <w:rFonts w:hint="eastAsia"/>
                <w:sz w:val="21"/>
              </w:rPr>
              <w:t>为准）。</w:t>
            </w:r>
          </w:p>
          <w:p w14:paraId="0724192C">
            <w:pPr>
              <w:pStyle w:val="23"/>
              <w:ind w:firstLine="420" w:firstLineChars="200"/>
              <w:rPr>
                <w:sz w:val="21"/>
              </w:rPr>
            </w:pPr>
            <w:r>
              <w:rPr>
                <w:sz w:val="21"/>
              </w:rPr>
              <w:t>4.</w:t>
            </w:r>
            <w:r>
              <w:rPr>
                <w:rFonts w:hint="eastAsia"/>
                <w:sz w:val="21"/>
              </w:rPr>
              <w:t>供应商建立农产品农药、兽药残留快速检测室，配备农药、兽药残留快速检测仪器设备和检测人员，对采购配送的大宗农产品(水果、蔬菜、鲜肉等)进行检测，检测结果通过智能手段自动提取，无人工干预。并将检测结果每日上报县市场监管部门和县教育局备案。</w:t>
            </w:r>
          </w:p>
          <w:p w14:paraId="0610C20B">
            <w:pPr>
              <w:pStyle w:val="23"/>
              <w:ind w:firstLine="420" w:firstLineChars="200"/>
              <w:rPr>
                <w:sz w:val="21"/>
              </w:rPr>
            </w:pPr>
            <w:r>
              <w:rPr>
                <w:sz w:val="21"/>
              </w:rPr>
              <w:t>5.</w:t>
            </w:r>
            <w:r>
              <w:rPr>
                <w:rFonts w:hint="eastAsia"/>
                <w:sz w:val="21"/>
              </w:rPr>
              <w:t>从事接触食品工作的企业人员必须持有有效健康证。</w:t>
            </w:r>
          </w:p>
          <w:p w14:paraId="4E58012C">
            <w:pPr>
              <w:pStyle w:val="23"/>
              <w:ind w:firstLine="420" w:firstLineChars="200"/>
              <w:rPr>
                <w:sz w:val="21"/>
              </w:rPr>
            </w:pPr>
            <w:r>
              <w:rPr>
                <w:sz w:val="21"/>
              </w:rPr>
              <w:t>6.</w:t>
            </w:r>
            <w:r>
              <w:rPr>
                <w:rFonts w:hint="eastAsia"/>
                <w:sz w:val="21"/>
              </w:rPr>
              <w:t>供应商要建立食品追溯体系，记录相关信息，以便发生食品安全问题能及时追溯。</w:t>
            </w:r>
          </w:p>
          <w:p w14:paraId="045417F3">
            <w:pPr>
              <w:pStyle w:val="23"/>
              <w:rPr>
                <w:sz w:val="21"/>
              </w:rPr>
            </w:pPr>
            <w:r>
              <w:rPr>
                <w:rFonts w:hint="eastAsia"/>
                <w:sz w:val="21"/>
              </w:rPr>
              <w:t>供应商在采购有关食品时必须向上一级供货商索要食品经营许可证或相关备案证明等证照（具体证件类别以市场监督管理部门规定为准），相关证照每年索验一次。在购进有关食品时需向上一级供货商或生产厂家索要食品该批次的检验报告或合格证明文件、并归档保存并在送货时交一份给学校保存。</w:t>
            </w:r>
          </w:p>
          <w:p w14:paraId="7BD0E070">
            <w:pPr>
              <w:pStyle w:val="23"/>
              <w:ind w:firstLine="420" w:firstLineChars="200"/>
              <w:rPr>
                <w:sz w:val="21"/>
              </w:rPr>
            </w:pPr>
            <w:r>
              <w:rPr>
                <w:sz w:val="21"/>
              </w:rPr>
              <w:t>7.</w:t>
            </w:r>
            <w:r>
              <w:rPr>
                <w:rFonts w:hint="eastAsia"/>
                <w:sz w:val="21"/>
              </w:rPr>
              <w:t>相关部门在日常工作中若发现供应商不认真执行有关承诺，存在违法违</w:t>
            </w:r>
            <w:r>
              <w:rPr>
                <w:rFonts w:hint="eastAsia"/>
                <w:color w:val="000000"/>
                <w:sz w:val="21"/>
              </w:rPr>
              <w:t>规</w:t>
            </w:r>
            <w:r>
              <w:rPr>
                <w:rFonts w:hint="eastAsia"/>
                <w:sz w:val="21"/>
              </w:rPr>
              <w:t>行为的，将根据《食品安全法》等法律法规的规定从严处罚或暂停供应。</w:t>
            </w:r>
          </w:p>
          <w:p w14:paraId="0C77ABDE">
            <w:pPr>
              <w:pStyle w:val="23"/>
              <w:ind w:firstLine="420" w:firstLineChars="200"/>
              <w:rPr>
                <w:sz w:val="21"/>
                <w:highlight w:val="none"/>
              </w:rPr>
            </w:pPr>
            <w:r>
              <w:rPr>
                <w:sz w:val="21"/>
                <w:highlight w:val="none"/>
              </w:rPr>
              <w:t>8.</w:t>
            </w:r>
            <w:r>
              <w:rPr>
                <w:rFonts w:hint="eastAsia"/>
                <w:sz w:val="21"/>
                <w:highlight w:val="none"/>
              </w:rPr>
              <w:t>供应商在合同正式履行前，每年必须购买本采购项目学年度最高赔付金额不低于2000万元的食品安全责任保险</w:t>
            </w:r>
            <w:r>
              <w:rPr>
                <w:rFonts w:hint="eastAsia"/>
                <w:sz w:val="21"/>
                <w:highlight w:val="none"/>
                <w:lang w:eastAsia="zh-CN"/>
              </w:rPr>
              <w:t>。</w:t>
            </w:r>
            <w:r>
              <w:rPr>
                <w:rFonts w:hint="eastAsia"/>
                <w:sz w:val="21"/>
                <w:highlight w:val="none"/>
              </w:rPr>
              <w:t>保险受益人应包括学校及学生，并在合同中附保险单复印件作为附件。</w:t>
            </w:r>
          </w:p>
          <w:p w14:paraId="73AF300B">
            <w:pPr>
              <w:pStyle w:val="23"/>
              <w:ind w:firstLine="420" w:firstLineChars="200"/>
              <w:rPr>
                <w:color w:val="FF0000"/>
                <w:sz w:val="21"/>
                <w:highlight w:val="none"/>
              </w:rPr>
            </w:pPr>
            <w:r>
              <w:rPr>
                <w:color w:val="auto"/>
                <w:sz w:val="21"/>
                <w:highlight w:val="none"/>
              </w:rPr>
              <w:t>9.</w:t>
            </w:r>
            <w:r>
              <w:rPr>
                <w:rFonts w:hint="eastAsia"/>
                <w:color w:val="auto"/>
                <w:sz w:val="21"/>
                <w:highlight w:val="none"/>
              </w:rPr>
              <w:t>为助推合浦县乡村振兴建设和巩固合浦县扶贫成果，</w:t>
            </w:r>
            <w:r>
              <w:rPr>
                <w:color w:val="auto"/>
                <w:sz w:val="21"/>
                <w:highlight w:val="none"/>
              </w:rPr>
              <w:t>供应商应</w:t>
            </w:r>
            <w:r>
              <w:rPr>
                <w:rFonts w:hint="eastAsia"/>
                <w:color w:val="auto"/>
                <w:sz w:val="21"/>
                <w:highlight w:val="none"/>
              </w:rPr>
              <w:t>根据采购合同（或协议）</w:t>
            </w:r>
            <w:r>
              <w:rPr>
                <w:rFonts w:hint="eastAsia"/>
                <w:color w:val="auto"/>
                <w:sz w:val="21"/>
                <w:highlight w:val="none"/>
                <w:lang w:eastAsia="zh-CN"/>
              </w:rPr>
              <w:t>及相关文件规定</w:t>
            </w:r>
            <w:r>
              <w:rPr>
                <w:rFonts w:hint="eastAsia"/>
                <w:color w:val="auto"/>
                <w:sz w:val="21"/>
                <w:highlight w:val="none"/>
              </w:rPr>
              <w:t>采购一定比例的本地</w:t>
            </w:r>
            <w:r>
              <w:rPr>
                <w:rFonts w:hint="eastAsia"/>
                <w:color w:val="auto"/>
                <w:sz w:val="21"/>
                <w:highlight w:val="none"/>
                <w:lang w:eastAsia="zh-CN"/>
              </w:rPr>
              <w:t>扶贫</w:t>
            </w:r>
            <w:r>
              <w:rPr>
                <w:rFonts w:hint="eastAsia"/>
                <w:color w:val="auto"/>
                <w:sz w:val="21"/>
                <w:highlight w:val="none"/>
              </w:rPr>
              <w:t>农副产品。</w:t>
            </w:r>
          </w:p>
          <w:p w14:paraId="69DF237D">
            <w:pPr>
              <w:pStyle w:val="23"/>
              <w:ind w:firstLine="420" w:firstLineChars="200"/>
              <w:rPr>
                <w:sz w:val="21"/>
              </w:rPr>
            </w:pPr>
            <w:r>
              <w:rPr>
                <w:sz w:val="21"/>
              </w:rPr>
              <w:t>10.</w:t>
            </w:r>
            <w:r>
              <w:rPr>
                <w:rFonts w:hint="eastAsia"/>
                <w:sz w:val="21"/>
              </w:rPr>
              <w:t>供应商要为学校提供采购流程、食品安全方面的指导和支持，组织学校食堂管理人员和从业人员参加食品安全培训。</w:t>
            </w:r>
          </w:p>
          <w:p w14:paraId="0D13B408">
            <w:pPr>
              <w:pStyle w:val="23"/>
              <w:ind w:firstLine="420" w:firstLineChars="200"/>
              <w:rPr>
                <w:sz w:val="21"/>
              </w:rPr>
            </w:pPr>
            <w:r>
              <w:rPr>
                <w:sz w:val="21"/>
              </w:rPr>
              <w:t>11.</w:t>
            </w:r>
            <w:r>
              <w:rPr>
                <w:rFonts w:hint="eastAsia"/>
                <w:sz w:val="21"/>
              </w:rPr>
              <w:t>供应商要协调相关部门解决学校在集采集配过程中遇到的问题，制定食品安全应急预案，明确应急管理程序和措施</w:t>
            </w:r>
            <w:r>
              <w:rPr>
                <w:sz w:val="21"/>
              </w:rPr>
              <w:t>，定期组织食品安全应急演练。</w:t>
            </w:r>
          </w:p>
          <w:p w14:paraId="59C983D7">
            <w:pPr>
              <w:pStyle w:val="23"/>
              <w:ind w:firstLine="420" w:firstLineChars="200"/>
              <w:rPr>
                <w:sz w:val="21"/>
              </w:rPr>
            </w:pPr>
            <w:r>
              <w:rPr>
                <w:sz w:val="21"/>
              </w:rPr>
              <w:t>12.</w:t>
            </w:r>
            <w:r>
              <w:rPr>
                <w:rFonts w:hint="eastAsia"/>
                <w:sz w:val="21"/>
              </w:rPr>
              <w:t>供应商</w:t>
            </w:r>
            <w:r>
              <w:rPr>
                <w:sz w:val="21"/>
              </w:rPr>
              <w:t>要按照</w:t>
            </w:r>
            <w:r>
              <w:rPr>
                <w:rFonts w:hint="eastAsia"/>
                <w:sz w:val="21"/>
              </w:rPr>
              <w:t>危害分析和关键控制点（HACCP）体系</w:t>
            </w:r>
            <w:r>
              <w:rPr>
                <w:sz w:val="21"/>
              </w:rPr>
              <w:t>要求</w:t>
            </w:r>
            <w:r>
              <w:rPr>
                <w:rFonts w:hint="eastAsia"/>
                <w:sz w:val="21"/>
              </w:rPr>
              <w:t>，逐步通过体系认证。</w:t>
            </w:r>
          </w:p>
          <w:p w14:paraId="70775ACD">
            <w:pPr>
              <w:pStyle w:val="23"/>
              <w:ind w:firstLine="420" w:firstLineChars="200"/>
              <w:rPr>
                <w:sz w:val="21"/>
              </w:rPr>
            </w:pPr>
            <w:r>
              <w:rPr>
                <w:sz w:val="21"/>
              </w:rPr>
              <w:t>13.配送合同</w:t>
            </w:r>
            <w:r>
              <w:rPr>
                <w:rFonts w:hint="eastAsia"/>
                <w:sz w:val="21"/>
              </w:rPr>
              <w:t>要明确违约责任、争议解决方式、保险理赔流程，合同内容不能超出</w:t>
            </w:r>
            <w:r>
              <w:rPr>
                <w:sz w:val="21"/>
              </w:rPr>
              <w:t>本方案</w:t>
            </w:r>
            <w:r>
              <w:rPr>
                <w:rFonts w:hint="eastAsia"/>
                <w:sz w:val="21"/>
              </w:rPr>
              <w:t>规定范围。</w:t>
            </w:r>
          </w:p>
          <w:p w14:paraId="279DD809">
            <w:pPr>
              <w:pStyle w:val="23"/>
              <w:ind w:firstLine="420" w:firstLineChars="200"/>
              <w:rPr>
                <w:sz w:val="21"/>
              </w:rPr>
            </w:pPr>
            <w:r>
              <w:rPr>
                <w:sz w:val="21"/>
              </w:rPr>
              <w:t>14.有关部门</w:t>
            </w:r>
            <w:r>
              <w:rPr>
                <w:rFonts w:hint="eastAsia"/>
                <w:sz w:val="21"/>
              </w:rPr>
              <w:t>要建立常态化检查、抽检机制。</w:t>
            </w:r>
          </w:p>
          <w:p w14:paraId="0D88B2C7">
            <w:pPr>
              <w:pStyle w:val="23"/>
              <w:ind w:firstLine="420" w:firstLineChars="200"/>
              <w:rPr>
                <w:sz w:val="21"/>
              </w:rPr>
            </w:pPr>
            <w:r>
              <w:rPr>
                <w:sz w:val="21"/>
              </w:rPr>
              <w:t>15.</w:t>
            </w:r>
            <w:r>
              <w:rPr>
                <w:rFonts w:hint="eastAsia"/>
                <w:sz w:val="21"/>
              </w:rPr>
              <w:t>供应商要通过平台公示采购价格、检测报告、配送清单等信息。</w:t>
            </w:r>
          </w:p>
          <w:p w14:paraId="4CDAB1CF">
            <w:pPr>
              <w:pStyle w:val="23"/>
              <w:ind w:firstLine="211" w:firstLineChars="100"/>
              <w:rPr>
                <w:sz w:val="21"/>
              </w:rPr>
            </w:pPr>
            <w:r>
              <w:rPr>
                <w:rFonts w:hint="eastAsia"/>
                <w:b/>
                <w:bCs/>
                <w:sz w:val="21"/>
              </w:rPr>
              <w:t>（二）配送食材的质量要求</w:t>
            </w:r>
          </w:p>
          <w:p w14:paraId="267197D2">
            <w:pPr>
              <w:pStyle w:val="23"/>
              <w:ind w:firstLine="420" w:firstLineChars="200"/>
              <w:rPr>
                <w:sz w:val="21"/>
              </w:rPr>
            </w:pPr>
            <w:r>
              <w:rPr>
                <w:rFonts w:hint="eastAsia"/>
                <w:sz w:val="21"/>
              </w:rPr>
              <w:t>供应商为学校采购的食品和配料等必须符合国家食品安全标准，供应商必须为学校提供优质、新鲜、合格的食品。</w:t>
            </w:r>
          </w:p>
          <w:p w14:paraId="3C177A9B">
            <w:pPr>
              <w:pStyle w:val="23"/>
              <w:ind w:firstLine="420" w:firstLineChars="200"/>
              <w:rPr>
                <w:sz w:val="21"/>
              </w:rPr>
            </w:pPr>
            <w:r>
              <w:rPr>
                <w:rFonts w:hint="eastAsia"/>
                <w:sz w:val="21"/>
              </w:rPr>
              <w:t>1.配送预包装食品须是正规厂家生产的，且标签标示齐全，内容符合《中华人民共和国食品安全法》第六十七条规定。</w:t>
            </w:r>
          </w:p>
          <w:p w14:paraId="70F0B0D2">
            <w:pPr>
              <w:pStyle w:val="23"/>
              <w:ind w:firstLine="420" w:firstLineChars="200"/>
              <w:rPr>
                <w:sz w:val="21"/>
              </w:rPr>
            </w:pPr>
            <w:r>
              <w:rPr>
                <w:rFonts w:hint="eastAsia"/>
                <w:sz w:val="21"/>
              </w:rPr>
              <w:t>2.配送的散装食品和当地农户加工售卖的食品须是县卫生、市场监督管理局办理证照或备案的商家。</w:t>
            </w:r>
          </w:p>
          <w:p w14:paraId="7647E8FE">
            <w:pPr>
              <w:pStyle w:val="23"/>
              <w:ind w:firstLine="420" w:firstLineChars="200"/>
            </w:pPr>
            <w:r>
              <w:rPr>
                <w:rFonts w:hint="eastAsia"/>
                <w:sz w:val="21"/>
              </w:rPr>
              <w:t>3.食品原料的质量要求</w:t>
            </w:r>
          </w:p>
        </w:tc>
      </w:tr>
    </w:tbl>
    <w:p w14:paraId="111352C1">
      <w:pPr>
        <w:pStyle w:val="23"/>
      </w:pPr>
    </w:p>
    <w:p w14:paraId="71E47AD8">
      <w:pPr>
        <w:sectPr>
          <w:footerReference r:id="rId4" w:type="default"/>
          <w:pgSz w:w="11907" w:h="16840"/>
          <w:pgMar w:top="1134" w:right="880" w:bottom="882" w:left="1133" w:header="0" w:footer="715" w:gutter="0"/>
          <w:pgNumType w:fmt="decimal" w:start="1"/>
          <w:cols w:space="720" w:num="1"/>
        </w:sectPr>
      </w:pPr>
    </w:p>
    <w:tbl>
      <w:tblPr>
        <w:tblStyle w:val="962"/>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8308"/>
      </w:tblGrid>
      <w:tr w14:paraId="6F1B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8" w:hRule="atLeast"/>
        </w:trPr>
        <w:tc>
          <w:tcPr>
            <w:tcW w:w="1579" w:type="dxa"/>
          </w:tcPr>
          <w:p w14:paraId="6A9C1731">
            <w:pPr>
              <w:rPr>
                <w:rFonts w:ascii="Arial"/>
              </w:rPr>
            </w:pPr>
          </w:p>
        </w:tc>
        <w:tc>
          <w:tcPr>
            <w:tcW w:w="8308" w:type="dxa"/>
          </w:tcPr>
          <w:tbl>
            <w:tblPr>
              <w:tblStyle w:val="62"/>
              <w:tblpPr w:leftFromText="180" w:rightFromText="180" w:vertAnchor="text" w:horzAnchor="page" w:tblpX="299" w:tblpY="-10842"/>
              <w:tblOverlap w:val="never"/>
              <w:tblW w:w="7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6232"/>
            </w:tblGrid>
            <w:tr w14:paraId="38E3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07" w:type="dxa"/>
                  <w:vAlign w:val="center"/>
                </w:tcPr>
                <w:p w14:paraId="59C7ADEA">
                  <w:pPr>
                    <w:spacing w:line="460" w:lineRule="exact"/>
                    <w:jc w:val="left"/>
                    <w:rPr>
                      <w:rFonts w:ascii="宋体" w:hAnsi="宋体" w:cs="宋体"/>
                      <w:b/>
                      <w:bCs/>
                      <w:szCs w:val="21"/>
                    </w:rPr>
                  </w:pPr>
                  <w:r>
                    <w:rPr>
                      <w:rFonts w:hint="eastAsia" w:ascii="宋体" w:hAnsi="宋体" w:cs="宋体"/>
                      <w:b/>
                      <w:bCs/>
                      <w:szCs w:val="21"/>
                    </w:rPr>
                    <w:t>货物名称</w:t>
                  </w:r>
                </w:p>
              </w:tc>
              <w:tc>
                <w:tcPr>
                  <w:tcW w:w="6232" w:type="dxa"/>
                </w:tcPr>
                <w:p w14:paraId="385FB232">
                  <w:pPr>
                    <w:spacing w:line="460" w:lineRule="exact"/>
                    <w:ind w:firstLine="643"/>
                    <w:jc w:val="center"/>
                    <w:rPr>
                      <w:rFonts w:ascii="宋体" w:hAnsi="宋体" w:cs="宋体"/>
                      <w:b/>
                      <w:bCs/>
                      <w:szCs w:val="21"/>
                    </w:rPr>
                  </w:pPr>
                  <w:r>
                    <w:rPr>
                      <w:rFonts w:hint="eastAsia" w:ascii="宋体" w:hAnsi="宋体" w:cs="宋体"/>
                      <w:b/>
                      <w:bCs/>
                      <w:szCs w:val="21"/>
                    </w:rPr>
                    <w:t>质量与技术指标要求</w:t>
                  </w:r>
                </w:p>
              </w:tc>
            </w:tr>
            <w:tr w14:paraId="68C8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407" w:type="dxa"/>
                  <w:vAlign w:val="center"/>
                </w:tcPr>
                <w:p w14:paraId="62F2443D">
                  <w:pPr>
                    <w:spacing w:line="460" w:lineRule="exact"/>
                    <w:jc w:val="center"/>
                    <w:rPr>
                      <w:rFonts w:ascii="宋体" w:hAnsi="宋体" w:cs="宋体"/>
                      <w:szCs w:val="21"/>
                    </w:rPr>
                  </w:pPr>
                  <w:r>
                    <w:rPr>
                      <w:rFonts w:hint="eastAsia" w:ascii="宋体" w:hAnsi="宋体" w:cs="宋体"/>
                      <w:szCs w:val="21"/>
                    </w:rPr>
                    <w:t>蔬菜、禽蛋类</w:t>
                  </w:r>
                </w:p>
              </w:tc>
              <w:tc>
                <w:tcPr>
                  <w:tcW w:w="6232" w:type="dxa"/>
                </w:tcPr>
                <w:p w14:paraId="02FD05B8">
                  <w:pPr>
                    <w:spacing w:line="460" w:lineRule="exact"/>
                    <w:jc w:val="left"/>
                    <w:rPr>
                      <w:rFonts w:ascii="宋体" w:hAnsi="宋体" w:cs="宋体"/>
                      <w:szCs w:val="21"/>
                    </w:rPr>
                  </w:pPr>
                  <w:r>
                    <w:rPr>
                      <w:rFonts w:hint="eastAsia" w:ascii="宋体" w:hAnsi="宋体" w:cs="宋体"/>
                      <w:szCs w:val="21"/>
                    </w:rPr>
                    <w:t>蔬菜：保证新鲜并通过农药残留成分测试，且符合现行国家食品安全法要求；</w:t>
                  </w:r>
                </w:p>
                <w:p w14:paraId="293BBD50">
                  <w:pPr>
                    <w:spacing w:line="460" w:lineRule="exact"/>
                    <w:jc w:val="left"/>
                    <w:rPr>
                      <w:rFonts w:ascii="宋体" w:hAnsi="宋体" w:cs="宋体"/>
                      <w:szCs w:val="21"/>
                    </w:rPr>
                  </w:pPr>
                  <w:r>
                    <w:rPr>
                      <w:rFonts w:hint="eastAsia" w:ascii="宋体" w:hAnsi="宋体" w:cs="宋体"/>
                      <w:szCs w:val="21"/>
                    </w:rPr>
                    <w:t>蛋类：新鲜、无变质、无臭蛋，有动物检验检疫合格证的无公害产品。</w:t>
                  </w:r>
                </w:p>
              </w:tc>
            </w:tr>
            <w:tr w14:paraId="372E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407" w:type="dxa"/>
                  <w:vAlign w:val="center"/>
                </w:tcPr>
                <w:p w14:paraId="54C1CFEA">
                  <w:pPr>
                    <w:spacing w:line="460" w:lineRule="exact"/>
                    <w:jc w:val="center"/>
                    <w:rPr>
                      <w:rFonts w:ascii="宋体" w:hAnsi="宋体" w:cs="宋体"/>
                      <w:szCs w:val="21"/>
                    </w:rPr>
                  </w:pPr>
                  <w:r>
                    <w:rPr>
                      <w:rFonts w:hint="eastAsia" w:ascii="宋体" w:hAnsi="宋体" w:cs="宋体"/>
                      <w:szCs w:val="21"/>
                    </w:rPr>
                    <w:t>肉类</w:t>
                  </w:r>
                </w:p>
              </w:tc>
              <w:tc>
                <w:tcPr>
                  <w:tcW w:w="6232" w:type="dxa"/>
                </w:tcPr>
                <w:p w14:paraId="06D14793">
                  <w:pPr>
                    <w:spacing w:line="460" w:lineRule="exact"/>
                    <w:jc w:val="left"/>
                    <w:rPr>
                      <w:rFonts w:ascii="宋体" w:hAnsi="宋体" w:cs="宋体"/>
                      <w:szCs w:val="21"/>
                    </w:rPr>
                  </w:pPr>
                  <w:r>
                    <w:rPr>
                      <w:rFonts w:hint="eastAsia" w:ascii="宋体" w:hAnsi="宋体" w:cs="宋体"/>
                      <w:szCs w:val="21"/>
                    </w:rPr>
                    <w:t>1.具有</w:t>
                  </w:r>
                  <w:r>
                    <w:rPr>
                      <w:rFonts w:hint="eastAsia" w:ascii="宋体" w:hAnsi="宋体" w:cs="宋体"/>
                      <w:szCs w:val="21"/>
                      <w:lang w:val="zh-CN"/>
                    </w:rPr>
                    <w:t>动物产品检疫合格证、畜禽产品检验合格证和动物产品检疫验讫印章、肉品质量检验合格印章；</w:t>
                  </w:r>
                  <w:r>
                    <w:rPr>
                      <w:rFonts w:hint="eastAsia" w:ascii="宋体" w:hAnsi="宋体" w:cs="宋体"/>
                      <w:szCs w:val="21"/>
                    </w:rPr>
                    <w:t>2.当天屠宰，新鲜、无病毒、无异味</w:t>
                  </w:r>
                  <w:r>
                    <w:rPr>
                      <w:rFonts w:hint="eastAsia" w:ascii="宋体" w:hAnsi="宋体" w:cs="宋体"/>
                      <w:szCs w:val="21"/>
                      <w:lang w:val="zh-CN"/>
                    </w:rPr>
                    <w:t>。</w:t>
                  </w:r>
                </w:p>
              </w:tc>
            </w:tr>
            <w:tr w14:paraId="0A4E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07" w:type="dxa"/>
                  <w:vAlign w:val="center"/>
                </w:tcPr>
                <w:p w14:paraId="5F4D2306">
                  <w:pPr>
                    <w:spacing w:line="460" w:lineRule="exact"/>
                    <w:jc w:val="center"/>
                    <w:rPr>
                      <w:rFonts w:ascii="宋体" w:hAnsi="宋体" w:cs="宋体"/>
                      <w:szCs w:val="21"/>
                    </w:rPr>
                  </w:pPr>
                  <w:r>
                    <w:rPr>
                      <w:rFonts w:hint="eastAsia" w:ascii="宋体" w:hAnsi="宋体" w:cs="宋体"/>
                      <w:szCs w:val="21"/>
                    </w:rPr>
                    <w:t>鲜活水产类</w:t>
                  </w:r>
                </w:p>
              </w:tc>
              <w:tc>
                <w:tcPr>
                  <w:tcW w:w="6232" w:type="dxa"/>
                </w:tcPr>
                <w:p w14:paraId="23459144">
                  <w:pPr>
                    <w:spacing w:line="460" w:lineRule="exact"/>
                    <w:jc w:val="left"/>
                    <w:rPr>
                      <w:rFonts w:ascii="宋体" w:hAnsi="宋体" w:cs="宋体"/>
                      <w:szCs w:val="21"/>
                    </w:rPr>
                  </w:pPr>
                  <w:r>
                    <w:rPr>
                      <w:rFonts w:hint="eastAsia" w:ascii="宋体" w:hAnsi="宋体" w:cs="宋体"/>
                      <w:szCs w:val="21"/>
                    </w:rPr>
                    <w:t>新鲜、无病毒、不含有害物质；</w:t>
                  </w:r>
                </w:p>
              </w:tc>
            </w:tr>
            <w:tr w14:paraId="386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1407" w:type="dxa"/>
                  <w:vAlign w:val="center"/>
                </w:tcPr>
                <w:p w14:paraId="69D5F71B">
                  <w:pPr>
                    <w:spacing w:line="460" w:lineRule="exact"/>
                    <w:jc w:val="center"/>
                    <w:rPr>
                      <w:rFonts w:ascii="宋体" w:hAnsi="宋体" w:cs="宋体"/>
                      <w:szCs w:val="21"/>
                    </w:rPr>
                  </w:pPr>
                  <w:r>
                    <w:rPr>
                      <w:rFonts w:hint="eastAsia" w:ascii="宋体" w:hAnsi="宋体" w:cs="宋体"/>
                      <w:szCs w:val="21"/>
                    </w:rPr>
                    <w:t>大米、食用油、豆制品等类</w:t>
                  </w:r>
                </w:p>
              </w:tc>
              <w:tc>
                <w:tcPr>
                  <w:tcW w:w="6232" w:type="dxa"/>
                </w:tcPr>
                <w:p w14:paraId="7F8B72C2">
                  <w:pPr>
                    <w:tabs>
                      <w:tab w:val="left" w:pos="430"/>
                    </w:tabs>
                    <w:autoSpaceDE w:val="0"/>
                    <w:autoSpaceDN w:val="0"/>
                    <w:spacing w:before="65" w:line="460" w:lineRule="exact"/>
                    <w:ind w:left="108" w:right="256"/>
                    <w:jc w:val="left"/>
                    <w:rPr>
                      <w:rFonts w:ascii="宋体" w:hAnsi="宋体" w:cs="宋体"/>
                      <w:szCs w:val="21"/>
                      <w:lang w:val="zh-CN"/>
                    </w:rPr>
                  </w:pPr>
                  <w:r>
                    <w:rPr>
                      <w:rFonts w:hint="eastAsia" w:ascii="宋体" w:hAnsi="宋体" w:cs="宋体"/>
                      <w:szCs w:val="21"/>
                      <w:lang w:val="zh-CN"/>
                    </w:rPr>
                    <w:t>1.食用油，质量达到 GB/T1535-2017 大豆油、GB/T1534-2017 花生油、GB/T19111-2017 玉米油、GB/T10464-2017 葵花籽油（含第 1 号修改单）标准；</w:t>
                  </w:r>
                </w:p>
                <w:p w14:paraId="748D9B15">
                  <w:pPr>
                    <w:tabs>
                      <w:tab w:val="left" w:pos="430"/>
                    </w:tabs>
                    <w:autoSpaceDE w:val="0"/>
                    <w:autoSpaceDN w:val="0"/>
                    <w:spacing w:line="460" w:lineRule="exact"/>
                    <w:ind w:left="108" w:right="97"/>
                    <w:jc w:val="left"/>
                    <w:rPr>
                      <w:rFonts w:ascii="宋体" w:hAnsi="宋体" w:cs="宋体"/>
                      <w:szCs w:val="21"/>
                      <w:lang w:val="zh-CN"/>
                    </w:rPr>
                  </w:pPr>
                  <w:r>
                    <w:rPr>
                      <w:rFonts w:hint="eastAsia" w:ascii="宋体" w:hAnsi="宋体" w:cs="宋体"/>
                      <w:szCs w:val="21"/>
                      <w:lang w:val="zh-CN"/>
                    </w:rPr>
                    <w:t>2.二级以上籼米，质量达到 GB/T1354-2018 大米二级标准；</w:t>
                  </w:r>
                </w:p>
                <w:p w14:paraId="744E402E">
                  <w:pPr>
                    <w:tabs>
                      <w:tab w:val="left" w:pos="430"/>
                    </w:tabs>
                    <w:autoSpaceDE w:val="0"/>
                    <w:autoSpaceDN w:val="0"/>
                    <w:spacing w:before="1" w:line="460" w:lineRule="exact"/>
                    <w:jc w:val="left"/>
                    <w:rPr>
                      <w:rFonts w:ascii="宋体" w:hAnsi="宋体" w:cs="宋体"/>
                      <w:szCs w:val="21"/>
                      <w:lang w:val="zh-CN"/>
                    </w:rPr>
                  </w:pPr>
                  <w:r>
                    <w:rPr>
                      <w:rFonts w:hint="eastAsia" w:ascii="宋体" w:hAnsi="宋体" w:cs="宋体"/>
                      <w:szCs w:val="21"/>
                      <w:lang w:val="zh-CN"/>
                    </w:rPr>
                    <w:t>3.保证新鲜且符合食品安全国家标准；</w:t>
                  </w:r>
                </w:p>
                <w:p w14:paraId="0AC678FE">
                  <w:pPr>
                    <w:spacing w:line="460" w:lineRule="exact"/>
                    <w:jc w:val="left"/>
                    <w:rPr>
                      <w:rFonts w:ascii="宋体" w:hAnsi="宋体" w:cs="宋体"/>
                      <w:szCs w:val="21"/>
                      <w:lang w:val="zh-CN"/>
                    </w:rPr>
                  </w:pPr>
                  <w:r>
                    <w:rPr>
                      <w:rFonts w:hint="eastAsia" w:ascii="宋体" w:hAnsi="宋体" w:cs="宋体"/>
                      <w:szCs w:val="21"/>
                      <w:lang w:val="zh-CN"/>
                    </w:rPr>
                    <w:t>4.外包装符合预包装食品包装要求。</w:t>
                  </w:r>
                </w:p>
              </w:tc>
            </w:tr>
            <w:tr w14:paraId="336C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07" w:type="dxa"/>
                  <w:vAlign w:val="center"/>
                </w:tcPr>
                <w:p w14:paraId="62ECAE60">
                  <w:pPr>
                    <w:spacing w:line="460" w:lineRule="exact"/>
                    <w:jc w:val="center"/>
                    <w:rPr>
                      <w:rFonts w:ascii="宋体" w:hAnsi="宋体" w:cs="宋体"/>
                      <w:szCs w:val="21"/>
                    </w:rPr>
                  </w:pPr>
                  <w:r>
                    <w:rPr>
                      <w:rFonts w:hint="eastAsia" w:ascii="宋体" w:hAnsi="宋体" w:cs="宋体"/>
                      <w:szCs w:val="21"/>
                    </w:rPr>
                    <w:t>调味品</w:t>
                  </w:r>
                </w:p>
              </w:tc>
              <w:tc>
                <w:tcPr>
                  <w:tcW w:w="6232" w:type="dxa"/>
                </w:tcPr>
                <w:p w14:paraId="57666E20">
                  <w:pPr>
                    <w:tabs>
                      <w:tab w:val="left" w:pos="428"/>
                    </w:tabs>
                    <w:autoSpaceDE w:val="0"/>
                    <w:autoSpaceDN w:val="0"/>
                    <w:spacing w:before="65" w:line="460" w:lineRule="exact"/>
                    <w:ind w:left="108" w:right="256"/>
                    <w:jc w:val="left"/>
                    <w:rPr>
                      <w:rFonts w:ascii="宋体" w:hAnsi="宋体" w:cs="宋体"/>
                      <w:szCs w:val="21"/>
                      <w:lang w:val="zh-CN"/>
                    </w:rPr>
                  </w:pPr>
                  <w:r>
                    <w:rPr>
                      <w:rFonts w:hint="eastAsia" w:ascii="宋体" w:hAnsi="宋体" w:cs="宋体"/>
                      <w:szCs w:val="21"/>
                      <w:lang w:val="zh-CN"/>
                    </w:rPr>
                    <w:t>1.正规厂商生产，品质良好，外包装符合预包装食品包装要求；</w:t>
                  </w:r>
                </w:p>
                <w:p w14:paraId="75B9CE29">
                  <w:pPr>
                    <w:spacing w:line="460" w:lineRule="exact"/>
                    <w:ind w:left="108" w:right="256"/>
                    <w:jc w:val="left"/>
                    <w:rPr>
                      <w:rFonts w:ascii="宋体" w:hAnsi="宋体" w:cs="宋体"/>
                      <w:szCs w:val="21"/>
                      <w:lang w:val="zh-CN"/>
                    </w:rPr>
                  </w:pPr>
                  <w:r>
                    <w:rPr>
                      <w:rFonts w:hint="eastAsia" w:ascii="宋体" w:hAnsi="宋体" w:cs="宋体"/>
                      <w:szCs w:val="21"/>
                      <w:lang w:val="zh-CN"/>
                    </w:rPr>
                    <w:t>2.产品在有效保质期内。</w:t>
                  </w:r>
                </w:p>
              </w:tc>
            </w:tr>
            <w:tr w14:paraId="465C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407" w:type="dxa"/>
                  <w:vAlign w:val="center"/>
                </w:tcPr>
                <w:p w14:paraId="3ACB4925">
                  <w:pPr>
                    <w:spacing w:line="460" w:lineRule="exact"/>
                    <w:jc w:val="center"/>
                    <w:rPr>
                      <w:rFonts w:ascii="宋体" w:hAnsi="宋体" w:cs="宋体"/>
                      <w:szCs w:val="21"/>
                    </w:rPr>
                  </w:pPr>
                  <w:r>
                    <w:rPr>
                      <w:rFonts w:hint="eastAsia" w:ascii="宋体" w:hAnsi="宋体" w:cs="宋体"/>
                      <w:szCs w:val="21"/>
                    </w:rPr>
                    <w:t>纯牛奶、面包、糕点、湿(河)粉等类</w:t>
                  </w:r>
                </w:p>
              </w:tc>
              <w:tc>
                <w:tcPr>
                  <w:tcW w:w="6232" w:type="dxa"/>
                </w:tcPr>
                <w:p w14:paraId="4012371C">
                  <w:pPr>
                    <w:tabs>
                      <w:tab w:val="left" w:pos="430"/>
                    </w:tabs>
                    <w:autoSpaceDE w:val="0"/>
                    <w:autoSpaceDN w:val="0"/>
                    <w:spacing w:before="65" w:line="460" w:lineRule="exact"/>
                    <w:jc w:val="left"/>
                    <w:rPr>
                      <w:rFonts w:ascii="宋体" w:hAnsi="宋体" w:cs="宋体"/>
                      <w:szCs w:val="21"/>
                    </w:rPr>
                  </w:pPr>
                  <w:r>
                    <w:rPr>
                      <w:rFonts w:hint="eastAsia" w:ascii="宋体" w:hAnsi="宋体" w:cs="宋体"/>
                      <w:szCs w:val="21"/>
                    </w:rPr>
                    <w:t>1.保证新鲜且符合食品安全国家标准；</w:t>
                  </w:r>
                </w:p>
                <w:p w14:paraId="3D6F2940">
                  <w:pPr>
                    <w:spacing w:line="460" w:lineRule="exact"/>
                    <w:jc w:val="left"/>
                    <w:rPr>
                      <w:rFonts w:ascii="宋体" w:hAnsi="宋体" w:cs="宋体"/>
                      <w:szCs w:val="21"/>
                    </w:rPr>
                  </w:pPr>
                  <w:r>
                    <w:rPr>
                      <w:rFonts w:hint="eastAsia" w:ascii="宋体" w:hAnsi="宋体" w:cs="宋体"/>
                      <w:szCs w:val="21"/>
                    </w:rPr>
                    <w:t>2.外包装符合预包装食品包装要求。</w:t>
                  </w:r>
                </w:p>
              </w:tc>
            </w:tr>
            <w:tr w14:paraId="6278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07" w:type="dxa"/>
                  <w:vAlign w:val="center"/>
                </w:tcPr>
                <w:p w14:paraId="06A83C6B">
                  <w:pPr>
                    <w:spacing w:line="460" w:lineRule="exact"/>
                    <w:jc w:val="center"/>
                    <w:rPr>
                      <w:rFonts w:ascii="宋体" w:hAnsi="宋体" w:cs="宋体"/>
                      <w:szCs w:val="21"/>
                    </w:rPr>
                  </w:pPr>
                  <w:r>
                    <w:rPr>
                      <w:rFonts w:hint="eastAsia" w:ascii="宋体" w:hAnsi="宋体" w:cs="宋体"/>
                      <w:szCs w:val="21"/>
                    </w:rPr>
                    <w:t>其它类</w:t>
                  </w:r>
                </w:p>
              </w:tc>
              <w:tc>
                <w:tcPr>
                  <w:tcW w:w="6232" w:type="dxa"/>
                  <w:vAlign w:val="center"/>
                </w:tcPr>
                <w:p w14:paraId="7A1128B8">
                  <w:pPr>
                    <w:spacing w:line="460" w:lineRule="exact"/>
                    <w:rPr>
                      <w:rFonts w:ascii="宋体" w:hAnsi="宋体" w:cs="宋体"/>
                      <w:szCs w:val="21"/>
                    </w:rPr>
                  </w:pPr>
                  <w:r>
                    <w:rPr>
                      <w:rFonts w:hint="eastAsia" w:ascii="宋体" w:hAnsi="宋体" w:cs="宋体"/>
                      <w:szCs w:val="21"/>
                    </w:rPr>
                    <w:t>符合国家和地方有关规定的要求。</w:t>
                  </w:r>
                </w:p>
              </w:tc>
            </w:tr>
          </w:tbl>
          <w:p w14:paraId="30BB2D2A">
            <w:pPr>
              <w:pStyle w:val="23"/>
              <w:ind w:firstLine="482" w:firstLineChars="200"/>
              <w:rPr>
                <w:b/>
                <w:bCs/>
                <w:sz w:val="21"/>
              </w:rPr>
            </w:pPr>
            <w:r>
              <w:rPr>
                <w:rFonts w:hint="eastAsia"/>
                <w:b/>
                <w:bCs/>
              </w:rPr>
              <w:t>（</w:t>
            </w:r>
            <w:r>
              <w:rPr>
                <w:rFonts w:hint="eastAsia"/>
                <w:b/>
                <w:bCs/>
                <w:sz w:val="21"/>
              </w:rPr>
              <w:t>三）采购申报</w:t>
            </w:r>
          </w:p>
          <w:p w14:paraId="0962598E">
            <w:pPr>
              <w:pStyle w:val="23"/>
              <w:ind w:firstLine="420" w:firstLineChars="200"/>
              <w:rPr>
                <w:sz w:val="21"/>
              </w:rPr>
            </w:pPr>
            <w:r>
              <w:rPr>
                <w:rFonts w:hint="eastAsia"/>
                <w:sz w:val="21"/>
              </w:rPr>
              <w:t>禽蛋、干货、调料、辅料等保质期较长的原料，实行“月报周配”，新鲜猪肉、鲜鱼、蔬菜等原料，实行“周报日配"方式进行（特殊情况可视学校实际需求调整配送频率）。即学校在每月30日前将下月需采购的禽蛋、干货、调料、辅料等的品牌、数量、配送到校时间和采购学校等信息进行统计后，填写采购申请单，报给供应商，由供应商按要求进行配送，原则上每周配送1次；肉、鱼和蔬菜等不易保存的原料，由学校在前一周根据制定的营养餐食谱，进行采购数量的预算和统计，并在每周五前报供应商，由供应商按配送要求配送。教育部门定期向市场监管部门报送所供应的食谱内容，以便于食品卫生安全监督。</w:t>
            </w:r>
          </w:p>
          <w:p w14:paraId="7436C74B">
            <w:pPr>
              <w:pStyle w:val="23"/>
              <w:ind w:firstLine="422" w:firstLineChars="200"/>
              <w:rPr>
                <w:b/>
                <w:bCs/>
                <w:sz w:val="21"/>
              </w:rPr>
            </w:pPr>
            <w:r>
              <w:rPr>
                <w:rFonts w:hint="eastAsia"/>
                <w:b/>
                <w:bCs/>
                <w:sz w:val="21"/>
              </w:rPr>
              <w:t>（四）交货时间和验收方式</w:t>
            </w:r>
          </w:p>
          <w:p w14:paraId="62931E14">
            <w:pPr>
              <w:pStyle w:val="23"/>
              <w:ind w:firstLine="420" w:firstLineChars="200"/>
              <w:rPr>
                <w:color w:val="auto"/>
                <w:sz w:val="21"/>
              </w:rPr>
            </w:pPr>
            <w:r>
              <w:rPr>
                <w:rFonts w:hint="eastAsia"/>
                <w:color w:val="auto"/>
                <w:sz w:val="21"/>
              </w:rPr>
              <w:t>1.交货时间：所配送的食品，必须按照学校的具体要求按时送达。</w:t>
            </w:r>
          </w:p>
          <w:p w14:paraId="37EF069E">
            <w:pPr>
              <w:pStyle w:val="23"/>
              <w:ind w:firstLine="420" w:firstLineChars="200"/>
              <w:rPr>
                <w:sz w:val="21"/>
              </w:rPr>
            </w:pPr>
            <w:r>
              <w:rPr>
                <w:rFonts w:hint="eastAsia"/>
                <w:sz w:val="21"/>
              </w:rPr>
              <w:t>2.验收方式：供应商按学校订货单统一采购配送，并用专用冷藏配送车（生鲜类）或箱式货车（干品类）送到食堂；学校必须安排两人以上人员进行接收，要求做到“三看”，即一看食品原料质量合格证(检疫证)；二看食品原料出厂时间和保质期；三看原料的质量和数量是否与约定相符。在查验时若发现食品原料有质量问题，学校应拒收，并及时上报。要建立索证(索票)制度，建立采购登记台帐，做到源头可控，有据可查。</w:t>
            </w:r>
          </w:p>
          <w:p w14:paraId="24A9D7BE">
            <w:pPr>
              <w:pStyle w:val="23"/>
              <w:ind w:firstLine="422" w:firstLineChars="200"/>
              <w:rPr>
                <w:b/>
                <w:bCs/>
                <w:sz w:val="21"/>
              </w:rPr>
            </w:pPr>
            <w:r>
              <w:rPr>
                <w:rFonts w:hint="eastAsia"/>
                <w:b/>
                <w:bCs/>
                <w:sz w:val="21"/>
              </w:rPr>
              <w:t>（五）食品原料采购价格的确定</w:t>
            </w:r>
          </w:p>
          <w:p w14:paraId="4AD1D59B">
            <w:pPr>
              <w:pStyle w:val="23"/>
              <w:ind w:firstLine="420" w:firstLineChars="200"/>
              <w:rPr>
                <w:sz w:val="21"/>
                <w:lang w:val="en-US"/>
              </w:rPr>
            </w:pPr>
            <w:r>
              <w:rPr>
                <w:rFonts w:hint="eastAsia"/>
                <w:sz w:val="21"/>
              </w:rPr>
              <w:t>1.市场询价的价格以</w:t>
            </w:r>
            <w:r>
              <w:rPr>
                <w:rFonts w:hint="eastAsia"/>
                <w:sz w:val="21"/>
                <w:lang w:val="en-US"/>
              </w:rPr>
              <w:t>供应商代表、</w:t>
            </w:r>
            <w:r>
              <w:rPr>
                <w:rFonts w:hint="eastAsia"/>
                <w:sz w:val="21"/>
              </w:rPr>
              <w:t>县教育局、县市场监管局、</w:t>
            </w:r>
            <w:r>
              <w:rPr>
                <w:rFonts w:hint="eastAsia"/>
                <w:sz w:val="21"/>
                <w:lang w:val="en-US"/>
              </w:rPr>
              <w:t>学校代表</w:t>
            </w:r>
            <w:r>
              <w:rPr>
                <w:rFonts w:hint="eastAsia"/>
                <w:sz w:val="21"/>
              </w:rPr>
              <w:t>等人员组成的询价小组，对当地明码标价的中大型超市或明码标价的零售类市场和批发市场进行实地询价后确定的“询价定价表”作为唯一依据，采购学校</w:t>
            </w:r>
            <w:r>
              <w:rPr>
                <w:rFonts w:hint="eastAsia"/>
                <w:sz w:val="21"/>
                <w:lang w:val="en-US"/>
              </w:rPr>
              <w:t>与供应商</w:t>
            </w:r>
            <w:r>
              <w:rPr>
                <w:rFonts w:hint="eastAsia"/>
                <w:sz w:val="21"/>
              </w:rPr>
              <w:t>依据“询价定价表”的价格，形成货款结算价格，经</w:t>
            </w:r>
            <w:r>
              <w:rPr>
                <w:rFonts w:hint="eastAsia"/>
                <w:sz w:val="21"/>
                <w:lang w:val="en-US"/>
              </w:rPr>
              <w:t>学校与供应商</w:t>
            </w:r>
            <w:r>
              <w:rPr>
                <w:rFonts w:hint="eastAsia"/>
                <w:sz w:val="21"/>
              </w:rPr>
              <w:t>以书面“价格商定协议书”签字盖章确认并报县教育局备案（所商定的价格原则上不能高于当地批发市场同类食材价格）。</w:t>
            </w:r>
          </w:p>
          <w:p w14:paraId="01D799DE">
            <w:pPr>
              <w:pStyle w:val="23"/>
              <w:ind w:firstLine="420" w:firstLineChars="200"/>
            </w:pPr>
            <w:r>
              <w:rPr>
                <w:rFonts w:hint="eastAsia"/>
                <w:color w:val="auto"/>
                <w:sz w:val="21"/>
              </w:rPr>
              <w:t>2.</w:t>
            </w:r>
            <w:r>
              <w:rPr>
                <w:rFonts w:hint="eastAsia"/>
                <w:color w:val="auto"/>
                <w:sz w:val="21"/>
                <w:highlight w:val="none"/>
              </w:rPr>
              <w:t>定价与结算方式：本项目采用“询价定价表确认的价格”作为基准价，供应商按结算价格【结算价格=当前基准价×(1-下浮率3%）】×实际供货数量与学校结算</w:t>
            </w:r>
            <w:r>
              <w:rPr>
                <w:rFonts w:hint="eastAsia"/>
                <w:color w:val="auto"/>
                <w:sz w:val="21"/>
              </w:rPr>
              <w:t>。</w:t>
            </w:r>
          </w:p>
        </w:tc>
      </w:tr>
      <w:tr w14:paraId="4AFC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9" w:hRule="atLeast"/>
        </w:trPr>
        <w:tc>
          <w:tcPr>
            <w:tcW w:w="1579" w:type="dxa"/>
          </w:tcPr>
          <w:p w14:paraId="08370897">
            <w:pPr>
              <w:spacing w:line="242" w:lineRule="auto"/>
              <w:rPr>
                <w:rFonts w:ascii="Arial"/>
              </w:rPr>
            </w:pPr>
          </w:p>
          <w:p w14:paraId="0A9B92E5">
            <w:pPr>
              <w:spacing w:line="243" w:lineRule="auto"/>
              <w:rPr>
                <w:rFonts w:ascii="Arial"/>
              </w:rPr>
            </w:pPr>
          </w:p>
          <w:p w14:paraId="119A93D5">
            <w:pPr>
              <w:spacing w:line="243" w:lineRule="auto"/>
              <w:rPr>
                <w:rFonts w:ascii="Arial"/>
              </w:rPr>
            </w:pPr>
          </w:p>
          <w:p w14:paraId="5C61E5B9">
            <w:pPr>
              <w:spacing w:line="243" w:lineRule="auto"/>
              <w:rPr>
                <w:rFonts w:ascii="Arial"/>
              </w:rPr>
            </w:pPr>
          </w:p>
          <w:p w14:paraId="0FC49350">
            <w:pPr>
              <w:spacing w:line="243" w:lineRule="auto"/>
              <w:rPr>
                <w:rFonts w:ascii="Arial"/>
              </w:rPr>
            </w:pPr>
          </w:p>
          <w:p w14:paraId="20D56541">
            <w:pPr>
              <w:spacing w:line="243" w:lineRule="auto"/>
              <w:rPr>
                <w:rFonts w:ascii="Arial"/>
              </w:rPr>
            </w:pPr>
          </w:p>
          <w:p w14:paraId="6D0AF34A">
            <w:pPr>
              <w:pStyle w:val="337"/>
              <w:spacing w:before="65" w:line="228" w:lineRule="auto"/>
              <w:jc w:val="center"/>
            </w:pPr>
            <w:r>
              <w:rPr>
                <w:rFonts w:hint="eastAsia" w:ascii="宋体" w:hAnsi="宋体" w:cs="宋体"/>
                <w:b/>
                <w:bCs/>
                <w:spacing w:val="4"/>
                <w:sz w:val="21"/>
                <w:szCs w:val="21"/>
              </w:rPr>
              <w:t>实施步骤</w:t>
            </w:r>
          </w:p>
        </w:tc>
        <w:tc>
          <w:tcPr>
            <w:tcW w:w="8308" w:type="dxa"/>
          </w:tcPr>
          <w:p w14:paraId="318C49EB">
            <w:pPr>
              <w:pStyle w:val="23"/>
              <w:ind w:firstLine="420" w:firstLineChars="200"/>
              <w:rPr>
                <w:sz w:val="21"/>
              </w:rPr>
            </w:pPr>
            <w:r>
              <w:rPr>
                <w:rFonts w:hint="eastAsia"/>
                <w:sz w:val="21"/>
              </w:rPr>
              <w:t>（一）发布招标公告，并完成招标工作；</w:t>
            </w:r>
          </w:p>
          <w:p w14:paraId="4333996F">
            <w:pPr>
              <w:pStyle w:val="23"/>
              <w:ind w:firstLine="420" w:firstLineChars="200"/>
              <w:rPr>
                <w:sz w:val="21"/>
              </w:rPr>
            </w:pPr>
            <w:r>
              <w:rPr>
                <w:rFonts w:hint="eastAsia"/>
                <w:sz w:val="21"/>
              </w:rPr>
              <w:t>（二）供应商与各学校分别签订合同；</w:t>
            </w:r>
          </w:p>
          <w:p w14:paraId="50587C4C">
            <w:pPr>
              <w:pStyle w:val="23"/>
              <w:ind w:firstLine="420" w:firstLineChars="200"/>
              <w:rPr>
                <w:sz w:val="21"/>
              </w:rPr>
            </w:pPr>
            <w:r>
              <w:rPr>
                <w:rFonts w:hint="eastAsia"/>
                <w:sz w:val="21"/>
              </w:rPr>
              <w:t>（三）制定采购原料清单；</w:t>
            </w:r>
          </w:p>
          <w:p w14:paraId="0DFC0B71">
            <w:pPr>
              <w:pStyle w:val="23"/>
              <w:ind w:firstLine="420" w:firstLineChars="200"/>
              <w:rPr>
                <w:sz w:val="21"/>
              </w:rPr>
            </w:pPr>
            <w:r>
              <w:rPr>
                <w:rFonts w:hint="eastAsia"/>
                <w:sz w:val="21"/>
              </w:rPr>
              <w:t>（四）进行市场询价；</w:t>
            </w:r>
          </w:p>
          <w:p w14:paraId="7A8D5BB1">
            <w:pPr>
              <w:pStyle w:val="23"/>
              <w:ind w:firstLine="420" w:firstLineChars="200"/>
              <w:rPr>
                <w:sz w:val="21"/>
              </w:rPr>
            </w:pPr>
            <w:r>
              <w:rPr>
                <w:rFonts w:hint="eastAsia"/>
                <w:sz w:val="21"/>
              </w:rPr>
              <w:t>（五）学校按照采购原料清单通过手机APP等系统下单；</w:t>
            </w:r>
          </w:p>
          <w:p w14:paraId="0C5E8D04">
            <w:pPr>
              <w:pStyle w:val="23"/>
              <w:ind w:firstLine="420" w:firstLineChars="200"/>
              <w:rPr>
                <w:sz w:val="21"/>
              </w:rPr>
            </w:pPr>
            <w:r>
              <w:rPr>
                <w:rFonts w:hint="eastAsia"/>
                <w:sz w:val="21"/>
              </w:rPr>
              <w:t>（六）供应商按照学校下单需求，将食品原料配送到学校，并随货开具食品原料配送单，检测报告或产品合格报告；</w:t>
            </w:r>
          </w:p>
          <w:p w14:paraId="7E6F59F1">
            <w:pPr>
              <w:pStyle w:val="23"/>
              <w:ind w:firstLine="420" w:firstLineChars="200"/>
              <w:rPr>
                <w:sz w:val="21"/>
              </w:rPr>
            </w:pPr>
            <w:r>
              <w:rPr>
                <w:rFonts w:hint="eastAsia"/>
                <w:sz w:val="21"/>
              </w:rPr>
              <w:t>（七）学校采购人员和仓库保管员查验食品原料，在食品配送单上签名确认，学校根据配送单做好台账及公示工作；</w:t>
            </w:r>
          </w:p>
          <w:p w14:paraId="11B6DDCA">
            <w:pPr>
              <w:pStyle w:val="23"/>
              <w:ind w:firstLine="420" w:firstLineChars="200"/>
            </w:pPr>
            <w:r>
              <w:rPr>
                <w:rFonts w:hint="eastAsia"/>
                <w:sz w:val="21"/>
              </w:rPr>
              <w:t>（八）次月初由供应商向学校提交结算材料，学校支付供应商货款。供应商应作为一般纳税人，向学校开具增值税专用发票。</w:t>
            </w:r>
          </w:p>
        </w:tc>
      </w:tr>
      <w:tr w14:paraId="30E7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79" w:type="dxa"/>
            <w:vAlign w:val="center"/>
          </w:tcPr>
          <w:p w14:paraId="37597234">
            <w:pPr>
              <w:pStyle w:val="337"/>
              <w:spacing w:before="65" w:line="228" w:lineRule="auto"/>
              <w:jc w:val="center"/>
              <w:rPr>
                <w:rFonts w:ascii="宋体" w:hAnsi="宋体" w:cs="宋体"/>
                <w:b/>
                <w:bCs/>
                <w:spacing w:val="4"/>
                <w:sz w:val="21"/>
                <w:szCs w:val="21"/>
              </w:rPr>
            </w:pPr>
            <w:r>
              <w:rPr>
                <w:rFonts w:hint="eastAsia" w:ascii="宋体" w:hAnsi="宋体" w:cs="宋体"/>
                <w:b/>
                <w:bCs/>
                <w:spacing w:val="4"/>
                <w:sz w:val="21"/>
                <w:szCs w:val="21"/>
              </w:rPr>
              <w:t>退出机制</w:t>
            </w:r>
          </w:p>
        </w:tc>
        <w:tc>
          <w:tcPr>
            <w:tcW w:w="8308" w:type="dxa"/>
          </w:tcPr>
          <w:p w14:paraId="1BEE485E">
            <w:pPr>
              <w:pStyle w:val="23"/>
              <w:ind w:firstLine="420" w:firstLineChars="200"/>
              <w:rPr>
                <w:sz w:val="21"/>
              </w:rPr>
            </w:pPr>
            <w:r>
              <w:rPr>
                <w:rFonts w:hint="eastAsia"/>
                <w:sz w:val="21"/>
              </w:rPr>
              <w:t>供应商应严格遵守《食品安全法》和《动物检疫法》等相关规定，有下列情况之一，一经核实，甲方可以启动合同终止程序，由供应商承担造成的经济损失和法律责任。</w:t>
            </w:r>
          </w:p>
          <w:p w14:paraId="628C58A9">
            <w:pPr>
              <w:pStyle w:val="23"/>
              <w:ind w:firstLine="420" w:firstLineChars="200"/>
              <w:rPr>
                <w:sz w:val="21"/>
              </w:rPr>
            </w:pPr>
            <w:r>
              <w:rPr>
                <w:rFonts w:hint="eastAsia"/>
                <w:sz w:val="21"/>
              </w:rPr>
              <w:t>（一）所供食品腐败变质、油脂酸败、霉变、生虫、污秽不洁、混有异物或者其他感官性状异常，对人体健康有害的；</w:t>
            </w:r>
          </w:p>
          <w:p w14:paraId="2A2CBD09">
            <w:pPr>
              <w:pStyle w:val="23"/>
              <w:ind w:firstLine="420" w:firstLineChars="200"/>
              <w:rPr>
                <w:sz w:val="21"/>
              </w:rPr>
            </w:pPr>
            <w:r>
              <w:rPr>
                <w:rFonts w:hint="eastAsia"/>
                <w:sz w:val="21"/>
              </w:rPr>
              <w:t>（二）所供食品含有毒、有害物质或者被有害物质污染，对人体健康有害的；</w:t>
            </w:r>
          </w:p>
          <w:p w14:paraId="601E7130">
            <w:pPr>
              <w:pStyle w:val="23"/>
              <w:ind w:firstLine="420" w:firstLineChars="200"/>
              <w:rPr>
                <w:sz w:val="21"/>
              </w:rPr>
            </w:pPr>
            <w:r>
              <w:rPr>
                <w:rFonts w:hint="eastAsia"/>
                <w:sz w:val="21"/>
              </w:rPr>
              <w:t>（三）发生重大食品质量安全事故的；</w:t>
            </w:r>
          </w:p>
          <w:p w14:paraId="2B5572A2">
            <w:pPr>
              <w:pStyle w:val="23"/>
              <w:ind w:firstLine="420" w:firstLineChars="200"/>
              <w:rPr>
                <w:sz w:val="21"/>
              </w:rPr>
            </w:pPr>
            <w:r>
              <w:rPr>
                <w:rFonts w:hint="eastAsia"/>
                <w:sz w:val="21"/>
              </w:rPr>
              <w:t>（四）所供食品掺假、掺杂、伪造，影响营养、卫生的；</w:t>
            </w:r>
          </w:p>
          <w:p w14:paraId="58FC1301">
            <w:pPr>
              <w:pStyle w:val="23"/>
              <w:ind w:firstLine="420" w:firstLineChars="200"/>
              <w:rPr>
                <w:sz w:val="21"/>
              </w:rPr>
            </w:pPr>
            <w:r>
              <w:rPr>
                <w:rFonts w:hint="eastAsia"/>
                <w:sz w:val="21"/>
              </w:rPr>
              <w:t>（五）用非食品原料加工的，加入非食品用化学物质或者将非食品当作食品的；</w:t>
            </w:r>
          </w:p>
          <w:p w14:paraId="087EFC92">
            <w:pPr>
              <w:pStyle w:val="23"/>
              <w:ind w:firstLine="420" w:firstLineChars="200"/>
              <w:rPr>
                <w:sz w:val="21"/>
              </w:rPr>
            </w:pPr>
            <w:r>
              <w:rPr>
                <w:rFonts w:hint="eastAsia"/>
                <w:sz w:val="21"/>
              </w:rPr>
              <w:t>（六）所供食品不符合食品安全标准的；</w:t>
            </w:r>
          </w:p>
          <w:p w14:paraId="63E12C94">
            <w:pPr>
              <w:pStyle w:val="23"/>
              <w:ind w:firstLine="420" w:firstLineChars="200"/>
              <w:rPr>
                <w:sz w:val="21"/>
              </w:rPr>
            </w:pPr>
            <w:r>
              <w:rPr>
                <w:rFonts w:hint="eastAsia"/>
                <w:sz w:val="21"/>
              </w:rPr>
              <w:t>（七）多次不按时供应食材的；</w:t>
            </w:r>
          </w:p>
          <w:p w14:paraId="2D884581">
            <w:pPr>
              <w:pStyle w:val="23"/>
              <w:ind w:firstLine="420" w:firstLineChars="200"/>
              <w:rPr>
                <w:sz w:val="21"/>
              </w:rPr>
            </w:pPr>
            <w:r>
              <w:rPr>
                <w:rFonts w:hint="eastAsia"/>
                <w:sz w:val="21"/>
              </w:rPr>
              <w:t>（八）对于因存在食品安全违法行为而受到相关行政处罚的供应商，应重新评估供应资质。</w:t>
            </w:r>
          </w:p>
        </w:tc>
      </w:tr>
      <w:tr w14:paraId="2FE7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887" w:type="dxa"/>
            <w:gridSpan w:val="2"/>
          </w:tcPr>
          <w:p w14:paraId="74BCDE64">
            <w:pPr>
              <w:pStyle w:val="337"/>
              <w:spacing w:before="139" w:line="228" w:lineRule="auto"/>
              <w:ind w:left="524"/>
              <w:rPr>
                <w:rFonts w:ascii="宋体" w:hAnsi="宋体" w:cs="宋体"/>
                <w:color w:val="auto"/>
                <w:sz w:val="21"/>
                <w:szCs w:val="21"/>
              </w:rPr>
            </w:pPr>
            <w:bookmarkStart w:id="509" w:name="_GoBack"/>
            <w:bookmarkEnd w:id="509"/>
            <w:r>
              <w:rPr>
                <w:rFonts w:hint="eastAsia" w:ascii="宋体" w:hAnsi="宋体" w:cs="宋体"/>
                <w:b/>
                <w:bCs/>
                <w:color w:val="auto"/>
                <w:spacing w:val="4"/>
                <w:sz w:val="21"/>
                <w:szCs w:val="21"/>
              </w:rPr>
              <w:t>二、商务条款</w:t>
            </w:r>
          </w:p>
        </w:tc>
      </w:tr>
      <w:tr w14:paraId="340E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79" w:type="dxa"/>
          </w:tcPr>
          <w:p w14:paraId="6F2D1B1E">
            <w:pPr>
              <w:pStyle w:val="337"/>
              <w:spacing w:before="207" w:line="228" w:lineRule="auto"/>
              <w:ind w:left="292"/>
              <w:rPr>
                <w:rFonts w:ascii="宋体" w:hAnsi="宋体" w:cs="宋体"/>
                <w:sz w:val="21"/>
                <w:szCs w:val="21"/>
              </w:rPr>
            </w:pPr>
            <w:r>
              <w:rPr>
                <w:rFonts w:hint="eastAsia" w:ascii="宋体" w:hAnsi="宋体" w:cs="宋体"/>
                <w:spacing w:val="4"/>
                <w:sz w:val="21"/>
                <w:szCs w:val="21"/>
              </w:rPr>
              <w:t>▲服务期限</w:t>
            </w:r>
          </w:p>
        </w:tc>
        <w:tc>
          <w:tcPr>
            <w:tcW w:w="8308" w:type="dxa"/>
          </w:tcPr>
          <w:p w14:paraId="088CEFEA">
            <w:pPr>
              <w:pStyle w:val="337"/>
              <w:spacing w:before="204" w:line="228" w:lineRule="auto"/>
              <w:ind w:left="137" w:firstLine="420" w:firstLineChars="200"/>
              <w:rPr>
                <w:rFonts w:ascii="宋体" w:hAnsi="宋体" w:cs="宋体"/>
                <w:color w:val="auto"/>
                <w:sz w:val="21"/>
                <w:szCs w:val="21"/>
              </w:rPr>
            </w:pPr>
            <w:r>
              <w:rPr>
                <w:rFonts w:hint="eastAsia" w:ascii="宋体" w:hAnsi="宋体" w:cs="宋体"/>
                <w:color w:val="auto"/>
                <w:sz w:val="21"/>
                <w:szCs w:val="21"/>
              </w:rPr>
              <w:t>服务期限为三年，自2025年秋季学期起至2028年秋季学期止。（具体日期以实施日期为准）。</w:t>
            </w:r>
          </w:p>
        </w:tc>
      </w:tr>
      <w:tr w14:paraId="7ABA8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1579" w:type="dxa"/>
            <w:vAlign w:val="center"/>
          </w:tcPr>
          <w:p w14:paraId="208FA635">
            <w:pPr>
              <w:widowControl/>
              <w:spacing w:line="312" w:lineRule="auto"/>
              <w:jc w:val="center"/>
              <w:textAlignment w:val="center"/>
              <w:rPr>
                <w:rFonts w:ascii="宋体" w:hAnsi="宋体" w:cs="宋体"/>
                <w:spacing w:val="2"/>
                <w:szCs w:val="21"/>
              </w:rPr>
            </w:pPr>
            <w:r>
              <w:rPr>
                <w:rFonts w:hint="eastAsia" w:ascii="宋体" w:hAnsi="宋体" w:cs="宋体"/>
                <w:spacing w:val="4"/>
                <w:szCs w:val="21"/>
              </w:rPr>
              <w:t>▲</w:t>
            </w:r>
            <w:r>
              <w:rPr>
                <w:rFonts w:hint="eastAsia" w:ascii="宋体" w:hAnsi="宋体" w:cs="宋体"/>
                <w:kern w:val="0"/>
                <w:szCs w:val="21"/>
              </w:rPr>
              <w:t>报价要求</w:t>
            </w:r>
          </w:p>
        </w:tc>
        <w:tc>
          <w:tcPr>
            <w:tcW w:w="8308" w:type="dxa"/>
            <w:vAlign w:val="center"/>
          </w:tcPr>
          <w:p w14:paraId="29AB309B">
            <w:pPr>
              <w:pStyle w:val="337"/>
              <w:keepNext w:val="0"/>
              <w:keepLines w:val="0"/>
              <w:pageBreakBefore w:val="0"/>
              <w:widowControl/>
              <w:kinsoku/>
              <w:wordWrap/>
              <w:overflowPunct/>
              <w:topLinePunct w:val="0"/>
              <w:autoSpaceDE/>
              <w:autoSpaceDN/>
              <w:bidi w:val="0"/>
              <w:adjustRightInd w:val="0"/>
              <w:snapToGrid/>
              <w:spacing w:before="139" w:line="240" w:lineRule="auto"/>
              <w:ind w:left="113" w:right="102" w:firstLine="408"/>
              <w:jc w:val="both"/>
              <w:textAlignment w:val="auto"/>
              <w:rPr>
                <w:rFonts w:ascii="宋体" w:hAnsi="宋体" w:cs="宋体"/>
                <w:color w:val="auto"/>
                <w:spacing w:val="13"/>
                <w:sz w:val="21"/>
                <w:szCs w:val="21"/>
              </w:rPr>
            </w:pPr>
            <w:r>
              <w:rPr>
                <w:rFonts w:hint="eastAsia" w:ascii="宋体" w:hAnsi="宋体" w:cs="宋体"/>
                <w:color w:val="auto"/>
                <w:spacing w:val="13"/>
                <w:sz w:val="21"/>
                <w:szCs w:val="21"/>
              </w:rPr>
              <w:t>本项目专款专用不得结余，须足额用于学生供餐，投标人报价时均按人民币229500000.00元报价。</w:t>
            </w:r>
          </w:p>
          <w:p w14:paraId="2D36A6BB">
            <w:pPr>
              <w:pStyle w:val="337"/>
              <w:keepNext w:val="0"/>
              <w:keepLines w:val="0"/>
              <w:pageBreakBefore w:val="0"/>
              <w:widowControl/>
              <w:kinsoku/>
              <w:wordWrap/>
              <w:overflowPunct/>
              <w:topLinePunct w:val="0"/>
              <w:autoSpaceDE/>
              <w:autoSpaceDN/>
              <w:bidi w:val="0"/>
              <w:adjustRightInd w:val="0"/>
              <w:snapToGrid/>
              <w:spacing w:before="139" w:line="240" w:lineRule="auto"/>
              <w:ind w:left="113" w:right="102" w:firstLine="408"/>
              <w:jc w:val="both"/>
              <w:textAlignment w:val="auto"/>
              <w:rPr>
                <w:rFonts w:ascii="宋体" w:hAnsi="宋体" w:cs="宋体"/>
                <w:color w:val="auto"/>
                <w:spacing w:val="13"/>
                <w:sz w:val="21"/>
                <w:szCs w:val="21"/>
              </w:rPr>
            </w:pPr>
            <w:r>
              <w:rPr>
                <w:rFonts w:hint="eastAsia" w:ascii="宋体" w:hAnsi="宋体" w:cs="宋体"/>
                <w:color w:val="auto"/>
                <w:spacing w:val="13"/>
                <w:sz w:val="21"/>
                <w:szCs w:val="21"/>
              </w:rPr>
              <w:t>报价应包括本次采购范围内服务价款、技术及服务培训、服务保障、验收检验及税金等所有费用总和；投标人综合考虑在报价中。</w:t>
            </w:r>
          </w:p>
        </w:tc>
      </w:tr>
      <w:tr w14:paraId="6011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579" w:type="dxa"/>
          </w:tcPr>
          <w:p w14:paraId="6A8D794B">
            <w:pPr>
              <w:spacing w:line="419" w:lineRule="auto"/>
              <w:rPr>
                <w:rFonts w:ascii="宋体" w:hAnsi="宋体" w:cs="宋体"/>
                <w:szCs w:val="21"/>
              </w:rPr>
            </w:pPr>
          </w:p>
          <w:p w14:paraId="7FC5B31B">
            <w:pPr>
              <w:pStyle w:val="337"/>
              <w:spacing w:before="65" w:line="228" w:lineRule="auto"/>
              <w:ind w:left="499"/>
              <w:rPr>
                <w:rFonts w:ascii="宋体" w:hAnsi="宋体" w:cs="宋体"/>
                <w:sz w:val="21"/>
                <w:szCs w:val="21"/>
              </w:rPr>
            </w:pPr>
            <w:r>
              <w:rPr>
                <w:rFonts w:hint="eastAsia" w:ascii="宋体" w:hAnsi="宋体" w:cs="宋体"/>
                <w:spacing w:val="2"/>
                <w:sz w:val="21"/>
                <w:szCs w:val="21"/>
              </w:rPr>
              <w:t>▲验收</w:t>
            </w:r>
          </w:p>
        </w:tc>
        <w:tc>
          <w:tcPr>
            <w:tcW w:w="8308" w:type="dxa"/>
          </w:tcPr>
          <w:p w14:paraId="494B83AA">
            <w:pPr>
              <w:pStyle w:val="337"/>
              <w:spacing w:before="139" w:line="323" w:lineRule="auto"/>
              <w:ind w:left="112" w:right="102" w:firstLine="411"/>
              <w:jc w:val="both"/>
              <w:rPr>
                <w:rFonts w:ascii="宋体" w:hAnsi="宋体" w:cs="宋体"/>
                <w:color w:val="auto"/>
                <w:sz w:val="21"/>
                <w:szCs w:val="21"/>
              </w:rPr>
            </w:pPr>
            <w:r>
              <w:rPr>
                <w:rFonts w:hint="eastAsia" w:ascii="宋体" w:hAnsi="宋体" w:cs="宋体"/>
                <w:color w:val="auto"/>
                <w:spacing w:val="13"/>
                <w:sz w:val="21"/>
                <w:szCs w:val="21"/>
              </w:rPr>
              <w:t>每次由甲方组织人员 2 人以上进行现场</w:t>
            </w:r>
            <w:r>
              <w:rPr>
                <w:rFonts w:hint="eastAsia" w:ascii="宋体" w:hAnsi="宋体" w:cs="宋体"/>
                <w:color w:val="auto"/>
                <w:spacing w:val="12"/>
                <w:sz w:val="21"/>
                <w:szCs w:val="21"/>
              </w:rPr>
              <w:t>验收并签署验收单，乙方提供配送食材的相关检验合格材料，若不提供，甲方有权视为不合格产品</w:t>
            </w:r>
            <w:r>
              <w:rPr>
                <w:rFonts w:hint="eastAsia" w:ascii="宋体" w:hAnsi="宋体" w:cs="宋体"/>
                <w:color w:val="auto"/>
                <w:spacing w:val="11"/>
                <w:sz w:val="21"/>
                <w:szCs w:val="21"/>
              </w:rPr>
              <w:t>拒收，且乙方必须及时无条件退</w:t>
            </w:r>
            <w:r>
              <w:rPr>
                <w:rFonts w:hint="eastAsia" w:ascii="宋体" w:hAnsi="宋体" w:cs="宋体"/>
                <w:color w:val="auto"/>
                <w:spacing w:val="-1"/>
                <w:sz w:val="21"/>
                <w:szCs w:val="21"/>
              </w:rPr>
              <w:t>换。</w:t>
            </w:r>
          </w:p>
        </w:tc>
      </w:tr>
      <w:tr w14:paraId="3F1C9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579" w:type="dxa"/>
          </w:tcPr>
          <w:p w14:paraId="4BAB5F13">
            <w:pPr>
              <w:spacing w:line="424" w:lineRule="auto"/>
              <w:rPr>
                <w:rFonts w:ascii="宋体" w:hAnsi="宋体" w:cs="宋体"/>
                <w:szCs w:val="21"/>
              </w:rPr>
            </w:pPr>
          </w:p>
          <w:p w14:paraId="2C6F20B1">
            <w:pPr>
              <w:pStyle w:val="337"/>
              <w:spacing w:before="65" w:line="235" w:lineRule="auto"/>
              <w:ind w:left="185" w:right="161" w:hanging="8"/>
              <w:rPr>
                <w:rFonts w:ascii="宋体" w:hAnsi="宋体" w:cs="宋体"/>
                <w:sz w:val="21"/>
                <w:szCs w:val="21"/>
              </w:rPr>
            </w:pPr>
            <w:r>
              <w:rPr>
                <w:rFonts w:hint="eastAsia" w:ascii="宋体" w:hAnsi="宋体" w:cs="宋体"/>
                <w:spacing w:val="5"/>
                <w:sz w:val="21"/>
                <w:szCs w:val="21"/>
              </w:rPr>
              <w:t>▲合同签订时</w:t>
            </w:r>
            <w:r>
              <w:rPr>
                <w:rFonts w:hint="eastAsia" w:ascii="宋体" w:hAnsi="宋体" w:cs="宋体"/>
                <w:spacing w:val="2"/>
                <w:sz w:val="21"/>
                <w:szCs w:val="21"/>
              </w:rPr>
              <w:t>间及要求</w:t>
            </w:r>
          </w:p>
        </w:tc>
        <w:tc>
          <w:tcPr>
            <w:tcW w:w="8308" w:type="dxa"/>
          </w:tcPr>
          <w:p w14:paraId="51666DBE">
            <w:pPr>
              <w:pStyle w:val="337"/>
              <w:spacing w:before="139" w:line="228" w:lineRule="auto"/>
              <w:ind w:left="557"/>
              <w:rPr>
                <w:rFonts w:ascii="宋体" w:hAnsi="宋体" w:cs="宋体"/>
                <w:color w:val="auto"/>
                <w:sz w:val="21"/>
                <w:szCs w:val="21"/>
                <w:highlight w:val="none"/>
              </w:rPr>
            </w:pPr>
            <w:r>
              <w:rPr>
                <w:rFonts w:hint="eastAsia" w:ascii="宋体" w:hAnsi="宋体" w:cs="宋体"/>
                <w:color w:val="auto"/>
                <w:spacing w:val="5"/>
                <w:sz w:val="21"/>
                <w:szCs w:val="21"/>
                <w:highlight w:val="none"/>
              </w:rPr>
              <w:t>自发出中标通知书之日起的</w:t>
            </w:r>
            <w:r>
              <w:rPr>
                <w:rFonts w:hint="eastAsia" w:ascii="宋体" w:hAnsi="宋体" w:cs="宋体"/>
                <w:color w:val="auto"/>
                <w:spacing w:val="5"/>
                <w:sz w:val="21"/>
                <w:szCs w:val="21"/>
                <w:highlight w:val="none"/>
                <w:lang w:val="en-US" w:eastAsia="zh-CN"/>
              </w:rPr>
              <w:t>5</w:t>
            </w:r>
            <w:r>
              <w:rPr>
                <w:rFonts w:hint="eastAsia" w:ascii="宋体" w:hAnsi="宋体" w:cs="宋体"/>
                <w:color w:val="auto"/>
                <w:spacing w:val="5"/>
                <w:sz w:val="21"/>
                <w:szCs w:val="21"/>
                <w:highlight w:val="none"/>
              </w:rPr>
              <w:t>个工作日</w:t>
            </w:r>
            <w:r>
              <w:rPr>
                <w:rFonts w:hint="eastAsia" w:ascii="宋体" w:hAnsi="宋体" w:cs="宋体"/>
                <w:color w:val="auto"/>
                <w:spacing w:val="4"/>
                <w:sz w:val="21"/>
                <w:szCs w:val="21"/>
                <w:highlight w:val="none"/>
              </w:rPr>
              <w:t>内。</w:t>
            </w:r>
          </w:p>
          <w:p w14:paraId="091B0999">
            <w:pPr>
              <w:pStyle w:val="337"/>
              <w:spacing w:before="154" w:line="299" w:lineRule="auto"/>
              <w:ind w:left="110" w:right="103" w:firstLine="432"/>
              <w:rPr>
                <w:rFonts w:ascii="宋体" w:hAnsi="宋体" w:cs="宋体"/>
                <w:color w:val="auto"/>
                <w:sz w:val="21"/>
                <w:szCs w:val="21"/>
                <w:highlight w:val="none"/>
              </w:rPr>
            </w:pPr>
            <w:r>
              <w:rPr>
                <w:rFonts w:hint="eastAsia" w:ascii="宋体" w:hAnsi="宋体" w:cs="宋体"/>
                <w:color w:val="auto"/>
                <w:spacing w:val="11"/>
                <w:sz w:val="21"/>
                <w:szCs w:val="21"/>
                <w:highlight w:val="none"/>
              </w:rPr>
              <w:t>中标单位除与招标单位签订合同外，还须与各食材集采集配采购项目学校签订合同 。各个合同独立履行，互不干扰。</w:t>
            </w:r>
          </w:p>
        </w:tc>
      </w:tr>
      <w:tr w14:paraId="00CF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3" w:hRule="atLeast"/>
        </w:trPr>
        <w:tc>
          <w:tcPr>
            <w:tcW w:w="1579" w:type="dxa"/>
            <w:vAlign w:val="center"/>
          </w:tcPr>
          <w:p w14:paraId="3289EE45">
            <w:pPr>
              <w:pStyle w:val="337"/>
              <w:spacing w:before="65" w:line="229" w:lineRule="auto"/>
              <w:ind w:left="184"/>
              <w:jc w:val="center"/>
              <w:rPr>
                <w:rFonts w:ascii="宋体" w:hAnsi="宋体" w:cs="宋体"/>
                <w:sz w:val="21"/>
                <w:szCs w:val="21"/>
                <w:highlight w:val="none"/>
              </w:rPr>
            </w:pPr>
            <w:r>
              <w:rPr>
                <w:rFonts w:hint="eastAsia" w:ascii="宋体" w:hAnsi="宋体" w:cs="宋体"/>
                <w:spacing w:val="5"/>
                <w:sz w:val="21"/>
                <w:szCs w:val="21"/>
                <w:highlight w:val="none"/>
              </w:rPr>
              <w:t>▲履约保证金</w:t>
            </w:r>
          </w:p>
        </w:tc>
        <w:tc>
          <w:tcPr>
            <w:tcW w:w="8308" w:type="dxa"/>
            <w:vAlign w:val="center"/>
          </w:tcPr>
          <w:p w14:paraId="0148D045">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hint="eastAsia" w:ascii="宋体" w:hAnsi="宋体" w:cs="宋体"/>
                <w:spacing w:val="12"/>
                <w:sz w:val="21"/>
                <w:szCs w:val="21"/>
                <w:highlight w:val="none"/>
                <w:lang w:eastAsia="zh-CN"/>
              </w:rPr>
            </w:pPr>
            <w:r>
              <w:rPr>
                <w:rFonts w:hint="eastAsia" w:ascii="宋体" w:hAnsi="宋体" w:cs="宋体"/>
                <w:spacing w:val="12"/>
                <w:sz w:val="21"/>
                <w:szCs w:val="21"/>
                <w:highlight w:val="none"/>
                <w:lang w:eastAsia="zh-CN"/>
              </w:rPr>
              <w:t>本项目收取履约保证金。</w:t>
            </w:r>
          </w:p>
          <w:p w14:paraId="796036EA">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hint="eastAsia" w:ascii="宋体" w:hAnsi="宋体" w:cs="宋体"/>
                <w:spacing w:val="12"/>
                <w:sz w:val="21"/>
                <w:szCs w:val="21"/>
                <w:highlight w:val="none"/>
                <w:lang w:eastAsia="zh-CN"/>
              </w:rPr>
            </w:pPr>
            <w:r>
              <w:rPr>
                <w:rFonts w:hint="eastAsia" w:ascii="宋体" w:hAnsi="宋体" w:cs="宋体"/>
                <w:spacing w:val="12"/>
                <w:sz w:val="21"/>
                <w:szCs w:val="21"/>
                <w:highlight w:val="none"/>
                <w:lang w:eastAsia="zh-CN"/>
              </w:rPr>
              <w:t>履约保证金的形式:使用转账或银行保函形式。</w:t>
            </w:r>
          </w:p>
          <w:p w14:paraId="4E170681">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hint="eastAsia" w:ascii="宋体" w:hAnsi="宋体" w:cs="宋体"/>
                <w:spacing w:val="12"/>
                <w:sz w:val="21"/>
                <w:szCs w:val="21"/>
                <w:highlight w:val="none"/>
                <w:lang w:eastAsia="zh-CN"/>
              </w:rPr>
            </w:pPr>
            <w:r>
              <w:rPr>
                <w:rFonts w:hint="eastAsia" w:ascii="宋体" w:hAnsi="宋体" w:cs="宋体"/>
                <w:spacing w:val="12"/>
                <w:sz w:val="21"/>
                <w:szCs w:val="21"/>
                <w:highlight w:val="none"/>
                <w:lang w:eastAsia="zh-CN"/>
              </w:rPr>
              <w:t>履约保证金的缴纳方式:在收到中标通知书后，中标人须在</w:t>
            </w:r>
            <w:r>
              <w:rPr>
                <w:rFonts w:hint="eastAsia" w:ascii="宋体" w:hAnsi="宋体" w:cs="宋体"/>
                <w:spacing w:val="12"/>
                <w:sz w:val="21"/>
                <w:szCs w:val="21"/>
                <w:highlight w:val="none"/>
                <w:lang w:val="en-US" w:eastAsia="zh-CN"/>
              </w:rPr>
              <w:t>1</w:t>
            </w:r>
            <w:r>
              <w:rPr>
                <w:rFonts w:hint="eastAsia" w:ascii="宋体" w:hAnsi="宋体" w:cs="宋体"/>
                <w:spacing w:val="12"/>
                <w:sz w:val="21"/>
                <w:szCs w:val="21"/>
                <w:highlight w:val="none"/>
                <w:lang w:eastAsia="zh-CN"/>
              </w:rPr>
              <w:t>0个工作日内向招标人提交履约保证金，否则招标人将取消其中标资格。履约保证金的有效期必须涵盖整个合同履约期限。合同期结束后，双方确认无质量问题，由招标人在三十日内无息原路退回。</w:t>
            </w:r>
          </w:p>
          <w:p w14:paraId="46DCBD04">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hint="eastAsia" w:ascii="宋体" w:hAnsi="宋体" w:cs="宋体"/>
                <w:spacing w:val="12"/>
                <w:sz w:val="21"/>
                <w:szCs w:val="21"/>
                <w:highlight w:val="none"/>
                <w:lang w:eastAsia="zh-CN"/>
              </w:rPr>
            </w:pPr>
            <w:r>
              <w:rPr>
                <w:rFonts w:hint="eastAsia" w:ascii="宋体" w:hAnsi="宋体" w:cs="宋体"/>
                <w:spacing w:val="12"/>
                <w:sz w:val="21"/>
                <w:szCs w:val="21"/>
                <w:highlight w:val="none"/>
                <w:lang w:eastAsia="zh-CN"/>
              </w:rPr>
              <w:t>履约保证金的金额:人民币叁佰万元整(￥</w:t>
            </w:r>
            <w:r>
              <w:rPr>
                <w:rFonts w:hint="eastAsia" w:ascii="宋体" w:hAnsi="宋体" w:cs="宋体"/>
                <w:spacing w:val="12"/>
                <w:sz w:val="21"/>
                <w:szCs w:val="21"/>
                <w:highlight w:val="none"/>
                <w:lang w:val="en-US" w:eastAsia="zh-CN"/>
              </w:rPr>
              <w:t>3</w:t>
            </w:r>
            <w:r>
              <w:rPr>
                <w:rFonts w:hint="eastAsia" w:ascii="宋体" w:hAnsi="宋体" w:cs="宋体"/>
                <w:spacing w:val="12"/>
                <w:sz w:val="21"/>
                <w:szCs w:val="21"/>
                <w:highlight w:val="none"/>
                <w:lang w:eastAsia="zh-CN"/>
              </w:rPr>
              <w:t>000000.00)。</w:t>
            </w:r>
          </w:p>
          <w:p w14:paraId="68439668">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hint="eastAsia" w:ascii="宋体" w:hAnsi="宋体" w:cs="宋体"/>
                <w:spacing w:val="12"/>
                <w:sz w:val="21"/>
                <w:szCs w:val="21"/>
                <w:highlight w:val="none"/>
                <w:lang w:eastAsia="zh-CN"/>
              </w:rPr>
            </w:pPr>
            <w:r>
              <w:rPr>
                <w:rFonts w:hint="eastAsia" w:ascii="宋体" w:hAnsi="宋体" w:cs="宋体"/>
                <w:spacing w:val="12"/>
                <w:sz w:val="21"/>
                <w:szCs w:val="21"/>
                <w:highlight w:val="none"/>
                <w:lang w:eastAsia="zh-CN"/>
              </w:rPr>
              <w:t>履约保证金的缴纳形式:银行转账、电汇、银行保函。</w:t>
            </w:r>
          </w:p>
          <w:p w14:paraId="2E507EFB">
            <w:pPr>
              <w:pStyle w:val="337"/>
              <w:keepNext w:val="0"/>
              <w:keepLines w:val="0"/>
              <w:pageBreakBefore w:val="0"/>
              <w:widowControl/>
              <w:kinsoku/>
              <w:wordWrap/>
              <w:overflowPunct/>
              <w:topLinePunct w:val="0"/>
              <w:autoSpaceDE/>
              <w:autoSpaceDN/>
              <w:bidi w:val="0"/>
              <w:adjustRightInd w:val="0"/>
              <w:snapToGrid/>
              <w:spacing w:before="141" w:line="312" w:lineRule="auto"/>
              <w:ind w:left="113" w:right="102" w:firstLine="431"/>
              <w:textAlignment w:val="auto"/>
              <w:rPr>
                <w:rFonts w:ascii="宋体" w:hAnsi="宋体" w:cs="宋体"/>
                <w:color w:val="FF0000"/>
                <w:sz w:val="21"/>
                <w:szCs w:val="21"/>
                <w:highlight w:val="none"/>
              </w:rPr>
            </w:pPr>
            <w:r>
              <w:rPr>
                <w:rFonts w:hint="eastAsia" w:ascii="宋体" w:hAnsi="宋体" w:cs="宋体"/>
                <w:spacing w:val="12"/>
                <w:sz w:val="21"/>
                <w:szCs w:val="21"/>
                <w:highlight w:val="none"/>
                <w:lang w:eastAsia="zh-CN"/>
              </w:rPr>
              <w:t>履约保证金逾期不交或未足额缴纳的视为自动放弃中标资格。</w:t>
            </w:r>
          </w:p>
        </w:tc>
      </w:tr>
      <w:tr w14:paraId="519F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79" w:type="dxa"/>
          </w:tcPr>
          <w:p w14:paraId="42F7F437">
            <w:pPr>
              <w:spacing w:line="283" w:lineRule="auto"/>
              <w:rPr>
                <w:rFonts w:ascii="宋体" w:hAnsi="宋体" w:cs="宋体"/>
                <w:color w:val="auto"/>
                <w:szCs w:val="21"/>
                <w:highlight w:val="none"/>
              </w:rPr>
            </w:pPr>
          </w:p>
          <w:p w14:paraId="3AD50253">
            <w:pPr>
              <w:pStyle w:val="337"/>
              <w:spacing w:before="65" w:line="228" w:lineRule="auto"/>
              <w:ind w:left="184"/>
              <w:rPr>
                <w:rFonts w:ascii="宋体" w:hAnsi="宋体" w:cs="宋体"/>
                <w:color w:val="auto"/>
                <w:sz w:val="21"/>
                <w:szCs w:val="21"/>
                <w:highlight w:val="none"/>
              </w:rPr>
            </w:pPr>
            <w:r>
              <w:rPr>
                <w:rFonts w:hint="eastAsia" w:ascii="宋体" w:hAnsi="宋体" w:cs="宋体"/>
                <w:color w:val="auto"/>
                <w:spacing w:val="5"/>
                <w:sz w:val="21"/>
                <w:szCs w:val="21"/>
                <w:highlight w:val="none"/>
              </w:rPr>
              <w:t>▲付款</w:t>
            </w:r>
            <w:r>
              <w:rPr>
                <w:rFonts w:hint="eastAsia" w:ascii="宋体" w:hAnsi="宋体" w:cs="宋体"/>
                <w:color w:val="auto"/>
                <w:spacing w:val="4"/>
                <w:sz w:val="21"/>
                <w:szCs w:val="21"/>
                <w:highlight w:val="none"/>
              </w:rPr>
              <w:t>方式</w:t>
            </w:r>
          </w:p>
        </w:tc>
        <w:tc>
          <w:tcPr>
            <w:tcW w:w="8308" w:type="dxa"/>
          </w:tcPr>
          <w:p w14:paraId="3240187C">
            <w:pPr>
              <w:pStyle w:val="337"/>
              <w:keepNext w:val="0"/>
              <w:keepLines w:val="0"/>
              <w:pageBreakBefore w:val="0"/>
              <w:widowControl/>
              <w:kinsoku/>
              <w:wordWrap/>
              <w:overflowPunct/>
              <w:topLinePunct w:val="0"/>
              <w:autoSpaceDE/>
              <w:autoSpaceDN/>
              <w:bidi w:val="0"/>
              <w:adjustRightInd w:val="0"/>
              <w:snapToGrid/>
              <w:spacing w:before="152" w:line="312" w:lineRule="auto"/>
              <w:ind w:left="125" w:right="102" w:firstLine="397"/>
              <w:textAlignment w:val="auto"/>
              <w:rPr>
                <w:rFonts w:ascii="宋体" w:hAnsi="宋体" w:cs="宋体"/>
                <w:color w:val="auto"/>
                <w:sz w:val="21"/>
                <w:szCs w:val="21"/>
                <w:highlight w:val="none"/>
              </w:rPr>
            </w:pPr>
            <w:r>
              <w:rPr>
                <w:rFonts w:hint="eastAsia" w:ascii="宋体" w:hAnsi="宋体" w:cs="宋体"/>
                <w:color w:val="auto"/>
                <w:spacing w:val="6"/>
                <w:sz w:val="21"/>
                <w:szCs w:val="21"/>
                <w:highlight w:val="none"/>
              </w:rPr>
              <w:t>本项目采用“先供货、次月对账、按期支付”的结算方式。由供应商及时向学校提交结算材料，学校在收到完整、准确的结算材料后，应于15个工作日内完成复核向供应商支付货款。供应商应以一般纳税人身份向学校开具增值税专用发票。</w:t>
            </w:r>
          </w:p>
        </w:tc>
      </w:tr>
    </w:tbl>
    <w:p w14:paraId="30D705BC">
      <w:pPr>
        <w:sectPr>
          <w:footerReference r:id="rId5" w:type="default"/>
          <w:pgSz w:w="11907" w:h="16840"/>
          <w:pgMar w:top="1134" w:right="880" w:bottom="934" w:left="1133" w:header="0" w:footer="694" w:gutter="0"/>
          <w:pgNumType w:fmt="decimal"/>
          <w:cols w:space="720" w:num="1"/>
        </w:sectPr>
      </w:pPr>
    </w:p>
    <w:p w14:paraId="0AB9CD43">
      <w:pPr>
        <w:spacing w:before="41" w:line="228" w:lineRule="auto"/>
        <w:rPr>
          <w:rFonts w:ascii="宋体" w:hAnsi="宋体" w:cs="宋体"/>
          <w:sz w:val="20"/>
          <w:szCs w:val="20"/>
        </w:rPr>
      </w:pPr>
      <w:r>
        <w:rPr>
          <w:rFonts w:ascii="宋体" w:hAnsi="宋体" w:cs="宋体"/>
          <w:b/>
          <w:bCs/>
          <w:spacing w:val="-12"/>
          <w:sz w:val="20"/>
          <w:szCs w:val="20"/>
        </w:rPr>
        <w:t>附件1：</w:t>
      </w:r>
    </w:p>
    <w:p w14:paraId="41968902">
      <w:pPr>
        <w:spacing w:before="92" w:line="208" w:lineRule="auto"/>
        <w:ind w:left="3419"/>
        <w:rPr>
          <w:rFonts w:ascii="宋体" w:hAnsi="宋体" w:cs="宋体"/>
          <w:sz w:val="24"/>
        </w:rPr>
      </w:pPr>
      <w:r>
        <w:rPr>
          <w:rFonts w:ascii="宋体" w:hAnsi="宋体" w:cs="宋体"/>
          <w:b/>
          <w:bCs/>
          <w:spacing w:val="-6"/>
          <w:sz w:val="24"/>
        </w:rPr>
        <w:t>大中小微型企业划分标准</w:t>
      </w:r>
    </w:p>
    <w:tbl>
      <w:tblPr>
        <w:tblStyle w:val="962"/>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0"/>
        <w:gridCol w:w="1366"/>
        <w:gridCol w:w="708"/>
        <w:gridCol w:w="1124"/>
        <w:gridCol w:w="1700"/>
        <w:gridCol w:w="1424"/>
        <w:gridCol w:w="997"/>
      </w:tblGrid>
      <w:tr w14:paraId="30FE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20" w:type="dxa"/>
          </w:tcPr>
          <w:p w14:paraId="41C1A512">
            <w:pPr>
              <w:pStyle w:val="337"/>
              <w:spacing w:before="238" w:line="221" w:lineRule="auto"/>
              <w:ind w:left="712"/>
              <w:rPr>
                <w:sz w:val="18"/>
                <w:szCs w:val="18"/>
              </w:rPr>
            </w:pPr>
            <w:r>
              <w:rPr>
                <w:b/>
                <w:bCs/>
                <w:spacing w:val="-7"/>
                <w:sz w:val="18"/>
                <w:szCs w:val="18"/>
              </w:rPr>
              <w:t>行业名称</w:t>
            </w:r>
          </w:p>
        </w:tc>
        <w:tc>
          <w:tcPr>
            <w:tcW w:w="1366" w:type="dxa"/>
          </w:tcPr>
          <w:p w14:paraId="358FDD15">
            <w:pPr>
              <w:pStyle w:val="337"/>
              <w:spacing w:before="228" w:line="221" w:lineRule="auto"/>
              <w:ind w:left="331"/>
              <w:rPr>
                <w:sz w:val="18"/>
                <w:szCs w:val="18"/>
              </w:rPr>
            </w:pPr>
            <w:r>
              <w:rPr>
                <w:b/>
                <w:bCs/>
                <w:spacing w:val="-6"/>
                <w:sz w:val="18"/>
                <w:szCs w:val="18"/>
              </w:rPr>
              <w:t>指标名称</w:t>
            </w:r>
          </w:p>
        </w:tc>
        <w:tc>
          <w:tcPr>
            <w:tcW w:w="708" w:type="dxa"/>
          </w:tcPr>
          <w:p w14:paraId="39435065">
            <w:pPr>
              <w:pStyle w:val="337"/>
              <w:spacing w:before="115" w:line="222" w:lineRule="auto"/>
              <w:ind w:left="182"/>
              <w:rPr>
                <w:sz w:val="18"/>
                <w:szCs w:val="18"/>
              </w:rPr>
            </w:pPr>
            <w:r>
              <w:rPr>
                <w:b/>
                <w:bCs/>
                <w:spacing w:val="-6"/>
                <w:sz w:val="18"/>
                <w:szCs w:val="18"/>
              </w:rPr>
              <w:t>计量</w:t>
            </w:r>
          </w:p>
          <w:p w14:paraId="0D086843">
            <w:pPr>
              <w:pStyle w:val="337"/>
              <w:spacing w:before="11" w:line="221" w:lineRule="auto"/>
              <w:ind w:left="183"/>
              <w:rPr>
                <w:sz w:val="18"/>
                <w:szCs w:val="18"/>
              </w:rPr>
            </w:pPr>
            <w:r>
              <w:rPr>
                <w:b/>
                <w:bCs/>
                <w:spacing w:val="-7"/>
                <w:sz w:val="18"/>
                <w:szCs w:val="18"/>
              </w:rPr>
              <w:t>单位</w:t>
            </w:r>
          </w:p>
        </w:tc>
        <w:tc>
          <w:tcPr>
            <w:tcW w:w="1124" w:type="dxa"/>
          </w:tcPr>
          <w:p w14:paraId="3518DF96">
            <w:pPr>
              <w:pStyle w:val="337"/>
              <w:spacing w:before="228" w:line="221" w:lineRule="auto"/>
              <w:ind w:left="395"/>
              <w:rPr>
                <w:sz w:val="18"/>
                <w:szCs w:val="18"/>
              </w:rPr>
            </w:pPr>
            <w:r>
              <w:rPr>
                <w:b/>
                <w:bCs/>
                <w:spacing w:val="-7"/>
                <w:sz w:val="18"/>
                <w:szCs w:val="18"/>
              </w:rPr>
              <w:t>大型</w:t>
            </w:r>
          </w:p>
        </w:tc>
        <w:tc>
          <w:tcPr>
            <w:tcW w:w="1700" w:type="dxa"/>
          </w:tcPr>
          <w:p w14:paraId="1FA31558">
            <w:pPr>
              <w:pStyle w:val="337"/>
              <w:spacing w:before="228" w:line="221" w:lineRule="auto"/>
              <w:ind w:left="714"/>
              <w:rPr>
                <w:sz w:val="18"/>
                <w:szCs w:val="18"/>
              </w:rPr>
            </w:pPr>
            <w:r>
              <w:rPr>
                <w:b/>
                <w:bCs/>
                <w:spacing w:val="-14"/>
                <w:sz w:val="18"/>
                <w:szCs w:val="18"/>
              </w:rPr>
              <w:t>中型</w:t>
            </w:r>
          </w:p>
        </w:tc>
        <w:tc>
          <w:tcPr>
            <w:tcW w:w="1424" w:type="dxa"/>
          </w:tcPr>
          <w:p w14:paraId="5BF24E91">
            <w:pPr>
              <w:pStyle w:val="337"/>
              <w:spacing w:before="231" w:line="222" w:lineRule="auto"/>
              <w:ind w:left="555"/>
              <w:rPr>
                <w:sz w:val="18"/>
                <w:szCs w:val="18"/>
              </w:rPr>
            </w:pPr>
            <w:r>
              <w:rPr>
                <w:b/>
                <w:bCs/>
                <w:spacing w:val="-8"/>
                <w:sz w:val="18"/>
                <w:szCs w:val="18"/>
              </w:rPr>
              <w:t>小型</w:t>
            </w:r>
          </w:p>
        </w:tc>
        <w:tc>
          <w:tcPr>
            <w:tcW w:w="997" w:type="dxa"/>
          </w:tcPr>
          <w:p w14:paraId="5D1482E9">
            <w:pPr>
              <w:pStyle w:val="337"/>
              <w:spacing w:before="229" w:line="220" w:lineRule="auto"/>
              <w:ind w:left="331"/>
              <w:rPr>
                <w:sz w:val="18"/>
                <w:szCs w:val="18"/>
              </w:rPr>
            </w:pPr>
            <w:r>
              <w:rPr>
                <w:b/>
                <w:bCs/>
                <w:spacing w:val="-6"/>
                <w:sz w:val="18"/>
                <w:szCs w:val="18"/>
              </w:rPr>
              <w:t>微型</w:t>
            </w:r>
          </w:p>
        </w:tc>
      </w:tr>
      <w:tr w14:paraId="5A86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0" w:type="dxa"/>
          </w:tcPr>
          <w:p w14:paraId="45341A94">
            <w:pPr>
              <w:pStyle w:val="337"/>
              <w:spacing w:before="119" w:line="220" w:lineRule="auto"/>
              <w:ind w:left="121"/>
              <w:rPr>
                <w:sz w:val="18"/>
                <w:szCs w:val="18"/>
              </w:rPr>
            </w:pPr>
            <w:r>
              <w:rPr>
                <w:spacing w:val="-2"/>
                <w:sz w:val="18"/>
                <w:szCs w:val="18"/>
              </w:rPr>
              <w:t>农、林、牧、渔业</w:t>
            </w:r>
          </w:p>
        </w:tc>
        <w:tc>
          <w:tcPr>
            <w:tcW w:w="1366" w:type="dxa"/>
          </w:tcPr>
          <w:p w14:paraId="65EA24D5">
            <w:pPr>
              <w:pStyle w:val="337"/>
              <w:spacing w:before="112" w:line="220" w:lineRule="auto"/>
              <w:ind w:left="202"/>
              <w:rPr>
                <w:sz w:val="18"/>
                <w:szCs w:val="18"/>
              </w:rPr>
            </w:pPr>
            <w:r>
              <w:rPr>
                <w:spacing w:val="-4"/>
                <w:sz w:val="18"/>
                <w:szCs w:val="18"/>
              </w:rPr>
              <w:t>营业收入(Y)</w:t>
            </w:r>
          </w:p>
        </w:tc>
        <w:tc>
          <w:tcPr>
            <w:tcW w:w="708" w:type="dxa"/>
          </w:tcPr>
          <w:p w14:paraId="19601B36">
            <w:pPr>
              <w:pStyle w:val="337"/>
              <w:spacing w:before="112" w:line="221" w:lineRule="auto"/>
              <w:ind w:left="191"/>
              <w:rPr>
                <w:sz w:val="18"/>
                <w:szCs w:val="18"/>
              </w:rPr>
            </w:pPr>
            <w:r>
              <w:rPr>
                <w:spacing w:val="-6"/>
                <w:sz w:val="18"/>
                <w:szCs w:val="18"/>
              </w:rPr>
              <w:t>万元</w:t>
            </w:r>
          </w:p>
        </w:tc>
        <w:tc>
          <w:tcPr>
            <w:tcW w:w="1124" w:type="dxa"/>
          </w:tcPr>
          <w:p w14:paraId="74065F79">
            <w:pPr>
              <w:pStyle w:val="337"/>
              <w:spacing w:before="126" w:line="238" w:lineRule="auto"/>
              <w:ind w:left="205"/>
              <w:rPr>
                <w:sz w:val="18"/>
                <w:szCs w:val="18"/>
              </w:rPr>
            </w:pPr>
            <w:r>
              <w:rPr>
                <w:spacing w:val="-2"/>
                <w:sz w:val="18"/>
                <w:szCs w:val="18"/>
              </w:rPr>
              <w:t>Y≥20000</w:t>
            </w:r>
          </w:p>
        </w:tc>
        <w:tc>
          <w:tcPr>
            <w:tcW w:w="1700" w:type="dxa"/>
          </w:tcPr>
          <w:p w14:paraId="2756740C">
            <w:pPr>
              <w:pStyle w:val="337"/>
              <w:spacing w:before="124" w:line="237" w:lineRule="auto"/>
              <w:ind w:left="331"/>
              <w:rPr>
                <w:sz w:val="18"/>
                <w:szCs w:val="18"/>
              </w:rPr>
            </w:pPr>
            <w:r>
              <w:rPr>
                <w:spacing w:val="-2"/>
                <w:sz w:val="18"/>
                <w:szCs w:val="18"/>
              </w:rPr>
              <w:t>500≤Y＜20000</w:t>
            </w:r>
          </w:p>
        </w:tc>
        <w:tc>
          <w:tcPr>
            <w:tcW w:w="1424" w:type="dxa"/>
          </w:tcPr>
          <w:p w14:paraId="2624DAB6">
            <w:pPr>
              <w:pStyle w:val="337"/>
              <w:spacing w:before="124" w:line="237" w:lineRule="auto"/>
              <w:ind w:left="328"/>
              <w:rPr>
                <w:sz w:val="18"/>
                <w:szCs w:val="18"/>
              </w:rPr>
            </w:pPr>
            <w:r>
              <w:rPr>
                <w:spacing w:val="-3"/>
                <w:sz w:val="18"/>
                <w:szCs w:val="18"/>
              </w:rPr>
              <w:t>50≤Y＜500</w:t>
            </w:r>
          </w:p>
        </w:tc>
        <w:tc>
          <w:tcPr>
            <w:tcW w:w="997" w:type="dxa"/>
          </w:tcPr>
          <w:p w14:paraId="51C626BC">
            <w:pPr>
              <w:pStyle w:val="337"/>
              <w:spacing w:before="129"/>
              <w:ind w:left="277"/>
              <w:rPr>
                <w:sz w:val="18"/>
                <w:szCs w:val="18"/>
              </w:rPr>
            </w:pPr>
            <w:r>
              <w:rPr>
                <w:spacing w:val="-2"/>
                <w:sz w:val="18"/>
                <w:szCs w:val="18"/>
              </w:rPr>
              <w:t>Y＜50</w:t>
            </w:r>
          </w:p>
        </w:tc>
      </w:tr>
      <w:tr w14:paraId="301D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restart"/>
            <w:tcBorders>
              <w:bottom w:val="nil"/>
            </w:tcBorders>
          </w:tcPr>
          <w:p w14:paraId="6C18348F">
            <w:pPr>
              <w:spacing w:line="266" w:lineRule="auto"/>
              <w:rPr>
                <w:rFonts w:ascii="Arial"/>
              </w:rPr>
            </w:pPr>
          </w:p>
          <w:p w14:paraId="55635E0D">
            <w:pPr>
              <w:pStyle w:val="337"/>
              <w:spacing w:before="59" w:line="232" w:lineRule="auto"/>
              <w:ind w:left="123"/>
              <w:rPr>
                <w:sz w:val="18"/>
                <w:szCs w:val="18"/>
              </w:rPr>
            </w:pPr>
            <w:r>
              <w:rPr>
                <w:spacing w:val="-5"/>
                <w:sz w:val="18"/>
                <w:szCs w:val="18"/>
              </w:rPr>
              <w:t>工业*</w:t>
            </w:r>
          </w:p>
        </w:tc>
        <w:tc>
          <w:tcPr>
            <w:tcW w:w="1366" w:type="dxa"/>
          </w:tcPr>
          <w:p w14:paraId="34782082">
            <w:pPr>
              <w:pStyle w:val="337"/>
              <w:spacing w:before="110" w:line="221" w:lineRule="auto"/>
              <w:ind w:left="196"/>
              <w:rPr>
                <w:sz w:val="18"/>
                <w:szCs w:val="18"/>
              </w:rPr>
            </w:pPr>
            <w:r>
              <w:rPr>
                <w:spacing w:val="-10"/>
                <w:sz w:val="18"/>
                <w:szCs w:val="18"/>
              </w:rPr>
              <w:t>从业人员(X)</w:t>
            </w:r>
          </w:p>
        </w:tc>
        <w:tc>
          <w:tcPr>
            <w:tcW w:w="708" w:type="dxa"/>
          </w:tcPr>
          <w:p w14:paraId="3579F59F">
            <w:pPr>
              <w:pStyle w:val="337"/>
              <w:spacing w:before="112" w:line="223" w:lineRule="auto"/>
              <w:ind w:left="277"/>
              <w:rPr>
                <w:sz w:val="18"/>
                <w:szCs w:val="18"/>
              </w:rPr>
            </w:pPr>
            <w:r>
              <w:rPr>
                <w:sz w:val="18"/>
                <w:szCs w:val="18"/>
              </w:rPr>
              <w:t>人</w:t>
            </w:r>
          </w:p>
        </w:tc>
        <w:tc>
          <w:tcPr>
            <w:tcW w:w="1124" w:type="dxa"/>
          </w:tcPr>
          <w:p w14:paraId="54A75CD9">
            <w:pPr>
              <w:pStyle w:val="337"/>
              <w:spacing w:before="124" w:line="238" w:lineRule="auto"/>
              <w:ind w:left="252"/>
              <w:rPr>
                <w:sz w:val="18"/>
                <w:szCs w:val="18"/>
              </w:rPr>
            </w:pPr>
            <w:r>
              <w:rPr>
                <w:spacing w:val="-2"/>
                <w:sz w:val="18"/>
                <w:szCs w:val="18"/>
              </w:rPr>
              <w:t>X≥1000</w:t>
            </w:r>
          </w:p>
        </w:tc>
        <w:tc>
          <w:tcPr>
            <w:tcW w:w="1700" w:type="dxa"/>
          </w:tcPr>
          <w:p w14:paraId="2466E7D6">
            <w:pPr>
              <w:pStyle w:val="337"/>
              <w:spacing w:before="122" w:line="237" w:lineRule="auto"/>
              <w:ind w:left="326"/>
              <w:rPr>
                <w:sz w:val="18"/>
                <w:szCs w:val="18"/>
              </w:rPr>
            </w:pPr>
            <w:r>
              <w:rPr>
                <w:spacing w:val="-2"/>
                <w:sz w:val="18"/>
                <w:szCs w:val="18"/>
              </w:rPr>
              <w:t>300≤X＜1000</w:t>
            </w:r>
          </w:p>
        </w:tc>
        <w:tc>
          <w:tcPr>
            <w:tcW w:w="1424" w:type="dxa"/>
          </w:tcPr>
          <w:p w14:paraId="32793686">
            <w:pPr>
              <w:pStyle w:val="337"/>
              <w:spacing w:before="122" w:line="237" w:lineRule="auto"/>
              <w:ind w:left="324"/>
              <w:rPr>
                <w:sz w:val="18"/>
                <w:szCs w:val="18"/>
              </w:rPr>
            </w:pPr>
            <w:r>
              <w:rPr>
                <w:spacing w:val="-3"/>
                <w:sz w:val="18"/>
                <w:szCs w:val="18"/>
              </w:rPr>
              <w:t>20≤X＜300</w:t>
            </w:r>
          </w:p>
        </w:tc>
        <w:tc>
          <w:tcPr>
            <w:tcW w:w="997" w:type="dxa"/>
          </w:tcPr>
          <w:p w14:paraId="771066EF">
            <w:pPr>
              <w:pStyle w:val="337"/>
              <w:spacing w:before="127"/>
              <w:ind w:left="281"/>
              <w:rPr>
                <w:sz w:val="18"/>
                <w:szCs w:val="18"/>
              </w:rPr>
            </w:pPr>
            <w:r>
              <w:rPr>
                <w:spacing w:val="-2"/>
                <w:sz w:val="18"/>
                <w:szCs w:val="18"/>
              </w:rPr>
              <w:t>X＜20</w:t>
            </w:r>
          </w:p>
        </w:tc>
      </w:tr>
      <w:tr w14:paraId="653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0" w:type="dxa"/>
            <w:vMerge w:val="continue"/>
            <w:tcBorders>
              <w:top w:val="nil"/>
            </w:tcBorders>
          </w:tcPr>
          <w:p w14:paraId="129599AD">
            <w:pPr>
              <w:rPr>
                <w:rFonts w:ascii="Arial"/>
              </w:rPr>
            </w:pPr>
          </w:p>
        </w:tc>
        <w:tc>
          <w:tcPr>
            <w:tcW w:w="1366" w:type="dxa"/>
          </w:tcPr>
          <w:p w14:paraId="78DDB493">
            <w:pPr>
              <w:pStyle w:val="337"/>
              <w:spacing w:before="120" w:line="220" w:lineRule="auto"/>
              <w:ind w:left="202"/>
              <w:rPr>
                <w:sz w:val="18"/>
                <w:szCs w:val="18"/>
              </w:rPr>
            </w:pPr>
            <w:r>
              <w:rPr>
                <w:spacing w:val="-4"/>
                <w:sz w:val="18"/>
                <w:szCs w:val="18"/>
              </w:rPr>
              <w:t>营业收入(Y)</w:t>
            </w:r>
          </w:p>
        </w:tc>
        <w:tc>
          <w:tcPr>
            <w:tcW w:w="708" w:type="dxa"/>
          </w:tcPr>
          <w:p w14:paraId="33572DBD">
            <w:pPr>
              <w:pStyle w:val="337"/>
              <w:spacing w:before="110" w:line="221" w:lineRule="auto"/>
              <w:ind w:left="191"/>
              <w:rPr>
                <w:sz w:val="18"/>
                <w:szCs w:val="18"/>
              </w:rPr>
            </w:pPr>
            <w:r>
              <w:rPr>
                <w:spacing w:val="-6"/>
                <w:sz w:val="18"/>
                <w:szCs w:val="18"/>
              </w:rPr>
              <w:t>万元</w:t>
            </w:r>
          </w:p>
        </w:tc>
        <w:tc>
          <w:tcPr>
            <w:tcW w:w="1124" w:type="dxa"/>
          </w:tcPr>
          <w:p w14:paraId="74242AB3">
            <w:pPr>
              <w:pStyle w:val="337"/>
              <w:spacing w:before="124" w:line="238" w:lineRule="auto"/>
              <w:ind w:left="205"/>
              <w:rPr>
                <w:sz w:val="18"/>
                <w:szCs w:val="18"/>
              </w:rPr>
            </w:pPr>
            <w:r>
              <w:rPr>
                <w:spacing w:val="-2"/>
                <w:sz w:val="18"/>
                <w:szCs w:val="18"/>
              </w:rPr>
              <w:t>Y≥40000</w:t>
            </w:r>
          </w:p>
        </w:tc>
        <w:tc>
          <w:tcPr>
            <w:tcW w:w="1700" w:type="dxa"/>
          </w:tcPr>
          <w:p w14:paraId="091B10B6">
            <w:pPr>
              <w:pStyle w:val="337"/>
              <w:spacing w:before="122" w:line="237" w:lineRule="auto"/>
              <w:ind w:left="236"/>
              <w:rPr>
                <w:sz w:val="18"/>
                <w:szCs w:val="18"/>
              </w:rPr>
            </w:pPr>
            <w:r>
              <w:rPr>
                <w:spacing w:val="-2"/>
                <w:sz w:val="18"/>
                <w:szCs w:val="18"/>
              </w:rPr>
              <w:t>2000≤Y＜40000</w:t>
            </w:r>
          </w:p>
        </w:tc>
        <w:tc>
          <w:tcPr>
            <w:tcW w:w="1424" w:type="dxa"/>
          </w:tcPr>
          <w:p w14:paraId="78496987">
            <w:pPr>
              <w:pStyle w:val="337"/>
              <w:spacing w:before="122" w:line="237" w:lineRule="auto"/>
              <w:ind w:left="239"/>
              <w:rPr>
                <w:sz w:val="18"/>
                <w:szCs w:val="18"/>
              </w:rPr>
            </w:pPr>
            <w:r>
              <w:rPr>
                <w:spacing w:val="-2"/>
                <w:sz w:val="18"/>
                <w:szCs w:val="18"/>
              </w:rPr>
              <w:t>300≤Y＜2000</w:t>
            </w:r>
          </w:p>
        </w:tc>
        <w:tc>
          <w:tcPr>
            <w:tcW w:w="997" w:type="dxa"/>
          </w:tcPr>
          <w:p w14:paraId="293D23D7">
            <w:pPr>
              <w:pStyle w:val="337"/>
              <w:spacing w:before="127"/>
              <w:ind w:left="234"/>
              <w:rPr>
                <w:sz w:val="18"/>
                <w:szCs w:val="18"/>
              </w:rPr>
            </w:pPr>
            <w:r>
              <w:rPr>
                <w:spacing w:val="-1"/>
                <w:sz w:val="18"/>
                <w:szCs w:val="18"/>
              </w:rPr>
              <w:t>Y＜300</w:t>
            </w:r>
          </w:p>
        </w:tc>
      </w:tr>
      <w:tr w14:paraId="050EB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restart"/>
            <w:tcBorders>
              <w:bottom w:val="nil"/>
            </w:tcBorders>
          </w:tcPr>
          <w:p w14:paraId="3F90D875">
            <w:pPr>
              <w:spacing w:line="256" w:lineRule="auto"/>
              <w:rPr>
                <w:rFonts w:ascii="Arial"/>
              </w:rPr>
            </w:pPr>
          </w:p>
          <w:p w14:paraId="0AC79E43">
            <w:pPr>
              <w:pStyle w:val="337"/>
              <w:spacing w:before="59" w:line="221" w:lineRule="auto"/>
              <w:ind w:left="123"/>
              <w:rPr>
                <w:sz w:val="18"/>
                <w:szCs w:val="18"/>
              </w:rPr>
            </w:pPr>
            <w:r>
              <w:rPr>
                <w:spacing w:val="-4"/>
                <w:sz w:val="18"/>
                <w:szCs w:val="18"/>
              </w:rPr>
              <w:t>建筑业</w:t>
            </w:r>
          </w:p>
        </w:tc>
        <w:tc>
          <w:tcPr>
            <w:tcW w:w="1366" w:type="dxa"/>
          </w:tcPr>
          <w:p w14:paraId="263B9ED4">
            <w:pPr>
              <w:pStyle w:val="337"/>
              <w:spacing w:before="110" w:line="220" w:lineRule="auto"/>
              <w:ind w:left="202"/>
              <w:rPr>
                <w:sz w:val="18"/>
                <w:szCs w:val="18"/>
              </w:rPr>
            </w:pPr>
            <w:r>
              <w:rPr>
                <w:spacing w:val="-4"/>
                <w:sz w:val="18"/>
                <w:szCs w:val="18"/>
              </w:rPr>
              <w:t>营业收入(Y)</w:t>
            </w:r>
          </w:p>
        </w:tc>
        <w:tc>
          <w:tcPr>
            <w:tcW w:w="708" w:type="dxa"/>
          </w:tcPr>
          <w:p w14:paraId="3E356065">
            <w:pPr>
              <w:pStyle w:val="337"/>
              <w:spacing w:before="110" w:line="221" w:lineRule="auto"/>
              <w:ind w:left="191"/>
              <w:rPr>
                <w:sz w:val="18"/>
                <w:szCs w:val="18"/>
              </w:rPr>
            </w:pPr>
            <w:r>
              <w:rPr>
                <w:spacing w:val="-6"/>
                <w:sz w:val="18"/>
                <w:szCs w:val="18"/>
              </w:rPr>
              <w:t>万元</w:t>
            </w:r>
          </w:p>
        </w:tc>
        <w:tc>
          <w:tcPr>
            <w:tcW w:w="1124" w:type="dxa"/>
          </w:tcPr>
          <w:p w14:paraId="565D56B9">
            <w:pPr>
              <w:pStyle w:val="337"/>
              <w:spacing w:before="125" w:line="238" w:lineRule="auto"/>
              <w:ind w:left="205"/>
              <w:rPr>
                <w:sz w:val="18"/>
                <w:szCs w:val="18"/>
              </w:rPr>
            </w:pPr>
            <w:r>
              <w:rPr>
                <w:spacing w:val="-2"/>
                <w:sz w:val="18"/>
                <w:szCs w:val="18"/>
              </w:rPr>
              <w:t>Y≥80000</w:t>
            </w:r>
          </w:p>
        </w:tc>
        <w:tc>
          <w:tcPr>
            <w:tcW w:w="1700" w:type="dxa"/>
          </w:tcPr>
          <w:p w14:paraId="3E699CEF">
            <w:pPr>
              <w:pStyle w:val="337"/>
              <w:spacing w:before="124" w:line="237" w:lineRule="auto"/>
              <w:ind w:left="235"/>
              <w:rPr>
                <w:sz w:val="18"/>
                <w:szCs w:val="18"/>
              </w:rPr>
            </w:pPr>
            <w:r>
              <w:rPr>
                <w:spacing w:val="-2"/>
                <w:sz w:val="18"/>
                <w:szCs w:val="18"/>
              </w:rPr>
              <w:t>6000≤Y＜80000</w:t>
            </w:r>
          </w:p>
        </w:tc>
        <w:tc>
          <w:tcPr>
            <w:tcW w:w="1424" w:type="dxa"/>
          </w:tcPr>
          <w:p w14:paraId="61E06DDB">
            <w:pPr>
              <w:pStyle w:val="337"/>
              <w:spacing w:before="124" w:line="237" w:lineRule="auto"/>
              <w:ind w:left="239"/>
              <w:rPr>
                <w:sz w:val="18"/>
                <w:szCs w:val="18"/>
              </w:rPr>
            </w:pPr>
            <w:r>
              <w:rPr>
                <w:spacing w:val="-2"/>
                <w:sz w:val="18"/>
                <w:szCs w:val="18"/>
              </w:rPr>
              <w:t>300≤Y＜6000</w:t>
            </w:r>
          </w:p>
        </w:tc>
        <w:tc>
          <w:tcPr>
            <w:tcW w:w="997" w:type="dxa"/>
          </w:tcPr>
          <w:p w14:paraId="4DCC3CC3">
            <w:pPr>
              <w:pStyle w:val="337"/>
              <w:spacing w:before="125"/>
              <w:ind w:left="234"/>
              <w:rPr>
                <w:sz w:val="18"/>
                <w:szCs w:val="18"/>
              </w:rPr>
            </w:pPr>
            <w:r>
              <w:rPr>
                <w:spacing w:val="-1"/>
                <w:sz w:val="18"/>
                <w:szCs w:val="18"/>
              </w:rPr>
              <w:t>Y＜300</w:t>
            </w:r>
          </w:p>
        </w:tc>
      </w:tr>
      <w:tr w14:paraId="0867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3F622864">
            <w:pPr>
              <w:rPr>
                <w:rFonts w:ascii="Arial"/>
              </w:rPr>
            </w:pPr>
          </w:p>
        </w:tc>
        <w:tc>
          <w:tcPr>
            <w:tcW w:w="1366" w:type="dxa"/>
          </w:tcPr>
          <w:p w14:paraId="60569DD5">
            <w:pPr>
              <w:pStyle w:val="337"/>
              <w:spacing w:before="120" w:line="220" w:lineRule="auto"/>
              <w:ind w:left="207"/>
              <w:rPr>
                <w:sz w:val="18"/>
                <w:szCs w:val="18"/>
              </w:rPr>
            </w:pPr>
            <w:r>
              <w:rPr>
                <w:spacing w:val="-4"/>
                <w:sz w:val="18"/>
                <w:szCs w:val="18"/>
              </w:rPr>
              <w:t>资产总额(Z)</w:t>
            </w:r>
          </w:p>
        </w:tc>
        <w:tc>
          <w:tcPr>
            <w:tcW w:w="708" w:type="dxa"/>
          </w:tcPr>
          <w:p w14:paraId="2EF95550">
            <w:pPr>
              <w:pStyle w:val="337"/>
              <w:spacing w:before="110" w:line="221" w:lineRule="auto"/>
              <w:ind w:left="191"/>
              <w:rPr>
                <w:sz w:val="18"/>
                <w:szCs w:val="18"/>
              </w:rPr>
            </w:pPr>
            <w:r>
              <w:rPr>
                <w:spacing w:val="-6"/>
                <w:sz w:val="18"/>
                <w:szCs w:val="18"/>
              </w:rPr>
              <w:t>万元</w:t>
            </w:r>
          </w:p>
        </w:tc>
        <w:tc>
          <w:tcPr>
            <w:tcW w:w="1124" w:type="dxa"/>
          </w:tcPr>
          <w:p w14:paraId="17ABD7CA">
            <w:pPr>
              <w:pStyle w:val="337"/>
              <w:spacing w:before="125" w:line="238" w:lineRule="auto"/>
              <w:ind w:left="210"/>
              <w:rPr>
                <w:sz w:val="18"/>
                <w:szCs w:val="18"/>
              </w:rPr>
            </w:pPr>
            <w:r>
              <w:rPr>
                <w:spacing w:val="-2"/>
                <w:sz w:val="18"/>
                <w:szCs w:val="18"/>
              </w:rPr>
              <w:t>Z≥80000</w:t>
            </w:r>
          </w:p>
        </w:tc>
        <w:tc>
          <w:tcPr>
            <w:tcW w:w="1700" w:type="dxa"/>
          </w:tcPr>
          <w:p w14:paraId="2C2142CA">
            <w:pPr>
              <w:pStyle w:val="337"/>
              <w:spacing w:before="124" w:line="237" w:lineRule="auto"/>
              <w:ind w:left="240"/>
              <w:rPr>
                <w:sz w:val="18"/>
                <w:szCs w:val="18"/>
              </w:rPr>
            </w:pPr>
            <w:r>
              <w:rPr>
                <w:spacing w:val="-2"/>
                <w:sz w:val="18"/>
                <w:szCs w:val="18"/>
              </w:rPr>
              <w:t>5000≤Z＜80000</w:t>
            </w:r>
          </w:p>
        </w:tc>
        <w:tc>
          <w:tcPr>
            <w:tcW w:w="1424" w:type="dxa"/>
          </w:tcPr>
          <w:p w14:paraId="46F84A88">
            <w:pPr>
              <w:pStyle w:val="337"/>
              <w:spacing w:before="124" w:line="237" w:lineRule="auto"/>
              <w:ind w:left="239"/>
              <w:rPr>
                <w:sz w:val="18"/>
                <w:szCs w:val="18"/>
              </w:rPr>
            </w:pPr>
            <w:r>
              <w:rPr>
                <w:spacing w:val="-2"/>
                <w:sz w:val="18"/>
                <w:szCs w:val="18"/>
              </w:rPr>
              <w:t>300≤Z＜5000</w:t>
            </w:r>
          </w:p>
        </w:tc>
        <w:tc>
          <w:tcPr>
            <w:tcW w:w="997" w:type="dxa"/>
          </w:tcPr>
          <w:p w14:paraId="26730E79">
            <w:pPr>
              <w:pStyle w:val="337"/>
              <w:spacing w:before="125"/>
              <w:ind w:left="239"/>
              <w:rPr>
                <w:sz w:val="18"/>
                <w:szCs w:val="18"/>
              </w:rPr>
            </w:pPr>
            <w:r>
              <w:rPr>
                <w:spacing w:val="-2"/>
                <w:sz w:val="18"/>
                <w:szCs w:val="18"/>
              </w:rPr>
              <w:t>Z＜300</w:t>
            </w:r>
          </w:p>
        </w:tc>
      </w:tr>
      <w:tr w14:paraId="3650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0" w:type="dxa"/>
            <w:vMerge w:val="restart"/>
            <w:tcBorders>
              <w:bottom w:val="nil"/>
            </w:tcBorders>
          </w:tcPr>
          <w:p w14:paraId="7B9EB7F9">
            <w:pPr>
              <w:spacing w:line="259" w:lineRule="auto"/>
              <w:rPr>
                <w:rFonts w:ascii="Arial"/>
              </w:rPr>
            </w:pPr>
          </w:p>
          <w:p w14:paraId="30310E26">
            <w:pPr>
              <w:pStyle w:val="337"/>
              <w:spacing w:before="58" w:line="221" w:lineRule="auto"/>
              <w:ind w:left="120"/>
              <w:rPr>
                <w:sz w:val="18"/>
                <w:szCs w:val="18"/>
              </w:rPr>
            </w:pPr>
            <w:r>
              <w:rPr>
                <w:spacing w:val="-3"/>
                <w:sz w:val="18"/>
                <w:szCs w:val="18"/>
              </w:rPr>
              <w:t>批发业</w:t>
            </w:r>
          </w:p>
        </w:tc>
        <w:tc>
          <w:tcPr>
            <w:tcW w:w="1366" w:type="dxa"/>
          </w:tcPr>
          <w:p w14:paraId="0F45CB97">
            <w:pPr>
              <w:pStyle w:val="337"/>
              <w:spacing w:before="112" w:line="221" w:lineRule="auto"/>
              <w:ind w:left="196"/>
              <w:rPr>
                <w:sz w:val="18"/>
                <w:szCs w:val="18"/>
              </w:rPr>
            </w:pPr>
            <w:r>
              <w:rPr>
                <w:spacing w:val="-10"/>
                <w:sz w:val="18"/>
                <w:szCs w:val="18"/>
              </w:rPr>
              <w:t>从业人员(X)</w:t>
            </w:r>
          </w:p>
        </w:tc>
        <w:tc>
          <w:tcPr>
            <w:tcW w:w="708" w:type="dxa"/>
          </w:tcPr>
          <w:p w14:paraId="29B27601">
            <w:pPr>
              <w:pStyle w:val="337"/>
              <w:spacing w:before="115" w:line="223" w:lineRule="auto"/>
              <w:ind w:left="277"/>
              <w:rPr>
                <w:sz w:val="18"/>
                <w:szCs w:val="18"/>
              </w:rPr>
            </w:pPr>
            <w:r>
              <w:rPr>
                <w:sz w:val="18"/>
                <w:szCs w:val="18"/>
              </w:rPr>
              <w:t>人</w:t>
            </w:r>
          </w:p>
        </w:tc>
        <w:tc>
          <w:tcPr>
            <w:tcW w:w="1124" w:type="dxa"/>
          </w:tcPr>
          <w:p w14:paraId="188CB92C">
            <w:pPr>
              <w:pStyle w:val="337"/>
              <w:spacing w:before="127" w:line="238" w:lineRule="auto"/>
              <w:ind w:left="297"/>
              <w:rPr>
                <w:sz w:val="18"/>
                <w:szCs w:val="18"/>
              </w:rPr>
            </w:pPr>
            <w:r>
              <w:rPr>
                <w:spacing w:val="-2"/>
                <w:sz w:val="18"/>
                <w:szCs w:val="18"/>
              </w:rPr>
              <w:t>X≥200</w:t>
            </w:r>
          </w:p>
        </w:tc>
        <w:tc>
          <w:tcPr>
            <w:tcW w:w="1700" w:type="dxa"/>
          </w:tcPr>
          <w:p w14:paraId="3C024FA2">
            <w:pPr>
              <w:pStyle w:val="337"/>
              <w:spacing w:before="127" w:line="237" w:lineRule="auto"/>
              <w:ind w:left="416"/>
              <w:rPr>
                <w:sz w:val="18"/>
                <w:szCs w:val="18"/>
              </w:rPr>
            </w:pPr>
            <w:r>
              <w:rPr>
                <w:spacing w:val="-2"/>
                <w:sz w:val="18"/>
                <w:szCs w:val="18"/>
              </w:rPr>
              <w:t>20≤X＜200</w:t>
            </w:r>
          </w:p>
        </w:tc>
        <w:tc>
          <w:tcPr>
            <w:tcW w:w="1424" w:type="dxa"/>
          </w:tcPr>
          <w:p w14:paraId="6B6256C5">
            <w:pPr>
              <w:pStyle w:val="337"/>
              <w:spacing w:before="127" w:line="237" w:lineRule="auto"/>
              <w:ind w:left="419"/>
              <w:rPr>
                <w:sz w:val="18"/>
                <w:szCs w:val="18"/>
              </w:rPr>
            </w:pPr>
            <w:r>
              <w:rPr>
                <w:spacing w:val="-4"/>
                <w:sz w:val="18"/>
                <w:szCs w:val="18"/>
              </w:rPr>
              <w:t>5≤X＜20</w:t>
            </w:r>
          </w:p>
        </w:tc>
        <w:tc>
          <w:tcPr>
            <w:tcW w:w="997" w:type="dxa"/>
          </w:tcPr>
          <w:p w14:paraId="62BA2436">
            <w:pPr>
              <w:pStyle w:val="337"/>
              <w:spacing w:before="130"/>
              <w:ind w:left="326"/>
              <w:rPr>
                <w:sz w:val="18"/>
                <w:szCs w:val="18"/>
              </w:rPr>
            </w:pPr>
            <w:r>
              <w:rPr>
                <w:spacing w:val="-3"/>
                <w:sz w:val="18"/>
                <w:szCs w:val="18"/>
              </w:rPr>
              <w:t>X＜5</w:t>
            </w:r>
          </w:p>
        </w:tc>
      </w:tr>
      <w:tr w14:paraId="3B59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2861D786">
            <w:pPr>
              <w:rPr>
                <w:rFonts w:ascii="Arial"/>
              </w:rPr>
            </w:pPr>
          </w:p>
        </w:tc>
        <w:tc>
          <w:tcPr>
            <w:tcW w:w="1366" w:type="dxa"/>
          </w:tcPr>
          <w:p w14:paraId="76E9902D">
            <w:pPr>
              <w:pStyle w:val="337"/>
              <w:spacing w:before="120" w:line="220" w:lineRule="auto"/>
              <w:ind w:left="202"/>
              <w:rPr>
                <w:sz w:val="18"/>
                <w:szCs w:val="18"/>
              </w:rPr>
            </w:pPr>
            <w:r>
              <w:rPr>
                <w:spacing w:val="-4"/>
                <w:sz w:val="18"/>
                <w:szCs w:val="18"/>
              </w:rPr>
              <w:t>营业收入(Y)</w:t>
            </w:r>
          </w:p>
        </w:tc>
        <w:tc>
          <w:tcPr>
            <w:tcW w:w="708" w:type="dxa"/>
          </w:tcPr>
          <w:p w14:paraId="3E3E7575">
            <w:pPr>
              <w:pStyle w:val="337"/>
              <w:spacing w:before="110" w:line="221" w:lineRule="auto"/>
              <w:ind w:left="191"/>
              <w:rPr>
                <w:sz w:val="18"/>
                <w:szCs w:val="18"/>
              </w:rPr>
            </w:pPr>
            <w:r>
              <w:rPr>
                <w:spacing w:val="-6"/>
                <w:sz w:val="18"/>
                <w:szCs w:val="18"/>
              </w:rPr>
              <w:t>万元</w:t>
            </w:r>
          </w:p>
        </w:tc>
        <w:tc>
          <w:tcPr>
            <w:tcW w:w="1124" w:type="dxa"/>
          </w:tcPr>
          <w:p w14:paraId="1F7EC4D1">
            <w:pPr>
              <w:pStyle w:val="337"/>
              <w:spacing w:before="125" w:line="238" w:lineRule="auto"/>
              <w:ind w:left="205"/>
              <w:rPr>
                <w:sz w:val="18"/>
                <w:szCs w:val="18"/>
              </w:rPr>
            </w:pPr>
            <w:r>
              <w:rPr>
                <w:spacing w:val="-2"/>
                <w:sz w:val="18"/>
                <w:szCs w:val="18"/>
              </w:rPr>
              <w:t>Y≥40000</w:t>
            </w:r>
          </w:p>
        </w:tc>
        <w:tc>
          <w:tcPr>
            <w:tcW w:w="1700" w:type="dxa"/>
          </w:tcPr>
          <w:p w14:paraId="3FEE7903">
            <w:pPr>
              <w:pStyle w:val="337"/>
              <w:spacing w:before="125" w:line="237" w:lineRule="auto"/>
              <w:ind w:left="240"/>
              <w:rPr>
                <w:sz w:val="18"/>
                <w:szCs w:val="18"/>
              </w:rPr>
            </w:pPr>
            <w:r>
              <w:rPr>
                <w:spacing w:val="-2"/>
                <w:sz w:val="18"/>
                <w:szCs w:val="18"/>
              </w:rPr>
              <w:t>5000≤Y＜40000</w:t>
            </w:r>
          </w:p>
        </w:tc>
        <w:tc>
          <w:tcPr>
            <w:tcW w:w="1424" w:type="dxa"/>
          </w:tcPr>
          <w:p w14:paraId="5572F39B">
            <w:pPr>
              <w:pStyle w:val="337"/>
              <w:spacing w:before="125" w:line="237" w:lineRule="auto"/>
              <w:ind w:left="165"/>
              <w:rPr>
                <w:sz w:val="18"/>
                <w:szCs w:val="18"/>
              </w:rPr>
            </w:pPr>
            <w:r>
              <w:rPr>
                <w:spacing w:val="-4"/>
                <w:sz w:val="18"/>
                <w:szCs w:val="18"/>
              </w:rPr>
              <w:t>1000≤Y＜5000</w:t>
            </w:r>
          </w:p>
        </w:tc>
        <w:tc>
          <w:tcPr>
            <w:tcW w:w="997" w:type="dxa"/>
          </w:tcPr>
          <w:p w14:paraId="7CE09F28">
            <w:pPr>
              <w:pStyle w:val="337"/>
              <w:spacing w:before="128"/>
              <w:ind w:left="191"/>
              <w:rPr>
                <w:sz w:val="18"/>
                <w:szCs w:val="18"/>
              </w:rPr>
            </w:pPr>
            <w:r>
              <w:rPr>
                <w:spacing w:val="-2"/>
                <w:sz w:val="18"/>
                <w:szCs w:val="18"/>
              </w:rPr>
              <w:t>Y＜1000</w:t>
            </w:r>
          </w:p>
        </w:tc>
      </w:tr>
      <w:tr w14:paraId="79B9B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20" w:type="dxa"/>
            <w:vMerge w:val="restart"/>
            <w:tcBorders>
              <w:bottom w:val="nil"/>
            </w:tcBorders>
          </w:tcPr>
          <w:p w14:paraId="7D1A49F8">
            <w:pPr>
              <w:spacing w:line="259" w:lineRule="auto"/>
              <w:rPr>
                <w:rFonts w:ascii="Arial"/>
              </w:rPr>
            </w:pPr>
          </w:p>
          <w:p w14:paraId="2336FE09">
            <w:pPr>
              <w:pStyle w:val="337"/>
              <w:spacing w:before="59" w:line="220" w:lineRule="auto"/>
              <w:ind w:left="121"/>
              <w:rPr>
                <w:sz w:val="18"/>
                <w:szCs w:val="18"/>
              </w:rPr>
            </w:pPr>
            <w:r>
              <w:rPr>
                <w:spacing w:val="-4"/>
                <w:sz w:val="18"/>
                <w:szCs w:val="18"/>
              </w:rPr>
              <w:t>零售业</w:t>
            </w:r>
          </w:p>
        </w:tc>
        <w:tc>
          <w:tcPr>
            <w:tcW w:w="1366" w:type="dxa"/>
          </w:tcPr>
          <w:p w14:paraId="00EED05E">
            <w:pPr>
              <w:pStyle w:val="337"/>
              <w:spacing w:before="110" w:line="221" w:lineRule="auto"/>
              <w:ind w:left="196"/>
              <w:rPr>
                <w:sz w:val="18"/>
                <w:szCs w:val="18"/>
              </w:rPr>
            </w:pPr>
            <w:r>
              <w:rPr>
                <w:spacing w:val="-10"/>
                <w:sz w:val="18"/>
                <w:szCs w:val="18"/>
              </w:rPr>
              <w:t>从业人员(X)</w:t>
            </w:r>
          </w:p>
        </w:tc>
        <w:tc>
          <w:tcPr>
            <w:tcW w:w="708" w:type="dxa"/>
          </w:tcPr>
          <w:p w14:paraId="7C49C7F7">
            <w:pPr>
              <w:pStyle w:val="337"/>
              <w:spacing w:before="113" w:line="223" w:lineRule="auto"/>
              <w:ind w:left="277"/>
              <w:rPr>
                <w:sz w:val="18"/>
                <w:szCs w:val="18"/>
              </w:rPr>
            </w:pPr>
            <w:r>
              <w:rPr>
                <w:sz w:val="18"/>
                <w:szCs w:val="18"/>
              </w:rPr>
              <w:t>人</w:t>
            </w:r>
          </w:p>
        </w:tc>
        <w:tc>
          <w:tcPr>
            <w:tcW w:w="1124" w:type="dxa"/>
          </w:tcPr>
          <w:p w14:paraId="7D7BB14D">
            <w:pPr>
              <w:pStyle w:val="337"/>
              <w:spacing w:before="125" w:line="238" w:lineRule="auto"/>
              <w:ind w:left="297"/>
              <w:rPr>
                <w:sz w:val="18"/>
                <w:szCs w:val="18"/>
              </w:rPr>
            </w:pPr>
            <w:r>
              <w:rPr>
                <w:spacing w:val="-2"/>
                <w:sz w:val="18"/>
                <w:szCs w:val="18"/>
              </w:rPr>
              <w:t>X≥300</w:t>
            </w:r>
          </w:p>
        </w:tc>
        <w:tc>
          <w:tcPr>
            <w:tcW w:w="1700" w:type="dxa"/>
          </w:tcPr>
          <w:p w14:paraId="5898F328">
            <w:pPr>
              <w:pStyle w:val="337"/>
              <w:spacing w:before="125" w:line="237" w:lineRule="auto"/>
              <w:ind w:left="420"/>
              <w:rPr>
                <w:sz w:val="18"/>
                <w:szCs w:val="18"/>
              </w:rPr>
            </w:pPr>
            <w:r>
              <w:rPr>
                <w:spacing w:val="-2"/>
                <w:sz w:val="18"/>
                <w:szCs w:val="18"/>
              </w:rPr>
              <w:t>50≤X＜300</w:t>
            </w:r>
          </w:p>
        </w:tc>
        <w:tc>
          <w:tcPr>
            <w:tcW w:w="1424" w:type="dxa"/>
          </w:tcPr>
          <w:p w14:paraId="00A255B5">
            <w:pPr>
              <w:pStyle w:val="337"/>
              <w:spacing w:before="125" w:line="237" w:lineRule="auto"/>
              <w:ind w:left="345"/>
              <w:rPr>
                <w:sz w:val="18"/>
                <w:szCs w:val="18"/>
              </w:rPr>
            </w:pPr>
            <w:r>
              <w:rPr>
                <w:spacing w:val="-6"/>
                <w:sz w:val="18"/>
                <w:szCs w:val="18"/>
              </w:rPr>
              <w:t>10≤X＜50</w:t>
            </w:r>
          </w:p>
        </w:tc>
        <w:tc>
          <w:tcPr>
            <w:tcW w:w="997" w:type="dxa"/>
          </w:tcPr>
          <w:p w14:paraId="027A3078">
            <w:pPr>
              <w:pStyle w:val="337"/>
              <w:spacing w:before="128"/>
              <w:ind w:left="281"/>
              <w:rPr>
                <w:sz w:val="18"/>
                <w:szCs w:val="18"/>
              </w:rPr>
            </w:pPr>
            <w:r>
              <w:rPr>
                <w:spacing w:val="-2"/>
                <w:sz w:val="18"/>
                <w:szCs w:val="18"/>
              </w:rPr>
              <w:t>X＜10</w:t>
            </w:r>
          </w:p>
        </w:tc>
      </w:tr>
      <w:tr w14:paraId="087F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16D182B5">
            <w:pPr>
              <w:rPr>
                <w:rFonts w:ascii="Arial"/>
              </w:rPr>
            </w:pPr>
          </w:p>
        </w:tc>
        <w:tc>
          <w:tcPr>
            <w:tcW w:w="1366" w:type="dxa"/>
          </w:tcPr>
          <w:p w14:paraId="14C97D0A">
            <w:pPr>
              <w:pStyle w:val="337"/>
              <w:spacing w:before="122" w:line="220" w:lineRule="auto"/>
              <w:ind w:left="202"/>
              <w:rPr>
                <w:sz w:val="18"/>
                <w:szCs w:val="18"/>
              </w:rPr>
            </w:pPr>
            <w:r>
              <w:rPr>
                <w:spacing w:val="-4"/>
                <w:sz w:val="18"/>
                <w:szCs w:val="18"/>
              </w:rPr>
              <w:t>营业收入(Y)</w:t>
            </w:r>
          </w:p>
        </w:tc>
        <w:tc>
          <w:tcPr>
            <w:tcW w:w="708" w:type="dxa"/>
          </w:tcPr>
          <w:p w14:paraId="42FB6488">
            <w:pPr>
              <w:pStyle w:val="337"/>
              <w:spacing w:before="112" w:line="221" w:lineRule="auto"/>
              <w:ind w:left="191"/>
              <w:rPr>
                <w:sz w:val="18"/>
                <w:szCs w:val="18"/>
              </w:rPr>
            </w:pPr>
            <w:r>
              <w:rPr>
                <w:spacing w:val="-6"/>
                <w:sz w:val="18"/>
                <w:szCs w:val="18"/>
              </w:rPr>
              <w:t>万元</w:t>
            </w:r>
          </w:p>
        </w:tc>
        <w:tc>
          <w:tcPr>
            <w:tcW w:w="1124" w:type="dxa"/>
          </w:tcPr>
          <w:p w14:paraId="64B2593F">
            <w:pPr>
              <w:pStyle w:val="337"/>
              <w:spacing w:before="127" w:line="238" w:lineRule="auto"/>
              <w:ind w:left="205"/>
              <w:rPr>
                <w:sz w:val="18"/>
                <w:szCs w:val="18"/>
              </w:rPr>
            </w:pPr>
            <w:r>
              <w:rPr>
                <w:spacing w:val="-2"/>
                <w:sz w:val="18"/>
                <w:szCs w:val="18"/>
              </w:rPr>
              <w:t>Y≥20000</w:t>
            </w:r>
          </w:p>
        </w:tc>
        <w:tc>
          <w:tcPr>
            <w:tcW w:w="1700" w:type="dxa"/>
          </w:tcPr>
          <w:p w14:paraId="6919B5A6">
            <w:pPr>
              <w:pStyle w:val="337"/>
              <w:spacing w:before="126" w:line="237" w:lineRule="auto"/>
              <w:ind w:left="331"/>
              <w:rPr>
                <w:sz w:val="18"/>
                <w:szCs w:val="18"/>
              </w:rPr>
            </w:pPr>
            <w:r>
              <w:rPr>
                <w:spacing w:val="-2"/>
                <w:sz w:val="18"/>
                <w:szCs w:val="18"/>
              </w:rPr>
              <w:t>500≤Y＜20000</w:t>
            </w:r>
          </w:p>
        </w:tc>
        <w:tc>
          <w:tcPr>
            <w:tcW w:w="1424" w:type="dxa"/>
          </w:tcPr>
          <w:p w14:paraId="7218C847">
            <w:pPr>
              <w:pStyle w:val="337"/>
              <w:spacing w:before="126" w:line="237" w:lineRule="auto"/>
              <w:ind w:left="256"/>
              <w:rPr>
                <w:sz w:val="18"/>
                <w:szCs w:val="18"/>
              </w:rPr>
            </w:pPr>
            <w:r>
              <w:rPr>
                <w:spacing w:val="-5"/>
                <w:sz w:val="18"/>
                <w:szCs w:val="18"/>
              </w:rPr>
              <w:t>100≤Y＜500</w:t>
            </w:r>
          </w:p>
        </w:tc>
        <w:tc>
          <w:tcPr>
            <w:tcW w:w="997" w:type="dxa"/>
          </w:tcPr>
          <w:p w14:paraId="24742C1F">
            <w:pPr>
              <w:pStyle w:val="337"/>
              <w:spacing w:before="129"/>
              <w:ind w:left="234"/>
              <w:rPr>
                <w:sz w:val="18"/>
                <w:szCs w:val="18"/>
              </w:rPr>
            </w:pPr>
            <w:r>
              <w:rPr>
                <w:spacing w:val="-1"/>
                <w:sz w:val="18"/>
                <w:szCs w:val="18"/>
              </w:rPr>
              <w:t>Y＜100</w:t>
            </w:r>
          </w:p>
        </w:tc>
      </w:tr>
      <w:tr w14:paraId="4217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0" w:type="dxa"/>
            <w:vMerge w:val="restart"/>
            <w:tcBorders>
              <w:bottom w:val="nil"/>
            </w:tcBorders>
          </w:tcPr>
          <w:p w14:paraId="27DCA6FF">
            <w:pPr>
              <w:spacing w:line="261" w:lineRule="auto"/>
              <w:rPr>
                <w:rFonts w:ascii="Arial"/>
              </w:rPr>
            </w:pPr>
          </w:p>
          <w:p w14:paraId="7025232C">
            <w:pPr>
              <w:pStyle w:val="337"/>
              <w:spacing w:before="58" w:line="220" w:lineRule="auto"/>
              <w:ind w:left="127"/>
              <w:rPr>
                <w:sz w:val="18"/>
                <w:szCs w:val="18"/>
              </w:rPr>
            </w:pPr>
            <w:r>
              <w:rPr>
                <w:spacing w:val="-2"/>
                <w:sz w:val="18"/>
                <w:szCs w:val="18"/>
              </w:rPr>
              <w:t>交通运输业 *</w:t>
            </w:r>
          </w:p>
        </w:tc>
        <w:tc>
          <w:tcPr>
            <w:tcW w:w="1366" w:type="dxa"/>
          </w:tcPr>
          <w:p w14:paraId="62860C03">
            <w:pPr>
              <w:pStyle w:val="337"/>
              <w:spacing w:before="112" w:line="221" w:lineRule="auto"/>
              <w:ind w:left="196"/>
              <w:rPr>
                <w:sz w:val="18"/>
                <w:szCs w:val="18"/>
              </w:rPr>
            </w:pPr>
            <w:r>
              <w:rPr>
                <w:spacing w:val="-10"/>
                <w:sz w:val="18"/>
                <w:szCs w:val="18"/>
              </w:rPr>
              <w:t>从业人员(X)</w:t>
            </w:r>
          </w:p>
        </w:tc>
        <w:tc>
          <w:tcPr>
            <w:tcW w:w="708" w:type="dxa"/>
          </w:tcPr>
          <w:p w14:paraId="60A95C5C">
            <w:pPr>
              <w:pStyle w:val="337"/>
              <w:spacing w:before="114" w:line="223" w:lineRule="auto"/>
              <w:ind w:left="277"/>
              <w:rPr>
                <w:sz w:val="18"/>
                <w:szCs w:val="18"/>
              </w:rPr>
            </w:pPr>
            <w:r>
              <w:rPr>
                <w:sz w:val="18"/>
                <w:szCs w:val="18"/>
              </w:rPr>
              <w:t>人</w:t>
            </w:r>
          </w:p>
        </w:tc>
        <w:tc>
          <w:tcPr>
            <w:tcW w:w="1124" w:type="dxa"/>
          </w:tcPr>
          <w:p w14:paraId="34D445C2">
            <w:pPr>
              <w:pStyle w:val="337"/>
              <w:spacing w:before="127" w:line="238" w:lineRule="auto"/>
              <w:ind w:left="252"/>
              <w:rPr>
                <w:sz w:val="18"/>
                <w:szCs w:val="18"/>
              </w:rPr>
            </w:pPr>
            <w:r>
              <w:rPr>
                <w:spacing w:val="-2"/>
                <w:sz w:val="18"/>
                <w:szCs w:val="18"/>
              </w:rPr>
              <w:t>X≥1000</w:t>
            </w:r>
          </w:p>
        </w:tc>
        <w:tc>
          <w:tcPr>
            <w:tcW w:w="1700" w:type="dxa"/>
          </w:tcPr>
          <w:p w14:paraId="43DAE691">
            <w:pPr>
              <w:pStyle w:val="337"/>
              <w:spacing w:before="126" w:line="237" w:lineRule="auto"/>
              <w:ind w:left="326"/>
              <w:rPr>
                <w:sz w:val="18"/>
                <w:szCs w:val="18"/>
              </w:rPr>
            </w:pPr>
            <w:r>
              <w:rPr>
                <w:spacing w:val="-2"/>
                <w:sz w:val="18"/>
                <w:szCs w:val="18"/>
              </w:rPr>
              <w:t>300≤X＜1000</w:t>
            </w:r>
          </w:p>
        </w:tc>
        <w:tc>
          <w:tcPr>
            <w:tcW w:w="1424" w:type="dxa"/>
          </w:tcPr>
          <w:p w14:paraId="416B4A28">
            <w:pPr>
              <w:pStyle w:val="337"/>
              <w:spacing w:before="126" w:line="237" w:lineRule="auto"/>
              <w:ind w:left="324"/>
              <w:rPr>
                <w:sz w:val="18"/>
                <w:szCs w:val="18"/>
              </w:rPr>
            </w:pPr>
            <w:r>
              <w:rPr>
                <w:spacing w:val="-3"/>
                <w:sz w:val="18"/>
                <w:szCs w:val="18"/>
              </w:rPr>
              <w:t>20≤X＜300</w:t>
            </w:r>
          </w:p>
        </w:tc>
        <w:tc>
          <w:tcPr>
            <w:tcW w:w="997" w:type="dxa"/>
          </w:tcPr>
          <w:p w14:paraId="340ADF8B">
            <w:pPr>
              <w:pStyle w:val="337"/>
              <w:spacing w:before="129"/>
              <w:ind w:left="281"/>
              <w:rPr>
                <w:sz w:val="18"/>
                <w:szCs w:val="18"/>
              </w:rPr>
            </w:pPr>
            <w:r>
              <w:rPr>
                <w:spacing w:val="-2"/>
                <w:sz w:val="18"/>
                <w:szCs w:val="18"/>
              </w:rPr>
              <w:t>X＜20</w:t>
            </w:r>
          </w:p>
        </w:tc>
      </w:tr>
      <w:tr w14:paraId="17F3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36FF23B9">
            <w:pPr>
              <w:rPr>
                <w:rFonts w:ascii="Arial"/>
              </w:rPr>
            </w:pPr>
          </w:p>
        </w:tc>
        <w:tc>
          <w:tcPr>
            <w:tcW w:w="1366" w:type="dxa"/>
          </w:tcPr>
          <w:p w14:paraId="1146455D">
            <w:pPr>
              <w:pStyle w:val="337"/>
              <w:spacing w:before="120" w:line="220" w:lineRule="auto"/>
              <w:ind w:left="202"/>
              <w:rPr>
                <w:sz w:val="18"/>
                <w:szCs w:val="18"/>
              </w:rPr>
            </w:pPr>
            <w:r>
              <w:rPr>
                <w:spacing w:val="-4"/>
                <w:sz w:val="18"/>
                <w:szCs w:val="18"/>
              </w:rPr>
              <w:t>营业收入(Y)</w:t>
            </w:r>
          </w:p>
        </w:tc>
        <w:tc>
          <w:tcPr>
            <w:tcW w:w="708" w:type="dxa"/>
          </w:tcPr>
          <w:p w14:paraId="6CF076D3">
            <w:pPr>
              <w:pStyle w:val="337"/>
              <w:spacing w:before="115" w:line="221" w:lineRule="auto"/>
              <w:ind w:left="191"/>
              <w:rPr>
                <w:sz w:val="18"/>
                <w:szCs w:val="18"/>
              </w:rPr>
            </w:pPr>
            <w:r>
              <w:rPr>
                <w:spacing w:val="-6"/>
                <w:sz w:val="18"/>
                <w:szCs w:val="18"/>
              </w:rPr>
              <w:t>万元</w:t>
            </w:r>
          </w:p>
        </w:tc>
        <w:tc>
          <w:tcPr>
            <w:tcW w:w="1124" w:type="dxa"/>
          </w:tcPr>
          <w:p w14:paraId="1CD51B7C">
            <w:pPr>
              <w:pStyle w:val="337"/>
              <w:spacing w:before="127" w:line="238" w:lineRule="auto"/>
              <w:ind w:left="205"/>
              <w:rPr>
                <w:sz w:val="18"/>
                <w:szCs w:val="18"/>
              </w:rPr>
            </w:pPr>
            <w:r>
              <w:rPr>
                <w:spacing w:val="-2"/>
                <w:sz w:val="18"/>
                <w:szCs w:val="18"/>
              </w:rPr>
              <w:t>Y≥30000</w:t>
            </w:r>
          </w:p>
        </w:tc>
        <w:tc>
          <w:tcPr>
            <w:tcW w:w="1700" w:type="dxa"/>
          </w:tcPr>
          <w:p w14:paraId="1EFCDE95">
            <w:pPr>
              <w:pStyle w:val="337"/>
              <w:spacing w:before="127" w:line="237" w:lineRule="auto"/>
              <w:ind w:left="240"/>
              <w:rPr>
                <w:sz w:val="18"/>
                <w:szCs w:val="18"/>
              </w:rPr>
            </w:pPr>
            <w:r>
              <w:rPr>
                <w:spacing w:val="-2"/>
                <w:sz w:val="18"/>
                <w:szCs w:val="18"/>
              </w:rPr>
              <w:t>3000≤Y＜30000</w:t>
            </w:r>
          </w:p>
        </w:tc>
        <w:tc>
          <w:tcPr>
            <w:tcW w:w="1424" w:type="dxa"/>
          </w:tcPr>
          <w:p w14:paraId="014CCAFE">
            <w:pPr>
              <w:pStyle w:val="337"/>
              <w:spacing w:before="127" w:line="237" w:lineRule="auto"/>
              <w:ind w:left="235"/>
              <w:rPr>
                <w:sz w:val="18"/>
                <w:szCs w:val="18"/>
              </w:rPr>
            </w:pPr>
            <w:r>
              <w:rPr>
                <w:spacing w:val="-2"/>
                <w:sz w:val="18"/>
                <w:szCs w:val="18"/>
              </w:rPr>
              <w:t>200≤Y＜3000</w:t>
            </w:r>
          </w:p>
        </w:tc>
        <w:tc>
          <w:tcPr>
            <w:tcW w:w="997" w:type="dxa"/>
          </w:tcPr>
          <w:p w14:paraId="3649A69C">
            <w:pPr>
              <w:pStyle w:val="337"/>
              <w:spacing w:before="130"/>
              <w:ind w:left="234"/>
              <w:rPr>
                <w:sz w:val="18"/>
                <w:szCs w:val="18"/>
              </w:rPr>
            </w:pPr>
            <w:r>
              <w:rPr>
                <w:spacing w:val="-1"/>
                <w:sz w:val="18"/>
                <w:szCs w:val="18"/>
              </w:rPr>
              <w:t>Y＜200</w:t>
            </w:r>
          </w:p>
        </w:tc>
      </w:tr>
      <w:tr w14:paraId="43C9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restart"/>
            <w:tcBorders>
              <w:bottom w:val="nil"/>
            </w:tcBorders>
          </w:tcPr>
          <w:p w14:paraId="10B48CB4">
            <w:pPr>
              <w:spacing w:line="259" w:lineRule="auto"/>
              <w:rPr>
                <w:rFonts w:ascii="Arial"/>
              </w:rPr>
            </w:pPr>
          </w:p>
          <w:p w14:paraId="067C0047">
            <w:pPr>
              <w:pStyle w:val="337"/>
              <w:spacing w:before="58" w:line="221" w:lineRule="auto"/>
              <w:ind w:left="120"/>
              <w:rPr>
                <w:sz w:val="18"/>
                <w:szCs w:val="18"/>
              </w:rPr>
            </w:pPr>
            <w:r>
              <w:rPr>
                <w:spacing w:val="-3"/>
                <w:sz w:val="18"/>
                <w:szCs w:val="18"/>
              </w:rPr>
              <w:t>仓储业*</w:t>
            </w:r>
          </w:p>
        </w:tc>
        <w:tc>
          <w:tcPr>
            <w:tcW w:w="1366" w:type="dxa"/>
          </w:tcPr>
          <w:p w14:paraId="1DCAD991">
            <w:pPr>
              <w:pStyle w:val="337"/>
              <w:spacing w:before="115" w:line="221" w:lineRule="auto"/>
              <w:ind w:left="196"/>
              <w:rPr>
                <w:sz w:val="18"/>
                <w:szCs w:val="18"/>
              </w:rPr>
            </w:pPr>
            <w:r>
              <w:rPr>
                <w:spacing w:val="-10"/>
                <w:sz w:val="18"/>
                <w:szCs w:val="18"/>
              </w:rPr>
              <w:t>从业人员(X)</w:t>
            </w:r>
          </w:p>
        </w:tc>
        <w:tc>
          <w:tcPr>
            <w:tcW w:w="708" w:type="dxa"/>
          </w:tcPr>
          <w:p w14:paraId="43E82FEB">
            <w:pPr>
              <w:pStyle w:val="337"/>
              <w:spacing w:before="115" w:line="223" w:lineRule="auto"/>
              <w:ind w:left="277"/>
              <w:rPr>
                <w:sz w:val="18"/>
                <w:szCs w:val="18"/>
              </w:rPr>
            </w:pPr>
            <w:r>
              <w:rPr>
                <w:sz w:val="18"/>
                <w:szCs w:val="18"/>
              </w:rPr>
              <w:t>人</w:t>
            </w:r>
          </w:p>
        </w:tc>
        <w:tc>
          <w:tcPr>
            <w:tcW w:w="1124" w:type="dxa"/>
          </w:tcPr>
          <w:p w14:paraId="0C6E0DEB">
            <w:pPr>
              <w:pStyle w:val="337"/>
              <w:spacing w:before="127" w:line="238" w:lineRule="auto"/>
              <w:ind w:left="297"/>
              <w:rPr>
                <w:sz w:val="18"/>
                <w:szCs w:val="18"/>
              </w:rPr>
            </w:pPr>
            <w:r>
              <w:rPr>
                <w:spacing w:val="-2"/>
                <w:sz w:val="18"/>
                <w:szCs w:val="18"/>
              </w:rPr>
              <w:t>X≥200</w:t>
            </w:r>
          </w:p>
        </w:tc>
        <w:tc>
          <w:tcPr>
            <w:tcW w:w="1700" w:type="dxa"/>
          </w:tcPr>
          <w:p w14:paraId="447CA2B0">
            <w:pPr>
              <w:pStyle w:val="337"/>
              <w:spacing w:before="127" w:line="237" w:lineRule="auto"/>
              <w:ind w:left="338"/>
              <w:rPr>
                <w:sz w:val="18"/>
                <w:szCs w:val="18"/>
              </w:rPr>
            </w:pPr>
            <w:r>
              <w:rPr>
                <w:spacing w:val="-4"/>
                <w:sz w:val="18"/>
                <w:szCs w:val="18"/>
              </w:rPr>
              <w:t>100≤X＜200</w:t>
            </w:r>
          </w:p>
        </w:tc>
        <w:tc>
          <w:tcPr>
            <w:tcW w:w="1424" w:type="dxa"/>
          </w:tcPr>
          <w:p w14:paraId="4DAD67CE">
            <w:pPr>
              <w:pStyle w:val="337"/>
              <w:spacing w:before="127" w:line="237" w:lineRule="auto"/>
              <w:ind w:left="324"/>
              <w:rPr>
                <w:sz w:val="18"/>
                <w:szCs w:val="18"/>
              </w:rPr>
            </w:pPr>
            <w:r>
              <w:rPr>
                <w:spacing w:val="-3"/>
                <w:sz w:val="18"/>
                <w:szCs w:val="18"/>
              </w:rPr>
              <w:t>20≤X＜100</w:t>
            </w:r>
          </w:p>
        </w:tc>
        <w:tc>
          <w:tcPr>
            <w:tcW w:w="997" w:type="dxa"/>
          </w:tcPr>
          <w:p w14:paraId="5A07DCFE">
            <w:pPr>
              <w:pStyle w:val="337"/>
              <w:spacing w:before="130"/>
              <w:ind w:left="281"/>
              <w:rPr>
                <w:sz w:val="18"/>
                <w:szCs w:val="18"/>
              </w:rPr>
            </w:pPr>
            <w:r>
              <w:rPr>
                <w:spacing w:val="-2"/>
                <w:sz w:val="18"/>
                <w:szCs w:val="18"/>
              </w:rPr>
              <w:t>X＜20</w:t>
            </w:r>
          </w:p>
        </w:tc>
      </w:tr>
      <w:tr w14:paraId="62FF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0" w:type="dxa"/>
            <w:vMerge w:val="continue"/>
            <w:tcBorders>
              <w:top w:val="nil"/>
            </w:tcBorders>
          </w:tcPr>
          <w:p w14:paraId="26C97AE5">
            <w:pPr>
              <w:rPr>
                <w:rFonts w:ascii="Arial"/>
              </w:rPr>
            </w:pPr>
          </w:p>
        </w:tc>
        <w:tc>
          <w:tcPr>
            <w:tcW w:w="1366" w:type="dxa"/>
          </w:tcPr>
          <w:p w14:paraId="2FC93680">
            <w:pPr>
              <w:pStyle w:val="337"/>
              <w:spacing w:before="122" w:line="220" w:lineRule="auto"/>
              <w:ind w:left="202"/>
              <w:rPr>
                <w:sz w:val="18"/>
                <w:szCs w:val="18"/>
              </w:rPr>
            </w:pPr>
            <w:r>
              <w:rPr>
                <w:spacing w:val="-4"/>
                <w:sz w:val="18"/>
                <w:szCs w:val="18"/>
              </w:rPr>
              <w:t>营业收入(Y)</w:t>
            </w:r>
          </w:p>
        </w:tc>
        <w:tc>
          <w:tcPr>
            <w:tcW w:w="708" w:type="dxa"/>
          </w:tcPr>
          <w:p w14:paraId="65B81B56">
            <w:pPr>
              <w:pStyle w:val="337"/>
              <w:spacing w:before="115" w:line="221" w:lineRule="auto"/>
              <w:ind w:left="191"/>
              <w:rPr>
                <w:sz w:val="18"/>
                <w:szCs w:val="18"/>
              </w:rPr>
            </w:pPr>
            <w:r>
              <w:rPr>
                <w:spacing w:val="-6"/>
                <w:sz w:val="18"/>
                <w:szCs w:val="18"/>
              </w:rPr>
              <w:t>万元</w:t>
            </w:r>
          </w:p>
        </w:tc>
        <w:tc>
          <w:tcPr>
            <w:tcW w:w="1124" w:type="dxa"/>
          </w:tcPr>
          <w:p w14:paraId="0F249B2F">
            <w:pPr>
              <w:pStyle w:val="337"/>
              <w:spacing w:before="129" w:line="238" w:lineRule="auto"/>
              <w:ind w:left="205"/>
              <w:rPr>
                <w:sz w:val="18"/>
                <w:szCs w:val="18"/>
              </w:rPr>
            </w:pPr>
            <w:r>
              <w:rPr>
                <w:spacing w:val="-2"/>
                <w:sz w:val="18"/>
                <w:szCs w:val="18"/>
              </w:rPr>
              <w:t>Y≥30000</w:t>
            </w:r>
          </w:p>
        </w:tc>
        <w:tc>
          <w:tcPr>
            <w:tcW w:w="1700" w:type="dxa"/>
          </w:tcPr>
          <w:p w14:paraId="1FE800AE">
            <w:pPr>
              <w:pStyle w:val="337"/>
              <w:spacing w:before="129" w:line="237" w:lineRule="auto"/>
              <w:ind w:left="259"/>
              <w:rPr>
                <w:sz w:val="18"/>
                <w:szCs w:val="18"/>
              </w:rPr>
            </w:pPr>
            <w:r>
              <w:rPr>
                <w:spacing w:val="-4"/>
                <w:sz w:val="18"/>
                <w:szCs w:val="18"/>
              </w:rPr>
              <w:t>1000≤Y＜30000</w:t>
            </w:r>
          </w:p>
        </w:tc>
        <w:tc>
          <w:tcPr>
            <w:tcW w:w="1424" w:type="dxa"/>
          </w:tcPr>
          <w:p w14:paraId="7342E79C">
            <w:pPr>
              <w:pStyle w:val="337"/>
              <w:spacing w:before="129" w:line="237" w:lineRule="auto"/>
              <w:ind w:left="258"/>
              <w:rPr>
                <w:sz w:val="18"/>
                <w:szCs w:val="18"/>
              </w:rPr>
            </w:pPr>
            <w:r>
              <w:rPr>
                <w:spacing w:val="-4"/>
                <w:sz w:val="18"/>
                <w:szCs w:val="18"/>
              </w:rPr>
              <w:t>100≤Y＜1000</w:t>
            </w:r>
          </w:p>
        </w:tc>
        <w:tc>
          <w:tcPr>
            <w:tcW w:w="997" w:type="dxa"/>
          </w:tcPr>
          <w:p w14:paraId="467DE386">
            <w:pPr>
              <w:pStyle w:val="337"/>
              <w:spacing w:before="132"/>
              <w:ind w:left="234"/>
              <w:rPr>
                <w:sz w:val="18"/>
                <w:szCs w:val="18"/>
              </w:rPr>
            </w:pPr>
            <w:r>
              <w:rPr>
                <w:spacing w:val="-1"/>
                <w:sz w:val="18"/>
                <w:szCs w:val="18"/>
              </w:rPr>
              <w:t>Y＜100</w:t>
            </w:r>
          </w:p>
        </w:tc>
      </w:tr>
      <w:tr w14:paraId="1BBB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restart"/>
            <w:tcBorders>
              <w:bottom w:val="nil"/>
            </w:tcBorders>
          </w:tcPr>
          <w:p w14:paraId="1FC5945C">
            <w:pPr>
              <w:spacing w:line="261" w:lineRule="auto"/>
              <w:rPr>
                <w:rFonts w:ascii="Arial"/>
              </w:rPr>
            </w:pPr>
          </w:p>
          <w:p w14:paraId="39861C8F">
            <w:pPr>
              <w:pStyle w:val="337"/>
              <w:spacing w:before="59" w:line="222" w:lineRule="auto"/>
              <w:ind w:left="146"/>
              <w:rPr>
                <w:sz w:val="18"/>
                <w:szCs w:val="18"/>
              </w:rPr>
            </w:pPr>
            <w:r>
              <w:rPr>
                <w:spacing w:val="-9"/>
                <w:sz w:val="18"/>
                <w:szCs w:val="18"/>
              </w:rPr>
              <w:t>邮政业</w:t>
            </w:r>
          </w:p>
        </w:tc>
        <w:tc>
          <w:tcPr>
            <w:tcW w:w="1366" w:type="dxa"/>
          </w:tcPr>
          <w:p w14:paraId="6B8486A8">
            <w:pPr>
              <w:pStyle w:val="337"/>
              <w:spacing w:before="113" w:line="221" w:lineRule="auto"/>
              <w:ind w:left="196"/>
              <w:rPr>
                <w:sz w:val="18"/>
                <w:szCs w:val="18"/>
              </w:rPr>
            </w:pPr>
            <w:r>
              <w:rPr>
                <w:spacing w:val="-10"/>
                <w:sz w:val="18"/>
                <w:szCs w:val="18"/>
              </w:rPr>
              <w:t>从业人员(X)</w:t>
            </w:r>
          </w:p>
        </w:tc>
        <w:tc>
          <w:tcPr>
            <w:tcW w:w="708" w:type="dxa"/>
          </w:tcPr>
          <w:p w14:paraId="74B71457">
            <w:pPr>
              <w:pStyle w:val="337"/>
              <w:spacing w:before="115" w:line="223" w:lineRule="auto"/>
              <w:ind w:left="277"/>
              <w:rPr>
                <w:sz w:val="18"/>
                <w:szCs w:val="18"/>
              </w:rPr>
            </w:pPr>
            <w:r>
              <w:rPr>
                <w:sz w:val="18"/>
                <w:szCs w:val="18"/>
              </w:rPr>
              <w:t>人</w:t>
            </w:r>
          </w:p>
        </w:tc>
        <w:tc>
          <w:tcPr>
            <w:tcW w:w="1124" w:type="dxa"/>
          </w:tcPr>
          <w:p w14:paraId="117E3FCE">
            <w:pPr>
              <w:pStyle w:val="337"/>
              <w:spacing w:before="127" w:line="238" w:lineRule="auto"/>
              <w:ind w:left="252"/>
              <w:rPr>
                <w:sz w:val="18"/>
                <w:szCs w:val="18"/>
              </w:rPr>
            </w:pPr>
            <w:r>
              <w:rPr>
                <w:spacing w:val="-2"/>
                <w:sz w:val="18"/>
                <w:szCs w:val="18"/>
              </w:rPr>
              <w:t>X≥1000</w:t>
            </w:r>
          </w:p>
        </w:tc>
        <w:tc>
          <w:tcPr>
            <w:tcW w:w="1700" w:type="dxa"/>
          </w:tcPr>
          <w:p w14:paraId="51A7BFBE">
            <w:pPr>
              <w:pStyle w:val="337"/>
              <w:spacing w:before="127" w:line="237" w:lineRule="auto"/>
              <w:ind w:left="326"/>
              <w:rPr>
                <w:sz w:val="18"/>
                <w:szCs w:val="18"/>
              </w:rPr>
            </w:pPr>
            <w:r>
              <w:rPr>
                <w:spacing w:val="-2"/>
                <w:sz w:val="18"/>
                <w:szCs w:val="18"/>
              </w:rPr>
              <w:t>300≤X＜1000</w:t>
            </w:r>
          </w:p>
        </w:tc>
        <w:tc>
          <w:tcPr>
            <w:tcW w:w="1424" w:type="dxa"/>
          </w:tcPr>
          <w:p w14:paraId="422746DA">
            <w:pPr>
              <w:pStyle w:val="337"/>
              <w:spacing w:before="127" w:line="237" w:lineRule="auto"/>
              <w:ind w:left="324"/>
              <w:rPr>
                <w:sz w:val="18"/>
                <w:szCs w:val="18"/>
              </w:rPr>
            </w:pPr>
            <w:r>
              <w:rPr>
                <w:spacing w:val="-3"/>
                <w:sz w:val="18"/>
                <w:szCs w:val="18"/>
              </w:rPr>
              <w:t>20≤X＜300</w:t>
            </w:r>
          </w:p>
        </w:tc>
        <w:tc>
          <w:tcPr>
            <w:tcW w:w="997" w:type="dxa"/>
          </w:tcPr>
          <w:p w14:paraId="625B9F67">
            <w:pPr>
              <w:pStyle w:val="337"/>
              <w:spacing w:before="130"/>
              <w:ind w:left="281"/>
              <w:rPr>
                <w:sz w:val="18"/>
                <w:szCs w:val="18"/>
              </w:rPr>
            </w:pPr>
            <w:r>
              <w:rPr>
                <w:spacing w:val="-2"/>
                <w:sz w:val="18"/>
                <w:szCs w:val="18"/>
              </w:rPr>
              <w:t>X＜20</w:t>
            </w:r>
          </w:p>
        </w:tc>
      </w:tr>
      <w:tr w14:paraId="0B5EA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20" w:type="dxa"/>
            <w:vMerge w:val="continue"/>
            <w:tcBorders>
              <w:top w:val="nil"/>
            </w:tcBorders>
          </w:tcPr>
          <w:p w14:paraId="42D23C3D">
            <w:pPr>
              <w:rPr>
                <w:rFonts w:ascii="Arial"/>
              </w:rPr>
            </w:pPr>
          </w:p>
        </w:tc>
        <w:tc>
          <w:tcPr>
            <w:tcW w:w="1366" w:type="dxa"/>
          </w:tcPr>
          <w:p w14:paraId="7754785E">
            <w:pPr>
              <w:pStyle w:val="337"/>
              <w:spacing w:before="123" w:line="220" w:lineRule="auto"/>
              <w:ind w:left="202"/>
              <w:rPr>
                <w:sz w:val="18"/>
                <w:szCs w:val="18"/>
              </w:rPr>
            </w:pPr>
            <w:r>
              <w:rPr>
                <w:spacing w:val="-4"/>
                <w:sz w:val="18"/>
                <w:szCs w:val="18"/>
              </w:rPr>
              <w:t>营业收入(Y)</w:t>
            </w:r>
          </w:p>
        </w:tc>
        <w:tc>
          <w:tcPr>
            <w:tcW w:w="708" w:type="dxa"/>
          </w:tcPr>
          <w:p w14:paraId="03092069">
            <w:pPr>
              <w:pStyle w:val="337"/>
              <w:spacing w:before="115" w:line="221" w:lineRule="auto"/>
              <w:ind w:left="191"/>
              <w:rPr>
                <w:sz w:val="18"/>
                <w:szCs w:val="18"/>
              </w:rPr>
            </w:pPr>
            <w:r>
              <w:rPr>
                <w:spacing w:val="-6"/>
                <w:sz w:val="18"/>
                <w:szCs w:val="18"/>
              </w:rPr>
              <w:t>万元</w:t>
            </w:r>
          </w:p>
        </w:tc>
        <w:tc>
          <w:tcPr>
            <w:tcW w:w="1124" w:type="dxa"/>
          </w:tcPr>
          <w:p w14:paraId="21610113">
            <w:pPr>
              <w:pStyle w:val="337"/>
              <w:spacing w:before="127" w:line="238" w:lineRule="auto"/>
              <w:ind w:left="205"/>
              <w:rPr>
                <w:sz w:val="18"/>
                <w:szCs w:val="18"/>
              </w:rPr>
            </w:pPr>
            <w:r>
              <w:rPr>
                <w:spacing w:val="-2"/>
                <w:sz w:val="18"/>
                <w:szCs w:val="18"/>
              </w:rPr>
              <w:t>Y≥30000</w:t>
            </w:r>
          </w:p>
        </w:tc>
        <w:tc>
          <w:tcPr>
            <w:tcW w:w="1700" w:type="dxa"/>
          </w:tcPr>
          <w:p w14:paraId="5CAA9A63">
            <w:pPr>
              <w:pStyle w:val="337"/>
              <w:spacing w:before="127" w:line="237" w:lineRule="auto"/>
              <w:ind w:left="236"/>
              <w:rPr>
                <w:sz w:val="18"/>
                <w:szCs w:val="18"/>
              </w:rPr>
            </w:pPr>
            <w:r>
              <w:rPr>
                <w:spacing w:val="-2"/>
                <w:sz w:val="18"/>
                <w:szCs w:val="18"/>
              </w:rPr>
              <w:t>2000≤Y＜30000</w:t>
            </w:r>
          </w:p>
        </w:tc>
        <w:tc>
          <w:tcPr>
            <w:tcW w:w="1424" w:type="dxa"/>
          </w:tcPr>
          <w:p w14:paraId="147D4105">
            <w:pPr>
              <w:pStyle w:val="337"/>
              <w:spacing w:before="127" w:line="237" w:lineRule="auto"/>
              <w:ind w:left="258"/>
              <w:rPr>
                <w:sz w:val="18"/>
                <w:szCs w:val="18"/>
              </w:rPr>
            </w:pPr>
            <w:r>
              <w:rPr>
                <w:spacing w:val="-4"/>
                <w:sz w:val="18"/>
                <w:szCs w:val="18"/>
              </w:rPr>
              <w:t>100≤Y＜2000</w:t>
            </w:r>
          </w:p>
        </w:tc>
        <w:tc>
          <w:tcPr>
            <w:tcW w:w="997" w:type="dxa"/>
          </w:tcPr>
          <w:p w14:paraId="2722E022">
            <w:pPr>
              <w:pStyle w:val="337"/>
              <w:spacing w:before="130"/>
              <w:ind w:left="234"/>
              <w:rPr>
                <w:sz w:val="18"/>
                <w:szCs w:val="18"/>
              </w:rPr>
            </w:pPr>
            <w:r>
              <w:rPr>
                <w:spacing w:val="-1"/>
                <w:sz w:val="18"/>
                <w:szCs w:val="18"/>
              </w:rPr>
              <w:t>Y＜100</w:t>
            </w:r>
          </w:p>
        </w:tc>
      </w:tr>
      <w:tr w14:paraId="2766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restart"/>
            <w:tcBorders>
              <w:bottom w:val="nil"/>
            </w:tcBorders>
          </w:tcPr>
          <w:p w14:paraId="0A8B9215">
            <w:pPr>
              <w:spacing w:line="261" w:lineRule="auto"/>
              <w:rPr>
                <w:rFonts w:ascii="Arial"/>
              </w:rPr>
            </w:pPr>
          </w:p>
          <w:p w14:paraId="1FECB155">
            <w:pPr>
              <w:pStyle w:val="337"/>
              <w:spacing w:before="58" w:line="220" w:lineRule="auto"/>
              <w:ind w:left="120"/>
              <w:rPr>
                <w:sz w:val="18"/>
                <w:szCs w:val="18"/>
              </w:rPr>
            </w:pPr>
            <w:r>
              <w:rPr>
                <w:spacing w:val="-3"/>
                <w:sz w:val="18"/>
                <w:szCs w:val="18"/>
              </w:rPr>
              <w:t>住宿业</w:t>
            </w:r>
          </w:p>
        </w:tc>
        <w:tc>
          <w:tcPr>
            <w:tcW w:w="1366" w:type="dxa"/>
          </w:tcPr>
          <w:p w14:paraId="2ADBD9B7">
            <w:pPr>
              <w:pStyle w:val="337"/>
              <w:spacing w:before="116" w:line="221" w:lineRule="auto"/>
              <w:ind w:left="196"/>
              <w:rPr>
                <w:sz w:val="18"/>
                <w:szCs w:val="18"/>
              </w:rPr>
            </w:pPr>
            <w:r>
              <w:rPr>
                <w:spacing w:val="-10"/>
                <w:sz w:val="18"/>
                <w:szCs w:val="18"/>
              </w:rPr>
              <w:t>从业人员(X)</w:t>
            </w:r>
          </w:p>
        </w:tc>
        <w:tc>
          <w:tcPr>
            <w:tcW w:w="708" w:type="dxa"/>
          </w:tcPr>
          <w:p w14:paraId="31B33F94">
            <w:pPr>
              <w:pStyle w:val="337"/>
              <w:spacing w:before="117" w:line="223" w:lineRule="auto"/>
              <w:ind w:left="277"/>
              <w:rPr>
                <w:sz w:val="18"/>
                <w:szCs w:val="18"/>
              </w:rPr>
            </w:pPr>
            <w:r>
              <w:rPr>
                <w:sz w:val="18"/>
                <w:szCs w:val="18"/>
              </w:rPr>
              <w:t>人</w:t>
            </w:r>
          </w:p>
        </w:tc>
        <w:tc>
          <w:tcPr>
            <w:tcW w:w="1124" w:type="dxa"/>
          </w:tcPr>
          <w:p w14:paraId="5AD5C4C6">
            <w:pPr>
              <w:pStyle w:val="337"/>
              <w:spacing w:before="129" w:line="238" w:lineRule="auto"/>
              <w:ind w:left="297"/>
              <w:rPr>
                <w:sz w:val="18"/>
                <w:szCs w:val="18"/>
              </w:rPr>
            </w:pPr>
            <w:r>
              <w:rPr>
                <w:spacing w:val="-2"/>
                <w:sz w:val="18"/>
                <w:szCs w:val="18"/>
              </w:rPr>
              <w:t>X≥300</w:t>
            </w:r>
          </w:p>
        </w:tc>
        <w:tc>
          <w:tcPr>
            <w:tcW w:w="1700" w:type="dxa"/>
          </w:tcPr>
          <w:p w14:paraId="3D7E281C">
            <w:pPr>
              <w:pStyle w:val="337"/>
              <w:spacing w:before="128" w:line="237" w:lineRule="auto"/>
              <w:ind w:left="338"/>
              <w:rPr>
                <w:sz w:val="18"/>
                <w:szCs w:val="18"/>
              </w:rPr>
            </w:pPr>
            <w:r>
              <w:rPr>
                <w:spacing w:val="-4"/>
                <w:sz w:val="18"/>
                <w:szCs w:val="18"/>
              </w:rPr>
              <w:t>100≤X＜300</w:t>
            </w:r>
          </w:p>
        </w:tc>
        <w:tc>
          <w:tcPr>
            <w:tcW w:w="1424" w:type="dxa"/>
          </w:tcPr>
          <w:p w14:paraId="2B309833">
            <w:pPr>
              <w:pStyle w:val="337"/>
              <w:spacing w:before="128" w:line="237" w:lineRule="auto"/>
              <w:ind w:left="347"/>
              <w:rPr>
                <w:sz w:val="18"/>
                <w:szCs w:val="18"/>
              </w:rPr>
            </w:pPr>
            <w:r>
              <w:rPr>
                <w:spacing w:val="-5"/>
                <w:sz w:val="18"/>
                <w:szCs w:val="18"/>
              </w:rPr>
              <w:t>10≤X＜100</w:t>
            </w:r>
          </w:p>
        </w:tc>
        <w:tc>
          <w:tcPr>
            <w:tcW w:w="997" w:type="dxa"/>
          </w:tcPr>
          <w:p w14:paraId="60D11721">
            <w:pPr>
              <w:pStyle w:val="337"/>
              <w:spacing w:before="131"/>
              <w:ind w:left="281"/>
              <w:rPr>
                <w:sz w:val="18"/>
                <w:szCs w:val="18"/>
              </w:rPr>
            </w:pPr>
            <w:r>
              <w:rPr>
                <w:spacing w:val="-2"/>
                <w:sz w:val="18"/>
                <w:szCs w:val="18"/>
              </w:rPr>
              <w:t>X＜10</w:t>
            </w:r>
          </w:p>
        </w:tc>
      </w:tr>
      <w:tr w14:paraId="2FAC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2F9C504C">
            <w:pPr>
              <w:rPr>
                <w:rFonts w:ascii="Arial"/>
              </w:rPr>
            </w:pPr>
          </w:p>
        </w:tc>
        <w:tc>
          <w:tcPr>
            <w:tcW w:w="1366" w:type="dxa"/>
          </w:tcPr>
          <w:p w14:paraId="5BA32ED3">
            <w:pPr>
              <w:pStyle w:val="337"/>
              <w:spacing w:before="124" w:line="220" w:lineRule="auto"/>
              <w:ind w:left="202"/>
              <w:rPr>
                <w:sz w:val="18"/>
                <w:szCs w:val="18"/>
              </w:rPr>
            </w:pPr>
            <w:r>
              <w:rPr>
                <w:spacing w:val="-4"/>
                <w:sz w:val="18"/>
                <w:szCs w:val="18"/>
              </w:rPr>
              <w:t>营业收入(Y)</w:t>
            </w:r>
          </w:p>
        </w:tc>
        <w:tc>
          <w:tcPr>
            <w:tcW w:w="708" w:type="dxa"/>
          </w:tcPr>
          <w:p w14:paraId="4E140C00">
            <w:pPr>
              <w:pStyle w:val="337"/>
              <w:spacing w:before="116" w:line="221" w:lineRule="auto"/>
              <w:ind w:left="191"/>
              <w:rPr>
                <w:sz w:val="18"/>
                <w:szCs w:val="18"/>
              </w:rPr>
            </w:pPr>
            <w:r>
              <w:rPr>
                <w:spacing w:val="-6"/>
                <w:sz w:val="18"/>
                <w:szCs w:val="18"/>
              </w:rPr>
              <w:t>万元</w:t>
            </w:r>
          </w:p>
        </w:tc>
        <w:tc>
          <w:tcPr>
            <w:tcW w:w="1124" w:type="dxa"/>
          </w:tcPr>
          <w:p w14:paraId="6FD8AAB1">
            <w:pPr>
              <w:pStyle w:val="337"/>
              <w:spacing w:before="129" w:line="238" w:lineRule="auto"/>
              <w:ind w:left="205"/>
              <w:rPr>
                <w:sz w:val="18"/>
                <w:szCs w:val="18"/>
              </w:rPr>
            </w:pPr>
            <w:r>
              <w:rPr>
                <w:spacing w:val="-2"/>
                <w:sz w:val="18"/>
                <w:szCs w:val="18"/>
              </w:rPr>
              <w:t>Y≥10000</w:t>
            </w:r>
          </w:p>
        </w:tc>
        <w:tc>
          <w:tcPr>
            <w:tcW w:w="1700" w:type="dxa"/>
          </w:tcPr>
          <w:p w14:paraId="58055A00">
            <w:pPr>
              <w:pStyle w:val="337"/>
              <w:spacing w:before="128" w:line="237" w:lineRule="auto"/>
              <w:ind w:left="236"/>
              <w:rPr>
                <w:sz w:val="18"/>
                <w:szCs w:val="18"/>
              </w:rPr>
            </w:pPr>
            <w:r>
              <w:rPr>
                <w:spacing w:val="-2"/>
                <w:sz w:val="18"/>
                <w:szCs w:val="18"/>
              </w:rPr>
              <w:t>2000≤Y＜10000</w:t>
            </w:r>
          </w:p>
        </w:tc>
        <w:tc>
          <w:tcPr>
            <w:tcW w:w="1424" w:type="dxa"/>
          </w:tcPr>
          <w:p w14:paraId="680B3371">
            <w:pPr>
              <w:pStyle w:val="337"/>
              <w:spacing w:before="128" w:line="237" w:lineRule="auto"/>
              <w:ind w:left="258"/>
              <w:rPr>
                <w:sz w:val="18"/>
                <w:szCs w:val="18"/>
              </w:rPr>
            </w:pPr>
            <w:r>
              <w:rPr>
                <w:spacing w:val="-4"/>
                <w:sz w:val="18"/>
                <w:szCs w:val="18"/>
              </w:rPr>
              <w:t>100≤Y＜2000</w:t>
            </w:r>
          </w:p>
        </w:tc>
        <w:tc>
          <w:tcPr>
            <w:tcW w:w="997" w:type="dxa"/>
          </w:tcPr>
          <w:p w14:paraId="5DF3B1AF">
            <w:pPr>
              <w:pStyle w:val="337"/>
              <w:spacing w:before="131"/>
              <w:ind w:left="234"/>
              <w:rPr>
                <w:sz w:val="18"/>
                <w:szCs w:val="18"/>
              </w:rPr>
            </w:pPr>
            <w:r>
              <w:rPr>
                <w:spacing w:val="-1"/>
                <w:sz w:val="18"/>
                <w:szCs w:val="18"/>
              </w:rPr>
              <w:t>Y＜100</w:t>
            </w:r>
          </w:p>
        </w:tc>
      </w:tr>
      <w:tr w14:paraId="7CC0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20" w:type="dxa"/>
            <w:vMerge w:val="restart"/>
            <w:tcBorders>
              <w:bottom w:val="nil"/>
            </w:tcBorders>
          </w:tcPr>
          <w:p w14:paraId="2D170393">
            <w:pPr>
              <w:spacing w:line="263" w:lineRule="auto"/>
              <w:rPr>
                <w:rFonts w:ascii="Arial"/>
              </w:rPr>
            </w:pPr>
          </w:p>
          <w:p w14:paraId="72BD5526">
            <w:pPr>
              <w:pStyle w:val="337"/>
              <w:spacing w:before="59" w:line="220" w:lineRule="auto"/>
              <w:ind w:left="122"/>
              <w:rPr>
                <w:sz w:val="18"/>
                <w:szCs w:val="18"/>
              </w:rPr>
            </w:pPr>
            <w:r>
              <w:rPr>
                <w:spacing w:val="-4"/>
                <w:sz w:val="18"/>
                <w:szCs w:val="18"/>
              </w:rPr>
              <w:t>餐饮业</w:t>
            </w:r>
          </w:p>
        </w:tc>
        <w:tc>
          <w:tcPr>
            <w:tcW w:w="1366" w:type="dxa"/>
          </w:tcPr>
          <w:p w14:paraId="7A79A6D2">
            <w:pPr>
              <w:pStyle w:val="337"/>
              <w:spacing w:before="116" w:line="221" w:lineRule="auto"/>
              <w:ind w:left="196"/>
              <w:rPr>
                <w:sz w:val="18"/>
                <w:szCs w:val="18"/>
              </w:rPr>
            </w:pPr>
            <w:r>
              <w:rPr>
                <w:spacing w:val="-10"/>
                <w:sz w:val="18"/>
                <w:szCs w:val="18"/>
              </w:rPr>
              <w:t>从业人员(X)</w:t>
            </w:r>
          </w:p>
        </w:tc>
        <w:tc>
          <w:tcPr>
            <w:tcW w:w="708" w:type="dxa"/>
          </w:tcPr>
          <w:p w14:paraId="74BBB7B3">
            <w:pPr>
              <w:pStyle w:val="337"/>
              <w:spacing w:before="119" w:line="223" w:lineRule="auto"/>
              <w:ind w:left="277"/>
              <w:rPr>
                <w:sz w:val="18"/>
                <w:szCs w:val="18"/>
              </w:rPr>
            </w:pPr>
            <w:r>
              <w:rPr>
                <w:sz w:val="18"/>
                <w:szCs w:val="18"/>
              </w:rPr>
              <w:t>人</w:t>
            </w:r>
          </w:p>
        </w:tc>
        <w:tc>
          <w:tcPr>
            <w:tcW w:w="1124" w:type="dxa"/>
          </w:tcPr>
          <w:p w14:paraId="05D77870">
            <w:pPr>
              <w:pStyle w:val="337"/>
              <w:spacing w:before="131" w:line="238" w:lineRule="auto"/>
              <w:ind w:left="297"/>
              <w:rPr>
                <w:sz w:val="18"/>
                <w:szCs w:val="18"/>
              </w:rPr>
            </w:pPr>
            <w:r>
              <w:rPr>
                <w:spacing w:val="-2"/>
                <w:sz w:val="18"/>
                <w:szCs w:val="18"/>
              </w:rPr>
              <w:t>X≥300</w:t>
            </w:r>
          </w:p>
        </w:tc>
        <w:tc>
          <w:tcPr>
            <w:tcW w:w="1700" w:type="dxa"/>
          </w:tcPr>
          <w:p w14:paraId="2E25E2B1">
            <w:pPr>
              <w:pStyle w:val="337"/>
              <w:spacing w:before="131" w:line="237" w:lineRule="auto"/>
              <w:ind w:left="338"/>
              <w:rPr>
                <w:sz w:val="18"/>
                <w:szCs w:val="18"/>
              </w:rPr>
            </w:pPr>
            <w:r>
              <w:rPr>
                <w:spacing w:val="-4"/>
                <w:sz w:val="18"/>
                <w:szCs w:val="18"/>
              </w:rPr>
              <w:t>100≤X＜300</w:t>
            </w:r>
          </w:p>
        </w:tc>
        <w:tc>
          <w:tcPr>
            <w:tcW w:w="1424" w:type="dxa"/>
          </w:tcPr>
          <w:p w14:paraId="6960390D">
            <w:pPr>
              <w:pStyle w:val="337"/>
              <w:spacing w:before="131" w:line="237" w:lineRule="auto"/>
              <w:ind w:left="347"/>
              <w:rPr>
                <w:sz w:val="18"/>
                <w:szCs w:val="18"/>
              </w:rPr>
            </w:pPr>
            <w:r>
              <w:rPr>
                <w:spacing w:val="-5"/>
                <w:sz w:val="18"/>
                <w:szCs w:val="18"/>
              </w:rPr>
              <w:t>10≤X＜100</w:t>
            </w:r>
          </w:p>
        </w:tc>
        <w:tc>
          <w:tcPr>
            <w:tcW w:w="997" w:type="dxa"/>
          </w:tcPr>
          <w:p w14:paraId="49163C38">
            <w:pPr>
              <w:pStyle w:val="337"/>
              <w:spacing w:before="134"/>
              <w:ind w:left="281"/>
              <w:rPr>
                <w:sz w:val="18"/>
                <w:szCs w:val="18"/>
              </w:rPr>
            </w:pPr>
            <w:r>
              <w:rPr>
                <w:spacing w:val="-2"/>
                <w:sz w:val="18"/>
                <w:szCs w:val="18"/>
              </w:rPr>
              <w:t>X＜10</w:t>
            </w:r>
          </w:p>
        </w:tc>
      </w:tr>
      <w:tr w14:paraId="2972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4BF24DE9">
            <w:pPr>
              <w:rPr>
                <w:rFonts w:ascii="Arial"/>
              </w:rPr>
            </w:pPr>
          </w:p>
        </w:tc>
        <w:tc>
          <w:tcPr>
            <w:tcW w:w="1366" w:type="dxa"/>
          </w:tcPr>
          <w:p w14:paraId="2A925DF3">
            <w:pPr>
              <w:pStyle w:val="337"/>
              <w:spacing w:before="125" w:line="220" w:lineRule="auto"/>
              <w:ind w:left="202"/>
              <w:rPr>
                <w:sz w:val="18"/>
                <w:szCs w:val="18"/>
              </w:rPr>
            </w:pPr>
            <w:r>
              <w:rPr>
                <w:spacing w:val="-4"/>
                <w:sz w:val="18"/>
                <w:szCs w:val="18"/>
              </w:rPr>
              <w:t>营业收入(Y)</w:t>
            </w:r>
          </w:p>
        </w:tc>
        <w:tc>
          <w:tcPr>
            <w:tcW w:w="708" w:type="dxa"/>
          </w:tcPr>
          <w:p w14:paraId="7ABE1ECA">
            <w:pPr>
              <w:pStyle w:val="337"/>
              <w:spacing w:before="115" w:line="221" w:lineRule="auto"/>
              <w:ind w:left="191"/>
              <w:rPr>
                <w:sz w:val="18"/>
                <w:szCs w:val="18"/>
              </w:rPr>
            </w:pPr>
            <w:r>
              <w:rPr>
                <w:spacing w:val="-6"/>
                <w:sz w:val="18"/>
                <w:szCs w:val="18"/>
              </w:rPr>
              <w:t>万元</w:t>
            </w:r>
          </w:p>
        </w:tc>
        <w:tc>
          <w:tcPr>
            <w:tcW w:w="1124" w:type="dxa"/>
          </w:tcPr>
          <w:p w14:paraId="5B262131">
            <w:pPr>
              <w:pStyle w:val="337"/>
              <w:spacing w:before="130" w:line="238" w:lineRule="auto"/>
              <w:ind w:left="205"/>
              <w:rPr>
                <w:sz w:val="18"/>
                <w:szCs w:val="18"/>
              </w:rPr>
            </w:pPr>
            <w:r>
              <w:rPr>
                <w:spacing w:val="-2"/>
                <w:sz w:val="18"/>
                <w:szCs w:val="18"/>
              </w:rPr>
              <w:t>Y≥10000</w:t>
            </w:r>
          </w:p>
        </w:tc>
        <w:tc>
          <w:tcPr>
            <w:tcW w:w="1700" w:type="dxa"/>
          </w:tcPr>
          <w:p w14:paraId="2EB217E7">
            <w:pPr>
              <w:pStyle w:val="337"/>
              <w:spacing w:before="130" w:line="237" w:lineRule="auto"/>
              <w:ind w:left="236"/>
              <w:rPr>
                <w:sz w:val="18"/>
                <w:szCs w:val="18"/>
              </w:rPr>
            </w:pPr>
            <w:r>
              <w:rPr>
                <w:spacing w:val="-2"/>
                <w:sz w:val="18"/>
                <w:szCs w:val="18"/>
              </w:rPr>
              <w:t>2000≤Y＜10000</w:t>
            </w:r>
          </w:p>
        </w:tc>
        <w:tc>
          <w:tcPr>
            <w:tcW w:w="1424" w:type="dxa"/>
          </w:tcPr>
          <w:p w14:paraId="306DC34B">
            <w:pPr>
              <w:pStyle w:val="337"/>
              <w:spacing w:before="130" w:line="237" w:lineRule="auto"/>
              <w:ind w:left="258"/>
              <w:rPr>
                <w:sz w:val="18"/>
                <w:szCs w:val="18"/>
              </w:rPr>
            </w:pPr>
            <w:r>
              <w:rPr>
                <w:spacing w:val="-4"/>
                <w:sz w:val="18"/>
                <w:szCs w:val="18"/>
              </w:rPr>
              <w:t>100≤Y＜2000</w:t>
            </w:r>
          </w:p>
        </w:tc>
        <w:tc>
          <w:tcPr>
            <w:tcW w:w="997" w:type="dxa"/>
          </w:tcPr>
          <w:p w14:paraId="76F52CE4">
            <w:pPr>
              <w:pStyle w:val="337"/>
              <w:spacing w:before="133"/>
              <w:ind w:left="234"/>
              <w:rPr>
                <w:sz w:val="18"/>
                <w:szCs w:val="18"/>
              </w:rPr>
            </w:pPr>
            <w:r>
              <w:rPr>
                <w:spacing w:val="-1"/>
                <w:sz w:val="18"/>
                <w:szCs w:val="18"/>
              </w:rPr>
              <w:t>Y＜100</w:t>
            </w:r>
          </w:p>
        </w:tc>
      </w:tr>
      <w:tr w14:paraId="6B9D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20" w:type="dxa"/>
            <w:vMerge w:val="restart"/>
            <w:tcBorders>
              <w:bottom w:val="nil"/>
            </w:tcBorders>
          </w:tcPr>
          <w:p w14:paraId="17604884">
            <w:pPr>
              <w:spacing w:line="265" w:lineRule="auto"/>
              <w:rPr>
                <w:rFonts w:ascii="Arial"/>
              </w:rPr>
            </w:pPr>
          </w:p>
          <w:p w14:paraId="5FCC2A9E">
            <w:pPr>
              <w:pStyle w:val="337"/>
              <w:spacing w:before="58" w:line="219" w:lineRule="auto"/>
              <w:ind w:left="121"/>
              <w:rPr>
                <w:sz w:val="18"/>
                <w:szCs w:val="18"/>
              </w:rPr>
            </w:pPr>
            <w:r>
              <w:rPr>
                <w:spacing w:val="-1"/>
                <w:sz w:val="18"/>
                <w:szCs w:val="18"/>
              </w:rPr>
              <w:t>信息传输业 *</w:t>
            </w:r>
          </w:p>
        </w:tc>
        <w:tc>
          <w:tcPr>
            <w:tcW w:w="1366" w:type="dxa"/>
          </w:tcPr>
          <w:p w14:paraId="736848A4">
            <w:pPr>
              <w:pStyle w:val="337"/>
              <w:spacing w:before="115" w:line="221" w:lineRule="auto"/>
              <w:ind w:left="196"/>
              <w:rPr>
                <w:sz w:val="18"/>
                <w:szCs w:val="18"/>
              </w:rPr>
            </w:pPr>
            <w:r>
              <w:rPr>
                <w:spacing w:val="-10"/>
                <w:sz w:val="18"/>
                <w:szCs w:val="18"/>
              </w:rPr>
              <w:t>从业人员(X)</w:t>
            </w:r>
          </w:p>
        </w:tc>
        <w:tc>
          <w:tcPr>
            <w:tcW w:w="708" w:type="dxa"/>
          </w:tcPr>
          <w:p w14:paraId="6234E845">
            <w:pPr>
              <w:pStyle w:val="337"/>
              <w:spacing w:before="118" w:line="223" w:lineRule="auto"/>
              <w:ind w:left="277"/>
              <w:rPr>
                <w:sz w:val="18"/>
                <w:szCs w:val="18"/>
              </w:rPr>
            </w:pPr>
            <w:r>
              <w:rPr>
                <w:sz w:val="18"/>
                <w:szCs w:val="18"/>
              </w:rPr>
              <w:t>人</w:t>
            </w:r>
          </w:p>
        </w:tc>
        <w:tc>
          <w:tcPr>
            <w:tcW w:w="1124" w:type="dxa"/>
          </w:tcPr>
          <w:p w14:paraId="1CFBAD79">
            <w:pPr>
              <w:pStyle w:val="337"/>
              <w:spacing w:before="130" w:line="238" w:lineRule="auto"/>
              <w:ind w:left="252"/>
              <w:rPr>
                <w:sz w:val="18"/>
                <w:szCs w:val="18"/>
              </w:rPr>
            </w:pPr>
            <w:r>
              <w:rPr>
                <w:spacing w:val="-2"/>
                <w:sz w:val="18"/>
                <w:szCs w:val="18"/>
              </w:rPr>
              <w:t>X≥2000</w:t>
            </w:r>
          </w:p>
        </w:tc>
        <w:tc>
          <w:tcPr>
            <w:tcW w:w="1700" w:type="dxa"/>
          </w:tcPr>
          <w:p w14:paraId="6E3F6067">
            <w:pPr>
              <w:pStyle w:val="337"/>
              <w:spacing w:before="130" w:line="237" w:lineRule="auto"/>
              <w:ind w:left="348"/>
              <w:rPr>
                <w:sz w:val="18"/>
                <w:szCs w:val="18"/>
              </w:rPr>
            </w:pPr>
            <w:r>
              <w:rPr>
                <w:spacing w:val="-4"/>
                <w:sz w:val="18"/>
                <w:szCs w:val="18"/>
              </w:rPr>
              <w:t>100≤X＜2000</w:t>
            </w:r>
          </w:p>
        </w:tc>
        <w:tc>
          <w:tcPr>
            <w:tcW w:w="1424" w:type="dxa"/>
          </w:tcPr>
          <w:p w14:paraId="4B0F54BA">
            <w:pPr>
              <w:pStyle w:val="337"/>
              <w:spacing w:before="130" w:line="237" w:lineRule="auto"/>
              <w:ind w:left="347"/>
              <w:rPr>
                <w:sz w:val="18"/>
                <w:szCs w:val="18"/>
              </w:rPr>
            </w:pPr>
            <w:r>
              <w:rPr>
                <w:spacing w:val="-5"/>
                <w:sz w:val="18"/>
                <w:szCs w:val="18"/>
              </w:rPr>
              <w:t>10≤X＜100</w:t>
            </w:r>
          </w:p>
        </w:tc>
        <w:tc>
          <w:tcPr>
            <w:tcW w:w="997" w:type="dxa"/>
          </w:tcPr>
          <w:p w14:paraId="1D5390C2">
            <w:pPr>
              <w:pStyle w:val="337"/>
              <w:spacing w:before="133"/>
              <w:ind w:left="281"/>
              <w:rPr>
                <w:sz w:val="18"/>
                <w:szCs w:val="18"/>
              </w:rPr>
            </w:pPr>
            <w:r>
              <w:rPr>
                <w:spacing w:val="-2"/>
                <w:sz w:val="18"/>
                <w:szCs w:val="18"/>
              </w:rPr>
              <w:t>X＜10</w:t>
            </w:r>
          </w:p>
        </w:tc>
      </w:tr>
      <w:tr w14:paraId="5A67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20" w:type="dxa"/>
            <w:vMerge w:val="continue"/>
            <w:tcBorders>
              <w:top w:val="nil"/>
            </w:tcBorders>
          </w:tcPr>
          <w:p w14:paraId="6DE1692F">
            <w:pPr>
              <w:rPr>
                <w:rFonts w:ascii="Arial"/>
              </w:rPr>
            </w:pPr>
          </w:p>
        </w:tc>
        <w:tc>
          <w:tcPr>
            <w:tcW w:w="1366" w:type="dxa"/>
          </w:tcPr>
          <w:p w14:paraId="498FA7AF">
            <w:pPr>
              <w:pStyle w:val="337"/>
              <w:spacing w:before="127" w:line="220" w:lineRule="auto"/>
              <w:ind w:left="202"/>
              <w:rPr>
                <w:sz w:val="18"/>
                <w:szCs w:val="18"/>
              </w:rPr>
            </w:pPr>
            <w:r>
              <w:rPr>
                <w:spacing w:val="-4"/>
                <w:sz w:val="18"/>
                <w:szCs w:val="18"/>
              </w:rPr>
              <w:t>营业收入(Y)</w:t>
            </w:r>
          </w:p>
        </w:tc>
        <w:tc>
          <w:tcPr>
            <w:tcW w:w="708" w:type="dxa"/>
          </w:tcPr>
          <w:p w14:paraId="25833298">
            <w:pPr>
              <w:pStyle w:val="337"/>
              <w:spacing w:before="119" w:line="221" w:lineRule="auto"/>
              <w:ind w:left="191"/>
              <w:rPr>
                <w:sz w:val="18"/>
                <w:szCs w:val="18"/>
              </w:rPr>
            </w:pPr>
            <w:r>
              <w:rPr>
                <w:spacing w:val="-6"/>
                <w:sz w:val="18"/>
                <w:szCs w:val="18"/>
              </w:rPr>
              <w:t>万元</w:t>
            </w:r>
          </w:p>
        </w:tc>
        <w:tc>
          <w:tcPr>
            <w:tcW w:w="1124" w:type="dxa"/>
          </w:tcPr>
          <w:p w14:paraId="57CB867E">
            <w:pPr>
              <w:pStyle w:val="337"/>
              <w:spacing w:before="132" w:line="238" w:lineRule="auto"/>
              <w:ind w:left="160"/>
              <w:rPr>
                <w:sz w:val="18"/>
                <w:szCs w:val="18"/>
              </w:rPr>
            </w:pPr>
            <w:r>
              <w:rPr>
                <w:spacing w:val="-1"/>
                <w:sz w:val="18"/>
                <w:szCs w:val="18"/>
              </w:rPr>
              <w:t>Y≥100000</w:t>
            </w:r>
          </w:p>
        </w:tc>
        <w:tc>
          <w:tcPr>
            <w:tcW w:w="1700" w:type="dxa"/>
          </w:tcPr>
          <w:p w14:paraId="642EBBC6">
            <w:pPr>
              <w:pStyle w:val="337"/>
              <w:spacing w:before="131" w:line="237" w:lineRule="auto"/>
              <w:ind w:left="259"/>
              <w:rPr>
                <w:sz w:val="18"/>
                <w:szCs w:val="18"/>
              </w:rPr>
            </w:pPr>
            <w:r>
              <w:rPr>
                <w:spacing w:val="-4"/>
                <w:sz w:val="18"/>
                <w:szCs w:val="18"/>
              </w:rPr>
              <w:t>1000≤Y＜100000</w:t>
            </w:r>
          </w:p>
        </w:tc>
        <w:tc>
          <w:tcPr>
            <w:tcW w:w="1424" w:type="dxa"/>
          </w:tcPr>
          <w:p w14:paraId="530A7FD1">
            <w:pPr>
              <w:pStyle w:val="337"/>
              <w:spacing w:before="131" w:line="237" w:lineRule="auto"/>
              <w:ind w:left="258"/>
              <w:rPr>
                <w:sz w:val="18"/>
                <w:szCs w:val="18"/>
              </w:rPr>
            </w:pPr>
            <w:r>
              <w:rPr>
                <w:spacing w:val="-4"/>
                <w:sz w:val="18"/>
                <w:szCs w:val="18"/>
              </w:rPr>
              <w:t>100≤Y＜1000</w:t>
            </w:r>
          </w:p>
        </w:tc>
        <w:tc>
          <w:tcPr>
            <w:tcW w:w="997" w:type="dxa"/>
          </w:tcPr>
          <w:p w14:paraId="63CF771C">
            <w:pPr>
              <w:pStyle w:val="337"/>
              <w:spacing w:before="134"/>
              <w:ind w:left="234"/>
              <w:rPr>
                <w:sz w:val="18"/>
                <w:szCs w:val="18"/>
              </w:rPr>
            </w:pPr>
            <w:r>
              <w:rPr>
                <w:spacing w:val="-1"/>
                <w:sz w:val="18"/>
                <w:szCs w:val="18"/>
              </w:rPr>
              <w:t>Y＜100</w:t>
            </w:r>
          </w:p>
        </w:tc>
      </w:tr>
      <w:tr w14:paraId="2E65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120" w:type="dxa"/>
            <w:vMerge w:val="restart"/>
            <w:tcBorders>
              <w:bottom w:val="nil"/>
            </w:tcBorders>
          </w:tcPr>
          <w:p w14:paraId="438FD0BD">
            <w:pPr>
              <w:pStyle w:val="337"/>
              <w:spacing w:before="268" w:line="220" w:lineRule="auto"/>
              <w:ind w:left="123"/>
              <w:rPr>
                <w:sz w:val="18"/>
                <w:szCs w:val="18"/>
              </w:rPr>
            </w:pPr>
            <w:r>
              <w:rPr>
                <w:spacing w:val="-1"/>
                <w:sz w:val="18"/>
                <w:szCs w:val="18"/>
              </w:rPr>
              <w:t>软件和信息技术服务业</w:t>
            </w:r>
          </w:p>
        </w:tc>
        <w:tc>
          <w:tcPr>
            <w:tcW w:w="1366" w:type="dxa"/>
          </w:tcPr>
          <w:p w14:paraId="50F163EC">
            <w:pPr>
              <w:pStyle w:val="337"/>
              <w:spacing w:before="90" w:line="221" w:lineRule="auto"/>
              <w:ind w:left="196"/>
              <w:rPr>
                <w:sz w:val="18"/>
                <w:szCs w:val="18"/>
              </w:rPr>
            </w:pPr>
            <w:r>
              <w:rPr>
                <w:spacing w:val="-10"/>
                <w:sz w:val="18"/>
                <w:szCs w:val="18"/>
              </w:rPr>
              <w:t>从业人员(X)</w:t>
            </w:r>
          </w:p>
        </w:tc>
        <w:tc>
          <w:tcPr>
            <w:tcW w:w="708" w:type="dxa"/>
          </w:tcPr>
          <w:p w14:paraId="27005776">
            <w:pPr>
              <w:pStyle w:val="337"/>
              <w:spacing w:before="91" w:line="223" w:lineRule="auto"/>
              <w:ind w:left="277"/>
              <w:rPr>
                <w:sz w:val="18"/>
                <w:szCs w:val="18"/>
              </w:rPr>
            </w:pPr>
            <w:r>
              <w:rPr>
                <w:sz w:val="18"/>
                <w:szCs w:val="18"/>
              </w:rPr>
              <w:t>人</w:t>
            </w:r>
          </w:p>
        </w:tc>
        <w:tc>
          <w:tcPr>
            <w:tcW w:w="1124" w:type="dxa"/>
          </w:tcPr>
          <w:p w14:paraId="1533BB04">
            <w:pPr>
              <w:pStyle w:val="337"/>
              <w:spacing w:before="102" w:line="229" w:lineRule="auto"/>
              <w:ind w:left="297"/>
              <w:rPr>
                <w:sz w:val="18"/>
                <w:szCs w:val="18"/>
              </w:rPr>
            </w:pPr>
            <w:r>
              <w:rPr>
                <w:spacing w:val="-2"/>
                <w:sz w:val="18"/>
                <w:szCs w:val="18"/>
              </w:rPr>
              <w:t>X≥300</w:t>
            </w:r>
          </w:p>
        </w:tc>
        <w:tc>
          <w:tcPr>
            <w:tcW w:w="1700" w:type="dxa"/>
          </w:tcPr>
          <w:p w14:paraId="7D840CA8">
            <w:pPr>
              <w:pStyle w:val="337"/>
              <w:spacing w:before="102" w:line="229" w:lineRule="auto"/>
              <w:ind w:left="338"/>
              <w:rPr>
                <w:sz w:val="18"/>
                <w:szCs w:val="18"/>
              </w:rPr>
            </w:pPr>
            <w:r>
              <w:rPr>
                <w:spacing w:val="-4"/>
                <w:sz w:val="18"/>
                <w:szCs w:val="18"/>
              </w:rPr>
              <w:t>100≤X＜300</w:t>
            </w:r>
          </w:p>
        </w:tc>
        <w:tc>
          <w:tcPr>
            <w:tcW w:w="1424" w:type="dxa"/>
          </w:tcPr>
          <w:p w14:paraId="26C2EEF1">
            <w:pPr>
              <w:pStyle w:val="337"/>
              <w:spacing w:before="102" w:line="229" w:lineRule="auto"/>
              <w:ind w:left="347"/>
              <w:rPr>
                <w:sz w:val="18"/>
                <w:szCs w:val="18"/>
              </w:rPr>
            </w:pPr>
            <w:r>
              <w:rPr>
                <w:spacing w:val="-5"/>
                <w:sz w:val="18"/>
                <w:szCs w:val="18"/>
              </w:rPr>
              <w:t>10≤X＜100</w:t>
            </w:r>
          </w:p>
        </w:tc>
        <w:tc>
          <w:tcPr>
            <w:tcW w:w="997" w:type="dxa"/>
          </w:tcPr>
          <w:p w14:paraId="1288C660">
            <w:pPr>
              <w:pStyle w:val="337"/>
              <w:spacing w:before="105" w:line="226" w:lineRule="auto"/>
              <w:ind w:left="281"/>
              <w:rPr>
                <w:sz w:val="18"/>
                <w:szCs w:val="18"/>
              </w:rPr>
            </w:pPr>
            <w:r>
              <w:rPr>
                <w:spacing w:val="-2"/>
                <w:sz w:val="18"/>
                <w:szCs w:val="18"/>
              </w:rPr>
              <w:t>X＜10</w:t>
            </w:r>
          </w:p>
        </w:tc>
      </w:tr>
      <w:tr w14:paraId="756A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20" w:type="dxa"/>
            <w:vMerge w:val="continue"/>
            <w:tcBorders>
              <w:top w:val="nil"/>
            </w:tcBorders>
          </w:tcPr>
          <w:p w14:paraId="6E1F4107">
            <w:pPr>
              <w:rPr>
                <w:rFonts w:ascii="Arial"/>
              </w:rPr>
            </w:pPr>
          </w:p>
        </w:tc>
        <w:tc>
          <w:tcPr>
            <w:tcW w:w="1366" w:type="dxa"/>
          </w:tcPr>
          <w:p w14:paraId="5C491C83">
            <w:pPr>
              <w:pStyle w:val="337"/>
              <w:spacing w:before="91" w:line="220" w:lineRule="auto"/>
              <w:ind w:left="202"/>
              <w:rPr>
                <w:sz w:val="18"/>
                <w:szCs w:val="18"/>
              </w:rPr>
            </w:pPr>
            <w:r>
              <w:rPr>
                <w:spacing w:val="-4"/>
                <w:sz w:val="18"/>
                <w:szCs w:val="18"/>
              </w:rPr>
              <w:t>营业收入(Y)</w:t>
            </w:r>
          </w:p>
        </w:tc>
        <w:tc>
          <w:tcPr>
            <w:tcW w:w="708" w:type="dxa"/>
          </w:tcPr>
          <w:p w14:paraId="713D7870">
            <w:pPr>
              <w:pStyle w:val="337"/>
              <w:spacing w:before="90" w:line="221" w:lineRule="auto"/>
              <w:ind w:left="191"/>
              <w:rPr>
                <w:sz w:val="18"/>
                <w:szCs w:val="18"/>
              </w:rPr>
            </w:pPr>
            <w:r>
              <w:rPr>
                <w:spacing w:val="-6"/>
                <w:sz w:val="18"/>
                <w:szCs w:val="18"/>
              </w:rPr>
              <w:t>万元</w:t>
            </w:r>
          </w:p>
        </w:tc>
        <w:tc>
          <w:tcPr>
            <w:tcW w:w="1124" w:type="dxa"/>
          </w:tcPr>
          <w:p w14:paraId="23646AEA">
            <w:pPr>
              <w:pStyle w:val="337"/>
              <w:spacing w:before="105" w:line="224" w:lineRule="auto"/>
              <w:ind w:left="205"/>
              <w:rPr>
                <w:sz w:val="18"/>
                <w:szCs w:val="18"/>
              </w:rPr>
            </w:pPr>
            <w:r>
              <w:rPr>
                <w:spacing w:val="-2"/>
                <w:sz w:val="18"/>
                <w:szCs w:val="18"/>
              </w:rPr>
              <w:t>Y≥10000</w:t>
            </w:r>
          </w:p>
        </w:tc>
        <w:tc>
          <w:tcPr>
            <w:tcW w:w="1700" w:type="dxa"/>
          </w:tcPr>
          <w:p w14:paraId="1CA7031B">
            <w:pPr>
              <w:pStyle w:val="337"/>
              <w:spacing w:before="102" w:line="227" w:lineRule="auto"/>
              <w:ind w:left="259"/>
              <w:rPr>
                <w:sz w:val="18"/>
                <w:szCs w:val="18"/>
              </w:rPr>
            </w:pPr>
            <w:r>
              <w:rPr>
                <w:spacing w:val="-4"/>
                <w:sz w:val="18"/>
                <w:szCs w:val="18"/>
              </w:rPr>
              <w:t>1000≤Y＜10000</w:t>
            </w:r>
          </w:p>
        </w:tc>
        <w:tc>
          <w:tcPr>
            <w:tcW w:w="1424" w:type="dxa"/>
          </w:tcPr>
          <w:p w14:paraId="7E192826">
            <w:pPr>
              <w:pStyle w:val="337"/>
              <w:spacing w:before="102" w:line="227" w:lineRule="auto"/>
              <w:ind w:left="330"/>
              <w:rPr>
                <w:sz w:val="18"/>
                <w:szCs w:val="18"/>
              </w:rPr>
            </w:pPr>
            <w:r>
              <w:rPr>
                <w:spacing w:val="-3"/>
                <w:sz w:val="18"/>
                <w:szCs w:val="18"/>
              </w:rPr>
              <w:t>50≤Y＜1000</w:t>
            </w:r>
          </w:p>
        </w:tc>
        <w:tc>
          <w:tcPr>
            <w:tcW w:w="997" w:type="dxa"/>
          </w:tcPr>
          <w:p w14:paraId="23ED3C79">
            <w:pPr>
              <w:pStyle w:val="337"/>
              <w:spacing w:before="105" w:line="224" w:lineRule="auto"/>
              <w:ind w:left="277"/>
              <w:rPr>
                <w:sz w:val="18"/>
                <w:szCs w:val="18"/>
              </w:rPr>
            </w:pPr>
            <w:r>
              <w:rPr>
                <w:spacing w:val="-2"/>
                <w:sz w:val="18"/>
                <w:szCs w:val="18"/>
              </w:rPr>
              <w:t>Y＜50</w:t>
            </w:r>
          </w:p>
        </w:tc>
      </w:tr>
      <w:tr w14:paraId="6FFD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120" w:type="dxa"/>
            <w:vMerge w:val="restart"/>
            <w:tcBorders>
              <w:bottom w:val="nil"/>
            </w:tcBorders>
          </w:tcPr>
          <w:p w14:paraId="720BFE35">
            <w:pPr>
              <w:pStyle w:val="337"/>
              <w:spacing w:before="270" w:line="220" w:lineRule="auto"/>
              <w:ind w:left="121"/>
              <w:rPr>
                <w:sz w:val="18"/>
                <w:szCs w:val="18"/>
              </w:rPr>
            </w:pPr>
            <w:r>
              <w:rPr>
                <w:spacing w:val="-2"/>
                <w:sz w:val="18"/>
                <w:szCs w:val="18"/>
              </w:rPr>
              <w:t>房地产开发经营</w:t>
            </w:r>
          </w:p>
        </w:tc>
        <w:tc>
          <w:tcPr>
            <w:tcW w:w="1366" w:type="dxa"/>
          </w:tcPr>
          <w:p w14:paraId="54621BB5">
            <w:pPr>
              <w:pStyle w:val="337"/>
              <w:spacing w:before="90" w:line="220" w:lineRule="auto"/>
              <w:ind w:left="202"/>
              <w:rPr>
                <w:sz w:val="18"/>
                <w:szCs w:val="18"/>
              </w:rPr>
            </w:pPr>
            <w:r>
              <w:rPr>
                <w:spacing w:val="-4"/>
                <w:sz w:val="18"/>
                <w:szCs w:val="18"/>
              </w:rPr>
              <w:t>营业收入(Y)</w:t>
            </w:r>
          </w:p>
        </w:tc>
        <w:tc>
          <w:tcPr>
            <w:tcW w:w="708" w:type="dxa"/>
          </w:tcPr>
          <w:p w14:paraId="0E1D795E">
            <w:pPr>
              <w:pStyle w:val="337"/>
              <w:spacing w:before="92" w:line="221" w:lineRule="auto"/>
              <w:ind w:left="191"/>
              <w:rPr>
                <w:sz w:val="18"/>
                <w:szCs w:val="18"/>
              </w:rPr>
            </w:pPr>
            <w:r>
              <w:rPr>
                <w:spacing w:val="-6"/>
                <w:sz w:val="18"/>
                <w:szCs w:val="18"/>
              </w:rPr>
              <w:t>万元</w:t>
            </w:r>
          </w:p>
        </w:tc>
        <w:tc>
          <w:tcPr>
            <w:tcW w:w="1124" w:type="dxa"/>
          </w:tcPr>
          <w:p w14:paraId="09FF251F">
            <w:pPr>
              <w:pStyle w:val="337"/>
              <w:spacing w:before="104" w:line="227" w:lineRule="auto"/>
              <w:ind w:left="160"/>
              <w:rPr>
                <w:sz w:val="18"/>
                <w:szCs w:val="18"/>
              </w:rPr>
            </w:pPr>
            <w:r>
              <w:rPr>
                <w:spacing w:val="-1"/>
                <w:sz w:val="18"/>
                <w:szCs w:val="18"/>
              </w:rPr>
              <w:t>Y≥200000</w:t>
            </w:r>
          </w:p>
        </w:tc>
        <w:tc>
          <w:tcPr>
            <w:tcW w:w="1700" w:type="dxa"/>
          </w:tcPr>
          <w:p w14:paraId="5B447054">
            <w:pPr>
              <w:pStyle w:val="337"/>
              <w:spacing w:before="104" w:line="227" w:lineRule="auto"/>
              <w:ind w:left="259"/>
              <w:rPr>
                <w:sz w:val="18"/>
                <w:szCs w:val="18"/>
              </w:rPr>
            </w:pPr>
            <w:r>
              <w:rPr>
                <w:spacing w:val="-4"/>
                <w:sz w:val="18"/>
                <w:szCs w:val="18"/>
              </w:rPr>
              <w:t>1000≤Y＜200000</w:t>
            </w:r>
          </w:p>
        </w:tc>
        <w:tc>
          <w:tcPr>
            <w:tcW w:w="1424" w:type="dxa"/>
          </w:tcPr>
          <w:p w14:paraId="12B9401B">
            <w:pPr>
              <w:pStyle w:val="337"/>
              <w:spacing w:before="104" w:line="227" w:lineRule="auto"/>
              <w:ind w:left="258"/>
              <w:rPr>
                <w:sz w:val="18"/>
                <w:szCs w:val="18"/>
              </w:rPr>
            </w:pPr>
            <w:r>
              <w:rPr>
                <w:spacing w:val="-4"/>
                <w:sz w:val="18"/>
                <w:szCs w:val="18"/>
              </w:rPr>
              <w:t>100≤Y＜1000</w:t>
            </w:r>
          </w:p>
        </w:tc>
        <w:tc>
          <w:tcPr>
            <w:tcW w:w="997" w:type="dxa"/>
          </w:tcPr>
          <w:p w14:paraId="42834F04">
            <w:pPr>
              <w:pStyle w:val="337"/>
              <w:spacing w:before="107" w:line="224" w:lineRule="auto"/>
              <w:ind w:left="234"/>
              <w:rPr>
                <w:sz w:val="18"/>
                <w:szCs w:val="18"/>
              </w:rPr>
            </w:pPr>
            <w:r>
              <w:rPr>
                <w:spacing w:val="-1"/>
                <w:sz w:val="18"/>
                <w:szCs w:val="18"/>
              </w:rPr>
              <w:t>Y＜100</w:t>
            </w:r>
          </w:p>
        </w:tc>
      </w:tr>
      <w:tr w14:paraId="6A92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20" w:type="dxa"/>
            <w:vMerge w:val="continue"/>
            <w:tcBorders>
              <w:top w:val="nil"/>
            </w:tcBorders>
          </w:tcPr>
          <w:p w14:paraId="503FD4AC">
            <w:pPr>
              <w:rPr>
                <w:rFonts w:ascii="Arial"/>
              </w:rPr>
            </w:pPr>
          </w:p>
        </w:tc>
        <w:tc>
          <w:tcPr>
            <w:tcW w:w="1366" w:type="dxa"/>
          </w:tcPr>
          <w:p w14:paraId="5E4D78C3">
            <w:pPr>
              <w:pStyle w:val="337"/>
              <w:spacing w:before="97" w:line="220" w:lineRule="auto"/>
              <w:ind w:left="207"/>
              <w:rPr>
                <w:sz w:val="18"/>
                <w:szCs w:val="18"/>
              </w:rPr>
            </w:pPr>
            <w:r>
              <w:rPr>
                <w:spacing w:val="-4"/>
                <w:sz w:val="18"/>
                <w:szCs w:val="18"/>
              </w:rPr>
              <w:t>资产总额(Z)</w:t>
            </w:r>
          </w:p>
        </w:tc>
        <w:tc>
          <w:tcPr>
            <w:tcW w:w="708" w:type="dxa"/>
          </w:tcPr>
          <w:p w14:paraId="126266C6">
            <w:pPr>
              <w:pStyle w:val="337"/>
              <w:spacing w:before="89" w:line="221" w:lineRule="auto"/>
              <w:ind w:left="191"/>
              <w:rPr>
                <w:sz w:val="18"/>
                <w:szCs w:val="18"/>
              </w:rPr>
            </w:pPr>
            <w:r>
              <w:rPr>
                <w:spacing w:val="-6"/>
                <w:sz w:val="18"/>
                <w:szCs w:val="18"/>
              </w:rPr>
              <w:t>万元</w:t>
            </w:r>
          </w:p>
        </w:tc>
        <w:tc>
          <w:tcPr>
            <w:tcW w:w="1124" w:type="dxa"/>
          </w:tcPr>
          <w:p w14:paraId="31B51C85">
            <w:pPr>
              <w:pStyle w:val="337"/>
              <w:spacing w:before="101" w:line="229" w:lineRule="auto"/>
              <w:ind w:left="210"/>
              <w:rPr>
                <w:sz w:val="18"/>
                <w:szCs w:val="18"/>
              </w:rPr>
            </w:pPr>
            <w:r>
              <w:rPr>
                <w:spacing w:val="-2"/>
                <w:sz w:val="18"/>
                <w:szCs w:val="18"/>
              </w:rPr>
              <w:t>Z≥10000</w:t>
            </w:r>
          </w:p>
        </w:tc>
        <w:tc>
          <w:tcPr>
            <w:tcW w:w="1700" w:type="dxa"/>
          </w:tcPr>
          <w:p w14:paraId="0D75DB2C">
            <w:pPr>
              <w:pStyle w:val="337"/>
              <w:spacing w:before="101" w:line="229" w:lineRule="auto"/>
              <w:ind w:left="240"/>
              <w:rPr>
                <w:sz w:val="18"/>
                <w:szCs w:val="18"/>
              </w:rPr>
            </w:pPr>
            <w:r>
              <w:rPr>
                <w:spacing w:val="-2"/>
                <w:sz w:val="18"/>
                <w:szCs w:val="18"/>
              </w:rPr>
              <w:t>5000≤Z＜10000</w:t>
            </w:r>
          </w:p>
        </w:tc>
        <w:tc>
          <w:tcPr>
            <w:tcW w:w="1424" w:type="dxa"/>
          </w:tcPr>
          <w:p w14:paraId="44D306A8">
            <w:pPr>
              <w:pStyle w:val="337"/>
              <w:spacing w:before="101" w:line="229" w:lineRule="auto"/>
              <w:ind w:left="144"/>
              <w:rPr>
                <w:sz w:val="18"/>
                <w:szCs w:val="18"/>
              </w:rPr>
            </w:pPr>
            <w:r>
              <w:rPr>
                <w:spacing w:val="-2"/>
                <w:sz w:val="18"/>
                <w:szCs w:val="18"/>
              </w:rPr>
              <w:t>2000≤Z＜5000</w:t>
            </w:r>
          </w:p>
        </w:tc>
        <w:tc>
          <w:tcPr>
            <w:tcW w:w="997" w:type="dxa"/>
          </w:tcPr>
          <w:p w14:paraId="19A72D57">
            <w:pPr>
              <w:pStyle w:val="337"/>
              <w:spacing w:before="104" w:line="226" w:lineRule="auto"/>
              <w:ind w:left="193"/>
              <w:rPr>
                <w:sz w:val="18"/>
                <w:szCs w:val="18"/>
              </w:rPr>
            </w:pPr>
            <w:r>
              <w:rPr>
                <w:spacing w:val="-2"/>
                <w:sz w:val="18"/>
                <w:szCs w:val="18"/>
              </w:rPr>
              <w:t>Z＜2000</w:t>
            </w:r>
          </w:p>
        </w:tc>
      </w:tr>
      <w:tr w14:paraId="0CAE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120" w:type="dxa"/>
            <w:vMerge w:val="restart"/>
            <w:tcBorders>
              <w:bottom w:val="nil"/>
            </w:tcBorders>
          </w:tcPr>
          <w:p w14:paraId="1FC853D5">
            <w:pPr>
              <w:pStyle w:val="337"/>
              <w:spacing w:before="271" w:line="220" w:lineRule="auto"/>
              <w:ind w:left="121"/>
              <w:rPr>
                <w:sz w:val="18"/>
                <w:szCs w:val="18"/>
              </w:rPr>
            </w:pPr>
            <w:r>
              <w:rPr>
                <w:spacing w:val="-3"/>
                <w:sz w:val="18"/>
                <w:szCs w:val="18"/>
              </w:rPr>
              <w:t>物业管理</w:t>
            </w:r>
          </w:p>
        </w:tc>
        <w:tc>
          <w:tcPr>
            <w:tcW w:w="1366" w:type="dxa"/>
          </w:tcPr>
          <w:p w14:paraId="137BB927">
            <w:pPr>
              <w:pStyle w:val="337"/>
              <w:spacing w:before="90" w:line="221" w:lineRule="auto"/>
              <w:ind w:left="196"/>
              <w:rPr>
                <w:sz w:val="18"/>
                <w:szCs w:val="18"/>
              </w:rPr>
            </w:pPr>
            <w:r>
              <w:rPr>
                <w:spacing w:val="-10"/>
                <w:sz w:val="18"/>
                <w:szCs w:val="18"/>
              </w:rPr>
              <w:t>从业人员(X)</w:t>
            </w:r>
          </w:p>
        </w:tc>
        <w:tc>
          <w:tcPr>
            <w:tcW w:w="708" w:type="dxa"/>
          </w:tcPr>
          <w:p w14:paraId="7D3DDB47">
            <w:pPr>
              <w:pStyle w:val="337"/>
              <w:spacing w:before="93" w:line="223" w:lineRule="auto"/>
              <w:ind w:left="277"/>
              <w:rPr>
                <w:sz w:val="18"/>
                <w:szCs w:val="18"/>
              </w:rPr>
            </w:pPr>
            <w:r>
              <w:rPr>
                <w:sz w:val="18"/>
                <w:szCs w:val="18"/>
              </w:rPr>
              <w:t>人</w:t>
            </w:r>
          </w:p>
        </w:tc>
        <w:tc>
          <w:tcPr>
            <w:tcW w:w="1124" w:type="dxa"/>
          </w:tcPr>
          <w:p w14:paraId="5272AE53">
            <w:pPr>
              <w:pStyle w:val="337"/>
              <w:spacing w:before="105" w:line="223" w:lineRule="auto"/>
              <w:ind w:left="252"/>
              <w:rPr>
                <w:sz w:val="18"/>
                <w:szCs w:val="18"/>
              </w:rPr>
            </w:pPr>
            <w:r>
              <w:rPr>
                <w:spacing w:val="-2"/>
                <w:sz w:val="18"/>
                <w:szCs w:val="18"/>
              </w:rPr>
              <w:t>X≥1000</w:t>
            </w:r>
          </w:p>
        </w:tc>
        <w:tc>
          <w:tcPr>
            <w:tcW w:w="1700" w:type="dxa"/>
          </w:tcPr>
          <w:p w14:paraId="1F9F407C">
            <w:pPr>
              <w:pStyle w:val="337"/>
              <w:spacing w:before="102" w:line="226" w:lineRule="auto"/>
              <w:ind w:left="326"/>
              <w:rPr>
                <w:sz w:val="18"/>
                <w:szCs w:val="18"/>
              </w:rPr>
            </w:pPr>
            <w:r>
              <w:rPr>
                <w:spacing w:val="-2"/>
                <w:sz w:val="18"/>
                <w:szCs w:val="18"/>
              </w:rPr>
              <w:t>300≤X＜1000</w:t>
            </w:r>
          </w:p>
        </w:tc>
        <w:tc>
          <w:tcPr>
            <w:tcW w:w="1424" w:type="dxa"/>
          </w:tcPr>
          <w:p w14:paraId="1BCFE05A">
            <w:pPr>
              <w:pStyle w:val="337"/>
              <w:spacing w:before="102" w:line="226" w:lineRule="auto"/>
              <w:ind w:left="256"/>
              <w:rPr>
                <w:sz w:val="18"/>
                <w:szCs w:val="18"/>
              </w:rPr>
            </w:pPr>
            <w:r>
              <w:rPr>
                <w:spacing w:val="-5"/>
                <w:sz w:val="18"/>
                <w:szCs w:val="18"/>
              </w:rPr>
              <w:t>100≤X＜300</w:t>
            </w:r>
          </w:p>
        </w:tc>
        <w:tc>
          <w:tcPr>
            <w:tcW w:w="997" w:type="dxa"/>
          </w:tcPr>
          <w:p w14:paraId="1D91255D">
            <w:pPr>
              <w:pStyle w:val="337"/>
              <w:spacing w:before="105" w:line="223" w:lineRule="auto"/>
              <w:ind w:left="237"/>
              <w:rPr>
                <w:sz w:val="18"/>
                <w:szCs w:val="18"/>
              </w:rPr>
            </w:pPr>
            <w:r>
              <w:rPr>
                <w:spacing w:val="-2"/>
                <w:sz w:val="18"/>
                <w:szCs w:val="18"/>
              </w:rPr>
              <w:t>X＜100</w:t>
            </w:r>
          </w:p>
        </w:tc>
      </w:tr>
      <w:tr w14:paraId="45B5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120" w:type="dxa"/>
            <w:vMerge w:val="continue"/>
            <w:tcBorders>
              <w:top w:val="nil"/>
            </w:tcBorders>
          </w:tcPr>
          <w:p w14:paraId="7CCEC2BB">
            <w:pPr>
              <w:rPr>
                <w:rFonts w:ascii="Arial"/>
              </w:rPr>
            </w:pPr>
          </w:p>
        </w:tc>
        <w:tc>
          <w:tcPr>
            <w:tcW w:w="1366" w:type="dxa"/>
          </w:tcPr>
          <w:p w14:paraId="008F7C9B">
            <w:pPr>
              <w:pStyle w:val="337"/>
              <w:spacing w:before="101" w:line="220" w:lineRule="auto"/>
              <w:ind w:left="202"/>
              <w:rPr>
                <w:sz w:val="18"/>
                <w:szCs w:val="18"/>
              </w:rPr>
            </w:pPr>
            <w:r>
              <w:rPr>
                <w:spacing w:val="-4"/>
                <w:sz w:val="18"/>
                <w:szCs w:val="18"/>
              </w:rPr>
              <w:t>营业收入(Y)</w:t>
            </w:r>
          </w:p>
        </w:tc>
        <w:tc>
          <w:tcPr>
            <w:tcW w:w="708" w:type="dxa"/>
          </w:tcPr>
          <w:p w14:paraId="5C393289">
            <w:pPr>
              <w:pStyle w:val="337"/>
              <w:spacing w:before="93" w:line="221" w:lineRule="auto"/>
              <w:ind w:left="191"/>
              <w:rPr>
                <w:sz w:val="18"/>
                <w:szCs w:val="18"/>
              </w:rPr>
            </w:pPr>
            <w:r>
              <w:rPr>
                <w:spacing w:val="-6"/>
                <w:sz w:val="18"/>
                <w:szCs w:val="18"/>
              </w:rPr>
              <w:t>万元</w:t>
            </w:r>
          </w:p>
        </w:tc>
        <w:tc>
          <w:tcPr>
            <w:tcW w:w="1124" w:type="dxa"/>
          </w:tcPr>
          <w:p w14:paraId="28F84A1F">
            <w:pPr>
              <w:pStyle w:val="337"/>
              <w:spacing w:before="105" w:line="226" w:lineRule="auto"/>
              <w:ind w:left="251"/>
              <w:rPr>
                <w:sz w:val="18"/>
                <w:szCs w:val="18"/>
              </w:rPr>
            </w:pPr>
            <w:r>
              <w:rPr>
                <w:spacing w:val="-2"/>
                <w:sz w:val="18"/>
                <w:szCs w:val="18"/>
              </w:rPr>
              <w:t>Y≥5000</w:t>
            </w:r>
          </w:p>
        </w:tc>
        <w:tc>
          <w:tcPr>
            <w:tcW w:w="1700" w:type="dxa"/>
          </w:tcPr>
          <w:p w14:paraId="10D930FE">
            <w:pPr>
              <w:pStyle w:val="337"/>
              <w:spacing w:before="105" w:line="226" w:lineRule="auto"/>
              <w:ind w:left="250"/>
              <w:rPr>
                <w:sz w:val="18"/>
                <w:szCs w:val="18"/>
              </w:rPr>
            </w:pPr>
            <w:r>
              <w:rPr>
                <w:spacing w:val="-4"/>
                <w:sz w:val="18"/>
                <w:szCs w:val="18"/>
              </w:rPr>
              <w:t>1000≤Y＜5000</w:t>
            </w:r>
          </w:p>
        </w:tc>
        <w:tc>
          <w:tcPr>
            <w:tcW w:w="1424" w:type="dxa"/>
          </w:tcPr>
          <w:p w14:paraId="0850E7A9">
            <w:pPr>
              <w:pStyle w:val="337"/>
              <w:spacing w:before="105" w:line="226" w:lineRule="auto"/>
              <w:ind w:left="239"/>
              <w:rPr>
                <w:sz w:val="18"/>
                <w:szCs w:val="18"/>
              </w:rPr>
            </w:pPr>
            <w:r>
              <w:rPr>
                <w:spacing w:val="-2"/>
                <w:sz w:val="18"/>
                <w:szCs w:val="18"/>
              </w:rPr>
              <w:t>500≤Y＜1000</w:t>
            </w:r>
          </w:p>
        </w:tc>
        <w:tc>
          <w:tcPr>
            <w:tcW w:w="997" w:type="dxa"/>
          </w:tcPr>
          <w:p w14:paraId="7B28E9F8">
            <w:pPr>
              <w:pStyle w:val="337"/>
              <w:spacing w:before="108" w:line="223" w:lineRule="auto"/>
              <w:ind w:left="234"/>
              <w:rPr>
                <w:sz w:val="18"/>
                <w:szCs w:val="18"/>
              </w:rPr>
            </w:pPr>
            <w:r>
              <w:rPr>
                <w:spacing w:val="-1"/>
                <w:sz w:val="18"/>
                <w:szCs w:val="18"/>
              </w:rPr>
              <w:t>Y＜500</w:t>
            </w:r>
          </w:p>
        </w:tc>
      </w:tr>
      <w:tr w14:paraId="12A57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20" w:type="dxa"/>
            <w:vMerge w:val="restart"/>
            <w:tcBorders>
              <w:bottom w:val="nil"/>
            </w:tcBorders>
          </w:tcPr>
          <w:p w14:paraId="72BA6998">
            <w:pPr>
              <w:pStyle w:val="337"/>
              <w:spacing w:before="271" w:line="220" w:lineRule="auto"/>
              <w:ind w:left="122"/>
              <w:rPr>
                <w:sz w:val="18"/>
                <w:szCs w:val="18"/>
              </w:rPr>
            </w:pPr>
            <w:r>
              <w:rPr>
                <w:spacing w:val="-2"/>
                <w:sz w:val="18"/>
                <w:szCs w:val="18"/>
              </w:rPr>
              <w:t>租赁和商务服务业</w:t>
            </w:r>
          </w:p>
        </w:tc>
        <w:tc>
          <w:tcPr>
            <w:tcW w:w="1366" w:type="dxa"/>
          </w:tcPr>
          <w:p w14:paraId="4FEF7B3F">
            <w:pPr>
              <w:pStyle w:val="337"/>
              <w:spacing w:before="90" w:line="221" w:lineRule="auto"/>
              <w:ind w:left="196"/>
              <w:rPr>
                <w:sz w:val="18"/>
                <w:szCs w:val="18"/>
              </w:rPr>
            </w:pPr>
            <w:r>
              <w:rPr>
                <w:spacing w:val="-10"/>
                <w:sz w:val="18"/>
                <w:szCs w:val="18"/>
              </w:rPr>
              <w:t>从业人员(X)</w:t>
            </w:r>
          </w:p>
        </w:tc>
        <w:tc>
          <w:tcPr>
            <w:tcW w:w="708" w:type="dxa"/>
          </w:tcPr>
          <w:p w14:paraId="17B9D73C">
            <w:pPr>
              <w:pStyle w:val="337"/>
              <w:spacing w:before="93" w:line="223" w:lineRule="auto"/>
              <w:ind w:left="277"/>
              <w:rPr>
                <w:sz w:val="18"/>
                <w:szCs w:val="18"/>
              </w:rPr>
            </w:pPr>
            <w:r>
              <w:rPr>
                <w:sz w:val="18"/>
                <w:szCs w:val="18"/>
              </w:rPr>
              <w:t>人</w:t>
            </w:r>
          </w:p>
        </w:tc>
        <w:tc>
          <w:tcPr>
            <w:tcW w:w="1124" w:type="dxa"/>
          </w:tcPr>
          <w:p w14:paraId="6FD0CE71">
            <w:pPr>
              <w:pStyle w:val="337"/>
              <w:spacing w:before="102" w:line="228" w:lineRule="auto"/>
              <w:ind w:left="297"/>
              <w:rPr>
                <w:sz w:val="18"/>
                <w:szCs w:val="18"/>
              </w:rPr>
            </w:pPr>
            <w:r>
              <w:rPr>
                <w:spacing w:val="-2"/>
                <w:sz w:val="18"/>
                <w:szCs w:val="18"/>
              </w:rPr>
              <w:t>X≥300</w:t>
            </w:r>
          </w:p>
        </w:tc>
        <w:tc>
          <w:tcPr>
            <w:tcW w:w="1700" w:type="dxa"/>
          </w:tcPr>
          <w:p w14:paraId="2CAF5B7E">
            <w:pPr>
              <w:pStyle w:val="337"/>
              <w:spacing w:before="102" w:line="228" w:lineRule="auto"/>
              <w:ind w:left="338"/>
              <w:rPr>
                <w:sz w:val="18"/>
                <w:szCs w:val="18"/>
              </w:rPr>
            </w:pPr>
            <w:r>
              <w:rPr>
                <w:spacing w:val="-4"/>
                <w:sz w:val="18"/>
                <w:szCs w:val="18"/>
              </w:rPr>
              <w:t>100≤X＜300</w:t>
            </w:r>
          </w:p>
        </w:tc>
        <w:tc>
          <w:tcPr>
            <w:tcW w:w="1424" w:type="dxa"/>
          </w:tcPr>
          <w:p w14:paraId="0F09AECF">
            <w:pPr>
              <w:pStyle w:val="337"/>
              <w:spacing w:before="102" w:line="228" w:lineRule="auto"/>
              <w:ind w:left="347"/>
              <w:rPr>
                <w:sz w:val="18"/>
                <w:szCs w:val="18"/>
              </w:rPr>
            </w:pPr>
            <w:r>
              <w:rPr>
                <w:spacing w:val="-5"/>
                <w:sz w:val="18"/>
                <w:szCs w:val="18"/>
              </w:rPr>
              <w:t>10≤X＜100</w:t>
            </w:r>
          </w:p>
        </w:tc>
        <w:tc>
          <w:tcPr>
            <w:tcW w:w="997" w:type="dxa"/>
          </w:tcPr>
          <w:p w14:paraId="69187301">
            <w:pPr>
              <w:pStyle w:val="337"/>
              <w:spacing w:before="105" w:line="225" w:lineRule="auto"/>
              <w:ind w:left="281"/>
              <w:rPr>
                <w:sz w:val="18"/>
                <w:szCs w:val="18"/>
              </w:rPr>
            </w:pPr>
            <w:r>
              <w:rPr>
                <w:spacing w:val="-2"/>
                <w:sz w:val="18"/>
                <w:szCs w:val="18"/>
              </w:rPr>
              <w:t>X＜10</w:t>
            </w:r>
          </w:p>
        </w:tc>
      </w:tr>
      <w:tr w14:paraId="55E4A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120" w:type="dxa"/>
            <w:vMerge w:val="continue"/>
            <w:tcBorders>
              <w:top w:val="nil"/>
            </w:tcBorders>
          </w:tcPr>
          <w:p w14:paraId="24953289">
            <w:pPr>
              <w:rPr>
                <w:rFonts w:ascii="Arial"/>
              </w:rPr>
            </w:pPr>
          </w:p>
        </w:tc>
        <w:tc>
          <w:tcPr>
            <w:tcW w:w="1366" w:type="dxa"/>
          </w:tcPr>
          <w:p w14:paraId="68796AAA">
            <w:pPr>
              <w:pStyle w:val="337"/>
              <w:spacing w:before="99" w:line="220" w:lineRule="auto"/>
              <w:ind w:left="207"/>
              <w:rPr>
                <w:sz w:val="18"/>
                <w:szCs w:val="18"/>
              </w:rPr>
            </w:pPr>
            <w:r>
              <w:rPr>
                <w:spacing w:val="-4"/>
                <w:sz w:val="18"/>
                <w:szCs w:val="18"/>
              </w:rPr>
              <w:t>资产总额(Z)</w:t>
            </w:r>
          </w:p>
        </w:tc>
        <w:tc>
          <w:tcPr>
            <w:tcW w:w="708" w:type="dxa"/>
          </w:tcPr>
          <w:p w14:paraId="04757859">
            <w:pPr>
              <w:pStyle w:val="337"/>
              <w:spacing w:before="91" w:line="221" w:lineRule="auto"/>
              <w:ind w:left="191"/>
              <w:rPr>
                <w:sz w:val="18"/>
                <w:szCs w:val="18"/>
              </w:rPr>
            </w:pPr>
            <w:r>
              <w:rPr>
                <w:spacing w:val="-6"/>
                <w:sz w:val="18"/>
                <w:szCs w:val="18"/>
              </w:rPr>
              <w:t>万元</w:t>
            </w:r>
          </w:p>
        </w:tc>
        <w:tc>
          <w:tcPr>
            <w:tcW w:w="1124" w:type="dxa"/>
          </w:tcPr>
          <w:p w14:paraId="1D56D833">
            <w:pPr>
              <w:pStyle w:val="337"/>
              <w:spacing w:before="106" w:line="222" w:lineRule="auto"/>
              <w:ind w:left="164"/>
              <w:rPr>
                <w:sz w:val="18"/>
                <w:szCs w:val="18"/>
              </w:rPr>
            </w:pPr>
            <w:r>
              <w:rPr>
                <w:spacing w:val="-2"/>
                <w:sz w:val="18"/>
                <w:szCs w:val="18"/>
              </w:rPr>
              <w:t>Z≥120000</w:t>
            </w:r>
          </w:p>
        </w:tc>
        <w:tc>
          <w:tcPr>
            <w:tcW w:w="1700" w:type="dxa"/>
          </w:tcPr>
          <w:p w14:paraId="3238235A">
            <w:pPr>
              <w:pStyle w:val="337"/>
              <w:spacing w:before="103" w:line="225" w:lineRule="auto"/>
              <w:ind w:left="235"/>
              <w:rPr>
                <w:sz w:val="18"/>
                <w:szCs w:val="18"/>
              </w:rPr>
            </w:pPr>
            <w:r>
              <w:rPr>
                <w:spacing w:val="-2"/>
                <w:sz w:val="18"/>
                <w:szCs w:val="18"/>
              </w:rPr>
              <w:t>8000≤Z＜120000</w:t>
            </w:r>
          </w:p>
        </w:tc>
        <w:tc>
          <w:tcPr>
            <w:tcW w:w="1424" w:type="dxa"/>
          </w:tcPr>
          <w:p w14:paraId="745C72CC">
            <w:pPr>
              <w:pStyle w:val="337"/>
              <w:spacing w:before="103" w:line="225" w:lineRule="auto"/>
              <w:ind w:left="258"/>
              <w:rPr>
                <w:sz w:val="18"/>
                <w:szCs w:val="18"/>
              </w:rPr>
            </w:pPr>
            <w:r>
              <w:rPr>
                <w:spacing w:val="-4"/>
                <w:sz w:val="18"/>
                <w:szCs w:val="18"/>
              </w:rPr>
              <w:t>100≤Z＜8000</w:t>
            </w:r>
          </w:p>
        </w:tc>
        <w:tc>
          <w:tcPr>
            <w:tcW w:w="997" w:type="dxa"/>
          </w:tcPr>
          <w:p w14:paraId="6BB44DCC">
            <w:pPr>
              <w:pStyle w:val="337"/>
              <w:spacing w:before="106" w:line="222" w:lineRule="auto"/>
              <w:ind w:left="239"/>
              <w:rPr>
                <w:sz w:val="18"/>
                <w:szCs w:val="18"/>
              </w:rPr>
            </w:pPr>
            <w:r>
              <w:rPr>
                <w:spacing w:val="-2"/>
                <w:sz w:val="18"/>
                <w:szCs w:val="18"/>
              </w:rPr>
              <w:t>Z＜100</w:t>
            </w:r>
          </w:p>
        </w:tc>
      </w:tr>
      <w:tr w14:paraId="6BFC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120" w:type="dxa"/>
          </w:tcPr>
          <w:p w14:paraId="66B15FDC">
            <w:pPr>
              <w:pStyle w:val="337"/>
              <w:spacing w:before="128" w:line="220" w:lineRule="auto"/>
              <w:ind w:left="121"/>
              <w:rPr>
                <w:sz w:val="18"/>
                <w:szCs w:val="18"/>
              </w:rPr>
            </w:pPr>
            <w:r>
              <w:rPr>
                <w:spacing w:val="-2"/>
                <w:sz w:val="18"/>
                <w:szCs w:val="18"/>
              </w:rPr>
              <w:t>其他未列明行业 *</w:t>
            </w:r>
          </w:p>
        </w:tc>
        <w:tc>
          <w:tcPr>
            <w:tcW w:w="1366" w:type="dxa"/>
          </w:tcPr>
          <w:p w14:paraId="6CCA33DF">
            <w:pPr>
              <w:pStyle w:val="337"/>
              <w:spacing w:before="123" w:line="221" w:lineRule="auto"/>
              <w:ind w:left="196"/>
              <w:rPr>
                <w:sz w:val="18"/>
                <w:szCs w:val="18"/>
              </w:rPr>
            </w:pPr>
            <w:r>
              <w:rPr>
                <w:spacing w:val="-10"/>
                <w:sz w:val="18"/>
                <w:szCs w:val="18"/>
              </w:rPr>
              <w:t>从业人员(X)</w:t>
            </w:r>
          </w:p>
        </w:tc>
        <w:tc>
          <w:tcPr>
            <w:tcW w:w="708" w:type="dxa"/>
          </w:tcPr>
          <w:p w14:paraId="4A8C5552">
            <w:pPr>
              <w:pStyle w:val="337"/>
              <w:spacing w:before="125" w:line="223" w:lineRule="auto"/>
              <w:ind w:left="277"/>
              <w:rPr>
                <w:sz w:val="18"/>
                <w:szCs w:val="18"/>
              </w:rPr>
            </w:pPr>
            <w:r>
              <w:rPr>
                <w:sz w:val="18"/>
                <w:szCs w:val="18"/>
              </w:rPr>
              <w:t>人</w:t>
            </w:r>
          </w:p>
        </w:tc>
        <w:tc>
          <w:tcPr>
            <w:tcW w:w="1124" w:type="dxa"/>
          </w:tcPr>
          <w:p w14:paraId="1940B5F8">
            <w:pPr>
              <w:pStyle w:val="337"/>
              <w:spacing w:before="135" w:line="238" w:lineRule="auto"/>
              <w:ind w:left="297"/>
              <w:rPr>
                <w:sz w:val="18"/>
                <w:szCs w:val="18"/>
              </w:rPr>
            </w:pPr>
            <w:r>
              <w:rPr>
                <w:spacing w:val="-2"/>
                <w:sz w:val="18"/>
                <w:szCs w:val="18"/>
              </w:rPr>
              <w:t>X≥300</w:t>
            </w:r>
          </w:p>
        </w:tc>
        <w:tc>
          <w:tcPr>
            <w:tcW w:w="1700" w:type="dxa"/>
          </w:tcPr>
          <w:p w14:paraId="619002EC">
            <w:pPr>
              <w:pStyle w:val="337"/>
              <w:spacing w:before="135" w:line="237" w:lineRule="auto"/>
              <w:ind w:left="338"/>
              <w:rPr>
                <w:sz w:val="18"/>
                <w:szCs w:val="18"/>
              </w:rPr>
            </w:pPr>
            <w:r>
              <w:rPr>
                <w:spacing w:val="-4"/>
                <w:sz w:val="18"/>
                <w:szCs w:val="18"/>
              </w:rPr>
              <w:t>100≤X＜300</w:t>
            </w:r>
          </w:p>
        </w:tc>
        <w:tc>
          <w:tcPr>
            <w:tcW w:w="1424" w:type="dxa"/>
          </w:tcPr>
          <w:p w14:paraId="3D000FE6">
            <w:pPr>
              <w:pStyle w:val="337"/>
              <w:spacing w:before="135" w:line="237" w:lineRule="auto"/>
              <w:ind w:left="347"/>
              <w:rPr>
                <w:sz w:val="18"/>
                <w:szCs w:val="18"/>
              </w:rPr>
            </w:pPr>
            <w:r>
              <w:rPr>
                <w:spacing w:val="-5"/>
                <w:sz w:val="18"/>
                <w:szCs w:val="18"/>
              </w:rPr>
              <w:t>10≤X＜100</w:t>
            </w:r>
          </w:p>
        </w:tc>
        <w:tc>
          <w:tcPr>
            <w:tcW w:w="997" w:type="dxa"/>
          </w:tcPr>
          <w:p w14:paraId="4AA21B4E">
            <w:pPr>
              <w:pStyle w:val="337"/>
              <w:spacing w:before="138"/>
              <w:ind w:left="281"/>
              <w:rPr>
                <w:sz w:val="18"/>
                <w:szCs w:val="18"/>
              </w:rPr>
            </w:pPr>
            <w:r>
              <w:rPr>
                <w:spacing w:val="-2"/>
                <w:sz w:val="18"/>
                <w:szCs w:val="18"/>
              </w:rPr>
              <w:t>X＜10</w:t>
            </w:r>
          </w:p>
        </w:tc>
      </w:tr>
    </w:tbl>
    <w:p w14:paraId="008C2652">
      <w:pPr>
        <w:pStyle w:val="23"/>
        <w:spacing w:line="255" w:lineRule="auto"/>
      </w:pPr>
    </w:p>
    <w:p w14:paraId="0CE5A4F6">
      <w:pPr>
        <w:spacing w:before="65" w:line="228" w:lineRule="auto"/>
        <w:ind w:left="631"/>
        <w:rPr>
          <w:rFonts w:ascii="宋体" w:hAnsi="宋体" w:cs="宋体"/>
          <w:sz w:val="20"/>
          <w:szCs w:val="20"/>
        </w:rPr>
      </w:pPr>
      <w:r>
        <w:rPr>
          <w:rFonts w:ascii="宋体" w:hAnsi="宋体" w:cs="宋体"/>
          <w:spacing w:val="-2"/>
          <w:sz w:val="20"/>
          <w:szCs w:val="20"/>
        </w:rPr>
        <w:t>说明：</w:t>
      </w:r>
    </w:p>
    <w:p w14:paraId="34043233">
      <w:pPr>
        <w:spacing w:before="179" w:line="383" w:lineRule="auto"/>
        <w:ind w:left="206" w:right="25" w:firstLine="449"/>
        <w:rPr>
          <w:rFonts w:ascii="宋体" w:hAnsi="宋体" w:cs="宋体"/>
          <w:sz w:val="20"/>
          <w:szCs w:val="20"/>
        </w:rPr>
      </w:pPr>
      <w:r>
        <w:rPr>
          <w:rFonts w:ascii="宋体" w:hAnsi="宋体" w:cs="宋体"/>
          <w:spacing w:val="12"/>
          <w:sz w:val="20"/>
          <w:szCs w:val="20"/>
        </w:rPr>
        <w:t>1.大型、中型和小型企业须同时满足所列指标的下限，否则下划一档；微型企业只须满足所列</w:t>
      </w:r>
      <w:r>
        <w:rPr>
          <w:rFonts w:ascii="宋体" w:hAnsi="宋体" w:cs="宋体"/>
          <w:spacing w:val="5"/>
          <w:sz w:val="20"/>
          <w:szCs w:val="20"/>
        </w:rPr>
        <w:t>指标中的一项即可。</w:t>
      </w:r>
    </w:p>
    <w:p w14:paraId="27A72DFA">
      <w:pPr>
        <w:spacing w:before="42" w:line="349" w:lineRule="auto"/>
        <w:ind w:firstLine="423"/>
        <w:rPr>
          <w:rFonts w:ascii="宋体" w:hAnsi="宋体" w:cs="宋体"/>
          <w:sz w:val="20"/>
          <w:szCs w:val="20"/>
        </w:rPr>
      </w:pPr>
      <w:bookmarkStart w:id="18" w:name="bookmark8"/>
      <w:bookmarkEnd w:id="18"/>
      <w:r>
        <w:rPr>
          <w:rFonts w:ascii="宋体" w:hAnsi="宋体" w:cs="宋体"/>
          <w:spacing w:val="12"/>
          <w:sz w:val="20"/>
          <w:szCs w:val="20"/>
        </w:rPr>
        <w:t>2.附表中各行业的范围以《国民经济行业分类》（</w:t>
      </w:r>
      <w:r>
        <w:rPr>
          <w:rFonts w:ascii="宋体" w:hAnsi="宋体" w:cs="宋体"/>
          <w:sz w:val="20"/>
          <w:szCs w:val="20"/>
        </w:rPr>
        <w:t>GB</w:t>
      </w:r>
      <w:r>
        <w:rPr>
          <w:rFonts w:ascii="宋体" w:hAnsi="宋体" w:cs="宋体"/>
          <w:spacing w:val="12"/>
          <w:sz w:val="20"/>
          <w:szCs w:val="20"/>
        </w:rPr>
        <w:t>/T4754-2017）为准。带*的项</w:t>
      </w:r>
      <w:r>
        <w:rPr>
          <w:rFonts w:ascii="宋体" w:hAnsi="宋体" w:cs="宋体"/>
          <w:spacing w:val="11"/>
          <w:sz w:val="20"/>
          <w:szCs w:val="20"/>
        </w:rPr>
        <w:t>为行业组合类别</w:t>
      </w:r>
      <w:r>
        <w:rPr>
          <w:rFonts w:ascii="宋体" w:hAnsi="宋体" w:cs="宋体"/>
          <w:spacing w:val="9"/>
          <w:sz w:val="20"/>
          <w:szCs w:val="20"/>
        </w:rPr>
        <w:t>,其中，工业包括采矿业，制造业，电力、热力、燃气及水生产和供应业；交通运输业包括道 路运输业</w:t>
      </w:r>
      <w:r>
        <w:rPr>
          <w:rFonts w:ascii="宋体" w:hAnsi="宋体" w:cs="宋体"/>
          <w:spacing w:val="10"/>
          <w:sz w:val="20"/>
          <w:szCs w:val="20"/>
        </w:rPr>
        <w:t>,水上运输业，航空运输业，管道运输业，多式联运和运输代理业、装卸搬运，不包括铁 路运输业；仓</w:t>
      </w:r>
      <w:r>
        <w:rPr>
          <w:rFonts w:ascii="宋体" w:hAnsi="宋体" w:cs="宋体"/>
          <w:spacing w:val="12"/>
          <w:sz w:val="20"/>
          <w:szCs w:val="20"/>
        </w:rPr>
        <w:t>储业包括通用仓储，低温仓储，危险品仓储，谷物、棉</w:t>
      </w:r>
      <w:r>
        <w:rPr>
          <w:rFonts w:ascii="宋体" w:hAnsi="宋体" w:cs="宋体"/>
          <w:spacing w:val="11"/>
          <w:sz w:val="20"/>
          <w:szCs w:val="20"/>
        </w:rPr>
        <w:t>花等农产品仓储，中药材仓储 和其他仓储业；信</w:t>
      </w:r>
      <w:r>
        <w:rPr>
          <w:rFonts w:ascii="宋体" w:hAnsi="宋体" w:cs="宋体"/>
          <w:spacing w:val="12"/>
          <w:sz w:val="20"/>
          <w:szCs w:val="20"/>
        </w:rPr>
        <w:t>息传输业包括电信、广播电视和卫星传输服务，互联网</w:t>
      </w:r>
      <w:r>
        <w:rPr>
          <w:rFonts w:ascii="宋体" w:hAnsi="宋体" w:cs="宋体"/>
          <w:spacing w:val="11"/>
          <w:sz w:val="20"/>
          <w:szCs w:val="20"/>
        </w:rPr>
        <w:t>和相关服务；其他未列明 行业包括科学研究和技</w:t>
      </w:r>
      <w:r>
        <w:rPr>
          <w:rFonts w:ascii="宋体" w:hAnsi="宋体" w:cs="宋体"/>
          <w:spacing w:val="14"/>
          <w:sz w:val="20"/>
          <w:szCs w:val="20"/>
        </w:rPr>
        <w:t>术服务业，水利、环境和公共设施管理业，居民服务、修理和其他服务业，社会工作，文化、体育和娱</w:t>
      </w:r>
      <w:r>
        <w:rPr>
          <w:rFonts w:ascii="宋体" w:hAnsi="宋体" w:cs="宋体"/>
          <w:spacing w:val="9"/>
          <w:sz w:val="20"/>
          <w:szCs w:val="20"/>
        </w:rPr>
        <w:t>乐业，以及房地产中介服务，其他房地产业等，不包括自有房地产经活动。</w:t>
      </w:r>
    </w:p>
    <w:p w14:paraId="2D60565E">
      <w:pPr>
        <w:spacing w:before="154" w:line="341" w:lineRule="auto"/>
        <w:ind w:left="2" w:right="108" w:firstLine="432"/>
        <w:rPr>
          <w:rFonts w:ascii="宋体" w:hAnsi="宋体" w:cs="宋体"/>
          <w:sz w:val="20"/>
          <w:szCs w:val="20"/>
        </w:rPr>
      </w:pPr>
      <w:r>
        <w:rPr>
          <w:rFonts w:ascii="宋体" w:hAnsi="宋体" w:cs="宋体"/>
          <w:spacing w:val="13"/>
          <w:sz w:val="20"/>
          <w:szCs w:val="20"/>
        </w:rPr>
        <w:t xml:space="preserve">3.企业划分指标以现行统计制度为准。（1）从业人员，是指期末从业人员数，没有期末从业人员 </w:t>
      </w:r>
      <w:r>
        <w:rPr>
          <w:rFonts w:ascii="宋体" w:hAnsi="宋体" w:cs="宋体"/>
          <w:spacing w:val="14"/>
          <w:sz w:val="20"/>
          <w:szCs w:val="20"/>
        </w:rPr>
        <w:t>数的，采用全年平均人员数代替。（2）营业收入，工业、建筑业、限额</w:t>
      </w:r>
      <w:r>
        <w:rPr>
          <w:rFonts w:ascii="宋体" w:hAnsi="宋体" w:cs="宋体"/>
          <w:spacing w:val="13"/>
          <w:sz w:val="20"/>
          <w:szCs w:val="20"/>
        </w:rPr>
        <w:t>以上批发和零售业、限额以上</w:t>
      </w:r>
      <w:r>
        <w:rPr>
          <w:rFonts w:ascii="宋体" w:hAnsi="宋体" w:cs="宋体"/>
          <w:spacing w:val="12"/>
          <w:sz w:val="20"/>
          <w:szCs w:val="20"/>
        </w:rPr>
        <w:t>住宿和餐饮业以及其他设置主营业务收入指标的行</w:t>
      </w:r>
      <w:r>
        <w:rPr>
          <w:rFonts w:ascii="宋体" w:hAnsi="宋体" w:cs="宋体"/>
          <w:spacing w:val="11"/>
          <w:sz w:val="20"/>
          <w:szCs w:val="20"/>
        </w:rPr>
        <w:t>业，采用主营业务收入；限额以下批发与零售业企业</w:t>
      </w:r>
      <w:r>
        <w:rPr>
          <w:rFonts w:ascii="宋体" w:hAnsi="宋体" w:cs="宋体"/>
          <w:spacing w:val="12"/>
          <w:sz w:val="20"/>
          <w:szCs w:val="20"/>
        </w:rPr>
        <w:t>采用商品销售额代替；限额以下住宿与餐饮业企业</w:t>
      </w:r>
      <w:r>
        <w:rPr>
          <w:rFonts w:ascii="宋体" w:hAnsi="宋体" w:cs="宋体"/>
          <w:spacing w:val="11"/>
          <w:sz w:val="20"/>
          <w:szCs w:val="20"/>
        </w:rPr>
        <w:t>采用营业额代替；农、林、牧、渔业企业采用营业总</w:t>
      </w:r>
      <w:r>
        <w:rPr>
          <w:rFonts w:ascii="宋体" w:hAnsi="宋体" w:cs="宋体"/>
          <w:spacing w:val="14"/>
          <w:sz w:val="20"/>
          <w:szCs w:val="20"/>
        </w:rPr>
        <w:t>收入代替；其他未设置主营业务收入的行业，采用营业收入指标。（3）资产</w:t>
      </w:r>
      <w:r>
        <w:rPr>
          <w:rFonts w:ascii="宋体" w:hAnsi="宋体" w:cs="宋体"/>
          <w:spacing w:val="13"/>
          <w:sz w:val="20"/>
          <w:szCs w:val="20"/>
        </w:rPr>
        <w:t>总额，采用资产总计代替</w:t>
      </w:r>
    </w:p>
    <w:p w14:paraId="27787F25">
      <w:pPr>
        <w:spacing w:line="360" w:lineRule="auto"/>
        <w:ind w:firstLine="181" w:firstLineChars="50"/>
        <w:rPr>
          <w:rFonts w:ascii="宋体" w:hAnsi="宋体" w:cs="宋体"/>
          <w:b/>
          <w:color w:val="000000" w:themeColor="text1"/>
          <w:sz w:val="36"/>
          <w:szCs w:val="36"/>
        </w:rPr>
      </w:pPr>
    </w:p>
    <w:p w14:paraId="4013FF4B">
      <w:pPr>
        <w:pStyle w:val="39"/>
        <w:rPr>
          <w:rFonts w:ascii="宋体" w:hAnsi="宋体" w:cs="宋体"/>
          <w:b/>
          <w:color w:val="000000" w:themeColor="text1"/>
          <w:sz w:val="36"/>
          <w:szCs w:val="36"/>
        </w:rPr>
      </w:pPr>
    </w:p>
    <w:p w14:paraId="6CFC370A">
      <w:pPr>
        <w:rPr>
          <w:rFonts w:ascii="宋体" w:hAnsi="宋体" w:cs="宋体"/>
          <w:b/>
          <w:color w:val="000000" w:themeColor="text1"/>
          <w:sz w:val="36"/>
          <w:szCs w:val="36"/>
        </w:rPr>
      </w:pPr>
    </w:p>
    <w:p w14:paraId="1691B5C1">
      <w:pPr>
        <w:pStyle w:val="39"/>
        <w:rPr>
          <w:rFonts w:ascii="宋体" w:hAnsi="宋体" w:cs="宋体"/>
          <w:b/>
          <w:color w:val="000000" w:themeColor="text1"/>
          <w:sz w:val="36"/>
          <w:szCs w:val="36"/>
        </w:rPr>
      </w:pPr>
    </w:p>
    <w:p w14:paraId="5DD85B8E">
      <w:pPr>
        <w:rPr>
          <w:rFonts w:ascii="宋体" w:hAnsi="宋体" w:cs="宋体"/>
          <w:b/>
          <w:color w:val="000000" w:themeColor="text1"/>
          <w:sz w:val="36"/>
          <w:szCs w:val="36"/>
        </w:rPr>
      </w:pPr>
    </w:p>
    <w:p w14:paraId="2E1D806A">
      <w:pPr>
        <w:pStyle w:val="39"/>
        <w:rPr>
          <w:rFonts w:ascii="宋体" w:hAnsi="宋体" w:cs="宋体"/>
          <w:b/>
          <w:color w:val="000000" w:themeColor="text1"/>
          <w:sz w:val="36"/>
          <w:szCs w:val="36"/>
        </w:rPr>
      </w:pPr>
    </w:p>
    <w:p w14:paraId="27D7C4CD">
      <w:pPr>
        <w:rPr>
          <w:rFonts w:ascii="宋体" w:hAnsi="宋体" w:cs="宋体"/>
          <w:b/>
          <w:color w:val="000000" w:themeColor="text1"/>
          <w:sz w:val="36"/>
          <w:szCs w:val="36"/>
        </w:rPr>
      </w:pPr>
    </w:p>
    <w:p w14:paraId="6B7103ED">
      <w:pPr>
        <w:pStyle w:val="39"/>
        <w:rPr>
          <w:rFonts w:ascii="宋体" w:hAnsi="宋体" w:cs="宋体"/>
          <w:b/>
          <w:color w:val="000000" w:themeColor="text1"/>
          <w:sz w:val="36"/>
          <w:szCs w:val="36"/>
        </w:rPr>
      </w:pPr>
    </w:p>
    <w:p w14:paraId="26BE8E1A">
      <w:pPr>
        <w:rPr>
          <w:rFonts w:ascii="宋体" w:hAnsi="宋体" w:cs="宋体"/>
          <w:b/>
          <w:color w:val="000000" w:themeColor="text1"/>
          <w:sz w:val="36"/>
          <w:szCs w:val="36"/>
        </w:rPr>
      </w:pPr>
    </w:p>
    <w:p w14:paraId="075D7215">
      <w:pPr>
        <w:pStyle w:val="39"/>
        <w:rPr>
          <w:rFonts w:ascii="宋体" w:hAnsi="宋体" w:cs="宋体"/>
          <w:b/>
          <w:color w:val="000000" w:themeColor="text1"/>
          <w:sz w:val="36"/>
          <w:szCs w:val="36"/>
        </w:rPr>
      </w:pPr>
    </w:p>
    <w:p w14:paraId="578695D0">
      <w:pPr>
        <w:rPr>
          <w:rFonts w:ascii="宋体" w:hAnsi="宋体" w:cs="宋体"/>
          <w:b/>
          <w:color w:val="000000" w:themeColor="text1"/>
          <w:sz w:val="36"/>
          <w:szCs w:val="36"/>
        </w:rPr>
      </w:pPr>
    </w:p>
    <w:p w14:paraId="7CB1149E">
      <w:pPr>
        <w:pStyle w:val="39"/>
      </w:pPr>
    </w:p>
    <w:p w14:paraId="340CA9AC">
      <w:pPr>
        <w:rPr>
          <w:rFonts w:ascii="宋体" w:hAnsi="宋体" w:cs="宋体"/>
          <w:b/>
          <w:color w:val="000000" w:themeColor="text1"/>
          <w:sz w:val="36"/>
          <w:szCs w:val="36"/>
        </w:rPr>
      </w:pPr>
    </w:p>
    <w:p w14:paraId="3CF95811">
      <w:pPr>
        <w:pStyle w:val="39"/>
        <w:rPr>
          <w:rFonts w:ascii="宋体" w:hAnsi="宋体" w:cs="宋体"/>
          <w:b/>
          <w:color w:val="000000" w:themeColor="text1"/>
          <w:sz w:val="36"/>
          <w:szCs w:val="36"/>
        </w:rPr>
      </w:pPr>
    </w:p>
    <w:p w14:paraId="2DDFEF81">
      <w:pPr>
        <w:pStyle w:val="39"/>
      </w:pPr>
    </w:p>
    <w:p w14:paraId="09BC1380">
      <w:pPr>
        <w:spacing w:line="360" w:lineRule="auto"/>
        <w:jc w:val="center"/>
        <w:outlineLvl w:val="0"/>
        <w:rPr>
          <w:rFonts w:ascii="宋体" w:hAnsi="宋体" w:cs="宋体"/>
          <w:b/>
          <w:color w:val="000000" w:themeColor="text1"/>
          <w:sz w:val="36"/>
          <w:szCs w:val="36"/>
        </w:rPr>
      </w:pPr>
      <w:bookmarkStart w:id="19" w:name="_Toc176368905"/>
      <w:r>
        <w:rPr>
          <w:rFonts w:hint="eastAsia" w:ascii="宋体" w:hAnsi="宋体" w:cs="宋体"/>
          <w:b/>
          <w:color w:val="000000" w:themeColor="text1"/>
          <w:sz w:val="36"/>
          <w:szCs w:val="36"/>
        </w:rPr>
        <w:t>第四部分</w:t>
      </w:r>
      <w:bookmarkStart w:id="20" w:name="_Toc184312080"/>
      <w:bookmarkEnd w:id="20"/>
      <w:bookmarkStart w:id="21" w:name="_Toc184312083"/>
      <w:bookmarkEnd w:id="21"/>
      <w:bookmarkStart w:id="22" w:name="_Toc184312110"/>
      <w:bookmarkEnd w:id="22"/>
      <w:bookmarkStart w:id="23" w:name="_Toc184310333"/>
      <w:bookmarkEnd w:id="23"/>
      <w:bookmarkStart w:id="24" w:name="_Toc184310340"/>
      <w:bookmarkEnd w:id="24"/>
      <w:bookmarkStart w:id="25" w:name="_Toc184308099"/>
      <w:bookmarkEnd w:id="25"/>
      <w:bookmarkStart w:id="26" w:name="_Toc184310326"/>
      <w:bookmarkEnd w:id="26"/>
      <w:bookmarkStart w:id="27" w:name="_Toc184312075"/>
      <w:bookmarkEnd w:id="27"/>
      <w:bookmarkStart w:id="28" w:name="_Toc184308101"/>
      <w:bookmarkEnd w:id="28"/>
      <w:bookmarkStart w:id="29" w:name="_Toc184312123"/>
      <w:bookmarkEnd w:id="29"/>
      <w:bookmarkStart w:id="30" w:name="_Toc184310303"/>
      <w:bookmarkEnd w:id="30"/>
      <w:bookmarkStart w:id="31" w:name="_Toc184312137"/>
      <w:bookmarkEnd w:id="31"/>
      <w:bookmarkStart w:id="32" w:name="_Toc184308068"/>
      <w:bookmarkEnd w:id="32"/>
      <w:bookmarkStart w:id="33" w:name="_Toc184314466"/>
      <w:bookmarkEnd w:id="33"/>
      <w:bookmarkStart w:id="34" w:name="_Toc184310322"/>
      <w:bookmarkEnd w:id="34"/>
      <w:bookmarkStart w:id="35" w:name="_Toc184314470"/>
      <w:bookmarkEnd w:id="35"/>
      <w:bookmarkStart w:id="36" w:name="_Toc184312072"/>
      <w:bookmarkEnd w:id="36"/>
      <w:bookmarkStart w:id="37" w:name="_Toc184308045"/>
      <w:bookmarkEnd w:id="37"/>
      <w:bookmarkStart w:id="38" w:name="_Toc184308039"/>
      <w:bookmarkEnd w:id="38"/>
      <w:bookmarkStart w:id="39" w:name="_Toc184312112"/>
      <w:bookmarkEnd w:id="39"/>
      <w:bookmarkStart w:id="40" w:name="_Toc184314460"/>
      <w:bookmarkEnd w:id="40"/>
      <w:bookmarkStart w:id="41" w:name="_Toc184312126"/>
      <w:bookmarkEnd w:id="41"/>
      <w:bookmarkStart w:id="42" w:name="_Toc184313250"/>
      <w:bookmarkEnd w:id="42"/>
      <w:bookmarkStart w:id="43" w:name="_Toc184314457"/>
      <w:bookmarkEnd w:id="43"/>
      <w:bookmarkStart w:id="44" w:name="_Toc184312119"/>
      <w:bookmarkEnd w:id="44"/>
      <w:bookmarkStart w:id="45" w:name="_Toc184310312"/>
      <w:bookmarkEnd w:id="45"/>
      <w:bookmarkStart w:id="46" w:name="_Toc184312124"/>
      <w:bookmarkEnd w:id="46"/>
      <w:bookmarkStart w:id="47" w:name="_Toc184313286"/>
      <w:bookmarkEnd w:id="47"/>
      <w:bookmarkStart w:id="48" w:name="_Toc184308063"/>
      <w:bookmarkEnd w:id="48"/>
      <w:bookmarkStart w:id="49" w:name="_Toc184310314"/>
      <w:bookmarkEnd w:id="49"/>
      <w:bookmarkStart w:id="50" w:name="_Toc184314446"/>
      <w:bookmarkEnd w:id="50"/>
      <w:bookmarkStart w:id="51" w:name="_Toc184313288"/>
      <w:bookmarkEnd w:id="51"/>
      <w:bookmarkStart w:id="52" w:name="_Toc184314418"/>
      <w:bookmarkEnd w:id="52"/>
      <w:bookmarkStart w:id="53" w:name="_Toc184312139"/>
      <w:bookmarkEnd w:id="53"/>
      <w:bookmarkStart w:id="54" w:name="_Toc184308094"/>
      <w:bookmarkEnd w:id="54"/>
      <w:bookmarkStart w:id="55" w:name="_Toc184313296"/>
      <w:bookmarkEnd w:id="55"/>
      <w:bookmarkStart w:id="56" w:name="_Toc184308051"/>
      <w:bookmarkEnd w:id="56"/>
      <w:bookmarkStart w:id="57" w:name="_Toc184310329"/>
      <w:bookmarkEnd w:id="57"/>
      <w:bookmarkStart w:id="58" w:name="_Toc184313302"/>
      <w:bookmarkEnd w:id="58"/>
      <w:bookmarkStart w:id="59" w:name="_Toc184310278"/>
      <w:bookmarkEnd w:id="59"/>
      <w:bookmarkStart w:id="60" w:name="_Toc184314419"/>
      <w:bookmarkEnd w:id="60"/>
      <w:bookmarkStart w:id="61" w:name="_Toc184308062"/>
      <w:bookmarkEnd w:id="61"/>
      <w:bookmarkStart w:id="62" w:name="_Toc184308077"/>
      <w:bookmarkEnd w:id="62"/>
      <w:bookmarkStart w:id="63" w:name="_Toc184308106"/>
      <w:bookmarkEnd w:id="63"/>
      <w:bookmarkStart w:id="64" w:name="_Toc184310289"/>
      <w:bookmarkEnd w:id="64"/>
      <w:bookmarkStart w:id="65" w:name="_Toc184310319"/>
      <w:bookmarkEnd w:id="65"/>
      <w:bookmarkStart w:id="66" w:name="_Toc184308052"/>
      <w:bookmarkEnd w:id="66"/>
      <w:bookmarkStart w:id="67" w:name="_Toc184314479"/>
      <w:bookmarkEnd w:id="67"/>
      <w:bookmarkStart w:id="68" w:name="_Toc184312082"/>
      <w:bookmarkEnd w:id="68"/>
      <w:bookmarkStart w:id="69" w:name="_Toc184312101"/>
      <w:bookmarkEnd w:id="69"/>
      <w:bookmarkStart w:id="70" w:name="_Toc184312102"/>
      <w:bookmarkEnd w:id="70"/>
      <w:bookmarkStart w:id="71" w:name="_Toc184308041"/>
      <w:bookmarkEnd w:id="71"/>
      <w:bookmarkStart w:id="72" w:name="_Toc184308038"/>
      <w:bookmarkEnd w:id="72"/>
      <w:bookmarkStart w:id="73" w:name="_Toc184310288"/>
      <w:bookmarkEnd w:id="73"/>
      <w:bookmarkStart w:id="74" w:name="_Toc184313240"/>
      <w:bookmarkEnd w:id="74"/>
      <w:bookmarkStart w:id="75" w:name="_Toc184310291"/>
      <w:bookmarkEnd w:id="75"/>
      <w:bookmarkStart w:id="76" w:name="_Toc184313249"/>
      <w:bookmarkEnd w:id="76"/>
      <w:bookmarkStart w:id="77" w:name="_Toc184314476"/>
      <w:bookmarkEnd w:id="77"/>
      <w:bookmarkStart w:id="78" w:name="_Toc184308054"/>
      <w:bookmarkEnd w:id="78"/>
      <w:bookmarkStart w:id="79" w:name="_Toc184314413"/>
      <w:bookmarkEnd w:id="79"/>
      <w:bookmarkStart w:id="80" w:name="_Toc184308040"/>
      <w:bookmarkEnd w:id="80"/>
      <w:bookmarkStart w:id="81" w:name="_Toc184310286"/>
      <w:bookmarkEnd w:id="81"/>
      <w:bookmarkStart w:id="82" w:name="_Toc184314482"/>
      <w:bookmarkEnd w:id="82"/>
      <w:bookmarkStart w:id="83" w:name="_Toc184308098"/>
      <w:bookmarkEnd w:id="83"/>
      <w:bookmarkStart w:id="84" w:name="_Toc184312128"/>
      <w:bookmarkEnd w:id="84"/>
      <w:bookmarkStart w:id="85" w:name="_Toc184310302"/>
      <w:bookmarkEnd w:id="85"/>
      <w:bookmarkStart w:id="86" w:name="_Toc184310293"/>
      <w:bookmarkEnd w:id="86"/>
      <w:bookmarkStart w:id="87" w:name="_Toc184313239"/>
      <w:bookmarkEnd w:id="87"/>
      <w:bookmarkStart w:id="88" w:name="_Toc184314416"/>
      <w:bookmarkEnd w:id="88"/>
      <w:bookmarkStart w:id="89" w:name="_Toc184314432"/>
      <w:bookmarkEnd w:id="89"/>
      <w:bookmarkStart w:id="90" w:name="_Toc184314481"/>
      <w:bookmarkEnd w:id="90"/>
      <w:bookmarkStart w:id="91" w:name="_Toc184313278"/>
      <w:bookmarkEnd w:id="91"/>
      <w:bookmarkStart w:id="92" w:name="_Toc184314414"/>
      <w:bookmarkEnd w:id="92"/>
      <w:bookmarkStart w:id="93" w:name="_Toc184308082"/>
      <w:bookmarkEnd w:id="93"/>
      <w:bookmarkStart w:id="94" w:name="_Toc184314448"/>
      <w:bookmarkEnd w:id="94"/>
      <w:bookmarkStart w:id="95" w:name="_Toc184312098"/>
      <w:bookmarkEnd w:id="95"/>
      <w:bookmarkStart w:id="96" w:name="_Toc184314475"/>
      <w:bookmarkEnd w:id="96"/>
      <w:bookmarkStart w:id="97" w:name="_Toc184314423"/>
      <w:bookmarkEnd w:id="97"/>
      <w:bookmarkStart w:id="98" w:name="_Toc184312120"/>
      <w:bookmarkEnd w:id="98"/>
      <w:bookmarkStart w:id="99" w:name="_Toc184310273"/>
      <w:bookmarkEnd w:id="99"/>
      <w:bookmarkStart w:id="100" w:name="_Toc184310317"/>
      <w:bookmarkEnd w:id="100"/>
      <w:bookmarkStart w:id="101" w:name="_Toc184313260"/>
      <w:bookmarkEnd w:id="101"/>
      <w:bookmarkStart w:id="102" w:name="_Toc184310324"/>
      <w:bookmarkEnd w:id="102"/>
      <w:bookmarkStart w:id="103" w:name="_Toc184310316"/>
      <w:bookmarkEnd w:id="103"/>
      <w:bookmarkStart w:id="104" w:name="_Toc184310344"/>
      <w:bookmarkEnd w:id="104"/>
      <w:bookmarkStart w:id="105" w:name="_Toc184310296"/>
      <w:bookmarkEnd w:id="105"/>
      <w:bookmarkStart w:id="106" w:name="_Toc184313285"/>
      <w:bookmarkEnd w:id="106"/>
      <w:bookmarkStart w:id="107" w:name="_Toc184313251"/>
      <w:bookmarkEnd w:id="107"/>
      <w:bookmarkStart w:id="108" w:name="_Toc184310306"/>
      <w:bookmarkEnd w:id="108"/>
      <w:bookmarkStart w:id="109" w:name="_Toc184312136"/>
      <w:bookmarkEnd w:id="109"/>
      <w:bookmarkStart w:id="110" w:name="_Toc184308105"/>
      <w:bookmarkEnd w:id="110"/>
      <w:bookmarkStart w:id="111" w:name="_Toc184314465"/>
      <w:bookmarkEnd w:id="111"/>
      <w:bookmarkStart w:id="112" w:name="_Toc184314434"/>
      <w:bookmarkEnd w:id="112"/>
      <w:bookmarkStart w:id="113" w:name="_Toc184310310"/>
      <w:bookmarkEnd w:id="113"/>
      <w:bookmarkStart w:id="114" w:name="_Toc184312103"/>
      <w:bookmarkEnd w:id="114"/>
      <w:bookmarkStart w:id="115" w:name="_Toc184313300"/>
      <w:bookmarkEnd w:id="115"/>
      <w:bookmarkStart w:id="116" w:name="_Toc184312093"/>
      <w:bookmarkEnd w:id="116"/>
      <w:bookmarkStart w:id="117" w:name="_Toc184312085"/>
      <w:bookmarkEnd w:id="117"/>
      <w:bookmarkStart w:id="118" w:name="_Toc184308075"/>
      <w:bookmarkEnd w:id="118"/>
      <w:bookmarkStart w:id="119" w:name="_Toc184312138"/>
      <w:bookmarkEnd w:id="119"/>
      <w:bookmarkStart w:id="120" w:name="_Toc184314430"/>
      <w:bookmarkEnd w:id="120"/>
      <w:bookmarkStart w:id="121" w:name="_Toc184308042"/>
      <w:bookmarkEnd w:id="121"/>
      <w:bookmarkStart w:id="122" w:name="_Toc184312089"/>
      <w:bookmarkEnd w:id="122"/>
      <w:bookmarkStart w:id="123" w:name="_Toc184312117"/>
      <w:bookmarkEnd w:id="123"/>
      <w:bookmarkStart w:id="124" w:name="_Toc184313257"/>
      <w:bookmarkEnd w:id="124"/>
      <w:bookmarkStart w:id="125" w:name="_Toc184312087"/>
      <w:bookmarkEnd w:id="125"/>
      <w:bookmarkStart w:id="126" w:name="_Toc184308081"/>
      <w:bookmarkEnd w:id="126"/>
      <w:bookmarkStart w:id="127" w:name="_Toc184310304"/>
      <w:bookmarkEnd w:id="127"/>
      <w:bookmarkStart w:id="128" w:name="_Toc184313305"/>
      <w:bookmarkEnd w:id="128"/>
      <w:bookmarkStart w:id="129" w:name="_Toc184314474"/>
      <w:bookmarkEnd w:id="129"/>
      <w:bookmarkStart w:id="130" w:name="_Toc184310283"/>
      <w:bookmarkEnd w:id="130"/>
      <w:bookmarkStart w:id="131" w:name="_Toc184314467"/>
      <w:bookmarkEnd w:id="131"/>
      <w:bookmarkStart w:id="132" w:name="_Toc184313263"/>
      <w:bookmarkEnd w:id="132"/>
      <w:bookmarkStart w:id="133" w:name="_Toc184312108"/>
      <w:bookmarkEnd w:id="133"/>
      <w:bookmarkStart w:id="134" w:name="_Toc184308036"/>
      <w:bookmarkEnd w:id="134"/>
      <w:bookmarkStart w:id="135" w:name="_Toc184314452"/>
      <w:bookmarkEnd w:id="135"/>
      <w:bookmarkStart w:id="136" w:name="_Toc184310334"/>
      <w:bookmarkEnd w:id="136"/>
      <w:bookmarkStart w:id="137" w:name="_Toc184313284"/>
      <w:bookmarkEnd w:id="137"/>
      <w:bookmarkStart w:id="138" w:name="_Toc184312070"/>
      <w:bookmarkEnd w:id="138"/>
      <w:bookmarkStart w:id="139" w:name="_Toc184308073"/>
      <w:bookmarkEnd w:id="139"/>
      <w:bookmarkStart w:id="140" w:name="_Toc184314428"/>
      <w:bookmarkEnd w:id="140"/>
      <w:bookmarkStart w:id="141" w:name="_Toc184308097"/>
      <w:bookmarkEnd w:id="141"/>
      <w:bookmarkStart w:id="142" w:name="_Toc184312118"/>
      <w:bookmarkEnd w:id="142"/>
      <w:bookmarkStart w:id="143" w:name="_Toc184310331"/>
      <w:bookmarkEnd w:id="143"/>
      <w:bookmarkStart w:id="144" w:name="_Toc184312079"/>
      <w:bookmarkEnd w:id="144"/>
      <w:bookmarkStart w:id="145" w:name="_Toc184310284"/>
      <w:bookmarkEnd w:id="145"/>
      <w:bookmarkStart w:id="146" w:name="_Toc184312122"/>
      <w:bookmarkEnd w:id="146"/>
      <w:bookmarkStart w:id="147" w:name="_Toc184313258"/>
      <w:bookmarkEnd w:id="147"/>
      <w:bookmarkStart w:id="148" w:name="_Toc184312109"/>
      <w:bookmarkEnd w:id="148"/>
      <w:bookmarkStart w:id="149" w:name="_Toc184313310"/>
      <w:bookmarkEnd w:id="149"/>
      <w:bookmarkStart w:id="150" w:name="_Toc184310279"/>
      <w:bookmarkEnd w:id="150"/>
      <w:bookmarkStart w:id="151" w:name="_Toc184310318"/>
      <w:bookmarkEnd w:id="151"/>
      <w:bookmarkStart w:id="152" w:name="_Toc184310335"/>
      <w:bookmarkEnd w:id="152"/>
      <w:bookmarkStart w:id="153" w:name="_Toc184314437"/>
      <w:bookmarkEnd w:id="153"/>
      <w:bookmarkStart w:id="154" w:name="_Toc184310339"/>
      <w:bookmarkEnd w:id="154"/>
      <w:bookmarkStart w:id="155" w:name="_Toc184310294"/>
      <w:bookmarkEnd w:id="155"/>
      <w:bookmarkStart w:id="156" w:name="_Toc184314429"/>
      <w:bookmarkEnd w:id="156"/>
      <w:bookmarkStart w:id="157" w:name="_Toc184308100"/>
      <w:bookmarkEnd w:id="157"/>
      <w:bookmarkStart w:id="158" w:name="_Toc184312133"/>
      <w:bookmarkEnd w:id="158"/>
      <w:bookmarkStart w:id="159" w:name="_Toc184308069"/>
      <w:bookmarkEnd w:id="159"/>
      <w:bookmarkStart w:id="160" w:name="_Toc184312099"/>
      <w:bookmarkEnd w:id="160"/>
      <w:bookmarkStart w:id="161" w:name="_Toc184313273"/>
      <w:bookmarkEnd w:id="161"/>
      <w:bookmarkStart w:id="162" w:name="_Toc184312069"/>
      <w:bookmarkEnd w:id="162"/>
      <w:bookmarkStart w:id="163" w:name="_Toc184313274"/>
      <w:bookmarkEnd w:id="163"/>
      <w:bookmarkStart w:id="164" w:name="_Toc184313306"/>
      <w:bookmarkEnd w:id="164"/>
      <w:bookmarkStart w:id="165" w:name="_Toc184308048"/>
      <w:bookmarkEnd w:id="165"/>
      <w:bookmarkStart w:id="166" w:name="_Toc184308084"/>
      <w:bookmarkEnd w:id="166"/>
      <w:bookmarkStart w:id="167" w:name="_Toc184310330"/>
      <w:bookmarkEnd w:id="167"/>
      <w:bookmarkStart w:id="168" w:name="_Toc184312071"/>
      <w:bookmarkEnd w:id="168"/>
      <w:bookmarkStart w:id="169" w:name="_Toc184314424"/>
      <w:bookmarkEnd w:id="169"/>
      <w:bookmarkStart w:id="170" w:name="_Toc184313287"/>
      <w:bookmarkEnd w:id="170"/>
      <w:bookmarkStart w:id="171" w:name="_Toc184313280"/>
      <w:bookmarkEnd w:id="171"/>
      <w:bookmarkStart w:id="172" w:name="_Toc184310338"/>
      <w:bookmarkEnd w:id="172"/>
      <w:bookmarkStart w:id="173" w:name="_Toc184314453"/>
      <w:bookmarkEnd w:id="173"/>
      <w:bookmarkStart w:id="174" w:name="_Toc184308085"/>
      <w:bookmarkEnd w:id="174"/>
      <w:bookmarkStart w:id="175" w:name="_Toc184308058"/>
      <w:bookmarkEnd w:id="175"/>
      <w:bookmarkStart w:id="176" w:name="_Toc184313264"/>
      <w:bookmarkEnd w:id="176"/>
      <w:bookmarkStart w:id="177" w:name="_Toc184310287"/>
      <w:bookmarkEnd w:id="177"/>
      <w:bookmarkStart w:id="178" w:name="_Toc184313246"/>
      <w:bookmarkEnd w:id="178"/>
      <w:bookmarkStart w:id="179" w:name="_Toc184313253"/>
      <w:bookmarkEnd w:id="179"/>
      <w:bookmarkStart w:id="180" w:name="_Toc184312090"/>
      <w:bookmarkEnd w:id="180"/>
      <w:bookmarkStart w:id="181" w:name="_Toc184313261"/>
      <w:bookmarkEnd w:id="181"/>
      <w:bookmarkStart w:id="182" w:name="_Toc184312106"/>
      <w:bookmarkEnd w:id="182"/>
      <w:bookmarkStart w:id="183" w:name="_Toc184310315"/>
      <w:bookmarkEnd w:id="183"/>
      <w:bookmarkStart w:id="184" w:name="_Toc184312105"/>
      <w:bookmarkEnd w:id="184"/>
      <w:bookmarkStart w:id="185" w:name="_Toc184308057"/>
      <w:bookmarkEnd w:id="185"/>
      <w:bookmarkStart w:id="186" w:name="_Toc184308049"/>
      <w:bookmarkEnd w:id="186"/>
      <w:bookmarkStart w:id="187" w:name="_Toc184314459"/>
      <w:bookmarkEnd w:id="187"/>
      <w:bookmarkStart w:id="188" w:name="_Toc184308104"/>
      <w:bookmarkEnd w:id="188"/>
      <w:bookmarkStart w:id="189" w:name="_Toc184313252"/>
      <w:bookmarkEnd w:id="189"/>
      <w:bookmarkStart w:id="190" w:name="_Toc184313298"/>
      <w:bookmarkEnd w:id="190"/>
      <w:bookmarkStart w:id="191" w:name="_Toc184312086"/>
      <w:bookmarkEnd w:id="191"/>
      <w:bookmarkStart w:id="192" w:name="_Toc184313301"/>
      <w:bookmarkEnd w:id="192"/>
      <w:bookmarkStart w:id="193" w:name="_Toc184313294"/>
      <w:bookmarkEnd w:id="193"/>
      <w:bookmarkStart w:id="194" w:name="_Toc184310300"/>
      <w:bookmarkEnd w:id="194"/>
      <w:bookmarkStart w:id="195" w:name="_Toc184314469"/>
      <w:bookmarkEnd w:id="195"/>
      <w:bookmarkStart w:id="196" w:name="_Toc184313255"/>
      <w:bookmarkEnd w:id="196"/>
      <w:bookmarkStart w:id="197" w:name="_Toc184313247"/>
      <w:bookmarkEnd w:id="197"/>
      <w:bookmarkStart w:id="198" w:name="_Toc184313309"/>
      <w:bookmarkEnd w:id="198"/>
      <w:bookmarkStart w:id="199" w:name="_Toc184308103"/>
      <w:bookmarkEnd w:id="199"/>
      <w:bookmarkStart w:id="200" w:name="_Toc184310285"/>
      <w:bookmarkEnd w:id="200"/>
      <w:bookmarkStart w:id="201" w:name="_Toc184313272"/>
      <w:bookmarkEnd w:id="201"/>
      <w:bookmarkStart w:id="202" w:name="_Toc184314427"/>
      <w:bookmarkEnd w:id="202"/>
      <w:bookmarkStart w:id="203" w:name="_Toc184314415"/>
      <w:bookmarkEnd w:id="203"/>
      <w:bookmarkStart w:id="204" w:name="_Toc184308093"/>
      <w:bookmarkEnd w:id="204"/>
      <w:bookmarkStart w:id="205" w:name="_Toc184308071"/>
      <w:bookmarkEnd w:id="205"/>
      <w:bookmarkStart w:id="206" w:name="_Toc184314426"/>
      <w:bookmarkEnd w:id="206"/>
      <w:bookmarkStart w:id="207" w:name="_Toc184313265"/>
      <w:bookmarkEnd w:id="207"/>
      <w:bookmarkStart w:id="208" w:name="_Toc184308080"/>
      <w:bookmarkEnd w:id="208"/>
      <w:bookmarkStart w:id="209" w:name="_Toc184310280"/>
      <w:bookmarkEnd w:id="209"/>
      <w:bookmarkStart w:id="210" w:name="_Toc184314451"/>
      <w:bookmarkEnd w:id="210"/>
      <w:bookmarkStart w:id="211" w:name="_Toc184314445"/>
      <w:bookmarkEnd w:id="211"/>
      <w:bookmarkStart w:id="212" w:name="_Toc184312115"/>
      <w:bookmarkEnd w:id="212"/>
      <w:bookmarkStart w:id="213" w:name="_Toc184312129"/>
      <w:bookmarkEnd w:id="213"/>
      <w:bookmarkStart w:id="214" w:name="_Toc184314440"/>
      <w:bookmarkEnd w:id="214"/>
      <w:bookmarkStart w:id="215" w:name="_Toc184313283"/>
      <w:bookmarkEnd w:id="215"/>
      <w:bookmarkStart w:id="216" w:name="_Toc184312134"/>
      <w:bookmarkEnd w:id="216"/>
      <w:bookmarkStart w:id="217" w:name="_Toc184308053"/>
      <w:bookmarkEnd w:id="217"/>
      <w:bookmarkStart w:id="218" w:name="_Toc184308092"/>
      <w:bookmarkEnd w:id="218"/>
      <w:bookmarkStart w:id="219" w:name="_Toc184313293"/>
      <w:bookmarkEnd w:id="219"/>
      <w:bookmarkStart w:id="220" w:name="_Toc184314471"/>
      <w:bookmarkEnd w:id="220"/>
      <w:bookmarkStart w:id="221" w:name="_Toc184312100"/>
      <w:bookmarkEnd w:id="221"/>
      <w:bookmarkStart w:id="222" w:name="_Toc184310323"/>
      <w:bookmarkEnd w:id="222"/>
      <w:bookmarkStart w:id="223" w:name="_Toc184308044"/>
      <w:bookmarkEnd w:id="223"/>
      <w:bookmarkStart w:id="224" w:name="_Toc184308046"/>
      <w:bookmarkEnd w:id="224"/>
      <w:bookmarkStart w:id="225" w:name="_Toc184314410"/>
      <w:bookmarkEnd w:id="225"/>
      <w:bookmarkStart w:id="226" w:name="_Toc184312088"/>
      <w:bookmarkEnd w:id="226"/>
      <w:bookmarkStart w:id="227" w:name="_Toc184310336"/>
      <w:bookmarkEnd w:id="227"/>
      <w:bookmarkStart w:id="228" w:name="_Toc184313270"/>
      <w:bookmarkEnd w:id="228"/>
      <w:bookmarkStart w:id="229" w:name="_Toc184312130"/>
      <w:bookmarkEnd w:id="229"/>
      <w:bookmarkStart w:id="230" w:name="_Toc184314462"/>
      <w:bookmarkEnd w:id="230"/>
      <w:bookmarkStart w:id="231" w:name="_Toc184308056"/>
      <w:bookmarkEnd w:id="231"/>
      <w:bookmarkStart w:id="232" w:name="_Toc184308050"/>
      <w:bookmarkEnd w:id="232"/>
      <w:bookmarkStart w:id="233" w:name="_Toc184314478"/>
      <w:bookmarkEnd w:id="233"/>
      <w:bookmarkStart w:id="234" w:name="_Toc184312121"/>
      <w:bookmarkEnd w:id="234"/>
      <w:bookmarkStart w:id="235" w:name="_Toc184314458"/>
      <w:bookmarkEnd w:id="235"/>
      <w:bookmarkStart w:id="236" w:name="_Toc184314439"/>
      <w:bookmarkEnd w:id="236"/>
      <w:bookmarkStart w:id="237" w:name="_Toc184310275"/>
      <w:bookmarkEnd w:id="237"/>
      <w:bookmarkStart w:id="238" w:name="_Toc184314422"/>
      <w:bookmarkEnd w:id="238"/>
      <w:bookmarkStart w:id="239" w:name="_Toc184312096"/>
      <w:bookmarkEnd w:id="239"/>
      <w:bookmarkStart w:id="240" w:name="_Toc184313281"/>
      <w:bookmarkEnd w:id="240"/>
      <w:bookmarkStart w:id="241" w:name="_Toc184308086"/>
      <w:bookmarkEnd w:id="241"/>
      <w:bookmarkStart w:id="242" w:name="_Toc184314464"/>
      <w:bookmarkEnd w:id="242"/>
      <w:bookmarkStart w:id="243" w:name="_Toc184314456"/>
      <w:bookmarkEnd w:id="243"/>
      <w:bookmarkStart w:id="244" w:name="_Toc184312104"/>
      <w:bookmarkEnd w:id="244"/>
      <w:bookmarkStart w:id="245" w:name="_Toc184308060"/>
      <w:bookmarkEnd w:id="245"/>
      <w:bookmarkStart w:id="246" w:name="_Toc184308087"/>
      <w:bookmarkEnd w:id="246"/>
      <w:bookmarkStart w:id="247" w:name="_Toc184314411"/>
      <w:bookmarkEnd w:id="247"/>
      <w:bookmarkStart w:id="248" w:name="_Toc184313304"/>
      <w:bookmarkEnd w:id="248"/>
      <w:bookmarkStart w:id="249" w:name="_Toc184314444"/>
      <w:bookmarkEnd w:id="249"/>
      <w:bookmarkStart w:id="250" w:name="_Toc184308089"/>
      <w:bookmarkEnd w:id="250"/>
      <w:bookmarkStart w:id="251" w:name="_Toc184310309"/>
      <w:bookmarkEnd w:id="251"/>
      <w:bookmarkStart w:id="252" w:name="_Toc184314477"/>
      <w:bookmarkEnd w:id="252"/>
      <w:bookmarkStart w:id="253" w:name="_Toc184312067"/>
      <w:bookmarkEnd w:id="253"/>
      <w:bookmarkStart w:id="254" w:name="_Toc184312073"/>
      <w:bookmarkEnd w:id="254"/>
      <w:bookmarkStart w:id="255" w:name="_Toc184312113"/>
      <w:bookmarkEnd w:id="255"/>
      <w:bookmarkStart w:id="256" w:name="_Toc184310308"/>
      <w:bookmarkEnd w:id="256"/>
      <w:bookmarkStart w:id="257" w:name="_Toc184312111"/>
      <w:bookmarkEnd w:id="257"/>
      <w:bookmarkStart w:id="258" w:name="_Toc184308072"/>
      <w:bookmarkEnd w:id="258"/>
      <w:bookmarkStart w:id="259" w:name="_Toc184313248"/>
      <w:bookmarkEnd w:id="259"/>
      <w:bookmarkStart w:id="260" w:name="_Toc184310313"/>
      <w:bookmarkEnd w:id="260"/>
      <w:bookmarkStart w:id="261" w:name="_Toc184310297"/>
      <w:bookmarkEnd w:id="261"/>
      <w:bookmarkStart w:id="262" w:name="_Toc184314443"/>
      <w:bookmarkEnd w:id="262"/>
      <w:bookmarkStart w:id="263" w:name="_Toc184312084"/>
      <w:bookmarkEnd w:id="263"/>
      <w:bookmarkStart w:id="264" w:name="_Toc184310328"/>
      <w:bookmarkEnd w:id="264"/>
      <w:bookmarkStart w:id="265" w:name="_Toc184314447"/>
      <w:bookmarkEnd w:id="265"/>
      <w:bookmarkStart w:id="266" w:name="_Toc184313244"/>
      <w:bookmarkEnd w:id="266"/>
      <w:bookmarkStart w:id="267" w:name="_Toc184313256"/>
      <w:bookmarkEnd w:id="267"/>
      <w:bookmarkStart w:id="268" w:name="_Toc184313269"/>
      <w:bookmarkEnd w:id="268"/>
      <w:bookmarkStart w:id="269" w:name="_Toc184312097"/>
      <w:bookmarkEnd w:id="269"/>
      <w:bookmarkStart w:id="270" w:name="_Toc184310277"/>
      <w:bookmarkEnd w:id="270"/>
      <w:bookmarkStart w:id="271" w:name="_Toc184313291"/>
      <w:bookmarkEnd w:id="271"/>
      <w:bookmarkStart w:id="272" w:name="_Toc184313307"/>
      <w:bookmarkEnd w:id="272"/>
      <w:bookmarkStart w:id="273" w:name="_Toc184314420"/>
      <w:bookmarkEnd w:id="273"/>
      <w:bookmarkStart w:id="274" w:name="_Toc184310327"/>
      <w:bookmarkEnd w:id="274"/>
      <w:bookmarkStart w:id="275" w:name="_Toc184308065"/>
      <w:bookmarkEnd w:id="275"/>
      <w:bookmarkStart w:id="276" w:name="_Toc184314461"/>
      <w:bookmarkEnd w:id="276"/>
      <w:bookmarkStart w:id="277" w:name="_Toc184313292"/>
      <w:bookmarkEnd w:id="277"/>
      <w:bookmarkStart w:id="278" w:name="_Toc184313243"/>
      <w:bookmarkEnd w:id="278"/>
      <w:bookmarkStart w:id="279" w:name="_Toc184308091"/>
      <w:bookmarkEnd w:id="279"/>
      <w:bookmarkStart w:id="280" w:name="_Toc184313266"/>
      <w:bookmarkEnd w:id="280"/>
      <w:bookmarkStart w:id="281" w:name="_Toc184312076"/>
      <w:bookmarkEnd w:id="281"/>
      <w:bookmarkStart w:id="282" w:name="_Toc184314433"/>
      <w:bookmarkEnd w:id="282"/>
      <w:bookmarkStart w:id="283" w:name="_Toc184308076"/>
      <w:bookmarkEnd w:id="283"/>
      <w:bookmarkStart w:id="284" w:name="_Toc184308095"/>
      <w:bookmarkEnd w:id="284"/>
      <w:bookmarkStart w:id="285" w:name="_Toc184314412"/>
      <w:bookmarkEnd w:id="285"/>
      <w:bookmarkStart w:id="286" w:name="_Toc184314463"/>
      <w:bookmarkEnd w:id="286"/>
      <w:bookmarkStart w:id="287" w:name="_Toc184312107"/>
      <w:bookmarkEnd w:id="287"/>
      <w:bookmarkStart w:id="288" w:name="_Toc184308102"/>
      <w:bookmarkEnd w:id="288"/>
      <w:bookmarkStart w:id="289" w:name="_Toc184310342"/>
      <w:bookmarkEnd w:id="289"/>
      <w:bookmarkStart w:id="290" w:name="_Toc184310343"/>
      <w:bookmarkEnd w:id="290"/>
      <w:bookmarkStart w:id="291" w:name="_Toc184314438"/>
      <w:bookmarkEnd w:id="291"/>
      <w:bookmarkStart w:id="292" w:name="_Toc184308078"/>
      <w:bookmarkEnd w:id="292"/>
      <w:bookmarkStart w:id="293" w:name="_Toc184310311"/>
      <w:bookmarkEnd w:id="293"/>
      <w:bookmarkStart w:id="294" w:name="_Toc184314473"/>
      <w:bookmarkEnd w:id="294"/>
      <w:bookmarkStart w:id="295" w:name="_Toc184313241"/>
      <w:bookmarkEnd w:id="295"/>
      <w:bookmarkStart w:id="296" w:name="_Toc184314421"/>
      <w:bookmarkEnd w:id="296"/>
      <w:bookmarkStart w:id="297" w:name="_Toc184313290"/>
      <w:bookmarkEnd w:id="297"/>
      <w:bookmarkStart w:id="298" w:name="_Toc184312116"/>
      <w:bookmarkEnd w:id="298"/>
      <w:bookmarkStart w:id="299" w:name="_Toc184313259"/>
      <w:bookmarkEnd w:id="299"/>
      <w:bookmarkStart w:id="300" w:name="_Toc184313297"/>
      <w:bookmarkEnd w:id="300"/>
      <w:bookmarkStart w:id="301" w:name="_Toc184308064"/>
      <w:bookmarkEnd w:id="301"/>
      <w:bookmarkStart w:id="302" w:name="_Toc184313276"/>
      <w:bookmarkEnd w:id="302"/>
      <w:bookmarkStart w:id="303" w:name="_Toc184308055"/>
      <w:bookmarkEnd w:id="303"/>
      <w:bookmarkStart w:id="304" w:name="_Toc184308061"/>
      <w:bookmarkEnd w:id="304"/>
      <w:bookmarkStart w:id="305" w:name="_Toc184314417"/>
      <w:bookmarkEnd w:id="305"/>
      <w:bookmarkStart w:id="306" w:name="_Toc184310337"/>
      <w:bookmarkEnd w:id="306"/>
      <w:bookmarkStart w:id="307" w:name="_Toc184310320"/>
      <w:bookmarkEnd w:id="307"/>
      <w:bookmarkStart w:id="308" w:name="_Toc184308059"/>
      <w:bookmarkEnd w:id="308"/>
      <w:bookmarkStart w:id="309" w:name="_Toc184313238"/>
      <w:bookmarkEnd w:id="309"/>
      <w:bookmarkStart w:id="310" w:name="_Toc184313267"/>
      <w:bookmarkEnd w:id="310"/>
      <w:bookmarkStart w:id="311" w:name="_Toc184312135"/>
      <w:bookmarkEnd w:id="311"/>
      <w:bookmarkStart w:id="312" w:name="_Toc184308074"/>
      <w:bookmarkEnd w:id="312"/>
      <w:bookmarkStart w:id="313" w:name="_Toc184314436"/>
      <w:bookmarkEnd w:id="313"/>
      <w:bookmarkStart w:id="314" w:name="_Toc184314442"/>
      <w:bookmarkEnd w:id="314"/>
      <w:bookmarkStart w:id="315" w:name="_Toc184308066"/>
      <w:bookmarkEnd w:id="315"/>
      <w:bookmarkStart w:id="316" w:name="_Toc184310307"/>
      <w:bookmarkEnd w:id="316"/>
      <w:bookmarkStart w:id="317" w:name="_Toc184312132"/>
      <w:bookmarkEnd w:id="317"/>
      <w:bookmarkStart w:id="318" w:name="_Toc184310272"/>
      <w:bookmarkEnd w:id="318"/>
      <w:bookmarkStart w:id="319" w:name="_Toc184308107"/>
      <w:bookmarkEnd w:id="319"/>
      <w:bookmarkStart w:id="320" w:name="_Toc184308047"/>
      <w:bookmarkEnd w:id="320"/>
      <w:bookmarkStart w:id="321" w:name="_Toc184313299"/>
      <w:bookmarkEnd w:id="321"/>
      <w:bookmarkStart w:id="322" w:name="_Toc184310290"/>
      <w:bookmarkEnd w:id="322"/>
      <w:bookmarkStart w:id="323" w:name="_Toc184313303"/>
      <w:bookmarkEnd w:id="323"/>
      <w:bookmarkStart w:id="324" w:name="_Toc184308088"/>
      <w:bookmarkEnd w:id="324"/>
      <w:bookmarkStart w:id="325" w:name="_Toc184314435"/>
      <w:bookmarkEnd w:id="325"/>
      <w:bookmarkStart w:id="326" w:name="_Toc184314472"/>
      <w:bookmarkEnd w:id="326"/>
      <w:bookmarkStart w:id="327" w:name="_Toc184308079"/>
      <w:bookmarkEnd w:id="327"/>
      <w:bookmarkStart w:id="328" w:name="_Toc184312131"/>
      <w:bookmarkEnd w:id="328"/>
      <w:bookmarkStart w:id="329" w:name="_Toc184310341"/>
      <w:bookmarkEnd w:id="329"/>
      <w:bookmarkStart w:id="330" w:name="_Toc184312077"/>
      <w:bookmarkEnd w:id="330"/>
      <w:bookmarkStart w:id="331" w:name="_Toc184310321"/>
      <w:bookmarkEnd w:id="331"/>
      <w:bookmarkStart w:id="332" w:name="_Toc184314454"/>
      <w:bookmarkEnd w:id="332"/>
      <w:bookmarkStart w:id="333" w:name="_Toc184313271"/>
      <w:bookmarkEnd w:id="333"/>
      <w:bookmarkStart w:id="334" w:name="_Toc184310325"/>
      <w:bookmarkEnd w:id="334"/>
      <w:bookmarkStart w:id="335" w:name="_Toc184308037"/>
      <w:bookmarkEnd w:id="335"/>
      <w:bookmarkStart w:id="336" w:name="_Toc184310292"/>
      <w:bookmarkEnd w:id="336"/>
      <w:bookmarkStart w:id="337" w:name="_Toc184312095"/>
      <w:bookmarkEnd w:id="337"/>
      <w:bookmarkStart w:id="338" w:name="_Toc184310332"/>
      <w:bookmarkEnd w:id="338"/>
      <w:bookmarkStart w:id="339" w:name="_Toc184310299"/>
      <w:bookmarkEnd w:id="339"/>
      <w:bookmarkStart w:id="340" w:name="_Toc184313245"/>
      <w:bookmarkEnd w:id="340"/>
      <w:bookmarkStart w:id="341" w:name="_Toc184313254"/>
      <w:bookmarkEnd w:id="341"/>
      <w:bookmarkStart w:id="342" w:name="_Toc184314425"/>
      <w:bookmarkEnd w:id="342"/>
      <w:bookmarkStart w:id="343" w:name="_Toc184312081"/>
      <w:bookmarkEnd w:id="343"/>
      <w:bookmarkStart w:id="344" w:name="_Toc184313282"/>
      <w:bookmarkEnd w:id="344"/>
      <w:bookmarkStart w:id="345" w:name="_Toc184313289"/>
      <w:bookmarkEnd w:id="345"/>
      <w:bookmarkStart w:id="346" w:name="_Toc184308108"/>
      <w:bookmarkEnd w:id="346"/>
      <w:bookmarkStart w:id="347" w:name="_Toc184313275"/>
      <w:bookmarkEnd w:id="347"/>
      <w:bookmarkStart w:id="348" w:name="_Toc184312078"/>
      <w:bookmarkEnd w:id="348"/>
      <w:bookmarkStart w:id="349" w:name="_Toc184313277"/>
      <w:bookmarkEnd w:id="349"/>
      <w:bookmarkStart w:id="350" w:name="_Toc184313262"/>
      <w:bookmarkEnd w:id="350"/>
      <w:bookmarkStart w:id="351" w:name="_Toc184313308"/>
      <w:bookmarkEnd w:id="351"/>
      <w:bookmarkStart w:id="352" w:name="_Toc184314431"/>
      <w:bookmarkEnd w:id="352"/>
      <w:bookmarkStart w:id="353" w:name="_Toc184312091"/>
      <w:bookmarkEnd w:id="353"/>
      <w:bookmarkStart w:id="354" w:name="_Toc184312068"/>
      <w:bookmarkEnd w:id="354"/>
      <w:bookmarkStart w:id="355" w:name="_Toc184313268"/>
      <w:bookmarkEnd w:id="355"/>
      <w:bookmarkStart w:id="356" w:name="_Toc184310298"/>
      <w:bookmarkEnd w:id="356"/>
      <w:bookmarkStart w:id="357" w:name="_Toc184310281"/>
      <w:bookmarkEnd w:id="357"/>
      <w:bookmarkStart w:id="358" w:name="_Toc184308096"/>
      <w:bookmarkEnd w:id="358"/>
      <w:bookmarkStart w:id="359" w:name="_Toc184308043"/>
      <w:bookmarkEnd w:id="359"/>
      <w:bookmarkStart w:id="360" w:name="_Toc184314441"/>
      <w:bookmarkEnd w:id="360"/>
      <w:bookmarkStart w:id="361" w:name="_Toc184312114"/>
      <w:bookmarkEnd w:id="361"/>
      <w:bookmarkStart w:id="362" w:name="_Toc184313279"/>
      <w:bookmarkEnd w:id="362"/>
      <w:bookmarkStart w:id="363" w:name="_Toc184312092"/>
      <w:bookmarkEnd w:id="363"/>
      <w:bookmarkStart w:id="364" w:name="_Toc184310274"/>
      <w:bookmarkEnd w:id="364"/>
      <w:bookmarkStart w:id="365" w:name="_Toc184312094"/>
      <w:bookmarkEnd w:id="365"/>
      <w:bookmarkStart w:id="366" w:name="_Toc184314455"/>
      <w:bookmarkEnd w:id="366"/>
      <w:bookmarkStart w:id="367" w:name="_Toc184310295"/>
      <w:bookmarkEnd w:id="367"/>
      <w:bookmarkStart w:id="368" w:name="_Toc184308067"/>
      <w:bookmarkEnd w:id="368"/>
      <w:bookmarkStart w:id="369" w:name="_Toc184313242"/>
      <w:bookmarkEnd w:id="369"/>
      <w:bookmarkStart w:id="370" w:name="_Toc184312125"/>
      <w:bookmarkEnd w:id="370"/>
      <w:bookmarkStart w:id="371" w:name="_Toc184308070"/>
      <w:bookmarkEnd w:id="371"/>
      <w:bookmarkStart w:id="372" w:name="_Toc184314449"/>
      <w:bookmarkEnd w:id="372"/>
      <w:bookmarkStart w:id="373" w:name="_Toc184313295"/>
      <w:bookmarkEnd w:id="373"/>
      <w:bookmarkStart w:id="374" w:name="_Toc184314480"/>
      <w:bookmarkEnd w:id="374"/>
      <w:bookmarkStart w:id="375" w:name="_Toc184314468"/>
      <w:bookmarkEnd w:id="375"/>
      <w:bookmarkStart w:id="376" w:name="_Toc184310305"/>
      <w:bookmarkEnd w:id="376"/>
      <w:bookmarkStart w:id="377" w:name="_Toc184310276"/>
      <w:bookmarkEnd w:id="377"/>
      <w:bookmarkStart w:id="378" w:name="_Toc184310282"/>
      <w:bookmarkEnd w:id="378"/>
      <w:bookmarkStart w:id="379" w:name="_Toc184308083"/>
      <w:bookmarkEnd w:id="379"/>
      <w:bookmarkStart w:id="380" w:name="_Toc184312127"/>
      <w:bookmarkEnd w:id="380"/>
      <w:bookmarkStart w:id="381" w:name="_Toc184308090"/>
      <w:bookmarkEnd w:id="381"/>
      <w:bookmarkStart w:id="382" w:name="_Toc184312074"/>
      <w:bookmarkEnd w:id="382"/>
      <w:bookmarkStart w:id="383" w:name="_Toc184314450"/>
      <w:bookmarkEnd w:id="383"/>
      <w:bookmarkStart w:id="384" w:name="_Toc184310301"/>
      <w:bookmarkEnd w:id="384"/>
      <w:r>
        <w:rPr>
          <w:rFonts w:hint="eastAsia" w:ascii="宋体" w:hAnsi="宋体" w:cs="宋体"/>
          <w:b/>
          <w:color w:val="000000" w:themeColor="text1"/>
          <w:sz w:val="36"/>
          <w:szCs w:val="36"/>
        </w:rPr>
        <w:t xml:space="preserve"> 评标办法</w:t>
      </w:r>
      <w:bookmarkEnd w:id="19"/>
    </w:p>
    <w:p w14:paraId="09C2E32B">
      <w:pPr>
        <w:snapToGrid w:val="0"/>
        <w:spacing w:line="360" w:lineRule="auto"/>
        <w:jc w:val="center"/>
        <w:outlineLvl w:val="1"/>
        <w:rPr>
          <w:rFonts w:ascii="宋体" w:hAnsi="宋体" w:cs="宋体"/>
          <w:b/>
          <w:color w:val="000000" w:themeColor="text1"/>
          <w:sz w:val="32"/>
          <w:szCs w:val="20"/>
        </w:rPr>
      </w:pPr>
      <w:r>
        <w:rPr>
          <w:rFonts w:hint="eastAsia" w:ascii="宋体" w:hAnsi="宋体" w:cs="宋体"/>
          <w:b/>
          <w:color w:val="000000" w:themeColor="text1"/>
          <w:sz w:val="32"/>
          <w:szCs w:val="20"/>
        </w:rPr>
        <w:t>评标办法前附表</w:t>
      </w:r>
    </w:p>
    <w:tbl>
      <w:tblPr>
        <w:tblStyle w:val="962"/>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304"/>
        <w:gridCol w:w="6399"/>
        <w:gridCol w:w="851"/>
      </w:tblGrid>
      <w:tr w14:paraId="4A10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13" w:type="dxa"/>
          </w:tcPr>
          <w:p w14:paraId="421D9042">
            <w:pPr>
              <w:pStyle w:val="337"/>
              <w:spacing w:before="203" w:line="230" w:lineRule="auto"/>
              <w:ind w:left="202"/>
            </w:pPr>
            <w:r>
              <w:rPr>
                <w:b/>
                <w:bCs/>
                <w:spacing w:val="1"/>
              </w:rPr>
              <w:t>序号</w:t>
            </w:r>
          </w:p>
        </w:tc>
        <w:tc>
          <w:tcPr>
            <w:tcW w:w="1304" w:type="dxa"/>
          </w:tcPr>
          <w:p w14:paraId="4CA2A3CA">
            <w:pPr>
              <w:pStyle w:val="337"/>
              <w:spacing w:before="201" w:line="228" w:lineRule="auto"/>
              <w:ind w:left="233"/>
            </w:pPr>
            <w:r>
              <w:rPr>
                <w:b/>
                <w:bCs/>
                <w:spacing w:val="4"/>
              </w:rPr>
              <w:t>评审因素</w:t>
            </w:r>
          </w:p>
        </w:tc>
        <w:tc>
          <w:tcPr>
            <w:tcW w:w="6399" w:type="dxa"/>
          </w:tcPr>
          <w:p w14:paraId="5EDB8179">
            <w:pPr>
              <w:pStyle w:val="337"/>
              <w:spacing w:before="201" w:line="228" w:lineRule="auto"/>
              <w:ind w:left="2369"/>
            </w:pPr>
            <w:r>
              <w:rPr>
                <w:b/>
                <w:bCs/>
                <w:spacing w:val="5"/>
              </w:rPr>
              <w:t>评审因素具体内容</w:t>
            </w:r>
          </w:p>
        </w:tc>
        <w:tc>
          <w:tcPr>
            <w:tcW w:w="851" w:type="dxa"/>
          </w:tcPr>
          <w:p w14:paraId="509A4C09">
            <w:pPr>
              <w:pStyle w:val="337"/>
              <w:spacing w:before="201" w:line="228" w:lineRule="auto"/>
              <w:ind w:left="235"/>
            </w:pPr>
            <w:r>
              <w:rPr>
                <w:b/>
                <w:bCs/>
              </w:rPr>
              <w:t>分值</w:t>
            </w:r>
          </w:p>
        </w:tc>
      </w:tr>
      <w:tr w14:paraId="53E7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813" w:type="dxa"/>
          </w:tcPr>
          <w:p w14:paraId="4144ADC9">
            <w:pPr>
              <w:spacing w:line="250" w:lineRule="auto"/>
              <w:rPr>
                <w:rFonts w:ascii="Arial"/>
              </w:rPr>
            </w:pPr>
          </w:p>
          <w:p w14:paraId="63A69F69">
            <w:pPr>
              <w:spacing w:line="250" w:lineRule="auto"/>
              <w:rPr>
                <w:rFonts w:ascii="Arial"/>
              </w:rPr>
            </w:pPr>
          </w:p>
          <w:p w14:paraId="66A3E68A">
            <w:pPr>
              <w:spacing w:line="250" w:lineRule="auto"/>
              <w:rPr>
                <w:rFonts w:ascii="Arial"/>
              </w:rPr>
            </w:pPr>
          </w:p>
          <w:p w14:paraId="67664C9D">
            <w:pPr>
              <w:spacing w:line="251" w:lineRule="auto"/>
              <w:rPr>
                <w:rFonts w:ascii="Arial"/>
              </w:rPr>
            </w:pPr>
          </w:p>
          <w:p w14:paraId="0BDD7AE5">
            <w:pPr>
              <w:spacing w:line="251" w:lineRule="auto"/>
              <w:rPr>
                <w:rFonts w:ascii="Arial"/>
              </w:rPr>
            </w:pPr>
          </w:p>
          <w:p w14:paraId="68B1A01B">
            <w:pPr>
              <w:pStyle w:val="337"/>
              <w:spacing w:before="65" w:line="271" w:lineRule="exact"/>
              <w:ind w:left="559"/>
            </w:pPr>
            <w:r>
              <w:rPr>
                <w:position w:val="1"/>
              </w:rPr>
              <w:t>1</w:t>
            </w:r>
          </w:p>
        </w:tc>
        <w:tc>
          <w:tcPr>
            <w:tcW w:w="1304" w:type="dxa"/>
          </w:tcPr>
          <w:p w14:paraId="772A19CD">
            <w:pPr>
              <w:spacing w:line="249" w:lineRule="auto"/>
              <w:rPr>
                <w:rFonts w:ascii="Arial"/>
              </w:rPr>
            </w:pPr>
          </w:p>
          <w:p w14:paraId="4FC4DF34">
            <w:pPr>
              <w:spacing w:line="249" w:lineRule="auto"/>
              <w:rPr>
                <w:rFonts w:ascii="Arial"/>
              </w:rPr>
            </w:pPr>
          </w:p>
          <w:p w14:paraId="3F738D63">
            <w:pPr>
              <w:spacing w:line="249" w:lineRule="auto"/>
              <w:rPr>
                <w:rFonts w:ascii="Arial"/>
              </w:rPr>
            </w:pPr>
          </w:p>
          <w:p w14:paraId="7A3B1901">
            <w:pPr>
              <w:spacing w:line="249" w:lineRule="auto"/>
              <w:rPr>
                <w:rFonts w:ascii="Arial"/>
              </w:rPr>
            </w:pPr>
          </w:p>
          <w:p w14:paraId="56C46ED1">
            <w:pPr>
              <w:spacing w:line="249" w:lineRule="auto"/>
              <w:rPr>
                <w:rFonts w:ascii="Arial"/>
              </w:rPr>
            </w:pPr>
          </w:p>
          <w:p w14:paraId="4CE93D28">
            <w:pPr>
              <w:pStyle w:val="337"/>
              <w:spacing w:before="65" w:line="227" w:lineRule="auto"/>
              <w:jc w:val="center"/>
            </w:pPr>
            <w:r>
              <w:rPr>
                <w:spacing w:val="5"/>
              </w:rPr>
              <w:t>投标报价</w:t>
            </w:r>
          </w:p>
        </w:tc>
        <w:tc>
          <w:tcPr>
            <w:tcW w:w="6399" w:type="dxa"/>
          </w:tcPr>
          <w:p w14:paraId="1418A5D1">
            <w:pPr>
              <w:pStyle w:val="337"/>
              <w:spacing w:before="136" w:line="322" w:lineRule="auto"/>
              <w:ind w:left="48" w:right="55" w:firstLine="243"/>
            </w:pPr>
            <w:r>
              <w:rPr>
                <w:spacing w:val="9"/>
              </w:rPr>
              <w:t>（1）本项目专门面向中小企业采购，即投标人为中小微企业，不</w:t>
            </w:r>
            <w:r>
              <w:rPr>
                <w:spacing w:val="10"/>
              </w:rPr>
              <w:t>再给予小微企业报价折扣或加分；在采购活</w:t>
            </w:r>
            <w:r>
              <w:rPr>
                <w:spacing w:val="9"/>
              </w:rPr>
              <w:t>动中，监狱企业、残疾人福利性单位视同小型、微型企业。因此不享受价格扣除优惠政策。</w:t>
            </w:r>
          </w:p>
          <w:p w14:paraId="62596354">
            <w:pPr>
              <w:pStyle w:val="337"/>
              <w:spacing w:before="155" w:line="298" w:lineRule="auto"/>
              <w:ind w:left="217" w:right="230" w:firstLine="215"/>
            </w:pPr>
            <w:r>
              <w:rPr>
                <w:spacing w:val="8"/>
              </w:rPr>
              <w:t>（2）满足招标文件要求且投标报价最低的投标报价为评标基准</w:t>
            </w:r>
            <w:r>
              <w:rPr>
                <w:spacing w:val="7"/>
              </w:rPr>
              <w:t>价，其价格分为满分。</w:t>
            </w:r>
          </w:p>
          <w:p w14:paraId="75F21FCD">
            <w:pPr>
              <w:pStyle w:val="337"/>
              <w:spacing w:before="152" w:line="227" w:lineRule="auto"/>
              <w:ind w:left="217"/>
            </w:pPr>
            <w:r>
              <w:rPr>
                <w:spacing w:val="3"/>
              </w:rPr>
              <w:t>（3）价格分计算公式：</w:t>
            </w:r>
          </w:p>
          <w:p w14:paraId="56D3A887">
            <w:pPr>
              <w:pStyle w:val="337"/>
              <w:spacing w:before="154" w:line="227" w:lineRule="auto"/>
              <w:ind w:left="424"/>
            </w:pPr>
            <w:r>
              <w:rPr>
                <w:spacing w:val="3"/>
              </w:rPr>
              <w:t>价格分=（评标基准价/投标报价）×10分</w:t>
            </w:r>
          </w:p>
        </w:tc>
        <w:tc>
          <w:tcPr>
            <w:tcW w:w="851" w:type="dxa"/>
          </w:tcPr>
          <w:p w14:paraId="027B8BC4">
            <w:pPr>
              <w:spacing w:line="249" w:lineRule="auto"/>
              <w:rPr>
                <w:rFonts w:ascii="Arial"/>
              </w:rPr>
            </w:pPr>
          </w:p>
          <w:p w14:paraId="7A6FA1AE">
            <w:pPr>
              <w:spacing w:line="249" w:lineRule="auto"/>
              <w:rPr>
                <w:rFonts w:ascii="Arial"/>
              </w:rPr>
            </w:pPr>
          </w:p>
          <w:p w14:paraId="1AEE078A">
            <w:pPr>
              <w:spacing w:line="249" w:lineRule="auto"/>
              <w:rPr>
                <w:rFonts w:ascii="Arial"/>
              </w:rPr>
            </w:pPr>
          </w:p>
          <w:p w14:paraId="56540AD0">
            <w:pPr>
              <w:spacing w:line="249" w:lineRule="auto"/>
              <w:rPr>
                <w:rFonts w:ascii="Arial"/>
              </w:rPr>
            </w:pPr>
          </w:p>
          <w:p w14:paraId="5C277120">
            <w:pPr>
              <w:spacing w:line="249" w:lineRule="auto"/>
              <w:rPr>
                <w:rFonts w:ascii="Arial"/>
              </w:rPr>
            </w:pPr>
          </w:p>
          <w:p w14:paraId="266BB3A8">
            <w:pPr>
              <w:pStyle w:val="337"/>
              <w:spacing w:before="65" w:line="229" w:lineRule="auto"/>
              <w:ind w:left="325"/>
            </w:pPr>
            <w:r>
              <w:rPr>
                <w:b/>
                <w:bCs/>
                <w:spacing w:val="-10"/>
              </w:rPr>
              <w:t>10分</w:t>
            </w:r>
          </w:p>
        </w:tc>
      </w:tr>
      <w:tr w14:paraId="679EE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3" w:type="dxa"/>
          </w:tcPr>
          <w:p w14:paraId="00FB71DE">
            <w:pPr>
              <w:pStyle w:val="337"/>
              <w:spacing w:before="201" w:line="271" w:lineRule="exact"/>
              <w:ind w:left="368"/>
            </w:pPr>
            <w:r>
              <w:rPr>
                <w:b/>
                <w:bCs/>
                <w:spacing w:val="-3"/>
                <w:position w:val="1"/>
              </w:rPr>
              <w:t>2</w:t>
            </w:r>
          </w:p>
        </w:tc>
        <w:tc>
          <w:tcPr>
            <w:tcW w:w="1304" w:type="dxa"/>
          </w:tcPr>
          <w:p w14:paraId="498EA52D">
            <w:pPr>
              <w:pStyle w:val="337"/>
              <w:spacing w:before="185" w:line="228" w:lineRule="auto"/>
              <w:ind w:left="343"/>
            </w:pPr>
            <w:r>
              <w:rPr>
                <w:b/>
                <w:bCs/>
                <w:spacing w:val="2"/>
              </w:rPr>
              <w:t>技术分</w:t>
            </w:r>
          </w:p>
        </w:tc>
        <w:tc>
          <w:tcPr>
            <w:tcW w:w="6399" w:type="dxa"/>
          </w:tcPr>
          <w:p w14:paraId="5CE85CEE">
            <w:pPr>
              <w:pStyle w:val="337"/>
              <w:spacing w:before="122" w:line="228" w:lineRule="auto"/>
              <w:ind w:left="2791"/>
            </w:pPr>
            <w:r>
              <w:rPr>
                <w:b/>
                <w:bCs/>
                <w:spacing w:val="4"/>
              </w:rPr>
              <w:t>评审因素</w:t>
            </w:r>
          </w:p>
        </w:tc>
        <w:tc>
          <w:tcPr>
            <w:tcW w:w="851" w:type="dxa"/>
          </w:tcPr>
          <w:p w14:paraId="1138E927">
            <w:pPr>
              <w:pStyle w:val="337"/>
              <w:spacing w:before="122" w:line="228" w:lineRule="auto"/>
              <w:ind w:left="235"/>
            </w:pPr>
            <w:r>
              <w:rPr>
                <w:b/>
                <w:bCs/>
              </w:rPr>
              <w:t>分值</w:t>
            </w:r>
          </w:p>
        </w:tc>
      </w:tr>
      <w:tr w14:paraId="31D5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6" w:hRule="atLeast"/>
        </w:trPr>
        <w:tc>
          <w:tcPr>
            <w:tcW w:w="813" w:type="dxa"/>
          </w:tcPr>
          <w:p w14:paraId="7C8200D0">
            <w:pPr>
              <w:spacing w:line="273" w:lineRule="auto"/>
              <w:rPr>
                <w:rFonts w:ascii="Arial"/>
              </w:rPr>
            </w:pPr>
          </w:p>
          <w:p w14:paraId="32E87EAB">
            <w:pPr>
              <w:spacing w:line="273" w:lineRule="auto"/>
              <w:rPr>
                <w:rFonts w:ascii="Arial"/>
              </w:rPr>
            </w:pPr>
          </w:p>
          <w:p w14:paraId="7527C701">
            <w:pPr>
              <w:spacing w:line="273" w:lineRule="auto"/>
              <w:rPr>
                <w:rFonts w:ascii="Arial"/>
              </w:rPr>
            </w:pPr>
          </w:p>
          <w:p w14:paraId="398BA425">
            <w:pPr>
              <w:spacing w:line="274" w:lineRule="auto"/>
              <w:rPr>
                <w:rFonts w:ascii="Arial"/>
              </w:rPr>
            </w:pPr>
          </w:p>
          <w:p w14:paraId="36E6421C">
            <w:pPr>
              <w:spacing w:line="274" w:lineRule="auto"/>
              <w:rPr>
                <w:rFonts w:ascii="Arial"/>
              </w:rPr>
            </w:pPr>
          </w:p>
          <w:p w14:paraId="013857A5">
            <w:pPr>
              <w:spacing w:line="274" w:lineRule="auto"/>
              <w:rPr>
                <w:rFonts w:ascii="Arial"/>
              </w:rPr>
            </w:pPr>
          </w:p>
          <w:p w14:paraId="1A3A94C4">
            <w:pPr>
              <w:spacing w:line="274" w:lineRule="auto"/>
              <w:rPr>
                <w:rFonts w:ascii="Arial"/>
              </w:rPr>
            </w:pPr>
          </w:p>
          <w:p w14:paraId="694952D5">
            <w:pPr>
              <w:pStyle w:val="337"/>
              <w:spacing w:before="65" w:line="268" w:lineRule="exact"/>
              <w:ind w:left="385"/>
            </w:pPr>
            <w:r>
              <w:rPr>
                <w:position w:val="1"/>
              </w:rPr>
              <w:t>2.1</w:t>
            </w:r>
          </w:p>
        </w:tc>
        <w:tc>
          <w:tcPr>
            <w:tcW w:w="1304" w:type="dxa"/>
          </w:tcPr>
          <w:p w14:paraId="3D1929FC">
            <w:pPr>
              <w:spacing w:line="246" w:lineRule="auto"/>
              <w:rPr>
                <w:rFonts w:ascii="Arial"/>
              </w:rPr>
            </w:pPr>
          </w:p>
          <w:p w14:paraId="194632FE">
            <w:pPr>
              <w:spacing w:line="247" w:lineRule="auto"/>
              <w:rPr>
                <w:rFonts w:ascii="Arial"/>
              </w:rPr>
            </w:pPr>
          </w:p>
          <w:p w14:paraId="4C28EEDE">
            <w:pPr>
              <w:spacing w:line="247" w:lineRule="auto"/>
              <w:rPr>
                <w:rFonts w:ascii="Arial"/>
              </w:rPr>
            </w:pPr>
          </w:p>
          <w:p w14:paraId="0FC53BC2">
            <w:pPr>
              <w:spacing w:line="247" w:lineRule="auto"/>
              <w:rPr>
                <w:rFonts w:ascii="Arial"/>
              </w:rPr>
            </w:pPr>
          </w:p>
          <w:p w14:paraId="1365E2CE">
            <w:pPr>
              <w:spacing w:line="247" w:lineRule="auto"/>
              <w:rPr>
                <w:rFonts w:ascii="Arial"/>
              </w:rPr>
            </w:pPr>
          </w:p>
          <w:p w14:paraId="0AB37078">
            <w:pPr>
              <w:spacing w:line="247" w:lineRule="auto"/>
              <w:rPr>
                <w:rFonts w:ascii="Arial"/>
              </w:rPr>
            </w:pPr>
          </w:p>
          <w:p w14:paraId="71A27D2C">
            <w:pPr>
              <w:spacing w:line="247" w:lineRule="auto"/>
              <w:rPr>
                <w:rFonts w:ascii="Arial"/>
              </w:rPr>
            </w:pPr>
          </w:p>
          <w:p w14:paraId="6A339383">
            <w:pPr>
              <w:pStyle w:val="337"/>
              <w:spacing w:before="0" w:after="0" w:line="332" w:lineRule="auto"/>
              <w:jc w:val="both"/>
            </w:pPr>
            <w:r>
              <w:rPr>
                <w:spacing w:val="7"/>
              </w:rPr>
              <w:t>配送服务方</w:t>
            </w:r>
            <w:r>
              <w:rPr>
                <w:spacing w:val="3"/>
              </w:rPr>
              <w:t>案分</w:t>
            </w:r>
          </w:p>
        </w:tc>
        <w:tc>
          <w:tcPr>
            <w:tcW w:w="6399" w:type="dxa"/>
          </w:tcPr>
          <w:p w14:paraId="536833C9">
            <w:pPr>
              <w:pStyle w:val="337"/>
              <w:spacing w:before="205" w:line="405" w:lineRule="auto"/>
              <w:ind w:left="119" w:right="98" w:firstLine="424"/>
            </w:pPr>
            <w:r>
              <w:rPr>
                <w:spacing w:val="3"/>
              </w:rPr>
              <w:t>一档（5分）</w:t>
            </w:r>
            <w:r>
              <w:rPr>
                <w:rFonts w:hint="eastAsia"/>
                <w:spacing w:val="3"/>
                <w:lang w:eastAsia="zh-CN"/>
              </w:rPr>
              <w:t>：</w:t>
            </w:r>
            <w:r>
              <w:rPr>
                <w:spacing w:val="3"/>
              </w:rPr>
              <w:t>日常配送流程和配送实施计划描述简单，满足招</w:t>
            </w:r>
            <w:r>
              <w:rPr>
                <w:spacing w:val="5"/>
              </w:rPr>
              <w:t>标文件要求；</w:t>
            </w:r>
          </w:p>
          <w:p w14:paraId="39BDC5E3">
            <w:pPr>
              <w:pStyle w:val="337"/>
              <w:spacing w:line="405" w:lineRule="auto"/>
              <w:ind w:left="118" w:right="99" w:firstLine="425"/>
            </w:pPr>
            <w:r>
              <w:rPr>
                <w:spacing w:val="4"/>
              </w:rPr>
              <w:t>二档（10分）</w:t>
            </w:r>
            <w:r>
              <w:rPr>
                <w:rFonts w:hint="eastAsia"/>
                <w:spacing w:val="4"/>
                <w:lang w:eastAsia="zh-CN"/>
              </w:rPr>
              <w:t>：</w:t>
            </w:r>
            <w:r>
              <w:rPr>
                <w:spacing w:val="4"/>
              </w:rPr>
              <w:t>配送方案包含配送流程、送货路线、卸货流程、</w:t>
            </w:r>
            <w:r>
              <w:rPr>
                <w:spacing w:val="9"/>
              </w:rPr>
              <w:t>配送进度控制制度，但描述不够详细，或仅涉及部分内容；</w:t>
            </w:r>
          </w:p>
          <w:p w14:paraId="53C36364">
            <w:pPr>
              <w:pStyle w:val="337"/>
              <w:spacing w:before="1" w:line="405" w:lineRule="auto"/>
              <w:ind w:left="117" w:right="65" w:firstLine="424"/>
              <w:jc w:val="both"/>
            </w:pPr>
            <w:r>
              <w:rPr>
                <w:spacing w:val="9"/>
              </w:rPr>
              <w:t>三档（15分）</w:t>
            </w:r>
            <w:r>
              <w:rPr>
                <w:rFonts w:hint="eastAsia"/>
                <w:spacing w:val="9"/>
                <w:lang w:eastAsia="zh-CN"/>
              </w:rPr>
              <w:t>：</w:t>
            </w:r>
            <w:r>
              <w:rPr>
                <w:spacing w:val="9"/>
              </w:rPr>
              <w:t>配送方案具有配送流程、送货路线、卸货流程</w:t>
            </w:r>
            <w:r>
              <w:rPr>
                <w:spacing w:val="14"/>
              </w:rPr>
              <w:t>配送车辆清洁、消毒周期，冷链车运输状况实时监控、</w:t>
            </w:r>
            <w:r>
              <w:t>GPS</w:t>
            </w:r>
            <w:r>
              <w:rPr>
                <w:spacing w:val="14"/>
              </w:rPr>
              <w:t xml:space="preserve"> 实时定</w:t>
            </w:r>
            <w:r>
              <w:rPr>
                <w:spacing w:val="7"/>
              </w:rPr>
              <w:t>位、车厢温度智能监控等功能。配送方案具有实施性、可行性，有配</w:t>
            </w:r>
            <w:r>
              <w:rPr>
                <w:spacing w:val="4"/>
              </w:rPr>
              <w:t>送进度控制制度，目标明确，内容详细。</w:t>
            </w:r>
          </w:p>
          <w:p w14:paraId="51936E76">
            <w:pPr>
              <w:pStyle w:val="337"/>
              <w:spacing w:line="227" w:lineRule="auto"/>
              <w:ind w:left="544"/>
            </w:pPr>
            <w:r>
              <w:rPr>
                <w:spacing w:val="5"/>
              </w:rPr>
              <w:t>未提供服务方案或未满足一档要求的得0分。</w:t>
            </w:r>
          </w:p>
        </w:tc>
        <w:tc>
          <w:tcPr>
            <w:tcW w:w="851" w:type="dxa"/>
          </w:tcPr>
          <w:p w14:paraId="2B36CE01">
            <w:pPr>
              <w:spacing w:line="272" w:lineRule="auto"/>
              <w:rPr>
                <w:rFonts w:ascii="Arial"/>
              </w:rPr>
            </w:pPr>
          </w:p>
          <w:p w14:paraId="622EFC05">
            <w:pPr>
              <w:spacing w:line="272" w:lineRule="auto"/>
              <w:rPr>
                <w:rFonts w:ascii="Arial"/>
              </w:rPr>
            </w:pPr>
          </w:p>
          <w:p w14:paraId="6725EB37">
            <w:pPr>
              <w:spacing w:line="272" w:lineRule="auto"/>
              <w:rPr>
                <w:rFonts w:ascii="Arial"/>
              </w:rPr>
            </w:pPr>
          </w:p>
          <w:p w14:paraId="72979742">
            <w:pPr>
              <w:spacing w:line="273" w:lineRule="auto"/>
              <w:rPr>
                <w:rFonts w:ascii="Arial"/>
              </w:rPr>
            </w:pPr>
          </w:p>
          <w:p w14:paraId="7459ED23">
            <w:pPr>
              <w:spacing w:line="273" w:lineRule="auto"/>
              <w:rPr>
                <w:rFonts w:ascii="Arial"/>
              </w:rPr>
            </w:pPr>
          </w:p>
          <w:p w14:paraId="26B32119">
            <w:pPr>
              <w:spacing w:line="273" w:lineRule="auto"/>
              <w:rPr>
                <w:rFonts w:ascii="Arial"/>
              </w:rPr>
            </w:pPr>
          </w:p>
          <w:p w14:paraId="08710F9D">
            <w:pPr>
              <w:spacing w:line="273" w:lineRule="auto"/>
              <w:rPr>
                <w:rFonts w:ascii="Arial"/>
              </w:rPr>
            </w:pPr>
          </w:p>
          <w:p w14:paraId="68B740D4">
            <w:pPr>
              <w:pStyle w:val="337"/>
              <w:spacing w:before="65" w:line="229" w:lineRule="auto"/>
              <w:ind w:left="325"/>
            </w:pPr>
            <w:r>
              <w:rPr>
                <w:b/>
                <w:bCs/>
                <w:spacing w:val="-10"/>
              </w:rPr>
              <w:t>15分</w:t>
            </w:r>
          </w:p>
        </w:tc>
      </w:tr>
      <w:tr w14:paraId="3A54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6" w:hRule="atLeast"/>
        </w:trPr>
        <w:tc>
          <w:tcPr>
            <w:tcW w:w="813" w:type="dxa"/>
          </w:tcPr>
          <w:p w14:paraId="1DE10A82">
            <w:pPr>
              <w:spacing w:line="266" w:lineRule="auto"/>
              <w:rPr>
                <w:rFonts w:ascii="Arial"/>
              </w:rPr>
            </w:pPr>
          </w:p>
          <w:p w14:paraId="6058CA43">
            <w:pPr>
              <w:spacing w:line="266" w:lineRule="auto"/>
              <w:rPr>
                <w:rFonts w:ascii="Arial"/>
              </w:rPr>
            </w:pPr>
          </w:p>
          <w:p w14:paraId="344B07C0">
            <w:pPr>
              <w:spacing w:line="267" w:lineRule="auto"/>
              <w:rPr>
                <w:rFonts w:ascii="Arial"/>
              </w:rPr>
            </w:pPr>
          </w:p>
          <w:p w14:paraId="368FC4B7">
            <w:pPr>
              <w:spacing w:line="267" w:lineRule="auto"/>
              <w:rPr>
                <w:rFonts w:ascii="Arial"/>
              </w:rPr>
            </w:pPr>
          </w:p>
          <w:p w14:paraId="5A1066FA">
            <w:pPr>
              <w:spacing w:line="267" w:lineRule="auto"/>
              <w:rPr>
                <w:rFonts w:ascii="Arial"/>
              </w:rPr>
            </w:pPr>
          </w:p>
          <w:p w14:paraId="7FF7D8F6">
            <w:pPr>
              <w:spacing w:line="267" w:lineRule="auto"/>
              <w:rPr>
                <w:rFonts w:ascii="Arial"/>
              </w:rPr>
            </w:pPr>
          </w:p>
          <w:p w14:paraId="38DB8C38">
            <w:pPr>
              <w:spacing w:line="267" w:lineRule="auto"/>
              <w:rPr>
                <w:rFonts w:ascii="Arial"/>
              </w:rPr>
            </w:pPr>
          </w:p>
          <w:p w14:paraId="00B27C90">
            <w:pPr>
              <w:spacing w:line="267" w:lineRule="auto"/>
              <w:rPr>
                <w:rFonts w:ascii="Arial"/>
              </w:rPr>
            </w:pPr>
          </w:p>
          <w:p w14:paraId="7461731A">
            <w:pPr>
              <w:pStyle w:val="337"/>
              <w:spacing w:before="65" w:line="268" w:lineRule="exact"/>
              <w:ind w:left="265"/>
            </w:pPr>
            <w:r>
              <w:rPr>
                <w:position w:val="1"/>
              </w:rPr>
              <w:t>2.2</w:t>
            </w:r>
          </w:p>
        </w:tc>
        <w:tc>
          <w:tcPr>
            <w:tcW w:w="1304" w:type="dxa"/>
          </w:tcPr>
          <w:p w14:paraId="1F84C159">
            <w:pPr>
              <w:spacing w:line="244" w:lineRule="auto"/>
              <w:rPr>
                <w:rFonts w:ascii="Arial"/>
              </w:rPr>
            </w:pPr>
          </w:p>
          <w:p w14:paraId="32574220">
            <w:pPr>
              <w:spacing w:line="244" w:lineRule="auto"/>
              <w:rPr>
                <w:rFonts w:ascii="Arial"/>
              </w:rPr>
            </w:pPr>
          </w:p>
          <w:p w14:paraId="3CE9122E">
            <w:pPr>
              <w:spacing w:line="244" w:lineRule="auto"/>
              <w:rPr>
                <w:rFonts w:ascii="Arial"/>
              </w:rPr>
            </w:pPr>
          </w:p>
          <w:p w14:paraId="462AB54B">
            <w:pPr>
              <w:spacing w:line="244" w:lineRule="auto"/>
              <w:rPr>
                <w:rFonts w:ascii="Arial"/>
              </w:rPr>
            </w:pPr>
          </w:p>
          <w:p w14:paraId="2C445DBD">
            <w:pPr>
              <w:spacing w:line="244" w:lineRule="auto"/>
              <w:rPr>
                <w:rFonts w:ascii="Arial"/>
              </w:rPr>
            </w:pPr>
          </w:p>
          <w:p w14:paraId="53E99F34">
            <w:pPr>
              <w:spacing w:line="244" w:lineRule="auto"/>
              <w:rPr>
                <w:rFonts w:ascii="Arial"/>
              </w:rPr>
            </w:pPr>
          </w:p>
          <w:p w14:paraId="49F385A2">
            <w:pPr>
              <w:spacing w:line="245" w:lineRule="auto"/>
              <w:rPr>
                <w:rFonts w:ascii="Arial"/>
              </w:rPr>
            </w:pPr>
          </w:p>
          <w:p w14:paraId="206E2B79">
            <w:pPr>
              <w:spacing w:line="245" w:lineRule="auto"/>
              <w:rPr>
                <w:rFonts w:ascii="Arial"/>
              </w:rPr>
            </w:pPr>
          </w:p>
          <w:p w14:paraId="2ADFE25F">
            <w:pPr>
              <w:pStyle w:val="337"/>
              <w:spacing w:before="0" w:after="0" w:line="332" w:lineRule="auto"/>
              <w:jc w:val="both"/>
            </w:pPr>
            <w:r>
              <w:rPr>
                <w:spacing w:val="7"/>
              </w:rPr>
              <w:t>食品质量保 障措施分</w:t>
            </w:r>
          </w:p>
        </w:tc>
        <w:tc>
          <w:tcPr>
            <w:tcW w:w="6399" w:type="dxa"/>
          </w:tcPr>
          <w:p w14:paraId="468E417F">
            <w:pPr>
              <w:pStyle w:val="337"/>
              <w:spacing w:before="257" w:line="405" w:lineRule="auto"/>
              <w:ind w:left="118" w:right="19" w:firstLine="425"/>
            </w:pPr>
            <w:r>
              <w:rPr>
                <w:spacing w:val="4"/>
              </w:rPr>
              <w:t>一档（5分）</w:t>
            </w:r>
            <w:r>
              <w:rPr>
                <w:rFonts w:hint="eastAsia"/>
                <w:spacing w:val="4"/>
                <w:lang w:eastAsia="zh-CN"/>
              </w:rPr>
              <w:t>：</w:t>
            </w:r>
            <w:r>
              <w:rPr>
                <w:spacing w:val="4"/>
              </w:rPr>
              <w:t>有进货渠道、食品控制管理措施、</w:t>
            </w:r>
            <w:r>
              <w:rPr>
                <w:spacing w:val="3"/>
              </w:rPr>
              <w:t>检验检疫措施、</w:t>
            </w:r>
            <w:r>
              <w:rPr>
                <w:spacing w:val="8"/>
              </w:rPr>
              <w:t>食品质量标准管控措施、追溯方式等方面基本描述，满足项目实际需</w:t>
            </w:r>
            <w:r>
              <w:t>求；</w:t>
            </w:r>
          </w:p>
          <w:p w14:paraId="216C31CF">
            <w:pPr>
              <w:pStyle w:val="337"/>
              <w:spacing w:before="2" w:line="404" w:lineRule="auto"/>
              <w:ind w:left="115" w:right="93" w:firstLine="428"/>
              <w:jc w:val="both"/>
            </w:pPr>
            <w:r>
              <w:rPr>
                <w:spacing w:val="4"/>
              </w:rPr>
              <w:t>二档（10分）</w:t>
            </w:r>
            <w:r>
              <w:rPr>
                <w:rFonts w:hint="eastAsia"/>
                <w:spacing w:val="4"/>
                <w:lang w:eastAsia="zh-CN"/>
              </w:rPr>
              <w:t>：</w:t>
            </w:r>
            <w:r>
              <w:rPr>
                <w:spacing w:val="4"/>
              </w:rPr>
              <w:t>具有规范的进货渠道，有食品控制管理措施、检</w:t>
            </w:r>
            <w:r>
              <w:rPr>
                <w:spacing w:val="6"/>
              </w:rPr>
              <w:t>验检疫措施、食品质量标准管控措施、追溯方式等方面描述，满足项</w:t>
            </w:r>
            <w:r>
              <w:rPr>
                <w:spacing w:val="7"/>
              </w:rPr>
              <w:t>目实际需求且具有可行性；</w:t>
            </w:r>
          </w:p>
          <w:p w14:paraId="7989E08A">
            <w:pPr>
              <w:pStyle w:val="337"/>
              <w:spacing w:before="2" w:line="398" w:lineRule="auto"/>
              <w:ind w:left="115" w:right="93" w:firstLine="420"/>
              <w:jc w:val="both"/>
            </w:pPr>
            <w:r>
              <w:rPr>
                <w:spacing w:val="4"/>
              </w:rPr>
              <w:t>三档（15分）</w:t>
            </w:r>
            <w:r>
              <w:rPr>
                <w:rFonts w:hint="eastAsia"/>
                <w:spacing w:val="4"/>
                <w:lang w:eastAsia="zh-CN"/>
              </w:rPr>
              <w:t>：</w:t>
            </w:r>
            <w:r>
              <w:rPr>
                <w:spacing w:val="4"/>
              </w:rPr>
              <w:t>具有规范的进货渠道，有食品控制管理措施、检</w:t>
            </w:r>
            <w:r>
              <w:rPr>
                <w:spacing w:val="6"/>
              </w:rPr>
              <w:t>验检疫措施、食品质量标准管控措施、追溯方式等方面具体的实施步</w:t>
            </w:r>
            <w:r>
              <w:rPr>
                <w:spacing w:val="8"/>
              </w:rPr>
              <w:t>骤和要求描述，完全满足项目实际需求。</w:t>
            </w:r>
          </w:p>
          <w:p w14:paraId="3A1FAC73">
            <w:pPr>
              <w:pStyle w:val="337"/>
              <w:spacing w:line="227" w:lineRule="auto"/>
              <w:ind w:firstLine="252" w:firstLineChars="100"/>
            </w:pPr>
            <w:r>
              <w:rPr>
                <w:spacing w:val="6"/>
              </w:rPr>
              <w:t>未提供食品质量保障措施或未满足一档要求的得0分。</w:t>
            </w:r>
          </w:p>
        </w:tc>
        <w:tc>
          <w:tcPr>
            <w:tcW w:w="851" w:type="dxa"/>
          </w:tcPr>
          <w:p w14:paraId="59220FC5">
            <w:pPr>
              <w:spacing w:line="264" w:lineRule="auto"/>
              <w:rPr>
                <w:rFonts w:ascii="Arial"/>
              </w:rPr>
            </w:pPr>
          </w:p>
          <w:p w14:paraId="0815FAF9">
            <w:pPr>
              <w:spacing w:line="264" w:lineRule="auto"/>
              <w:rPr>
                <w:rFonts w:ascii="Arial"/>
              </w:rPr>
            </w:pPr>
          </w:p>
          <w:p w14:paraId="21CEB07E">
            <w:pPr>
              <w:spacing w:line="264" w:lineRule="auto"/>
              <w:rPr>
                <w:rFonts w:ascii="Arial"/>
              </w:rPr>
            </w:pPr>
          </w:p>
          <w:p w14:paraId="3BACD3FB">
            <w:pPr>
              <w:spacing w:line="264" w:lineRule="auto"/>
              <w:rPr>
                <w:rFonts w:ascii="Arial"/>
              </w:rPr>
            </w:pPr>
          </w:p>
          <w:p w14:paraId="77DF3010">
            <w:pPr>
              <w:spacing w:line="264" w:lineRule="auto"/>
              <w:rPr>
                <w:rFonts w:ascii="Arial"/>
              </w:rPr>
            </w:pPr>
          </w:p>
          <w:p w14:paraId="382AA043">
            <w:pPr>
              <w:spacing w:line="265" w:lineRule="auto"/>
              <w:rPr>
                <w:rFonts w:ascii="Arial"/>
              </w:rPr>
            </w:pPr>
          </w:p>
          <w:p w14:paraId="487E579E">
            <w:pPr>
              <w:spacing w:line="265" w:lineRule="auto"/>
              <w:rPr>
                <w:rFonts w:ascii="Arial"/>
              </w:rPr>
            </w:pPr>
          </w:p>
          <w:p w14:paraId="346E40D1">
            <w:pPr>
              <w:spacing w:line="265" w:lineRule="auto"/>
              <w:rPr>
                <w:rFonts w:ascii="Arial"/>
              </w:rPr>
            </w:pPr>
          </w:p>
          <w:p w14:paraId="7499A862">
            <w:pPr>
              <w:pStyle w:val="337"/>
              <w:spacing w:before="65" w:line="229" w:lineRule="auto"/>
              <w:ind w:left="234"/>
            </w:pPr>
            <w:r>
              <w:rPr>
                <w:b/>
                <w:bCs/>
                <w:spacing w:val="-10"/>
              </w:rPr>
              <w:t>15分</w:t>
            </w:r>
          </w:p>
        </w:tc>
      </w:tr>
      <w:tr w14:paraId="67B05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813" w:type="dxa"/>
          </w:tcPr>
          <w:p w14:paraId="1C9F01EA">
            <w:pPr>
              <w:spacing w:line="260" w:lineRule="auto"/>
              <w:rPr>
                <w:rFonts w:ascii="Arial"/>
              </w:rPr>
            </w:pPr>
          </w:p>
          <w:p w14:paraId="2FBCC2FD">
            <w:pPr>
              <w:spacing w:line="260" w:lineRule="auto"/>
              <w:rPr>
                <w:rFonts w:ascii="Arial"/>
              </w:rPr>
            </w:pPr>
          </w:p>
          <w:p w14:paraId="4718B898">
            <w:pPr>
              <w:spacing w:line="260" w:lineRule="auto"/>
              <w:rPr>
                <w:rFonts w:ascii="Arial"/>
              </w:rPr>
            </w:pPr>
          </w:p>
          <w:p w14:paraId="12CE0952">
            <w:pPr>
              <w:spacing w:line="260" w:lineRule="auto"/>
              <w:rPr>
                <w:rFonts w:ascii="Arial"/>
              </w:rPr>
            </w:pPr>
          </w:p>
          <w:p w14:paraId="5B8BFC56">
            <w:pPr>
              <w:spacing w:line="260" w:lineRule="auto"/>
              <w:rPr>
                <w:rFonts w:ascii="Arial"/>
              </w:rPr>
            </w:pPr>
          </w:p>
          <w:p w14:paraId="2D810D44">
            <w:pPr>
              <w:spacing w:line="260" w:lineRule="auto"/>
              <w:rPr>
                <w:rFonts w:ascii="Arial"/>
              </w:rPr>
            </w:pPr>
          </w:p>
          <w:p w14:paraId="01DB07E5">
            <w:pPr>
              <w:spacing w:line="261" w:lineRule="auto"/>
              <w:rPr>
                <w:rFonts w:ascii="Arial"/>
              </w:rPr>
            </w:pPr>
          </w:p>
          <w:p w14:paraId="119431E4">
            <w:pPr>
              <w:spacing w:line="261" w:lineRule="auto"/>
              <w:rPr>
                <w:rFonts w:ascii="Arial"/>
              </w:rPr>
            </w:pPr>
          </w:p>
          <w:p w14:paraId="7B791488">
            <w:pPr>
              <w:pStyle w:val="337"/>
              <w:spacing w:before="65" w:line="268" w:lineRule="exact"/>
              <w:ind w:left="265"/>
            </w:pPr>
            <w:r>
              <w:rPr>
                <w:position w:val="1"/>
              </w:rPr>
              <w:t>2.3</w:t>
            </w:r>
          </w:p>
        </w:tc>
        <w:tc>
          <w:tcPr>
            <w:tcW w:w="1304" w:type="dxa"/>
          </w:tcPr>
          <w:p w14:paraId="3819480D">
            <w:pPr>
              <w:spacing w:line="258" w:lineRule="auto"/>
              <w:rPr>
                <w:rFonts w:ascii="Arial"/>
              </w:rPr>
            </w:pPr>
          </w:p>
          <w:p w14:paraId="22343A42">
            <w:pPr>
              <w:spacing w:line="258" w:lineRule="auto"/>
              <w:rPr>
                <w:rFonts w:ascii="Arial"/>
              </w:rPr>
            </w:pPr>
          </w:p>
          <w:p w14:paraId="24852E44">
            <w:pPr>
              <w:spacing w:line="258" w:lineRule="auto"/>
              <w:rPr>
                <w:rFonts w:ascii="Arial"/>
              </w:rPr>
            </w:pPr>
          </w:p>
          <w:p w14:paraId="5C7A0CD3">
            <w:pPr>
              <w:spacing w:line="258" w:lineRule="auto"/>
              <w:rPr>
                <w:rFonts w:ascii="Arial"/>
              </w:rPr>
            </w:pPr>
          </w:p>
          <w:p w14:paraId="2F6AEA17">
            <w:pPr>
              <w:spacing w:line="258" w:lineRule="auto"/>
              <w:rPr>
                <w:rFonts w:ascii="Arial"/>
              </w:rPr>
            </w:pPr>
          </w:p>
          <w:p w14:paraId="7378F8E3">
            <w:pPr>
              <w:spacing w:line="258" w:lineRule="auto"/>
              <w:rPr>
                <w:rFonts w:ascii="Arial"/>
              </w:rPr>
            </w:pPr>
          </w:p>
          <w:p w14:paraId="55E5B378">
            <w:pPr>
              <w:spacing w:line="259" w:lineRule="auto"/>
              <w:rPr>
                <w:rFonts w:ascii="Arial"/>
              </w:rPr>
            </w:pPr>
          </w:p>
          <w:p w14:paraId="762E3A63">
            <w:pPr>
              <w:spacing w:line="259" w:lineRule="auto"/>
              <w:rPr>
                <w:rFonts w:ascii="Arial"/>
              </w:rPr>
            </w:pPr>
          </w:p>
          <w:p w14:paraId="4F929401">
            <w:pPr>
              <w:pStyle w:val="337"/>
              <w:spacing w:before="65" w:line="228" w:lineRule="auto"/>
              <w:ind w:left="142"/>
            </w:pPr>
            <w:r>
              <w:rPr>
                <w:spacing w:val="5"/>
              </w:rPr>
              <w:t>管理制度分</w:t>
            </w:r>
          </w:p>
        </w:tc>
        <w:tc>
          <w:tcPr>
            <w:tcW w:w="6399" w:type="dxa"/>
          </w:tcPr>
          <w:p w14:paraId="7192728D">
            <w:pPr>
              <w:pStyle w:val="337"/>
              <w:spacing w:before="204" w:line="406" w:lineRule="auto"/>
              <w:ind w:left="118" w:right="91" w:firstLine="425"/>
              <w:jc w:val="both"/>
            </w:pPr>
            <w:r>
              <w:rPr>
                <w:spacing w:val="8"/>
              </w:rPr>
              <w:t>一档(</w:t>
            </w:r>
            <w:r>
              <w:rPr>
                <w:rFonts w:hint="eastAsia"/>
                <w:spacing w:val="8"/>
              </w:rPr>
              <w:t>3</w:t>
            </w:r>
            <w:r>
              <w:rPr>
                <w:spacing w:val="8"/>
              </w:rPr>
              <w:t>分)</w:t>
            </w:r>
            <w:r>
              <w:rPr>
                <w:rFonts w:hint="eastAsia"/>
                <w:spacing w:val="8"/>
                <w:lang w:eastAsia="zh-CN"/>
              </w:rPr>
              <w:t>：</w:t>
            </w:r>
            <w:r>
              <w:rPr>
                <w:spacing w:val="8"/>
              </w:rPr>
              <w:t>投标人提供各项管理制度，包括但不限于食品质量</w:t>
            </w:r>
            <w:r>
              <w:rPr>
                <w:spacing w:val="6"/>
              </w:rPr>
              <w:t>检验制度、食品准入台账登记制度、卫生知识培训制度等表述简略或</w:t>
            </w:r>
            <w:r>
              <w:rPr>
                <w:spacing w:val="2"/>
              </w:rPr>
              <w:t>内容简短；</w:t>
            </w:r>
          </w:p>
          <w:p w14:paraId="35E435C9">
            <w:pPr>
              <w:pStyle w:val="337"/>
              <w:spacing w:before="2" w:line="404" w:lineRule="auto"/>
              <w:ind w:left="118" w:right="91" w:firstLine="425"/>
              <w:jc w:val="both"/>
            </w:pPr>
            <w:r>
              <w:rPr>
                <w:spacing w:val="6"/>
              </w:rPr>
              <w:t>二档(</w:t>
            </w:r>
            <w:r>
              <w:rPr>
                <w:rFonts w:hint="eastAsia"/>
                <w:spacing w:val="6"/>
              </w:rPr>
              <w:t>6</w:t>
            </w:r>
            <w:r>
              <w:rPr>
                <w:spacing w:val="6"/>
              </w:rPr>
              <w:t>分)</w:t>
            </w:r>
            <w:r>
              <w:rPr>
                <w:rFonts w:hint="eastAsia"/>
                <w:spacing w:val="6"/>
                <w:lang w:eastAsia="zh-CN"/>
              </w:rPr>
              <w:t>：</w:t>
            </w:r>
            <w:r>
              <w:rPr>
                <w:spacing w:val="6"/>
              </w:rPr>
              <w:t>投标人提供各项管理制度，包括但</w:t>
            </w:r>
            <w:r>
              <w:rPr>
                <w:spacing w:val="5"/>
              </w:rPr>
              <w:t>不限于食品质量</w:t>
            </w:r>
            <w:r>
              <w:rPr>
                <w:spacing w:val="6"/>
              </w:rPr>
              <w:t>检验制度、食品准入台账登记制度、卫生知识培训制度、食品留样管</w:t>
            </w:r>
            <w:r>
              <w:rPr>
                <w:spacing w:val="7"/>
              </w:rPr>
              <w:t>理制度、从业人员健康制度等内容基本详细；</w:t>
            </w:r>
          </w:p>
          <w:p w14:paraId="2AC3C58E">
            <w:pPr>
              <w:pStyle w:val="337"/>
              <w:spacing w:before="2" w:line="398" w:lineRule="auto"/>
              <w:ind w:left="115" w:right="93" w:firstLine="420"/>
              <w:jc w:val="both"/>
            </w:pPr>
            <w:r>
              <w:rPr>
                <w:spacing w:val="5"/>
              </w:rPr>
              <w:t>三档(</w:t>
            </w:r>
            <w:r>
              <w:rPr>
                <w:rFonts w:hint="eastAsia"/>
                <w:spacing w:val="5"/>
              </w:rPr>
              <w:t>10</w:t>
            </w:r>
            <w:r>
              <w:rPr>
                <w:spacing w:val="5"/>
              </w:rPr>
              <w:t>分)</w:t>
            </w:r>
            <w:r>
              <w:rPr>
                <w:rFonts w:hint="eastAsia"/>
                <w:spacing w:val="5"/>
                <w:lang w:eastAsia="zh-CN"/>
              </w:rPr>
              <w:t>：</w:t>
            </w:r>
            <w:r>
              <w:rPr>
                <w:spacing w:val="5"/>
              </w:rPr>
              <w:t>投标人提供各项管理制度方案，包括但不限于食品</w:t>
            </w:r>
            <w:r>
              <w:rPr>
                <w:spacing w:val="6"/>
              </w:rPr>
              <w:t>质量检验制度、食品准入台账登记制度、卫生知识培训制度、食品留</w:t>
            </w:r>
            <w:r>
              <w:rPr>
                <w:spacing w:val="9"/>
              </w:rPr>
              <w:t>样管理制度、从业人员健康制度、消费投诉处理制度等内容详细。</w:t>
            </w:r>
          </w:p>
          <w:p w14:paraId="093386FF">
            <w:pPr>
              <w:pStyle w:val="337"/>
              <w:spacing w:line="227" w:lineRule="auto"/>
              <w:ind w:left="544"/>
            </w:pPr>
            <w:r>
              <w:rPr>
                <w:spacing w:val="6"/>
              </w:rPr>
              <w:t>未提供服务管理制度或未满足一档要求的得0分。</w:t>
            </w:r>
          </w:p>
        </w:tc>
        <w:tc>
          <w:tcPr>
            <w:tcW w:w="851" w:type="dxa"/>
          </w:tcPr>
          <w:p w14:paraId="0339A0E6">
            <w:pPr>
              <w:spacing w:line="258" w:lineRule="auto"/>
              <w:rPr>
                <w:rFonts w:ascii="Arial"/>
              </w:rPr>
            </w:pPr>
          </w:p>
          <w:p w14:paraId="4BAF2B5F">
            <w:pPr>
              <w:spacing w:line="258" w:lineRule="auto"/>
              <w:rPr>
                <w:rFonts w:ascii="Arial"/>
              </w:rPr>
            </w:pPr>
          </w:p>
          <w:p w14:paraId="6FA4A6B8">
            <w:pPr>
              <w:spacing w:line="258" w:lineRule="auto"/>
              <w:rPr>
                <w:rFonts w:ascii="Arial"/>
              </w:rPr>
            </w:pPr>
          </w:p>
          <w:p w14:paraId="7C0B41F8">
            <w:pPr>
              <w:spacing w:line="258" w:lineRule="auto"/>
              <w:rPr>
                <w:rFonts w:ascii="Arial"/>
              </w:rPr>
            </w:pPr>
          </w:p>
          <w:p w14:paraId="7EF532B3">
            <w:pPr>
              <w:spacing w:line="258" w:lineRule="auto"/>
              <w:rPr>
                <w:rFonts w:ascii="Arial"/>
              </w:rPr>
            </w:pPr>
          </w:p>
          <w:p w14:paraId="1746AAF1">
            <w:pPr>
              <w:spacing w:line="258" w:lineRule="auto"/>
              <w:rPr>
                <w:rFonts w:ascii="Arial"/>
              </w:rPr>
            </w:pPr>
          </w:p>
          <w:p w14:paraId="537C46DC">
            <w:pPr>
              <w:spacing w:line="258" w:lineRule="auto"/>
              <w:rPr>
                <w:rFonts w:ascii="Arial"/>
              </w:rPr>
            </w:pPr>
          </w:p>
          <w:p w14:paraId="6A01E3B1">
            <w:pPr>
              <w:spacing w:line="259" w:lineRule="auto"/>
              <w:rPr>
                <w:rFonts w:ascii="Arial"/>
              </w:rPr>
            </w:pPr>
          </w:p>
          <w:p w14:paraId="4E88E8EA">
            <w:pPr>
              <w:pStyle w:val="337"/>
              <w:spacing w:before="65" w:line="229" w:lineRule="auto"/>
              <w:ind w:left="234"/>
            </w:pPr>
            <w:r>
              <w:rPr>
                <w:b/>
                <w:bCs/>
                <w:spacing w:val="-10"/>
              </w:rPr>
              <w:t>1</w:t>
            </w:r>
            <w:r>
              <w:rPr>
                <w:rFonts w:hint="eastAsia"/>
                <w:b/>
                <w:bCs/>
                <w:spacing w:val="-10"/>
              </w:rPr>
              <w:t>0</w:t>
            </w:r>
            <w:r>
              <w:rPr>
                <w:b/>
                <w:bCs/>
                <w:spacing w:val="-10"/>
              </w:rPr>
              <w:t>分</w:t>
            </w:r>
          </w:p>
        </w:tc>
      </w:tr>
      <w:tr w14:paraId="0097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9" w:hRule="atLeast"/>
        </w:trPr>
        <w:tc>
          <w:tcPr>
            <w:tcW w:w="813" w:type="dxa"/>
          </w:tcPr>
          <w:p w14:paraId="074D908B">
            <w:pPr>
              <w:spacing w:line="285" w:lineRule="auto"/>
              <w:rPr>
                <w:rFonts w:ascii="Arial"/>
              </w:rPr>
            </w:pPr>
          </w:p>
          <w:p w14:paraId="013B7004">
            <w:pPr>
              <w:spacing w:line="285" w:lineRule="auto"/>
              <w:rPr>
                <w:rFonts w:ascii="Arial"/>
              </w:rPr>
            </w:pPr>
          </w:p>
          <w:p w14:paraId="2749579D">
            <w:pPr>
              <w:spacing w:line="285" w:lineRule="auto"/>
              <w:rPr>
                <w:rFonts w:ascii="Arial"/>
              </w:rPr>
            </w:pPr>
          </w:p>
          <w:p w14:paraId="7E9A146E">
            <w:pPr>
              <w:spacing w:line="285" w:lineRule="auto"/>
              <w:rPr>
                <w:rFonts w:ascii="Arial"/>
              </w:rPr>
            </w:pPr>
          </w:p>
          <w:p w14:paraId="3ED9B4CB">
            <w:pPr>
              <w:spacing w:line="286" w:lineRule="auto"/>
              <w:rPr>
                <w:rFonts w:ascii="Arial"/>
              </w:rPr>
            </w:pPr>
          </w:p>
          <w:p w14:paraId="74B0A451">
            <w:pPr>
              <w:pStyle w:val="337"/>
              <w:spacing w:before="65" w:line="269" w:lineRule="exact"/>
              <w:ind w:left="265"/>
            </w:pPr>
            <w:r>
              <w:rPr>
                <w:position w:val="1"/>
              </w:rPr>
              <w:t>2.4</w:t>
            </w:r>
          </w:p>
        </w:tc>
        <w:tc>
          <w:tcPr>
            <w:tcW w:w="1304" w:type="dxa"/>
          </w:tcPr>
          <w:p w14:paraId="57730751">
            <w:pPr>
              <w:spacing w:line="263" w:lineRule="auto"/>
              <w:rPr>
                <w:rFonts w:ascii="Arial"/>
              </w:rPr>
            </w:pPr>
          </w:p>
          <w:p w14:paraId="1127C7A3">
            <w:pPr>
              <w:spacing w:line="263" w:lineRule="auto"/>
              <w:rPr>
                <w:rFonts w:ascii="Arial"/>
              </w:rPr>
            </w:pPr>
          </w:p>
          <w:p w14:paraId="6E5C752C">
            <w:pPr>
              <w:spacing w:line="263" w:lineRule="auto"/>
              <w:rPr>
                <w:rFonts w:ascii="Arial"/>
              </w:rPr>
            </w:pPr>
          </w:p>
          <w:p w14:paraId="6BAE822C">
            <w:pPr>
              <w:spacing w:line="263" w:lineRule="auto"/>
              <w:rPr>
                <w:rFonts w:ascii="Arial"/>
              </w:rPr>
            </w:pPr>
          </w:p>
          <w:p w14:paraId="0BE8FAD4">
            <w:pPr>
              <w:pStyle w:val="337"/>
              <w:spacing w:before="65" w:line="360" w:lineRule="auto"/>
              <w:ind w:left="142"/>
            </w:pPr>
            <w:r>
              <w:rPr>
                <w:spacing w:val="5"/>
              </w:rPr>
              <w:t>突发应急保障方案分</w:t>
            </w:r>
          </w:p>
        </w:tc>
        <w:tc>
          <w:tcPr>
            <w:tcW w:w="6399" w:type="dxa"/>
          </w:tcPr>
          <w:p w14:paraId="60BABA15">
            <w:pPr>
              <w:pStyle w:val="337"/>
              <w:spacing w:before="207" w:line="406" w:lineRule="auto"/>
              <w:ind w:left="124" w:right="108" w:firstLine="420"/>
            </w:pPr>
            <w:r>
              <w:rPr>
                <w:spacing w:val="6"/>
              </w:rPr>
              <w:t>一档(5分)：对问题食材、配送过程、项目管理等应急</w:t>
            </w:r>
            <w:r>
              <w:rPr>
                <w:spacing w:val="5"/>
              </w:rPr>
              <w:t>方案内容</w:t>
            </w:r>
            <w:r>
              <w:rPr>
                <w:spacing w:val="7"/>
              </w:rPr>
              <w:t>不完整，方案描述简单，可操作性不强；</w:t>
            </w:r>
          </w:p>
          <w:p w14:paraId="2EA0AF4F">
            <w:pPr>
              <w:pStyle w:val="337"/>
              <w:spacing w:before="2" w:line="404" w:lineRule="auto"/>
              <w:ind w:left="115" w:right="93" w:firstLine="428"/>
              <w:jc w:val="both"/>
            </w:pPr>
            <w:r>
              <w:rPr>
                <w:spacing w:val="8"/>
              </w:rPr>
              <w:t>二档(10 分)：对问题食材、配送过程、项目管理等应急方案内</w:t>
            </w:r>
            <w:r>
              <w:rPr>
                <w:spacing w:val="6"/>
              </w:rPr>
              <w:t>容基本全面，方案描述较详细，有一定的可行性和可操作性，能较好保障项目的实施及运行，具有相关应急预案流程，有应急服务保障措施和有承诺；</w:t>
            </w:r>
          </w:p>
          <w:p w14:paraId="53E3CB28">
            <w:pPr>
              <w:pStyle w:val="337"/>
              <w:spacing w:before="1" w:line="405" w:lineRule="auto"/>
              <w:ind w:left="118" w:right="89" w:firstLine="422"/>
              <w:jc w:val="both"/>
            </w:pPr>
            <w:r>
              <w:rPr>
                <w:spacing w:val="8"/>
              </w:rPr>
              <w:t>三档(15 分)：对问题食材、配送过程、项目管理等应急方案内</w:t>
            </w:r>
            <w:r>
              <w:rPr>
                <w:spacing w:val="6"/>
              </w:rPr>
              <w:t>容陈述全面、完整，方案描述较详尽，可行性和操作性强，措施到位</w:t>
            </w:r>
            <w:r>
              <w:rPr>
                <w:rFonts w:hint="eastAsia"/>
                <w:spacing w:val="5"/>
              </w:rPr>
              <w:t>，</w:t>
            </w:r>
            <w:r>
              <w:rPr>
                <w:spacing w:val="7"/>
              </w:rPr>
              <w:t>完全能保障项目的实施及运行，有应急服务保障措施、重大或突</w:t>
            </w:r>
            <w:r>
              <w:rPr>
                <w:spacing w:val="13"/>
              </w:rPr>
              <w:t>发事件的人员配合、措施有合理的计划安排，逻辑清晰、科学合理</w:t>
            </w:r>
            <w:r>
              <w:rPr>
                <w:position w:val="1"/>
              </w:rPr>
              <w:t>。</w:t>
            </w:r>
          </w:p>
          <w:p w14:paraId="317C7E35">
            <w:pPr>
              <w:pStyle w:val="337"/>
              <w:spacing w:before="182" w:line="208" w:lineRule="auto"/>
              <w:ind w:firstLine="252" w:firstLineChars="100"/>
            </w:pPr>
            <w:r>
              <w:rPr>
                <w:spacing w:val="6"/>
              </w:rPr>
              <w:t>投标人没有提供应急方案或未满足一档要求的得0分。</w:t>
            </w:r>
          </w:p>
        </w:tc>
        <w:tc>
          <w:tcPr>
            <w:tcW w:w="851" w:type="dxa"/>
          </w:tcPr>
          <w:p w14:paraId="3CC5B224">
            <w:pPr>
              <w:spacing w:line="282" w:lineRule="auto"/>
              <w:rPr>
                <w:rFonts w:ascii="Arial"/>
              </w:rPr>
            </w:pPr>
          </w:p>
          <w:p w14:paraId="3C94CA5A">
            <w:pPr>
              <w:spacing w:line="282" w:lineRule="auto"/>
              <w:rPr>
                <w:rFonts w:ascii="Arial"/>
              </w:rPr>
            </w:pPr>
          </w:p>
          <w:p w14:paraId="055369E3">
            <w:pPr>
              <w:spacing w:line="282" w:lineRule="auto"/>
              <w:rPr>
                <w:rFonts w:ascii="Arial"/>
              </w:rPr>
            </w:pPr>
          </w:p>
          <w:p w14:paraId="6BEB7C0F">
            <w:pPr>
              <w:spacing w:line="282" w:lineRule="auto"/>
              <w:rPr>
                <w:rFonts w:ascii="Arial"/>
              </w:rPr>
            </w:pPr>
          </w:p>
          <w:p w14:paraId="61E50022">
            <w:pPr>
              <w:spacing w:line="282" w:lineRule="auto"/>
              <w:rPr>
                <w:rFonts w:ascii="Arial"/>
              </w:rPr>
            </w:pPr>
          </w:p>
          <w:p w14:paraId="6C2B767D">
            <w:pPr>
              <w:pStyle w:val="337"/>
              <w:spacing w:before="65" w:line="229" w:lineRule="auto"/>
              <w:ind w:left="234"/>
            </w:pPr>
            <w:r>
              <w:rPr>
                <w:b/>
                <w:bCs/>
                <w:spacing w:val="-10"/>
              </w:rPr>
              <w:t>15分</w:t>
            </w:r>
          </w:p>
        </w:tc>
      </w:tr>
      <w:tr w14:paraId="12F3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13" w:type="dxa"/>
          </w:tcPr>
          <w:p w14:paraId="410B5F26">
            <w:pPr>
              <w:spacing w:line="255" w:lineRule="auto"/>
              <w:rPr>
                <w:rFonts w:ascii="Arial"/>
              </w:rPr>
            </w:pPr>
          </w:p>
          <w:p w14:paraId="51274C5D">
            <w:pPr>
              <w:spacing w:line="255" w:lineRule="auto"/>
              <w:rPr>
                <w:rFonts w:ascii="Arial"/>
              </w:rPr>
            </w:pPr>
          </w:p>
          <w:p w14:paraId="6FAF9203">
            <w:pPr>
              <w:spacing w:line="255" w:lineRule="auto"/>
              <w:rPr>
                <w:rFonts w:ascii="Arial"/>
              </w:rPr>
            </w:pPr>
          </w:p>
          <w:p w14:paraId="31F5E021">
            <w:pPr>
              <w:spacing w:line="255" w:lineRule="auto"/>
              <w:rPr>
                <w:rFonts w:ascii="Arial"/>
              </w:rPr>
            </w:pPr>
          </w:p>
          <w:p w14:paraId="329B656D">
            <w:pPr>
              <w:spacing w:line="255" w:lineRule="auto"/>
              <w:rPr>
                <w:rFonts w:ascii="Arial"/>
              </w:rPr>
            </w:pPr>
          </w:p>
          <w:p w14:paraId="11107A3C">
            <w:pPr>
              <w:spacing w:line="255" w:lineRule="auto"/>
              <w:rPr>
                <w:rFonts w:ascii="Arial"/>
              </w:rPr>
            </w:pPr>
          </w:p>
          <w:p w14:paraId="628D8039">
            <w:pPr>
              <w:spacing w:line="255" w:lineRule="auto"/>
              <w:rPr>
                <w:rFonts w:ascii="Arial"/>
              </w:rPr>
            </w:pPr>
          </w:p>
          <w:p w14:paraId="3D18A652">
            <w:pPr>
              <w:spacing w:line="255" w:lineRule="auto"/>
              <w:rPr>
                <w:rFonts w:ascii="Arial"/>
              </w:rPr>
            </w:pPr>
          </w:p>
          <w:p w14:paraId="4901CE9C">
            <w:pPr>
              <w:spacing w:line="256" w:lineRule="auto"/>
              <w:rPr>
                <w:rFonts w:ascii="Arial"/>
              </w:rPr>
            </w:pPr>
          </w:p>
          <w:p w14:paraId="24EB26B1">
            <w:pPr>
              <w:pStyle w:val="337"/>
              <w:spacing w:before="65" w:line="269" w:lineRule="exact"/>
              <w:ind w:left="265"/>
            </w:pPr>
            <w:r>
              <w:rPr>
                <w:position w:val="1"/>
              </w:rPr>
              <w:t>2.5</w:t>
            </w:r>
          </w:p>
        </w:tc>
        <w:tc>
          <w:tcPr>
            <w:tcW w:w="1304" w:type="dxa"/>
          </w:tcPr>
          <w:p w14:paraId="6BA9A4E6">
            <w:pPr>
              <w:spacing w:line="242" w:lineRule="auto"/>
              <w:rPr>
                <w:rFonts w:ascii="Arial"/>
                <w:highlight w:val="none"/>
              </w:rPr>
            </w:pPr>
          </w:p>
          <w:p w14:paraId="194D7935">
            <w:pPr>
              <w:spacing w:line="242" w:lineRule="auto"/>
              <w:rPr>
                <w:rFonts w:ascii="Arial"/>
                <w:highlight w:val="none"/>
              </w:rPr>
            </w:pPr>
          </w:p>
          <w:p w14:paraId="580D99C8">
            <w:pPr>
              <w:spacing w:line="242" w:lineRule="auto"/>
              <w:rPr>
                <w:rFonts w:ascii="Arial"/>
                <w:highlight w:val="none"/>
              </w:rPr>
            </w:pPr>
          </w:p>
          <w:p w14:paraId="6EE65AEF">
            <w:pPr>
              <w:spacing w:line="242" w:lineRule="auto"/>
              <w:rPr>
                <w:rFonts w:ascii="Arial"/>
                <w:highlight w:val="none"/>
              </w:rPr>
            </w:pPr>
          </w:p>
          <w:p w14:paraId="7D3B1944">
            <w:pPr>
              <w:spacing w:line="242" w:lineRule="auto"/>
              <w:rPr>
                <w:rFonts w:ascii="Arial"/>
                <w:highlight w:val="none"/>
              </w:rPr>
            </w:pPr>
          </w:p>
          <w:p w14:paraId="40BA5249">
            <w:pPr>
              <w:spacing w:line="242" w:lineRule="auto"/>
              <w:rPr>
                <w:rFonts w:ascii="Arial"/>
                <w:highlight w:val="none"/>
              </w:rPr>
            </w:pPr>
          </w:p>
          <w:p w14:paraId="26EE33B3">
            <w:pPr>
              <w:spacing w:line="243" w:lineRule="auto"/>
              <w:rPr>
                <w:rFonts w:ascii="Arial"/>
                <w:highlight w:val="none"/>
              </w:rPr>
            </w:pPr>
          </w:p>
          <w:p w14:paraId="47F2DDA0">
            <w:pPr>
              <w:spacing w:line="243" w:lineRule="auto"/>
              <w:rPr>
                <w:rFonts w:ascii="Arial"/>
                <w:highlight w:val="none"/>
              </w:rPr>
            </w:pPr>
          </w:p>
          <w:p w14:paraId="313647BB">
            <w:pPr>
              <w:pStyle w:val="337"/>
              <w:spacing w:before="65" w:line="360" w:lineRule="auto"/>
              <w:ind w:left="142"/>
              <w:rPr>
                <w:highlight w:val="none"/>
              </w:rPr>
            </w:pPr>
            <w:r>
              <w:rPr>
                <w:spacing w:val="5"/>
                <w:highlight w:val="none"/>
              </w:rPr>
              <w:t>拟投入技术人员、设备分</w:t>
            </w:r>
          </w:p>
        </w:tc>
        <w:tc>
          <w:tcPr>
            <w:tcW w:w="6399" w:type="dxa"/>
          </w:tcPr>
          <w:p w14:paraId="046ACC3E">
            <w:pPr>
              <w:pStyle w:val="337"/>
              <w:spacing w:before="204" w:line="336" w:lineRule="auto"/>
              <w:ind w:left="118" w:right="96" w:firstLine="14"/>
              <w:rPr>
                <w:highlight w:val="none"/>
              </w:rPr>
            </w:pPr>
            <w:r>
              <w:rPr>
                <w:spacing w:val="8"/>
                <w:highlight w:val="none"/>
              </w:rPr>
              <w:t>（1）投标人对本项目拟投入的实施人员（不含配送人员）具备健康</w:t>
            </w:r>
            <w:r>
              <w:rPr>
                <w:spacing w:val="2"/>
                <w:highlight w:val="none"/>
              </w:rPr>
              <w:t>证明材料，每个 1分，满分</w:t>
            </w:r>
            <w:r>
              <w:rPr>
                <w:rFonts w:hint="eastAsia"/>
                <w:spacing w:val="2"/>
                <w:highlight w:val="none"/>
                <w:lang w:val="en-US" w:eastAsia="zh-CN"/>
              </w:rPr>
              <w:t>7</w:t>
            </w:r>
            <w:r>
              <w:rPr>
                <w:spacing w:val="2"/>
                <w:highlight w:val="none"/>
              </w:rPr>
              <w:t>分（需在投标文件中提供有效的健康证</w:t>
            </w:r>
            <w:r>
              <w:rPr>
                <w:spacing w:val="8"/>
                <w:highlight w:val="none"/>
              </w:rPr>
              <w:t>明材料复印件并加盖投标人公章，未提供的不得</w:t>
            </w:r>
            <w:r>
              <w:rPr>
                <w:spacing w:val="7"/>
                <w:highlight w:val="none"/>
              </w:rPr>
              <w:t>分）。</w:t>
            </w:r>
          </w:p>
          <w:p w14:paraId="549D2AAD">
            <w:pPr>
              <w:pStyle w:val="337"/>
              <w:spacing w:before="298" w:line="336" w:lineRule="auto"/>
              <w:ind w:left="133"/>
              <w:rPr>
                <w:highlight w:val="none"/>
              </w:rPr>
            </w:pPr>
            <w:r>
              <w:rPr>
                <w:spacing w:val="3"/>
                <w:highlight w:val="none"/>
              </w:rPr>
              <w:t>（2）配送车辆分（满分</w:t>
            </w:r>
            <w:r>
              <w:rPr>
                <w:rFonts w:hint="eastAsia"/>
                <w:spacing w:val="3"/>
                <w:highlight w:val="none"/>
                <w:lang w:val="en-US" w:eastAsia="zh-CN"/>
              </w:rPr>
              <w:t>6</w:t>
            </w:r>
            <w:r>
              <w:rPr>
                <w:spacing w:val="3"/>
                <w:highlight w:val="none"/>
              </w:rPr>
              <w:t>分）</w:t>
            </w:r>
          </w:p>
          <w:p w14:paraId="0901D525">
            <w:pPr>
              <w:pStyle w:val="337"/>
              <w:spacing w:before="209" w:line="336" w:lineRule="auto"/>
              <w:ind w:left="119" w:right="93" w:firstLine="492" w:firstLineChars="200"/>
              <w:rPr>
                <w:color w:val="auto"/>
                <w:highlight w:val="none"/>
              </w:rPr>
            </w:pPr>
            <w:r>
              <w:rPr>
                <w:color w:val="auto"/>
                <w:spacing w:val="3"/>
                <w:highlight w:val="none"/>
              </w:rPr>
              <w:t>投标人针对本项目拟投入的配送车辆达到</w:t>
            </w:r>
            <w:r>
              <w:rPr>
                <w:rFonts w:hint="eastAsia"/>
                <w:color w:val="auto"/>
                <w:spacing w:val="3"/>
                <w:highlight w:val="none"/>
                <w:lang w:val="en-US" w:eastAsia="zh-CN"/>
              </w:rPr>
              <w:t>10</w:t>
            </w:r>
            <w:r>
              <w:rPr>
                <w:color w:val="auto"/>
                <w:spacing w:val="3"/>
                <w:highlight w:val="none"/>
              </w:rPr>
              <w:t>辆的基础上</w:t>
            </w:r>
            <w:r>
              <w:rPr>
                <w:rFonts w:hint="eastAsia"/>
                <w:color w:val="auto"/>
                <w:spacing w:val="3"/>
                <w:highlight w:val="none"/>
                <w:lang w:eastAsia="zh-CN"/>
              </w:rPr>
              <w:t>得</w:t>
            </w:r>
            <w:r>
              <w:rPr>
                <w:rFonts w:hint="eastAsia"/>
                <w:color w:val="auto"/>
                <w:spacing w:val="3"/>
                <w:highlight w:val="none"/>
                <w:lang w:val="en-US" w:eastAsia="zh-CN"/>
              </w:rPr>
              <w:t>2分</w:t>
            </w:r>
            <w:r>
              <w:rPr>
                <w:color w:val="auto"/>
                <w:spacing w:val="3"/>
                <w:highlight w:val="none"/>
              </w:rPr>
              <w:t>，每增加1辆</w:t>
            </w:r>
            <w:r>
              <w:rPr>
                <w:color w:val="auto"/>
                <w:spacing w:val="-3"/>
                <w:highlight w:val="none"/>
              </w:rPr>
              <w:t xml:space="preserve">得 </w:t>
            </w:r>
            <w:r>
              <w:rPr>
                <w:rFonts w:hint="eastAsia"/>
                <w:color w:val="auto"/>
                <w:spacing w:val="-3"/>
                <w:highlight w:val="none"/>
                <w:lang w:val="en-US" w:eastAsia="zh-CN"/>
              </w:rPr>
              <w:t>0.</w:t>
            </w:r>
            <w:r>
              <w:rPr>
                <w:color w:val="auto"/>
                <w:spacing w:val="-3"/>
                <w:highlight w:val="none"/>
              </w:rPr>
              <w:t>1分，满分</w:t>
            </w:r>
            <w:r>
              <w:rPr>
                <w:rFonts w:hint="eastAsia"/>
                <w:color w:val="auto"/>
                <w:spacing w:val="-3"/>
                <w:highlight w:val="none"/>
                <w:lang w:val="en-US" w:eastAsia="zh-CN"/>
              </w:rPr>
              <w:t>6</w:t>
            </w:r>
            <w:r>
              <w:rPr>
                <w:color w:val="auto"/>
                <w:spacing w:val="-3"/>
                <w:highlight w:val="none"/>
              </w:rPr>
              <w:t>分。</w:t>
            </w:r>
          </w:p>
          <w:p w14:paraId="3B067173">
            <w:pPr>
              <w:pStyle w:val="337"/>
              <w:spacing w:before="2" w:line="336" w:lineRule="auto"/>
              <w:ind w:left="115" w:right="16" w:firstLine="420"/>
              <w:rPr>
                <w:highlight w:val="none"/>
              </w:rPr>
            </w:pPr>
            <w:r>
              <w:rPr>
                <w:color w:val="auto"/>
                <w:spacing w:val="8"/>
                <w:highlight w:val="none"/>
              </w:rPr>
              <w:t>注：配送车辆中至少有</w:t>
            </w:r>
            <w:r>
              <w:rPr>
                <w:rFonts w:hint="eastAsia"/>
                <w:color w:val="auto"/>
                <w:spacing w:val="8"/>
                <w:highlight w:val="none"/>
                <w:lang w:val="en-US" w:eastAsia="zh-CN"/>
              </w:rPr>
              <w:t>5</w:t>
            </w:r>
            <w:r>
              <w:rPr>
                <w:color w:val="auto"/>
                <w:spacing w:val="8"/>
                <w:highlight w:val="none"/>
              </w:rPr>
              <w:t>辆冷链配送车，须提供行车辆行驶证、</w:t>
            </w:r>
            <w:r>
              <w:rPr>
                <w:color w:val="auto"/>
                <w:spacing w:val="9"/>
                <w:highlight w:val="none"/>
              </w:rPr>
              <w:t>车辆登记证、车辆照片</w:t>
            </w:r>
            <w:r>
              <w:rPr>
                <w:rFonts w:hint="eastAsia"/>
                <w:color w:val="auto"/>
                <w:spacing w:val="9"/>
                <w:highlight w:val="none"/>
                <w:lang w:eastAsia="zh-CN"/>
              </w:rPr>
              <w:t>或采购车辆的合同</w:t>
            </w:r>
            <w:r>
              <w:rPr>
                <w:color w:val="auto"/>
                <w:spacing w:val="9"/>
                <w:highlight w:val="none"/>
              </w:rPr>
              <w:t>等信息的材料。属</w:t>
            </w:r>
            <w:r>
              <w:rPr>
                <w:spacing w:val="9"/>
                <w:highlight w:val="none"/>
              </w:rPr>
              <w:t>于租</w:t>
            </w:r>
            <w:r>
              <w:rPr>
                <w:spacing w:val="8"/>
                <w:highlight w:val="none"/>
              </w:rPr>
              <w:t>赁的，须提供合法有效</w:t>
            </w:r>
            <w:r>
              <w:rPr>
                <w:spacing w:val="12"/>
                <w:highlight w:val="none"/>
              </w:rPr>
              <w:t>车辆租赁合同</w:t>
            </w:r>
            <w:r>
              <w:rPr>
                <w:rFonts w:hint="eastAsia"/>
                <w:spacing w:val="12"/>
                <w:highlight w:val="none"/>
              </w:rPr>
              <w:t>，</w:t>
            </w:r>
            <w:r>
              <w:rPr>
                <w:spacing w:val="12"/>
                <w:highlight w:val="none"/>
              </w:rPr>
              <w:t>以上材料提供复印件并加盖投标人公章，</w:t>
            </w:r>
            <w:r>
              <w:rPr>
                <w:spacing w:val="11"/>
                <w:highlight w:val="none"/>
              </w:rPr>
              <w:t>无法提供以</w:t>
            </w:r>
            <w:r>
              <w:rPr>
                <w:spacing w:val="9"/>
                <w:highlight w:val="none"/>
              </w:rPr>
              <w:t>上完整证明资料的不得分。</w:t>
            </w:r>
          </w:p>
        </w:tc>
        <w:tc>
          <w:tcPr>
            <w:tcW w:w="851" w:type="dxa"/>
          </w:tcPr>
          <w:p w14:paraId="5F38C07F">
            <w:pPr>
              <w:spacing w:line="253" w:lineRule="auto"/>
              <w:rPr>
                <w:rFonts w:ascii="Arial"/>
              </w:rPr>
            </w:pPr>
          </w:p>
          <w:p w14:paraId="77D5E7D8">
            <w:pPr>
              <w:spacing w:line="253" w:lineRule="auto"/>
              <w:rPr>
                <w:rFonts w:ascii="Arial"/>
              </w:rPr>
            </w:pPr>
          </w:p>
          <w:p w14:paraId="07E9268C">
            <w:pPr>
              <w:spacing w:line="253" w:lineRule="auto"/>
              <w:rPr>
                <w:rFonts w:ascii="Arial"/>
              </w:rPr>
            </w:pPr>
          </w:p>
          <w:p w14:paraId="5AD33267">
            <w:pPr>
              <w:spacing w:line="253" w:lineRule="auto"/>
              <w:rPr>
                <w:rFonts w:ascii="Arial"/>
              </w:rPr>
            </w:pPr>
          </w:p>
          <w:p w14:paraId="7B5F592A">
            <w:pPr>
              <w:spacing w:line="253" w:lineRule="auto"/>
              <w:rPr>
                <w:rFonts w:ascii="Arial"/>
              </w:rPr>
            </w:pPr>
          </w:p>
          <w:p w14:paraId="57004BFC">
            <w:pPr>
              <w:spacing w:line="253" w:lineRule="auto"/>
              <w:rPr>
                <w:rFonts w:ascii="Arial"/>
              </w:rPr>
            </w:pPr>
          </w:p>
          <w:p w14:paraId="7892BD06">
            <w:pPr>
              <w:spacing w:line="254" w:lineRule="auto"/>
              <w:rPr>
                <w:rFonts w:ascii="Arial"/>
              </w:rPr>
            </w:pPr>
          </w:p>
          <w:p w14:paraId="2F6412AB">
            <w:pPr>
              <w:spacing w:line="254" w:lineRule="auto"/>
              <w:rPr>
                <w:rFonts w:ascii="Arial"/>
              </w:rPr>
            </w:pPr>
          </w:p>
          <w:p w14:paraId="46052532">
            <w:pPr>
              <w:spacing w:line="254" w:lineRule="auto"/>
              <w:rPr>
                <w:rFonts w:ascii="Arial"/>
              </w:rPr>
            </w:pPr>
          </w:p>
          <w:p w14:paraId="352031E8">
            <w:pPr>
              <w:pStyle w:val="337"/>
              <w:spacing w:before="65" w:line="229" w:lineRule="auto"/>
              <w:ind w:left="234"/>
            </w:pPr>
            <w:r>
              <w:rPr>
                <w:rFonts w:hint="eastAsia"/>
                <w:b/>
                <w:bCs/>
                <w:spacing w:val="-10"/>
                <w:lang w:val="en-US" w:eastAsia="zh-CN"/>
              </w:rPr>
              <w:t>13</w:t>
            </w:r>
            <w:r>
              <w:rPr>
                <w:b/>
                <w:bCs/>
                <w:spacing w:val="-10"/>
              </w:rPr>
              <w:t>分</w:t>
            </w:r>
          </w:p>
        </w:tc>
      </w:tr>
      <w:tr w14:paraId="686F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trPr>
        <w:tc>
          <w:tcPr>
            <w:tcW w:w="813" w:type="dxa"/>
          </w:tcPr>
          <w:p w14:paraId="7E127B5A">
            <w:pPr>
              <w:spacing w:line="266" w:lineRule="auto"/>
              <w:rPr>
                <w:rFonts w:ascii="Arial"/>
              </w:rPr>
            </w:pPr>
          </w:p>
          <w:p w14:paraId="09C8E7F0">
            <w:pPr>
              <w:spacing w:line="266" w:lineRule="auto"/>
              <w:rPr>
                <w:rFonts w:ascii="Arial"/>
              </w:rPr>
            </w:pPr>
          </w:p>
          <w:p w14:paraId="69FB7C47">
            <w:pPr>
              <w:spacing w:line="266" w:lineRule="auto"/>
              <w:rPr>
                <w:rFonts w:ascii="Arial"/>
              </w:rPr>
            </w:pPr>
          </w:p>
          <w:p w14:paraId="76629A6E">
            <w:pPr>
              <w:spacing w:line="266" w:lineRule="auto"/>
              <w:rPr>
                <w:rFonts w:ascii="Arial"/>
              </w:rPr>
            </w:pPr>
          </w:p>
          <w:p w14:paraId="68AFA860">
            <w:pPr>
              <w:spacing w:line="266" w:lineRule="auto"/>
              <w:rPr>
                <w:rFonts w:ascii="Arial"/>
              </w:rPr>
            </w:pPr>
          </w:p>
          <w:p w14:paraId="257D0E46">
            <w:pPr>
              <w:spacing w:line="266" w:lineRule="auto"/>
              <w:rPr>
                <w:rFonts w:ascii="Arial"/>
              </w:rPr>
            </w:pPr>
          </w:p>
          <w:p w14:paraId="5A4D2A42">
            <w:pPr>
              <w:spacing w:line="266" w:lineRule="auto"/>
              <w:rPr>
                <w:rFonts w:ascii="Arial"/>
              </w:rPr>
            </w:pPr>
          </w:p>
          <w:p w14:paraId="330B6C21">
            <w:pPr>
              <w:pStyle w:val="337"/>
              <w:spacing w:before="65" w:line="269" w:lineRule="exact"/>
              <w:ind w:left="265"/>
            </w:pPr>
            <w:r>
              <w:rPr>
                <w:position w:val="1"/>
              </w:rPr>
              <w:t>2.6</w:t>
            </w:r>
          </w:p>
        </w:tc>
        <w:tc>
          <w:tcPr>
            <w:tcW w:w="1304" w:type="dxa"/>
          </w:tcPr>
          <w:p w14:paraId="02B5DE37">
            <w:pPr>
              <w:spacing w:line="250" w:lineRule="auto"/>
              <w:rPr>
                <w:rFonts w:ascii="Arial"/>
              </w:rPr>
            </w:pPr>
          </w:p>
          <w:p w14:paraId="656790F5">
            <w:pPr>
              <w:spacing w:line="251" w:lineRule="auto"/>
              <w:rPr>
                <w:rFonts w:ascii="Arial"/>
              </w:rPr>
            </w:pPr>
          </w:p>
          <w:p w14:paraId="6AE17E42">
            <w:pPr>
              <w:spacing w:line="251" w:lineRule="auto"/>
              <w:rPr>
                <w:rFonts w:ascii="Arial"/>
              </w:rPr>
            </w:pPr>
          </w:p>
          <w:p w14:paraId="6968DEDB">
            <w:pPr>
              <w:spacing w:line="251" w:lineRule="auto"/>
              <w:rPr>
                <w:rFonts w:ascii="Arial"/>
              </w:rPr>
            </w:pPr>
          </w:p>
          <w:p w14:paraId="309AD274">
            <w:pPr>
              <w:spacing w:line="251" w:lineRule="auto"/>
              <w:rPr>
                <w:rFonts w:ascii="Arial"/>
              </w:rPr>
            </w:pPr>
          </w:p>
          <w:p w14:paraId="2DA92817">
            <w:pPr>
              <w:spacing w:line="251" w:lineRule="auto"/>
              <w:rPr>
                <w:rFonts w:ascii="Arial"/>
              </w:rPr>
            </w:pPr>
          </w:p>
          <w:p w14:paraId="14642264">
            <w:pPr>
              <w:pStyle w:val="337"/>
              <w:spacing w:before="65" w:line="360" w:lineRule="auto"/>
              <w:ind w:left="142"/>
            </w:pPr>
            <w:r>
              <w:rPr>
                <w:spacing w:val="5"/>
              </w:rPr>
              <w:t>食品仓储能力及管理方案分</w:t>
            </w:r>
          </w:p>
        </w:tc>
        <w:tc>
          <w:tcPr>
            <w:tcW w:w="6399" w:type="dxa"/>
          </w:tcPr>
          <w:p w14:paraId="5CF08B4C">
            <w:pPr>
              <w:pStyle w:val="337"/>
              <w:spacing w:before="205" w:line="405" w:lineRule="auto"/>
              <w:ind w:left="122" w:right="98" w:firstLine="421"/>
            </w:pPr>
            <w:bookmarkStart w:id="385" w:name="bookmark11"/>
            <w:bookmarkEnd w:id="385"/>
            <w:r>
              <w:rPr>
                <w:spacing w:val="6"/>
              </w:rPr>
              <w:t>一档（</w:t>
            </w:r>
            <w:r>
              <w:rPr>
                <w:rFonts w:hint="eastAsia"/>
                <w:spacing w:val="6"/>
                <w:lang w:val="en-US" w:eastAsia="zh-CN"/>
              </w:rPr>
              <w:t>5</w:t>
            </w:r>
            <w:r>
              <w:rPr>
                <w:spacing w:val="6"/>
              </w:rPr>
              <w:t xml:space="preserve"> 分</w:t>
            </w:r>
            <w:r>
              <w:rPr>
                <w:spacing w:val="-6"/>
              </w:rPr>
              <w:t>）：</w:t>
            </w:r>
            <w:r>
              <w:rPr>
                <w:spacing w:val="6"/>
              </w:rPr>
              <w:t>投标人提供的仓储方案内容简略，有安全措</w:t>
            </w:r>
            <w:r>
              <w:rPr>
                <w:spacing w:val="5"/>
              </w:rPr>
              <w:t>施及</w:t>
            </w:r>
            <w:r>
              <w:rPr>
                <w:spacing w:val="7"/>
              </w:rPr>
              <w:t>卫生监控措施，有进货查验记录制度；</w:t>
            </w:r>
          </w:p>
          <w:p w14:paraId="0EB3D2A0">
            <w:pPr>
              <w:pStyle w:val="337"/>
              <w:spacing w:before="205" w:line="405" w:lineRule="auto"/>
              <w:ind w:left="122" w:right="98" w:firstLine="421"/>
              <w:rPr>
                <w:spacing w:val="6"/>
              </w:rPr>
            </w:pPr>
            <w:r>
              <w:rPr>
                <w:spacing w:val="6"/>
              </w:rPr>
              <w:t>二档（</w:t>
            </w:r>
            <w:r>
              <w:rPr>
                <w:rFonts w:hint="eastAsia"/>
                <w:spacing w:val="6"/>
                <w:lang w:val="en-US" w:eastAsia="zh-CN"/>
              </w:rPr>
              <w:t>10</w:t>
            </w:r>
            <w:r>
              <w:rPr>
                <w:spacing w:val="6"/>
              </w:rPr>
              <w:t>分）：投标人提供有具体的仓储方案，有仓储管理方案与设施制度保障和安全措施及卫生监控措施；</w:t>
            </w:r>
          </w:p>
          <w:p w14:paraId="3FD10F5C">
            <w:pPr>
              <w:pStyle w:val="337"/>
              <w:spacing w:before="1" w:line="400" w:lineRule="auto"/>
              <w:ind w:left="115" w:right="93" w:firstLine="420"/>
              <w:jc w:val="both"/>
            </w:pPr>
            <w:r>
              <w:rPr>
                <w:spacing w:val="8"/>
              </w:rPr>
              <w:t>三档（</w:t>
            </w:r>
            <w:r>
              <w:rPr>
                <w:rFonts w:hint="eastAsia"/>
                <w:spacing w:val="8"/>
                <w:lang w:val="en-US" w:eastAsia="zh-CN"/>
              </w:rPr>
              <w:t>15</w:t>
            </w:r>
            <w:r>
              <w:rPr>
                <w:spacing w:val="8"/>
              </w:rPr>
              <w:t>分</w:t>
            </w:r>
            <w:r>
              <w:rPr>
                <w:spacing w:val="1"/>
              </w:rPr>
              <w:t>）：</w:t>
            </w:r>
            <w:r>
              <w:rPr>
                <w:spacing w:val="8"/>
              </w:rPr>
              <w:t>投标人提供的仓储方案详细，有严格的</w:t>
            </w:r>
            <w:r>
              <w:rPr>
                <w:spacing w:val="7"/>
              </w:rPr>
              <w:t>安全措</w:t>
            </w:r>
            <w:r>
              <w:rPr>
                <w:spacing w:val="6"/>
              </w:rPr>
              <w:t>施及卫生监控措施，有进货查验记录制度，有检验记录制度，有突发事件安全应急预案，服务操作规范，岗位责任明确，有食品安全自查</w:t>
            </w:r>
            <w:r>
              <w:rPr>
                <w:spacing w:val="8"/>
              </w:rPr>
              <w:t>制度，定期对食品安全状况进行检查评价。</w:t>
            </w:r>
          </w:p>
          <w:p w14:paraId="0224F017">
            <w:pPr>
              <w:pStyle w:val="337"/>
              <w:spacing w:line="211" w:lineRule="auto"/>
              <w:ind w:left="538"/>
            </w:pPr>
            <w:r>
              <w:rPr>
                <w:spacing w:val="7"/>
              </w:rPr>
              <w:t>注：未提供食品仓储能力及管理方案的，得0 分。</w:t>
            </w:r>
          </w:p>
        </w:tc>
        <w:tc>
          <w:tcPr>
            <w:tcW w:w="851" w:type="dxa"/>
          </w:tcPr>
          <w:p w14:paraId="4F56A388">
            <w:pPr>
              <w:spacing w:line="263" w:lineRule="auto"/>
              <w:rPr>
                <w:rFonts w:ascii="Arial"/>
              </w:rPr>
            </w:pPr>
          </w:p>
          <w:p w14:paraId="52968A11">
            <w:pPr>
              <w:spacing w:line="263" w:lineRule="auto"/>
              <w:rPr>
                <w:rFonts w:ascii="Arial"/>
              </w:rPr>
            </w:pPr>
          </w:p>
          <w:p w14:paraId="0E23D76F">
            <w:pPr>
              <w:spacing w:line="264" w:lineRule="auto"/>
              <w:rPr>
                <w:rFonts w:ascii="Arial"/>
              </w:rPr>
            </w:pPr>
          </w:p>
          <w:p w14:paraId="2725CE08">
            <w:pPr>
              <w:spacing w:line="264" w:lineRule="auto"/>
              <w:rPr>
                <w:rFonts w:ascii="Arial"/>
              </w:rPr>
            </w:pPr>
          </w:p>
          <w:p w14:paraId="478DAFC8">
            <w:pPr>
              <w:spacing w:line="264" w:lineRule="auto"/>
              <w:rPr>
                <w:rFonts w:ascii="Arial"/>
              </w:rPr>
            </w:pPr>
          </w:p>
          <w:p w14:paraId="79A50B7B">
            <w:pPr>
              <w:spacing w:line="264" w:lineRule="auto"/>
              <w:rPr>
                <w:rFonts w:ascii="Arial"/>
              </w:rPr>
            </w:pPr>
          </w:p>
          <w:p w14:paraId="30E0BB3D">
            <w:pPr>
              <w:spacing w:line="264" w:lineRule="auto"/>
              <w:rPr>
                <w:rFonts w:ascii="Arial"/>
              </w:rPr>
            </w:pPr>
          </w:p>
          <w:p w14:paraId="72CB5EB7">
            <w:pPr>
              <w:pStyle w:val="337"/>
              <w:spacing w:before="65" w:line="229" w:lineRule="auto"/>
              <w:ind w:left="234"/>
            </w:pPr>
            <w:r>
              <w:rPr>
                <w:b/>
                <w:bCs/>
                <w:spacing w:val="-10"/>
              </w:rPr>
              <w:t>1</w:t>
            </w:r>
            <w:r>
              <w:rPr>
                <w:rFonts w:hint="eastAsia"/>
                <w:b/>
                <w:bCs/>
                <w:spacing w:val="-10"/>
                <w:lang w:val="en-US" w:eastAsia="zh-CN"/>
              </w:rPr>
              <w:t>5</w:t>
            </w:r>
            <w:r>
              <w:rPr>
                <w:b/>
                <w:bCs/>
                <w:spacing w:val="-10"/>
              </w:rPr>
              <w:t>分</w:t>
            </w:r>
          </w:p>
        </w:tc>
      </w:tr>
      <w:tr w14:paraId="30AD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13" w:type="dxa"/>
          </w:tcPr>
          <w:p w14:paraId="27316A40">
            <w:pPr>
              <w:pStyle w:val="337"/>
              <w:spacing w:before="272" w:line="269" w:lineRule="exact"/>
              <w:ind w:left="372"/>
            </w:pPr>
            <w:r>
              <w:rPr>
                <w:b/>
                <w:bCs/>
                <w:spacing w:val="-3"/>
                <w:position w:val="1"/>
              </w:rPr>
              <w:t>3</w:t>
            </w:r>
          </w:p>
        </w:tc>
        <w:tc>
          <w:tcPr>
            <w:tcW w:w="1304" w:type="dxa"/>
          </w:tcPr>
          <w:p w14:paraId="70B1092F">
            <w:pPr>
              <w:pStyle w:val="337"/>
              <w:spacing w:before="255" w:line="228" w:lineRule="auto"/>
              <w:ind w:left="351"/>
            </w:pPr>
            <w:r>
              <w:rPr>
                <w:b/>
                <w:bCs/>
                <w:spacing w:val="1"/>
              </w:rPr>
              <w:t>商务分</w:t>
            </w:r>
          </w:p>
        </w:tc>
        <w:tc>
          <w:tcPr>
            <w:tcW w:w="6399" w:type="dxa"/>
          </w:tcPr>
          <w:p w14:paraId="1D662DD2">
            <w:pPr>
              <w:pStyle w:val="337"/>
              <w:spacing w:before="255" w:line="228" w:lineRule="auto"/>
              <w:ind w:left="2791"/>
            </w:pPr>
            <w:r>
              <w:rPr>
                <w:b/>
                <w:bCs/>
                <w:spacing w:val="4"/>
              </w:rPr>
              <w:t>评审因素</w:t>
            </w:r>
          </w:p>
        </w:tc>
        <w:tc>
          <w:tcPr>
            <w:tcW w:w="851" w:type="dxa"/>
          </w:tcPr>
          <w:p w14:paraId="0BCC25FD">
            <w:pPr>
              <w:pStyle w:val="337"/>
              <w:spacing w:before="255" w:line="228" w:lineRule="auto"/>
              <w:ind w:left="235"/>
            </w:pPr>
            <w:r>
              <w:rPr>
                <w:b/>
                <w:bCs/>
              </w:rPr>
              <w:t>分值</w:t>
            </w:r>
          </w:p>
        </w:tc>
      </w:tr>
      <w:tr w14:paraId="76D5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813" w:type="dxa"/>
          </w:tcPr>
          <w:p w14:paraId="6BB6B49A">
            <w:pPr>
              <w:spacing w:line="247" w:lineRule="auto"/>
              <w:rPr>
                <w:rFonts w:ascii="Arial"/>
              </w:rPr>
            </w:pPr>
          </w:p>
          <w:p w14:paraId="2EDBCD16">
            <w:pPr>
              <w:spacing w:line="247" w:lineRule="auto"/>
              <w:rPr>
                <w:rFonts w:ascii="Arial"/>
              </w:rPr>
            </w:pPr>
          </w:p>
          <w:p w14:paraId="58196A3F">
            <w:pPr>
              <w:spacing w:line="248" w:lineRule="auto"/>
              <w:rPr>
                <w:rFonts w:ascii="Arial"/>
              </w:rPr>
            </w:pPr>
          </w:p>
          <w:p w14:paraId="552AA190">
            <w:pPr>
              <w:spacing w:line="248" w:lineRule="auto"/>
              <w:rPr>
                <w:rFonts w:ascii="Arial"/>
              </w:rPr>
            </w:pPr>
          </w:p>
          <w:p w14:paraId="727B7B08">
            <w:pPr>
              <w:pStyle w:val="337"/>
              <w:spacing w:before="65" w:line="269" w:lineRule="exact"/>
              <w:ind w:left="269"/>
            </w:pPr>
            <w:r>
              <w:rPr>
                <w:spacing w:val="-1"/>
                <w:position w:val="1"/>
              </w:rPr>
              <w:t>3.1</w:t>
            </w:r>
          </w:p>
        </w:tc>
        <w:tc>
          <w:tcPr>
            <w:tcW w:w="1304" w:type="dxa"/>
          </w:tcPr>
          <w:p w14:paraId="7DE460B1">
            <w:pPr>
              <w:spacing w:line="244" w:lineRule="auto"/>
              <w:rPr>
                <w:rFonts w:ascii="Arial"/>
              </w:rPr>
            </w:pPr>
          </w:p>
          <w:p w14:paraId="7441F062">
            <w:pPr>
              <w:spacing w:line="244" w:lineRule="auto"/>
              <w:rPr>
                <w:rFonts w:ascii="Arial"/>
              </w:rPr>
            </w:pPr>
          </w:p>
          <w:p w14:paraId="7BFD11CC">
            <w:pPr>
              <w:spacing w:line="244" w:lineRule="auto"/>
              <w:rPr>
                <w:rFonts w:ascii="Arial"/>
              </w:rPr>
            </w:pPr>
          </w:p>
          <w:p w14:paraId="18F94F1F">
            <w:pPr>
              <w:spacing w:line="244" w:lineRule="auto"/>
              <w:rPr>
                <w:rFonts w:ascii="Arial"/>
              </w:rPr>
            </w:pPr>
          </w:p>
          <w:p w14:paraId="679F4AFC">
            <w:pPr>
              <w:pStyle w:val="337"/>
              <w:spacing w:before="65" w:line="229" w:lineRule="auto"/>
              <w:ind w:left="339"/>
            </w:pPr>
            <w:r>
              <w:rPr>
                <w:spacing w:val="6"/>
              </w:rPr>
              <w:t>业绩分</w:t>
            </w:r>
          </w:p>
        </w:tc>
        <w:tc>
          <w:tcPr>
            <w:tcW w:w="6399" w:type="dxa"/>
          </w:tcPr>
          <w:p w14:paraId="3C095BA0">
            <w:pPr>
              <w:pStyle w:val="337"/>
              <w:spacing w:before="205" w:line="365" w:lineRule="auto"/>
              <w:ind w:left="119" w:right="91" w:firstLine="424"/>
              <w:jc w:val="both"/>
            </w:pPr>
            <w:r>
              <w:t>投标人自2022年 1月 1日以来至投标文件递交截止日期止承接</w:t>
            </w:r>
            <w:r>
              <w:rPr>
                <w:spacing w:val="6"/>
              </w:rPr>
              <w:t>过同类项目业绩的（类似业绩是指：承接过学校食堂食材采购配送项</w:t>
            </w:r>
            <w:r>
              <w:rPr>
                <w:spacing w:val="4"/>
              </w:rPr>
              <w:t>目业绩</w:t>
            </w:r>
            <w:r>
              <w:rPr>
                <w:spacing w:val="24"/>
              </w:rPr>
              <w:t>），</w:t>
            </w:r>
            <w:r>
              <w:rPr>
                <w:spacing w:val="4"/>
              </w:rPr>
              <w:t xml:space="preserve">每提供一项得 </w:t>
            </w:r>
            <w:r>
              <w:rPr>
                <w:rFonts w:hint="eastAsia"/>
                <w:spacing w:val="4"/>
                <w:lang w:val="en-US" w:eastAsia="zh-CN"/>
              </w:rPr>
              <w:t>2</w:t>
            </w:r>
            <w:r>
              <w:rPr>
                <w:spacing w:val="4"/>
              </w:rPr>
              <w:t>分，满分</w:t>
            </w:r>
            <w:r>
              <w:rPr>
                <w:rFonts w:hint="eastAsia"/>
                <w:spacing w:val="4"/>
                <w:lang w:val="en-US" w:eastAsia="zh-CN"/>
              </w:rPr>
              <w:t>2</w:t>
            </w:r>
            <w:r>
              <w:rPr>
                <w:spacing w:val="4"/>
              </w:rPr>
              <w:t>分（注：提供中标/成交通知</w:t>
            </w:r>
            <w:r>
              <w:rPr>
                <w:spacing w:val="8"/>
              </w:rPr>
              <w:t>书或者签订合同关键页复印件并加盖投标人</w:t>
            </w:r>
            <w:r>
              <w:t>CA</w:t>
            </w:r>
            <w:r>
              <w:rPr>
                <w:spacing w:val="8"/>
              </w:rPr>
              <w:t>签章，否则将不予计</w:t>
            </w:r>
            <w:r>
              <w:rPr>
                <w:spacing w:val="-1"/>
              </w:rPr>
              <w:t>分。）</w:t>
            </w:r>
          </w:p>
        </w:tc>
        <w:tc>
          <w:tcPr>
            <w:tcW w:w="851" w:type="dxa"/>
          </w:tcPr>
          <w:p w14:paraId="1FD6CEB3">
            <w:pPr>
              <w:spacing w:line="244" w:lineRule="auto"/>
              <w:rPr>
                <w:rFonts w:ascii="Arial"/>
              </w:rPr>
            </w:pPr>
          </w:p>
          <w:p w14:paraId="39EC98FA">
            <w:pPr>
              <w:spacing w:line="244" w:lineRule="auto"/>
              <w:rPr>
                <w:rFonts w:ascii="Arial"/>
              </w:rPr>
            </w:pPr>
          </w:p>
          <w:p w14:paraId="6B9654AD">
            <w:pPr>
              <w:spacing w:line="244" w:lineRule="auto"/>
              <w:rPr>
                <w:rFonts w:ascii="Arial"/>
              </w:rPr>
            </w:pPr>
          </w:p>
          <w:p w14:paraId="727F13F5">
            <w:pPr>
              <w:spacing w:line="244" w:lineRule="auto"/>
              <w:rPr>
                <w:rFonts w:ascii="Arial"/>
              </w:rPr>
            </w:pPr>
          </w:p>
          <w:p w14:paraId="67AAD0C9">
            <w:pPr>
              <w:pStyle w:val="337"/>
              <w:spacing w:before="65" w:line="229" w:lineRule="auto"/>
              <w:ind w:left="259"/>
            </w:pPr>
            <w:r>
              <w:rPr>
                <w:rFonts w:hint="eastAsia"/>
                <w:b/>
                <w:bCs/>
                <w:spacing w:val="-6"/>
                <w:lang w:val="en-US" w:eastAsia="zh-CN"/>
              </w:rPr>
              <w:t>2</w:t>
            </w:r>
            <w:r>
              <w:rPr>
                <w:b/>
                <w:bCs/>
                <w:spacing w:val="-6"/>
              </w:rPr>
              <w:t>分</w:t>
            </w:r>
          </w:p>
        </w:tc>
      </w:tr>
      <w:tr w14:paraId="4682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813" w:type="dxa"/>
            <w:vAlign w:val="center"/>
          </w:tcPr>
          <w:p w14:paraId="133646BF">
            <w:pPr>
              <w:pStyle w:val="337"/>
              <w:spacing w:before="65" w:line="269" w:lineRule="exact"/>
              <w:ind w:left="269"/>
              <w:rPr>
                <w:spacing w:val="-1"/>
                <w:position w:val="1"/>
              </w:rPr>
            </w:pPr>
            <w:r>
              <w:rPr>
                <w:rFonts w:hint="eastAsia"/>
                <w:spacing w:val="-1"/>
                <w:position w:val="1"/>
              </w:rPr>
              <w:t>3.2</w:t>
            </w:r>
          </w:p>
        </w:tc>
        <w:tc>
          <w:tcPr>
            <w:tcW w:w="1304" w:type="dxa"/>
            <w:vAlign w:val="center"/>
          </w:tcPr>
          <w:p w14:paraId="370DF38C">
            <w:pPr>
              <w:pStyle w:val="337"/>
              <w:spacing w:before="65" w:line="360" w:lineRule="auto"/>
              <w:ind w:left="142"/>
              <w:jc w:val="center"/>
              <w:rPr>
                <w:spacing w:val="5"/>
              </w:rPr>
            </w:pPr>
            <w:r>
              <w:rPr>
                <w:rFonts w:hint="eastAsia"/>
                <w:spacing w:val="5"/>
              </w:rPr>
              <w:t>资信实力分</w:t>
            </w:r>
          </w:p>
        </w:tc>
        <w:tc>
          <w:tcPr>
            <w:tcW w:w="6399" w:type="dxa"/>
          </w:tcPr>
          <w:p w14:paraId="449F7D1D">
            <w:pPr>
              <w:pStyle w:val="337"/>
              <w:spacing w:before="211" w:line="364" w:lineRule="auto"/>
              <w:ind w:left="118" w:right="91" w:firstLine="420"/>
              <w:jc w:val="both"/>
              <w:rPr>
                <w:spacing w:val="6"/>
              </w:rPr>
            </w:pPr>
            <w:r>
              <w:rPr>
                <w:rFonts w:hint="eastAsia"/>
                <w:spacing w:val="6"/>
              </w:rPr>
              <w:t>投标人具有有效的道路运输经营许可证的得5分。（提供证书证明材料</w:t>
            </w:r>
            <w:r>
              <w:rPr>
                <w:spacing w:val="8"/>
              </w:rPr>
              <w:t>并加盖投标人</w:t>
            </w:r>
            <w:r>
              <w:t>CA</w:t>
            </w:r>
            <w:r>
              <w:rPr>
                <w:spacing w:val="8"/>
              </w:rPr>
              <w:t>签章</w:t>
            </w:r>
            <w:r>
              <w:rPr>
                <w:rFonts w:hint="eastAsia"/>
                <w:spacing w:val="6"/>
              </w:rPr>
              <w:t>，须在有效期内）</w:t>
            </w:r>
          </w:p>
        </w:tc>
        <w:tc>
          <w:tcPr>
            <w:tcW w:w="851" w:type="dxa"/>
            <w:vAlign w:val="center"/>
          </w:tcPr>
          <w:p w14:paraId="72C4B5BB">
            <w:pPr>
              <w:pStyle w:val="337"/>
              <w:spacing w:before="65" w:line="229" w:lineRule="auto"/>
              <w:ind w:left="258"/>
              <w:jc w:val="both"/>
              <w:rPr>
                <w:b/>
                <w:bCs/>
                <w:spacing w:val="-5"/>
              </w:rPr>
            </w:pPr>
            <w:r>
              <w:rPr>
                <w:rFonts w:hint="eastAsia"/>
                <w:b/>
                <w:bCs/>
                <w:spacing w:val="-6"/>
              </w:rPr>
              <w:t>5</w:t>
            </w:r>
            <w:r>
              <w:rPr>
                <w:b/>
                <w:bCs/>
                <w:spacing w:val="-6"/>
              </w:rPr>
              <w:t>分</w:t>
            </w:r>
          </w:p>
        </w:tc>
      </w:tr>
      <w:tr w14:paraId="55B1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367" w:type="dxa"/>
            <w:gridSpan w:val="4"/>
          </w:tcPr>
          <w:p w14:paraId="1D8F75FA">
            <w:pPr>
              <w:pStyle w:val="337"/>
              <w:spacing w:before="238" w:line="228" w:lineRule="auto"/>
              <w:ind w:left="255"/>
            </w:pPr>
            <w:r>
              <w:rPr>
                <w:b/>
                <w:bCs/>
                <w:spacing w:val="2"/>
              </w:rPr>
              <w:t>总得分＝1＋2+3</w:t>
            </w:r>
          </w:p>
        </w:tc>
      </w:tr>
    </w:tbl>
    <w:p w14:paraId="076BB211">
      <w:pPr>
        <w:snapToGrid w:val="0"/>
        <w:spacing w:line="360" w:lineRule="auto"/>
        <w:ind w:firstLine="400" w:firstLineChars="200"/>
        <w:rPr>
          <w:rFonts w:ascii="宋体" w:hAnsi="宋体" w:cs="宋体"/>
          <w:color w:val="000000" w:themeColor="text1"/>
          <w:sz w:val="20"/>
          <w:szCs w:val="20"/>
          <w:shd w:val="clear" w:color="auto" w:fill="FFFFFF"/>
        </w:rPr>
      </w:pPr>
    </w:p>
    <w:p w14:paraId="58CFC283">
      <w:pPr>
        <w:snapToGrid w:val="0"/>
        <w:spacing w:line="360" w:lineRule="auto"/>
        <w:ind w:firstLine="400" w:firstLineChars="200"/>
        <w:rPr>
          <w:rFonts w:ascii="宋体" w:hAnsi="宋体" w:cs="宋体"/>
          <w:color w:val="000000" w:themeColor="text1"/>
          <w:sz w:val="20"/>
          <w:szCs w:val="20"/>
          <w:shd w:val="clear" w:color="auto" w:fill="FFFFFF"/>
        </w:rPr>
      </w:pPr>
    </w:p>
    <w:p w14:paraId="66A9FFD6">
      <w:pPr>
        <w:snapToGrid w:val="0"/>
        <w:spacing w:line="360" w:lineRule="auto"/>
        <w:rPr>
          <w:rFonts w:ascii="宋体" w:hAnsi="宋体" w:cs="宋体"/>
          <w:b/>
          <w:color w:val="000000" w:themeColor="text1"/>
          <w:sz w:val="28"/>
          <w:szCs w:val="28"/>
        </w:rPr>
      </w:pPr>
      <w:r>
        <w:rPr>
          <w:rFonts w:hint="eastAsia" w:ascii="宋体" w:hAnsi="宋体" w:cs="宋体"/>
          <w:color w:val="000000" w:themeColor="text1"/>
          <w:sz w:val="24"/>
        </w:rPr>
        <w:t> </w:t>
      </w:r>
      <w:r>
        <w:rPr>
          <w:rFonts w:hint="eastAsia" w:ascii="宋体" w:hAnsi="宋体" w:cs="宋体"/>
          <w:b/>
          <w:color w:val="000000" w:themeColor="text1"/>
          <w:sz w:val="32"/>
        </w:rPr>
        <w:t>一、评标方法</w:t>
      </w:r>
    </w:p>
    <w:p w14:paraId="41D56320">
      <w:pPr>
        <w:adjustRightInd/>
        <w:spacing w:line="360" w:lineRule="auto"/>
        <w:ind w:firstLine="482" w:firstLineChars="200"/>
        <w:rPr>
          <w:rFonts w:ascii="宋体" w:hAnsi="宋体" w:cs="宋体"/>
          <w:b/>
          <w:color w:val="000000" w:themeColor="text1"/>
          <w:kern w:val="0"/>
          <w:sz w:val="24"/>
        </w:rPr>
      </w:pPr>
      <w:r>
        <w:rPr>
          <w:rFonts w:hint="eastAsia" w:ascii="宋体" w:hAnsi="宋体" w:cs="宋体"/>
          <w:b/>
          <w:color w:val="000000" w:themeColor="text1"/>
          <w:kern w:val="0"/>
          <w:sz w:val="24"/>
        </w:rPr>
        <w:t>1.本项目采用的评标方法:</w:t>
      </w:r>
    </w:p>
    <w:p w14:paraId="2E9AE901">
      <w:pPr>
        <w:adjustRightInd/>
        <w:spacing w:line="360" w:lineRule="auto"/>
        <w:ind w:firstLine="480" w:firstLineChars="200"/>
        <w:rPr>
          <w:rFonts w:ascii="宋体" w:hAnsi="宋体" w:cs="宋体"/>
          <w:color w:val="000000" w:themeColor="text1"/>
          <w:kern w:val="0"/>
          <w:sz w:val="24"/>
        </w:rPr>
      </w:pPr>
      <w:sdt>
        <w:sdtPr>
          <w:rPr>
            <w:rFonts w:hint="eastAsia" w:ascii="宋体" w:hAnsi="宋体" w:cs="宋体"/>
            <w:color w:val="000000" w:themeColor="text1"/>
            <w:kern w:val="0"/>
            <w:sz w:val="24"/>
          </w:rPr>
          <w:id w:val="-747492348"/>
        </w:sdtPr>
        <w:sdtEndPr>
          <w:rPr>
            <w:rFonts w:hint="eastAsia" w:ascii="宋体" w:hAnsi="宋体" w:cs="宋体"/>
            <w:color w:val="000000" w:themeColor="text1"/>
            <w:kern w:val="0"/>
            <w:sz w:val="24"/>
          </w:rPr>
        </w:sdtEndPr>
        <w:sdtContent>
          <w:r>
            <w:rPr>
              <w:rFonts w:ascii="Wingdings" w:hAnsi="Wingdings" w:cs="宋体"/>
              <w:color w:val="000000" w:themeColor="text1"/>
              <w:kern w:val="0"/>
              <w:sz w:val="24"/>
            </w:rPr>
            <w:t></w:t>
          </w:r>
        </w:sdtContent>
      </w:sdt>
      <w:r>
        <w:rPr>
          <w:rFonts w:hint="eastAsia" w:ascii="宋体" w:hAnsi="宋体" w:cs="宋体"/>
          <w:color w:val="000000" w:themeColor="text1"/>
          <w:kern w:val="0"/>
          <w:sz w:val="24"/>
        </w:rPr>
        <w:t>A</w:t>
      </w:r>
      <w:r>
        <w:rPr>
          <w:rFonts w:hint="eastAsia" w:ascii="宋体" w:hAnsi="宋体" w:cs="宋体"/>
          <w:b/>
          <w:color w:val="000000" w:themeColor="text1"/>
          <w:kern w:val="0"/>
          <w:sz w:val="24"/>
        </w:rPr>
        <w:t>综合评分法</w:t>
      </w:r>
      <w:r>
        <w:rPr>
          <w:rFonts w:hint="eastAsia" w:ascii="宋体" w:hAnsi="宋体" w:cs="宋体"/>
          <w:color w:val="000000" w:themeColor="text1"/>
          <w:sz w:val="24"/>
        </w:rPr>
        <w:t>。</w:t>
      </w:r>
      <w:r>
        <w:rPr>
          <w:rFonts w:hint="eastAsia" w:ascii="宋体" w:hAnsi="宋体" w:cs="宋体"/>
          <w:color w:val="000000" w:themeColor="text1"/>
          <w:kern w:val="0"/>
          <w:sz w:val="24"/>
        </w:rPr>
        <w:t>综合评分法，是指投标文件满足招标文件全部实质性要求，且按照评审因素的量化指标评审得分最高的投标人为中标候选人的评标方法。</w:t>
      </w:r>
    </w:p>
    <w:p w14:paraId="056830B9">
      <w:pPr>
        <w:adjustRightInd/>
        <w:spacing w:line="360" w:lineRule="auto"/>
        <w:ind w:firstLine="480" w:firstLineChars="200"/>
        <w:rPr>
          <w:rFonts w:ascii="宋体" w:hAnsi="宋体" w:cs="宋体"/>
          <w:b/>
          <w:color w:val="000000" w:themeColor="text1"/>
          <w:kern w:val="0"/>
          <w:sz w:val="24"/>
        </w:rPr>
      </w:pPr>
      <w:sdt>
        <w:sdtPr>
          <w:rPr>
            <w:rFonts w:hint="eastAsia" w:ascii="宋体" w:hAnsi="宋体" w:cs="宋体"/>
            <w:color w:val="000000" w:themeColor="text1"/>
            <w:kern w:val="0"/>
            <w:sz w:val="24"/>
          </w:rPr>
          <w:id w:val="-461342234"/>
        </w:sdtPr>
        <w:sdtEndPr>
          <w:rPr>
            <w:rFonts w:hint="eastAsia" w:ascii="宋体" w:hAnsi="宋体" w:cs="宋体"/>
            <w:color w:val="000000" w:themeColor="text1"/>
            <w:kern w:val="0"/>
            <w:sz w:val="24"/>
          </w:rPr>
        </w:sdtEndPr>
        <w:sdtContent>
          <w:r>
            <w:rPr>
              <w:rFonts w:hint="eastAsia" w:ascii="MS Mincho" w:hAnsi="MS Mincho" w:eastAsia="MS Mincho" w:cs="MS Mincho"/>
              <w:color w:val="000000" w:themeColor="text1"/>
              <w:kern w:val="0"/>
              <w:sz w:val="24"/>
            </w:rPr>
            <w:t>☐</w:t>
          </w:r>
        </w:sdtContent>
      </w:sdt>
      <w:r>
        <w:rPr>
          <w:rFonts w:hint="eastAsia" w:ascii="宋体" w:hAnsi="宋体" w:cs="宋体"/>
          <w:color w:val="000000" w:themeColor="text1"/>
          <w:kern w:val="0"/>
          <w:sz w:val="24"/>
        </w:rPr>
        <w:t>B</w:t>
      </w:r>
      <w:r>
        <w:rPr>
          <w:rFonts w:hint="eastAsia" w:ascii="宋体" w:hAnsi="宋体" w:cs="宋体"/>
          <w:color w:val="000000" w:themeColor="text1"/>
          <w:sz w:val="24"/>
        </w:rPr>
        <w:t>最低评标价法</w:t>
      </w:r>
      <w:r>
        <w:rPr>
          <w:rFonts w:hint="eastAsia" w:ascii="宋体" w:hAnsi="宋体" w:cs="宋体"/>
          <w:b/>
          <w:color w:val="000000" w:themeColor="text1"/>
          <w:kern w:val="0"/>
          <w:sz w:val="24"/>
        </w:rPr>
        <w:t>。</w:t>
      </w:r>
      <w:r>
        <w:rPr>
          <w:rFonts w:hint="eastAsia" w:ascii="宋体" w:hAnsi="宋体" w:cs="宋体"/>
          <w:color w:val="000000" w:themeColor="text1"/>
          <w:kern w:val="0"/>
          <w:sz w:val="24"/>
        </w:rPr>
        <w:t>最低评标价法，是指投标文件满足招标文件全部实质性要求，且投标报价最低的投标人为中标候选人的评标方法。</w:t>
      </w:r>
    </w:p>
    <w:p w14:paraId="081BF2F4">
      <w:pPr>
        <w:adjustRightInd/>
        <w:spacing w:line="360" w:lineRule="auto"/>
        <w:outlineLvl w:val="1"/>
        <w:rPr>
          <w:rFonts w:ascii="宋体" w:hAnsi="宋体" w:cs="宋体"/>
          <w:color w:val="000000" w:themeColor="text1"/>
          <w:kern w:val="0"/>
          <w:sz w:val="24"/>
        </w:rPr>
      </w:pPr>
      <w:r>
        <w:rPr>
          <w:rFonts w:hint="eastAsia" w:ascii="宋体" w:hAnsi="宋体" w:cs="宋体"/>
          <w:b/>
          <w:color w:val="000000" w:themeColor="text1"/>
          <w:sz w:val="32"/>
        </w:rPr>
        <w:t>二、评标标准</w:t>
      </w:r>
    </w:p>
    <w:p w14:paraId="22C86B13">
      <w:pPr>
        <w:spacing w:line="360" w:lineRule="auto"/>
        <w:ind w:firstLine="472" w:firstLineChars="196"/>
        <w:rPr>
          <w:rFonts w:ascii="宋体" w:hAnsi="宋体" w:cs="宋体"/>
          <w:b/>
          <w:color w:val="000000" w:themeColor="text1"/>
          <w:sz w:val="24"/>
        </w:rPr>
      </w:pPr>
      <w:r>
        <w:rPr>
          <w:rFonts w:hint="eastAsia" w:ascii="宋体" w:hAnsi="宋体" w:cs="宋体"/>
          <w:b/>
          <w:color w:val="000000" w:themeColor="text1"/>
          <w:sz w:val="24"/>
        </w:rPr>
        <w:t>2.评标标准：</w:t>
      </w:r>
      <w:r>
        <w:rPr>
          <w:rFonts w:hint="eastAsia" w:ascii="宋体" w:hAnsi="宋体" w:cs="宋体"/>
          <w:color w:val="000000" w:themeColor="text1"/>
          <w:sz w:val="24"/>
        </w:rPr>
        <w:t>采用综合评分法的，评标标准</w:t>
      </w:r>
      <w:r>
        <w:rPr>
          <w:rFonts w:hint="eastAsia" w:ascii="宋体" w:hAnsi="宋体" w:cs="宋体"/>
          <w:color w:val="000000" w:themeColor="text1"/>
          <w:kern w:val="0"/>
          <w:sz w:val="24"/>
        </w:rPr>
        <w:t>见评标办法前附表。采用最低评标价法评标时，除了算术修正和落实政府采购政策需进行的价格扣除外，不能对投标人的投标价格进行任何调整。</w:t>
      </w:r>
    </w:p>
    <w:p w14:paraId="0CCA1218">
      <w:pPr>
        <w:spacing w:line="360" w:lineRule="auto"/>
        <w:outlineLvl w:val="1"/>
        <w:rPr>
          <w:rFonts w:ascii="宋体" w:hAnsi="宋体" w:cs="宋体"/>
          <w:b/>
          <w:color w:val="000000" w:themeColor="text1"/>
          <w:sz w:val="36"/>
          <w:szCs w:val="36"/>
        </w:rPr>
      </w:pPr>
      <w:r>
        <w:rPr>
          <w:rFonts w:hint="eastAsia" w:ascii="宋体" w:hAnsi="宋体" w:cs="宋体"/>
          <w:b/>
          <w:color w:val="000000" w:themeColor="text1"/>
          <w:sz w:val="36"/>
          <w:szCs w:val="36"/>
        </w:rPr>
        <w:t>三、评标程序</w:t>
      </w:r>
    </w:p>
    <w:p w14:paraId="4F9B705F">
      <w:pPr>
        <w:spacing w:line="360" w:lineRule="auto"/>
        <w:ind w:firstLine="472" w:firstLineChars="196"/>
        <w:rPr>
          <w:rFonts w:ascii="宋体" w:hAnsi="宋体" w:cs="宋体"/>
          <w:color w:val="000000" w:themeColor="text1"/>
          <w:kern w:val="0"/>
          <w:sz w:val="24"/>
        </w:rPr>
      </w:pPr>
      <w:r>
        <w:rPr>
          <w:rFonts w:hint="eastAsia" w:ascii="宋体" w:hAnsi="宋体" w:cs="宋体"/>
          <w:b/>
          <w:color w:val="000000" w:themeColor="text1"/>
          <w:kern w:val="0"/>
          <w:sz w:val="24"/>
        </w:rPr>
        <w:t>3.1符合性审查。</w:t>
      </w:r>
      <w:r>
        <w:rPr>
          <w:rFonts w:hint="eastAsia" w:ascii="宋体" w:hAnsi="宋体" w:cs="宋体"/>
          <w:color w:val="000000" w:themeColor="text1"/>
          <w:kern w:val="0"/>
          <w:sz w:val="24"/>
        </w:rPr>
        <w:t>评标委员会应当对符合资格的投标人的投标文件进行符合性审查，以确定其是否满足招标文件的实质性要求。不满足招标文件的实质性要求的，投标无效。</w:t>
      </w:r>
    </w:p>
    <w:p w14:paraId="3DB32201">
      <w:pPr>
        <w:spacing w:line="360" w:lineRule="auto"/>
        <w:ind w:firstLine="472" w:firstLineChars="196"/>
        <w:rPr>
          <w:rFonts w:ascii="宋体" w:hAnsi="宋体" w:cs="宋体"/>
          <w:color w:val="000000" w:themeColor="text1"/>
          <w:kern w:val="0"/>
          <w:sz w:val="24"/>
        </w:rPr>
      </w:pPr>
      <w:r>
        <w:rPr>
          <w:rFonts w:hint="eastAsia" w:ascii="宋体" w:hAnsi="宋体" w:cs="宋体"/>
          <w:b/>
          <w:color w:val="000000" w:themeColor="text1"/>
          <w:kern w:val="0"/>
          <w:sz w:val="24"/>
        </w:rPr>
        <w:t>3.2 比较与评价。</w:t>
      </w:r>
      <w:r>
        <w:rPr>
          <w:rFonts w:hint="eastAsia" w:ascii="宋体" w:hAnsi="宋体" w:cs="宋体"/>
          <w:color w:val="000000" w:themeColor="text1"/>
          <w:kern w:val="0"/>
          <w:sz w:val="24"/>
        </w:rPr>
        <w:t>评标委员会应当按照招标文件中规定的评标方法和标准，对符合性审查合格的投标文件进行商务和技术评估，综合比较与评价。</w:t>
      </w:r>
    </w:p>
    <w:p w14:paraId="77941B35">
      <w:pPr>
        <w:spacing w:line="360" w:lineRule="auto"/>
        <w:ind w:firstLine="472" w:firstLineChars="196"/>
        <w:rPr>
          <w:rFonts w:ascii="宋体" w:hAnsi="宋体" w:cs="宋体"/>
          <w:color w:val="000000" w:themeColor="text1"/>
          <w:kern w:val="0"/>
          <w:sz w:val="24"/>
        </w:rPr>
      </w:pPr>
      <w:r>
        <w:rPr>
          <w:rFonts w:hint="eastAsia" w:ascii="宋体" w:hAnsi="宋体" w:cs="宋体"/>
          <w:b/>
          <w:color w:val="000000" w:themeColor="text1"/>
          <w:kern w:val="0"/>
          <w:sz w:val="24"/>
        </w:rPr>
        <w:t>3.3汇总商务技术得分。</w:t>
      </w:r>
      <w:r>
        <w:rPr>
          <w:rFonts w:hint="eastAsia" w:ascii="宋体" w:hAnsi="宋体" w:cs="宋体"/>
          <w:color w:val="000000" w:themeColor="text1"/>
          <w:kern w:val="0"/>
          <w:sz w:val="24"/>
        </w:rPr>
        <w:t>采用综合评分法时，评标委员会各成员应当独立对每个投标人的商务和技术文件进行评价，并汇总商务技术得分情况。</w:t>
      </w:r>
    </w:p>
    <w:p w14:paraId="79030D45">
      <w:pPr>
        <w:spacing w:line="360" w:lineRule="auto"/>
        <w:ind w:firstLine="472" w:firstLineChars="196"/>
        <w:rPr>
          <w:rFonts w:ascii="宋体" w:hAnsi="宋体" w:cs="宋体"/>
          <w:b/>
          <w:color w:val="000000" w:themeColor="text1"/>
          <w:kern w:val="0"/>
          <w:sz w:val="24"/>
        </w:rPr>
      </w:pPr>
      <w:r>
        <w:rPr>
          <w:rFonts w:hint="eastAsia" w:ascii="宋体" w:hAnsi="宋体" w:cs="宋体"/>
          <w:b/>
          <w:color w:val="000000" w:themeColor="text1"/>
          <w:kern w:val="0"/>
          <w:sz w:val="24"/>
        </w:rPr>
        <w:t>3.4报价评审。</w:t>
      </w:r>
    </w:p>
    <w:p w14:paraId="4BFCC18B">
      <w:pPr>
        <w:pStyle w:val="128"/>
        <w:spacing w:before="0"/>
        <w:ind w:firstLine="508" w:firstLineChars="212"/>
        <w:rPr>
          <w:rFonts w:ascii="宋体" w:hAnsi="宋体" w:cs="宋体"/>
          <w:color w:val="000000" w:themeColor="text1"/>
          <w:kern w:val="0"/>
        </w:rPr>
      </w:pPr>
      <w:r>
        <w:rPr>
          <w:rFonts w:hint="eastAsia" w:ascii="宋体" w:hAnsi="宋体" w:cs="宋体"/>
          <w:color w:val="000000" w:themeColor="text1"/>
          <w:kern w:val="0"/>
        </w:rPr>
        <w:t>3.4.1投标文件报价出现前后不一致的，按照下列规定修正：</w:t>
      </w:r>
    </w:p>
    <w:p w14:paraId="1E7C4E68">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3.4.1.1投标文件中开标一览表(报价表)内容与投标文件中相应内容不一致的，以开标一览表(报价表)为准；</w:t>
      </w:r>
    </w:p>
    <w:p w14:paraId="21C88EC9">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3.4.1.2大写金额和小写金额不一致的，以大写金额为准；</w:t>
      </w:r>
    </w:p>
    <w:p w14:paraId="465303ED">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3.4.1.3单价金额小数点或者百分比有明显错位的，以开标一览表的总价为准，并修改单价;</w:t>
      </w:r>
    </w:p>
    <w:p w14:paraId="27226BB4">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3.4.1.4总价金额与按单价汇总金额不一致的，以单价金额计算结果为准。</w:t>
      </w:r>
    </w:p>
    <w:p w14:paraId="0E527635">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64849FEC">
      <w:pPr>
        <w:snapToGrid w:val="0"/>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3.4.2投标文件出现不是唯一的、有选择性投标报价的，投标无效。</w:t>
      </w:r>
    </w:p>
    <w:p w14:paraId="56AE627E">
      <w:pPr>
        <w:snapToGrid w:val="0"/>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3.4.3投标报价超过招标文件中规定的预算金额或者最高限价的，投标无效。</w:t>
      </w:r>
    </w:p>
    <w:p w14:paraId="043F1B5C">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cs="宋体"/>
          <w:color w:val="000000" w:themeColor="text1"/>
          <w:kern w:val="0"/>
          <w:szCs w:val="24"/>
          <w:lang w:val="en-US" w:eastAsia="zh-CN"/>
        </w:rPr>
        <w:t>；</w:t>
      </w:r>
      <w:r>
        <w:rPr>
          <w:rFonts w:hint="eastAsia" w:ascii="宋体" w:hAnsi="宋体" w:cs="宋体"/>
          <w:color w:val="000000" w:themeColor="text1"/>
          <w:kern w:val="0"/>
          <w:szCs w:val="24"/>
        </w:rPr>
        <w:t>投标人不能证明其报价合理性的，评标委员会应当将其作为无效投标处理。</w:t>
      </w:r>
    </w:p>
    <w:p w14:paraId="3F6E0093">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根据《北海市财政局关于开展推动解决政府采购异常低价问题试点工作的通知》北财采〔2025〕25 号要求，政府采购评审中出现下列情形之一的，评审委员会应当启动异常低价投标（响应）审查程序:</w:t>
      </w:r>
    </w:p>
    <w:p w14:paraId="5B96E0B5">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（1）投标（响应）报价低于全部通过符合性审查供应商投标（响应）报价平均值 50%的，即投标（响应）报价&lt;全部通过符合性审查供应商投标（响应）报价平均值×50%；</w:t>
      </w:r>
    </w:p>
    <w:p w14:paraId="15B275AF">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（2）投标（响应）报价低于通过符合性审查且报价次低供应商投标（响应）报价 50%的，即投标（响应）报价&lt;通过符合性审查且报价次低供应商投标（响应）报价×50%；</w:t>
      </w:r>
    </w:p>
    <w:p w14:paraId="76566FEA">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 xml:space="preserve">（3）投标（响应）报价低于采购项目最高限价 45%的，即投标（响应）报价&lt;采购项目最高限价×45%； </w:t>
      </w:r>
    </w:p>
    <w:p w14:paraId="062B81C6">
      <w:pPr>
        <w:pStyle w:val="128"/>
        <w:spacing w:before="0"/>
        <w:ind w:firstLine="480"/>
        <w:rPr>
          <w:rFonts w:hint="eastAsia" w:ascii="宋体" w:hAnsi="宋体" w:cs="宋体"/>
          <w:color w:val="000000" w:themeColor="text1"/>
          <w:kern w:val="0"/>
          <w:szCs w:val="24"/>
        </w:rPr>
      </w:pPr>
      <w:r>
        <w:rPr>
          <w:rFonts w:hint="eastAsia" w:ascii="宋体" w:hAnsi="宋体" w:cs="宋体"/>
          <w:color w:val="000000" w:themeColor="text1"/>
          <w:kern w:val="0"/>
          <w:szCs w:val="24"/>
        </w:rPr>
        <w:t>（4）其他评审委员会认为供应商报价过低，有可能影响产品质量或者不能诚信履约的情形。</w:t>
      </w:r>
    </w:p>
    <w:p w14:paraId="07A305B2">
      <w:pPr>
        <w:pStyle w:val="128"/>
        <w:spacing w:before="0"/>
        <w:ind w:firstLine="480"/>
        <w:rPr>
          <w:rFonts w:ascii="宋体" w:hAnsi="宋体" w:cs="宋体"/>
          <w:color w:val="000000" w:themeColor="text1"/>
          <w:kern w:val="0"/>
          <w:szCs w:val="24"/>
        </w:rPr>
      </w:pPr>
      <w:r>
        <w:rPr>
          <w:rFonts w:hint="eastAsia" w:ascii="宋体" w:hAnsi="宋体" w:cs="宋体"/>
          <w:color w:val="000000" w:themeColor="text1"/>
          <w:kern w:val="0"/>
          <w:szCs w:val="24"/>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rPr>
        <w:t>20</w:t>
      </w:r>
      <w:r>
        <w:rPr>
          <w:rFonts w:hint="eastAsia" w:ascii="宋体" w:hAnsi="宋体" w:cs="宋体"/>
          <w:color w:val="000000" w:themeColor="text1"/>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000000" w:themeColor="text1"/>
          <w:kern w:val="0"/>
          <w:szCs w:val="24"/>
        </w:rPr>
        <w:t>6</w:t>
      </w:r>
      <w:r>
        <w:rPr>
          <w:rFonts w:hint="eastAsia" w:ascii="宋体" w:hAnsi="宋体" w:cs="宋体"/>
          <w:color w:val="000000" w:themeColor="text1"/>
          <w:kern w:val="0"/>
          <w:szCs w:val="24"/>
        </w:rPr>
        <w:t>%的扣除，用扣除后的价格参加评审。组成联合体或者接受分包的小微企业与联合体内其他企业、分包企业之间存在直接控股、管理关系的，不享受价格扣除优惠政策。</w:t>
      </w:r>
    </w:p>
    <w:p w14:paraId="609FF863">
      <w:pPr>
        <w:spacing w:line="360" w:lineRule="auto"/>
        <w:ind w:firstLine="482" w:firstLineChars="200"/>
        <w:rPr>
          <w:rFonts w:ascii="宋体" w:hAnsi="宋体" w:cs="宋体"/>
          <w:b/>
          <w:color w:val="000000" w:themeColor="text1"/>
          <w:kern w:val="0"/>
          <w:sz w:val="24"/>
        </w:rPr>
      </w:pPr>
      <w:r>
        <w:rPr>
          <w:rFonts w:hint="eastAsia" w:ascii="宋体" w:hAnsi="宋体" w:cs="宋体"/>
          <w:b/>
          <w:color w:val="000000" w:themeColor="text1"/>
          <w:kern w:val="0"/>
          <w:sz w:val="24"/>
        </w:rPr>
        <w:t>3.5排序与推荐。</w:t>
      </w:r>
    </w:p>
    <w:p w14:paraId="6EB9B43C">
      <w:pPr>
        <w:spacing w:line="360" w:lineRule="auto"/>
        <w:ind w:firstLine="482" w:firstLineChars="200"/>
        <w:rPr>
          <w:rFonts w:ascii="宋体" w:hAnsi="宋体" w:cs="宋体"/>
          <w:color w:val="000000" w:themeColor="text1"/>
          <w:kern w:val="0"/>
          <w:sz w:val="24"/>
        </w:rPr>
      </w:pPr>
      <w:r>
        <w:rPr>
          <w:rFonts w:hint="eastAsia" w:ascii="宋体" w:hAnsi="宋体" w:cs="宋体"/>
          <w:b/>
          <w:color w:val="000000" w:themeColor="text1"/>
          <w:kern w:val="0"/>
          <w:sz w:val="24"/>
        </w:rPr>
        <w:t>3.5.1</w:t>
      </w:r>
      <w:r>
        <w:rPr>
          <w:rFonts w:hint="eastAsia" w:ascii="宋体" w:hAnsi="宋体" w:cs="宋体"/>
          <w:color w:val="000000" w:themeColor="text1"/>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3F92EECB">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1222231">
      <w:pPr>
        <w:pStyle w:val="82"/>
        <w:rPr>
          <w:rFonts w:cs="宋体"/>
          <w:color w:val="000000" w:themeColor="text1"/>
        </w:rPr>
      </w:pPr>
      <w:r>
        <w:rPr>
          <w:rFonts w:hint="eastAsia" w:cs="宋体"/>
          <w:color w:val="000000" w:themeColor="text1"/>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67804CCA">
      <w:pPr>
        <w:pStyle w:val="82"/>
        <w:rPr>
          <w:color w:val="000000" w:themeColor="text1"/>
        </w:rPr>
      </w:pPr>
      <w:r>
        <w:rPr>
          <w:rFonts w:hint="eastAsia" w:cs="宋体"/>
          <w:color w:val="000000" w:themeColor="text1"/>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1E88E99D">
      <w:pPr>
        <w:spacing w:line="360" w:lineRule="auto"/>
        <w:ind w:firstLine="472" w:firstLineChars="196"/>
        <w:rPr>
          <w:rFonts w:ascii="宋体" w:hAnsi="宋体" w:cs="宋体"/>
          <w:color w:val="000000" w:themeColor="text1"/>
          <w:kern w:val="0"/>
          <w:sz w:val="24"/>
        </w:rPr>
      </w:pPr>
      <w:r>
        <w:rPr>
          <w:rFonts w:hint="eastAsia" w:ascii="宋体" w:hAnsi="宋体" w:cs="宋体"/>
          <w:b/>
          <w:color w:val="000000" w:themeColor="text1"/>
          <w:kern w:val="0"/>
          <w:sz w:val="24"/>
        </w:rPr>
        <w:t>3.6编写评标报告。</w:t>
      </w:r>
      <w:r>
        <w:rPr>
          <w:rFonts w:hint="eastAsia" w:ascii="宋体" w:hAnsi="宋体" w:cs="宋体"/>
          <w:color w:val="000000" w:themeColor="text1"/>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E8E752C">
      <w:pPr>
        <w:widowControl/>
        <w:shd w:val="clear" w:color="auto" w:fill="FFFFFF"/>
        <w:adjustRightInd/>
        <w:spacing w:after="225" w:line="315" w:lineRule="atLeast"/>
        <w:jc w:val="left"/>
        <w:outlineLvl w:val="1"/>
        <w:rPr>
          <w:rFonts w:ascii="宋体" w:hAnsi="宋体" w:cs="宋体"/>
          <w:b/>
          <w:color w:val="000000" w:themeColor="text1"/>
          <w:sz w:val="32"/>
        </w:rPr>
      </w:pPr>
      <w:r>
        <w:rPr>
          <w:rFonts w:hint="eastAsia" w:ascii="宋体" w:hAnsi="宋体" w:cs="宋体"/>
          <w:b/>
          <w:color w:val="000000" w:themeColor="text1"/>
          <w:sz w:val="32"/>
        </w:rPr>
        <w:t>四、评标中的其他事项</w:t>
      </w:r>
    </w:p>
    <w:p w14:paraId="499725A0">
      <w:pPr>
        <w:pStyle w:val="128"/>
        <w:spacing w:before="0"/>
        <w:ind w:firstLine="472" w:firstLineChars="196"/>
        <w:rPr>
          <w:rFonts w:ascii="宋体" w:hAnsi="宋体" w:cs="宋体"/>
          <w:color w:val="000000" w:themeColor="text1"/>
          <w:kern w:val="0"/>
          <w:szCs w:val="24"/>
        </w:rPr>
      </w:pPr>
      <w:r>
        <w:rPr>
          <w:rFonts w:hint="eastAsia" w:ascii="宋体" w:hAnsi="宋体" w:cs="宋体"/>
          <w:b/>
          <w:color w:val="000000" w:themeColor="text1"/>
          <w:kern w:val="0"/>
          <w:szCs w:val="24"/>
        </w:rPr>
        <w:t>4.1投标人澄清、说明或者补正。</w:t>
      </w:r>
      <w:r>
        <w:rPr>
          <w:rFonts w:hint="eastAsia" w:ascii="宋体" w:hAnsi="宋体" w:cs="宋体"/>
          <w:color w:val="000000" w:themeColor="text1"/>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BF1BB1A">
      <w:pPr>
        <w:pStyle w:val="24"/>
        <w:spacing w:line="360" w:lineRule="auto"/>
        <w:ind w:left="954" w:leftChars="226" w:hanging="479" w:firstLineChars="0"/>
        <w:rPr>
          <w:rFonts w:cs="宋体"/>
          <w:color w:val="000000" w:themeColor="text1"/>
          <w:szCs w:val="21"/>
        </w:rPr>
      </w:pPr>
      <w:r>
        <w:rPr>
          <w:rFonts w:hint="eastAsia" w:cs="宋体"/>
          <w:b/>
          <w:color w:val="000000" w:themeColor="text1"/>
          <w:kern w:val="0"/>
        </w:rPr>
        <w:t>4.2投标无效。</w:t>
      </w:r>
      <w:r>
        <w:rPr>
          <w:rFonts w:hint="eastAsia" w:cs="宋体"/>
          <w:color w:val="000000" w:themeColor="text1"/>
          <w:szCs w:val="21"/>
        </w:rPr>
        <w:t>有下列情形之一的，投标无效：</w:t>
      </w:r>
    </w:p>
    <w:p w14:paraId="3165EE8E">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4.2.1投标人不具备招标文件中规定的资格要求的（投标人未提供有效的资格文件的，视为投标人不具备招标文件中规定的资格要求）；</w:t>
      </w:r>
    </w:p>
    <w:p w14:paraId="5C897938">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4.2.2投标文件未按照招标文件要求签署、盖章的；</w:t>
      </w:r>
    </w:p>
    <w:p w14:paraId="2C62BD17">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4.2.3采购人拟采购的产品属于政府强制采购的节能产品品目清单范围的，投标人相应的投标产品未获得国家确定的认证机构出具的、处于有效期之内的节能产品认证证书的；</w:t>
      </w:r>
    </w:p>
    <w:p w14:paraId="0B92D535">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4.2.4投标文件含有采购人不能接受的附加条件的；</w:t>
      </w:r>
    </w:p>
    <w:p w14:paraId="7F350976">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4.2.5投标文件中承诺的投标有效期少于招标文件中载明的投标有效期的；</w:t>
      </w:r>
    </w:p>
    <w:p w14:paraId="1F1B3D0C">
      <w:pPr>
        <w:snapToGrid w:val="0"/>
        <w:spacing w:line="360" w:lineRule="auto"/>
        <w:ind w:firstLine="120" w:firstLineChars="5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4.2.6投标文件出现不是唯一的、有选择性投标报价的;</w:t>
      </w:r>
    </w:p>
    <w:p w14:paraId="436EF85D">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4.2.7投标报价超过招标文件中规定的预算金额或者最高限价的;</w:t>
      </w:r>
    </w:p>
    <w:p w14:paraId="7BDBCD05">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4.2.8报价明显低于其他通过符合性审查投标人的报价，有可能影响产品质量或者不能诚信履约的，未能按要求提供书面说明或者提交相关证明材料，不能证明其报价合理性的;</w:t>
      </w:r>
    </w:p>
    <w:p w14:paraId="6BFC2954">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4.2.9投标人对根据修正原则修正后的报价不确认的；</w:t>
      </w:r>
    </w:p>
    <w:p w14:paraId="08903D01">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4.2.10投标人提供虚假材料投标的；</w:t>
      </w:r>
    </w:p>
    <w:p w14:paraId="784BF382">
      <w:pPr>
        <w:spacing w:line="360" w:lineRule="auto"/>
        <w:ind w:firstLine="240" w:firstLineChars="100"/>
        <w:rPr>
          <w:rFonts w:ascii="宋体" w:hAnsi="宋体" w:cs="宋体"/>
          <w:color w:val="000000" w:themeColor="text1"/>
          <w:kern w:val="0"/>
          <w:sz w:val="24"/>
        </w:rPr>
      </w:pPr>
      <w:r>
        <w:rPr>
          <w:rFonts w:hint="eastAsia" w:ascii="宋体" w:hAnsi="宋体" w:cs="宋体"/>
          <w:color w:val="000000" w:themeColor="text1"/>
          <w:kern w:val="0"/>
          <w:sz w:val="24"/>
        </w:rPr>
        <w:t xml:space="preserve">  4.2.11投标人有恶意串通、妨碍其他投标人的竞争行为、损害采购人或者其他投标人的合法权益情形的；</w:t>
      </w:r>
    </w:p>
    <w:p w14:paraId="4B93E42E">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4.2.12投标人仅提交备份投标文件，未在电子交易平台传输递交投标文件的，投标无效；</w:t>
      </w:r>
    </w:p>
    <w:p w14:paraId="2F331893">
      <w:pPr>
        <w:pStyle w:val="82"/>
        <w:rPr>
          <w:b/>
          <w:bCs/>
          <w:color w:val="000000" w:themeColor="text1"/>
        </w:rPr>
      </w:pPr>
      <w:r>
        <w:rPr>
          <w:rFonts w:hint="eastAsia"/>
          <w:color w:val="000000" w:themeColor="text1"/>
        </w:rPr>
        <w:t>4.2.13 投标文件不满足招标文件的其它实质性要求的；</w:t>
      </w:r>
    </w:p>
    <w:p w14:paraId="7AF9878A">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4.2.14法律、法规、规章（适用本市的）及省级以上规范性文件（适用本市的）规定的其他无效情形。</w:t>
      </w:r>
    </w:p>
    <w:p w14:paraId="6A3DA126">
      <w:pPr>
        <w:pStyle w:val="24"/>
        <w:snapToGrid w:val="0"/>
        <w:spacing w:line="360" w:lineRule="auto"/>
        <w:ind w:firstLine="472" w:firstLineChars="196"/>
        <w:rPr>
          <w:rFonts w:cs="宋体"/>
          <w:color w:val="000000" w:themeColor="text1"/>
        </w:rPr>
      </w:pPr>
      <w:r>
        <w:rPr>
          <w:rFonts w:hint="eastAsia" w:cs="宋体"/>
          <w:b/>
          <w:color w:val="000000" w:themeColor="text1"/>
        </w:rPr>
        <w:t>5.废标。</w:t>
      </w:r>
      <w:r>
        <w:rPr>
          <w:rFonts w:hint="eastAsia" w:cs="宋体"/>
          <w:color w:val="000000" w:themeColor="text1"/>
        </w:rPr>
        <w:t>根据《中华人民共和国政府采购法》第三十六条之规定，在采购中，出现下列情形之一的，应予废标：</w:t>
      </w:r>
    </w:p>
    <w:p w14:paraId="2D125B02">
      <w:pPr>
        <w:pStyle w:val="24"/>
        <w:snapToGrid w:val="0"/>
        <w:spacing w:line="360" w:lineRule="auto"/>
        <w:rPr>
          <w:rFonts w:cs="宋体"/>
          <w:color w:val="000000" w:themeColor="text1"/>
        </w:rPr>
      </w:pPr>
      <w:r>
        <w:rPr>
          <w:rFonts w:hint="eastAsia" w:cs="宋体"/>
          <w:color w:val="000000" w:themeColor="text1"/>
        </w:rPr>
        <w:t>5.1符合专业条件的供应商或者对招标文件作实质响应的供应商不足3家的；</w:t>
      </w:r>
    </w:p>
    <w:p w14:paraId="5EA2E335">
      <w:pPr>
        <w:pStyle w:val="24"/>
        <w:snapToGrid w:val="0"/>
        <w:spacing w:line="360" w:lineRule="auto"/>
        <w:rPr>
          <w:rFonts w:cs="宋体"/>
          <w:color w:val="000000" w:themeColor="text1"/>
        </w:rPr>
      </w:pPr>
      <w:r>
        <w:rPr>
          <w:rFonts w:hint="eastAsia" w:cs="宋体"/>
          <w:color w:val="000000" w:themeColor="text1"/>
        </w:rPr>
        <w:t>5.2出现影响采购公正的违法、违规行为的；</w:t>
      </w:r>
    </w:p>
    <w:p w14:paraId="293D32F8">
      <w:pPr>
        <w:pStyle w:val="24"/>
        <w:snapToGrid w:val="0"/>
        <w:spacing w:line="360" w:lineRule="auto"/>
        <w:rPr>
          <w:rFonts w:cs="宋体"/>
          <w:color w:val="000000" w:themeColor="text1"/>
        </w:rPr>
      </w:pPr>
      <w:r>
        <w:rPr>
          <w:rFonts w:hint="eastAsia" w:cs="宋体"/>
          <w:color w:val="000000" w:themeColor="text1"/>
        </w:rPr>
        <w:t>5.3投标人的报价均超过了采购预算，采购人不能支付的；</w:t>
      </w:r>
    </w:p>
    <w:p w14:paraId="71F112CA">
      <w:pPr>
        <w:pStyle w:val="24"/>
        <w:snapToGrid w:val="0"/>
        <w:spacing w:line="360" w:lineRule="auto"/>
        <w:rPr>
          <w:rFonts w:cs="宋体"/>
          <w:color w:val="000000" w:themeColor="text1"/>
        </w:rPr>
      </w:pPr>
      <w:r>
        <w:rPr>
          <w:rFonts w:hint="eastAsia" w:cs="宋体"/>
          <w:color w:val="000000" w:themeColor="text1"/>
        </w:rPr>
        <w:t>5.4因重大变故，采购任务取消的。</w:t>
      </w:r>
    </w:p>
    <w:p w14:paraId="5B2FC2A5">
      <w:pPr>
        <w:pStyle w:val="24"/>
        <w:snapToGrid w:val="0"/>
        <w:spacing w:line="360" w:lineRule="auto"/>
        <w:rPr>
          <w:rFonts w:cs="宋体"/>
          <w:color w:val="000000" w:themeColor="text1"/>
        </w:rPr>
      </w:pPr>
      <w:r>
        <w:rPr>
          <w:rFonts w:hint="eastAsia" w:cs="宋体"/>
          <w:color w:val="000000" w:themeColor="text1"/>
        </w:rPr>
        <w:t>废标后，采购代理机构应当将废标理由通知所有投标人。</w:t>
      </w:r>
    </w:p>
    <w:p w14:paraId="2B5A93EF">
      <w:pPr>
        <w:pStyle w:val="24"/>
        <w:snapToGrid w:val="0"/>
        <w:spacing w:line="360" w:lineRule="auto"/>
        <w:ind w:firstLine="590" w:firstLineChars="245"/>
        <w:rPr>
          <w:rFonts w:cs="宋体"/>
          <w:color w:val="000000" w:themeColor="text1"/>
        </w:rPr>
      </w:pPr>
      <w:r>
        <w:rPr>
          <w:rFonts w:hint="eastAsia" w:cs="宋体"/>
          <w:b/>
          <w:color w:val="000000" w:themeColor="text1"/>
        </w:rPr>
        <w:t>6.修改招标文件，重新组织采购活动。</w:t>
      </w:r>
      <w:r>
        <w:rPr>
          <w:rFonts w:hint="eastAsia" w:cs="宋体"/>
          <w:color w:val="000000" w:themeColor="text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4EDF470">
      <w:pPr>
        <w:pStyle w:val="24"/>
        <w:snapToGrid w:val="0"/>
        <w:spacing w:line="360" w:lineRule="auto"/>
        <w:ind w:firstLine="482"/>
        <w:rPr>
          <w:rFonts w:cs="宋体"/>
          <w:color w:val="000000" w:themeColor="text1"/>
        </w:rPr>
      </w:pPr>
      <w:r>
        <w:rPr>
          <w:rFonts w:hint="eastAsia" w:cs="宋体"/>
          <w:b/>
          <w:color w:val="000000" w:themeColor="text1"/>
          <w:kern w:val="0"/>
        </w:rPr>
        <w:t>7.重新开展采购。</w:t>
      </w:r>
      <w:r>
        <w:rPr>
          <w:rFonts w:hint="eastAsia" w:cs="宋体"/>
          <w:color w:val="000000" w:themeColor="text1"/>
        </w:rPr>
        <w:t>有政府采购法第七十一条、第七十二条规定的违法行为之一，影响或者可能影响中标结果的，依照下列规定处理：</w:t>
      </w:r>
    </w:p>
    <w:p w14:paraId="65C521A2">
      <w:pPr>
        <w:pStyle w:val="24"/>
        <w:snapToGrid w:val="0"/>
        <w:spacing w:line="360" w:lineRule="auto"/>
        <w:rPr>
          <w:rFonts w:cs="宋体"/>
          <w:color w:val="000000" w:themeColor="text1"/>
        </w:rPr>
      </w:pPr>
      <w:r>
        <w:rPr>
          <w:rFonts w:hint="eastAsia" w:cs="宋体"/>
          <w:color w:val="000000" w:themeColor="text1"/>
        </w:rPr>
        <w:t>7.1未确定中标供应商的，终止本次政府采购活动，重新开展政府采购活动。</w:t>
      </w:r>
    </w:p>
    <w:p w14:paraId="04F698A5">
      <w:pPr>
        <w:pStyle w:val="24"/>
        <w:snapToGrid w:val="0"/>
        <w:spacing w:line="360" w:lineRule="auto"/>
        <w:rPr>
          <w:rFonts w:cs="宋体"/>
          <w:color w:val="000000" w:themeColor="text1"/>
        </w:rPr>
      </w:pPr>
      <w:r>
        <w:rPr>
          <w:rFonts w:hint="eastAsia" w:cs="宋体"/>
          <w:color w:val="000000" w:themeColor="text1"/>
        </w:rPr>
        <w:t>7.2已确定中标供应商但尚未签订政府采购合同的，中标结果无效，从合格的中标候选人中另行确定中标供应商；没有合格的中标候选人的，重新开展政府采购活动。</w:t>
      </w:r>
    </w:p>
    <w:p w14:paraId="0377D9DE">
      <w:pPr>
        <w:pStyle w:val="24"/>
        <w:snapToGrid w:val="0"/>
        <w:spacing w:line="360" w:lineRule="auto"/>
        <w:rPr>
          <w:rFonts w:cs="宋体"/>
          <w:color w:val="000000" w:themeColor="text1"/>
        </w:rPr>
      </w:pPr>
      <w:r>
        <w:rPr>
          <w:rFonts w:hint="eastAsia" w:cs="宋体"/>
          <w:color w:val="000000" w:themeColor="text1"/>
        </w:rPr>
        <w:t>7.3政府采购合同已签订但尚未履行的，撤销合同，从合格的中标候选人中另行确定中标供应商；没有合格的中标候选人的，重新开展政府采购活动。</w:t>
      </w:r>
    </w:p>
    <w:p w14:paraId="084A3D75">
      <w:pPr>
        <w:pStyle w:val="24"/>
        <w:snapToGrid w:val="0"/>
        <w:spacing w:line="360" w:lineRule="auto"/>
        <w:rPr>
          <w:rFonts w:cs="宋体"/>
          <w:color w:val="000000" w:themeColor="text1"/>
        </w:rPr>
      </w:pPr>
      <w:r>
        <w:rPr>
          <w:rFonts w:hint="eastAsia" w:cs="宋体"/>
          <w:color w:val="000000" w:themeColor="text1"/>
        </w:rPr>
        <w:t>7.4政府采购合同已经履行，给采购人、供应商造成损失的，由责任人承担赔偿责任。</w:t>
      </w:r>
    </w:p>
    <w:p w14:paraId="40ECC8AE">
      <w:pPr>
        <w:pStyle w:val="24"/>
        <w:snapToGrid w:val="0"/>
        <w:spacing w:line="360" w:lineRule="auto"/>
        <w:rPr>
          <w:rFonts w:cs="宋体"/>
          <w:color w:val="000000" w:themeColor="text1"/>
        </w:rPr>
      </w:pPr>
      <w:r>
        <w:rPr>
          <w:rFonts w:hint="eastAsia" w:cs="宋体"/>
          <w:color w:val="000000" w:themeColor="text1"/>
        </w:rPr>
        <w:t>7.5政府采购当事人有其他违反政府采购法或者政府采购法实施条例等法律法规规定的行为，经改正后仍然影响或者可能影响中标结果或者依法被认定为中标无效的，依照7.1-7.4规定处理。</w:t>
      </w:r>
    </w:p>
    <w:p w14:paraId="47488E6D">
      <w:pPr>
        <w:pStyle w:val="82"/>
        <w:ind w:firstLine="0"/>
        <w:rPr>
          <w:b/>
          <w:color w:val="000000" w:themeColor="text1"/>
          <w:sz w:val="32"/>
          <w:szCs w:val="32"/>
        </w:rPr>
      </w:pPr>
      <w:r>
        <w:rPr>
          <w:rFonts w:hint="eastAsia"/>
          <w:b/>
          <w:color w:val="000000" w:themeColor="text1"/>
          <w:sz w:val="32"/>
          <w:szCs w:val="32"/>
        </w:rPr>
        <w:t>五、评审过程的保密与录像</w:t>
      </w:r>
    </w:p>
    <w:p w14:paraId="15489054">
      <w:pPr>
        <w:widowControl/>
        <w:spacing w:line="360" w:lineRule="auto"/>
        <w:ind w:firstLine="482" w:firstLineChars="200"/>
        <w:rPr>
          <w:rFonts w:cs="仿宋_GB2312" w:asciiTheme="minorEastAsia" w:hAnsiTheme="minorEastAsia" w:eastAsiaTheme="minorEastAsia"/>
          <w:color w:val="000000" w:themeColor="text1"/>
          <w:sz w:val="24"/>
        </w:rPr>
      </w:pPr>
      <w:r>
        <w:rPr>
          <w:rFonts w:hint="eastAsia" w:cs="仿宋_GB2312" w:asciiTheme="minorEastAsia" w:hAnsiTheme="minorEastAsia" w:eastAsiaTheme="minorEastAsia"/>
          <w:b/>
          <w:color w:val="000000" w:themeColor="text1"/>
          <w:sz w:val="24"/>
        </w:rPr>
        <w:t>8.1.保密。</w:t>
      </w:r>
      <w:r>
        <w:rPr>
          <w:rFonts w:hint="eastAsia" w:cs="仿宋_GB2312" w:asciiTheme="minorEastAsia" w:hAnsiTheme="minorEastAsia" w:eastAsiaTheme="minorEastAsia"/>
          <w:color w:val="000000" w:themeColor="text1"/>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0A238FD3">
      <w:pPr>
        <w:pStyle w:val="24"/>
        <w:snapToGrid w:val="0"/>
        <w:spacing w:line="360" w:lineRule="auto"/>
        <w:ind w:firstLine="482"/>
        <w:rPr>
          <w:rFonts w:cs="宋体"/>
          <w:color w:val="000000" w:themeColor="text1"/>
        </w:rPr>
      </w:pPr>
      <w:r>
        <w:rPr>
          <w:rFonts w:hint="eastAsia" w:cs="仿宋_GB2312" w:asciiTheme="minorEastAsia" w:hAnsiTheme="minorEastAsia" w:eastAsiaTheme="minorEastAsia"/>
          <w:b/>
          <w:color w:val="000000" w:themeColor="text1"/>
        </w:rPr>
        <w:t>8.2.录音录像。</w:t>
      </w:r>
      <w:r>
        <w:rPr>
          <w:rFonts w:hint="eastAsia" w:cs="仿宋_GB2312" w:asciiTheme="minorEastAsia" w:hAnsiTheme="minorEastAsia" w:eastAsiaTheme="minorEastAsia"/>
          <w:color w:val="000000" w:themeColor="text1"/>
        </w:rPr>
        <w:t>采购代理机构对评审工作现场进行全过程录音录像，录音录像资料作为采购项目文件随其他文件一并存档。</w:t>
      </w:r>
    </w:p>
    <w:p w14:paraId="13B688E3">
      <w:pPr>
        <w:pStyle w:val="24"/>
        <w:snapToGrid w:val="0"/>
        <w:spacing w:line="360" w:lineRule="auto"/>
        <w:ind w:firstLine="0" w:firstLineChars="0"/>
        <w:rPr>
          <w:rFonts w:cs="宋体"/>
          <w:color w:val="000000" w:themeColor="text1"/>
        </w:rPr>
      </w:pPr>
    </w:p>
    <w:bookmarkEnd w:id="17"/>
    <w:p w14:paraId="656435F1">
      <w:pPr>
        <w:spacing w:line="360" w:lineRule="auto"/>
        <w:ind w:left="720" w:leftChars="343" w:firstLine="1084" w:firstLineChars="300"/>
        <w:rPr>
          <w:rFonts w:ascii="宋体" w:hAnsi="宋体" w:cs="宋体"/>
          <w:b/>
          <w:color w:val="000000" w:themeColor="text1"/>
          <w:sz w:val="36"/>
          <w:szCs w:val="36"/>
        </w:rPr>
      </w:pPr>
      <w:bookmarkStart w:id="386" w:name="第五部分"/>
      <w:bookmarkStart w:id="387" w:name="_Toc86217003"/>
    </w:p>
    <w:p w14:paraId="26050FEE">
      <w:pPr>
        <w:spacing w:line="360" w:lineRule="auto"/>
        <w:ind w:left="720" w:leftChars="343" w:firstLine="1084" w:firstLineChars="300"/>
        <w:rPr>
          <w:rFonts w:ascii="宋体" w:hAnsi="宋体" w:cs="宋体"/>
          <w:b/>
          <w:color w:val="000000" w:themeColor="text1"/>
          <w:sz w:val="36"/>
          <w:szCs w:val="36"/>
        </w:rPr>
      </w:pPr>
    </w:p>
    <w:p w14:paraId="189DB41A">
      <w:pPr>
        <w:spacing w:line="360" w:lineRule="auto"/>
        <w:ind w:left="720" w:leftChars="343" w:firstLine="1084" w:firstLineChars="300"/>
        <w:rPr>
          <w:rFonts w:ascii="宋体" w:hAnsi="宋体" w:cs="宋体"/>
          <w:b/>
          <w:color w:val="000000" w:themeColor="text1"/>
          <w:sz w:val="36"/>
          <w:szCs w:val="36"/>
        </w:rPr>
      </w:pPr>
    </w:p>
    <w:p w14:paraId="11F0D6CE">
      <w:pPr>
        <w:spacing w:line="360" w:lineRule="auto"/>
        <w:ind w:left="720" w:leftChars="343" w:firstLine="1084" w:firstLineChars="300"/>
        <w:rPr>
          <w:rFonts w:ascii="宋体" w:hAnsi="宋体" w:cs="宋体"/>
          <w:b/>
          <w:color w:val="000000" w:themeColor="text1"/>
          <w:sz w:val="36"/>
          <w:szCs w:val="36"/>
        </w:rPr>
      </w:pPr>
    </w:p>
    <w:p w14:paraId="335CB175">
      <w:pPr>
        <w:spacing w:line="360" w:lineRule="auto"/>
        <w:ind w:left="720" w:leftChars="343" w:firstLine="1084" w:firstLineChars="300"/>
        <w:rPr>
          <w:rFonts w:ascii="宋体" w:hAnsi="宋体" w:cs="宋体"/>
          <w:b/>
          <w:color w:val="000000" w:themeColor="text1"/>
          <w:sz w:val="36"/>
          <w:szCs w:val="36"/>
        </w:rPr>
      </w:pPr>
    </w:p>
    <w:p w14:paraId="33252AB8">
      <w:pPr>
        <w:spacing w:line="360" w:lineRule="auto"/>
        <w:ind w:left="720" w:leftChars="343" w:firstLine="1084" w:firstLineChars="300"/>
        <w:rPr>
          <w:rFonts w:ascii="宋体" w:hAnsi="宋体" w:cs="宋体"/>
          <w:b/>
          <w:color w:val="000000" w:themeColor="text1"/>
          <w:sz w:val="36"/>
          <w:szCs w:val="36"/>
        </w:rPr>
      </w:pPr>
    </w:p>
    <w:p w14:paraId="4E52DE4F">
      <w:pPr>
        <w:spacing w:line="360" w:lineRule="auto"/>
        <w:ind w:left="720" w:leftChars="343" w:firstLine="1084" w:firstLineChars="300"/>
        <w:rPr>
          <w:rFonts w:ascii="宋体" w:hAnsi="宋体" w:cs="宋体"/>
          <w:b/>
          <w:color w:val="000000" w:themeColor="text1"/>
          <w:sz w:val="36"/>
          <w:szCs w:val="36"/>
        </w:rPr>
      </w:pPr>
    </w:p>
    <w:p w14:paraId="6C1C2E8A">
      <w:pPr>
        <w:spacing w:line="360" w:lineRule="auto"/>
        <w:ind w:left="720" w:leftChars="343" w:firstLine="1084" w:firstLineChars="300"/>
        <w:rPr>
          <w:rFonts w:ascii="宋体" w:hAnsi="宋体" w:cs="宋体"/>
          <w:b/>
          <w:color w:val="000000" w:themeColor="text1"/>
          <w:sz w:val="36"/>
          <w:szCs w:val="36"/>
        </w:rPr>
      </w:pPr>
    </w:p>
    <w:p w14:paraId="369F1D60">
      <w:pPr>
        <w:spacing w:line="360" w:lineRule="auto"/>
        <w:rPr>
          <w:rFonts w:ascii="宋体" w:hAnsi="宋体" w:cs="宋体"/>
          <w:b/>
          <w:color w:val="000000" w:themeColor="text1"/>
          <w:sz w:val="36"/>
          <w:szCs w:val="36"/>
        </w:rPr>
      </w:pPr>
    </w:p>
    <w:p w14:paraId="7AEE103F">
      <w:pPr>
        <w:spacing w:line="360" w:lineRule="auto"/>
        <w:ind w:left="720" w:leftChars="343" w:firstLine="1084" w:firstLineChars="300"/>
        <w:rPr>
          <w:rFonts w:ascii="宋体" w:hAnsi="宋体" w:cs="宋体"/>
          <w:b/>
          <w:color w:val="000000" w:themeColor="text1"/>
          <w:sz w:val="36"/>
          <w:szCs w:val="36"/>
        </w:rPr>
      </w:pPr>
    </w:p>
    <w:p w14:paraId="29D026C9">
      <w:pPr>
        <w:spacing w:line="360" w:lineRule="auto"/>
        <w:ind w:left="720" w:leftChars="343" w:firstLine="1084" w:firstLineChars="300"/>
        <w:outlineLvl w:val="0"/>
        <w:rPr>
          <w:rFonts w:ascii="宋体" w:hAnsi="宋体" w:cs="宋体"/>
          <w:b/>
          <w:color w:val="000000" w:themeColor="text1"/>
          <w:sz w:val="36"/>
          <w:szCs w:val="36"/>
        </w:rPr>
      </w:pPr>
      <w:bookmarkStart w:id="388" w:name="_Toc176368906"/>
      <w:r>
        <w:rPr>
          <w:rFonts w:hint="eastAsia" w:ascii="宋体" w:hAnsi="宋体" w:cs="宋体"/>
          <w:b/>
          <w:color w:val="000000" w:themeColor="text1"/>
          <w:sz w:val="36"/>
          <w:szCs w:val="36"/>
        </w:rPr>
        <w:t>第五部分 拟签订的合同文本</w:t>
      </w:r>
      <w:bookmarkEnd w:id="388"/>
    </w:p>
    <w:p w14:paraId="76762DF4">
      <w:pPr>
        <w:spacing w:line="480" w:lineRule="auto"/>
        <w:jc w:val="center"/>
        <w:rPr>
          <w:rFonts w:ascii="宋体" w:hAnsi="宋体" w:cs="宋体"/>
          <w:b/>
          <w:color w:val="000000" w:themeColor="text1"/>
          <w:sz w:val="28"/>
          <w:szCs w:val="28"/>
        </w:rPr>
      </w:pPr>
    </w:p>
    <w:p w14:paraId="69DBB4DD">
      <w:pPr>
        <w:spacing w:line="480" w:lineRule="auto"/>
        <w:jc w:val="center"/>
        <w:rPr>
          <w:rFonts w:ascii="宋体" w:hAnsi="宋体" w:cs="宋体"/>
          <w:b/>
          <w:color w:val="000000" w:themeColor="text1"/>
          <w:sz w:val="24"/>
        </w:rPr>
      </w:pPr>
    </w:p>
    <w:p w14:paraId="62926609">
      <w:pPr>
        <w:spacing w:line="480" w:lineRule="auto"/>
        <w:jc w:val="center"/>
        <w:rPr>
          <w:rFonts w:ascii="宋体" w:hAnsi="宋体" w:cs="宋体"/>
          <w:b/>
          <w:color w:val="000000" w:themeColor="text1"/>
          <w:sz w:val="24"/>
        </w:rPr>
      </w:pPr>
    </w:p>
    <w:p w14:paraId="2BB6CF99">
      <w:pPr>
        <w:spacing w:line="480" w:lineRule="auto"/>
        <w:jc w:val="center"/>
        <w:rPr>
          <w:rFonts w:ascii="宋体" w:hAnsi="宋体" w:cs="宋体"/>
          <w:b/>
          <w:color w:val="000000" w:themeColor="text1"/>
          <w:sz w:val="36"/>
          <w:szCs w:val="36"/>
        </w:rPr>
      </w:pPr>
      <w:r>
        <w:rPr>
          <w:rFonts w:hint="eastAsia" w:ascii="宋体" w:hAnsi="宋体" w:cs="宋体"/>
          <w:b/>
          <w:color w:val="000000" w:themeColor="text1"/>
          <w:sz w:val="36"/>
          <w:szCs w:val="36"/>
        </w:rPr>
        <w:t>政府采购合同参考范本</w:t>
      </w:r>
    </w:p>
    <w:p w14:paraId="67F2C212">
      <w:pPr>
        <w:spacing w:line="480" w:lineRule="auto"/>
        <w:jc w:val="center"/>
        <w:rPr>
          <w:rFonts w:ascii="宋体" w:hAnsi="宋体" w:cs="宋体"/>
          <w:b/>
          <w:color w:val="000000" w:themeColor="text1"/>
          <w:sz w:val="36"/>
          <w:szCs w:val="36"/>
        </w:rPr>
      </w:pPr>
      <w:r>
        <w:rPr>
          <w:rFonts w:hint="eastAsia" w:ascii="宋体" w:hAnsi="宋体" w:cs="宋体"/>
          <w:b/>
          <w:color w:val="000000" w:themeColor="text1"/>
          <w:sz w:val="36"/>
          <w:szCs w:val="36"/>
        </w:rPr>
        <w:t>（服务类）</w:t>
      </w:r>
    </w:p>
    <w:p w14:paraId="4D3CBDCC">
      <w:pPr>
        <w:pStyle w:val="699"/>
        <w:ind w:firstLine="2843" w:firstLineChars="1180"/>
        <w:rPr>
          <w:rFonts w:ascii="宋体" w:hAnsi="宋体" w:cs="宋体"/>
          <w:b/>
          <w:color w:val="000000" w:themeColor="text1"/>
          <w:szCs w:val="24"/>
        </w:rPr>
      </w:pPr>
    </w:p>
    <w:p w14:paraId="6167643E">
      <w:pPr>
        <w:pStyle w:val="24"/>
        <w:rPr>
          <w:color w:val="000000" w:themeColor="text1"/>
        </w:rPr>
      </w:pPr>
    </w:p>
    <w:p w14:paraId="4EF5CDE4">
      <w:pPr>
        <w:pStyle w:val="24"/>
        <w:rPr>
          <w:color w:val="000000" w:themeColor="text1"/>
        </w:rPr>
      </w:pPr>
    </w:p>
    <w:p w14:paraId="1071A372">
      <w:pPr>
        <w:adjustRightInd/>
        <w:spacing w:line="360" w:lineRule="auto"/>
        <w:ind w:left="1680" w:leftChars="800"/>
        <w:rPr>
          <w:color w:val="000000" w:themeColor="text1"/>
          <w:sz w:val="32"/>
          <w:szCs w:val="32"/>
        </w:rPr>
      </w:pPr>
      <w:r>
        <w:rPr>
          <w:rFonts w:hint="eastAsia" w:ascii="宋体" w:hAnsi="宋体" w:cs="宋体"/>
          <w:color w:val="000000" w:themeColor="text1"/>
          <w:kern w:val="0"/>
          <w:sz w:val="32"/>
          <w:szCs w:val="32"/>
        </w:rPr>
        <w:t>项目名称：</w:t>
      </w:r>
    </w:p>
    <w:p w14:paraId="1346A47E">
      <w:pPr>
        <w:adjustRightInd/>
        <w:spacing w:line="360" w:lineRule="auto"/>
        <w:ind w:left="1680" w:leftChars="800"/>
        <w:rPr>
          <w:color w:val="000000" w:themeColor="text1"/>
          <w:sz w:val="32"/>
          <w:szCs w:val="32"/>
          <w:u w:val="single"/>
        </w:rPr>
      </w:pPr>
      <w:r>
        <w:rPr>
          <w:rFonts w:hint="eastAsia"/>
          <w:color w:val="000000" w:themeColor="text1"/>
          <w:sz w:val="32"/>
          <w:szCs w:val="32"/>
        </w:rPr>
        <w:t>合同编号：</w:t>
      </w:r>
    </w:p>
    <w:p w14:paraId="3EFDC734">
      <w:pPr>
        <w:adjustRightInd/>
        <w:spacing w:line="360" w:lineRule="auto"/>
        <w:ind w:left="1680" w:leftChars="800"/>
        <w:rPr>
          <w:color w:val="000000" w:themeColor="text1"/>
          <w:sz w:val="32"/>
          <w:szCs w:val="32"/>
        </w:rPr>
      </w:pPr>
      <w:r>
        <w:rPr>
          <w:rFonts w:hint="eastAsia"/>
          <w:color w:val="000000" w:themeColor="text1"/>
          <w:sz w:val="32"/>
          <w:szCs w:val="32"/>
        </w:rPr>
        <w:t>甲方：</w:t>
      </w:r>
    </w:p>
    <w:p w14:paraId="02F79424">
      <w:pPr>
        <w:adjustRightInd/>
        <w:spacing w:line="360" w:lineRule="auto"/>
        <w:ind w:left="1680" w:leftChars="800"/>
        <w:rPr>
          <w:color w:val="000000" w:themeColor="text1"/>
          <w:sz w:val="32"/>
          <w:szCs w:val="32"/>
          <w:u w:val="single"/>
        </w:rPr>
      </w:pPr>
      <w:r>
        <w:rPr>
          <w:rFonts w:hint="eastAsia"/>
          <w:color w:val="000000" w:themeColor="text1"/>
          <w:sz w:val="32"/>
          <w:szCs w:val="32"/>
        </w:rPr>
        <w:t>乙方：</w:t>
      </w:r>
    </w:p>
    <w:p w14:paraId="56CE3F7E">
      <w:pPr>
        <w:adjustRightInd/>
        <w:spacing w:line="360" w:lineRule="auto"/>
        <w:ind w:left="1680" w:leftChars="800"/>
        <w:rPr>
          <w:color w:val="000000" w:themeColor="text1"/>
          <w:sz w:val="32"/>
          <w:szCs w:val="32"/>
        </w:rPr>
      </w:pPr>
      <w:r>
        <w:rPr>
          <w:rFonts w:hint="eastAsia"/>
          <w:color w:val="000000" w:themeColor="text1"/>
          <w:sz w:val="32"/>
          <w:szCs w:val="32"/>
        </w:rPr>
        <w:t>签订时间：</w:t>
      </w:r>
    </w:p>
    <w:p w14:paraId="3253D187">
      <w:pPr>
        <w:widowControl/>
        <w:jc w:val="left"/>
        <w:rPr>
          <w:rFonts w:ascii="宋体" w:hAnsi="宋体" w:cs="宋体"/>
          <w:color w:val="000000" w:themeColor="text1"/>
          <w:kern w:val="0"/>
          <w:sz w:val="24"/>
        </w:rPr>
        <w:sectPr>
          <w:headerReference r:id="rId6" w:type="default"/>
          <w:footerReference r:id="rId7" w:type="default"/>
          <w:pgSz w:w="11907" w:h="16840"/>
          <w:pgMar w:top="1474" w:right="1417" w:bottom="1474" w:left="1417" w:header="851" w:footer="851" w:gutter="0"/>
          <w:pgNumType w:fmt="decimal"/>
          <w:cols w:space="720" w:num="1"/>
        </w:sectPr>
      </w:pPr>
    </w:p>
    <w:p w14:paraId="4F5CFF45">
      <w:pPr>
        <w:spacing w:line="360" w:lineRule="auto"/>
        <w:jc w:val="center"/>
        <w:outlineLvl w:val="1"/>
        <w:rPr>
          <w:rFonts w:ascii="宋体" w:hAnsi="宋体" w:cs="宋体"/>
          <w:b/>
          <w:color w:val="000000" w:themeColor="text1"/>
          <w:sz w:val="24"/>
        </w:rPr>
      </w:pPr>
      <w:bookmarkStart w:id="389" w:name="_Toc22209"/>
      <w:r>
        <w:rPr>
          <w:rFonts w:hint="eastAsia" w:ascii="宋体" w:hAnsi="宋体"/>
          <w:b/>
          <w:color w:val="000000" w:themeColor="text1"/>
          <w:sz w:val="24"/>
        </w:rPr>
        <w:t>第一节 政府采购合同协议书</w:t>
      </w:r>
      <w:bookmarkEnd w:id="389"/>
    </w:p>
    <w:p w14:paraId="27D870B7">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lang w:val="zh-CN"/>
        </w:rPr>
        <w:t>年月日</w:t>
      </w:r>
      <w:r>
        <w:rPr>
          <w:rFonts w:hint="eastAsia" w:ascii="宋体" w:hAnsi="宋体"/>
          <w:color w:val="000000" w:themeColor="text1"/>
          <w:sz w:val="24"/>
        </w:rPr>
        <w:t>，</w:t>
      </w:r>
      <w:r>
        <w:rPr>
          <w:rFonts w:hint="eastAsia" w:ascii="宋体" w:hAnsi="宋体" w:cs="宋体"/>
          <w:color w:val="000000" w:themeColor="text1"/>
          <w:sz w:val="24"/>
          <w:u w:val="single"/>
        </w:rPr>
        <w:t>（采购人）</w:t>
      </w:r>
      <w:r>
        <w:rPr>
          <w:rFonts w:hint="eastAsia" w:ascii="宋体" w:hAnsi="宋体"/>
          <w:color w:val="000000" w:themeColor="text1"/>
          <w:sz w:val="24"/>
        </w:rPr>
        <w:t>以</w:t>
      </w:r>
      <w:r>
        <w:rPr>
          <w:rFonts w:ascii="宋体" w:hAnsi="宋体"/>
          <w:color w:val="000000" w:themeColor="text1"/>
          <w:sz w:val="24"/>
          <w:u w:val="single"/>
        </w:rPr>
        <w:t xml:space="preserve">   （政府采购方式）  </w:t>
      </w:r>
      <w:r>
        <w:rPr>
          <w:rFonts w:hint="eastAsia" w:ascii="宋体" w:hAnsi="宋体"/>
          <w:color w:val="000000" w:themeColor="text1"/>
          <w:sz w:val="24"/>
        </w:rPr>
        <w:t>对</w:t>
      </w:r>
      <w:r>
        <w:rPr>
          <w:rFonts w:hint="eastAsia" w:ascii="宋体" w:hAnsi="宋体" w:cs="宋体"/>
          <w:color w:val="000000" w:themeColor="text1"/>
          <w:sz w:val="24"/>
          <w:u w:val="single"/>
        </w:rPr>
        <w:t xml:space="preserve">（项目名称）  </w:t>
      </w:r>
      <w:r>
        <w:rPr>
          <w:rFonts w:hint="eastAsia" w:ascii="宋体" w:hAnsi="宋体"/>
          <w:color w:val="000000" w:themeColor="text1"/>
          <w:sz w:val="24"/>
        </w:rPr>
        <w:t>项目进行了采购。经</w:t>
      </w:r>
      <w:r>
        <w:rPr>
          <w:rFonts w:ascii="宋体" w:hAnsi="宋体"/>
          <w:color w:val="000000" w:themeColor="text1"/>
          <w:sz w:val="24"/>
          <w:u w:val="single"/>
        </w:rPr>
        <w:t xml:space="preserve">   （相关评定主体名称）   </w:t>
      </w:r>
      <w:r>
        <w:rPr>
          <w:rFonts w:hint="eastAsia" w:ascii="宋体" w:hAnsi="宋体"/>
          <w:color w:val="000000" w:themeColor="text1"/>
          <w:sz w:val="24"/>
        </w:rPr>
        <w:t>评定，</w:t>
      </w:r>
      <w:r>
        <w:rPr>
          <w:rFonts w:ascii="宋体" w:hAnsi="宋体"/>
          <w:color w:val="000000" w:themeColor="text1"/>
          <w:sz w:val="24"/>
          <w:u w:val="single"/>
        </w:rPr>
        <w:t xml:space="preserve">   （中标供应商名称） </w:t>
      </w:r>
      <w:r>
        <w:rPr>
          <w:rFonts w:hint="eastAsia" w:ascii="宋体" w:hAnsi="宋体"/>
          <w:color w:val="000000" w:themeColor="text1"/>
          <w:sz w:val="24"/>
        </w:rPr>
        <w:t>为该项目</w:t>
      </w:r>
      <w:r>
        <w:rPr>
          <w:rFonts w:hint="eastAsia" w:ascii="宋体" w:hAnsi="宋体" w:cs="宋体"/>
          <w:color w:val="000000" w:themeColor="text1"/>
          <w:sz w:val="24"/>
        </w:rPr>
        <w:t>中标供应商</w:t>
      </w:r>
      <w:r>
        <w:rPr>
          <w:rFonts w:hint="eastAsia" w:ascii="宋体" w:hAnsi="宋体"/>
          <w:color w:val="000000" w:themeColor="text1"/>
          <w:sz w:val="24"/>
        </w:rPr>
        <w:t>。现</w:t>
      </w:r>
      <w:r>
        <w:rPr>
          <w:rFonts w:hint="eastAsia" w:ascii="宋体" w:hAnsi="宋体"/>
          <w:color w:val="000000" w:themeColor="text1"/>
          <w:sz w:val="24"/>
          <w:highlight w:val="none"/>
        </w:rPr>
        <w:t>于</w:t>
      </w:r>
      <w:r>
        <w:rPr>
          <w:rFonts w:hint="eastAsia" w:ascii="宋体" w:hAnsi="宋体" w:cs="宋体"/>
          <w:color w:val="000000" w:themeColor="text1"/>
          <w:sz w:val="24"/>
          <w:highlight w:val="none"/>
        </w:rPr>
        <w:t>中标通知书</w:t>
      </w:r>
      <w:r>
        <w:rPr>
          <w:rFonts w:hint="eastAsia" w:ascii="宋体" w:hAnsi="宋体"/>
          <w:color w:val="000000" w:themeColor="text1"/>
          <w:sz w:val="24"/>
          <w:highlight w:val="none"/>
        </w:rPr>
        <w:t>发出之日起</w:t>
      </w:r>
      <w:r>
        <w:rPr>
          <w:rFonts w:hint="eastAsia" w:ascii="宋体" w:hAnsi="宋体"/>
          <w:color w:val="000000" w:themeColor="text1"/>
          <w:sz w:val="24"/>
          <w:highlight w:val="none"/>
          <w:u w:val="single"/>
          <w:lang w:val="en-US" w:eastAsia="zh-CN"/>
        </w:rPr>
        <w:t>5</w:t>
      </w:r>
      <w:r>
        <w:rPr>
          <w:rFonts w:hint="eastAsia" w:ascii="宋体" w:hAnsi="宋体"/>
          <w:color w:val="000000" w:themeColor="text1"/>
          <w:sz w:val="24"/>
          <w:highlight w:val="none"/>
        </w:rPr>
        <w:t>个工作日内，按照采购文件确定的事项签订本合同。</w:t>
      </w:r>
    </w:p>
    <w:p w14:paraId="2E40E080">
      <w:pPr>
        <w:spacing w:line="360" w:lineRule="auto"/>
        <w:ind w:firstLine="480" w:firstLineChars="200"/>
        <w:rPr>
          <w:rFonts w:ascii="宋体" w:hAnsi="宋体"/>
          <w:color w:val="000000" w:themeColor="text1"/>
          <w:sz w:val="24"/>
        </w:rPr>
      </w:pPr>
      <w:r>
        <w:rPr>
          <w:rFonts w:hint="eastAsia" w:ascii="宋体" w:hAnsi="宋体"/>
          <w:color w:val="000000" w:themeColor="text1"/>
          <w:sz w:val="24"/>
          <w:highlight w:val="none"/>
          <w:lang w:val="zh-CN"/>
        </w:rPr>
        <w:t>根据《中华人民共和国民法典》《中华</w:t>
      </w:r>
      <w:r>
        <w:rPr>
          <w:rFonts w:hint="eastAsia" w:ascii="宋体" w:hAnsi="宋体"/>
          <w:color w:val="000000" w:themeColor="text1"/>
          <w:sz w:val="24"/>
          <w:lang w:val="zh-CN"/>
        </w:rPr>
        <w:t>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（中标供应商名称）   </w:t>
      </w:r>
      <w:r>
        <w:rPr>
          <w:rFonts w:ascii="宋体" w:hAnsi="宋体"/>
          <w:color w:val="000000" w:themeColor="text1"/>
          <w:sz w:val="24"/>
          <w:lang w:val="zh-CN"/>
        </w:rPr>
        <w:t>(以下简称：乙方)协商一致，约定以下合同</w:t>
      </w:r>
      <w:r>
        <w:rPr>
          <w:rFonts w:hint="eastAsia" w:ascii="宋体" w:hAnsi="宋体"/>
          <w:color w:val="000000" w:themeColor="text1"/>
          <w:sz w:val="24"/>
        </w:rPr>
        <w:t>条款，以兹共同遵守、全面履行。</w:t>
      </w:r>
    </w:p>
    <w:p w14:paraId="26080BA1">
      <w:pPr>
        <w:spacing w:line="360" w:lineRule="auto"/>
        <w:ind w:firstLine="482" w:firstLineChars="200"/>
        <w:rPr>
          <w:rFonts w:ascii="宋体" w:hAnsi="宋体"/>
          <w:color w:val="000000" w:themeColor="text1"/>
          <w:sz w:val="24"/>
        </w:rPr>
      </w:pPr>
      <w:bookmarkStart w:id="390" w:name="_Toc22967"/>
      <w:bookmarkStart w:id="391" w:name="_Toc19273"/>
      <w:bookmarkStart w:id="392" w:name="_Toc28855"/>
      <w:bookmarkStart w:id="393" w:name="_Toc15367"/>
      <w:bookmarkStart w:id="394" w:name="_Toc20421"/>
      <w:r>
        <w:rPr>
          <w:rFonts w:ascii="宋体" w:hAnsi="宋体"/>
          <w:b/>
          <w:color w:val="000000" w:themeColor="text1"/>
          <w:sz w:val="24"/>
        </w:rPr>
        <w:t xml:space="preserve">1.1 </w:t>
      </w:r>
      <w:r>
        <w:rPr>
          <w:rFonts w:hint="eastAsia" w:ascii="宋体" w:hAnsi="宋体"/>
          <w:b/>
          <w:color w:val="000000" w:themeColor="text1"/>
          <w:sz w:val="24"/>
        </w:rPr>
        <w:t>合同组成部分</w:t>
      </w:r>
      <w:bookmarkEnd w:id="390"/>
      <w:bookmarkEnd w:id="391"/>
      <w:bookmarkEnd w:id="392"/>
      <w:bookmarkEnd w:id="393"/>
      <w:bookmarkEnd w:id="394"/>
    </w:p>
    <w:p w14:paraId="34D3C199">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2F93577">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1.1.1 </w:t>
      </w:r>
      <w:r>
        <w:rPr>
          <w:rFonts w:hint="eastAsia" w:ascii="宋体" w:hAnsi="宋体"/>
          <w:color w:val="000000" w:themeColor="text1"/>
          <w:sz w:val="24"/>
        </w:rPr>
        <w:t>本合同及其补充合同、变更协议；</w:t>
      </w:r>
    </w:p>
    <w:p w14:paraId="5A30AB64">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1.1.2 </w:t>
      </w:r>
      <w:r>
        <w:rPr>
          <w:rFonts w:hint="eastAsia" w:ascii="宋体" w:hAnsi="宋体"/>
          <w:color w:val="000000" w:themeColor="text1"/>
          <w:sz w:val="24"/>
        </w:rPr>
        <w:t>中标通知书；</w:t>
      </w:r>
    </w:p>
    <w:p w14:paraId="6729D987">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1.1.3 </w:t>
      </w:r>
      <w:r>
        <w:rPr>
          <w:rFonts w:hint="eastAsia" w:ascii="宋体" w:hAnsi="宋体"/>
          <w:color w:val="000000" w:themeColor="text1"/>
          <w:sz w:val="24"/>
        </w:rPr>
        <w:t>投标文件（含澄清或者说明文件）；</w:t>
      </w:r>
    </w:p>
    <w:p w14:paraId="01CC2429">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1.1.4 </w:t>
      </w:r>
      <w:r>
        <w:rPr>
          <w:rFonts w:hint="eastAsia" w:ascii="宋体" w:hAnsi="宋体"/>
          <w:color w:val="000000" w:themeColor="text1"/>
          <w:sz w:val="24"/>
        </w:rPr>
        <w:t>采购文件（含澄清或者修改文件）；</w:t>
      </w:r>
    </w:p>
    <w:p w14:paraId="0F2F261D">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1.1.5 </w:t>
      </w:r>
      <w:r>
        <w:rPr>
          <w:rFonts w:hint="eastAsia" w:ascii="宋体" w:hAnsi="宋体"/>
          <w:color w:val="000000" w:themeColor="text1"/>
          <w:sz w:val="24"/>
        </w:rPr>
        <w:t>其他相关采购文件。</w:t>
      </w:r>
    </w:p>
    <w:p w14:paraId="103E9C8F">
      <w:pPr>
        <w:spacing w:line="360" w:lineRule="auto"/>
        <w:ind w:firstLine="482" w:firstLineChars="200"/>
        <w:rPr>
          <w:rFonts w:ascii="宋体" w:hAnsi="宋体"/>
          <w:b/>
          <w:color w:val="000000" w:themeColor="text1"/>
          <w:sz w:val="24"/>
        </w:rPr>
      </w:pPr>
      <w:bookmarkStart w:id="395" w:name="_Toc6311"/>
      <w:bookmarkStart w:id="396" w:name="_Toc22185"/>
      <w:bookmarkStart w:id="397" w:name="_Toc6773"/>
      <w:bookmarkStart w:id="398" w:name="_Toc2918"/>
      <w:bookmarkStart w:id="399" w:name="_Toc18585"/>
      <w:r>
        <w:rPr>
          <w:rFonts w:ascii="宋体" w:hAnsi="宋体"/>
          <w:b/>
          <w:color w:val="000000" w:themeColor="text1"/>
          <w:sz w:val="24"/>
        </w:rPr>
        <w:t xml:space="preserve">1.2 </w:t>
      </w:r>
      <w:r>
        <w:rPr>
          <w:rFonts w:hint="eastAsia" w:ascii="宋体" w:hAnsi="宋体"/>
          <w:b/>
          <w:color w:val="000000" w:themeColor="text1"/>
          <w:sz w:val="24"/>
        </w:rPr>
        <w:t>标的</w:t>
      </w:r>
      <w:bookmarkEnd w:id="395"/>
      <w:bookmarkEnd w:id="396"/>
      <w:bookmarkEnd w:id="397"/>
      <w:bookmarkEnd w:id="398"/>
      <w:bookmarkEnd w:id="399"/>
    </w:p>
    <w:p w14:paraId="2FA0A743">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 xml:space="preserve">1.2.1 </w:t>
      </w:r>
      <w:r>
        <w:rPr>
          <w:rFonts w:hint="eastAsia" w:ascii="宋体" w:hAnsi="宋体"/>
          <w:color w:val="000000" w:themeColor="text1"/>
          <w:sz w:val="24"/>
        </w:rPr>
        <w:t>服务内容</w:t>
      </w:r>
      <w:r>
        <w:rPr>
          <w:rFonts w:ascii="宋体" w:hAnsi="宋体"/>
          <w:color w:val="000000" w:themeColor="text1"/>
          <w:sz w:val="24"/>
        </w:rPr>
        <w:t>：</w:t>
      </w:r>
      <w:r>
        <w:rPr>
          <w:rFonts w:hint="eastAsia" w:ascii="宋体" w:hAnsi="宋体"/>
          <w:color w:val="000000" w:themeColor="text1"/>
          <w:sz w:val="24"/>
        </w:rPr>
        <w:t>；</w:t>
      </w:r>
    </w:p>
    <w:p w14:paraId="4835CBD8">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 xml:space="preserve">1.2.2 </w:t>
      </w:r>
      <w:r>
        <w:rPr>
          <w:rFonts w:hint="eastAsia" w:ascii="宋体" w:hAnsi="宋体"/>
          <w:color w:val="000000" w:themeColor="text1"/>
          <w:sz w:val="24"/>
        </w:rPr>
        <w:t>服务标准</w:t>
      </w:r>
      <w:r>
        <w:rPr>
          <w:rFonts w:ascii="宋体" w:hAnsi="宋体"/>
          <w:color w:val="000000" w:themeColor="text1"/>
          <w:sz w:val="24"/>
        </w:rPr>
        <w:t>：</w:t>
      </w:r>
      <w:r>
        <w:rPr>
          <w:rFonts w:hint="eastAsia" w:ascii="宋体" w:hAnsi="宋体"/>
          <w:color w:val="000000" w:themeColor="text1"/>
          <w:sz w:val="24"/>
        </w:rPr>
        <w:t>；</w:t>
      </w:r>
    </w:p>
    <w:p w14:paraId="7078F613">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 xml:space="preserve">1.2.3 </w:t>
      </w:r>
      <w:r>
        <w:rPr>
          <w:rFonts w:hint="eastAsia" w:ascii="宋体" w:hAnsi="宋体"/>
          <w:color w:val="000000" w:themeColor="text1"/>
          <w:sz w:val="24"/>
        </w:rPr>
        <w:t>技术保障：</w:t>
      </w:r>
      <w:r>
        <w:rPr>
          <w:rFonts w:ascii="宋体" w:hAnsi="宋体"/>
          <w:color w:val="000000" w:themeColor="text1"/>
          <w:sz w:val="24"/>
          <w:u w:val="single"/>
        </w:rPr>
        <w:t xml:space="preserve">　　　　　　　　　                      　      </w:t>
      </w:r>
      <w:r>
        <w:rPr>
          <w:rFonts w:hint="eastAsia" w:ascii="宋体" w:hAnsi="宋体"/>
          <w:color w:val="000000" w:themeColor="text1"/>
          <w:sz w:val="24"/>
          <w:u w:val="single"/>
        </w:rPr>
        <w:t>；</w:t>
      </w:r>
    </w:p>
    <w:p w14:paraId="31ED3B7E">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1.2.4 服务人员组成：</w:t>
      </w:r>
      <w:r>
        <w:rPr>
          <w:rFonts w:ascii="宋体" w:hAnsi="宋体"/>
          <w:color w:val="000000" w:themeColor="text1"/>
          <w:sz w:val="24"/>
          <w:u w:val="single"/>
        </w:rPr>
        <w:t xml:space="preserve">　　             　      </w:t>
      </w:r>
      <w:r>
        <w:rPr>
          <w:rFonts w:hint="eastAsia" w:ascii="宋体" w:hAnsi="宋体"/>
          <w:color w:val="000000" w:themeColor="text1"/>
          <w:sz w:val="24"/>
        </w:rPr>
        <w:t>；</w:t>
      </w:r>
    </w:p>
    <w:p w14:paraId="46B3984E">
      <w:pPr>
        <w:pStyle w:val="957"/>
        <w:spacing w:before="0" w:beforeAutospacing="0" w:after="0" w:afterAutospacing="0" w:line="360" w:lineRule="auto"/>
        <w:ind w:firstLine="480"/>
        <w:rPr>
          <w:color w:val="000000" w:themeColor="text1"/>
        </w:rPr>
      </w:pPr>
      <w:r>
        <w:rPr>
          <w:rFonts w:hint="eastAsia"/>
          <w:color w:val="000000" w:themeColor="text1"/>
        </w:rPr>
        <w:t>1.2.5合同（是</w:t>
      </w:r>
      <w:r>
        <w:rPr>
          <w:rFonts w:hint="eastAsia" w:ascii="仿宋" w:hAnsi="仿宋" w:eastAsia="仿宋" w:cs="仿宋"/>
          <w:color w:val="000000" w:themeColor="text1"/>
        </w:rPr>
        <w:t>/</w:t>
      </w:r>
      <w:r>
        <w:rPr>
          <w:rFonts w:hint="eastAsia"/>
          <w:color w:val="000000" w:themeColor="text1"/>
        </w:rPr>
        <w:t>否）涉及货物。若涉及货物的，则：</w:t>
      </w:r>
    </w:p>
    <w:p w14:paraId="2F2ABDC7">
      <w:pPr>
        <w:spacing w:line="360" w:lineRule="auto"/>
        <w:ind w:firstLine="480" w:firstLineChars="200"/>
        <w:rPr>
          <w:rFonts w:ascii="宋体" w:hAnsi="宋体" w:cs="宋体"/>
          <w:color w:val="000000" w:themeColor="text1"/>
          <w:sz w:val="24"/>
          <w:u w:val="single"/>
        </w:rPr>
      </w:pPr>
      <w:bookmarkStart w:id="400" w:name="_Toc5635"/>
      <w:bookmarkStart w:id="401" w:name="_Toc4929"/>
      <w:bookmarkStart w:id="402" w:name="_Toc13918"/>
      <w:bookmarkStart w:id="403" w:name="_Toc21124"/>
      <w:bookmarkStart w:id="404" w:name="_Toc1386"/>
      <w:r>
        <w:rPr>
          <w:rFonts w:hint="eastAsia" w:ascii="宋体" w:hAnsi="宋体" w:cs="宋体"/>
          <w:color w:val="000000" w:themeColor="text1"/>
          <w:sz w:val="24"/>
        </w:rPr>
        <w:t>1.2.5.1 货物名称、品牌、规格型号、花色：；</w:t>
      </w:r>
    </w:p>
    <w:p w14:paraId="10E3635B">
      <w:pPr>
        <w:spacing w:line="360" w:lineRule="auto"/>
        <w:ind w:firstLine="480" w:firstLineChars="200"/>
        <w:rPr>
          <w:rFonts w:ascii="宋体" w:hAnsi="宋体" w:cs="宋体"/>
          <w:color w:val="000000" w:themeColor="text1"/>
          <w:sz w:val="24"/>
          <w:u w:val="single"/>
        </w:rPr>
      </w:pPr>
      <w:r>
        <w:rPr>
          <w:rFonts w:hint="eastAsia" w:ascii="宋体" w:hAnsi="宋体" w:cs="宋体"/>
          <w:color w:val="000000" w:themeColor="text1"/>
          <w:sz w:val="24"/>
        </w:rPr>
        <w:t>1.2.5.2 货物数量：；</w:t>
      </w:r>
    </w:p>
    <w:p w14:paraId="09C97653">
      <w:pPr>
        <w:spacing w:line="360" w:lineRule="auto"/>
        <w:ind w:firstLine="480" w:firstLineChars="200"/>
        <w:rPr>
          <w:rFonts w:ascii="宋体" w:hAnsi="宋体" w:cs="宋体"/>
          <w:color w:val="000000" w:themeColor="text1"/>
          <w:sz w:val="24"/>
          <w:u w:val="single"/>
        </w:rPr>
      </w:pPr>
      <w:r>
        <w:rPr>
          <w:rFonts w:hint="eastAsia" w:ascii="宋体" w:hAnsi="宋体" w:cs="宋体"/>
          <w:color w:val="000000" w:themeColor="text1"/>
          <w:sz w:val="24"/>
        </w:rPr>
        <w:t>1.2.5.3 货物质量：</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w:t>
      </w:r>
    </w:p>
    <w:p w14:paraId="195D5827">
      <w:pPr>
        <w:spacing w:line="360" w:lineRule="auto"/>
        <w:ind w:firstLine="482" w:firstLineChars="200"/>
        <w:rPr>
          <w:rFonts w:ascii="宋体" w:hAnsi="宋体"/>
          <w:b/>
          <w:color w:val="000000" w:themeColor="text1"/>
          <w:sz w:val="24"/>
        </w:rPr>
      </w:pPr>
      <w:r>
        <w:rPr>
          <w:rFonts w:ascii="宋体" w:hAnsi="宋体"/>
          <w:b/>
          <w:color w:val="000000" w:themeColor="text1"/>
          <w:sz w:val="24"/>
        </w:rPr>
        <w:t>1.3 价款</w:t>
      </w:r>
      <w:bookmarkEnd w:id="400"/>
      <w:bookmarkEnd w:id="401"/>
      <w:bookmarkEnd w:id="402"/>
      <w:bookmarkEnd w:id="403"/>
      <w:bookmarkEnd w:id="404"/>
    </w:p>
    <w:p w14:paraId="770C58BC">
      <w:pPr>
        <w:spacing w:line="360" w:lineRule="auto"/>
        <w:ind w:firstLine="480" w:firstLineChars="200"/>
        <w:rPr>
          <w:rFonts w:ascii="宋体" w:hAnsi="宋体"/>
          <w:color w:val="000000" w:themeColor="text1"/>
          <w:sz w:val="24"/>
        </w:rPr>
      </w:pPr>
      <w:r>
        <w:rPr>
          <w:rFonts w:hint="eastAsia" w:ascii="宋体" w:hAnsi="宋体" w:cs="宋体"/>
          <w:color w:val="000000" w:themeColor="text1"/>
          <w:sz w:val="24"/>
        </w:rPr>
        <w:t>本项目采用以下第条款规定的计价方式计价。</w:t>
      </w:r>
    </w:p>
    <w:p w14:paraId="7CF69DE2">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1.3.1总价合同，</w:t>
      </w:r>
      <w:r>
        <w:rPr>
          <w:rFonts w:ascii="宋体" w:hAnsi="宋体"/>
          <w:color w:val="000000" w:themeColor="text1"/>
          <w:sz w:val="24"/>
        </w:rPr>
        <w:t>本合同总价</w:t>
      </w:r>
      <w:r>
        <w:rPr>
          <w:rFonts w:hint="eastAsia" w:ascii="宋体" w:hAnsi="宋体"/>
          <w:color w:val="000000" w:themeColor="text1"/>
          <w:sz w:val="24"/>
        </w:rPr>
        <w:t>（含税）</w:t>
      </w:r>
      <w:r>
        <w:rPr>
          <w:rFonts w:ascii="宋体" w:hAnsi="宋体"/>
          <w:color w:val="000000" w:themeColor="text1"/>
          <w:sz w:val="24"/>
        </w:rPr>
        <w:t>为</w:t>
      </w:r>
      <w:r>
        <w:rPr>
          <w:rFonts w:hint="eastAsia" w:ascii="宋体" w:hAnsi="宋体"/>
          <w:color w:val="000000" w:themeColor="text1"/>
          <w:sz w:val="24"/>
        </w:rPr>
        <w:t>：￥</w:t>
      </w:r>
      <w:r>
        <w:rPr>
          <w:rFonts w:ascii="宋体" w:hAnsi="宋体"/>
          <w:color w:val="000000" w:themeColor="text1"/>
          <w:sz w:val="24"/>
        </w:rPr>
        <w:t>元</w:t>
      </w:r>
      <w:r>
        <w:rPr>
          <w:rFonts w:hint="eastAsia" w:ascii="宋体" w:hAnsi="宋体"/>
          <w:color w:val="000000" w:themeColor="text1"/>
          <w:sz w:val="24"/>
        </w:rPr>
        <w:t>（大写：元人民币）</w:t>
      </w:r>
      <w:r>
        <w:rPr>
          <w:rFonts w:ascii="宋体" w:hAnsi="宋体"/>
          <w:color w:val="000000" w:themeColor="text1"/>
          <w:sz w:val="24"/>
        </w:rPr>
        <w:t>。</w:t>
      </w:r>
    </w:p>
    <w:p w14:paraId="637718B2">
      <w:pPr>
        <w:spacing w:line="360" w:lineRule="auto"/>
        <w:ind w:firstLine="480" w:firstLineChars="200"/>
        <w:rPr>
          <w:rFonts w:ascii="宋体" w:hAnsi="宋体"/>
          <w:color w:val="000000" w:themeColor="text1"/>
          <w:sz w:val="24"/>
          <w:u w:val="single"/>
        </w:rPr>
      </w:pPr>
      <w:r>
        <w:rPr>
          <w:rFonts w:ascii="宋体" w:hAnsi="宋体"/>
          <w:color w:val="000000" w:themeColor="text1"/>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FF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2FEC88A">
            <w:pPr>
              <w:pStyle w:val="317"/>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14:paraId="76EEED9F">
            <w:pPr>
              <w:pStyle w:val="317"/>
              <w:spacing w:line="360" w:lineRule="auto"/>
              <w:ind w:firstLine="200"/>
              <w:jc w:val="center"/>
              <w:rPr>
                <w:rFonts w:hAnsi="宋体"/>
                <w:color w:val="000000" w:themeColor="text1"/>
                <w:sz w:val="24"/>
                <w:szCs w:val="24"/>
              </w:rPr>
            </w:pPr>
            <w:r>
              <w:rPr>
                <w:rFonts w:hint="eastAsia" w:hAnsi="宋体"/>
                <w:color w:val="000000" w:themeColor="text1"/>
                <w:sz w:val="24"/>
                <w:szCs w:val="24"/>
              </w:rPr>
              <w:t>分项名称</w:t>
            </w:r>
          </w:p>
        </w:tc>
        <w:tc>
          <w:tcPr>
            <w:tcW w:w="2552" w:type="dxa"/>
            <w:vAlign w:val="center"/>
          </w:tcPr>
          <w:p w14:paraId="28DEC6BA">
            <w:pPr>
              <w:pStyle w:val="317"/>
              <w:spacing w:line="360" w:lineRule="auto"/>
              <w:jc w:val="center"/>
              <w:rPr>
                <w:rFonts w:hAnsi="宋体"/>
                <w:color w:val="000000" w:themeColor="text1"/>
                <w:sz w:val="24"/>
                <w:szCs w:val="24"/>
              </w:rPr>
            </w:pPr>
            <w:r>
              <w:rPr>
                <w:rFonts w:hAnsi="宋体"/>
                <w:color w:val="000000" w:themeColor="text1"/>
                <w:sz w:val="24"/>
                <w:szCs w:val="24"/>
              </w:rPr>
              <w:t>分项价格</w:t>
            </w:r>
          </w:p>
        </w:tc>
      </w:tr>
      <w:tr w14:paraId="5431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1537B6F">
            <w:pPr>
              <w:pStyle w:val="317"/>
              <w:spacing w:line="360" w:lineRule="auto"/>
              <w:ind w:firstLine="200"/>
              <w:jc w:val="center"/>
              <w:rPr>
                <w:rFonts w:hAnsi="宋体"/>
                <w:color w:val="000000" w:themeColor="text1"/>
                <w:sz w:val="24"/>
                <w:szCs w:val="24"/>
              </w:rPr>
            </w:pPr>
          </w:p>
        </w:tc>
        <w:tc>
          <w:tcPr>
            <w:tcW w:w="3402" w:type="dxa"/>
            <w:vAlign w:val="center"/>
          </w:tcPr>
          <w:p w14:paraId="230D0823">
            <w:pPr>
              <w:pStyle w:val="317"/>
              <w:spacing w:line="360" w:lineRule="auto"/>
              <w:ind w:firstLine="200"/>
              <w:jc w:val="center"/>
              <w:rPr>
                <w:rFonts w:hAnsi="宋体"/>
                <w:color w:val="000000" w:themeColor="text1"/>
                <w:sz w:val="24"/>
                <w:szCs w:val="24"/>
              </w:rPr>
            </w:pPr>
          </w:p>
        </w:tc>
        <w:tc>
          <w:tcPr>
            <w:tcW w:w="2552" w:type="dxa"/>
            <w:vAlign w:val="center"/>
          </w:tcPr>
          <w:p w14:paraId="3DC616F1">
            <w:pPr>
              <w:pStyle w:val="317"/>
              <w:spacing w:line="360" w:lineRule="auto"/>
              <w:ind w:firstLine="200"/>
              <w:jc w:val="center"/>
              <w:rPr>
                <w:rFonts w:hAnsi="宋体"/>
                <w:color w:val="000000" w:themeColor="text1"/>
                <w:sz w:val="24"/>
                <w:szCs w:val="24"/>
              </w:rPr>
            </w:pPr>
          </w:p>
        </w:tc>
      </w:tr>
      <w:tr w14:paraId="2D79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BABEB39">
            <w:pPr>
              <w:pStyle w:val="317"/>
              <w:spacing w:line="360" w:lineRule="auto"/>
              <w:ind w:firstLine="200"/>
              <w:jc w:val="center"/>
              <w:rPr>
                <w:rFonts w:hAnsi="宋体"/>
                <w:color w:val="000000" w:themeColor="text1"/>
                <w:sz w:val="24"/>
                <w:szCs w:val="24"/>
              </w:rPr>
            </w:pPr>
          </w:p>
        </w:tc>
        <w:tc>
          <w:tcPr>
            <w:tcW w:w="3402" w:type="dxa"/>
            <w:vAlign w:val="center"/>
          </w:tcPr>
          <w:p w14:paraId="231C9064">
            <w:pPr>
              <w:pStyle w:val="317"/>
              <w:spacing w:line="360" w:lineRule="auto"/>
              <w:ind w:firstLine="200"/>
              <w:jc w:val="center"/>
              <w:rPr>
                <w:rFonts w:hAnsi="宋体"/>
                <w:color w:val="000000" w:themeColor="text1"/>
                <w:sz w:val="24"/>
                <w:szCs w:val="24"/>
              </w:rPr>
            </w:pPr>
          </w:p>
        </w:tc>
        <w:tc>
          <w:tcPr>
            <w:tcW w:w="2552" w:type="dxa"/>
            <w:vAlign w:val="center"/>
          </w:tcPr>
          <w:p w14:paraId="406978E2">
            <w:pPr>
              <w:pStyle w:val="317"/>
              <w:spacing w:line="360" w:lineRule="auto"/>
              <w:ind w:firstLine="200"/>
              <w:jc w:val="center"/>
              <w:rPr>
                <w:rFonts w:hAnsi="宋体"/>
                <w:color w:val="000000" w:themeColor="text1"/>
                <w:sz w:val="24"/>
                <w:szCs w:val="24"/>
              </w:rPr>
            </w:pPr>
          </w:p>
        </w:tc>
      </w:tr>
      <w:tr w14:paraId="487A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501BE1B">
            <w:pPr>
              <w:pStyle w:val="317"/>
              <w:spacing w:line="360" w:lineRule="auto"/>
              <w:ind w:firstLine="200"/>
              <w:jc w:val="center"/>
              <w:rPr>
                <w:rFonts w:hAnsi="宋体"/>
                <w:color w:val="000000" w:themeColor="text1"/>
                <w:sz w:val="24"/>
                <w:szCs w:val="24"/>
              </w:rPr>
            </w:pPr>
          </w:p>
        </w:tc>
        <w:tc>
          <w:tcPr>
            <w:tcW w:w="3402" w:type="dxa"/>
            <w:vAlign w:val="center"/>
          </w:tcPr>
          <w:p w14:paraId="75E1503F">
            <w:pPr>
              <w:pStyle w:val="317"/>
              <w:spacing w:line="360" w:lineRule="auto"/>
              <w:ind w:firstLine="200"/>
              <w:jc w:val="center"/>
              <w:rPr>
                <w:rFonts w:hAnsi="宋体"/>
                <w:color w:val="000000" w:themeColor="text1"/>
                <w:sz w:val="24"/>
                <w:szCs w:val="24"/>
              </w:rPr>
            </w:pPr>
          </w:p>
        </w:tc>
        <w:tc>
          <w:tcPr>
            <w:tcW w:w="2552" w:type="dxa"/>
            <w:vAlign w:val="center"/>
          </w:tcPr>
          <w:p w14:paraId="2A79FAD6">
            <w:pPr>
              <w:pStyle w:val="317"/>
              <w:spacing w:line="360" w:lineRule="auto"/>
              <w:ind w:firstLine="200"/>
              <w:jc w:val="center"/>
              <w:rPr>
                <w:rFonts w:hAnsi="宋体"/>
                <w:color w:val="000000" w:themeColor="text1"/>
                <w:sz w:val="24"/>
                <w:szCs w:val="24"/>
              </w:rPr>
            </w:pPr>
          </w:p>
        </w:tc>
      </w:tr>
      <w:tr w14:paraId="333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D3DD33">
            <w:pPr>
              <w:pStyle w:val="317"/>
              <w:spacing w:line="360" w:lineRule="auto"/>
              <w:ind w:firstLine="200"/>
              <w:jc w:val="center"/>
              <w:rPr>
                <w:rFonts w:hAnsi="宋体"/>
                <w:color w:val="000000" w:themeColor="text1"/>
                <w:sz w:val="24"/>
                <w:szCs w:val="24"/>
              </w:rPr>
            </w:pPr>
          </w:p>
        </w:tc>
        <w:tc>
          <w:tcPr>
            <w:tcW w:w="3402" w:type="dxa"/>
            <w:vAlign w:val="center"/>
          </w:tcPr>
          <w:p w14:paraId="2CC7EEF7">
            <w:pPr>
              <w:pStyle w:val="317"/>
              <w:spacing w:line="360" w:lineRule="auto"/>
              <w:ind w:firstLine="200"/>
              <w:jc w:val="center"/>
              <w:rPr>
                <w:rFonts w:hAnsi="宋体"/>
                <w:color w:val="000000" w:themeColor="text1"/>
                <w:sz w:val="24"/>
                <w:szCs w:val="24"/>
              </w:rPr>
            </w:pPr>
          </w:p>
        </w:tc>
        <w:tc>
          <w:tcPr>
            <w:tcW w:w="2552" w:type="dxa"/>
            <w:vAlign w:val="center"/>
          </w:tcPr>
          <w:p w14:paraId="63CACE7A">
            <w:pPr>
              <w:pStyle w:val="317"/>
              <w:spacing w:line="360" w:lineRule="auto"/>
              <w:ind w:firstLine="200"/>
              <w:jc w:val="center"/>
              <w:rPr>
                <w:rFonts w:hAnsi="宋体"/>
                <w:color w:val="000000" w:themeColor="text1"/>
                <w:sz w:val="24"/>
                <w:szCs w:val="24"/>
              </w:rPr>
            </w:pPr>
          </w:p>
        </w:tc>
      </w:tr>
      <w:tr w14:paraId="2A27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C995A77">
            <w:pPr>
              <w:pStyle w:val="317"/>
              <w:spacing w:line="360" w:lineRule="auto"/>
              <w:ind w:firstLine="200"/>
              <w:jc w:val="center"/>
              <w:rPr>
                <w:rFonts w:hAnsi="宋体"/>
                <w:color w:val="000000" w:themeColor="text1"/>
                <w:sz w:val="24"/>
                <w:szCs w:val="24"/>
              </w:rPr>
            </w:pPr>
            <w:r>
              <w:rPr>
                <w:rFonts w:hint="eastAsia" w:hAnsi="宋体"/>
                <w:color w:val="000000" w:themeColor="text1"/>
                <w:sz w:val="24"/>
                <w:szCs w:val="24"/>
              </w:rPr>
              <w:t>总价</w:t>
            </w:r>
          </w:p>
        </w:tc>
        <w:tc>
          <w:tcPr>
            <w:tcW w:w="2552" w:type="dxa"/>
            <w:vAlign w:val="center"/>
          </w:tcPr>
          <w:p w14:paraId="578FE64E">
            <w:pPr>
              <w:pStyle w:val="317"/>
              <w:spacing w:line="360" w:lineRule="auto"/>
              <w:ind w:firstLine="200"/>
              <w:jc w:val="center"/>
              <w:rPr>
                <w:rFonts w:hAnsi="宋体"/>
                <w:color w:val="000000" w:themeColor="text1"/>
                <w:sz w:val="24"/>
                <w:szCs w:val="24"/>
              </w:rPr>
            </w:pPr>
          </w:p>
        </w:tc>
      </w:tr>
    </w:tbl>
    <w:p w14:paraId="69DCD289">
      <w:pPr>
        <w:spacing w:line="360" w:lineRule="auto"/>
        <w:ind w:firstLine="480" w:firstLineChars="200"/>
        <w:rPr>
          <w:rFonts w:ascii="宋体" w:hAnsi="宋体"/>
          <w:color w:val="000000" w:themeColor="text1"/>
          <w:sz w:val="24"/>
        </w:rPr>
      </w:pPr>
      <w:bookmarkStart w:id="405" w:name="_Toc26916"/>
      <w:bookmarkStart w:id="406" w:name="_Toc30506"/>
      <w:bookmarkStart w:id="407" w:name="_Toc3654"/>
      <w:bookmarkStart w:id="408" w:name="_Toc14993"/>
      <w:bookmarkStart w:id="409" w:name="_Toc30158"/>
      <w:r>
        <w:rPr>
          <w:rFonts w:hint="eastAsia" w:ascii="宋体" w:hAnsi="宋体"/>
          <w:bCs/>
          <w:color w:val="000000" w:themeColor="text1"/>
          <w:sz w:val="24"/>
        </w:rPr>
        <w:t>1.3.2单价合同，本合同单价（含税）标准为：</w:t>
      </w:r>
      <w:r>
        <w:rPr>
          <w:rFonts w:ascii="宋体" w:hAnsi="宋体"/>
          <w:color w:val="000000" w:themeColor="text1"/>
          <w:sz w:val="24"/>
        </w:rPr>
        <w:t>。</w:t>
      </w:r>
      <w:r>
        <w:rPr>
          <w:rFonts w:hint="eastAsia" w:ascii="宋体" w:hAnsi="宋体"/>
          <w:color w:val="000000" w:themeColor="text1"/>
          <w:sz w:val="24"/>
        </w:rPr>
        <w:t>服务工作量的计量方式为：</w:t>
      </w:r>
      <w:r>
        <w:rPr>
          <w:rFonts w:ascii="宋体" w:hAnsi="宋体"/>
          <w:color w:val="000000" w:themeColor="text1"/>
          <w:sz w:val="24"/>
        </w:rPr>
        <w:t>。</w:t>
      </w:r>
      <w:r>
        <w:rPr>
          <w:rFonts w:hint="eastAsia" w:ascii="宋体" w:hAnsi="宋体"/>
          <w:color w:val="000000" w:themeColor="text1"/>
          <w:sz w:val="24"/>
        </w:rPr>
        <w:t>单价合同，在合同履行期间内，根据实际完成的工作量据实结算，但结算总价上限不得超过预算金额或者双方确定的金额￥</w:t>
      </w:r>
      <w:r>
        <w:rPr>
          <w:rFonts w:ascii="宋体" w:hAnsi="宋体"/>
          <w:color w:val="000000" w:themeColor="text1"/>
          <w:sz w:val="24"/>
        </w:rPr>
        <w:t>元</w:t>
      </w:r>
      <w:r>
        <w:rPr>
          <w:rFonts w:hint="eastAsia" w:ascii="宋体" w:hAnsi="宋体"/>
          <w:color w:val="000000" w:themeColor="text1"/>
          <w:sz w:val="24"/>
        </w:rPr>
        <w:t>（大写：元人民币）。</w:t>
      </w:r>
    </w:p>
    <w:p w14:paraId="24E953C5">
      <w:pPr>
        <w:pStyle w:val="82"/>
        <w:rPr>
          <w:color w:val="000000" w:themeColor="text1"/>
        </w:rPr>
      </w:pPr>
      <w:r>
        <w:rPr>
          <w:rFonts w:hint="eastAsia"/>
          <w:color w:val="000000" w:themeColor="text1"/>
        </w:rPr>
        <w:t>1.3.3其他计价方式：                   。</w:t>
      </w:r>
    </w:p>
    <w:bookmarkEnd w:id="405"/>
    <w:bookmarkEnd w:id="406"/>
    <w:bookmarkEnd w:id="407"/>
    <w:bookmarkEnd w:id="408"/>
    <w:bookmarkEnd w:id="409"/>
    <w:p w14:paraId="5669A8A0">
      <w:pPr>
        <w:pStyle w:val="957"/>
        <w:spacing w:before="0" w:beforeAutospacing="0" w:after="0" w:afterAutospacing="0" w:line="360" w:lineRule="auto"/>
        <w:ind w:firstLine="480"/>
        <w:rPr>
          <w:b/>
          <w:color w:val="000000" w:themeColor="text1"/>
        </w:rPr>
      </w:pPr>
      <w:bookmarkStart w:id="410" w:name="_Toc22618"/>
      <w:bookmarkStart w:id="411" w:name="_Toc10340"/>
      <w:bookmarkStart w:id="412" w:name="_Toc1814"/>
      <w:bookmarkStart w:id="413" w:name="_Toc8772"/>
      <w:bookmarkStart w:id="414" w:name="_Toc11108"/>
      <w:bookmarkStart w:id="415" w:name="_Toc31421"/>
      <w:bookmarkStart w:id="416" w:name="_Toc3625"/>
      <w:bookmarkStart w:id="417" w:name="_Toc4760"/>
      <w:r>
        <w:rPr>
          <w:rFonts w:hint="eastAsia"/>
          <w:b/>
          <w:color w:val="000000" w:themeColor="text1"/>
        </w:rPr>
        <w:t>1.4履约保证金</w:t>
      </w:r>
    </w:p>
    <w:p w14:paraId="3B64FF01">
      <w:pPr>
        <w:pStyle w:val="957"/>
        <w:spacing w:before="0" w:beforeAutospacing="0" w:after="0" w:afterAutospacing="0" w:line="360" w:lineRule="auto"/>
        <w:ind w:firstLine="480"/>
        <w:rPr>
          <w:color w:val="000000" w:themeColor="text1"/>
          <w:highlight w:val="none"/>
        </w:rPr>
      </w:pPr>
      <w:r>
        <w:rPr>
          <w:rFonts w:hint="eastAsia"/>
          <w:color w:val="000000" w:themeColor="text1"/>
          <w:highlight w:val="none"/>
        </w:rPr>
        <w:t>乙方</w:t>
      </w:r>
      <w:r>
        <w:rPr>
          <w:rFonts w:hint="eastAsia"/>
          <w:color w:val="000000" w:themeColor="text1"/>
          <w:highlight w:val="none"/>
          <w:u w:val="single"/>
        </w:rPr>
        <w:t xml:space="preserve">  </w:t>
      </w:r>
      <w:r>
        <w:rPr>
          <w:rFonts w:hint="eastAsia"/>
          <w:color w:val="000000" w:themeColor="text1"/>
          <w:highlight w:val="none"/>
          <w:u w:val="single"/>
          <w:lang w:eastAsia="zh-CN"/>
        </w:rPr>
        <w:t>是</w:t>
      </w:r>
      <w:r>
        <w:rPr>
          <w:rFonts w:hint="eastAsia"/>
          <w:color w:val="000000" w:themeColor="text1"/>
          <w:highlight w:val="none"/>
          <w:u w:val="single"/>
        </w:rPr>
        <w:t xml:space="preserve">  </w:t>
      </w:r>
      <w:r>
        <w:rPr>
          <w:rFonts w:hint="eastAsia"/>
          <w:color w:val="000000" w:themeColor="text1"/>
          <w:highlight w:val="none"/>
        </w:rPr>
        <w:t>（是</w:t>
      </w:r>
      <w:r>
        <w:rPr>
          <w:rFonts w:hint="eastAsia" w:ascii="仿宋" w:hAnsi="仿宋" w:eastAsia="仿宋" w:cs="仿宋"/>
          <w:color w:val="000000" w:themeColor="text1"/>
          <w:highlight w:val="none"/>
        </w:rPr>
        <w:t>/</w:t>
      </w:r>
      <w:r>
        <w:rPr>
          <w:rFonts w:hint="eastAsia"/>
          <w:color w:val="000000" w:themeColor="text1"/>
          <w:highlight w:val="none"/>
        </w:rPr>
        <w:t>否）需要支付履约保证金。若需要支付履约保证金的，则：</w:t>
      </w:r>
    </w:p>
    <w:p w14:paraId="47521874">
      <w:pPr>
        <w:spacing w:line="360" w:lineRule="auto"/>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1.4.1履约保证金的金额</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u w:val="single"/>
          <w:lang w:eastAsia="zh-CN"/>
        </w:rPr>
        <w:t>叁佰万元整（</w:t>
      </w:r>
      <w:r>
        <w:rPr>
          <w:rFonts w:hint="eastAsia" w:ascii="宋体" w:hAnsi="宋体" w:cs="宋体"/>
          <w:color w:val="000000" w:themeColor="text1"/>
          <w:kern w:val="0"/>
          <w:sz w:val="24"/>
          <w:highlight w:val="none"/>
          <w:u w:val="single"/>
          <w:lang w:val="en-US" w:eastAsia="zh-CN"/>
        </w:rPr>
        <w:t>¥3000000.00</w:t>
      </w:r>
      <w:r>
        <w:rPr>
          <w:rFonts w:hint="eastAsia" w:ascii="宋体" w:hAnsi="宋体" w:cs="宋体"/>
          <w:color w:val="000000" w:themeColor="text1"/>
          <w:kern w:val="0"/>
          <w:sz w:val="24"/>
          <w:highlight w:val="none"/>
          <w:u w:val="single"/>
          <w:lang w:eastAsia="zh-CN"/>
        </w:rPr>
        <w:t>）</w:t>
      </w:r>
      <w:r>
        <w:rPr>
          <w:rFonts w:hint="eastAsia" w:ascii="宋体" w:hAnsi="宋体" w:cs="宋体"/>
          <w:color w:val="000000" w:themeColor="text1"/>
          <w:kern w:val="0"/>
          <w:sz w:val="24"/>
          <w:highlight w:val="none"/>
        </w:rPr>
        <w:t>；</w:t>
      </w:r>
    </w:p>
    <w:p w14:paraId="7AE8ECDB">
      <w:pPr>
        <w:spacing w:line="360" w:lineRule="auto"/>
        <w:ind w:firstLine="480" w:firstLineChars="200"/>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lang w:val="en-US" w:eastAsia="zh-CN"/>
        </w:rPr>
        <w:t>1</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highlight w:val="none"/>
          <w:lang w:val="en-US" w:eastAsia="zh-CN"/>
        </w:rPr>
        <w:t>4.2</w:t>
      </w:r>
      <w:r>
        <w:rPr>
          <w:rFonts w:hint="eastAsia" w:ascii="宋体" w:hAnsi="宋体" w:cs="宋体"/>
          <w:spacing w:val="12"/>
          <w:sz w:val="24"/>
          <w:szCs w:val="24"/>
          <w:highlight w:val="none"/>
          <w:lang w:eastAsia="zh-CN"/>
        </w:rPr>
        <w:t>履约保证金的形式:</w:t>
      </w:r>
      <w:r>
        <w:rPr>
          <w:rFonts w:hint="eastAsia" w:ascii="宋体" w:hAnsi="宋体" w:cs="宋体"/>
          <w:spacing w:val="12"/>
          <w:sz w:val="24"/>
          <w:szCs w:val="24"/>
          <w:highlight w:val="none"/>
          <w:u w:val="single"/>
          <w:lang w:eastAsia="zh-CN"/>
        </w:rPr>
        <w:t>使用转账或银行保函形式，银行保函有效期覆盖整个合同期。</w:t>
      </w:r>
    </w:p>
    <w:p w14:paraId="32952833">
      <w:pPr>
        <w:spacing w:line="360" w:lineRule="auto"/>
        <w:ind w:firstLine="480" w:firstLineChars="200"/>
        <w:rPr>
          <w:rFonts w:hint="eastAsia" w:ascii="宋体" w:hAnsi="宋体" w:eastAsia="宋体" w:cs="宋体"/>
          <w:color w:val="000000" w:themeColor="text1"/>
          <w:kern w:val="0"/>
          <w:sz w:val="24"/>
          <w:highlight w:val="none"/>
          <w:lang w:eastAsia="zh-CN"/>
        </w:rPr>
      </w:pPr>
      <w:r>
        <w:rPr>
          <w:rFonts w:hint="eastAsia" w:ascii="宋体" w:hAnsi="宋体" w:cs="宋体"/>
          <w:color w:val="000000" w:themeColor="text1"/>
          <w:kern w:val="0"/>
          <w:sz w:val="24"/>
          <w:highlight w:val="none"/>
        </w:rPr>
        <w:t>1.4.</w:t>
      </w:r>
      <w:r>
        <w:rPr>
          <w:rFonts w:hint="eastAsia" w:ascii="宋体" w:hAnsi="宋体" w:cs="宋体"/>
          <w:color w:val="000000" w:themeColor="text1"/>
          <w:kern w:val="0"/>
          <w:sz w:val="24"/>
          <w:highlight w:val="none"/>
          <w:lang w:val="en-US" w:eastAsia="zh-CN"/>
        </w:rPr>
        <w:t>3</w:t>
      </w:r>
      <w:r>
        <w:rPr>
          <w:rFonts w:hint="eastAsia" w:ascii="宋体" w:hAnsi="宋体" w:cs="宋体"/>
          <w:color w:val="000000" w:themeColor="text1"/>
          <w:kern w:val="0"/>
          <w:sz w:val="24"/>
          <w:highlight w:val="none"/>
        </w:rPr>
        <w:t>履约保证金支付方式</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u w:val="single"/>
        </w:rPr>
        <w:t xml:space="preserve"> 在收到中标通知书后，中标人须在</w:t>
      </w:r>
      <w:r>
        <w:rPr>
          <w:rFonts w:hint="eastAsia" w:ascii="宋体" w:hAnsi="宋体" w:cs="宋体"/>
          <w:color w:val="000000" w:themeColor="text1"/>
          <w:kern w:val="0"/>
          <w:sz w:val="24"/>
          <w:highlight w:val="none"/>
          <w:u w:val="single"/>
          <w:lang w:val="en-US" w:eastAsia="zh-CN"/>
        </w:rPr>
        <w:t>1</w:t>
      </w:r>
      <w:r>
        <w:rPr>
          <w:rFonts w:hint="eastAsia" w:ascii="宋体" w:hAnsi="宋体" w:cs="宋体"/>
          <w:color w:val="000000" w:themeColor="text1"/>
          <w:kern w:val="0"/>
          <w:sz w:val="24"/>
          <w:highlight w:val="none"/>
          <w:u w:val="single"/>
        </w:rPr>
        <w:t>0个工作日内向招标人提交履约保证金，否则招标人将取消其中标资格。履约保证金的有效期必须涵盖整个合同履约期限。合同期结束后，双方确认无质量问题，由招标人在三十日内无息原路退回</w:t>
      </w:r>
      <w:r>
        <w:rPr>
          <w:rFonts w:hint="eastAsia" w:ascii="宋体" w:hAnsi="宋体" w:cs="宋体"/>
          <w:color w:val="000000" w:themeColor="text1"/>
          <w:kern w:val="0"/>
          <w:sz w:val="24"/>
          <w:highlight w:val="none"/>
          <w:u w:val="single"/>
          <w:lang w:eastAsia="zh-CN"/>
        </w:rPr>
        <w:t>；</w:t>
      </w:r>
    </w:p>
    <w:p w14:paraId="0D323DB4">
      <w:pPr>
        <w:pStyle w:val="82"/>
        <w:rPr>
          <w:color w:val="000000" w:themeColor="text1"/>
          <w:highlight w:val="none"/>
        </w:rPr>
      </w:pPr>
      <w:r>
        <w:rPr>
          <w:rFonts w:hint="eastAsia"/>
          <w:color w:val="000000" w:themeColor="text1"/>
          <w:highlight w:val="none"/>
        </w:rPr>
        <w:t>1.4.</w:t>
      </w:r>
      <w:r>
        <w:rPr>
          <w:rFonts w:hint="eastAsia"/>
          <w:color w:val="000000" w:themeColor="text1"/>
          <w:highlight w:val="none"/>
          <w:lang w:val="en-US" w:eastAsia="zh-CN"/>
        </w:rPr>
        <w:t>4</w:t>
      </w:r>
      <w:r>
        <w:rPr>
          <w:rFonts w:hint="eastAsia"/>
          <w:color w:val="000000" w:themeColor="text1"/>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8A58FD">
      <w:pPr>
        <w:spacing w:line="360" w:lineRule="auto"/>
        <w:ind w:firstLine="480" w:firstLineChars="200"/>
        <w:rPr>
          <w:color w:val="000000" w:themeColor="text1"/>
          <w:highlight w:val="none"/>
        </w:rPr>
      </w:pPr>
      <w:r>
        <w:rPr>
          <w:rFonts w:hint="eastAsia" w:ascii="宋体" w:hAnsi="宋体" w:cs="宋体"/>
          <w:color w:val="000000" w:themeColor="text1"/>
          <w:kern w:val="0"/>
          <w:sz w:val="24"/>
          <w:highlight w:val="none"/>
        </w:rPr>
        <w:t>1.4.</w:t>
      </w:r>
      <w:r>
        <w:rPr>
          <w:rFonts w:hint="eastAsia" w:ascii="宋体" w:hAnsi="宋体" w:cs="宋体"/>
          <w:color w:val="000000" w:themeColor="text1"/>
          <w:kern w:val="0"/>
          <w:sz w:val="24"/>
          <w:highlight w:val="none"/>
          <w:lang w:val="en-US" w:eastAsia="zh-CN"/>
        </w:rPr>
        <w:t>5</w:t>
      </w:r>
      <w:r>
        <w:rPr>
          <w:rFonts w:hint="eastAsia" w:ascii="宋体" w:hAnsi="宋体" w:cs="宋体"/>
          <w:color w:val="000000" w:themeColor="text1"/>
          <w:kern w:val="0"/>
          <w:sz w:val="24"/>
          <w:highlight w:val="none"/>
        </w:rPr>
        <w:t>甲方在项目验收结束后及时退还履约保证金。甲方在项目通过验收之日起</w:t>
      </w:r>
      <w:r>
        <w:rPr>
          <w:rFonts w:hint="eastAsia" w:ascii="宋体" w:hAnsi="宋体" w:cs="宋体"/>
          <w:color w:val="000000" w:themeColor="text1"/>
          <w:kern w:val="0"/>
          <w:sz w:val="24"/>
          <w:highlight w:val="none"/>
          <w:lang w:val="en-US" w:eastAsia="zh-CN"/>
        </w:rPr>
        <w:t>30</w:t>
      </w:r>
      <w:r>
        <w:rPr>
          <w:rFonts w:hint="eastAsia" w:ascii="宋体" w:hAnsi="宋体" w:cs="宋体"/>
          <w:color w:val="000000" w:themeColor="text1"/>
          <w:kern w:val="0"/>
          <w:sz w:val="24"/>
          <w:highlight w:val="none"/>
          <w:u w:val="single"/>
        </w:rPr>
        <w:t xml:space="preserve">       </w:t>
      </w:r>
      <w:r>
        <w:rPr>
          <w:rFonts w:hint="eastAsia" w:ascii="宋体" w:hAnsi="宋体" w:cs="宋体"/>
          <w:color w:val="000000" w:themeColor="text1"/>
          <w:kern w:val="0"/>
          <w:sz w:val="24"/>
          <w:highlight w:val="none"/>
        </w:rPr>
        <w:t>个</w:t>
      </w:r>
      <w:r>
        <w:rPr>
          <w:rFonts w:hint="eastAsia" w:ascii="宋体" w:hAnsi="宋体" w:cs="宋体"/>
          <w:color w:val="000000" w:themeColor="text1"/>
          <w:kern w:val="0"/>
          <w:sz w:val="24"/>
          <w:highlight w:val="none"/>
          <w:lang w:eastAsia="zh-CN"/>
        </w:rPr>
        <w:t>日历天</w:t>
      </w:r>
      <w:r>
        <w:rPr>
          <w:rFonts w:hint="eastAsia" w:ascii="宋体" w:hAnsi="宋体" w:cs="宋体"/>
          <w:color w:val="000000" w:themeColor="text1"/>
          <w:kern w:val="0"/>
          <w:sz w:val="24"/>
          <w:highlight w:val="none"/>
        </w:rPr>
        <w:t>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rPr>
        <w:t xml:space="preserve">  0.05（可根据情况修改）  </w:t>
      </w:r>
      <w:r>
        <w:rPr>
          <w:rFonts w:hint="eastAsia" w:ascii="宋体" w:hAnsi="宋体" w:cs="宋体"/>
          <w:color w:val="000000" w:themeColor="text1"/>
          <w:kern w:val="0"/>
          <w:sz w:val="24"/>
          <w:highlight w:val="none"/>
        </w:rPr>
        <w:t>%计算，最高限额为本合同履约保证金的</w:t>
      </w:r>
      <w:r>
        <w:rPr>
          <w:rFonts w:hint="eastAsia" w:ascii="宋体" w:hAnsi="宋体" w:cs="宋体"/>
          <w:color w:val="000000" w:themeColor="text1"/>
          <w:kern w:val="0"/>
          <w:sz w:val="24"/>
          <w:highlight w:val="none"/>
          <w:u w:val="single"/>
        </w:rPr>
        <w:t xml:space="preserve">  20 </w:t>
      </w:r>
      <w:r>
        <w:rPr>
          <w:rFonts w:hint="eastAsia" w:ascii="宋体" w:hAnsi="宋体" w:cs="宋体"/>
          <w:color w:val="000000" w:themeColor="text1"/>
          <w:kern w:val="0"/>
          <w:sz w:val="24"/>
          <w:highlight w:val="none"/>
        </w:rPr>
        <w:t xml:space="preserve"> %。</w:t>
      </w:r>
    </w:p>
    <w:p w14:paraId="58628AF4">
      <w:pPr>
        <w:spacing w:line="360" w:lineRule="auto"/>
        <w:ind w:firstLine="482" w:firstLineChars="200"/>
        <w:rPr>
          <w:rFonts w:ascii="宋体" w:hAnsi="宋体" w:cs="宋体"/>
          <w:b/>
          <w:color w:val="000000" w:themeColor="text1"/>
          <w:sz w:val="24"/>
          <w:highlight w:val="none"/>
        </w:rPr>
      </w:pPr>
      <w:r>
        <w:rPr>
          <w:rFonts w:hint="eastAsia" w:ascii="宋体" w:hAnsi="宋体" w:cs="宋体"/>
          <w:b/>
          <w:color w:val="000000" w:themeColor="text1"/>
          <w:sz w:val="24"/>
          <w:highlight w:val="none"/>
        </w:rPr>
        <w:t>1.5</w:t>
      </w:r>
      <w:bookmarkEnd w:id="410"/>
      <w:bookmarkEnd w:id="411"/>
      <w:bookmarkEnd w:id="412"/>
      <w:r>
        <w:rPr>
          <w:rFonts w:hint="eastAsia" w:ascii="宋体" w:hAnsi="宋体" w:cs="宋体"/>
          <w:b/>
          <w:color w:val="000000" w:themeColor="text1"/>
          <w:sz w:val="24"/>
          <w:highlight w:val="none"/>
        </w:rPr>
        <w:t>预付款</w:t>
      </w:r>
    </w:p>
    <w:p w14:paraId="2AFDB416">
      <w:pPr>
        <w:pStyle w:val="957"/>
        <w:spacing w:before="0" w:beforeAutospacing="0" w:after="0" w:afterAutospacing="0" w:line="360" w:lineRule="auto"/>
        <w:ind w:firstLine="480"/>
        <w:rPr>
          <w:b/>
          <w:bCs/>
          <w:color w:val="auto"/>
          <w:highlight w:val="none"/>
        </w:rPr>
      </w:pPr>
      <w:r>
        <w:rPr>
          <w:rFonts w:hint="eastAsia"/>
          <w:b/>
          <w:bCs/>
          <w:color w:val="auto"/>
          <w:highlight w:val="none"/>
        </w:rPr>
        <w:t>本项目不需要支付预付款。</w:t>
      </w:r>
    </w:p>
    <w:p w14:paraId="0AEAE913">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B2F20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宋体" w:hAnsi="宋体" w:cs="宋体"/>
          <w:color w:val="auto"/>
          <w:spacing w:val="6"/>
          <w:sz w:val="24"/>
          <w:highlight w:val="none"/>
        </w:rPr>
        <w:t>本项目采用“先供货、次月对账、按期支付”的结算方式。由供应商及时向学校提交结算材料，学校在收到完整、准确的结算材料后，应于15个工作日内完成复核向供应商支付货款。供应商应以一般纳税人身份向学校开具增值税专用发票。</w:t>
      </w:r>
      <w:r>
        <w:rPr>
          <w:rFonts w:hint="eastAsia"/>
          <w:color w:val="auto"/>
          <w:sz w:val="24"/>
          <w:highlight w:val="none"/>
        </w:rPr>
        <w:t>甲方不得以机构变动、人员更替、政策调整、单位放假等为由延迟付款。</w:t>
      </w:r>
    </w:p>
    <w:p w14:paraId="0B8F24E0">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w:t>
      </w:r>
      <w:bookmarkEnd w:id="413"/>
      <w:bookmarkEnd w:id="414"/>
      <w:bookmarkEnd w:id="415"/>
      <w:bookmarkEnd w:id="416"/>
      <w:bookmarkEnd w:id="417"/>
    </w:p>
    <w:p w14:paraId="39250FF1">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 xml:space="preserve"> 服务期限为三年，自2025年秋季学期起至2028年秋季学期止。（具体日期以实施日期为准） </w:t>
      </w:r>
      <w:r>
        <w:rPr>
          <w:rFonts w:hint="eastAsia" w:ascii="宋体" w:hAnsi="宋体"/>
          <w:color w:val="auto"/>
          <w:sz w:val="24"/>
          <w:highlight w:val="none"/>
        </w:rPr>
        <w:t>；</w:t>
      </w:r>
    </w:p>
    <w:p w14:paraId="377C1996">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 xml:space="preserve">  合浦县内 </w:t>
      </w:r>
      <w:r>
        <w:rPr>
          <w:rFonts w:hint="eastAsia" w:ascii="宋体" w:hAnsi="宋体"/>
          <w:color w:val="auto"/>
          <w:sz w:val="24"/>
          <w:highlight w:val="none"/>
        </w:rPr>
        <w:t>。</w:t>
      </w:r>
    </w:p>
    <w:p w14:paraId="239A5DCA">
      <w:pPr>
        <w:spacing w:line="360" w:lineRule="auto"/>
        <w:ind w:firstLine="480" w:firstLineChars="200"/>
        <w:rPr>
          <w:rFonts w:ascii="宋体" w:hAnsi="宋体"/>
          <w:bCs/>
          <w:color w:val="auto"/>
          <w:sz w:val="24"/>
          <w:highlight w:val="none"/>
        </w:rPr>
      </w:pPr>
      <w:bookmarkStart w:id="418" w:name="_Toc8586"/>
      <w:bookmarkStart w:id="419" w:name="_Toc3079"/>
      <w:bookmarkStart w:id="420" w:name="_Toc5698"/>
      <w:bookmarkStart w:id="421" w:name="_Toc2375"/>
      <w:bookmarkStart w:id="422" w:name="_Toc24662"/>
      <w:r>
        <w:rPr>
          <w:rFonts w:hint="eastAsia" w:ascii="宋体" w:hAnsi="宋体"/>
          <w:bCs/>
          <w:color w:val="auto"/>
          <w:sz w:val="24"/>
          <w:highlight w:val="none"/>
        </w:rPr>
        <w:t>1.7.4若服务</w:t>
      </w:r>
      <w:r>
        <w:rPr>
          <w:rFonts w:hint="eastAsia"/>
          <w:bCs/>
          <w:color w:val="auto"/>
          <w:sz w:val="24"/>
          <w:highlight w:val="none"/>
        </w:rPr>
        <w:t>涉及货物的，则货物的：</w:t>
      </w:r>
    </w:p>
    <w:p w14:paraId="604F4269">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w:t>
      </w:r>
      <w:r>
        <w:rPr>
          <w:rFonts w:hint="eastAsia" w:ascii="宋体" w:hAnsi="宋体"/>
          <w:b/>
          <w:color w:val="auto"/>
          <w:sz w:val="24"/>
          <w:highlight w:val="none"/>
          <w:u w:val="single"/>
        </w:rPr>
        <w:t>服务期限为三年，自2025年秋季学期起至2028年秋季学期止。（具体日期以实施日期为准）</w:t>
      </w:r>
      <w:r>
        <w:rPr>
          <w:rFonts w:hint="eastAsia" w:ascii="宋体" w:hAnsi="宋体" w:cs="宋体"/>
          <w:color w:val="auto"/>
          <w:sz w:val="24"/>
          <w:highlight w:val="none"/>
        </w:rPr>
        <w:t>；</w:t>
      </w:r>
    </w:p>
    <w:p w14:paraId="3CF1CC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b/>
          <w:color w:val="auto"/>
          <w:sz w:val="24"/>
          <w:highlight w:val="none"/>
          <w:u w:val="single"/>
        </w:rPr>
        <w:t>合浦县内</w:t>
      </w:r>
      <w:r>
        <w:rPr>
          <w:rFonts w:hint="eastAsia" w:ascii="宋体" w:hAnsi="宋体" w:cs="宋体"/>
          <w:color w:val="auto"/>
          <w:sz w:val="24"/>
          <w:highlight w:val="none"/>
        </w:rPr>
        <w:t>。</w:t>
      </w:r>
    </w:p>
    <w:p w14:paraId="3578F518">
      <w:pPr>
        <w:spacing w:line="360" w:lineRule="auto"/>
        <w:ind w:firstLine="482" w:firstLineChars="200"/>
        <w:rPr>
          <w:rFonts w:ascii="宋体" w:hAnsi="宋体"/>
          <w:color w:val="000000" w:themeColor="text1"/>
          <w:sz w:val="24"/>
          <w:u w:val="single"/>
        </w:rPr>
      </w:pPr>
      <w:r>
        <w:rPr>
          <w:rFonts w:ascii="宋体" w:hAnsi="宋体"/>
          <w:b/>
          <w:color w:val="000000" w:themeColor="text1"/>
          <w:sz w:val="24"/>
        </w:rPr>
        <w:t>1.</w:t>
      </w:r>
      <w:r>
        <w:rPr>
          <w:rFonts w:hint="eastAsia" w:ascii="宋体" w:hAnsi="宋体"/>
          <w:b/>
          <w:color w:val="000000" w:themeColor="text1"/>
          <w:sz w:val="24"/>
        </w:rPr>
        <w:t>8违约责任</w:t>
      </w:r>
      <w:bookmarkEnd w:id="418"/>
      <w:bookmarkEnd w:id="419"/>
      <w:bookmarkEnd w:id="420"/>
      <w:bookmarkEnd w:id="421"/>
      <w:bookmarkEnd w:id="422"/>
    </w:p>
    <w:p w14:paraId="02A25091">
      <w:pPr>
        <w:spacing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8</w:t>
      </w:r>
      <w:r>
        <w:rPr>
          <w:rFonts w:ascii="宋体" w:hAnsi="宋体"/>
          <w:color w:val="000000" w:themeColor="text1"/>
          <w:sz w:val="24"/>
        </w:rPr>
        <w:t>.1 除不可抗力外，如果乙方没有按照本合同约定的期限</w:t>
      </w:r>
      <w:r>
        <w:rPr>
          <w:rFonts w:hint="eastAsia" w:ascii="宋体" w:hAnsi="宋体"/>
          <w:color w:val="000000" w:themeColor="text1"/>
          <w:sz w:val="24"/>
        </w:rPr>
        <w:t>、</w:t>
      </w:r>
      <w:r>
        <w:rPr>
          <w:rFonts w:ascii="宋体" w:hAnsi="宋体"/>
          <w:color w:val="000000" w:themeColor="text1"/>
          <w:sz w:val="24"/>
        </w:rPr>
        <w:t>地点和方式</w:t>
      </w:r>
      <w:r>
        <w:rPr>
          <w:rFonts w:hint="eastAsia" w:ascii="宋体" w:hAnsi="宋体"/>
          <w:color w:val="000000" w:themeColor="text1"/>
          <w:sz w:val="24"/>
        </w:rPr>
        <w:t>交付服务成果或者实施服务</w:t>
      </w:r>
      <w:r>
        <w:rPr>
          <w:rFonts w:ascii="宋体" w:hAnsi="宋体"/>
          <w:color w:val="000000" w:themeColor="text1"/>
          <w:sz w:val="24"/>
        </w:rPr>
        <w:t>，那么甲方可要求乙方支付违约金</w:t>
      </w:r>
      <w:r>
        <w:rPr>
          <w:rFonts w:hint="eastAsia" w:ascii="宋体" w:hAnsi="宋体"/>
          <w:color w:val="000000" w:themeColor="text1"/>
          <w:sz w:val="24"/>
        </w:rPr>
        <w:t>，迟延履行</w:t>
      </w:r>
      <w:r>
        <w:rPr>
          <w:rFonts w:ascii="宋体" w:hAnsi="宋体"/>
          <w:color w:val="000000" w:themeColor="text1"/>
          <w:sz w:val="24"/>
        </w:rPr>
        <w:t>违约金按每迟延</w:t>
      </w:r>
      <w:r>
        <w:rPr>
          <w:rFonts w:hint="eastAsia" w:ascii="宋体" w:hAnsi="宋体"/>
          <w:color w:val="000000" w:themeColor="text1"/>
          <w:sz w:val="24"/>
        </w:rPr>
        <w:t>履行</w:t>
      </w:r>
      <w:r>
        <w:rPr>
          <w:rFonts w:ascii="宋体" w:hAnsi="宋体"/>
          <w:color w:val="000000" w:themeColor="text1"/>
          <w:sz w:val="24"/>
        </w:rPr>
        <w:t>一日的应提供而未</w:t>
      </w:r>
      <w:r>
        <w:rPr>
          <w:rFonts w:hint="eastAsia" w:ascii="宋体" w:hAnsi="宋体"/>
          <w:color w:val="000000" w:themeColor="text1"/>
          <w:sz w:val="24"/>
        </w:rPr>
        <w:t>提供</w:t>
      </w:r>
      <w:r>
        <w:rPr>
          <w:rFonts w:ascii="宋体" w:hAnsi="宋体"/>
          <w:color w:val="000000" w:themeColor="text1"/>
          <w:sz w:val="24"/>
        </w:rPr>
        <w:t>服务价格的</w:t>
      </w:r>
      <w:r>
        <w:rPr>
          <w:rFonts w:hint="eastAsia" w:ascii="宋体" w:hAnsi="宋体"/>
          <w:color w:val="000000" w:themeColor="text1"/>
          <w:sz w:val="24"/>
          <w:u w:val="single"/>
        </w:rPr>
        <w:t>0.05</w:t>
      </w:r>
      <w:r>
        <w:rPr>
          <w:rFonts w:ascii="宋体" w:hAnsi="宋体"/>
          <w:color w:val="000000" w:themeColor="text1"/>
          <w:sz w:val="24"/>
        </w:rPr>
        <w:t>%计算</w:t>
      </w:r>
      <w:r>
        <w:rPr>
          <w:rFonts w:hint="eastAsia" w:ascii="宋体" w:hAnsi="宋体"/>
          <w:color w:val="000000" w:themeColor="text1"/>
          <w:sz w:val="24"/>
        </w:rPr>
        <w:t>，</w:t>
      </w:r>
      <w:r>
        <w:rPr>
          <w:rFonts w:ascii="宋体" w:hAnsi="宋体"/>
          <w:color w:val="000000" w:themeColor="text1"/>
          <w:sz w:val="24"/>
        </w:rPr>
        <w:t>最高限额为</w:t>
      </w:r>
      <w:r>
        <w:rPr>
          <w:rFonts w:hint="eastAsia" w:ascii="宋体" w:hAnsi="宋体"/>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hint="eastAsia" w:ascii="宋体" w:hAnsi="宋体"/>
          <w:color w:val="000000" w:themeColor="text1"/>
          <w:sz w:val="24"/>
        </w:rPr>
        <w:t>；</w:t>
      </w:r>
      <w:r>
        <w:rPr>
          <w:rFonts w:ascii="宋体" w:hAnsi="宋体"/>
          <w:color w:val="000000" w:themeColor="text1"/>
          <w:sz w:val="24"/>
        </w:rPr>
        <w:t>迟延</w:t>
      </w:r>
      <w:r>
        <w:rPr>
          <w:rFonts w:hint="eastAsia" w:ascii="宋体" w:hAnsi="宋体"/>
          <w:color w:val="000000" w:themeColor="text1"/>
          <w:sz w:val="24"/>
        </w:rPr>
        <w:t>履行</w:t>
      </w:r>
      <w:r>
        <w:rPr>
          <w:rFonts w:ascii="宋体" w:hAnsi="宋体"/>
          <w:color w:val="000000" w:themeColor="text1"/>
          <w:sz w:val="24"/>
        </w:rPr>
        <w:t>的违约金计算数额达到前述最高限额之日起</w:t>
      </w:r>
      <w:r>
        <w:rPr>
          <w:rFonts w:hint="eastAsia" w:ascii="宋体" w:hAnsi="宋体"/>
          <w:color w:val="000000" w:themeColor="text1"/>
          <w:sz w:val="24"/>
        </w:rPr>
        <w:t>，</w:t>
      </w:r>
      <w:r>
        <w:rPr>
          <w:rFonts w:ascii="宋体" w:hAnsi="宋体"/>
          <w:color w:val="000000" w:themeColor="text1"/>
          <w:sz w:val="24"/>
        </w:rPr>
        <w:t>甲方有权在要求乙方支付违约金的同时</w:t>
      </w:r>
      <w:r>
        <w:rPr>
          <w:rFonts w:hint="eastAsia" w:ascii="宋体" w:hAnsi="宋体"/>
          <w:color w:val="000000" w:themeColor="text1"/>
          <w:sz w:val="24"/>
        </w:rPr>
        <w:t>，书面通知乙方</w:t>
      </w:r>
      <w:r>
        <w:rPr>
          <w:rFonts w:ascii="宋体" w:hAnsi="宋体"/>
          <w:color w:val="000000" w:themeColor="text1"/>
          <w:sz w:val="24"/>
        </w:rPr>
        <w:t>解除本合同</w:t>
      </w:r>
      <w:r>
        <w:rPr>
          <w:rFonts w:hint="eastAsia" w:ascii="宋体" w:hAnsi="宋体"/>
          <w:color w:val="000000" w:themeColor="text1"/>
          <w:sz w:val="24"/>
        </w:rPr>
        <w:t>；</w:t>
      </w:r>
    </w:p>
    <w:p w14:paraId="0A5E0E84">
      <w:pPr>
        <w:pStyle w:val="82"/>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0.05（可根据情况修改）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14:paraId="6A628BDB">
      <w:pPr>
        <w:spacing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8</w:t>
      </w:r>
      <w:r>
        <w:rPr>
          <w:rFonts w:ascii="宋体" w:hAnsi="宋体"/>
          <w:color w:val="000000" w:themeColor="text1"/>
          <w:sz w:val="24"/>
        </w:rPr>
        <w:t>.</w:t>
      </w:r>
      <w:r>
        <w:rPr>
          <w:rFonts w:hint="eastAsia" w:ascii="宋体" w:hAnsi="宋体"/>
          <w:color w:val="000000" w:themeColor="text1"/>
          <w:sz w:val="24"/>
        </w:rPr>
        <w:t>3</w:t>
      </w:r>
      <w:r>
        <w:rPr>
          <w:rFonts w:hint="eastAsia" w:ascii="宋体" w:hAnsi="宋体" w:cs="宋体"/>
          <w:color w:val="000000" w:themeColor="text1"/>
          <w:sz w:val="24"/>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rPr>
        <w:t xml:space="preserve">   0.05   </w:t>
      </w:r>
      <w:r>
        <w:rPr>
          <w:rFonts w:hint="eastAsia" w:ascii="宋体" w:hAnsi="宋体" w:cs="宋体"/>
          <w:color w:val="000000" w:themeColor="text1"/>
          <w:sz w:val="24"/>
        </w:rPr>
        <w:t>%计算，最高限额为本合同总价的</w:t>
      </w:r>
      <w:r>
        <w:rPr>
          <w:rFonts w:hint="eastAsia" w:ascii="宋体" w:hAnsi="宋体" w:cs="宋体"/>
          <w:color w:val="000000" w:themeColor="text1"/>
          <w:sz w:val="24"/>
          <w:u w:val="single"/>
        </w:rPr>
        <w:t xml:space="preserve">   20</w:t>
      </w:r>
      <w:r>
        <w:rPr>
          <w:rFonts w:hint="eastAsia" w:ascii="宋体" w:hAnsi="宋体" w:cs="宋体"/>
          <w:color w:val="000000" w:themeColor="text1"/>
          <w:kern w:val="0"/>
          <w:sz w:val="24"/>
          <w:u w:val="single"/>
        </w:rPr>
        <w:t>（可根据情况修改）</w:t>
      </w:r>
      <w:r>
        <w:rPr>
          <w:rFonts w:hint="eastAsia" w:ascii="宋体" w:hAnsi="宋体" w:cs="宋体"/>
          <w:color w:val="000000" w:themeColor="text1"/>
          <w:sz w:val="24"/>
        </w:rPr>
        <w:t>%；迟延付款的违约金计算数额达到前述最高限额之日起，乙方有权在要求甲方支付违约金的同时，书面通知甲方解除本合同</w:t>
      </w:r>
      <w:r>
        <w:rPr>
          <w:rFonts w:hint="eastAsia" w:ascii="宋体" w:hAnsi="宋体"/>
          <w:color w:val="000000" w:themeColor="text1"/>
          <w:sz w:val="24"/>
        </w:rPr>
        <w:t>；</w:t>
      </w:r>
    </w:p>
    <w:p w14:paraId="09CD232A">
      <w:pPr>
        <w:spacing w:line="360" w:lineRule="auto"/>
        <w:ind w:firstLine="480" w:firstLineChars="200"/>
        <w:rPr>
          <w:rFonts w:ascii="宋体" w:hAnsi="宋体" w:cs="宋体"/>
          <w:color w:val="000000" w:themeColor="text1"/>
          <w:sz w:val="24"/>
        </w:rPr>
      </w:pPr>
      <w:bookmarkStart w:id="423" w:name="_Toc26807"/>
      <w:bookmarkStart w:id="424" w:name="_Toc9497"/>
      <w:bookmarkStart w:id="425" w:name="_Toc30329"/>
      <w:bookmarkStart w:id="426" w:name="_Toc32454"/>
      <w:bookmarkStart w:id="427" w:name="_Toc18683"/>
      <w:r>
        <w:rPr>
          <w:rFonts w:hint="eastAsia" w:ascii="宋体" w:hAnsi="宋体" w:cs="宋体"/>
          <w:color w:val="000000" w:themeColor="text1"/>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3D8666">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EDC20C9">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7646D682">
      <w:pPr>
        <w:spacing w:line="360" w:lineRule="auto"/>
        <w:ind w:right="-420" w:rightChars="-200" w:firstLine="480" w:firstLineChars="200"/>
        <w:rPr>
          <w:rFonts w:ascii="宋体" w:hAnsi="宋体" w:cs="宋体"/>
          <w:color w:val="000000" w:themeColor="text1"/>
        </w:rPr>
      </w:pPr>
      <w:r>
        <w:rPr>
          <w:rFonts w:hint="eastAsia" w:ascii="宋体" w:hAnsi="宋体" w:cs="宋体"/>
          <w:color w:val="000000" w:themeColor="text1"/>
          <w:sz w:val="24"/>
        </w:rPr>
        <w:t>1.8.7违约责任</w:t>
      </w:r>
      <w:r>
        <w:rPr>
          <w:rFonts w:hint="eastAsia" w:ascii="宋体" w:hAnsi="宋体" w:cs="宋体"/>
          <w:b/>
          <w:color w:val="000000" w:themeColor="text1"/>
          <w:sz w:val="24"/>
          <w:u w:val="single"/>
        </w:rPr>
        <w:t>合同专用条款</w:t>
      </w:r>
      <w:r>
        <w:rPr>
          <w:rFonts w:hint="eastAsia" w:ascii="宋体" w:hAnsi="宋体" w:cs="宋体"/>
          <w:color w:val="000000" w:themeColor="text1"/>
          <w:sz w:val="24"/>
        </w:rPr>
        <w:t>另有约定的，从其约定。</w:t>
      </w:r>
    </w:p>
    <w:bookmarkEnd w:id="423"/>
    <w:bookmarkEnd w:id="424"/>
    <w:bookmarkEnd w:id="425"/>
    <w:bookmarkEnd w:id="426"/>
    <w:bookmarkEnd w:id="427"/>
    <w:p w14:paraId="259A9210">
      <w:pPr>
        <w:spacing w:line="360" w:lineRule="auto"/>
        <w:ind w:firstLine="482" w:firstLineChars="200"/>
        <w:rPr>
          <w:rFonts w:ascii="宋体" w:hAnsi="宋体" w:cs="宋体"/>
          <w:b/>
          <w:color w:val="000000" w:themeColor="text1"/>
          <w:sz w:val="24"/>
        </w:rPr>
      </w:pPr>
      <w:bookmarkStart w:id="428" w:name="_Toc28375"/>
      <w:bookmarkStart w:id="429" w:name="_Toc16021"/>
      <w:bookmarkStart w:id="430" w:name="_Toc15583"/>
      <w:r>
        <w:rPr>
          <w:rFonts w:hint="eastAsia" w:ascii="宋体" w:hAnsi="宋体" w:cs="宋体"/>
          <w:b/>
          <w:color w:val="000000" w:themeColor="text1"/>
          <w:sz w:val="24"/>
        </w:rPr>
        <w:t>1.9合同争议的解决</w:t>
      </w:r>
      <w:bookmarkEnd w:id="428"/>
      <w:bookmarkEnd w:id="429"/>
      <w:bookmarkEnd w:id="430"/>
    </w:p>
    <w:p w14:paraId="1D8A56EA">
      <w:pPr>
        <w:spacing w:line="360" w:lineRule="auto"/>
        <w:ind w:left="-61" w:leftChars="-29" w:right="-420" w:rightChars="-200" w:firstLine="240" w:firstLineChars="100"/>
        <w:rPr>
          <w:rFonts w:ascii="宋体" w:hAnsi="宋体" w:cs="宋体"/>
          <w:color w:val="000000" w:themeColor="text1"/>
          <w:sz w:val="24"/>
        </w:rPr>
      </w:pPr>
      <w:r>
        <w:rPr>
          <w:rFonts w:hint="eastAsia" w:ascii="宋体" w:hAnsi="宋体" w:cs="宋体"/>
          <w:color w:val="000000" w:themeColor="text1"/>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rPr>
        <w:t>1.9.2</w:t>
      </w:r>
      <w:r>
        <w:rPr>
          <w:rFonts w:hint="eastAsia" w:ascii="宋体" w:hAnsi="宋体" w:cs="宋体"/>
          <w:color w:val="000000" w:themeColor="text1"/>
          <w:sz w:val="24"/>
        </w:rPr>
        <w:t>条款规定的方式解决：</w:t>
      </w:r>
    </w:p>
    <w:p w14:paraId="1A8C1312">
      <w:pPr>
        <w:spacing w:line="360" w:lineRule="auto"/>
        <w:ind w:left="-420" w:leftChars="-200" w:right="-420" w:rightChars="-200" w:firstLine="1080" w:firstLineChars="450"/>
        <w:rPr>
          <w:rFonts w:ascii="宋体" w:hAnsi="宋体" w:cs="宋体"/>
          <w:color w:val="000000" w:themeColor="text1"/>
          <w:sz w:val="24"/>
        </w:rPr>
      </w:pPr>
      <w:r>
        <w:rPr>
          <w:rFonts w:hint="eastAsia" w:ascii="宋体" w:hAnsi="宋体" w:cs="宋体"/>
          <w:color w:val="000000" w:themeColor="text1"/>
          <w:sz w:val="24"/>
        </w:rPr>
        <w:t>1.9.1 将争议提交仲裁委员会依申请仲裁时其现行有效的仲裁规则裁决；</w:t>
      </w:r>
    </w:p>
    <w:p w14:paraId="7A8E52CB">
      <w:pPr>
        <w:spacing w:line="360" w:lineRule="auto"/>
        <w:ind w:left="-420" w:leftChars="-200" w:right="-420" w:rightChars="-200" w:firstLine="1080" w:firstLineChars="450"/>
        <w:rPr>
          <w:rFonts w:ascii="宋体" w:hAnsi="宋体" w:cs="宋体"/>
          <w:color w:val="000000" w:themeColor="text1"/>
          <w:sz w:val="24"/>
        </w:rPr>
      </w:pPr>
      <w:r>
        <w:rPr>
          <w:rFonts w:hint="eastAsia" w:ascii="宋体" w:hAnsi="宋体" w:cs="宋体"/>
          <w:color w:val="000000" w:themeColor="text1"/>
          <w:sz w:val="24"/>
        </w:rPr>
        <w:t>1.9.2 向</w:t>
      </w:r>
      <w:r>
        <w:rPr>
          <w:rFonts w:hint="eastAsia" w:ascii="宋体" w:hAnsi="宋体" w:cs="宋体"/>
          <w:b/>
          <w:color w:val="000000" w:themeColor="text1"/>
          <w:sz w:val="24"/>
          <w:u w:val="single"/>
        </w:rPr>
        <w:t>项目所在地</w:t>
      </w:r>
      <w:r>
        <w:rPr>
          <w:rFonts w:hint="eastAsia" w:ascii="宋体" w:hAnsi="宋体" w:cs="宋体"/>
          <w:color w:val="000000" w:themeColor="text1"/>
          <w:sz w:val="24"/>
        </w:rPr>
        <w:t>人民法院起诉。</w:t>
      </w:r>
    </w:p>
    <w:p w14:paraId="7F011E70">
      <w:pPr>
        <w:spacing w:line="360" w:lineRule="auto"/>
        <w:ind w:firstLine="482" w:firstLineChars="200"/>
        <w:rPr>
          <w:rFonts w:ascii="宋体" w:hAnsi="宋体" w:cs="宋体"/>
          <w:b/>
          <w:color w:val="000000" w:themeColor="text1"/>
          <w:sz w:val="24"/>
        </w:rPr>
      </w:pPr>
      <w:bookmarkStart w:id="431" w:name="_Toc15322"/>
      <w:bookmarkStart w:id="432" w:name="_Toc11173"/>
      <w:bookmarkStart w:id="433" w:name="_Toc7245"/>
      <w:r>
        <w:rPr>
          <w:rFonts w:hint="eastAsia" w:ascii="宋体" w:hAnsi="宋体" w:cs="宋体"/>
          <w:b/>
          <w:color w:val="000000" w:themeColor="text1"/>
          <w:sz w:val="24"/>
        </w:rPr>
        <w:t>2.0 合同生效</w:t>
      </w:r>
      <w:bookmarkEnd w:id="431"/>
      <w:bookmarkEnd w:id="432"/>
      <w:bookmarkEnd w:id="433"/>
    </w:p>
    <w:p w14:paraId="224A1CA6">
      <w:pPr>
        <w:spacing w:line="360" w:lineRule="auto"/>
        <w:ind w:firstLine="480" w:firstLineChars="200"/>
        <w:rPr>
          <w:rFonts w:ascii="宋体" w:hAnsi="宋体" w:cs="宋体"/>
          <w:b/>
          <w:color w:val="000000" w:themeColor="text1"/>
          <w:sz w:val="24"/>
        </w:rPr>
      </w:pPr>
      <w:r>
        <w:rPr>
          <w:rFonts w:hint="eastAsia" w:ascii="宋体" w:hAnsi="宋体" w:cs="宋体"/>
          <w:color w:val="000000" w:themeColor="text1"/>
          <w:sz w:val="24"/>
        </w:rPr>
        <w:t>本合同自双方当事人盖章签字时生效。</w:t>
      </w:r>
    </w:p>
    <w:p w14:paraId="17349B16">
      <w:pPr>
        <w:autoSpaceDE w:val="0"/>
        <w:autoSpaceDN w:val="0"/>
        <w:spacing w:line="560" w:lineRule="exact"/>
        <w:rPr>
          <w:rFonts w:ascii="宋体" w:hAnsi="宋体"/>
          <w:color w:val="000000" w:themeColor="text1"/>
          <w:sz w:val="24"/>
          <w:lang w:val="zh-CN"/>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7ED31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2779858">
            <w:pPr>
              <w:snapToGrid w:val="0"/>
              <w:spacing w:line="360" w:lineRule="auto"/>
              <w:jc w:val="center"/>
              <w:rPr>
                <w:rFonts w:ascii="Calibri" w:hAnsi="Calibri"/>
                <w:color w:val="000000" w:themeColor="text1"/>
                <w:sz w:val="24"/>
              </w:rPr>
            </w:pPr>
            <w:r>
              <w:rPr>
                <w:rFonts w:hint="eastAsia" w:ascii="Calibri" w:hAnsi="Calibri"/>
                <w:color w:val="000000" w:themeColor="text1"/>
                <w:sz w:val="24"/>
              </w:rPr>
              <w:t>甲方（采购人</w:t>
            </w:r>
            <w:r>
              <w:rPr>
                <w:rFonts w:hint="eastAsia" w:ascii="宋体" w:hAnsi="宋体"/>
                <w:color w:val="000000" w:themeColor="text1"/>
                <w:sz w:val="24"/>
              </w:rPr>
              <w:t>、受采购人委托签订合同的单位或</w:t>
            </w:r>
            <w:r>
              <w:rPr>
                <w:rFonts w:hint="eastAsia" w:ascii="Calibri" w:hAnsi="Calibri"/>
                <w:color w:val="000000" w:themeColor="text1"/>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DBD435B">
            <w:pPr>
              <w:snapToGrid w:val="0"/>
              <w:spacing w:line="360" w:lineRule="auto"/>
              <w:jc w:val="center"/>
              <w:rPr>
                <w:rFonts w:ascii="Calibri" w:hAnsi="Calibri"/>
                <w:color w:val="000000" w:themeColor="text1"/>
                <w:sz w:val="24"/>
              </w:rPr>
            </w:pPr>
            <w:r>
              <w:rPr>
                <w:rFonts w:hint="eastAsia" w:ascii="Calibri" w:hAnsi="Calibri"/>
                <w:color w:val="000000" w:themeColor="text1"/>
                <w:sz w:val="24"/>
              </w:rPr>
              <w:t>乙方（供应商）</w:t>
            </w:r>
          </w:p>
        </w:tc>
      </w:tr>
      <w:tr w14:paraId="6FFC37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4E3C0A2F">
            <w:pPr>
              <w:snapToGrid w:val="0"/>
              <w:spacing w:line="360" w:lineRule="auto"/>
              <w:jc w:val="center"/>
              <w:rPr>
                <w:rFonts w:ascii="Calibri" w:hAnsi="Calibri"/>
                <w:color w:val="000000" w:themeColor="text1"/>
                <w:sz w:val="24"/>
              </w:rPr>
            </w:pPr>
            <w:r>
              <w:rPr>
                <w:rFonts w:hint="eastAsia" w:ascii="Calibri" w:hAnsi="Calibri"/>
                <w:color w:val="000000" w:themeColor="text1"/>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654F618">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6B45FC">
            <w:pPr>
              <w:snapToGrid w:val="0"/>
              <w:spacing w:line="360" w:lineRule="auto"/>
              <w:jc w:val="center"/>
              <w:rPr>
                <w:rFonts w:ascii="Calibri" w:hAnsi="Calibri"/>
                <w:color w:val="000000" w:themeColor="text1"/>
                <w:sz w:val="24"/>
              </w:rPr>
            </w:pPr>
            <w:r>
              <w:rPr>
                <w:rFonts w:hint="eastAsia" w:ascii="Calibri" w:hAnsi="Calibri"/>
                <w:color w:val="000000" w:themeColor="text1"/>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24182A0">
            <w:pPr>
              <w:snapToGrid w:val="0"/>
              <w:spacing w:line="360" w:lineRule="auto"/>
              <w:jc w:val="center"/>
              <w:rPr>
                <w:rFonts w:ascii="Calibri" w:hAnsi="Calibri"/>
                <w:color w:val="000000" w:themeColor="text1"/>
                <w:spacing w:val="20"/>
                <w:sz w:val="24"/>
              </w:rPr>
            </w:pPr>
          </w:p>
        </w:tc>
      </w:tr>
      <w:tr w14:paraId="29E08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73DEBE7">
            <w:pPr>
              <w:snapToGrid w:val="0"/>
              <w:spacing w:line="360" w:lineRule="auto"/>
              <w:jc w:val="center"/>
              <w:rPr>
                <w:rFonts w:ascii="Calibri" w:hAnsi="Calibri"/>
                <w:color w:val="000000" w:themeColor="text1"/>
                <w:sz w:val="24"/>
              </w:rPr>
            </w:pPr>
            <w:r>
              <w:rPr>
                <w:rFonts w:hint="eastAsia" w:ascii="Calibri" w:hAnsi="Calibri"/>
                <w:color w:val="000000" w:themeColor="text1"/>
                <w:sz w:val="24"/>
              </w:rPr>
              <w:t>法定代表人</w:t>
            </w:r>
          </w:p>
          <w:p w14:paraId="5014EF7E">
            <w:pPr>
              <w:snapToGrid w:val="0"/>
              <w:spacing w:line="360" w:lineRule="auto"/>
              <w:ind w:firstLine="115" w:firstLineChars="48"/>
              <w:jc w:val="center"/>
              <w:rPr>
                <w:rFonts w:ascii="Calibri" w:hAnsi="Calibri"/>
                <w:color w:val="000000" w:themeColor="text1"/>
                <w:sz w:val="24"/>
              </w:rPr>
            </w:pPr>
            <w:r>
              <w:rPr>
                <w:rFonts w:hint="eastAsia" w:ascii="Calibri" w:hAnsi="Calibri"/>
                <w:color w:val="000000" w:themeColor="text1"/>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7C15722A">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D3E67F">
            <w:pPr>
              <w:snapToGrid w:val="0"/>
              <w:spacing w:line="360" w:lineRule="auto"/>
              <w:jc w:val="center"/>
              <w:rPr>
                <w:rFonts w:ascii="Calibri" w:hAnsi="Calibri"/>
                <w:color w:val="000000" w:themeColor="text1"/>
                <w:sz w:val="24"/>
              </w:rPr>
            </w:pPr>
            <w:r>
              <w:rPr>
                <w:rFonts w:hint="eastAsia" w:ascii="Calibri" w:hAnsi="Calibri"/>
                <w:color w:val="000000" w:themeColor="text1"/>
                <w:sz w:val="24"/>
              </w:rPr>
              <w:t>法定代表人</w:t>
            </w:r>
          </w:p>
          <w:p w14:paraId="76CEAF83">
            <w:pPr>
              <w:snapToGrid w:val="0"/>
              <w:spacing w:line="360" w:lineRule="auto"/>
              <w:jc w:val="center"/>
              <w:rPr>
                <w:rFonts w:ascii="Calibri" w:hAnsi="Calibri"/>
                <w:color w:val="000000" w:themeColor="text1"/>
                <w:sz w:val="24"/>
              </w:rPr>
            </w:pPr>
            <w:r>
              <w:rPr>
                <w:rFonts w:hint="eastAsia" w:ascii="Calibri" w:hAnsi="Calibri"/>
                <w:color w:val="000000" w:themeColor="text1"/>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DF772E2">
            <w:pPr>
              <w:snapToGrid w:val="0"/>
              <w:spacing w:line="360" w:lineRule="auto"/>
              <w:jc w:val="center"/>
              <w:rPr>
                <w:rFonts w:ascii="Calibri" w:hAnsi="Calibri"/>
                <w:color w:val="000000" w:themeColor="text1"/>
                <w:sz w:val="24"/>
              </w:rPr>
            </w:pPr>
          </w:p>
        </w:tc>
      </w:tr>
      <w:tr w14:paraId="7192C7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7D15413">
            <w:pPr>
              <w:widowControl/>
              <w:adjustRightInd/>
              <w:spacing w:line="360" w:lineRule="auto"/>
              <w:jc w:val="left"/>
              <w:rPr>
                <w:rFonts w:ascii="Calibri" w:hAnsi="Calibri"/>
                <w:color w:val="000000" w:themeColor="text1"/>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312C063">
            <w:pPr>
              <w:widowControl/>
              <w:adjustRightInd/>
              <w:spacing w:line="360" w:lineRule="auto"/>
              <w:jc w:val="left"/>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FC3227">
            <w:pPr>
              <w:snapToGrid w:val="0"/>
              <w:spacing w:line="360" w:lineRule="auto"/>
              <w:jc w:val="center"/>
              <w:rPr>
                <w:rFonts w:ascii="Calibri" w:hAnsi="Calibri"/>
                <w:color w:val="000000" w:themeColor="text1"/>
                <w:sz w:val="24"/>
              </w:rPr>
            </w:pPr>
            <w:r>
              <w:rPr>
                <w:rFonts w:hint="eastAsia" w:ascii="Calibri" w:hAnsi="Calibri"/>
                <w:color w:val="000000" w:themeColor="text1"/>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D9424FC">
            <w:pPr>
              <w:snapToGrid w:val="0"/>
              <w:spacing w:line="360" w:lineRule="auto"/>
              <w:jc w:val="center"/>
              <w:rPr>
                <w:rFonts w:ascii="Calibri" w:hAnsi="Calibri"/>
                <w:color w:val="000000" w:themeColor="text1"/>
                <w:spacing w:val="20"/>
                <w:sz w:val="24"/>
              </w:rPr>
            </w:pPr>
          </w:p>
        </w:tc>
      </w:tr>
      <w:tr w14:paraId="52323D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90B320">
            <w:pPr>
              <w:snapToGrid w:val="0"/>
              <w:spacing w:line="360" w:lineRule="auto"/>
              <w:jc w:val="center"/>
              <w:rPr>
                <w:rFonts w:ascii="Calibri" w:hAnsi="Calibri"/>
                <w:color w:val="000000" w:themeColor="text1"/>
                <w:sz w:val="24"/>
              </w:rPr>
            </w:pPr>
            <w:r>
              <w:rPr>
                <w:rFonts w:hint="eastAsia" w:ascii="Calibri" w:hAnsi="Calibri"/>
                <w:color w:val="000000" w:themeColor="text1"/>
                <w:sz w:val="24"/>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37708041">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CCA8CD9">
            <w:pPr>
              <w:snapToGrid w:val="0"/>
              <w:spacing w:line="360" w:lineRule="auto"/>
              <w:jc w:val="center"/>
              <w:rPr>
                <w:rFonts w:ascii="Calibri" w:hAnsi="Calibri"/>
                <w:color w:val="000000" w:themeColor="text1"/>
                <w:sz w:val="24"/>
              </w:rPr>
            </w:pPr>
            <w:r>
              <w:rPr>
                <w:rFonts w:hint="eastAsia" w:ascii="Calibri" w:hAnsi="Calibri"/>
                <w:color w:val="000000" w:themeColor="text1"/>
                <w:sz w:val="24"/>
              </w:rPr>
              <w:t>住所</w:t>
            </w:r>
          </w:p>
        </w:tc>
        <w:tc>
          <w:tcPr>
            <w:tcW w:w="1259" w:type="pct"/>
            <w:tcBorders>
              <w:top w:val="single" w:color="auto" w:sz="2" w:space="0"/>
              <w:left w:val="single" w:color="auto" w:sz="2" w:space="0"/>
              <w:bottom w:val="single" w:color="auto" w:sz="2" w:space="0"/>
              <w:right w:val="single" w:color="auto" w:sz="4" w:space="0"/>
            </w:tcBorders>
            <w:vAlign w:val="center"/>
          </w:tcPr>
          <w:p w14:paraId="7436350F">
            <w:pPr>
              <w:snapToGrid w:val="0"/>
              <w:spacing w:line="360" w:lineRule="auto"/>
              <w:jc w:val="center"/>
              <w:rPr>
                <w:rFonts w:ascii="Calibri" w:hAnsi="Calibri"/>
                <w:color w:val="000000" w:themeColor="text1"/>
                <w:spacing w:val="20"/>
                <w:sz w:val="24"/>
              </w:rPr>
            </w:pPr>
          </w:p>
        </w:tc>
      </w:tr>
      <w:tr w14:paraId="440FA2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080EF9">
            <w:pPr>
              <w:snapToGrid w:val="0"/>
              <w:spacing w:line="360" w:lineRule="auto"/>
              <w:jc w:val="center"/>
              <w:rPr>
                <w:rFonts w:ascii="Calibri" w:hAnsi="Calibri"/>
                <w:color w:val="000000" w:themeColor="text1"/>
                <w:sz w:val="24"/>
              </w:rPr>
            </w:pPr>
            <w:r>
              <w:rPr>
                <w:rFonts w:hint="eastAsia" w:ascii="Calibri" w:hAnsi="Calibri"/>
                <w:color w:val="000000" w:themeColor="text1"/>
                <w:sz w:val="24"/>
              </w:rPr>
              <w:t>联系人</w:t>
            </w:r>
          </w:p>
        </w:tc>
        <w:tc>
          <w:tcPr>
            <w:tcW w:w="1436" w:type="pct"/>
            <w:tcBorders>
              <w:top w:val="single" w:color="auto" w:sz="2" w:space="0"/>
              <w:left w:val="single" w:color="auto" w:sz="2" w:space="0"/>
              <w:bottom w:val="single" w:color="auto" w:sz="2" w:space="0"/>
              <w:right w:val="single" w:color="auto" w:sz="2" w:space="0"/>
            </w:tcBorders>
            <w:vAlign w:val="center"/>
          </w:tcPr>
          <w:p w14:paraId="7901E259">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C5D6F53">
            <w:pPr>
              <w:snapToGrid w:val="0"/>
              <w:spacing w:line="360" w:lineRule="auto"/>
              <w:jc w:val="center"/>
              <w:rPr>
                <w:rFonts w:ascii="Calibri" w:hAnsi="Calibri"/>
                <w:color w:val="000000" w:themeColor="text1"/>
                <w:sz w:val="24"/>
              </w:rPr>
            </w:pPr>
            <w:r>
              <w:rPr>
                <w:rFonts w:hint="eastAsia" w:ascii="Calibri" w:hAnsi="Calibri"/>
                <w:color w:val="000000" w:themeColor="text1"/>
                <w:sz w:val="24"/>
              </w:rPr>
              <w:t>联系人</w:t>
            </w:r>
          </w:p>
        </w:tc>
        <w:tc>
          <w:tcPr>
            <w:tcW w:w="1259" w:type="pct"/>
            <w:tcBorders>
              <w:top w:val="single" w:color="auto" w:sz="2" w:space="0"/>
              <w:left w:val="single" w:color="auto" w:sz="2" w:space="0"/>
              <w:bottom w:val="single" w:color="auto" w:sz="2" w:space="0"/>
              <w:right w:val="single" w:color="auto" w:sz="4" w:space="0"/>
            </w:tcBorders>
            <w:vAlign w:val="center"/>
          </w:tcPr>
          <w:p w14:paraId="540AD7A3">
            <w:pPr>
              <w:snapToGrid w:val="0"/>
              <w:spacing w:line="360" w:lineRule="auto"/>
              <w:jc w:val="center"/>
              <w:rPr>
                <w:rFonts w:ascii="Calibri" w:hAnsi="Calibri"/>
                <w:color w:val="000000" w:themeColor="text1"/>
                <w:spacing w:val="20"/>
                <w:sz w:val="24"/>
              </w:rPr>
            </w:pPr>
          </w:p>
        </w:tc>
      </w:tr>
      <w:tr w14:paraId="4FA033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B221F5A">
            <w:pPr>
              <w:snapToGrid w:val="0"/>
              <w:spacing w:line="360" w:lineRule="auto"/>
              <w:jc w:val="center"/>
              <w:rPr>
                <w:rFonts w:ascii="Calibri" w:hAnsi="Calibri"/>
                <w:color w:val="000000" w:themeColor="text1"/>
                <w:sz w:val="24"/>
              </w:rPr>
            </w:pPr>
            <w:r>
              <w:rPr>
                <w:rFonts w:hint="eastAsia" w:ascii="Calibri" w:hAnsi="Calibri"/>
                <w:color w:val="000000" w:themeColor="text1"/>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709D95F">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1B03FB">
            <w:pPr>
              <w:snapToGrid w:val="0"/>
              <w:spacing w:line="360" w:lineRule="auto"/>
              <w:jc w:val="center"/>
              <w:rPr>
                <w:rFonts w:ascii="Calibri" w:hAnsi="Calibri"/>
                <w:color w:val="000000" w:themeColor="text1"/>
                <w:sz w:val="24"/>
              </w:rPr>
            </w:pPr>
            <w:r>
              <w:rPr>
                <w:rFonts w:hint="eastAsia" w:ascii="Calibri" w:hAnsi="Calibri"/>
                <w:color w:val="000000" w:themeColor="text1"/>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3117546F">
            <w:pPr>
              <w:snapToGrid w:val="0"/>
              <w:spacing w:line="360" w:lineRule="auto"/>
              <w:jc w:val="center"/>
              <w:rPr>
                <w:rFonts w:ascii="Calibri" w:hAnsi="Calibri"/>
                <w:color w:val="000000" w:themeColor="text1"/>
                <w:spacing w:val="20"/>
                <w:sz w:val="24"/>
              </w:rPr>
            </w:pPr>
          </w:p>
        </w:tc>
      </w:tr>
      <w:tr w14:paraId="26F24A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8265EA">
            <w:pPr>
              <w:snapToGrid w:val="0"/>
              <w:spacing w:line="360" w:lineRule="auto"/>
              <w:jc w:val="center"/>
              <w:rPr>
                <w:rFonts w:ascii="Calibri" w:hAnsi="Calibri"/>
                <w:color w:val="000000" w:themeColor="text1"/>
                <w:sz w:val="24"/>
              </w:rPr>
            </w:pPr>
            <w:r>
              <w:rPr>
                <w:rFonts w:hint="eastAsia" w:ascii="Calibri" w:hAnsi="Calibri"/>
                <w:color w:val="000000" w:themeColor="text1"/>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504B74C">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4FF83C">
            <w:pPr>
              <w:snapToGrid w:val="0"/>
              <w:spacing w:line="360" w:lineRule="auto"/>
              <w:jc w:val="center"/>
              <w:rPr>
                <w:rFonts w:ascii="Calibri" w:hAnsi="Calibri"/>
                <w:color w:val="000000" w:themeColor="text1"/>
                <w:sz w:val="24"/>
              </w:rPr>
            </w:pPr>
            <w:r>
              <w:rPr>
                <w:rFonts w:hint="eastAsia" w:ascii="Calibri" w:hAnsi="Calibri"/>
                <w:color w:val="000000" w:themeColor="text1"/>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6F40A27">
            <w:pPr>
              <w:snapToGrid w:val="0"/>
              <w:spacing w:line="360" w:lineRule="auto"/>
              <w:jc w:val="center"/>
              <w:rPr>
                <w:rFonts w:ascii="Calibri" w:hAnsi="Calibri"/>
                <w:color w:val="000000" w:themeColor="text1"/>
                <w:spacing w:val="20"/>
                <w:sz w:val="24"/>
              </w:rPr>
            </w:pPr>
          </w:p>
        </w:tc>
      </w:tr>
      <w:tr w14:paraId="4DDD14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6988CE">
            <w:pPr>
              <w:snapToGrid w:val="0"/>
              <w:spacing w:line="360" w:lineRule="auto"/>
              <w:jc w:val="center"/>
              <w:rPr>
                <w:rFonts w:ascii="Calibri" w:hAnsi="Calibri"/>
                <w:color w:val="000000" w:themeColor="text1"/>
                <w:sz w:val="24"/>
              </w:rPr>
            </w:pPr>
            <w:r>
              <w:rPr>
                <w:rFonts w:hint="eastAsia" w:ascii="Calibri" w:hAnsi="Calibri"/>
                <w:color w:val="000000" w:themeColor="text1"/>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CF3563F">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0B5398">
            <w:pPr>
              <w:snapToGrid w:val="0"/>
              <w:spacing w:line="360" w:lineRule="auto"/>
              <w:jc w:val="center"/>
              <w:rPr>
                <w:rFonts w:ascii="Calibri" w:hAnsi="Calibri"/>
                <w:color w:val="000000" w:themeColor="text1"/>
                <w:sz w:val="24"/>
              </w:rPr>
            </w:pPr>
            <w:r>
              <w:rPr>
                <w:rFonts w:hint="eastAsia" w:ascii="Calibri" w:hAnsi="Calibri"/>
                <w:color w:val="000000" w:themeColor="text1"/>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159A554A">
            <w:pPr>
              <w:snapToGrid w:val="0"/>
              <w:spacing w:line="360" w:lineRule="auto"/>
              <w:jc w:val="center"/>
              <w:rPr>
                <w:rFonts w:ascii="Calibri" w:hAnsi="Calibri"/>
                <w:color w:val="000000" w:themeColor="text1"/>
                <w:spacing w:val="20"/>
                <w:sz w:val="24"/>
              </w:rPr>
            </w:pPr>
          </w:p>
        </w:tc>
      </w:tr>
      <w:tr w14:paraId="04439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00A1CB9">
            <w:pPr>
              <w:snapToGrid w:val="0"/>
              <w:spacing w:line="360" w:lineRule="auto"/>
              <w:jc w:val="center"/>
              <w:rPr>
                <w:rFonts w:ascii="Calibri" w:hAnsi="Calibri"/>
                <w:color w:val="000000" w:themeColor="text1"/>
                <w:sz w:val="24"/>
              </w:rPr>
            </w:pPr>
            <w:r>
              <w:rPr>
                <w:rFonts w:hint="eastAsia" w:ascii="Calibri" w:hAnsi="Calibri"/>
                <w:color w:val="000000" w:themeColor="text1"/>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F2A0D64">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7D65AF">
            <w:pPr>
              <w:snapToGrid w:val="0"/>
              <w:spacing w:line="360" w:lineRule="auto"/>
              <w:jc w:val="center"/>
              <w:rPr>
                <w:rFonts w:ascii="Calibri" w:hAnsi="Calibri"/>
                <w:color w:val="000000" w:themeColor="text1"/>
                <w:sz w:val="24"/>
              </w:rPr>
            </w:pPr>
            <w:r>
              <w:rPr>
                <w:rFonts w:hint="eastAsia" w:ascii="Calibri" w:hAnsi="Calibri"/>
                <w:color w:val="000000" w:themeColor="text1"/>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E7A552D">
            <w:pPr>
              <w:snapToGrid w:val="0"/>
              <w:spacing w:line="360" w:lineRule="auto"/>
              <w:jc w:val="center"/>
              <w:rPr>
                <w:rFonts w:ascii="Calibri" w:hAnsi="Calibri"/>
                <w:color w:val="000000" w:themeColor="text1"/>
                <w:spacing w:val="20"/>
                <w:sz w:val="24"/>
              </w:rPr>
            </w:pPr>
          </w:p>
        </w:tc>
      </w:tr>
      <w:tr w14:paraId="16C9EB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BC2D441">
            <w:pPr>
              <w:snapToGrid w:val="0"/>
              <w:spacing w:line="360" w:lineRule="auto"/>
              <w:jc w:val="center"/>
              <w:rPr>
                <w:rFonts w:ascii="Calibri" w:hAnsi="Calibri"/>
                <w:color w:val="000000" w:themeColor="text1"/>
                <w:sz w:val="24"/>
              </w:rPr>
            </w:pPr>
            <w:r>
              <w:rPr>
                <w:rFonts w:hint="eastAsia" w:ascii="Calibri" w:hAnsi="Calibri"/>
                <w:color w:val="000000" w:themeColor="text1"/>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24E74DB">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E574F9">
            <w:pPr>
              <w:snapToGrid w:val="0"/>
              <w:spacing w:line="360" w:lineRule="auto"/>
              <w:jc w:val="center"/>
              <w:rPr>
                <w:rFonts w:ascii="Calibri" w:hAnsi="Calibri"/>
                <w:color w:val="000000" w:themeColor="text1"/>
                <w:sz w:val="24"/>
              </w:rPr>
            </w:pPr>
            <w:r>
              <w:rPr>
                <w:rFonts w:hint="eastAsia" w:ascii="Calibri" w:hAnsi="Calibri"/>
                <w:color w:val="000000" w:themeColor="text1"/>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03B45E0">
            <w:pPr>
              <w:snapToGrid w:val="0"/>
              <w:spacing w:line="360" w:lineRule="auto"/>
              <w:jc w:val="center"/>
              <w:rPr>
                <w:rFonts w:ascii="Calibri" w:hAnsi="Calibri"/>
                <w:color w:val="000000" w:themeColor="text1"/>
                <w:spacing w:val="20"/>
                <w:sz w:val="24"/>
              </w:rPr>
            </w:pPr>
          </w:p>
        </w:tc>
      </w:tr>
      <w:tr w14:paraId="1E16BD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549DA45">
            <w:pPr>
              <w:snapToGrid w:val="0"/>
              <w:spacing w:line="360" w:lineRule="auto"/>
              <w:jc w:val="center"/>
              <w:rPr>
                <w:rFonts w:ascii="Calibri" w:hAnsi="Calibri"/>
                <w:color w:val="000000" w:themeColor="text1"/>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0CA4959">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D4B2D14">
            <w:pPr>
              <w:snapToGrid w:val="0"/>
              <w:spacing w:line="360" w:lineRule="auto"/>
              <w:jc w:val="center"/>
              <w:rPr>
                <w:rFonts w:ascii="Calibri" w:hAnsi="Calibri"/>
                <w:color w:val="000000" w:themeColor="text1"/>
                <w:sz w:val="24"/>
              </w:rPr>
            </w:pPr>
            <w:r>
              <w:rPr>
                <w:rFonts w:hint="eastAsia" w:ascii="Calibri" w:hAnsi="Calibri"/>
                <w:color w:val="000000" w:themeColor="text1"/>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837696E">
            <w:pPr>
              <w:snapToGrid w:val="0"/>
              <w:spacing w:line="360" w:lineRule="auto"/>
              <w:jc w:val="center"/>
              <w:rPr>
                <w:rFonts w:ascii="Calibri" w:hAnsi="Calibri"/>
                <w:color w:val="000000" w:themeColor="text1"/>
                <w:spacing w:val="20"/>
                <w:sz w:val="24"/>
              </w:rPr>
            </w:pPr>
          </w:p>
        </w:tc>
      </w:tr>
      <w:tr w14:paraId="6AB1DC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AE9C2A3">
            <w:pPr>
              <w:snapToGrid w:val="0"/>
              <w:spacing w:line="360" w:lineRule="auto"/>
              <w:jc w:val="center"/>
              <w:rPr>
                <w:rFonts w:ascii="Calibri" w:hAnsi="Calibri"/>
                <w:color w:val="000000" w:themeColor="text1"/>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3CB0732">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B36652">
            <w:pPr>
              <w:snapToGrid w:val="0"/>
              <w:spacing w:line="360" w:lineRule="auto"/>
              <w:jc w:val="center"/>
              <w:rPr>
                <w:rFonts w:ascii="Calibri" w:hAnsi="Calibri"/>
                <w:color w:val="000000" w:themeColor="text1"/>
                <w:sz w:val="24"/>
              </w:rPr>
            </w:pPr>
            <w:r>
              <w:rPr>
                <w:rFonts w:hint="eastAsia" w:ascii="Calibri" w:hAnsi="Calibri"/>
                <w:color w:val="000000" w:themeColor="text1"/>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0C6E1EA">
            <w:pPr>
              <w:snapToGrid w:val="0"/>
              <w:spacing w:line="360" w:lineRule="auto"/>
              <w:jc w:val="center"/>
              <w:rPr>
                <w:rFonts w:ascii="Calibri" w:hAnsi="Calibri"/>
                <w:color w:val="000000" w:themeColor="text1"/>
                <w:spacing w:val="20"/>
                <w:sz w:val="24"/>
              </w:rPr>
            </w:pPr>
          </w:p>
        </w:tc>
      </w:tr>
      <w:tr w14:paraId="5A6FA8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29A27A">
            <w:pPr>
              <w:snapToGrid w:val="0"/>
              <w:spacing w:line="360" w:lineRule="auto"/>
              <w:jc w:val="center"/>
              <w:rPr>
                <w:rFonts w:ascii="Calibri" w:hAnsi="Calibri"/>
                <w:color w:val="000000" w:themeColor="text1"/>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3E28238">
            <w:pPr>
              <w:snapToGrid w:val="0"/>
              <w:spacing w:line="360" w:lineRule="auto"/>
              <w:jc w:val="center"/>
              <w:rPr>
                <w:rFonts w:ascii="Calibri" w:hAnsi="Calibri"/>
                <w:color w:val="000000" w:themeColor="text1"/>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21C3CB">
            <w:pPr>
              <w:snapToGrid w:val="0"/>
              <w:spacing w:line="360" w:lineRule="auto"/>
              <w:jc w:val="center"/>
              <w:rPr>
                <w:rFonts w:ascii="Calibri" w:hAnsi="Calibri"/>
                <w:color w:val="000000" w:themeColor="text1"/>
                <w:sz w:val="24"/>
              </w:rPr>
            </w:pPr>
            <w:r>
              <w:rPr>
                <w:rFonts w:hint="eastAsia" w:ascii="Calibri" w:hAnsi="Calibri"/>
                <w:color w:val="000000" w:themeColor="text1"/>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441FC8D6">
            <w:pPr>
              <w:snapToGrid w:val="0"/>
              <w:spacing w:line="360" w:lineRule="auto"/>
              <w:jc w:val="center"/>
              <w:rPr>
                <w:rFonts w:ascii="Calibri" w:hAnsi="Calibri"/>
                <w:color w:val="000000" w:themeColor="text1"/>
                <w:spacing w:val="20"/>
                <w:sz w:val="24"/>
              </w:rPr>
            </w:pPr>
          </w:p>
        </w:tc>
      </w:tr>
      <w:tr w14:paraId="123760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8EBBEA7">
            <w:pPr>
              <w:snapToGrid w:val="0"/>
              <w:spacing w:line="360" w:lineRule="auto"/>
              <w:jc w:val="left"/>
              <w:rPr>
                <w:rFonts w:ascii="Calibri" w:hAnsi="Calibri"/>
                <w:color w:val="000000" w:themeColor="text1"/>
                <w:spacing w:val="20"/>
                <w:sz w:val="24"/>
              </w:rPr>
            </w:pPr>
            <w:r>
              <w:rPr>
                <w:rFonts w:hint="eastAsia" w:ascii="宋体" w:hAnsi="宋体"/>
                <w:color w:val="000000" w:themeColor="text1"/>
                <w:sz w:val="24"/>
              </w:rPr>
              <w:t>注：涉及联合体或其他合同主体的信息应按上表格式加列。</w:t>
            </w:r>
          </w:p>
        </w:tc>
      </w:tr>
    </w:tbl>
    <w:p w14:paraId="69DF6F5A">
      <w:pPr>
        <w:widowControl/>
        <w:spacing w:line="560" w:lineRule="exact"/>
        <w:jc w:val="left"/>
        <w:rPr>
          <w:rFonts w:ascii="宋体" w:hAnsi="宋体"/>
          <w:b/>
          <w:color w:val="000000" w:themeColor="text1"/>
          <w:sz w:val="24"/>
        </w:rPr>
      </w:pPr>
    </w:p>
    <w:p w14:paraId="3B79962C">
      <w:pPr>
        <w:widowControl/>
        <w:adjustRightInd/>
        <w:jc w:val="left"/>
        <w:rPr>
          <w:rFonts w:ascii="宋体" w:hAnsi="宋体"/>
          <w:b/>
          <w:color w:val="000000" w:themeColor="text1"/>
          <w:sz w:val="24"/>
        </w:rPr>
      </w:pPr>
      <w:r>
        <w:rPr>
          <w:rFonts w:ascii="宋体" w:hAnsi="宋体"/>
          <w:b/>
          <w:color w:val="000000" w:themeColor="text1"/>
        </w:rPr>
        <w:br w:type="page"/>
      </w:r>
    </w:p>
    <w:p w14:paraId="5D52D75B">
      <w:pPr>
        <w:pStyle w:val="699"/>
        <w:spacing w:after="0"/>
        <w:ind w:firstLine="482"/>
        <w:jc w:val="center"/>
        <w:outlineLvl w:val="1"/>
        <w:rPr>
          <w:rFonts w:ascii="宋体" w:hAnsi="宋体"/>
          <w:b/>
          <w:color w:val="000000" w:themeColor="text1"/>
          <w:szCs w:val="24"/>
        </w:rPr>
      </w:pPr>
      <w:r>
        <w:rPr>
          <w:rFonts w:hint="eastAsia" w:ascii="宋体" w:hAnsi="宋体"/>
          <w:b/>
          <w:color w:val="000000" w:themeColor="text1"/>
          <w:szCs w:val="24"/>
        </w:rPr>
        <w:t>第二节 政府采购合同通用条款</w:t>
      </w:r>
    </w:p>
    <w:p w14:paraId="131C219D">
      <w:pPr>
        <w:spacing w:line="360" w:lineRule="auto"/>
        <w:ind w:firstLine="482" w:firstLineChars="200"/>
        <w:rPr>
          <w:rFonts w:ascii="宋体" w:hAnsi="宋体"/>
          <w:b/>
          <w:color w:val="000000" w:themeColor="text1"/>
          <w:sz w:val="24"/>
        </w:rPr>
      </w:pPr>
      <w:bookmarkStart w:id="434" w:name="_Toc14021"/>
      <w:bookmarkStart w:id="435" w:name="_Toc25079"/>
      <w:bookmarkStart w:id="436" w:name="_Toc5228"/>
      <w:bookmarkStart w:id="437" w:name="_Toc19680"/>
      <w:bookmarkStart w:id="438" w:name="_Toc31297"/>
      <w:r>
        <w:rPr>
          <w:rFonts w:ascii="宋体" w:hAnsi="宋体"/>
          <w:b/>
          <w:color w:val="000000" w:themeColor="text1"/>
          <w:sz w:val="24"/>
        </w:rPr>
        <w:t>2.1 定义</w:t>
      </w:r>
      <w:bookmarkEnd w:id="434"/>
      <w:bookmarkEnd w:id="435"/>
      <w:bookmarkEnd w:id="436"/>
      <w:bookmarkEnd w:id="437"/>
      <w:bookmarkEnd w:id="438"/>
    </w:p>
    <w:p w14:paraId="17740B2F">
      <w:pPr>
        <w:spacing w:line="360" w:lineRule="auto"/>
        <w:ind w:firstLine="480" w:firstLineChars="200"/>
        <w:rPr>
          <w:rFonts w:ascii="宋体" w:hAnsi="宋体"/>
          <w:color w:val="000000" w:themeColor="text1"/>
          <w:sz w:val="24"/>
        </w:rPr>
      </w:pPr>
      <w:r>
        <w:rPr>
          <w:rFonts w:ascii="宋体" w:hAnsi="宋体"/>
          <w:color w:val="000000" w:themeColor="text1"/>
          <w:sz w:val="24"/>
        </w:rPr>
        <w:t>本合同中的下列</w:t>
      </w:r>
      <w:r>
        <w:rPr>
          <w:rFonts w:hint="eastAsia" w:ascii="宋体" w:hAnsi="宋体"/>
          <w:color w:val="000000" w:themeColor="text1"/>
          <w:sz w:val="24"/>
        </w:rPr>
        <w:t>词</w:t>
      </w:r>
      <w:r>
        <w:rPr>
          <w:rFonts w:ascii="宋体" w:hAnsi="宋体"/>
          <w:color w:val="000000" w:themeColor="text1"/>
          <w:sz w:val="24"/>
        </w:rPr>
        <w:t>语应</w:t>
      </w:r>
      <w:r>
        <w:rPr>
          <w:rFonts w:hint="eastAsia" w:ascii="宋体" w:hAnsi="宋体"/>
          <w:color w:val="000000" w:themeColor="text1"/>
          <w:sz w:val="24"/>
        </w:rPr>
        <w:t>按以下内容进行</w:t>
      </w:r>
      <w:r>
        <w:rPr>
          <w:rFonts w:ascii="宋体" w:hAnsi="宋体"/>
          <w:color w:val="000000" w:themeColor="text1"/>
          <w:sz w:val="24"/>
        </w:rPr>
        <w:t>解释：</w:t>
      </w:r>
    </w:p>
    <w:p w14:paraId="30689C3D">
      <w:pPr>
        <w:spacing w:line="360" w:lineRule="auto"/>
        <w:ind w:firstLine="480" w:firstLineChars="200"/>
        <w:rPr>
          <w:rFonts w:ascii="宋体" w:hAnsi="宋体"/>
          <w:color w:val="000000" w:themeColor="text1"/>
          <w:sz w:val="24"/>
        </w:rPr>
      </w:pPr>
      <w:r>
        <w:rPr>
          <w:rFonts w:ascii="宋体" w:hAnsi="宋体"/>
          <w:color w:val="000000" w:themeColor="text1"/>
          <w:sz w:val="24"/>
        </w:rPr>
        <w:t>2.1.1 “合同”系指采购人和</w:t>
      </w:r>
      <w:r>
        <w:rPr>
          <w:rFonts w:hint="eastAsia" w:ascii="宋体" w:hAnsi="宋体" w:cs="宋体"/>
          <w:color w:val="000000" w:themeColor="text1"/>
          <w:sz w:val="24"/>
        </w:rPr>
        <w:t>中标或成交</w:t>
      </w:r>
      <w:r>
        <w:rPr>
          <w:rFonts w:ascii="宋体" w:hAnsi="宋体"/>
          <w:color w:val="000000" w:themeColor="text1"/>
          <w:sz w:val="24"/>
        </w:rPr>
        <w:t>供应商签订的载明双方当事人所达成的协议，并包括所有的附件、附录和构成合同的其他文件。</w:t>
      </w:r>
    </w:p>
    <w:p w14:paraId="3149233E">
      <w:pPr>
        <w:spacing w:line="360" w:lineRule="auto"/>
        <w:ind w:firstLine="480" w:firstLineChars="200"/>
        <w:rPr>
          <w:rFonts w:ascii="宋体" w:hAnsi="宋体"/>
          <w:color w:val="000000" w:themeColor="text1"/>
          <w:sz w:val="24"/>
        </w:rPr>
      </w:pPr>
      <w:r>
        <w:rPr>
          <w:rFonts w:ascii="宋体" w:hAnsi="宋体"/>
          <w:color w:val="000000" w:themeColor="text1"/>
          <w:sz w:val="24"/>
        </w:rPr>
        <w:t>2.1.2 “合同价”系指根据合同约定，</w:t>
      </w:r>
      <w:r>
        <w:rPr>
          <w:rFonts w:hint="eastAsia" w:ascii="宋体" w:hAnsi="宋体" w:cs="宋体"/>
          <w:color w:val="000000" w:themeColor="text1"/>
          <w:sz w:val="24"/>
        </w:rPr>
        <w:t>中标或成交</w:t>
      </w:r>
      <w:r>
        <w:rPr>
          <w:rFonts w:ascii="宋体" w:hAnsi="宋体"/>
          <w:color w:val="000000" w:themeColor="text1"/>
          <w:sz w:val="24"/>
        </w:rPr>
        <w:t>供应商在完全履行合同义务后</w:t>
      </w:r>
      <w:r>
        <w:rPr>
          <w:rFonts w:hint="eastAsia" w:ascii="宋体" w:hAnsi="宋体"/>
          <w:color w:val="000000" w:themeColor="text1"/>
          <w:sz w:val="24"/>
        </w:rPr>
        <w:t>，</w:t>
      </w:r>
      <w:r>
        <w:rPr>
          <w:rFonts w:ascii="宋体" w:hAnsi="宋体"/>
          <w:color w:val="000000" w:themeColor="text1"/>
          <w:sz w:val="24"/>
        </w:rPr>
        <w:t>采购人应支付给</w:t>
      </w:r>
      <w:r>
        <w:rPr>
          <w:rFonts w:hint="eastAsia" w:ascii="宋体" w:hAnsi="宋体" w:cs="宋体"/>
          <w:color w:val="000000" w:themeColor="text1"/>
          <w:sz w:val="24"/>
        </w:rPr>
        <w:t>中标或成交</w:t>
      </w:r>
      <w:r>
        <w:rPr>
          <w:rFonts w:ascii="宋体" w:hAnsi="宋体"/>
          <w:color w:val="000000" w:themeColor="text1"/>
          <w:sz w:val="24"/>
        </w:rPr>
        <w:t>供应商的价格。</w:t>
      </w:r>
    </w:p>
    <w:p w14:paraId="5E21007E">
      <w:pPr>
        <w:spacing w:line="360" w:lineRule="auto"/>
        <w:ind w:firstLine="480" w:firstLineChars="200"/>
        <w:rPr>
          <w:rFonts w:ascii="宋体" w:hAnsi="宋体"/>
          <w:color w:val="000000" w:themeColor="text1"/>
          <w:sz w:val="24"/>
        </w:rPr>
      </w:pPr>
      <w:r>
        <w:rPr>
          <w:rFonts w:ascii="宋体" w:hAnsi="宋体"/>
          <w:color w:val="000000" w:themeColor="text1"/>
          <w:sz w:val="24"/>
        </w:rPr>
        <w:t>2.1.3 “</w:t>
      </w:r>
      <w:r>
        <w:rPr>
          <w:rFonts w:hint="eastAsia" w:ascii="宋体" w:hAnsi="宋体"/>
          <w:color w:val="000000" w:themeColor="text1"/>
          <w:sz w:val="24"/>
        </w:rPr>
        <w:t>服务</w:t>
      </w:r>
      <w:r>
        <w:rPr>
          <w:rFonts w:ascii="宋体" w:hAnsi="宋体"/>
          <w:color w:val="000000" w:themeColor="text1"/>
          <w:sz w:val="24"/>
        </w:rPr>
        <w:t>”系指</w:t>
      </w:r>
      <w:r>
        <w:rPr>
          <w:rFonts w:hint="eastAsia" w:ascii="宋体" w:hAnsi="宋体" w:cs="宋体"/>
          <w:color w:val="000000" w:themeColor="text1"/>
          <w:sz w:val="24"/>
        </w:rPr>
        <w:t>中标或成交</w:t>
      </w:r>
      <w:r>
        <w:rPr>
          <w:rFonts w:hint="eastAsia" w:ascii="宋体" w:hAnsi="宋体"/>
          <w:color w:val="000000" w:themeColor="text1"/>
          <w:sz w:val="24"/>
        </w:rPr>
        <w:t>供应商</w:t>
      </w:r>
      <w:r>
        <w:rPr>
          <w:rFonts w:ascii="宋体" w:hAnsi="宋体"/>
          <w:color w:val="000000" w:themeColor="text1"/>
          <w:sz w:val="24"/>
        </w:rPr>
        <w:t>根据合同约定应向采购人</w:t>
      </w:r>
      <w:r>
        <w:rPr>
          <w:rFonts w:hint="eastAsia" w:ascii="宋体" w:hAnsi="宋体"/>
          <w:color w:val="000000" w:themeColor="text1"/>
          <w:sz w:val="24"/>
        </w:rPr>
        <w:t>履行</w:t>
      </w:r>
      <w:r>
        <w:rPr>
          <w:rFonts w:ascii="宋体" w:hAnsi="宋体"/>
          <w:color w:val="000000" w:themeColor="text1"/>
          <w:sz w:val="24"/>
        </w:rPr>
        <w:t>的</w:t>
      </w:r>
      <w:r>
        <w:rPr>
          <w:rFonts w:hint="eastAsia" w:ascii="宋体" w:hAnsi="宋体"/>
          <w:color w:val="000000" w:themeColor="text1"/>
          <w:sz w:val="24"/>
        </w:rPr>
        <w:t>除货物和工程以外的其他政府采购对象，包括采购人自身需要的服务和向社会公众提供的公共服务。</w:t>
      </w:r>
    </w:p>
    <w:p w14:paraId="437CB64E">
      <w:pPr>
        <w:spacing w:line="360" w:lineRule="auto"/>
        <w:ind w:firstLine="480" w:firstLineChars="200"/>
        <w:rPr>
          <w:rFonts w:ascii="宋体" w:hAnsi="宋体"/>
          <w:color w:val="000000" w:themeColor="text1"/>
          <w:sz w:val="24"/>
        </w:rPr>
      </w:pPr>
      <w:r>
        <w:rPr>
          <w:rFonts w:ascii="宋体" w:hAnsi="宋体"/>
          <w:color w:val="000000" w:themeColor="text1"/>
          <w:sz w:val="24"/>
        </w:rPr>
        <w:t>2.1.4 “</w:t>
      </w:r>
      <w:r>
        <w:rPr>
          <w:rFonts w:hint="eastAsia" w:ascii="宋体" w:hAnsi="宋体"/>
          <w:color w:val="000000" w:themeColor="text1"/>
          <w:sz w:val="24"/>
        </w:rPr>
        <w:t>甲方</w:t>
      </w:r>
      <w:r>
        <w:rPr>
          <w:rFonts w:ascii="宋体" w:hAnsi="宋体"/>
          <w:color w:val="000000" w:themeColor="text1"/>
          <w:sz w:val="24"/>
        </w:rPr>
        <w:t>”系指与</w:t>
      </w:r>
      <w:r>
        <w:rPr>
          <w:rFonts w:hint="eastAsia" w:ascii="宋体" w:hAnsi="宋体" w:cs="宋体"/>
          <w:color w:val="000000" w:themeColor="text1"/>
          <w:sz w:val="24"/>
        </w:rPr>
        <w:t>中标或成交</w:t>
      </w:r>
      <w:r>
        <w:rPr>
          <w:rFonts w:hint="eastAsia" w:ascii="宋体" w:hAnsi="宋体"/>
          <w:color w:val="000000" w:themeColor="text1"/>
          <w:sz w:val="24"/>
        </w:rPr>
        <w:t>供应商</w:t>
      </w:r>
      <w:r>
        <w:rPr>
          <w:rFonts w:ascii="宋体" w:hAnsi="宋体"/>
          <w:color w:val="000000" w:themeColor="text1"/>
          <w:sz w:val="24"/>
        </w:rPr>
        <w:t>签署合同的采购人</w:t>
      </w:r>
      <w:r>
        <w:rPr>
          <w:rFonts w:hint="eastAsia" w:ascii="宋体" w:hAnsi="宋体"/>
          <w:color w:val="000000" w:themeColor="text1"/>
          <w:sz w:val="24"/>
        </w:rPr>
        <w:t>；采购人委托采购代理机构代表其与乙方签订合同的，采购人的授权委托书作为合同附件。</w:t>
      </w:r>
    </w:p>
    <w:p w14:paraId="2A294A83">
      <w:pPr>
        <w:spacing w:line="360" w:lineRule="auto"/>
        <w:ind w:firstLine="480" w:firstLineChars="200"/>
        <w:rPr>
          <w:rFonts w:ascii="宋体" w:hAnsi="宋体"/>
          <w:color w:val="000000" w:themeColor="text1"/>
          <w:sz w:val="24"/>
        </w:rPr>
      </w:pPr>
      <w:r>
        <w:rPr>
          <w:rFonts w:ascii="宋体" w:hAnsi="宋体"/>
          <w:color w:val="000000" w:themeColor="text1"/>
          <w:sz w:val="24"/>
        </w:rPr>
        <w:t>2.1.5 “乙方”系指根据合同约定提供服务的</w:t>
      </w:r>
      <w:r>
        <w:rPr>
          <w:rFonts w:hint="eastAsia" w:ascii="宋体" w:hAnsi="宋体" w:cs="宋体"/>
          <w:color w:val="000000" w:themeColor="text1"/>
          <w:sz w:val="24"/>
        </w:rPr>
        <w:t>中标或成交</w:t>
      </w:r>
      <w:r>
        <w:rPr>
          <w:rFonts w:ascii="宋体" w:hAnsi="宋体"/>
          <w:color w:val="000000" w:themeColor="text1"/>
          <w:sz w:val="24"/>
        </w:rPr>
        <w:t>供应商</w:t>
      </w:r>
      <w:r>
        <w:rPr>
          <w:rFonts w:hint="eastAsia" w:ascii="宋体" w:hAnsi="宋体"/>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A73D369">
      <w:pPr>
        <w:spacing w:line="360" w:lineRule="auto"/>
        <w:ind w:firstLine="480" w:firstLineChars="200"/>
        <w:rPr>
          <w:rFonts w:ascii="宋体" w:hAnsi="宋体"/>
          <w:color w:val="000000" w:themeColor="text1"/>
          <w:sz w:val="24"/>
        </w:rPr>
      </w:pPr>
      <w:r>
        <w:rPr>
          <w:rFonts w:ascii="宋体" w:hAnsi="宋体"/>
          <w:color w:val="000000" w:themeColor="text1"/>
          <w:sz w:val="24"/>
        </w:rPr>
        <w:t>2.1.6 “现场”系指合同约定提供服务的地点。</w:t>
      </w:r>
    </w:p>
    <w:p w14:paraId="6264944C">
      <w:pPr>
        <w:spacing w:line="360" w:lineRule="auto"/>
        <w:ind w:firstLine="482" w:firstLineChars="200"/>
        <w:rPr>
          <w:rFonts w:ascii="宋体" w:hAnsi="宋体"/>
          <w:b/>
          <w:color w:val="000000" w:themeColor="text1"/>
          <w:sz w:val="24"/>
        </w:rPr>
      </w:pPr>
      <w:bookmarkStart w:id="439" w:name="_Toc23289"/>
      <w:bookmarkStart w:id="440" w:name="_Toc19539"/>
      <w:bookmarkStart w:id="441" w:name="_Toc16752"/>
      <w:bookmarkStart w:id="442" w:name="_Toc31402"/>
      <w:bookmarkStart w:id="443" w:name="_Toc3769"/>
      <w:r>
        <w:rPr>
          <w:rFonts w:ascii="宋体" w:hAnsi="宋体"/>
          <w:b/>
          <w:color w:val="000000" w:themeColor="text1"/>
          <w:sz w:val="24"/>
        </w:rPr>
        <w:t>2.2 技术规范</w:t>
      </w:r>
      <w:bookmarkEnd w:id="439"/>
      <w:bookmarkEnd w:id="440"/>
      <w:bookmarkEnd w:id="441"/>
      <w:bookmarkEnd w:id="442"/>
      <w:bookmarkEnd w:id="443"/>
    </w:p>
    <w:p w14:paraId="56779095">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hint="eastAsia" w:ascii="宋体" w:hAnsi="宋体"/>
          <w:color w:val="000000" w:themeColor="text1"/>
          <w:sz w:val="24"/>
        </w:rPr>
        <w:t>和</w:t>
      </w:r>
      <w:r>
        <w:rPr>
          <w:rFonts w:ascii="宋体" w:hAnsi="宋体"/>
          <w:color w:val="000000" w:themeColor="text1"/>
          <w:sz w:val="24"/>
        </w:rPr>
        <w:t>规范为准。</w:t>
      </w:r>
    </w:p>
    <w:p w14:paraId="16869F8F">
      <w:pPr>
        <w:spacing w:line="360" w:lineRule="auto"/>
        <w:ind w:firstLine="482" w:firstLineChars="200"/>
        <w:rPr>
          <w:rFonts w:ascii="宋体" w:hAnsi="宋体"/>
          <w:b/>
          <w:color w:val="000000" w:themeColor="text1"/>
          <w:sz w:val="24"/>
        </w:rPr>
      </w:pPr>
      <w:bookmarkStart w:id="444" w:name="_Toc12412"/>
      <w:bookmarkStart w:id="445" w:name="_Toc27945"/>
      <w:bookmarkStart w:id="446" w:name="_Toc13673"/>
      <w:bookmarkStart w:id="447" w:name="_Toc9161"/>
      <w:bookmarkStart w:id="448" w:name="_Toc4133"/>
      <w:r>
        <w:rPr>
          <w:rFonts w:ascii="宋体" w:hAnsi="宋体"/>
          <w:b/>
          <w:color w:val="000000" w:themeColor="text1"/>
          <w:sz w:val="24"/>
        </w:rPr>
        <w:t>2.3 知识产权</w:t>
      </w:r>
      <w:bookmarkEnd w:id="444"/>
      <w:bookmarkEnd w:id="445"/>
      <w:bookmarkEnd w:id="446"/>
      <w:bookmarkEnd w:id="447"/>
      <w:bookmarkEnd w:id="448"/>
    </w:p>
    <w:p w14:paraId="3FA17E22">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2.3.1 </w:t>
      </w:r>
      <w:r>
        <w:rPr>
          <w:rFonts w:hint="eastAsia" w:ascii="宋体" w:hAnsi="宋体"/>
          <w:color w:val="000000" w:themeColor="text1"/>
          <w:sz w:val="24"/>
        </w:rPr>
        <w:t>乙</w:t>
      </w:r>
      <w:r>
        <w:rPr>
          <w:rFonts w:ascii="宋体" w:hAnsi="宋体"/>
          <w:color w:val="000000" w:themeColor="text1"/>
          <w:sz w:val="24"/>
        </w:rPr>
        <w:t>方应保证</w:t>
      </w:r>
      <w:r>
        <w:rPr>
          <w:rFonts w:hint="eastAsia" w:ascii="宋体" w:hAnsi="宋体"/>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hint="eastAsia" w:ascii="宋体" w:hAnsi="宋体"/>
          <w:color w:val="000000" w:themeColor="text1"/>
          <w:sz w:val="24"/>
        </w:rPr>
        <w:t>；</w:t>
      </w:r>
      <w:r>
        <w:rPr>
          <w:rFonts w:ascii="宋体" w:hAnsi="宋体"/>
          <w:color w:val="000000" w:themeColor="text1"/>
          <w:sz w:val="24"/>
        </w:rPr>
        <w:t>如果任何第三方提出侵权</w:t>
      </w:r>
      <w:r>
        <w:rPr>
          <w:rFonts w:hint="eastAsia" w:ascii="宋体" w:hAnsi="宋体"/>
          <w:color w:val="000000" w:themeColor="text1"/>
          <w:sz w:val="24"/>
        </w:rPr>
        <w:t>指控</w:t>
      </w:r>
      <w:r>
        <w:rPr>
          <w:rFonts w:ascii="宋体" w:hAnsi="宋体"/>
          <w:color w:val="000000" w:themeColor="text1"/>
          <w:sz w:val="24"/>
        </w:rPr>
        <w:t>，那么乙方须与该第三方交涉并承担由此发生的一切责任、费用和赔偿</w:t>
      </w:r>
      <w:r>
        <w:rPr>
          <w:rFonts w:hint="eastAsia" w:ascii="宋体" w:hAnsi="宋体"/>
          <w:color w:val="000000" w:themeColor="text1"/>
          <w:sz w:val="24"/>
        </w:rPr>
        <w:t>，乙方还应及时澄清相关信息，使甲方声誉免受损害，甲方保留追责的权利。</w:t>
      </w:r>
    </w:p>
    <w:p w14:paraId="126412C0">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2.3.2 </w:t>
      </w:r>
      <w:r>
        <w:rPr>
          <w:rFonts w:hint="eastAsia" w:ascii="宋体" w:hAnsi="宋体"/>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14:paraId="03555017">
      <w:pPr>
        <w:spacing w:line="360" w:lineRule="auto"/>
        <w:ind w:firstLine="482" w:firstLineChars="200"/>
        <w:rPr>
          <w:rFonts w:ascii="宋体" w:hAnsi="宋体"/>
          <w:b/>
          <w:color w:val="000000" w:themeColor="text1"/>
          <w:sz w:val="24"/>
        </w:rPr>
      </w:pPr>
      <w:r>
        <w:rPr>
          <w:rFonts w:ascii="宋体" w:hAnsi="宋体"/>
          <w:b/>
          <w:color w:val="000000" w:themeColor="text1"/>
          <w:sz w:val="24"/>
        </w:rPr>
        <w:t xml:space="preserve">2.4 </w:t>
      </w:r>
      <w:r>
        <w:rPr>
          <w:rFonts w:hint="eastAsia" w:ascii="宋体" w:hAnsi="宋体"/>
          <w:b/>
          <w:color w:val="000000" w:themeColor="text1"/>
          <w:sz w:val="24"/>
        </w:rPr>
        <w:t>履约检查和问题反馈</w:t>
      </w:r>
    </w:p>
    <w:p w14:paraId="4CC66661">
      <w:pPr>
        <w:spacing w:line="360" w:lineRule="auto"/>
        <w:ind w:firstLine="480" w:firstLineChars="200"/>
        <w:rPr>
          <w:rFonts w:ascii="宋体" w:hAnsi="宋体"/>
          <w:color w:val="000000" w:themeColor="text1"/>
          <w:sz w:val="24"/>
        </w:rPr>
      </w:pPr>
      <w:r>
        <w:rPr>
          <w:rFonts w:ascii="宋体" w:hAnsi="宋体"/>
          <w:color w:val="000000" w:themeColor="text1"/>
          <w:sz w:val="24"/>
        </w:rPr>
        <w:t>2.4.1甲方</w:t>
      </w:r>
      <w:r>
        <w:rPr>
          <w:rFonts w:hint="eastAsia" w:ascii="宋体" w:hAnsi="宋体"/>
          <w:color w:val="000000" w:themeColor="text1"/>
          <w:sz w:val="24"/>
        </w:rPr>
        <w:t>有权</w:t>
      </w:r>
      <w:r>
        <w:rPr>
          <w:rFonts w:ascii="宋体" w:hAnsi="宋体"/>
          <w:color w:val="000000" w:themeColor="text1"/>
          <w:sz w:val="24"/>
        </w:rPr>
        <w:t>在其认为必要时</w:t>
      </w:r>
      <w:r>
        <w:rPr>
          <w:rFonts w:hint="eastAsia" w:ascii="宋体" w:hAnsi="宋体"/>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14:paraId="2B7C51A8">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2.4.2 </w:t>
      </w:r>
      <w:r>
        <w:rPr>
          <w:rFonts w:hint="eastAsia" w:ascii="宋体" w:hAnsi="宋体"/>
          <w:color w:val="000000" w:themeColor="text1"/>
          <w:sz w:val="24"/>
        </w:rPr>
        <w:t>合同履行期间，甲方有权将履行过程中出现的问题反馈给乙方，双方当事人应以书面形式约定需要完善和改进的内容。</w:t>
      </w:r>
    </w:p>
    <w:p w14:paraId="7C0916E4">
      <w:pPr>
        <w:spacing w:line="360" w:lineRule="auto"/>
        <w:ind w:firstLine="482" w:firstLineChars="200"/>
        <w:rPr>
          <w:rFonts w:ascii="宋体" w:hAnsi="宋体"/>
          <w:b/>
          <w:color w:val="000000" w:themeColor="text1"/>
          <w:sz w:val="24"/>
        </w:rPr>
      </w:pPr>
      <w:bookmarkStart w:id="449" w:name="_Toc15447"/>
      <w:bookmarkStart w:id="450" w:name="_Toc32670"/>
      <w:bookmarkStart w:id="451" w:name="_Toc26555"/>
      <w:bookmarkStart w:id="452" w:name="_Toc31233"/>
      <w:bookmarkStart w:id="453" w:name="_Toc22011"/>
      <w:r>
        <w:rPr>
          <w:rFonts w:ascii="宋体" w:hAnsi="宋体"/>
          <w:b/>
          <w:color w:val="000000" w:themeColor="text1"/>
          <w:sz w:val="24"/>
        </w:rPr>
        <w:t>2.5 结算方式和付款条件</w:t>
      </w:r>
      <w:bookmarkEnd w:id="449"/>
      <w:bookmarkEnd w:id="450"/>
      <w:bookmarkEnd w:id="451"/>
      <w:bookmarkEnd w:id="452"/>
      <w:bookmarkEnd w:id="453"/>
    </w:p>
    <w:p w14:paraId="12CC05A9">
      <w:pPr>
        <w:spacing w:line="360" w:lineRule="auto"/>
        <w:ind w:firstLine="480" w:firstLineChars="20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14:paraId="6BD0A165">
      <w:pPr>
        <w:spacing w:line="360" w:lineRule="auto"/>
        <w:ind w:firstLine="482" w:firstLineChars="200"/>
        <w:rPr>
          <w:rFonts w:ascii="宋体" w:hAnsi="宋体"/>
          <w:b/>
          <w:color w:val="000000" w:themeColor="text1"/>
          <w:sz w:val="24"/>
        </w:rPr>
      </w:pPr>
      <w:bookmarkStart w:id="454" w:name="_Toc13154"/>
      <w:bookmarkStart w:id="455" w:name="_Toc30507"/>
      <w:bookmarkStart w:id="456" w:name="_Toc18990"/>
      <w:bookmarkStart w:id="457" w:name="_Toc16163"/>
      <w:bookmarkStart w:id="458" w:name="_Toc13467"/>
      <w:r>
        <w:rPr>
          <w:rFonts w:ascii="宋体" w:hAnsi="宋体"/>
          <w:b/>
          <w:color w:val="000000" w:themeColor="text1"/>
          <w:sz w:val="24"/>
        </w:rPr>
        <w:t>2.6 技术资料和保密义务</w:t>
      </w:r>
      <w:bookmarkEnd w:id="454"/>
      <w:bookmarkEnd w:id="455"/>
      <w:bookmarkEnd w:id="456"/>
      <w:bookmarkEnd w:id="457"/>
      <w:bookmarkEnd w:id="458"/>
    </w:p>
    <w:p w14:paraId="4A85E3E9">
      <w:pPr>
        <w:spacing w:line="360" w:lineRule="auto"/>
        <w:ind w:firstLine="480" w:firstLineChars="20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14:paraId="0FCDEC88">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2.6.2 </w:t>
      </w:r>
      <w:r>
        <w:rPr>
          <w:rFonts w:hint="eastAsia" w:ascii="宋体" w:hAnsi="宋体"/>
          <w:color w:val="000000" w:themeColor="text1"/>
          <w:sz w:val="24"/>
        </w:rPr>
        <w:t>乙方有义务妥善保管和保护由甲方提供的前款信息和资料等；</w:t>
      </w:r>
    </w:p>
    <w:p w14:paraId="0E7AEA9D">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2.6.3 </w:t>
      </w:r>
      <w:r>
        <w:rPr>
          <w:rFonts w:hint="eastAsia" w:ascii="宋体" w:hAnsi="宋体"/>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hint="eastAsia" w:ascii="宋体" w:hAnsi="宋体"/>
          <w:color w:val="000000" w:themeColor="text1"/>
          <w:sz w:val="24"/>
        </w:rPr>
        <w:t>、</w:t>
      </w:r>
      <w:r>
        <w:rPr>
          <w:rFonts w:ascii="宋体" w:hAnsi="宋体"/>
          <w:color w:val="000000" w:themeColor="text1"/>
          <w:sz w:val="24"/>
        </w:rPr>
        <w:t>技术资料</w:t>
      </w:r>
      <w:r>
        <w:rPr>
          <w:rFonts w:hint="eastAsia" w:ascii="宋体" w:hAnsi="宋体"/>
          <w:color w:val="000000" w:themeColor="text1"/>
          <w:sz w:val="24"/>
        </w:rPr>
        <w:t>、商业秘密和商业信息等，并采取一切合理和必要措施和方式防止任何第三方接触到对方当事人的上述保密信息和资料。</w:t>
      </w:r>
    </w:p>
    <w:p w14:paraId="2F747F36">
      <w:pPr>
        <w:spacing w:line="360" w:lineRule="auto"/>
        <w:ind w:firstLine="482" w:firstLineChars="200"/>
        <w:rPr>
          <w:rFonts w:ascii="宋体" w:hAnsi="宋体"/>
          <w:b/>
          <w:color w:val="000000" w:themeColor="text1"/>
          <w:sz w:val="24"/>
        </w:rPr>
      </w:pPr>
      <w:bookmarkStart w:id="459" w:name="_Toc19069"/>
      <w:r>
        <w:rPr>
          <w:rFonts w:ascii="宋体" w:hAnsi="宋体"/>
          <w:b/>
          <w:color w:val="000000" w:themeColor="text1"/>
          <w:sz w:val="24"/>
        </w:rPr>
        <w:t xml:space="preserve">2.7 </w:t>
      </w:r>
      <w:r>
        <w:rPr>
          <w:rFonts w:hint="eastAsia" w:ascii="宋体" w:hAnsi="宋体"/>
          <w:b/>
          <w:color w:val="000000" w:themeColor="text1"/>
          <w:sz w:val="24"/>
        </w:rPr>
        <w:t>质量保证</w:t>
      </w:r>
      <w:bookmarkEnd w:id="459"/>
    </w:p>
    <w:p w14:paraId="3E15AABB">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2.7.1 </w:t>
      </w:r>
      <w:r>
        <w:rPr>
          <w:rFonts w:hint="eastAsia" w:ascii="宋体" w:hAnsi="宋体"/>
          <w:color w:val="000000" w:themeColor="text1"/>
          <w:sz w:val="24"/>
        </w:rPr>
        <w:t>乙方应建立和完善履行合同的内部质量保证体系，并提供相关内部规章制度给甲方，以便甲方进行监督检查；</w:t>
      </w:r>
    </w:p>
    <w:p w14:paraId="3E2A3F9E">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2.7.2 </w:t>
      </w:r>
      <w:r>
        <w:rPr>
          <w:rFonts w:hint="eastAsia" w:ascii="宋体" w:hAnsi="宋体"/>
          <w:color w:val="000000" w:themeColor="text1"/>
          <w:sz w:val="24"/>
        </w:rPr>
        <w:t>乙方应保证履行合同的人员数量和素质、软件和硬件设备的配置、场地、环境和设施等满足全面履行合同的要求，并应接受甲方的监督检查。</w:t>
      </w:r>
    </w:p>
    <w:p w14:paraId="001BA6B5">
      <w:pPr>
        <w:spacing w:line="360" w:lineRule="auto"/>
        <w:ind w:firstLine="482" w:firstLineChars="200"/>
        <w:rPr>
          <w:rFonts w:ascii="宋体" w:hAnsi="宋体"/>
          <w:b/>
          <w:color w:val="000000" w:themeColor="text1"/>
          <w:sz w:val="24"/>
        </w:rPr>
      </w:pPr>
      <w:bookmarkStart w:id="460" w:name="_Toc22267"/>
      <w:r>
        <w:rPr>
          <w:rFonts w:ascii="宋体" w:hAnsi="宋体"/>
          <w:b/>
          <w:color w:val="000000" w:themeColor="text1"/>
          <w:sz w:val="24"/>
        </w:rPr>
        <w:t xml:space="preserve">2.8 </w:t>
      </w:r>
      <w:r>
        <w:rPr>
          <w:rFonts w:hint="eastAsia" w:ascii="宋体" w:hAnsi="宋体"/>
          <w:b/>
          <w:color w:val="000000" w:themeColor="text1"/>
          <w:sz w:val="24"/>
        </w:rPr>
        <w:t>延迟履行</w:t>
      </w:r>
      <w:bookmarkEnd w:id="460"/>
    </w:p>
    <w:p w14:paraId="7E70C2E1">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hint="eastAsia" w:ascii="宋体" w:hAnsi="宋体"/>
          <w:color w:val="000000" w:themeColor="text1"/>
          <w:sz w:val="24"/>
        </w:rPr>
        <w:t>因不可抗力，</w:t>
      </w:r>
      <w:r>
        <w:rPr>
          <w:rFonts w:ascii="宋体" w:hAnsi="宋体"/>
          <w:color w:val="000000" w:themeColor="text1"/>
          <w:sz w:val="24"/>
        </w:rPr>
        <w:t>乙方遇到不能按时</w:t>
      </w:r>
      <w:r>
        <w:rPr>
          <w:rFonts w:hint="eastAsia" w:ascii="宋体" w:hAnsi="宋体"/>
          <w:color w:val="000000" w:themeColor="text1"/>
          <w:sz w:val="24"/>
        </w:rPr>
        <w:t>提供服务</w:t>
      </w:r>
      <w:r>
        <w:rPr>
          <w:rFonts w:ascii="宋体" w:hAnsi="宋体"/>
          <w:color w:val="000000" w:themeColor="text1"/>
          <w:sz w:val="24"/>
        </w:rPr>
        <w:t>的情况，应及时以书面形式将不能按时</w:t>
      </w:r>
      <w:r>
        <w:rPr>
          <w:rFonts w:hint="eastAsia" w:ascii="宋体" w:hAnsi="宋体"/>
          <w:color w:val="000000" w:themeColor="text1"/>
          <w:sz w:val="24"/>
        </w:rPr>
        <w:t>提供服务</w:t>
      </w:r>
      <w:r>
        <w:rPr>
          <w:rFonts w:ascii="宋体" w:hAnsi="宋体"/>
          <w:color w:val="000000" w:themeColor="text1"/>
          <w:sz w:val="24"/>
        </w:rPr>
        <w:t>的理由、预期延误时间通知甲方</w:t>
      </w:r>
      <w:r>
        <w:rPr>
          <w:rFonts w:hint="eastAsia" w:ascii="宋体" w:hAnsi="宋体"/>
          <w:color w:val="000000" w:themeColor="text1"/>
          <w:sz w:val="24"/>
        </w:rPr>
        <w:t>；甲</w:t>
      </w:r>
      <w:r>
        <w:rPr>
          <w:rFonts w:ascii="宋体" w:hAnsi="宋体"/>
          <w:color w:val="000000" w:themeColor="text1"/>
          <w:sz w:val="24"/>
        </w:rPr>
        <w:t>方收到乙方通知后，认为其理由正当的，可以书面形式酌情同意乙方可以延长</w:t>
      </w:r>
      <w:r>
        <w:rPr>
          <w:rFonts w:hint="eastAsia" w:ascii="宋体" w:hAnsi="宋体"/>
          <w:color w:val="000000" w:themeColor="text1"/>
          <w:sz w:val="24"/>
        </w:rPr>
        <w:t>履行</w:t>
      </w:r>
      <w:r>
        <w:rPr>
          <w:rFonts w:ascii="宋体" w:hAnsi="宋体"/>
          <w:color w:val="000000" w:themeColor="text1"/>
          <w:sz w:val="24"/>
        </w:rPr>
        <w:t>的具体时间。</w:t>
      </w:r>
    </w:p>
    <w:p w14:paraId="7C956B10">
      <w:pPr>
        <w:spacing w:line="360" w:lineRule="auto"/>
        <w:ind w:firstLine="482" w:firstLineChars="200"/>
        <w:rPr>
          <w:rFonts w:ascii="宋体" w:hAnsi="宋体"/>
          <w:b/>
          <w:color w:val="000000" w:themeColor="text1"/>
          <w:sz w:val="24"/>
        </w:rPr>
      </w:pPr>
      <w:bookmarkStart w:id="461" w:name="_Toc10611"/>
      <w:r>
        <w:rPr>
          <w:rFonts w:ascii="宋体" w:hAnsi="宋体"/>
          <w:b/>
          <w:color w:val="000000" w:themeColor="text1"/>
          <w:sz w:val="24"/>
        </w:rPr>
        <w:t xml:space="preserve">2.9 </w:t>
      </w:r>
      <w:r>
        <w:rPr>
          <w:rFonts w:hint="eastAsia" w:ascii="宋体" w:hAnsi="宋体"/>
          <w:b/>
          <w:color w:val="000000" w:themeColor="text1"/>
          <w:sz w:val="24"/>
        </w:rPr>
        <w:t>合同变更</w:t>
      </w:r>
      <w:bookmarkEnd w:id="461"/>
    </w:p>
    <w:p w14:paraId="2B12AD8F">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合同继续履行将损害国家利益和社会公共利益的，双方当事人应当以书面形式变更合同。有过错的一方应当承担赔偿责任，双方当事人都有过错的，各自承担相应的责任。</w:t>
      </w:r>
    </w:p>
    <w:p w14:paraId="6C062C36">
      <w:pPr>
        <w:spacing w:line="360" w:lineRule="auto"/>
        <w:ind w:firstLine="482" w:firstLineChars="200"/>
        <w:rPr>
          <w:rFonts w:ascii="宋体" w:hAnsi="宋体"/>
          <w:b/>
          <w:color w:val="000000" w:themeColor="text1"/>
          <w:sz w:val="24"/>
        </w:rPr>
      </w:pPr>
      <w:bookmarkStart w:id="462" w:name="_Toc42"/>
      <w:bookmarkStart w:id="463" w:name="_Toc26689"/>
      <w:bookmarkStart w:id="464" w:name="_Toc10663"/>
      <w:bookmarkStart w:id="465" w:name="_Toc23368"/>
      <w:bookmarkStart w:id="466" w:name="_Toc21830"/>
      <w:r>
        <w:rPr>
          <w:rFonts w:ascii="宋体" w:hAnsi="宋体"/>
          <w:b/>
          <w:color w:val="000000" w:themeColor="text1"/>
          <w:sz w:val="24"/>
        </w:rPr>
        <w:t>2.10 合同转让和分包</w:t>
      </w:r>
      <w:bookmarkEnd w:id="462"/>
      <w:bookmarkEnd w:id="463"/>
      <w:bookmarkEnd w:id="464"/>
      <w:bookmarkEnd w:id="465"/>
      <w:bookmarkEnd w:id="466"/>
    </w:p>
    <w:p w14:paraId="3AE0F7D2">
      <w:pPr>
        <w:spacing w:line="360" w:lineRule="auto"/>
        <w:ind w:firstLine="480" w:firstLineChars="200"/>
        <w:rPr>
          <w:rFonts w:ascii="宋体" w:hAnsi="宋体"/>
          <w:color w:val="000000" w:themeColor="text1"/>
          <w:sz w:val="24"/>
        </w:rPr>
      </w:pPr>
      <w:r>
        <w:rPr>
          <w:rFonts w:ascii="宋体" w:hAnsi="宋体"/>
          <w:color w:val="000000" w:themeColor="text1"/>
          <w:sz w:val="24"/>
        </w:rPr>
        <w:t>合同的权利义务依法不</w:t>
      </w:r>
      <w:r>
        <w:rPr>
          <w:rFonts w:hint="eastAsia" w:ascii="宋体" w:hAnsi="宋体"/>
          <w:color w:val="000000" w:themeColor="text1"/>
          <w:sz w:val="24"/>
        </w:rPr>
        <w:t>得</w:t>
      </w:r>
      <w:r>
        <w:rPr>
          <w:rFonts w:ascii="宋体" w:hAnsi="宋体"/>
          <w:color w:val="000000" w:themeColor="text1"/>
          <w:sz w:val="24"/>
        </w:rPr>
        <w:t>转让</w:t>
      </w:r>
      <w:r>
        <w:rPr>
          <w:rFonts w:hint="eastAsia" w:ascii="宋体" w:hAnsi="宋体"/>
          <w:color w:val="000000" w:themeColor="text1"/>
          <w:sz w:val="24"/>
        </w:rPr>
        <w:t>，</w:t>
      </w:r>
      <w:r>
        <w:rPr>
          <w:rFonts w:ascii="宋体" w:hAnsi="宋体"/>
          <w:color w:val="000000" w:themeColor="text1"/>
          <w:sz w:val="24"/>
        </w:rPr>
        <w:t>但经甲方</w:t>
      </w:r>
      <w:r>
        <w:rPr>
          <w:rFonts w:hint="eastAsia" w:ascii="宋体" w:hAnsi="宋体"/>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hint="eastAsia" w:ascii="宋体" w:hAnsi="宋体"/>
          <w:color w:val="000000" w:themeColor="text1"/>
          <w:sz w:val="24"/>
        </w:rPr>
        <w:t>，</w:t>
      </w:r>
      <w:r>
        <w:rPr>
          <w:rFonts w:ascii="宋体" w:hAnsi="宋体"/>
          <w:color w:val="000000" w:themeColor="text1"/>
          <w:sz w:val="24"/>
        </w:rPr>
        <w:t>接受分包的人应当具备相应的资格条件，并不得再次分包</w:t>
      </w:r>
      <w:r>
        <w:rPr>
          <w:rFonts w:hint="eastAsia" w:ascii="宋体" w:hAnsi="宋体"/>
          <w:color w:val="000000" w:themeColor="text1"/>
          <w:sz w:val="24"/>
        </w:rPr>
        <w:t>，</w:t>
      </w:r>
      <w:r>
        <w:rPr>
          <w:rFonts w:ascii="宋体" w:hAnsi="宋体"/>
          <w:color w:val="000000" w:themeColor="text1"/>
          <w:sz w:val="24"/>
        </w:rPr>
        <w:t>且乙方应就分包项目向甲方负责</w:t>
      </w:r>
      <w:r>
        <w:rPr>
          <w:rFonts w:hint="eastAsia" w:ascii="宋体" w:hAnsi="宋体"/>
          <w:color w:val="000000" w:themeColor="text1"/>
          <w:sz w:val="24"/>
        </w:rPr>
        <w:t>，</w:t>
      </w:r>
      <w:r>
        <w:rPr>
          <w:rFonts w:ascii="宋体" w:hAnsi="宋体"/>
          <w:color w:val="000000" w:themeColor="text1"/>
          <w:sz w:val="24"/>
        </w:rPr>
        <w:t>并</w:t>
      </w:r>
      <w:r>
        <w:rPr>
          <w:rFonts w:hint="eastAsia" w:ascii="宋体" w:hAnsi="宋体"/>
          <w:color w:val="000000" w:themeColor="text1"/>
          <w:sz w:val="24"/>
        </w:rPr>
        <w:t>与分包供应商就分包项目向甲方承担连带责任。</w:t>
      </w:r>
    </w:p>
    <w:p w14:paraId="5E0063CF">
      <w:pPr>
        <w:spacing w:line="360" w:lineRule="auto"/>
        <w:ind w:firstLine="482" w:firstLineChars="200"/>
        <w:rPr>
          <w:rFonts w:ascii="宋体" w:hAnsi="宋体"/>
          <w:b/>
          <w:color w:val="000000" w:themeColor="text1"/>
          <w:sz w:val="24"/>
        </w:rPr>
      </w:pPr>
      <w:bookmarkStart w:id="467" w:name="_Toc25571"/>
      <w:bookmarkStart w:id="468" w:name="_Toc14371"/>
      <w:bookmarkStart w:id="469" w:name="_Toc32494"/>
      <w:bookmarkStart w:id="470" w:name="_Toc4720"/>
      <w:bookmarkStart w:id="471" w:name="_Toc26633"/>
      <w:r>
        <w:rPr>
          <w:rFonts w:ascii="宋体" w:hAnsi="宋体"/>
          <w:b/>
          <w:color w:val="000000" w:themeColor="text1"/>
          <w:sz w:val="24"/>
        </w:rPr>
        <w:t>2.11 不可抗力</w:t>
      </w:r>
      <w:bookmarkEnd w:id="467"/>
      <w:bookmarkEnd w:id="468"/>
      <w:bookmarkEnd w:id="469"/>
      <w:bookmarkEnd w:id="470"/>
      <w:bookmarkEnd w:id="471"/>
    </w:p>
    <w:p w14:paraId="4892AEAD">
      <w:pPr>
        <w:spacing w:line="360" w:lineRule="auto"/>
        <w:ind w:firstLine="480" w:firstLineChars="20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rPr>
        <w:t>；</w:t>
      </w:r>
    </w:p>
    <w:p w14:paraId="57756ADE">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2.11.2 </w:t>
      </w:r>
      <w:r>
        <w:rPr>
          <w:rFonts w:hint="eastAsia" w:ascii="宋体" w:hAnsi="宋体"/>
          <w:color w:val="000000" w:themeColor="text1"/>
          <w:sz w:val="24"/>
        </w:rPr>
        <w:t>因不可抗力致使不能实现合同目的的，当事人可以解除合同；</w:t>
      </w:r>
    </w:p>
    <w:p w14:paraId="72A424EB">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2.11.3 </w:t>
      </w:r>
      <w:r>
        <w:rPr>
          <w:rFonts w:hint="eastAsia" w:ascii="宋体" w:hAnsi="宋体"/>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hint="eastAsia" w:ascii="宋体" w:hAnsi="宋体"/>
          <w:color w:val="000000" w:themeColor="text1"/>
          <w:sz w:val="24"/>
        </w:rPr>
        <w:t>；</w:t>
      </w:r>
    </w:p>
    <w:p w14:paraId="0AB9EA93">
      <w:pPr>
        <w:spacing w:line="360" w:lineRule="auto"/>
        <w:ind w:firstLine="480" w:firstLineChars="200"/>
        <w:rPr>
          <w:rFonts w:ascii="宋体" w:hAnsi="宋体"/>
          <w:color w:val="000000" w:themeColor="text1"/>
          <w:sz w:val="24"/>
        </w:rPr>
      </w:pPr>
      <w:r>
        <w:rPr>
          <w:rFonts w:ascii="宋体" w:hAnsi="宋体"/>
          <w:color w:val="000000" w:themeColor="text1"/>
          <w:sz w:val="24"/>
        </w:rPr>
        <w:t>2.11.4受</w:t>
      </w:r>
      <w:r>
        <w:rPr>
          <w:rFonts w:hint="eastAsia" w:ascii="宋体" w:hAnsi="宋体"/>
          <w:color w:val="000000" w:themeColor="text1"/>
          <w:sz w:val="24"/>
        </w:rPr>
        <w:t>不可抗力</w:t>
      </w:r>
      <w:r>
        <w:rPr>
          <w:rFonts w:ascii="宋体" w:hAnsi="宋体"/>
          <w:color w:val="000000" w:themeColor="text1"/>
          <w:sz w:val="24"/>
        </w:rPr>
        <w:t>影响的一方在不可抗力发生后</w:t>
      </w:r>
      <w:r>
        <w:rPr>
          <w:rFonts w:hint="eastAsia" w:ascii="宋体" w:hAnsi="宋体"/>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hint="eastAsia" w:ascii="宋体" w:hAnsi="宋体"/>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hint="eastAsia" w:ascii="宋体" w:hAnsi="宋体"/>
          <w:color w:val="000000" w:themeColor="text1"/>
          <w:sz w:val="24"/>
        </w:rPr>
        <w:t>对方当事人</w:t>
      </w:r>
      <w:r>
        <w:rPr>
          <w:rFonts w:ascii="宋体" w:hAnsi="宋体"/>
          <w:color w:val="000000" w:themeColor="text1"/>
          <w:sz w:val="24"/>
        </w:rPr>
        <w:t>。</w:t>
      </w:r>
    </w:p>
    <w:p w14:paraId="153442ED">
      <w:pPr>
        <w:spacing w:line="360" w:lineRule="auto"/>
        <w:ind w:firstLine="482" w:firstLineChars="200"/>
        <w:rPr>
          <w:rFonts w:ascii="宋体" w:hAnsi="宋体"/>
          <w:b/>
          <w:color w:val="000000" w:themeColor="text1"/>
          <w:sz w:val="24"/>
        </w:rPr>
      </w:pPr>
      <w:bookmarkStart w:id="472" w:name="_Toc25783"/>
      <w:bookmarkStart w:id="473" w:name="_Toc24465"/>
      <w:bookmarkStart w:id="474" w:name="_Toc3638"/>
      <w:bookmarkStart w:id="475" w:name="_Toc23854"/>
      <w:bookmarkStart w:id="476" w:name="_Toc14115"/>
      <w:r>
        <w:rPr>
          <w:rFonts w:ascii="宋体" w:hAnsi="宋体"/>
          <w:b/>
          <w:color w:val="000000" w:themeColor="text1"/>
          <w:sz w:val="24"/>
        </w:rPr>
        <w:t>2.12 税费</w:t>
      </w:r>
      <w:bookmarkEnd w:id="472"/>
      <w:bookmarkEnd w:id="473"/>
      <w:bookmarkEnd w:id="474"/>
      <w:bookmarkEnd w:id="475"/>
      <w:bookmarkEnd w:id="476"/>
    </w:p>
    <w:p w14:paraId="5CF438F9">
      <w:pPr>
        <w:spacing w:line="360" w:lineRule="auto"/>
        <w:ind w:firstLine="480" w:firstLineChars="200"/>
        <w:rPr>
          <w:rFonts w:ascii="宋体" w:hAnsi="宋体"/>
          <w:color w:val="000000" w:themeColor="text1"/>
          <w:sz w:val="24"/>
        </w:rPr>
      </w:pPr>
      <w:r>
        <w:rPr>
          <w:rFonts w:ascii="宋体" w:hAnsi="宋体"/>
          <w:color w:val="000000" w:themeColor="text1"/>
          <w:sz w:val="24"/>
        </w:rPr>
        <w:t>与合同有关的一切税费</w:t>
      </w:r>
      <w:r>
        <w:rPr>
          <w:rFonts w:hint="eastAsia" w:ascii="宋体" w:hAnsi="宋体"/>
          <w:color w:val="000000" w:themeColor="text1"/>
          <w:sz w:val="24"/>
        </w:rPr>
        <w:t>，</w:t>
      </w:r>
      <w:r>
        <w:rPr>
          <w:rFonts w:ascii="宋体" w:hAnsi="宋体"/>
          <w:color w:val="000000" w:themeColor="text1"/>
          <w:sz w:val="24"/>
        </w:rPr>
        <w:t>均按照中华人民共和国法律的相关规定缴纳。</w:t>
      </w:r>
    </w:p>
    <w:p w14:paraId="4EDE8E67">
      <w:pPr>
        <w:spacing w:line="360" w:lineRule="auto"/>
        <w:ind w:firstLine="482" w:firstLineChars="200"/>
        <w:rPr>
          <w:rFonts w:ascii="宋体" w:hAnsi="宋体"/>
          <w:b/>
          <w:color w:val="000000" w:themeColor="text1"/>
          <w:sz w:val="24"/>
        </w:rPr>
      </w:pPr>
      <w:bookmarkStart w:id="477" w:name="_Toc7315"/>
      <w:bookmarkStart w:id="478" w:name="_Toc30105"/>
      <w:bookmarkStart w:id="479" w:name="_Toc26883"/>
      <w:bookmarkStart w:id="480" w:name="_Toc14814"/>
      <w:bookmarkStart w:id="481" w:name="_Toc25525"/>
      <w:r>
        <w:rPr>
          <w:rFonts w:ascii="宋体" w:hAnsi="宋体"/>
          <w:b/>
          <w:color w:val="000000" w:themeColor="text1"/>
          <w:sz w:val="24"/>
        </w:rPr>
        <w:t>2.13 乙方破产</w:t>
      </w:r>
      <w:bookmarkEnd w:id="477"/>
      <w:bookmarkEnd w:id="478"/>
      <w:bookmarkEnd w:id="479"/>
      <w:bookmarkEnd w:id="480"/>
      <w:bookmarkEnd w:id="481"/>
    </w:p>
    <w:p w14:paraId="1EC2281C">
      <w:pPr>
        <w:spacing w:line="360" w:lineRule="auto"/>
        <w:ind w:firstLine="480" w:firstLineChars="20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hint="eastAsia" w:ascii="宋体" w:hAnsi="宋体"/>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hint="eastAsia" w:ascii="宋体" w:hAnsi="宋体"/>
          <w:color w:val="000000" w:themeColor="text1"/>
          <w:sz w:val="24"/>
        </w:rPr>
        <w:t>、</w:t>
      </w:r>
      <w:r>
        <w:rPr>
          <w:rFonts w:ascii="宋体" w:hAnsi="宋体"/>
          <w:color w:val="000000" w:themeColor="text1"/>
          <w:sz w:val="24"/>
        </w:rPr>
        <w:t>赔偿损失等的行动或补救措施的权利</w:t>
      </w:r>
      <w:r>
        <w:rPr>
          <w:rFonts w:hint="eastAsia" w:ascii="宋体" w:hAnsi="宋体"/>
          <w:color w:val="000000" w:themeColor="text1"/>
          <w:sz w:val="24"/>
        </w:rPr>
        <w:t>。</w:t>
      </w:r>
    </w:p>
    <w:p w14:paraId="428EBF23">
      <w:pPr>
        <w:spacing w:line="360" w:lineRule="auto"/>
        <w:ind w:firstLine="482" w:firstLineChars="200"/>
        <w:rPr>
          <w:rFonts w:ascii="宋体" w:hAnsi="宋体"/>
          <w:b/>
          <w:color w:val="000000" w:themeColor="text1"/>
          <w:sz w:val="24"/>
        </w:rPr>
      </w:pPr>
      <w:bookmarkStart w:id="482" w:name="_Toc1123"/>
      <w:bookmarkStart w:id="483" w:name="_Toc2016"/>
      <w:bookmarkStart w:id="484" w:name="_Toc23323"/>
      <w:r>
        <w:rPr>
          <w:rFonts w:ascii="宋体" w:hAnsi="宋体"/>
          <w:b/>
          <w:color w:val="000000" w:themeColor="text1"/>
          <w:sz w:val="24"/>
        </w:rPr>
        <w:t>2.14 合同中止、终止</w:t>
      </w:r>
      <w:bookmarkEnd w:id="482"/>
      <w:bookmarkEnd w:id="483"/>
      <w:bookmarkEnd w:id="484"/>
    </w:p>
    <w:p w14:paraId="1F44E3A2">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2.14.1 </w:t>
      </w:r>
      <w:r>
        <w:rPr>
          <w:rFonts w:hint="eastAsia" w:ascii="宋体" w:hAnsi="宋体"/>
          <w:color w:val="000000" w:themeColor="text1"/>
          <w:sz w:val="24"/>
        </w:rPr>
        <w:t>双方当事人不得擅自中止或者终止合同；</w:t>
      </w:r>
    </w:p>
    <w:p w14:paraId="2361D487">
      <w:pPr>
        <w:spacing w:line="360" w:lineRule="auto"/>
        <w:ind w:firstLine="480" w:firstLineChars="20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14:paraId="35187635">
      <w:pPr>
        <w:spacing w:line="360" w:lineRule="auto"/>
        <w:ind w:firstLine="482" w:firstLineChars="200"/>
        <w:rPr>
          <w:rFonts w:ascii="宋体" w:hAnsi="宋体"/>
          <w:b/>
          <w:color w:val="000000" w:themeColor="text1"/>
          <w:sz w:val="24"/>
        </w:rPr>
      </w:pPr>
      <w:bookmarkStart w:id="485" w:name="_Toc17363"/>
      <w:bookmarkStart w:id="486" w:name="_Toc14525"/>
      <w:bookmarkStart w:id="487" w:name="_Toc1969"/>
      <w:r>
        <w:rPr>
          <w:rFonts w:ascii="宋体" w:hAnsi="宋体"/>
          <w:b/>
          <w:color w:val="000000" w:themeColor="text1"/>
          <w:sz w:val="24"/>
        </w:rPr>
        <w:t>2.15 检验和验收</w:t>
      </w:r>
      <w:bookmarkEnd w:id="485"/>
      <w:bookmarkEnd w:id="486"/>
      <w:bookmarkEnd w:id="487"/>
    </w:p>
    <w:p w14:paraId="16588684">
      <w:pPr>
        <w:tabs>
          <w:tab w:val="left" w:pos="360"/>
          <w:tab w:val="left" w:pos="540"/>
          <w:tab w:val="left" w:pos="1080"/>
        </w:tabs>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2.15.1 </w:t>
      </w:r>
      <w:r>
        <w:rPr>
          <w:rFonts w:hint="eastAsia" w:ascii="宋体" w:hAnsi="宋体"/>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hint="eastAsia" w:ascii="宋体" w:hAnsi="宋体"/>
          <w:color w:val="000000" w:themeColor="text1"/>
          <w:sz w:val="24"/>
        </w:rPr>
        <w:t>，</w:t>
      </w:r>
      <w:r>
        <w:rPr>
          <w:rFonts w:ascii="宋体" w:hAnsi="宋体"/>
          <w:color w:val="000000" w:themeColor="text1"/>
          <w:sz w:val="24"/>
        </w:rPr>
        <w:t>定期提交服务报告</w:t>
      </w:r>
      <w:r>
        <w:rPr>
          <w:rFonts w:hint="eastAsia" w:ascii="宋体" w:hAnsi="宋体"/>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hint="eastAsia" w:ascii="宋体" w:hAnsi="宋体"/>
          <w:color w:val="000000" w:themeColor="text1"/>
          <w:sz w:val="24"/>
        </w:rPr>
        <w:t>；</w:t>
      </w:r>
    </w:p>
    <w:p w14:paraId="2575C06C">
      <w:pPr>
        <w:tabs>
          <w:tab w:val="left" w:pos="360"/>
          <w:tab w:val="left" w:pos="540"/>
          <w:tab w:val="left" w:pos="1080"/>
        </w:tabs>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2.15.2 </w:t>
      </w:r>
      <w:r>
        <w:rPr>
          <w:rFonts w:hint="eastAsia" w:ascii="宋体" w:hAnsi="宋体"/>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8281D5D">
      <w:pPr>
        <w:tabs>
          <w:tab w:val="left" w:pos="360"/>
          <w:tab w:val="left" w:pos="540"/>
          <w:tab w:val="left" w:pos="1080"/>
        </w:tabs>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2.15.3 </w:t>
      </w:r>
      <w:r>
        <w:rPr>
          <w:rFonts w:hint="eastAsia" w:ascii="宋体" w:hAnsi="宋体"/>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hint="eastAsia" w:ascii="宋体" w:hAnsi="宋体"/>
          <w:color w:val="000000" w:themeColor="text1"/>
          <w:sz w:val="24"/>
        </w:rPr>
        <w:t>。</w:t>
      </w:r>
    </w:p>
    <w:p w14:paraId="50538B4D">
      <w:pPr>
        <w:spacing w:line="360" w:lineRule="auto"/>
        <w:ind w:firstLine="482" w:firstLineChars="200"/>
        <w:rPr>
          <w:rFonts w:ascii="宋体" w:hAnsi="宋体"/>
          <w:b/>
          <w:color w:val="000000" w:themeColor="text1"/>
          <w:sz w:val="24"/>
        </w:rPr>
      </w:pPr>
      <w:bookmarkStart w:id="488" w:name="_Toc2308"/>
      <w:bookmarkStart w:id="489" w:name="_Toc12666"/>
      <w:bookmarkStart w:id="490" w:name="_Toc31892"/>
      <w:bookmarkStart w:id="491" w:name="_Toc25198"/>
      <w:bookmarkStart w:id="492" w:name="_Toc9808"/>
      <w:r>
        <w:rPr>
          <w:rFonts w:ascii="宋体" w:hAnsi="宋体"/>
          <w:b/>
          <w:color w:val="000000" w:themeColor="text1"/>
          <w:sz w:val="24"/>
        </w:rPr>
        <w:t>2.16 通知和送达</w:t>
      </w:r>
      <w:bookmarkEnd w:id="488"/>
      <w:bookmarkEnd w:id="489"/>
      <w:bookmarkEnd w:id="490"/>
      <w:bookmarkEnd w:id="491"/>
      <w:bookmarkEnd w:id="492"/>
    </w:p>
    <w:p w14:paraId="00AE2BCB">
      <w:pPr>
        <w:spacing w:line="360" w:lineRule="auto"/>
        <w:ind w:firstLine="480" w:firstLineChars="200"/>
        <w:rPr>
          <w:rFonts w:ascii="宋体" w:hAnsi="宋体"/>
          <w:color w:val="000000" w:themeColor="text1"/>
          <w:sz w:val="24"/>
        </w:rPr>
      </w:pPr>
      <w:bookmarkStart w:id="493" w:name="_Toc18401"/>
      <w:bookmarkStart w:id="494" w:name="_Toc27674"/>
      <w:r>
        <w:rPr>
          <w:rFonts w:ascii="宋体" w:hAnsi="宋体"/>
          <w:color w:val="000000" w:themeColor="text1"/>
          <w:sz w:val="24"/>
        </w:rPr>
        <w:t>2.17.1</w:t>
      </w:r>
      <w:r>
        <w:rPr>
          <w:rFonts w:hint="eastAsia" w:ascii="宋体" w:hAnsi="宋体"/>
          <w:color w:val="000000" w:themeColor="text1"/>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000000" w:themeColor="text1"/>
          <w:sz w:val="24"/>
          <w:u w:val="single"/>
        </w:rPr>
        <w:t>3</w:t>
      </w:r>
      <w:r>
        <w:rPr>
          <w:rFonts w:hint="eastAsia" w:ascii="宋体" w:hAnsi="宋体"/>
          <w:color w:val="000000" w:themeColor="text1"/>
          <w:sz w:val="24"/>
        </w:rPr>
        <w:t>个工作日内书面通知对方当事人，在对方当事人收到有关变更通知之前，变更前的约定送达方式或者地址仍视为有效。</w:t>
      </w:r>
    </w:p>
    <w:p w14:paraId="62206522">
      <w:pPr>
        <w:spacing w:line="360" w:lineRule="auto"/>
        <w:ind w:firstLine="480" w:firstLineChars="20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rPr>
        <w:t>的，邮件挂号寄出或者交邮之日之次日视为送达。</w:t>
      </w:r>
      <w:bookmarkEnd w:id="493"/>
      <w:bookmarkEnd w:id="494"/>
    </w:p>
    <w:p w14:paraId="164CCD4B">
      <w:pPr>
        <w:spacing w:line="360" w:lineRule="auto"/>
        <w:ind w:firstLine="482" w:firstLineChars="200"/>
        <w:rPr>
          <w:rFonts w:ascii="宋体" w:hAnsi="宋体"/>
          <w:b/>
          <w:color w:val="000000" w:themeColor="text1"/>
          <w:sz w:val="24"/>
        </w:rPr>
      </w:pPr>
      <w:bookmarkStart w:id="495" w:name="_Toc27644"/>
      <w:bookmarkStart w:id="496" w:name="_Toc5063"/>
      <w:bookmarkStart w:id="497" w:name="_Toc28906"/>
      <w:bookmarkStart w:id="498" w:name="_Toc12254"/>
      <w:bookmarkStart w:id="499" w:name="_Toc20808"/>
      <w:r>
        <w:rPr>
          <w:rFonts w:ascii="宋体" w:hAnsi="宋体"/>
          <w:b/>
          <w:color w:val="000000" w:themeColor="text1"/>
          <w:sz w:val="24"/>
        </w:rPr>
        <w:t xml:space="preserve">2.17 </w:t>
      </w:r>
      <w:r>
        <w:rPr>
          <w:rFonts w:hint="eastAsia" w:ascii="宋体" w:hAnsi="宋体"/>
          <w:b/>
          <w:color w:val="000000" w:themeColor="text1"/>
          <w:sz w:val="24"/>
        </w:rPr>
        <w:t>合同使用的文字和</w:t>
      </w:r>
      <w:r>
        <w:rPr>
          <w:rFonts w:ascii="宋体" w:hAnsi="宋体"/>
          <w:b/>
          <w:color w:val="000000" w:themeColor="text1"/>
          <w:sz w:val="24"/>
        </w:rPr>
        <w:t>适用的法律</w:t>
      </w:r>
      <w:bookmarkEnd w:id="495"/>
      <w:bookmarkEnd w:id="496"/>
      <w:bookmarkEnd w:id="497"/>
      <w:bookmarkEnd w:id="498"/>
      <w:bookmarkEnd w:id="499"/>
    </w:p>
    <w:p w14:paraId="192E78CA">
      <w:pPr>
        <w:spacing w:line="360" w:lineRule="auto"/>
        <w:ind w:firstLine="480" w:firstLineChars="200"/>
        <w:rPr>
          <w:rFonts w:ascii="宋体" w:hAnsi="宋体"/>
          <w:color w:val="000000" w:themeColor="text1"/>
          <w:sz w:val="24"/>
        </w:rPr>
      </w:pPr>
      <w:r>
        <w:rPr>
          <w:rFonts w:ascii="宋体" w:hAnsi="宋体"/>
          <w:color w:val="000000" w:themeColor="text1"/>
          <w:sz w:val="24"/>
        </w:rPr>
        <w:t>2.17.1 合同使用汉语书就</w:t>
      </w:r>
      <w:r>
        <w:rPr>
          <w:rFonts w:hint="eastAsia" w:ascii="宋体" w:hAnsi="宋体"/>
          <w:color w:val="000000" w:themeColor="text1"/>
          <w:sz w:val="24"/>
        </w:rPr>
        <w:t>、</w:t>
      </w:r>
      <w:r>
        <w:rPr>
          <w:rFonts w:ascii="宋体" w:hAnsi="宋体"/>
          <w:color w:val="000000" w:themeColor="text1"/>
          <w:sz w:val="24"/>
        </w:rPr>
        <w:t>变更和解释</w:t>
      </w:r>
      <w:r>
        <w:rPr>
          <w:rFonts w:hint="eastAsia" w:ascii="宋体" w:hAnsi="宋体"/>
          <w:color w:val="000000" w:themeColor="text1"/>
          <w:sz w:val="24"/>
        </w:rPr>
        <w:t>；</w:t>
      </w:r>
    </w:p>
    <w:p w14:paraId="639CA3DC">
      <w:pPr>
        <w:spacing w:line="360" w:lineRule="auto"/>
        <w:ind w:firstLine="480" w:firstLineChars="200"/>
        <w:rPr>
          <w:rFonts w:ascii="宋体" w:hAnsi="宋体"/>
          <w:color w:val="000000" w:themeColor="text1"/>
          <w:sz w:val="24"/>
        </w:rPr>
      </w:pPr>
      <w:r>
        <w:rPr>
          <w:rFonts w:ascii="宋体" w:hAnsi="宋体"/>
          <w:color w:val="000000" w:themeColor="text1"/>
          <w:sz w:val="24"/>
        </w:rPr>
        <w:t xml:space="preserve">2.17.2 </w:t>
      </w:r>
      <w:r>
        <w:rPr>
          <w:rFonts w:hint="eastAsia" w:ascii="宋体" w:hAnsi="宋体"/>
          <w:color w:val="000000" w:themeColor="text1"/>
          <w:sz w:val="24"/>
        </w:rPr>
        <w:t>合同适用</w:t>
      </w:r>
      <w:r>
        <w:rPr>
          <w:rFonts w:ascii="宋体" w:hAnsi="宋体"/>
          <w:color w:val="000000" w:themeColor="text1"/>
          <w:sz w:val="24"/>
        </w:rPr>
        <w:t>中华人民共和国法律。</w:t>
      </w:r>
    </w:p>
    <w:p w14:paraId="435BB74A">
      <w:pPr>
        <w:spacing w:line="360" w:lineRule="auto"/>
        <w:ind w:firstLine="482" w:firstLineChars="200"/>
        <w:rPr>
          <w:rFonts w:ascii="宋体" w:hAnsi="宋体" w:cs="宋体"/>
          <w:b/>
          <w:color w:val="000000" w:themeColor="text1"/>
          <w:sz w:val="24"/>
        </w:rPr>
      </w:pPr>
      <w:bookmarkStart w:id="500" w:name="_Toc30599"/>
      <w:bookmarkStart w:id="501" w:name="_Toc4355"/>
      <w:bookmarkStart w:id="502" w:name="_Toc18540"/>
      <w:r>
        <w:rPr>
          <w:rFonts w:hint="eastAsia" w:ascii="宋体" w:hAnsi="宋体" w:cs="宋体"/>
          <w:b/>
          <w:color w:val="000000" w:themeColor="text1"/>
          <w:sz w:val="24"/>
        </w:rPr>
        <w:t>2.18 计量单位</w:t>
      </w:r>
      <w:bookmarkEnd w:id="500"/>
      <w:bookmarkEnd w:id="501"/>
      <w:bookmarkEnd w:id="502"/>
    </w:p>
    <w:p w14:paraId="07265CD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除技术规范中另有规定外,合同的计量单位均使用国家法定计量单位。</w:t>
      </w:r>
    </w:p>
    <w:p w14:paraId="18103F48">
      <w:pPr>
        <w:spacing w:line="360" w:lineRule="auto"/>
        <w:ind w:firstLine="482" w:firstLineChars="200"/>
        <w:rPr>
          <w:rFonts w:ascii="宋体" w:hAnsi="宋体"/>
          <w:b/>
          <w:color w:val="000000" w:themeColor="text1"/>
          <w:sz w:val="24"/>
        </w:rPr>
      </w:pPr>
      <w:r>
        <w:rPr>
          <w:rFonts w:ascii="宋体" w:hAnsi="宋体"/>
          <w:b/>
          <w:color w:val="000000" w:themeColor="text1"/>
          <w:sz w:val="24"/>
        </w:rPr>
        <w:t>2.</w:t>
      </w:r>
      <w:r>
        <w:rPr>
          <w:rFonts w:hint="eastAsia" w:ascii="宋体" w:hAnsi="宋体"/>
          <w:b/>
          <w:color w:val="000000" w:themeColor="text1"/>
          <w:sz w:val="24"/>
        </w:rPr>
        <w:t>19</w:t>
      </w:r>
      <w:r>
        <w:rPr>
          <w:rFonts w:ascii="宋体" w:hAnsi="宋体"/>
          <w:b/>
          <w:color w:val="000000" w:themeColor="text1"/>
          <w:sz w:val="24"/>
        </w:rPr>
        <w:t>合同份数</w:t>
      </w:r>
    </w:p>
    <w:p w14:paraId="153F6D2A">
      <w:pPr>
        <w:spacing w:line="360" w:lineRule="auto"/>
        <w:ind w:firstLine="480" w:firstLineChars="20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hint="eastAsia" w:ascii="宋体" w:hAnsi="宋体"/>
          <w:color w:val="000000" w:themeColor="text1"/>
          <w:sz w:val="24"/>
        </w:rPr>
        <w:t>，</w:t>
      </w:r>
      <w:r>
        <w:rPr>
          <w:rFonts w:ascii="宋体" w:hAnsi="宋体"/>
          <w:color w:val="000000" w:themeColor="text1"/>
          <w:sz w:val="24"/>
        </w:rPr>
        <w:t>每份均具有同等法律效力</w:t>
      </w:r>
      <w:r>
        <w:rPr>
          <w:rFonts w:hint="eastAsia" w:ascii="宋体" w:hAnsi="宋体"/>
          <w:color w:val="000000" w:themeColor="text1"/>
          <w:sz w:val="24"/>
        </w:rPr>
        <w:t>。</w:t>
      </w:r>
    </w:p>
    <w:p w14:paraId="67712BBA">
      <w:pPr>
        <w:spacing w:line="360" w:lineRule="auto"/>
        <w:jc w:val="center"/>
        <w:outlineLvl w:val="1"/>
        <w:rPr>
          <w:rFonts w:ascii="宋体" w:hAnsi="宋体" w:cs="宋体"/>
          <w:b/>
          <w:color w:val="000000" w:themeColor="text1"/>
          <w:sz w:val="24"/>
        </w:rPr>
      </w:pPr>
      <w:r>
        <w:rPr>
          <w:rFonts w:hint="eastAsia" w:ascii="宋体" w:hAnsi="宋体" w:cs="宋体"/>
          <w:color w:val="000000" w:themeColor="text1"/>
          <w:kern w:val="0"/>
        </w:rPr>
        <w:br w:type="page"/>
      </w:r>
      <w:r>
        <w:rPr>
          <w:rFonts w:hint="eastAsia" w:ascii="宋体" w:hAnsi="宋体" w:cs="宋体"/>
          <w:b/>
          <w:color w:val="000000" w:themeColor="text1"/>
          <w:sz w:val="24"/>
        </w:rPr>
        <w:t>第三节 政府采购合同专用条款</w:t>
      </w:r>
    </w:p>
    <w:p w14:paraId="4D62A2AD">
      <w:pPr>
        <w:spacing w:line="360" w:lineRule="auto"/>
        <w:ind w:left="-420" w:leftChars="-200" w:right="-420" w:rightChars="-200" w:firstLine="480" w:firstLineChars="200"/>
        <w:rPr>
          <w:rFonts w:ascii="宋体" w:hAnsi="宋体" w:cs="宋体"/>
          <w:color w:val="000000" w:themeColor="text1"/>
        </w:rPr>
      </w:pPr>
      <w:r>
        <w:rPr>
          <w:rFonts w:hint="eastAsia" w:ascii="宋体" w:hAnsi="宋体" w:cs="宋体"/>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7C7D8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9A5AA1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3A0A375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0F5CE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9450C1">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2053E08A">
            <w:pPr>
              <w:spacing w:line="360" w:lineRule="auto"/>
              <w:rPr>
                <w:rFonts w:ascii="宋体" w:hAnsi="宋体" w:cs="宋体"/>
                <w:color w:val="auto"/>
                <w:sz w:val="24"/>
                <w:highlight w:val="none"/>
              </w:rPr>
            </w:pPr>
            <w:r>
              <w:rPr>
                <w:rFonts w:hint="eastAsia" w:ascii="宋体" w:hAnsi="宋体" w:cs="宋体"/>
                <w:color w:val="auto"/>
                <w:sz w:val="24"/>
                <w:highlight w:val="none"/>
              </w:rPr>
              <w:t>签订合同时约定。</w:t>
            </w:r>
          </w:p>
        </w:tc>
      </w:tr>
      <w:tr w14:paraId="5D15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68CCC4">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296F0E06">
            <w:pPr>
              <w:spacing w:line="360" w:lineRule="auto"/>
              <w:rPr>
                <w:rFonts w:ascii="宋体" w:hAnsi="宋体" w:cs="宋体"/>
                <w:color w:val="auto"/>
                <w:sz w:val="24"/>
                <w:highlight w:val="none"/>
              </w:rPr>
            </w:pPr>
            <w:r>
              <w:rPr>
                <w:rFonts w:hint="eastAsia" w:ascii="宋体" w:hAnsi="宋体" w:cs="宋体"/>
                <w:color w:val="auto"/>
                <w:sz w:val="24"/>
                <w:highlight w:val="none"/>
              </w:rPr>
              <w:t>履约保证金支付方式：</w:t>
            </w:r>
            <w:r>
              <w:rPr>
                <w:rFonts w:hint="eastAsia" w:ascii="宋体" w:hAnsi="宋体" w:cs="宋体"/>
                <w:color w:val="auto"/>
                <w:kern w:val="0"/>
                <w:sz w:val="24"/>
                <w:highlight w:val="none"/>
                <w:u w:val="none"/>
              </w:rPr>
              <w:t>中标供应商在与各个项目学校签订合同前，必须以银行转账、支票、汇票、本票或者金融机构、担保机构出具的保险、保函（含电子保函，下同）等非现金方式向采购人提交履约保证金。服务期满后，采购人在</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个工作日内退还全部履约保证金（不计利息，如在合同执行过程中违反合同规定或违约，则扣除相应履约保证金后退还剩下履约保证金）。若因中标供应商的原因未在规定时限内缴纳履约保证金的，则视为违约，采购人有权取消其中标资格、拒绝签订合同。若因中标供应商的原因不能签订合同的，不退还履约保证金。在履约保证金退还日期前，若中标供应商的开户名称、开户银行、</w:t>
            </w:r>
            <w:r>
              <w:rPr>
                <w:rFonts w:hint="eastAsia" w:ascii="宋体" w:hAnsi="宋体" w:cs="宋体"/>
                <w:color w:val="auto"/>
                <w:kern w:val="0"/>
                <w:sz w:val="24"/>
                <w:highlight w:val="none"/>
                <w:u w:val="none"/>
                <w:lang w:eastAsia="zh-CN"/>
              </w:rPr>
              <w:t>账</w:t>
            </w:r>
            <w:r>
              <w:rPr>
                <w:rFonts w:hint="eastAsia" w:ascii="宋体" w:hAnsi="宋体" w:cs="宋体"/>
                <w:color w:val="auto"/>
                <w:kern w:val="0"/>
                <w:sz w:val="24"/>
                <w:highlight w:val="none"/>
                <w:u w:val="none"/>
              </w:rPr>
              <w:t>号有变动的，请以书面形式通知采购人，否则由此产生的后果由中标供应商自负</w:t>
            </w:r>
            <w:r>
              <w:rPr>
                <w:rFonts w:hint="eastAsia" w:ascii="宋体" w:hAnsi="宋体" w:cs="宋体"/>
                <w:color w:val="auto"/>
                <w:sz w:val="24"/>
                <w:highlight w:val="none"/>
              </w:rPr>
              <w:t xml:space="preserve">。         </w:t>
            </w:r>
          </w:p>
        </w:tc>
      </w:tr>
      <w:tr w14:paraId="6BC91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8FBF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2DA08AC6">
            <w:pPr>
              <w:spacing w:line="360" w:lineRule="auto"/>
              <w:rPr>
                <w:rFonts w:ascii="宋体" w:hAnsi="宋体" w:cs="宋体"/>
                <w:color w:val="auto"/>
                <w:sz w:val="24"/>
                <w:highlight w:val="none"/>
              </w:rPr>
            </w:pPr>
            <w:r>
              <w:rPr>
                <w:rFonts w:hint="eastAsia" w:ascii="宋体" w:hAnsi="宋体" w:cs="宋体"/>
                <w:color w:val="auto"/>
                <w:kern w:val="0"/>
                <w:sz w:val="24"/>
                <w:highlight w:val="none"/>
              </w:rPr>
              <w:t>预付款比例、支付方式、时间：/</w:t>
            </w:r>
          </w:p>
        </w:tc>
      </w:tr>
      <w:tr w14:paraId="41A1E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815501">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5469F057">
            <w:pPr>
              <w:spacing w:line="360" w:lineRule="auto"/>
              <w:rPr>
                <w:rFonts w:ascii="宋体" w:hAnsi="宋体" w:cs="宋体"/>
                <w:color w:val="auto"/>
                <w:sz w:val="24"/>
                <w:highlight w:val="none"/>
              </w:rPr>
            </w:pPr>
            <w:r>
              <w:rPr>
                <w:rFonts w:hint="eastAsia" w:ascii="宋体" w:hAnsi="宋体" w:cs="宋体"/>
                <w:color w:val="auto"/>
                <w:sz w:val="24"/>
                <w:highlight w:val="none"/>
              </w:rPr>
              <w:t>预付款的扣回方式：/</w:t>
            </w:r>
          </w:p>
        </w:tc>
      </w:tr>
      <w:tr w14:paraId="0448A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7E22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003370A0">
            <w:pPr>
              <w:spacing w:line="360" w:lineRule="auto"/>
              <w:rPr>
                <w:rFonts w:ascii="宋体" w:hAnsi="宋体" w:cs="宋体"/>
                <w:color w:val="auto"/>
                <w:sz w:val="24"/>
                <w:highlight w:val="none"/>
              </w:rPr>
            </w:pPr>
            <w:r>
              <w:rPr>
                <w:rFonts w:hint="eastAsia" w:ascii="宋体" w:hAnsi="宋体" w:cs="宋体"/>
                <w:color w:val="auto"/>
                <w:sz w:val="24"/>
                <w:highlight w:val="none"/>
              </w:rPr>
              <w:t>预付款的担保措施：/</w:t>
            </w:r>
          </w:p>
        </w:tc>
      </w:tr>
      <w:tr w14:paraId="53CA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0AD786">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3EBFE1BF">
            <w:pPr>
              <w:spacing w:line="360" w:lineRule="auto"/>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宋体" w:hAnsi="宋体" w:cs="宋体"/>
                <w:color w:val="auto"/>
                <w:spacing w:val="6"/>
                <w:sz w:val="24"/>
                <w:highlight w:val="none"/>
              </w:rPr>
              <w:t>本项目采用“先供货、次月对账、按期支付”的结算方式。由供应商及时向学校提交结算材料，学校在收到完整、准确的结算材料后，应于15个工作日内完成复核向供应商支付货款。供应商应以一般纳税人身份向学校开具增值税专用发票。</w:t>
            </w:r>
          </w:p>
        </w:tc>
      </w:tr>
      <w:tr w14:paraId="3307C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BC7C16">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3FB9D7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服务交付（实施）的时间（期限）：服务期限为三年，自2025年秋季学期起至2028年秋季学期止。（具体日期以实施日期为准）</w:t>
            </w:r>
          </w:p>
        </w:tc>
      </w:tr>
      <w:tr w14:paraId="3F0B2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B0CDD44">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65932A52">
            <w:pPr>
              <w:spacing w:line="360" w:lineRule="auto"/>
              <w:rPr>
                <w:rFonts w:ascii="宋体" w:hAnsi="宋体" w:cs="宋体"/>
                <w:color w:val="auto"/>
                <w:sz w:val="24"/>
                <w:highlight w:val="none"/>
              </w:rPr>
            </w:pPr>
            <w:r>
              <w:rPr>
                <w:rFonts w:hint="eastAsia" w:ascii="宋体" w:hAnsi="宋体" w:cs="宋体"/>
                <w:color w:val="auto"/>
                <w:sz w:val="24"/>
                <w:highlight w:val="none"/>
              </w:rPr>
              <w:t>服务交付（实施）的地点（地域范围）：合浦县内</w:t>
            </w:r>
          </w:p>
        </w:tc>
      </w:tr>
      <w:tr w14:paraId="074EE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05013A">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57330504">
            <w:pPr>
              <w:spacing w:line="360" w:lineRule="auto"/>
              <w:rPr>
                <w:rFonts w:ascii="宋体" w:hAnsi="宋体" w:cs="宋体"/>
                <w:color w:val="auto"/>
                <w:sz w:val="24"/>
                <w:highlight w:val="none"/>
              </w:rPr>
            </w:pPr>
            <w:r>
              <w:rPr>
                <w:rFonts w:hint="eastAsia" w:ascii="宋体" w:hAnsi="宋体" w:cs="宋体"/>
                <w:color w:val="auto"/>
                <w:sz w:val="24"/>
                <w:highlight w:val="none"/>
              </w:rPr>
              <w:t>交付期限：服务期限为三年，自2025年秋季学期起至2028年秋季学期止。（具体日期以实施日期为准）</w:t>
            </w:r>
          </w:p>
        </w:tc>
      </w:tr>
      <w:tr w14:paraId="4083F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0A4E33">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6D20B874">
            <w:pPr>
              <w:spacing w:line="360" w:lineRule="auto"/>
              <w:rPr>
                <w:rFonts w:ascii="宋体" w:hAnsi="宋体" w:cs="宋体"/>
                <w:color w:val="auto"/>
                <w:sz w:val="24"/>
                <w:highlight w:val="none"/>
              </w:rPr>
            </w:pPr>
            <w:r>
              <w:rPr>
                <w:rFonts w:hint="eastAsia" w:ascii="宋体" w:hAnsi="宋体" w:cs="宋体"/>
                <w:color w:val="auto"/>
                <w:sz w:val="24"/>
                <w:highlight w:val="none"/>
              </w:rPr>
              <w:t>交付地点：合浦县内</w:t>
            </w:r>
          </w:p>
        </w:tc>
      </w:tr>
      <w:tr w14:paraId="322E3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50A0A13">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7DE9A785">
            <w:pPr>
              <w:spacing w:line="360" w:lineRule="auto"/>
              <w:rPr>
                <w:rFonts w:ascii="宋体" w:hAnsi="宋体" w:cs="宋体"/>
                <w:color w:val="auto"/>
                <w:sz w:val="24"/>
                <w:highlight w:val="none"/>
              </w:rPr>
            </w:pPr>
            <w:r>
              <w:rPr>
                <w:rFonts w:hint="eastAsia" w:ascii="宋体" w:hAnsi="宋体" w:cs="宋体"/>
                <w:color w:val="auto"/>
                <w:sz w:val="24"/>
                <w:highlight w:val="none"/>
              </w:rPr>
              <w:t>违约责任特别约定。</w:t>
            </w:r>
          </w:p>
          <w:p w14:paraId="60264F9F">
            <w:pPr>
              <w:spacing w:line="360" w:lineRule="auto"/>
              <w:rPr>
                <w:rFonts w:ascii="宋体" w:hAnsi="宋体" w:cs="宋体"/>
                <w:color w:val="auto"/>
                <w:sz w:val="24"/>
                <w:highlight w:val="none"/>
              </w:rPr>
            </w:pPr>
            <w:r>
              <w:rPr>
                <w:rFonts w:hint="eastAsia" w:ascii="宋体" w:hAnsi="宋体" w:cs="宋体"/>
                <w:color w:val="auto"/>
                <w:sz w:val="24"/>
                <w:highlight w:val="none"/>
              </w:rPr>
              <w:t>发生下列情况之一的，不视为甲方违约：（1）乙方明确表示无法供应或实际无法按时交付特定品类食材，且无法提供甲方认可的替代方案，为保障学校正常供餐，甲方进行的临时性、应急性采购；（2）因自然灾害、公共卫生事件等不可抗力或法律法规、政策变化，导致乙方无法供应的，甲方进行的临时性、应急性采购。</w:t>
            </w:r>
          </w:p>
        </w:tc>
      </w:tr>
      <w:tr w14:paraId="7F434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BA648A">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7C51EDDD">
            <w:pPr>
              <w:spacing w:line="360" w:lineRule="auto"/>
              <w:rPr>
                <w:rFonts w:ascii="宋体" w:hAnsi="宋体" w:cs="宋体"/>
                <w:color w:val="auto"/>
                <w:sz w:val="24"/>
                <w:highlight w:val="none"/>
              </w:rPr>
            </w:pPr>
            <w:r>
              <w:rPr>
                <w:rFonts w:hint="eastAsia" w:ascii="宋体" w:hAnsi="宋体" w:cs="宋体"/>
                <w:color w:val="auto"/>
                <w:sz w:val="24"/>
                <w:highlight w:val="none"/>
              </w:rPr>
              <w:t>将争议提交项目当地裁委员会依申请仲裁时其现行有效的仲裁规则裁决；</w:t>
            </w:r>
          </w:p>
        </w:tc>
      </w:tr>
      <w:tr w14:paraId="0577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4FF197">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0380437D">
            <w:pPr>
              <w:spacing w:line="360" w:lineRule="auto"/>
              <w:rPr>
                <w:rFonts w:ascii="宋体" w:hAnsi="宋体" w:cs="宋体"/>
                <w:color w:val="auto"/>
                <w:sz w:val="24"/>
                <w:highlight w:val="none"/>
              </w:rPr>
            </w:pPr>
            <w:r>
              <w:rPr>
                <w:rFonts w:hint="eastAsia" w:ascii="宋体" w:hAnsi="宋体" w:cs="宋体"/>
                <w:color w:val="auto"/>
                <w:sz w:val="24"/>
                <w:highlight w:val="none"/>
              </w:rPr>
              <w:t>向项目所在地人民法院起诉。</w:t>
            </w:r>
          </w:p>
        </w:tc>
      </w:tr>
      <w:tr w14:paraId="2BC90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669895">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7CCE51E3">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olor w:val="auto"/>
                <w:sz w:val="24"/>
                <w:highlight w:val="none"/>
              </w:rPr>
              <w:t>合同涉及技术成果的归属和收益的分成办法的，双方另行协商。</w:t>
            </w:r>
          </w:p>
        </w:tc>
      </w:tr>
      <w:tr w14:paraId="2CD99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E688D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3A28EE55">
            <w:pPr>
              <w:spacing w:line="360" w:lineRule="auto"/>
              <w:rPr>
                <w:rFonts w:ascii="宋体" w:hAnsi="宋体" w:cs="宋体"/>
                <w:color w:val="auto"/>
                <w:sz w:val="24"/>
                <w:highlight w:val="none"/>
              </w:rPr>
            </w:pPr>
            <w:r>
              <w:rPr>
                <w:rFonts w:hint="eastAsia" w:ascii="宋体" w:hAnsi="宋体" w:cs="宋体"/>
                <w:color w:val="auto"/>
                <w:sz w:val="24"/>
                <w:highlight w:val="none"/>
              </w:rPr>
              <w:t>结算方式和付款条件：</w:t>
            </w:r>
          </w:p>
        </w:tc>
      </w:tr>
      <w:tr w14:paraId="66B8E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F41F91E">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04FD2872">
            <w:pPr>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因不可抗力致使合同有变更必要的，双方当事人应在15日内以书面形式变更合同。</w:t>
            </w:r>
          </w:p>
        </w:tc>
      </w:tr>
      <w:tr w14:paraId="34326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710AC88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p>
        </w:tc>
        <w:tc>
          <w:tcPr>
            <w:tcW w:w="4464" w:type="pct"/>
          </w:tcPr>
          <w:p w14:paraId="5305D1C0">
            <w:pPr>
              <w:spacing w:line="360" w:lineRule="auto"/>
              <w:rPr>
                <w:rFonts w:ascii="宋体" w:hAnsi="宋体" w:cs="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color w:val="auto"/>
                <w:sz w:val="24"/>
                <w:highlight w:val="none"/>
                <w:u w:val="single"/>
              </w:rPr>
              <w:t>5个工作日内</w:t>
            </w:r>
            <w:r>
              <w:rPr>
                <w:rFonts w:ascii="宋体" w:hAnsi="宋体"/>
                <w:color w:val="auto"/>
                <w:sz w:val="24"/>
                <w:highlight w:val="none"/>
              </w:rPr>
              <w:t>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color w:val="auto"/>
                <w:sz w:val="24"/>
                <w:highlight w:val="none"/>
                <w:u w:val="single"/>
              </w:rPr>
              <w:t>5个工作日内</w:t>
            </w:r>
            <w:r>
              <w:rPr>
                <w:rFonts w:ascii="宋体" w:hAnsi="宋体"/>
                <w:color w:val="auto"/>
                <w:sz w:val="24"/>
                <w:highlight w:val="none"/>
              </w:rPr>
              <w:t>，将有关部门出具的证明文件送达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tc>
      </w:tr>
      <w:tr w14:paraId="09C0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D4042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58BFA4CA">
            <w:pPr>
              <w:rPr>
                <w:rFonts w:ascii="宋体" w:hAnsi="宋体" w:cs="宋体"/>
                <w:color w:val="auto"/>
                <w:sz w:val="24"/>
                <w:highlight w:val="none"/>
              </w:rPr>
            </w:pPr>
            <w:r>
              <w:rPr>
                <w:rFonts w:hint="eastAsia" w:ascii="宋体" w:hAnsi="宋体" w:cs="宋体"/>
                <w:color w:val="auto"/>
                <w:sz w:val="24"/>
                <w:highlight w:val="none"/>
              </w:rPr>
              <w:t>乙方按照合同约定的服务期内，定期提交服务报告，甲方在15日内进行定期验收。</w:t>
            </w:r>
          </w:p>
        </w:tc>
      </w:tr>
      <w:tr w14:paraId="23A81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88651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4694D0F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检验和验收标准、程序等具体内容以及前述验收书的效力: </w:t>
            </w:r>
          </w:p>
        </w:tc>
      </w:tr>
      <w:tr w14:paraId="438C1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0C9C0C3">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1022C9CB">
            <w:pPr>
              <w:spacing w:line="360" w:lineRule="auto"/>
              <w:rPr>
                <w:rFonts w:ascii="宋体" w:hAnsi="宋体" w:cs="宋体"/>
                <w:color w:val="auto"/>
                <w:sz w:val="24"/>
                <w:highlight w:val="none"/>
              </w:rPr>
            </w:pPr>
            <w:r>
              <w:rPr>
                <w:rFonts w:hint="eastAsia" w:ascii="宋体" w:hAnsi="宋体" w:cs="宋体"/>
                <w:color w:val="auto"/>
                <w:sz w:val="24"/>
                <w:highlight w:val="none"/>
              </w:rPr>
              <w:t>合同份数一式六份，双方各执三份，每份均具有同等法律效力。</w:t>
            </w:r>
          </w:p>
        </w:tc>
      </w:tr>
    </w:tbl>
    <w:p w14:paraId="3942DB3A">
      <w:pPr>
        <w:spacing w:line="360" w:lineRule="auto"/>
        <w:ind w:left="-420" w:leftChars="-200" w:right="-420" w:rightChars="-200" w:firstLine="480" w:firstLineChars="200"/>
        <w:rPr>
          <w:rFonts w:ascii="宋体" w:hAnsi="宋体" w:cs="宋体"/>
          <w:color w:val="000000" w:themeColor="text1"/>
          <w:sz w:val="24"/>
        </w:rPr>
      </w:pPr>
    </w:p>
    <w:p w14:paraId="035D5585">
      <w:pPr>
        <w:spacing w:line="360" w:lineRule="auto"/>
        <w:ind w:left="-420" w:leftChars="-200" w:right="-420" w:rightChars="-200" w:firstLine="480" w:firstLineChars="200"/>
        <w:rPr>
          <w:rFonts w:ascii="宋体" w:hAnsi="宋体" w:cs="宋体"/>
          <w:color w:val="000000" w:themeColor="text1"/>
          <w:sz w:val="24"/>
        </w:rPr>
      </w:pPr>
    </w:p>
    <w:p w14:paraId="3FB91F84">
      <w:pPr>
        <w:spacing w:line="360" w:lineRule="auto"/>
        <w:ind w:left="-420" w:leftChars="-200" w:right="-420" w:rightChars="-200" w:firstLine="480" w:firstLineChars="200"/>
        <w:rPr>
          <w:rFonts w:ascii="宋体" w:hAnsi="宋体" w:cs="宋体"/>
          <w:color w:val="000000" w:themeColor="text1"/>
          <w:sz w:val="24"/>
        </w:rPr>
      </w:pPr>
    </w:p>
    <w:p w14:paraId="2E90ECAF">
      <w:pPr>
        <w:spacing w:line="360" w:lineRule="auto"/>
        <w:ind w:left="-420" w:leftChars="-200" w:right="-420" w:rightChars="-200" w:firstLine="480" w:firstLineChars="200"/>
        <w:rPr>
          <w:rFonts w:ascii="宋体" w:hAnsi="宋体" w:cs="宋体"/>
          <w:color w:val="000000" w:themeColor="text1"/>
          <w:sz w:val="24"/>
        </w:rPr>
      </w:pPr>
    </w:p>
    <w:p w14:paraId="24D84BF7">
      <w:pPr>
        <w:spacing w:line="360" w:lineRule="auto"/>
        <w:ind w:left="-420" w:leftChars="-200" w:right="-420" w:rightChars="-200" w:firstLine="480" w:firstLineChars="200"/>
        <w:rPr>
          <w:rFonts w:ascii="宋体" w:hAnsi="宋体" w:cs="宋体"/>
          <w:color w:val="000000" w:themeColor="text1"/>
          <w:sz w:val="24"/>
        </w:rPr>
      </w:pPr>
    </w:p>
    <w:p w14:paraId="3873843E">
      <w:pPr>
        <w:spacing w:line="360" w:lineRule="auto"/>
        <w:ind w:left="-420" w:leftChars="-200" w:right="-420" w:rightChars="-200" w:firstLine="480" w:firstLineChars="200"/>
        <w:rPr>
          <w:rFonts w:ascii="宋体" w:hAnsi="宋体" w:cs="宋体"/>
          <w:color w:val="000000" w:themeColor="text1"/>
          <w:sz w:val="24"/>
        </w:rPr>
      </w:pPr>
    </w:p>
    <w:p w14:paraId="0EBD8738">
      <w:pPr>
        <w:spacing w:line="360" w:lineRule="auto"/>
        <w:ind w:left="-420" w:leftChars="-200" w:right="-420" w:rightChars="-200" w:firstLine="480" w:firstLineChars="200"/>
        <w:rPr>
          <w:rFonts w:ascii="宋体" w:hAnsi="宋体" w:cs="宋体"/>
          <w:color w:val="000000" w:themeColor="text1"/>
          <w:sz w:val="24"/>
        </w:rPr>
      </w:pPr>
    </w:p>
    <w:p w14:paraId="4E125387">
      <w:pPr>
        <w:spacing w:line="360" w:lineRule="auto"/>
        <w:ind w:left="-420" w:leftChars="-200" w:right="-420" w:rightChars="-200" w:firstLine="480" w:firstLineChars="200"/>
        <w:rPr>
          <w:rFonts w:ascii="宋体" w:hAnsi="宋体" w:cs="宋体"/>
          <w:color w:val="000000" w:themeColor="text1"/>
          <w:sz w:val="24"/>
        </w:rPr>
      </w:pPr>
    </w:p>
    <w:p w14:paraId="585E5B7E">
      <w:pPr>
        <w:spacing w:line="360" w:lineRule="auto"/>
        <w:ind w:left="-420" w:leftChars="-200" w:right="-420" w:rightChars="-200" w:firstLine="480" w:firstLineChars="200"/>
        <w:rPr>
          <w:rFonts w:ascii="宋体" w:hAnsi="宋体" w:cs="宋体"/>
          <w:color w:val="000000" w:themeColor="text1"/>
          <w:sz w:val="24"/>
        </w:rPr>
      </w:pPr>
    </w:p>
    <w:p w14:paraId="6E225EFA">
      <w:pPr>
        <w:spacing w:line="360" w:lineRule="auto"/>
        <w:ind w:left="-420" w:leftChars="-200" w:right="-420" w:rightChars="-200" w:firstLine="480" w:firstLineChars="200"/>
        <w:rPr>
          <w:rFonts w:ascii="宋体" w:hAnsi="宋体" w:cs="宋体"/>
          <w:color w:val="000000" w:themeColor="text1"/>
          <w:sz w:val="24"/>
        </w:rPr>
      </w:pPr>
    </w:p>
    <w:p w14:paraId="52B4055B">
      <w:pPr>
        <w:spacing w:line="360" w:lineRule="auto"/>
        <w:ind w:left="-420" w:leftChars="-200" w:right="-420" w:rightChars="-200" w:firstLine="480" w:firstLineChars="200"/>
        <w:rPr>
          <w:rFonts w:ascii="宋体" w:hAnsi="宋体" w:cs="宋体"/>
          <w:color w:val="000000" w:themeColor="text1"/>
          <w:sz w:val="24"/>
        </w:rPr>
      </w:pPr>
    </w:p>
    <w:p w14:paraId="5DB7D8CB">
      <w:pPr>
        <w:spacing w:line="360" w:lineRule="auto"/>
        <w:ind w:left="-420" w:leftChars="-200" w:right="-420" w:rightChars="-200" w:firstLine="480" w:firstLineChars="200"/>
        <w:rPr>
          <w:rFonts w:ascii="宋体" w:hAnsi="宋体" w:cs="宋体"/>
          <w:color w:val="000000" w:themeColor="text1"/>
          <w:sz w:val="24"/>
        </w:rPr>
      </w:pPr>
    </w:p>
    <w:p w14:paraId="2772CE24">
      <w:pPr>
        <w:spacing w:line="360" w:lineRule="auto"/>
        <w:ind w:left="-420" w:leftChars="-200" w:right="-420" w:rightChars="-200" w:firstLine="480" w:firstLineChars="200"/>
        <w:rPr>
          <w:rFonts w:ascii="宋体" w:hAnsi="宋体" w:cs="宋体"/>
          <w:color w:val="000000" w:themeColor="text1"/>
          <w:sz w:val="24"/>
        </w:rPr>
      </w:pPr>
    </w:p>
    <w:p w14:paraId="4592F6C8">
      <w:pPr>
        <w:spacing w:line="360" w:lineRule="auto"/>
        <w:ind w:left="-420" w:leftChars="-200" w:right="-420" w:rightChars="-200" w:firstLine="480" w:firstLineChars="200"/>
        <w:rPr>
          <w:rFonts w:ascii="宋体" w:hAnsi="宋体" w:cs="宋体"/>
          <w:color w:val="000000" w:themeColor="text1"/>
          <w:sz w:val="24"/>
        </w:rPr>
      </w:pPr>
    </w:p>
    <w:p w14:paraId="29637269">
      <w:pPr>
        <w:spacing w:line="360" w:lineRule="auto"/>
        <w:ind w:left="-420" w:leftChars="-200" w:right="-420" w:rightChars="-200" w:firstLine="480" w:firstLineChars="200"/>
        <w:rPr>
          <w:rFonts w:ascii="宋体" w:hAnsi="宋体" w:cs="宋体"/>
          <w:color w:val="000000" w:themeColor="text1"/>
          <w:sz w:val="24"/>
        </w:rPr>
      </w:pPr>
    </w:p>
    <w:p w14:paraId="733559CE">
      <w:pPr>
        <w:spacing w:line="360" w:lineRule="auto"/>
        <w:ind w:left="-420" w:leftChars="-200" w:right="-420" w:rightChars="-200" w:firstLine="480" w:firstLineChars="200"/>
        <w:rPr>
          <w:rFonts w:ascii="宋体" w:hAnsi="宋体" w:cs="宋体"/>
          <w:color w:val="000000" w:themeColor="text1"/>
          <w:sz w:val="24"/>
        </w:rPr>
      </w:pPr>
    </w:p>
    <w:p w14:paraId="1069B69D">
      <w:pPr>
        <w:spacing w:line="360" w:lineRule="auto"/>
        <w:ind w:left="-420" w:leftChars="-200" w:right="-420" w:rightChars="-200" w:firstLine="480" w:firstLineChars="200"/>
        <w:rPr>
          <w:rFonts w:ascii="宋体" w:hAnsi="宋体" w:cs="宋体"/>
          <w:color w:val="000000" w:themeColor="text1"/>
          <w:sz w:val="24"/>
        </w:rPr>
      </w:pPr>
    </w:p>
    <w:p w14:paraId="2E11497A">
      <w:pPr>
        <w:spacing w:line="360" w:lineRule="auto"/>
        <w:ind w:left="-420" w:leftChars="-200" w:right="-420" w:rightChars="-200" w:firstLine="480" w:firstLineChars="200"/>
        <w:rPr>
          <w:rFonts w:ascii="宋体" w:hAnsi="宋体" w:cs="宋体"/>
          <w:color w:val="000000" w:themeColor="text1"/>
          <w:sz w:val="24"/>
        </w:rPr>
      </w:pPr>
    </w:p>
    <w:p w14:paraId="2E55168F">
      <w:pPr>
        <w:spacing w:line="360" w:lineRule="auto"/>
        <w:ind w:left="-420" w:leftChars="-200" w:right="-420" w:rightChars="-200" w:firstLine="480" w:firstLineChars="200"/>
        <w:jc w:val="center"/>
        <w:rPr>
          <w:rFonts w:ascii="宋体" w:hAnsi="宋体" w:cs="宋体"/>
          <w:color w:val="000000" w:themeColor="text1"/>
          <w:sz w:val="24"/>
        </w:rPr>
      </w:pPr>
    </w:p>
    <w:p w14:paraId="7EF77B61">
      <w:pPr>
        <w:widowControl/>
        <w:adjustRightInd/>
        <w:jc w:val="center"/>
        <w:outlineLvl w:val="0"/>
        <w:rPr>
          <w:rFonts w:ascii="宋体" w:hAnsi="宋体" w:cs="宋体"/>
          <w:b/>
          <w:color w:val="000000" w:themeColor="text1"/>
          <w:sz w:val="36"/>
          <w:szCs w:val="20"/>
        </w:rPr>
      </w:pPr>
      <w:bookmarkStart w:id="503" w:name="_Toc176368907"/>
      <w:r>
        <w:rPr>
          <w:rFonts w:hint="eastAsia" w:ascii="宋体" w:hAnsi="宋体" w:cs="宋体"/>
          <w:b/>
          <w:color w:val="000000" w:themeColor="text1"/>
          <w:sz w:val="36"/>
          <w:szCs w:val="20"/>
        </w:rPr>
        <w:t>第六部分</w:t>
      </w:r>
      <w:bookmarkEnd w:id="386"/>
      <w:bookmarkEnd w:id="387"/>
      <w:r>
        <w:rPr>
          <w:rFonts w:hint="eastAsia" w:ascii="宋体" w:hAnsi="宋体" w:cs="宋体"/>
          <w:b/>
          <w:color w:val="000000" w:themeColor="text1"/>
          <w:sz w:val="36"/>
          <w:szCs w:val="20"/>
        </w:rPr>
        <w:t>应提交的有关格式范例</w:t>
      </w:r>
      <w:bookmarkEnd w:id="503"/>
    </w:p>
    <w:p w14:paraId="4FD534D3">
      <w:pPr>
        <w:spacing w:line="360" w:lineRule="auto"/>
        <w:jc w:val="center"/>
        <w:rPr>
          <w:rFonts w:ascii="宋体" w:hAnsi="宋体" w:cs="宋体"/>
          <w:b/>
          <w:color w:val="000000" w:themeColor="text1"/>
          <w:kern w:val="0"/>
          <w:sz w:val="36"/>
          <w:szCs w:val="36"/>
        </w:rPr>
      </w:pPr>
    </w:p>
    <w:p w14:paraId="5D9B28E0">
      <w:pPr>
        <w:spacing w:line="360" w:lineRule="auto"/>
        <w:jc w:val="center"/>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资格文件部分</w:t>
      </w:r>
    </w:p>
    <w:p w14:paraId="235DCFB9">
      <w:pPr>
        <w:spacing w:line="360" w:lineRule="auto"/>
        <w:jc w:val="center"/>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目录</w:t>
      </w:r>
    </w:p>
    <w:p w14:paraId="0200E7AE">
      <w:pPr>
        <w:spacing w:line="360" w:lineRule="auto"/>
        <w:jc w:val="center"/>
        <w:rPr>
          <w:rFonts w:ascii="宋体" w:hAnsi="宋体" w:cs="宋体"/>
          <w:b/>
          <w:color w:val="000000" w:themeColor="text1"/>
          <w:kern w:val="0"/>
          <w:sz w:val="36"/>
          <w:szCs w:val="36"/>
        </w:rPr>
      </w:pPr>
    </w:p>
    <w:p w14:paraId="066D25C2">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（1）符合参加政府采购活动应当具备的一般条件的承诺函……………（页码）</w:t>
      </w:r>
    </w:p>
    <w:p w14:paraId="7C21BBB4">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（2）落实政府采购政策需满足的资格要求………………………………（页码）</w:t>
      </w:r>
    </w:p>
    <w:p w14:paraId="043558D7">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（3）本项目的特定资格要求………………………………………………（页码）</w:t>
      </w:r>
    </w:p>
    <w:p w14:paraId="23336679">
      <w:pPr>
        <w:snapToGrid w:val="0"/>
        <w:spacing w:line="360" w:lineRule="auto"/>
        <w:ind w:firstLine="480" w:firstLineChars="200"/>
        <w:rPr>
          <w:rFonts w:ascii="宋体" w:hAnsi="宋体" w:cs="宋体"/>
          <w:color w:val="000000" w:themeColor="text1"/>
          <w:sz w:val="24"/>
        </w:rPr>
      </w:pPr>
    </w:p>
    <w:p w14:paraId="77C65AF3">
      <w:pPr>
        <w:spacing w:line="360" w:lineRule="auto"/>
        <w:ind w:firstLine="480" w:firstLineChars="200"/>
        <w:rPr>
          <w:rFonts w:ascii="宋体" w:hAnsi="宋体" w:cs="宋体"/>
          <w:color w:val="000000" w:themeColor="text1"/>
          <w:sz w:val="24"/>
        </w:rPr>
      </w:pPr>
    </w:p>
    <w:p w14:paraId="4B2D7498">
      <w:pPr>
        <w:snapToGrid w:val="0"/>
        <w:spacing w:line="360" w:lineRule="auto"/>
        <w:ind w:right="480"/>
        <w:jc w:val="center"/>
        <w:rPr>
          <w:rFonts w:ascii="宋体" w:hAnsi="宋体" w:cs="宋体"/>
          <w:b/>
          <w:color w:val="000000" w:themeColor="text1"/>
          <w:kern w:val="0"/>
          <w:sz w:val="32"/>
          <w:szCs w:val="32"/>
        </w:rPr>
      </w:pPr>
      <w:r>
        <w:rPr>
          <w:rFonts w:hint="eastAsia" w:ascii="宋体" w:hAnsi="宋体" w:cs="宋体"/>
          <w:color w:val="000000" w:themeColor="text1"/>
          <w:kern w:val="0"/>
          <w:sz w:val="24"/>
        </w:rPr>
        <w:br w:type="page"/>
      </w:r>
      <w:r>
        <w:rPr>
          <w:rFonts w:hint="eastAsia" w:ascii="宋体" w:hAnsi="宋体" w:cs="宋体"/>
          <w:b/>
          <w:color w:val="000000" w:themeColor="text1"/>
          <w:kern w:val="0"/>
          <w:sz w:val="32"/>
          <w:szCs w:val="32"/>
        </w:rPr>
        <w:t xml:space="preserve">  一、 符合参加政府采购活动应当具备的一般条件的承诺函</w:t>
      </w:r>
    </w:p>
    <w:p w14:paraId="640D548A">
      <w:pPr>
        <w:snapToGrid w:val="0"/>
        <w:spacing w:line="360" w:lineRule="auto"/>
        <w:ind w:right="480"/>
        <w:jc w:val="center"/>
        <w:rPr>
          <w:rFonts w:ascii="宋体" w:hAnsi="宋体" w:cs="宋体"/>
          <w:color w:val="000000" w:themeColor="text1"/>
          <w:sz w:val="24"/>
        </w:rPr>
      </w:pPr>
    </w:p>
    <w:p w14:paraId="186EB93C">
      <w:pPr>
        <w:snapToGrid w:val="0"/>
        <w:spacing w:line="360" w:lineRule="auto"/>
        <w:ind w:right="480"/>
        <w:jc w:val="center"/>
        <w:rPr>
          <w:rFonts w:ascii="宋体" w:hAnsi="宋体" w:cs="宋体"/>
          <w:color w:val="000000" w:themeColor="text1"/>
          <w:sz w:val="24"/>
        </w:rPr>
      </w:pPr>
      <w:r>
        <w:rPr>
          <w:rFonts w:hint="eastAsia" w:ascii="宋体" w:hAnsi="宋体" w:cs="宋体"/>
          <w:color w:val="000000" w:themeColor="text1"/>
          <w:sz w:val="24"/>
        </w:rPr>
        <w:t>北海市政府采购供应商信用承诺函（格式）</w:t>
      </w:r>
    </w:p>
    <w:p w14:paraId="17C1BA8C">
      <w:pPr>
        <w:snapToGrid w:val="0"/>
        <w:spacing w:line="360" w:lineRule="auto"/>
        <w:rPr>
          <w:rFonts w:ascii="宋体" w:hAnsi="宋体" w:cs="宋体"/>
          <w:color w:val="000000" w:themeColor="text1"/>
          <w:sz w:val="24"/>
        </w:rPr>
      </w:pPr>
    </w:p>
    <w:p w14:paraId="162DF049">
      <w:pPr>
        <w:snapToGrid w:val="0"/>
        <w:spacing w:line="360" w:lineRule="auto"/>
        <w:ind w:right="480"/>
        <w:rPr>
          <w:rFonts w:ascii="宋体" w:hAnsi="宋体" w:cs="宋体"/>
          <w:color w:val="000000" w:themeColor="text1"/>
          <w:sz w:val="24"/>
        </w:rPr>
      </w:pPr>
      <w:r>
        <w:rPr>
          <w:rFonts w:hint="eastAsia" w:ascii="宋体" w:hAnsi="宋体" w:cs="宋体"/>
          <w:color w:val="000000" w:themeColor="text1"/>
          <w:sz w:val="24"/>
        </w:rPr>
        <w:t>（采购人）、（采购代理机构） ：</w:t>
      </w:r>
    </w:p>
    <w:p w14:paraId="6AE2EEFB">
      <w:pPr>
        <w:snapToGrid w:val="0"/>
        <w:spacing w:line="360" w:lineRule="auto"/>
        <w:ind w:right="480"/>
        <w:rPr>
          <w:rFonts w:ascii="宋体" w:hAnsi="宋体" w:cs="宋体"/>
          <w:color w:val="000000" w:themeColor="text1"/>
          <w:sz w:val="24"/>
        </w:rPr>
      </w:pPr>
      <w:r>
        <w:rPr>
          <w:rFonts w:hint="eastAsia" w:ascii="宋体" w:hAnsi="宋体" w:cs="宋体"/>
          <w:color w:val="000000" w:themeColor="text1"/>
          <w:sz w:val="24"/>
        </w:rPr>
        <w:t>供应商名称：</w:t>
      </w:r>
    </w:p>
    <w:p w14:paraId="7A4D1A6B">
      <w:pPr>
        <w:snapToGrid w:val="0"/>
        <w:spacing w:line="360" w:lineRule="auto"/>
        <w:ind w:right="480"/>
        <w:rPr>
          <w:rFonts w:ascii="宋体" w:hAnsi="宋体" w:cs="宋体"/>
          <w:color w:val="000000" w:themeColor="text1"/>
          <w:sz w:val="24"/>
        </w:rPr>
      </w:pPr>
      <w:r>
        <w:rPr>
          <w:rFonts w:hint="eastAsia" w:ascii="宋体" w:hAnsi="宋体" w:cs="宋体"/>
          <w:color w:val="000000" w:themeColor="text1"/>
          <w:sz w:val="24"/>
        </w:rPr>
        <w:t>统一社会信用代码：</w:t>
      </w:r>
    </w:p>
    <w:p w14:paraId="123CD3AE">
      <w:pPr>
        <w:snapToGrid w:val="0"/>
        <w:spacing w:line="360" w:lineRule="auto"/>
        <w:ind w:right="480"/>
        <w:rPr>
          <w:rFonts w:ascii="宋体" w:hAnsi="宋体" w:cs="宋体"/>
          <w:color w:val="000000" w:themeColor="text1"/>
          <w:sz w:val="24"/>
        </w:rPr>
      </w:pPr>
      <w:r>
        <w:rPr>
          <w:rFonts w:hint="eastAsia" w:ascii="宋体" w:hAnsi="宋体" w:cs="宋体"/>
          <w:color w:val="000000" w:themeColor="text1"/>
          <w:sz w:val="24"/>
        </w:rPr>
        <w:t>供应商地址：</w:t>
      </w:r>
    </w:p>
    <w:p w14:paraId="58237B67">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B580E6C">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1.我单位具有符合采购文件资格要求独立承担民事责任的能力。</w:t>
      </w:r>
    </w:p>
    <w:p w14:paraId="78B3D88A">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2.我单位具有符合采购文件资格要求的财务状况报告。</w:t>
      </w:r>
    </w:p>
    <w:p w14:paraId="0311254D">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3.我单位具有符合采购文件资格要求的依法缴纳税收和社会保障记录的良好记录。</w:t>
      </w:r>
    </w:p>
    <w:p w14:paraId="263F85E0">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4.我单位具有符合采购文件资格要求履行合同所必需的设备和专业技术能力。</w:t>
      </w:r>
    </w:p>
    <w:p w14:paraId="6EB6C68A">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5.参加政府采购活动前三年内，在经营活动中没有重大违法记录。</w:t>
      </w:r>
    </w:p>
    <w:p w14:paraId="2B436B87">
      <w:pPr>
        <w:snapToGrid w:val="0"/>
        <w:spacing w:line="360" w:lineRule="auto"/>
        <w:ind w:right="482" w:firstLine="480" w:firstLineChars="200"/>
        <w:rPr>
          <w:rFonts w:ascii="宋体" w:hAnsi="宋体" w:cs="宋体"/>
          <w:color w:val="000000" w:themeColor="text1"/>
          <w:sz w:val="24"/>
        </w:rPr>
      </w:pPr>
      <w:r>
        <w:rPr>
          <w:rFonts w:hint="eastAsia" w:ascii="宋体" w:hAnsi="宋体" w:cs="宋体"/>
          <w:color w:val="000000" w:themeColor="text1"/>
          <w:sz w:val="24"/>
        </w:rPr>
        <w:t>若我单位承诺不实，自愿承担提供虚假材料谋取中标、成交的法律责任。</w:t>
      </w:r>
    </w:p>
    <w:p w14:paraId="5137F43B">
      <w:pPr>
        <w:snapToGrid w:val="0"/>
        <w:spacing w:line="360" w:lineRule="auto"/>
        <w:ind w:right="480"/>
        <w:rPr>
          <w:rFonts w:ascii="宋体" w:hAnsi="宋体" w:cs="宋体"/>
          <w:color w:val="000000" w:themeColor="text1"/>
          <w:sz w:val="24"/>
        </w:rPr>
      </w:pPr>
    </w:p>
    <w:p w14:paraId="392042BD">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1EDF93D2">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168DCF2A">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3097812F">
      <w:pPr>
        <w:snapToGrid w:val="0"/>
        <w:spacing w:line="360" w:lineRule="auto"/>
        <w:ind w:right="480"/>
        <w:rPr>
          <w:rFonts w:ascii="宋体" w:hAnsi="宋体" w:cs="宋体"/>
          <w:color w:val="000000" w:themeColor="text1"/>
          <w:sz w:val="24"/>
        </w:rPr>
      </w:pPr>
    </w:p>
    <w:p w14:paraId="596C0FF3">
      <w:pPr>
        <w:snapToGrid w:val="0"/>
        <w:spacing w:line="360" w:lineRule="auto"/>
        <w:ind w:right="480"/>
        <w:jc w:val="center"/>
        <w:rPr>
          <w:rFonts w:ascii="宋体" w:hAnsi="宋体" w:cs="宋体"/>
          <w:b/>
          <w:color w:val="000000" w:themeColor="text1"/>
          <w:kern w:val="0"/>
          <w:sz w:val="32"/>
          <w:szCs w:val="32"/>
        </w:rPr>
      </w:pPr>
    </w:p>
    <w:p w14:paraId="6B03E484">
      <w:pPr>
        <w:rPr>
          <w:rFonts w:ascii="宋体" w:hAnsi="宋体" w:cs="宋体"/>
          <w:color w:val="000000" w:themeColor="text1"/>
        </w:rPr>
      </w:pPr>
    </w:p>
    <w:p w14:paraId="528915B0">
      <w:pPr>
        <w:snapToGrid w:val="0"/>
        <w:spacing w:line="360" w:lineRule="auto"/>
        <w:ind w:right="480"/>
        <w:jc w:val="center"/>
        <w:rPr>
          <w:rFonts w:ascii="宋体" w:hAnsi="宋体" w:cs="宋体"/>
          <w:b/>
          <w:color w:val="000000" w:themeColor="text1"/>
          <w:kern w:val="0"/>
          <w:sz w:val="32"/>
          <w:szCs w:val="32"/>
        </w:rPr>
      </w:pPr>
    </w:p>
    <w:p w14:paraId="58293F63">
      <w:pPr>
        <w:snapToGrid w:val="0"/>
        <w:spacing w:line="360" w:lineRule="auto"/>
        <w:ind w:right="480"/>
        <w:jc w:val="center"/>
        <w:rPr>
          <w:rFonts w:ascii="宋体" w:hAnsi="宋体" w:cs="宋体"/>
          <w:b/>
          <w:color w:val="000000" w:themeColor="text1"/>
          <w:kern w:val="0"/>
          <w:sz w:val="32"/>
          <w:szCs w:val="32"/>
        </w:rPr>
      </w:pPr>
    </w:p>
    <w:p w14:paraId="4AC23B6B">
      <w:pPr>
        <w:snapToGrid w:val="0"/>
        <w:spacing w:line="360" w:lineRule="auto"/>
        <w:ind w:right="480"/>
        <w:jc w:val="center"/>
        <w:rPr>
          <w:rFonts w:ascii="宋体" w:hAnsi="宋体" w:cs="宋体"/>
          <w:b/>
          <w:color w:val="000000" w:themeColor="text1"/>
          <w:kern w:val="0"/>
          <w:sz w:val="32"/>
          <w:szCs w:val="32"/>
        </w:rPr>
      </w:pPr>
    </w:p>
    <w:p w14:paraId="46F8E7C5">
      <w:pPr>
        <w:snapToGrid w:val="0"/>
        <w:spacing w:line="360" w:lineRule="auto"/>
        <w:ind w:right="480"/>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二、落实政府采购政策需满足的资格要求</w:t>
      </w:r>
    </w:p>
    <w:p w14:paraId="5236564A">
      <w:pPr>
        <w:spacing w:line="360" w:lineRule="auto"/>
        <w:rPr>
          <w:rFonts w:ascii="宋体" w:hAnsi="宋体" w:cs="宋体"/>
          <w:color w:val="000000" w:themeColor="text1"/>
          <w:sz w:val="24"/>
        </w:rPr>
      </w:pPr>
      <w:r>
        <w:rPr>
          <w:rFonts w:hint="eastAsia" w:ascii="宋体" w:hAnsi="宋体" w:cs="宋体"/>
          <w:color w:val="000000" w:themeColor="text1"/>
          <w:sz w:val="24"/>
        </w:rPr>
        <w:t>（根据招标公告落实政府采购政策需满足的资格要求选择提供相应的材料；未要求的，无需提供）</w:t>
      </w:r>
    </w:p>
    <w:p w14:paraId="1891DB38">
      <w:pPr>
        <w:snapToGrid w:val="0"/>
        <w:spacing w:before="50" w:after="50" w:line="360" w:lineRule="auto"/>
        <w:ind w:firstLine="472" w:firstLineChars="196"/>
        <w:jc w:val="left"/>
        <w:rPr>
          <w:rFonts w:ascii="宋体" w:hAnsi="宋体" w:cs="宋体"/>
          <w:color w:val="000000" w:themeColor="text1"/>
          <w:sz w:val="24"/>
        </w:rPr>
      </w:pPr>
      <w:r>
        <w:rPr>
          <w:rFonts w:hint="eastAsia" w:ascii="宋体" w:hAnsi="宋体" w:cs="宋体"/>
          <w:b/>
          <w:color w:val="000000" w:themeColor="text1"/>
          <w:sz w:val="24"/>
        </w:rPr>
        <w:t>A</w:t>
      </w:r>
      <w:r>
        <w:rPr>
          <w:rFonts w:hint="eastAsia" w:ascii="宋体" w:hAnsi="宋体" w:cs="宋体"/>
          <w:color w:val="000000" w:themeColor="text1"/>
          <w:sz w:val="24"/>
        </w:rPr>
        <w:t>.专门面向中小企业，服务全部由符合政策要求的中小企业（或小微企业）承接的，提供相应的中小企业声明函（附件</w:t>
      </w:r>
      <w:r>
        <w:rPr>
          <w:rFonts w:ascii="宋体" w:hAnsi="宋体" w:cs="宋体"/>
          <w:color w:val="000000" w:themeColor="text1"/>
          <w:sz w:val="24"/>
        </w:rPr>
        <w:t>7</w:t>
      </w:r>
      <w:r>
        <w:rPr>
          <w:rFonts w:hint="eastAsia" w:ascii="宋体" w:hAnsi="宋体" w:cs="宋体"/>
          <w:color w:val="000000" w:themeColor="text1"/>
          <w:sz w:val="24"/>
        </w:rPr>
        <w:t xml:space="preserve">）。 </w:t>
      </w:r>
    </w:p>
    <w:p w14:paraId="28E3773F">
      <w:pPr>
        <w:widowControl/>
        <w:spacing w:line="360" w:lineRule="auto"/>
        <w:ind w:firstLine="480"/>
        <w:jc w:val="left"/>
        <w:rPr>
          <w:rFonts w:ascii="宋体" w:hAnsi="宋体" w:cs="宋体"/>
          <w:color w:val="000000" w:themeColor="text1"/>
          <w:sz w:val="24"/>
        </w:rPr>
      </w:pPr>
    </w:p>
    <w:p w14:paraId="163A5ED7">
      <w:pPr>
        <w:widowControl/>
        <w:spacing w:line="360" w:lineRule="auto"/>
        <w:ind w:firstLine="472" w:firstLineChars="196"/>
        <w:jc w:val="left"/>
        <w:rPr>
          <w:rFonts w:ascii="宋体" w:hAnsi="宋体" w:cs="宋体"/>
          <w:color w:val="000000" w:themeColor="text1"/>
          <w:sz w:val="24"/>
        </w:rPr>
      </w:pPr>
      <w:r>
        <w:rPr>
          <w:rFonts w:hint="eastAsia" w:ascii="宋体" w:hAnsi="宋体" w:cs="宋体"/>
          <w:b/>
          <w:color w:val="000000" w:themeColor="text1"/>
          <w:sz w:val="24"/>
        </w:rPr>
        <w:t>B.</w:t>
      </w:r>
      <w:r>
        <w:rPr>
          <w:rFonts w:hint="eastAsia" w:ascii="宋体" w:hAnsi="宋体" w:cs="宋体"/>
          <w:color w:val="000000" w:themeColor="text1"/>
          <w:sz w:val="24"/>
        </w:rPr>
        <w:t>要求以联合体形式参加的，提供联合协议（附件</w:t>
      </w:r>
      <w:r>
        <w:rPr>
          <w:rFonts w:ascii="宋体" w:hAnsi="宋体" w:cs="宋体"/>
          <w:color w:val="000000" w:themeColor="text1"/>
          <w:sz w:val="24"/>
        </w:rPr>
        <w:t>5</w:t>
      </w:r>
      <w:r>
        <w:rPr>
          <w:rFonts w:hint="eastAsia" w:ascii="宋体" w:hAnsi="宋体" w:cs="宋体"/>
          <w:color w:val="000000" w:themeColor="text1"/>
          <w:sz w:val="24"/>
        </w:rPr>
        <w:t>）和中小企业声明函（附件</w:t>
      </w:r>
      <w:r>
        <w:rPr>
          <w:rFonts w:ascii="宋体" w:hAnsi="宋体" w:cs="宋体"/>
          <w:color w:val="000000" w:themeColor="text1"/>
          <w:sz w:val="24"/>
        </w:rPr>
        <w:t>7</w:t>
      </w:r>
      <w:r>
        <w:rPr>
          <w:rFonts w:hint="eastAsia" w:ascii="宋体" w:hAnsi="宋体" w:cs="宋体"/>
          <w:color w:val="000000" w:themeColor="text1"/>
          <w:sz w:val="24"/>
        </w:rPr>
        <w:t>），联合协议中中小企业合同金额应当达到招标公告载明的比例；如果供应商本身提供所有标的均由中小企业承接的，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rPr>
        <w:t>并相应达到了前述比例要求，</w:t>
      </w:r>
      <w:r>
        <w:rPr>
          <w:rFonts w:hint="eastAsia" w:ascii="宋体" w:hAnsi="宋体" w:cs="宋体"/>
          <w:color w:val="000000" w:themeColor="text1"/>
          <w:sz w:val="24"/>
        </w:rPr>
        <w:t>视同符合了资格条件，无需再与其他中小企业组成联合体参加政府采购活动，无需提供联合协议。</w:t>
      </w:r>
    </w:p>
    <w:p w14:paraId="50AB1E58">
      <w:pPr>
        <w:snapToGrid w:val="0"/>
        <w:spacing w:before="50" w:after="50" w:line="360" w:lineRule="auto"/>
        <w:jc w:val="center"/>
        <w:rPr>
          <w:rFonts w:ascii="宋体" w:hAnsi="宋体" w:cs="宋体"/>
          <w:color w:val="000000" w:themeColor="text1"/>
          <w:sz w:val="24"/>
        </w:rPr>
      </w:pPr>
    </w:p>
    <w:p w14:paraId="4D75BB08">
      <w:pPr>
        <w:spacing w:line="360" w:lineRule="auto"/>
        <w:ind w:firstLine="482" w:firstLineChars="200"/>
        <w:rPr>
          <w:rFonts w:ascii="宋体" w:hAnsi="宋体" w:cs="宋体"/>
          <w:color w:val="000000" w:themeColor="text1"/>
          <w:sz w:val="24"/>
        </w:rPr>
      </w:pPr>
      <w:r>
        <w:rPr>
          <w:rFonts w:hint="eastAsia" w:ascii="宋体" w:hAnsi="宋体" w:cs="宋体"/>
          <w:b/>
          <w:color w:val="000000" w:themeColor="text1"/>
          <w:sz w:val="24"/>
        </w:rPr>
        <w:t>C、</w:t>
      </w:r>
      <w:r>
        <w:rPr>
          <w:rFonts w:hint="eastAsia" w:ascii="宋体" w:hAnsi="宋体" w:cs="宋体"/>
          <w:color w:val="000000" w:themeColor="text1"/>
          <w:sz w:val="24"/>
        </w:rPr>
        <w:t>要求合同分包的，提供分包意向协议（附件6）和中小企业声明函（附件</w:t>
      </w:r>
      <w:r>
        <w:rPr>
          <w:rFonts w:ascii="宋体" w:hAnsi="宋体" w:cs="宋体"/>
          <w:color w:val="000000" w:themeColor="text1"/>
          <w:sz w:val="24"/>
        </w:rPr>
        <w:t>7</w:t>
      </w:r>
      <w:r>
        <w:rPr>
          <w:rFonts w:hint="eastAsia" w:ascii="宋体" w:hAnsi="宋体" w:cs="宋体"/>
          <w:color w:val="000000" w:themeColor="text1"/>
          <w:sz w:val="24"/>
        </w:rPr>
        <w:t>），分包意向协议中中小企业合同金额应当达到招标公告载明的比例；如果供应商本身提供所有标的均由中小企业承接的，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rPr>
        <w:t>并相应达到了前述比例要求，</w:t>
      </w:r>
      <w:r>
        <w:rPr>
          <w:rFonts w:hint="eastAsia" w:ascii="宋体" w:hAnsi="宋体" w:cs="宋体"/>
          <w:color w:val="000000" w:themeColor="text1"/>
          <w:sz w:val="24"/>
        </w:rPr>
        <w:t>视同符合了资格条件，无需再向中小企业分包，无需提供分包意向协议。</w:t>
      </w:r>
    </w:p>
    <w:p w14:paraId="192E2340">
      <w:pPr>
        <w:widowControl/>
        <w:spacing w:line="360" w:lineRule="auto"/>
        <w:ind w:left="150"/>
        <w:jc w:val="center"/>
        <w:rPr>
          <w:rFonts w:ascii="宋体" w:hAnsi="宋体" w:cs="宋体"/>
          <w:b/>
          <w:color w:val="000000" w:themeColor="text1"/>
          <w:kern w:val="0"/>
          <w:sz w:val="32"/>
          <w:szCs w:val="32"/>
        </w:rPr>
      </w:pPr>
    </w:p>
    <w:p w14:paraId="7B5BDF2B">
      <w:pPr>
        <w:widowControl/>
        <w:spacing w:line="360" w:lineRule="auto"/>
        <w:ind w:left="150"/>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三、本项目的特定资格要求</w:t>
      </w:r>
    </w:p>
    <w:p w14:paraId="084129B3">
      <w:pPr>
        <w:spacing w:line="360" w:lineRule="auto"/>
        <w:jc w:val="center"/>
        <w:rPr>
          <w:rFonts w:ascii="宋体" w:hAnsi="宋体" w:cs="宋体"/>
          <w:color w:val="000000" w:themeColor="text1"/>
          <w:sz w:val="24"/>
        </w:rPr>
      </w:pPr>
      <w:r>
        <w:rPr>
          <w:rFonts w:hint="eastAsia" w:ascii="宋体" w:hAnsi="宋体" w:cs="宋体"/>
          <w:color w:val="000000" w:themeColor="text1"/>
          <w:sz w:val="24"/>
        </w:rPr>
        <w:t>（根据招标公告本项目的特定资格要求提供相应的材料；未要求的，无需提供）</w:t>
      </w:r>
    </w:p>
    <w:p w14:paraId="7FF42346">
      <w:pPr>
        <w:rPr>
          <w:rFonts w:ascii="宋体" w:hAnsi="宋体" w:cs="宋体"/>
          <w:color w:val="000000" w:themeColor="text1"/>
        </w:rPr>
      </w:pPr>
    </w:p>
    <w:p w14:paraId="00E08C27">
      <w:pPr>
        <w:snapToGrid w:val="0"/>
        <w:spacing w:line="360" w:lineRule="auto"/>
        <w:ind w:right="480"/>
        <w:jc w:val="center"/>
        <w:rPr>
          <w:rFonts w:ascii="宋体" w:hAnsi="宋体" w:cs="宋体"/>
          <w:b/>
          <w:color w:val="000000" w:themeColor="text1"/>
          <w:kern w:val="0"/>
          <w:sz w:val="32"/>
          <w:szCs w:val="32"/>
        </w:rPr>
      </w:pPr>
    </w:p>
    <w:p w14:paraId="4E763708">
      <w:pPr>
        <w:widowControl/>
        <w:adjustRightInd/>
        <w:jc w:val="left"/>
        <w:rPr>
          <w:rFonts w:ascii="宋体" w:hAnsi="宋体" w:cs="宋体"/>
          <w:b/>
          <w:color w:val="000000" w:themeColor="text1"/>
          <w:kern w:val="0"/>
          <w:sz w:val="36"/>
          <w:szCs w:val="36"/>
        </w:rPr>
      </w:pPr>
      <w:r>
        <w:rPr>
          <w:rFonts w:ascii="宋体" w:hAnsi="宋体" w:cs="宋体"/>
          <w:b/>
          <w:color w:val="000000" w:themeColor="text1"/>
          <w:kern w:val="0"/>
          <w:sz w:val="36"/>
          <w:szCs w:val="36"/>
        </w:rPr>
        <w:br w:type="page"/>
      </w:r>
    </w:p>
    <w:p w14:paraId="7FB27484">
      <w:pPr>
        <w:spacing w:line="360" w:lineRule="auto"/>
        <w:ind w:right="420" w:firstLine="3614" w:firstLineChars="10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商务技术文件部分</w:t>
      </w:r>
    </w:p>
    <w:p w14:paraId="7B9B7D62">
      <w:pPr>
        <w:spacing w:line="360" w:lineRule="auto"/>
        <w:jc w:val="center"/>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目录</w:t>
      </w:r>
    </w:p>
    <w:p w14:paraId="10A3EE62">
      <w:pPr>
        <w:snapToGrid w:val="0"/>
        <w:spacing w:line="360" w:lineRule="auto"/>
        <w:ind w:left="479" w:leftChars="228"/>
        <w:rPr>
          <w:rFonts w:ascii="宋体" w:hAnsi="宋体" w:cs="宋体"/>
          <w:color w:val="000000" w:themeColor="text1"/>
        </w:rPr>
      </w:pPr>
      <w:r>
        <w:rPr>
          <w:rFonts w:hint="eastAsia" w:ascii="宋体" w:hAnsi="宋体" w:cs="宋体"/>
          <w:color w:val="000000" w:themeColor="text1"/>
          <w:sz w:val="24"/>
        </w:rPr>
        <w:t>（1）投标函</w:t>
      </w:r>
      <w:r>
        <w:rPr>
          <w:rFonts w:hint="eastAsia" w:ascii="宋体" w:hAnsi="宋体" w:cs="宋体"/>
          <w:color w:val="000000" w:themeColor="text1"/>
        </w:rPr>
        <w:t>…………………………………………………………………………………（页码）</w:t>
      </w:r>
      <w:r>
        <w:rPr>
          <w:rFonts w:hint="eastAsia" w:ascii="宋体" w:hAnsi="宋体" w:cs="宋体"/>
          <w:color w:val="000000" w:themeColor="text1"/>
          <w:sz w:val="24"/>
        </w:rPr>
        <w:t>（2）授权委托书或法定代表人（单位负责人、自然人本人）身份证明</w:t>
      </w:r>
      <w:r>
        <w:rPr>
          <w:rFonts w:hint="eastAsia" w:ascii="宋体" w:hAnsi="宋体" w:cs="宋体"/>
          <w:color w:val="000000" w:themeColor="text1"/>
        </w:rPr>
        <w:t>………（页码）</w:t>
      </w:r>
    </w:p>
    <w:p w14:paraId="6F3763F8">
      <w:pPr>
        <w:snapToGrid w:val="0"/>
        <w:spacing w:line="360" w:lineRule="auto"/>
        <w:ind w:left="479" w:leftChars="228"/>
        <w:rPr>
          <w:rFonts w:ascii="宋体" w:hAnsi="宋体" w:cs="宋体"/>
          <w:color w:val="000000" w:themeColor="text1"/>
        </w:rPr>
      </w:pPr>
      <w:r>
        <w:rPr>
          <w:rFonts w:hint="eastAsia" w:ascii="宋体" w:hAnsi="宋体" w:cs="宋体"/>
          <w:color w:val="000000" w:themeColor="text1"/>
          <w:sz w:val="24"/>
        </w:rPr>
        <w:t>（3）评标标准相应的商务技术资料</w:t>
      </w:r>
      <w:r>
        <w:rPr>
          <w:rFonts w:hint="eastAsia" w:ascii="宋体" w:hAnsi="宋体" w:cs="宋体"/>
          <w:color w:val="000000" w:themeColor="text1"/>
        </w:rPr>
        <w:t>……………………………………………………（页码）</w:t>
      </w:r>
      <w:r>
        <w:rPr>
          <w:rFonts w:hint="eastAsia" w:ascii="宋体" w:hAnsi="宋体" w:cs="宋体"/>
          <w:color w:val="000000" w:themeColor="text1"/>
          <w:sz w:val="24"/>
        </w:rPr>
        <w:t>（4）投标标的清单</w:t>
      </w:r>
      <w:r>
        <w:rPr>
          <w:rFonts w:hint="eastAsia" w:ascii="宋体" w:hAnsi="宋体" w:cs="宋体"/>
          <w:color w:val="000000" w:themeColor="text1"/>
        </w:rPr>
        <w:t>…………………………………………………………………………（页码）</w:t>
      </w:r>
      <w:r>
        <w:rPr>
          <w:rFonts w:hint="eastAsia" w:ascii="宋体" w:hAnsi="宋体" w:cs="宋体"/>
          <w:color w:val="000000" w:themeColor="text1"/>
          <w:sz w:val="24"/>
        </w:rPr>
        <w:t>（5）商务技术偏离表</w:t>
      </w:r>
      <w:r>
        <w:rPr>
          <w:rFonts w:hint="eastAsia" w:ascii="宋体" w:hAnsi="宋体" w:cs="宋体"/>
          <w:color w:val="000000" w:themeColor="text1"/>
        </w:rPr>
        <w:t>………………………………………………………………………（页码）</w:t>
      </w:r>
    </w:p>
    <w:p w14:paraId="39AD7D9E">
      <w:pPr>
        <w:snapToGrid w:val="0"/>
        <w:spacing w:line="360" w:lineRule="auto"/>
        <w:ind w:left="479" w:leftChars="228"/>
        <w:rPr>
          <w:rFonts w:ascii="宋体" w:hAnsi="宋体" w:cs="宋体"/>
          <w:color w:val="000000" w:themeColor="text1"/>
        </w:rPr>
      </w:pPr>
      <w:r>
        <w:rPr>
          <w:rFonts w:hint="eastAsia" w:ascii="宋体" w:hAnsi="宋体" w:cs="宋体"/>
          <w:color w:val="000000" w:themeColor="text1"/>
          <w:sz w:val="24"/>
          <w:lang w:val="zh-CN"/>
        </w:rPr>
        <w:t>（</w:t>
      </w:r>
      <w:r>
        <w:rPr>
          <w:rFonts w:hint="eastAsia" w:ascii="宋体" w:hAnsi="宋体" w:cs="宋体"/>
          <w:color w:val="000000" w:themeColor="text1"/>
          <w:sz w:val="24"/>
        </w:rPr>
        <w:t>6</w:t>
      </w:r>
      <w:r>
        <w:rPr>
          <w:rFonts w:hint="eastAsia" w:ascii="宋体" w:hAnsi="宋体" w:cs="宋体"/>
          <w:color w:val="000000" w:themeColor="text1"/>
          <w:sz w:val="24"/>
          <w:lang w:val="zh-CN"/>
        </w:rPr>
        <w:t>）政府采购供应商廉洁自律承诺书</w:t>
      </w:r>
      <w:r>
        <w:rPr>
          <w:rFonts w:hint="eastAsia" w:ascii="宋体" w:hAnsi="宋体" w:cs="宋体"/>
          <w:color w:val="000000" w:themeColor="text1"/>
        </w:rPr>
        <w:t>…………………………………………………（页码）</w:t>
      </w:r>
    </w:p>
    <w:p w14:paraId="63CE102B">
      <w:pPr>
        <w:snapToGrid w:val="0"/>
        <w:spacing w:line="360" w:lineRule="auto"/>
        <w:ind w:left="479" w:leftChars="228"/>
        <w:rPr>
          <w:rFonts w:ascii="宋体" w:hAnsi="宋体" w:cs="宋体"/>
          <w:color w:val="000000" w:themeColor="text1"/>
        </w:rPr>
      </w:pPr>
      <w:r>
        <w:rPr>
          <w:rFonts w:hint="eastAsia" w:ascii="宋体" w:hAnsi="宋体" w:cs="宋体"/>
          <w:color w:val="000000" w:themeColor="text1"/>
          <w:sz w:val="24"/>
          <w:lang w:val="zh-CN"/>
        </w:rPr>
        <w:t>（</w:t>
      </w:r>
      <w:r>
        <w:rPr>
          <w:rFonts w:hint="eastAsia" w:ascii="宋体" w:hAnsi="宋体" w:cs="宋体"/>
          <w:color w:val="000000" w:themeColor="text1"/>
          <w:sz w:val="24"/>
        </w:rPr>
        <w:t>7</w:t>
      </w:r>
      <w:r>
        <w:rPr>
          <w:rFonts w:hint="eastAsia" w:ascii="宋体" w:hAnsi="宋体" w:cs="宋体"/>
          <w:color w:val="000000" w:themeColor="text1"/>
          <w:sz w:val="24"/>
          <w:lang w:val="zh-CN"/>
        </w:rPr>
        <w:t>）承诺函</w:t>
      </w:r>
      <w:r>
        <w:rPr>
          <w:rFonts w:hint="eastAsia" w:ascii="宋体" w:hAnsi="宋体" w:cs="宋体"/>
          <w:color w:val="000000" w:themeColor="text1"/>
        </w:rPr>
        <w:t>……………………………………………………………………………………（页码）</w:t>
      </w:r>
    </w:p>
    <w:p w14:paraId="300FF1CF">
      <w:pPr>
        <w:snapToGrid w:val="0"/>
        <w:spacing w:line="360" w:lineRule="auto"/>
        <w:jc w:val="center"/>
        <w:rPr>
          <w:rFonts w:ascii="宋体" w:hAnsi="宋体" w:cs="宋体"/>
          <w:b/>
          <w:color w:val="000000" w:themeColor="text1"/>
          <w:kern w:val="0"/>
          <w:sz w:val="32"/>
          <w:szCs w:val="32"/>
        </w:rPr>
      </w:pPr>
    </w:p>
    <w:p w14:paraId="59020D02">
      <w:pPr>
        <w:snapToGrid w:val="0"/>
        <w:spacing w:line="360" w:lineRule="auto"/>
        <w:jc w:val="center"/>
        <w:rPr>
          <w:rFonts w:ascii="宋体" w:hAnsi="宋体" w:cs="宋体"/>
          <w:b/>
          <w:color w:val="000000" w:themeColor="text1"/>
          <w:kern w:val="0"/>
          <w:sz w:val="32"/>
          <w:szCs w:val="32"/>
          <w:lang w:val="zh-CN"/>
        </w:rPr>
      </w:pPr>
    </w:p>
    <w:p w14:paraId="6F1AEF72">
      <w:pPr>
        <w:snapToGrid w:val="0"/>
        <w:spacing w:line="360" w:lineRule="auto"/>
        <w:jc w:val="center"/>
        <w:rPr>
          <w:rFonts w:ascii="宋体" w:hAnsi="宋体" w:cs="宋体"/>
          <w:b/>
          <w:color w:val="000000" w:themeColor="text1"/>
          <w:kern w:val="0"/>
          <w:sz w:val="32"/>
          <w:szCs w:val="32"/>
          <w:lang w:val="zh-CN"/>
        </w:rPr>
      </w:pPr>
    </w:p>
    <w:p w14:paraId="2EADF583">
      <w:pPr>
        <w:snapToGrid w:val="0"/>
        <w:spacing w:line="360" w:lineRule="auto"/>
        <w:jc w:val="center"/>
        <w:rPr>
          <w:rFonts w:ascii="宋体" w:hAnsi="宋体" w:cs="宋体"/>
          <w:b/>
          <w:color w:val="000000" w:themeColor="text1"/>
          <w:kern w:val="0"/>
          <w:sz w:val="32"/>
          <w:szCs w:val="32"/>
          <w:lang w:val="zh-CN"/>
        </w:rPr>
      </w:pPr>
    </w:p>
    <w:p w14:paraId="2C4912C6">
      <w:pPr>
        <w:snapToGrid w:val="0"/>
        <w:spacing w:line="360" w:lineRule="auto"/>
        <w:jc w:val="center"/>
        <w:rPr>
          <w:rFonts w:ascii="宋体" w:hAnsi="宋体" w:cs="宋体"/>
          <w:b/>
          <w:color w:val="000000" w:themeColor="text1"/>
          <w:kern w:val="0"/>
          <w:sz w:val="32"/>
          <w:szCs w:val="32"/>
          <w:lang w:val="zh-CN"/>
        </w:rPr>
      </w:pPr>
    </w:p>
    <w:p w14:paraId="110E6A33">
      <w:pPr>
        <w:snapToGrid w:val="0"/>
        <w:spacing w:line="360" w:lineRule="auto"/>
        <w:jc w:val="center"/>
        <w:rPr>
          <w:rFonts w:ascii="宋体" w:hAnsi="宋体" w:cs="宋体"/>
          <w:b/>
          <w:color w:val="000000" w:themeColor="text1"/>
          <w:kern w:val="0"/>
          <w:sz w:val="32"/>
          <w:szCs w:val="32"/>
          <w:lang w:val="zh-CN"/>
        </w:rPr>
      </w:pPr>
    </w:p>
    <w:p w14:paraId="1AAEE815">
      <w:pPr>
        <w:snapToGrid w:val="0"/>
        <w:spacing w:line="360" w:lineRule="auto"/>
        <w:jc w:val="center"/>
        <w:rPr>
          <w:rFonts w:ascii="宋体" w:hAnsi="宋体" w:cs="宋体"/>
          <w:b/>
          <w:color w:val="000000" w:themeColor="text1"/>
          <w:kern w:val="0"/>
          <w:sz w:val="32"/>
          <w:szCs w:val="32"/>
          <w:lang w:val="zh-CN"/>
        </w:rPr>
      </w:pPr>
    </w:p>
    <w:p w14:paraId="24104721">
      <w:pPr>
        <w:snapToGrid w:val="0"/>
        <w:spacing w:line="360" w:lineRule="auto"/>
        <w:jc w:val="center"/>
        <w:rPr>
          <w:rFonts w:ascii="宋体" w:hAnsi="宋体" w:cs="宋体"/>
          <w:b/>
          <w:color w:val="000000" w:themeColor="text1"/>
          <w:kern w:val="0"/>
          <w:sz w:val="32"/>
          <w:szCs w:val="32"/>
          <w:lang w:val="zh-CN"/>
        </w:rPr>
      </w:pPr>
    </w:p>
    <w:p w14:paraId="4FD14047">
      <w:pPr>
        <w:snapToGrid w:val="0"/>
        <w:spacing w:line="360" w:lineRule="auto"/>
        <w:jc w:val="center"/>
        <w:rPr>
          <w:rFonts w:ascii="宋体" w:hAnsi="宋体" w:cs="宋体"/>
          <w:b/>
          <w:color w:val="000000" w:themeColor="text1"/>
          <w:kern w:val="0"/>
          <w:sz w:val="32"/>
          <w:szCs w:val="32"/>
          <w:lang w:val="zh-CN"/>
        </w:rPr>
      </w:pPr>
    </w:p>
    <w:p w14:paraId="58097659">
      <w:pPr>
        <w:snapToGrid w:val="0"/>
        <w:spacing w:line="360" w:lineRule="auto"/>
        <w:jc w:val="center"/>
        <w:rPr>
          <w:rFonts w:ascii="宋体" w:hAnsi="宋体" w:cs="宋体"/>
          <w:b/>
          <w:color w:val="000000" w:themeColor="text1"/>
          <w:kern w:val="0"/>
          <w:sz w:val="32"/>
          <w:szCs w:val="32"/>
          <w:lang w:val="zh-CN"/>
        </w:rPr>
      </w:pPr>
    </w:p>
    <w:p w14:paraId="4F97B620">
      <w:pPr>
        <w:snapToGrid w:val="0"/>
        <w:spacing w:line="360" w:lineRule="auto"/>
        <w:jc w:val="center"/>
        <w:rPr>
          <w:rFonts w:ascii="宋体" w:hAnsi="宋体" w:cs="宋体"/>
          <w:b/>
          <w:color w:val="000000" w:themeColor="text1"/>
          <w:kern w:val="0"/>
          <w:sz w:val="32"/>
          <w:szCs w:val="32"/>
          <w:lang w:val="zh-CN"/>
        </w:rPr>
      </w:pPr>
    </w:p>
    <w:p w14:paraId="041347F0">
      <w:pPr>
        <w:snapToGrid w:val="0"/>
        <w:spacing w:line="360" w:lineRule="auto"/>
        <w:jc w:val="center"/>
        <w:rPr>
          <w:rFonts w:ascii="宋体" w:hAnsi="宋体" w:cs="宋体"/>
          <w:b/>
          <w:color w:val="000000" w:themeColor="text1"/>
          <w:kern w:val="0"/>
          <w:sz w:val="32"/>
          <w:szCs w:val="32"/>
          <w:lang w:val="zh-CN"/>
        </w:rPr>
      </w:pPr>
    </w:p>
    <w:p w14:paraId="4C34AC26">
      <w:pPr>
        <w:rPr>
          <w:rFonts w:ascii="宋体" w:hAnsi="宋体" w:cs="宋体"/>
          <w:b/>
          <w:color w:val="000000" w:themeColor="text1"/>
          <w:kern w:val="0"/>
          <w:sz w:val="32"/>
          <w:szCs w:val="32"/>
          <w:lang w:val="zh-CN"/>
        </w:rPr>
      </w:pPr>
    </w:p>
    <w:p w14:paraId="598F25F8">
      <w:pPr>
        <w:widowControl/>
        <w:adjustRightInd/>
        <w:jc w:val="left"/>
        <w:rPr>
          <w:rFonts w:ascii="宋体" w:hAnsi="宋体" w:cs="宋体"/>
          <w:b/>
          <w:color w:val="000000" w:themeColor="text1"/>
          <w:kern w:val="0"/>
          <w:sz w:val="32"/>
          <w:szCs w:val="32"/>
        </w:rPr>
      </w:pPr>
      <w:r>
        <w:rPr>
          <w:rFonts w:ascii="宋体" w:hAnsi="宋体" w:cs="宋体"/>
          <w:b/>
          <w:color w:val="000000" w:themeColor="text1"/>
          <w:kern w:val="0"/>
          <w:sz w:val="32"/>
          <w:szCs w:val="32"/>
        </w:rPr>
        <w:br w:type="page"/>
      </w:r>
    </w:p>
    <w:p w14:paraId="0A3523E5">
      <w:pPr>
        <w:snapToGrid w:val="0"/>
        <w:spacing w:line="360" w:lineRule="auto"/>
        <w:jc w:val="center"/>
        <w:rPr>
          <w:rFonts w:ascii="宋体" w:hAnsi="宋体" w:cs="宋体"/>
          <w:b/>
          <w:color w:val="000000" w:themeColor="text1"/>
          <w:kern w:val="0"/>
          <w:sz w:val="32"/>
          <w:szCs w:val="32"/>
        </w:rPr>
      </w:pPr>
    </w:p>
    <w:p w14:paraId="7D2EE22B">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t>一、投标</w:t>
      </w:r>
      <w:r>
        <w:rPr>
          <w:rFonts w:hint="eastAsia" w:ascii="宋体" w:hAnsi="宋体" w:cs="宋体"/>
          <w:b/>
          <w:color w:val="000000" w:themeColor="text1"/>
          <w:sz w:val="32"/>
          <w:szCs w:val="32"/>
        </w:rPr>
        <w:t>函</w:t>
      </w:r>
    </w:p>
    <w:p w14:paraId="4473235A">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（采购人）、（采购代理机构）：</w:t>
      </w:r>
    </w:p>
    <w:p w14:paraId="608E2165">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我方参加你方组织的（项目名称）【招标编号：（采购编号）】招标的有关活动，并对此项目进行投标。为此：</w:t>
      </w:r>
    </w:p>
    <w:p w14:paraId="2F81EAB9">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1、我方承诺投标有效期从提交投标文件的截止之日起天（不少于60天）</w:t>
      </w:r>
      <w:r>
        <w:rPr>
          <w:rFonts w:hint="eastAsia" w:ascii="宋体" w:hAnsi="宋体" w:cs="宋体"/>
          <w:color w:val="000000" w:themeColor="text1"/>
        </w:rPr>
        <w:t>，</w:t>
      </w:r>
      <w:r>
        <w:rPr>
          <w:rFonts w:hint="eastAsia" w:ascii="宋体" w:hAnsi="宋体" w:cs="宋体"/>
          <w:color w:val="000000" w:themeColor="text1"/>
          <w:sz w:val="24"/>
        </w:rPr>
        <w:t>本投标文件在投标有效期满之前均具有约束力。</w:t>
      </w:r>
    </w:p>
    <w:p w14:paraId="1D2A628B">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2、我方的投标文件包括以下内容：</w:t>
      </w:r>
    </w:p>
    <w:p w14:paraId="7AE3CEDD">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2.1资格文件：</w:t>
      </w:r>
    </w:p>
    <w:p w14:paraId="75CBF8D7">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2.1.1承诺函；</w:t>
      </w:r>
    </w:p>
    <w:p w14:paraId="50117EA9">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w:t>
      </w:r>
      <w:r>
        <w:rPr>
          <w:rFonts w:ascii="宋体" w:hAnsi="宋体" w:cs="宋体"/>
          <w:color w:val="000000" w:themeColor="text1"/>
          <w:sz w:val="24"/>
        </w:rPr>
        <w:t>.1.</w:t>
      </w:r>
      <w:r>
        <w:rPr>
          <w:rFonts w:hint="eastAsia" w:ascii="宋体" w:hAnsi="宋体" w:cs="宋体"/>
          <w:color w:val="000000" w:themeColor="text1"/>
          <w:sz w:val="24"/>
        </w:rPr>
        <w:t>2落实政府采购政策需满足的资格要求（如果有）；</w:t>
      </w:r>
    </w:p>
    <w:p w14:paraId="6700AA6B">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2.1.3本项目的特定资格要求（如果有)。</w:t>
      </w:r>
    </w:p>
    <w:p w14:paraId="04EEE677">
      <w:pPr>
        <w:snapToGrid w:val="0"/>
        <w:spacing w:line="360" w:lineRule="auto"/>
        <w:ind w:left="210" w:leftChars="100" w:firstLine="480" w:firstLineChars="200"/>
        <w:rPr>
          <w:rFonts w:ascii="宋体" w:hAnsi="宋体" w:cs="宋体"/>
          <w:color w:val="000000" w:themeColor="text1"/>
          <w:sz w:val="24"/>
          <w:lang w:val="zh-CN"/>
        </w:rPr>
      </w:pPr>
      <w:r>
        <w:rPr>
          <w:rFonts w:hint="eastAsia" w:ascii="宋体" w:hAnsi="宋体" w:cs="宋体"/>
          <w:color w:val="000000" w:themeColor="text1"/>
          <w:sz w:val="24"/>
        </w:rPr>
        <w:t>2</w:t>
      </w:r>
      <w:r>
        <w:rPr>
          <w:rFonts w:hint="eastAsia" w:ascii="宋体" w:hAnsi="宋体" w:cs="宋体"/>
          <w:color w:val="000000" w:themeColor="text1"/>
          <w:sz w:val="24"/>
          <w:lang w:val="zh-CN"/>
        </w:rPr>
        <w:t>.</w:t>
      </w:r>
      <w:r>
        <w:rPr>
          <w:rFonts w:hint="eastAsia" w:ascii="宋体" w:hAnsi="宋体" w:cs="宋体"/>
          <w:color w:val="000000" w:themeColor="text1"/>
          <w:sz w:val="24"/>
        </w:rPr>
        <w:t>2商务技术</w:t>
      </w:r>
      <w:r>
        <w:rPr>
          <w:rFonts w:hint="eastAsia" w:ascii="宋体" w:hAnsi="宋体" w:cs="宋体"/>
          <w:color w:val="000000" w:themeColor="text1"/>
          <w:sz w:val="24"/>
          <w:lang w:val="zh-CN"/>
        </w:rPr>
        <w:t>文件：</w:t>
      </w:r>
    </w:p>
    <w:p w14:paraId="0C4B6ADC">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2.2.1投标函；</w:t>
      </w:r>
    </w:p>
    <w:p w14:paraId="487F5310">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2.2.2授权委托书或法定代表人（单位负责人）身份证明；</w:t>
      </w:r>
    </w:p>
    <w:p w14:paraId="59CC4D12">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2.2.3评标标准相应的商务技术资料；</w:t>
      </w:r>
    </w:p>
    <w:p w14:paraId="1C7E3C78">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2.2.4投标标的清单；</w:t>
      </w:r>
    </w:p>
    <w:p w14:paraId="43409FA0">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2.2.5商务技术偏离表；</w:t>
      </w:r>
    </w:p>
    <w:p w14:paraId="324716C3">
      <w:pPr>
        <w:snapToGrid w:val="0"/>
        <w:spacing w:line="360" w:lineRule="auto"/>
        <w:ind w:left="420" w:leftChars="200" w:firstLine="480" w:firstLineChars="200"/>
        <w:rPr>
          <w:rFonts w:ascii="宋体" w:hAnsi="宋体" w:cs="宋体"/>
          <w:color w:val="000000" w:themeColor="text1"/>
          <w:sz w:val="24"/>
          <w:lang w:val="zh-CN"/>
        </w:rPr>
      </w:pPr>
      <w:r>
        <w:rPr>
          <w:rFonts w:hint="eastAsia" w:ascii="宋体" w:hAnsi="宋体" w:cs="宋体"/>
          <w:color w:val="000000" w:themeColor="text1"/>
          <w:sz w:val="24"/>
        </w:rPr>
        <w:t>2</w:t>
      </w:r>
      <w:r>
        <w:rPr>
          <w:rFonts w:hint="eastAsia" w:ascii="宋体" w:hAnsi="宋体" w:cs="宋体"/>
          <w:color w:val="000000" w:themeColor="text1"/>
          <w:sz w:val="24"/>
          <w:lang w:val="zh-CN"/>
        </w:rPr>
        <w:t>.</w:t>
      </w:r>
      <w:r>
        <w:rPr>
          <w:rFonts w:hint="eastAsia" w:ascii="宋体" w:hAnsi="宋体" w:cs="宋体"/>
          <w:color w:val="000000" w:themeColor="text1"/>
          <w:sz w:val="24"/>
        </w:rPr>
        <w:t>2</w:t>
      </w:r>
      <w:r>
        <w:rPr>
          <w:rFonts w:hint="eastAsia" w:ascii="宋体" w:hAnsi="宋体" w:cs="宋体"/>
          <w:color w:val="000000" w:themeColor="text1"/>
          <w:sz w:val="24"/>
          <w:lang w:val="zh-CN"/>
        </w:rPr>
        <w:t>.</w:t>
      </w:r>
      <w:r>
        <w:rPr>
          <w:rFonts w:hint="eastAsia" w:ascii="宋体" w:hAnsi="宋体" w:cs="宋体"/>
          <w:color w:val="000000" w:themeColor="text1"/>
          <w:sz w:val="24"/>
        </w:rPr>
        <w:t>6</w:t>
      </w:r>
      <w:r>
        <w:rPr>
          <w:rFonts w:hint="eastAsia" w:ascii="宋体" w:hAnsi="宋体" w:cs="宋体"/>
          <w:color w:val="000000" w:themeColor="text1"/>
          <w:sz w:val="24"/>
          <w:lang w:val="zh-CN"/>
        </w:rPr>
        <w:t>政府采购供应商廉洁自律承诺书；</w:t>
      </w:r>
    </w:p>
    <w:p w14:paraId="6B70F207">
      <w:pPr>
        <w:pStyle w:val="82"/>
        <w:ind w:left="420" w:leftChars="200" w:firstLine="480" w:firstLineChars="200"/>
        <w:rPr>
          <w:color w:val="000000" w:themeColor="text1"/>
        </w:rPr>
      </w:pPr>
      <w:r>
        <w:rPr>
          <w:rFonts w:hint="eastAsia" w:cs="宋体"/>
          <w:color w:val="000000" w:themeColor="text1"/>
        </w:rPr>
        <w:t>2</w:t>
      </w:r>
      <w:r>
        <w:rPr>
          <w:rFonts w:hint="eastAsia" w:cs="宋体"/>
          <w:color w:val="000000" w:themeColor="text1"/>
          <w:lang w:val="zh-CN"/>
        </w:rPr>
        <w:t>.</w:t>
      </w:r>
      <w:r>
        <w:rPr>
          <w:rFonts w:hint="eastAsia" w:cs="宋体"/>
          <w:color w:val="000000" w:themeColor="text1"/>
        </w:rPr>
        <w:t>2</w:t>
      </w:r>
      <w:r>
        <w:rPr>
          <w:rFonts w:hint="eastAsia" w:cs="宋体"/>
          <w:color w:val="000000" w:themeColor="text1"/>
          <w:lang w:val="zh-CN"/>
        </w:rPr>
        <w:t>.</w:t>
      </w:r>
      <w:r>
        <w:rPr>
          <w:rFonts w:hint="eastAsia" w:cs="宋体"/>
          <w:color w:val="000000" w:themeColor="text1"/>
        </w:rPr>
        <w:t>7</w:t>
      </w:r>
      <w:r>
        <w:rPr>
          <w:rFonts w:hint="eastAsia" w:cs="宋体"/>
          <w:color w:val="000000" w:themeColor="text1"/>
          <w:lang w:val="zh-CN"/>
        </w:rPr>
        <w:t>承诺函；</w:t>
      </w:r>
    </w:p>
    <w:p w14:paraId="646FF484">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w:t>
      </w:r>
      <w:r>
        <w:rPr>
          <w:rFonts w:hint="eastAsia" w:ascii="宋体" w:hAnsi="宋体" w:cs="宋体"/>
          <w:color w:val="000000" w:themeColor="text1"/>
          <w:sz w:val="24"/>
        </w:rPr>
        <w:t>3报价文件</w:t>
      </w:r>
    </w:p>
    <w:p w14:paraId="0FB82373">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2.3.1开标一览表（报价表）；</w:t>
      </w:r>
    </w:p>
    <w:p w14:paraId="78E0FE63">
      <w:pPr>
        <w:snapToGrid w:val="0"/>
        <w:spacing w:line="360" w:lineRule="auto"/>
        <w:ind w:left="420" w:leftChars="200" w:firstLine="480" w:firstLineChars="200"/>
        <w:rPr>
          <w:rFonts w:ascii="宋体" w:hAnsi="宋体" w:cs="宋体"/>
          <w:color w:val="000000" w:themeColor="text1"/>
          <w:sz w:val="24"/>
        </w:rPr>
      </w:pPr>
      <w:r>
        <w:rPr>
          <w:rFonts w:hint="eastAsia" w:ascii="宋体" w:hAnsi="宋体" w:cs="宋体"/>
          <w:color w:val="000000" w:themeColor="text1"/>
          <w:sz w:val="24"/>
        </w:rPr>
        <w:t>2.3.2中小企业声明函（如果有）。</w:t>
      </w:r>
    </w:p>
    <w:p w14:paraId="3ECCFA9D">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3、我方承诺除商务技术偏离表列出的偏离外，我方响应招标文件的全部要求。</w:t>
      </w:r>
    </w:p>
    <w:p w14:paraId="0BFAD37D">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4、如我方中标，我方承诺：</w:t>
      </w:r>
    </w:p>
    <w:p w14:paraId="64F8657A">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 xml:space="preserve">4.1在收到中标通知书后，在中标通知书规定的期限内与你方签订合同； </w:t>
      </w:r>
    </w:p>
    <w:p w14:paraId="7F0E568B">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 xml:space="preserve">4.2在签订合同时不向你方提出附加条件； </w:t>
      </w:r>
    </w:p>
    <w:p w14:paraId="55122F88">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 xml:space="preserve">4.3按照招标文件要求提交履约保证金； </w:t>
      </w:r>
    </w:p>
    <w:p w14:paraId="2488FFC4">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 xml:space="preserve">4.4在合同约定的期限内完成合同规定的全部义务。 </w:t>
      </w:r>
    </w:p>
    <w:p w14:paraId="366FF172">
      <w:pPr>
        <w:snapToGrid w:val="0"/>
        <w:spacing w:line="360" w:lineRule="auto"/>
        <w:ind w:left="210" w:leftChars="100" w:firstLine="480" w:firstLineChars="200"/>
        <w:rPr>
          <w:rFonts w:ascii="宋体" w:hAnsi="宋体" w:cs="宋体"/>
          <w:color w:val="000000" w:themeColor="text1"/>
          <w:sz w:val="24"/>
        </w:rPr>
      </w:pPr>
      <w:r>
        <w:rPr>
          <w:rFonts w:hint="eastAsia" w:ascii="宋体" w:hAnsi="宋体" w:cs="宋体"/>
          <w:color w:val="000000" w:themeColor="text1"/>
          <w:sz w:val="24"/>
        </w:rPr>
        <w:t>5、其他补充说明:。</w:t>
      </w:r>
    </w:p>
    <w:p w14:paraId="66F41C7C">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476BC65A">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5162C2B6">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7A3BC0F1">
      <w:pPr>
        <w:snapToGrid w:val="0"/>
        <w:spacing w:line="360" w:lineRule="auto"/>
        <w:ind w:left="420" w:leftChars="200" w:firstLine="4200" w:firstLineChars="1750"/>
        <w:rPr>
          <w:rFonts w:ascii="宋体" w:hAnsi="宋体" w:cs="宋体"/>
          <w:color w:val="000000" w:themeColor="text1"/>
          <w:kern w:val="0"/>
          <w:sz w:val="24"/>
          <w:u w:val="single"/>
        </w:rPr>
      </w:pPr>
    </w:p>
    <w:p w14:paraId="4FB66D02">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04B2FB2E">
      <w:pPr>
        <w:snapToGrid w:val="0"/>
        <w:spacing w:line="360" w:lineRule="auto"/>
        <w:jc w:val="center"/>
        <w:rPr>
          <w:rFonts w:ascii="宋体" w:hAnsi="宋体" w:cs="宋体"/>
          <w:b/>
          <w:color w:val="000000" w:themeColor="text1"/>
          <w:kern w:val="0"/>
          <w:sz w:val="32"/>
          <w:szCs w:val="32"/>
        </w:rPr>
      </w:pPr>
    </w:p>
    <w:p w14:paraId="0E7C36C1">
      <w:pPr>
        <w:snapToGrid w:val="0"/>
        <w:spacing w:line="360" w:lineRule="auto"/>
        <w:rPr>
          <w:rFonts w:ascii="宋体" w:hAnsi="宋体" w:cs="宋体"/>
          <w:color w:val="000000" w:themeColor="text1"/>
          <w:sz w:val="24"/>
        </w:rPr>
      </w:pPr>
    </w:p>
    <w:p w14:paraId="7FF8DF8F">
      <w:pPr>
        <w:jc w:val="center"/>
        <w:rPr>
          <w:rFonts w:ascii="宋体" w:hAnsi="宋体" w:cs="宋体"/>
          <w:b/>
          <w:color w:val="000000" w:themeColor="text1"/>
          <w:kern w:val="0"/>
          <w:sz w:val="32"/>
          <w:szCs w:val="32"/>
        </w:rPr>
      </w:pPr>
    </w:p>
    <w:p w14:paraId="1A108DE4">
      <w:pPr>
        <w:jc w:val="center"/>
        <w:rPr>
          <w:rFonts w:ascii="宋体" w:hAnsi="宋体" w:cs="宋体"/>
          <w:b/>
          <w:color w:val="000000" w:themeColor="text1"/>
          <w:kern w:val="0"/>
          <w:sz w:val="32"/>
          <w:szCs w:val="32"/>
        </w:rPr>
      </w:pPr>
    </w:p>
    <w:p w14:paraId="72224026">
      <w:pPr>
        <w:jc w:val="center"/>
        <w:rPr>
          <w:rFonts w:ascii="宋体" w:hAnsi="宋体" w:cs="宋体"/>
          <w:b/>
          <w:color w:val="000000" w:themeColor="text1"/>
          <w:kern w:val="0"/>
          <w:sz w:val="32"/>
          <w:szCs w:val="32"/>
        </w:rPr>
      </w:pPr>
    </w:p>
    <w:p w14:paraId="34E83033">
      <w:pPr>
        <w:jc w:val="center"/>
        <w:rPr>
          <w:rFonts w:ascii="宋体" w:hAnsi="宋体" w:cs="宋体"/>
          <w:b/>
          <w:color w:val="000000" w:themeColor="text1"/>
          <w:kern w:val="0"/>
          <w:sz w:val="32"/>
          <w:szCs w:val="32"/>
        </w:rPr>
      </w:pPr>
    </w:p>
    <w:p w14:paraId="70E0E298">
      <w:pPr>
        <w:jc w:val="center"/>
        <w:rPr>
          <w:rFonts w:ascii="宋体" w:hAnsi="宋体" w:cs="宋体"/>
          <w:b/>
          <w:color w:val="000000" w:themeColor="text1"/>
          <w:kern w:val="0"/>
          <w:sz w:val="32"/>
          <w:szCs w:val="32"/>
        </w:rPr>
      </w:pPr>
    </w:p>
    <w:p w14:paraId="6BE5F76D">
      <w:pPr>
        <w:jc w:val="center"/>
        <w:rPr>
          <w:rFonts w:ascii="宋体" w:hAnsi="宋体" w:cs="宋体"/>
          <w:b/>
          <w:color w:val="000000" w:themeColor="text1"/>
          <w:kern w:val="0"/>
          <w:sz w:val="32"/>
          <w:szCs w:val="32"/>
        </w:rPr>
      </w:pPr>
    </w:p>
    <w:p w14:paraId="227B727D">
      <w:pPr>
        <w:jc w:val="center"/>
        <w:rPr>
          <w:rFonts w:ascii="宋体" w:hAnsi="宋体" w:cs="宋体"/>
          <w:b/>
          <w:color w:val="000000" w:themeColor="text1"/>
          <w:kern w:val="0"/>
          <w:sz w:val="32"/>
          <w:szCs w:val="32"/>
        </w:rPr>
      </w:pPr>
    </w:p>
    <w:p w14:paraId="4004BA84">
      <w:pPr>
        <w:jc w:val="center"/>
        <w:rPr>
          <w:rFonts w:ascii="宋体" w:hAnsi="宋体" w:cs="宋体"/>
          <w:b/>
          <w:color w:val="000000" w:themeColor="text1"/>
          <w:kern w:val="0"/>
          <w:sz w:val="32"/>
          <w:szCs w:val="32"/>
        </w:rPr>
      </w:pPr>
    </w:p>
    <w:p w14:paraId="1BD48956">
      <w:pPr>
        <w:jc w:val="center"/>
        <w:rPr>
          <w:rFonts w:ascii="宋体" w:hAnsi="宋体" w:cs="宋体"/>
          <w:b/>
          <w:color w:val="000000" w:themeColor="text1"/>
          <w:kern w:val="0"/>
          <w:sz w:val="32"/>
          <w:szCs w:val="32"/>
        </w:rPr>
      </w:pPr>
    </w:p>
    <w:p w14:paraId="66F8E702">
      <w:pPr>
        <w:jc w:val="center"/>
        <w:rPr>
          <w:rFonts w:ascii="宋体" w:hAnsi="宋体" w:cs="宋体"/>
          <w:b/>
          <w:color w:val="000000" w:themeColor="text1"/>
          <w:kern w:val="0"/>
          <w:sz w:val="32"/>
          <w:szCs w:val="32"/>
        </w:rPr>
      </w:pPr>
    </w:p>
    <w:p w14:paraId="2ADADA51">
      <w:pPr>
        <w:jc w:val="center"/>
        <w:rPr>
          <w:rFonts w:ascii="宋体" w:hAnsi="宋体" w:cs="宋体"/>
          <w:b/>
          <w:color w:val="000000" w:themeColor="text1"/>
          <w:kern w:val="0"/>
          <w:sz w:val="32"/>
          <w:szCs w:val="32"/>
        </w:rPr>
      </w:pPr>
    </w:p>
    <w:p w14:paraId="2E45F6FD">
      <w:pPr>
        <w:jc w:val="center"/>
        <w:rPr>
          <w:rFonts w:ascii="宋体" w:hAnsi="宋体" w:cs="宋体"/>
          <w:b/>
          <w:color w:val="000000" w:themeColor="text1"/>
          <w:kern w:val="0"/>
          <w:sz w:val="32"/>
          <w:szCs w:val="32"/>
        </w:rPr>
      </w:pPr>
    </w:p>
    <w:p w14:paraId="3B6FCF64">
      <w:pPr>
        <w:jc w:val="center"/>
        <w:rPr>
          <w:rFonts w:ascii="宋体" w:hAnsi="宋体" w:cs="宋体"/>
          <w:b/>
          <w:color w:val="000000" w:themeColor="text1"/>
          <w:kern w:val="0"/>
          <w:sz w:val="32"/>
          <w:szCs w:val="32"/>
        </w:rPr>
      </w:pPr>
    </w:p>
    <w:p w14:paraId="4895EDBB">
      <w:pPr>
        <w:jc w:val="center"/>
        <w:rPr>
          <w:rFonts w:ascii="宋体" w:hAnsi="宋体" w:cs="宋体"/>
          <w:b/>
          <w:color w:val="000000" w:themeColor="text1"/>
          <w:kern w:val="0"/>
          <w:sz w:val="32"/>
          <w:szCs w:val="32"/>
        </w:rPr>
      </w:pPr>
    </w:p>
    <w:p w14:paraId="30993D29">
      <w:pPr>
        <w:jc w:val="center"/>
        <w:rPr>
          <w:rFonts w:ascii="宋体" w:hAnsi="宋体" w:cs="宋体"/>
          <w:b/>
          <w:color w:val="000000" w:themeColor="text1"/>
          <w:kern w:val="0"/>
          <w:sz w:val="32"/>
          <w:szCs w:val="32"/>
        </w:rPr>
      </w:pPr>
    </w:p>
    <w:p w14:paraId="69227A47">
      <w:pPr>
        <w:jc w:val="center"/>
        <w:rPr>
          <w:rFonts w:ascii="宋体" w:hAnsi="宋体" w:cs="宋体"/>
          <w:b/>
          <w:color w:val="000000" w:themeColor="text1"/>
          <w:kern w:val="0"/>
          <w:sz w:val="32"/>
          <w:szCs w:val="32"/>
        </w:rPr>
      </w:pPr>
    </w:p>
    <w:p w14:paraId="2AD54A9B">
      <w:pPr>
        <w:jc w:val="center"/>
        <w:rPr>
          <w:rFonts w:ascii="宋体" w:hAnsi="宋体" w:cs="宋体"/>
          <w:b/>
          <w:color w:val="000000" w:themeColor="text1"/>
          <w:kern w:val="0"/>
          <w:sz w:val="32"/>
          <w:szCs w:val="32"/>
        </w:rPr>
      </w:pPr>
    </w:p>
    <w:p w14:paraId="71323B0A">
      <w:pPr>
        <w:jc w:val="center"/>
        <w:rPr>
          <w:rFonts w:ascii="宋体" w:hAnsi="宋体" w:cs="宋体"/>
          <w:b/>
          <w:color w:val="000000" w:themeColor="text1"/>
          <w:kern w:val="0"/>
          <w:sz w:val="32"/>
          <w:szCs w:val="32"/>
        </w:rPr>
      </w:pPr>
    </w:p>
    <w:p w14:paraId="1E2F2271">
      <w:pPr>
        <w:jc w:val="center"/>
        <w:rPr>
          <w:rFonts w:ascii="宋体" w:hAnsi="宋体" w:cs="宋体"/>
          <w:b/>
          <w:color w:val="000000" w:themeColor="text1"/>
          <w:kern w:val="0"/>
          <w:sz w:val="32"/>
          <w:szCs w:val="32"/>
        </w:rPr>
      </w:pPr>
    </w:p>
    <w:p w14:paraId="235326F8">
      <w:pPr>
        <w:jc w:val="center"/>
        <w:rPr>
          <w:rFonts w:ascii="宋体" w:hAnsi="宋体" w:cs="宋体"/>
          <w:b/>
          <w:color w:val="000000" w:themeColor="text1"/>
          <w:kern w:val="0"/>
          <w:sz w:val="32"/>
          <w:szCs w:val="32"/>
        </w:rPr>
      </w:pPr>
    </w:p>
    <w:p w14:paraId="224EB748">
      <w:pPr>
        <w:pStyle w:val="82"/>
        <w:rPr>
          <w:color w:val="000000" w:themeColor="text1"/>
        </w:rPr>
      </w:pPr>
    </w:p>
    <w:p w14:paraId="6BA27661">
      <w:pPr>
        <w:pStyle w:val="82"/>
        <w:rPr>
          <w:color w:val="000000" w:themeColor="text1"/>
        </w:rPr>
      </w:pPr>
    </w:p>
    <w:p w14:paraId="02A1B901">
      <w:pPr>
        <w:jc w:val="center"/>
        <w:rPr>
          <w:rFonts w:ascii="宋体" w:hAnsi="宋体" w:cs="宋体"/>
          <w:b/>
          <w:color w:val="000000" w:themeColor="text1"/>
          <w:kern w:val="0"/>
          <w:sz w:val="32"/>
          <w:szCs w:val="32"/>
        </w:rPr>
      </w:pPr>
    </w:p>
    <w:p w14:paraId="08F9595D">
      <w:pPr>
        <w:jc w:val="center"/>
        <w:rPr>
          <w:rFonts w:ascii="宋体" w:hAnsi="宋体" w:cs="宋体"/>
          <w:b/>
          <w:color w:val="000000" w:themeColor="text1"/>
          <w:kern w:val="0"/>
          <w:sz w:val="32"/>
          <w:szCs w:val="32"/>
          <w:lang w:val="zh-CN"/>
        </w:rPr>
      </w:pPr>
      <w:r>
        <w:rPr>
          <w:rFonts w:hint="eastAsia" w:ascii="宋体" w:hAnsi="宋体" w:cs="宋体"/>
          <w:b/>
          <w:color w:val="000000" w:themeColor="text1"/>
          <w:kern w:val="0"/>
          <w:sz w:val="32"/>
          <w:szCs w:val="32"/>
          <w:lang w:val="zh-CN"/>
        </w:rPr>
        <w:t>二、授权委托书或法定代表人（单位负责人、自然人本人）身份证明</w:t>
      </w:r>
    </w:p>
    <w:p w14:paraId="692FF3FA">
      <w:pPr>
        <w:snapToGrid w:val="0"/>
        <w:spacing w:line="360" w:lineRule="auto"/>
        <w:rPr>
          <w:rFonts w:ascii="宋体" w:hAnsi="宋体" w:cs="宋体"/>
          <w:color w:val="000000" w:themeColor="text1"/>
          <w:sz w:val="24"/>
        </w:rPr>
      </w:pPr>
    </w:p>
    <w:p w14:paraId="296D1C7A">
      <w:pPr>
        <w:snapToGrid w:val="0"/>
        <w:spacing w:line="360" w:lineRule="auto"/>
        <w:ind w:firstLine="2872" w:firstLineChars="894"/>
        <w:rPr>
          <w:rFonts w:ascii="宋体" w:hAnsi="宋体" w:cs="宋体"/>
          <w:color w:val="000000" w:themeColor="text1"/>
        </w:rPr>
      </w:pPr>
      <w:r>
        <w:rPr>
          <w:rFonts w:hint="eastAsia" w:ascii="宋体" w:hAnsi="宋体" w:cs="宋体"/>
          <w:b/>
          <w:color w:val="000000" w:themeColor="text1"/>
          <w:kern w:val="0"/>
          <w:sz w:val="32"/>
          <w:szCs w:val="32"/>
          <w:lang w:val="zh-CN"/>
        </w:rPr>
        <w:t>授权委托书（适用于非联合体投标）</w:t>
      </w:r>
    </w:p>
    <w:p w14:paraId="22BC35DF">
      <w:pPr>
        <w:snapToGrid w:val="0"/>
        <w:spacing w:line="360" w:lineRule="auto"/>
        <w:rPr>
          <w:rFonts w:ascii="宋体" w:hAnsi="宋体" w:cs="宋体"/>
          <w:color w:val="000000" w:themeColor="text1"/>
          <w:kern w:val="0"/>
          <w:sz w:val="24"/>
        </w:rPr>
      </w:pPr>
      <w:r>
        <w:rPr>
          <w:rFonts w:hint="eastAsia" w:ascii="宋体" w:hAnsi="宋体" w:cs="宋体"/>
          <w:color w:val="000000" w:themeColor="text1"/>
          <w:sz w:val="24"/>
        </w:rPr>
        <w:t>（采购人）、（采购代理机构）</w:t>
      </w:r>
      <w:r>
        <w:rPr>
          <w:rFonts w:hint="eastAsia" w:ascii="宋体" w:hAnsi="宋体" w:cs="宋体"/>
          <w:color w:val="000000" w:themeColor="text1"/>
          <w:kern w:val="0"/>
          <w:sz w:val="24"/>
          <w:lang w:val="zh-CN"/>
        </w:rPr>
        <w:t>：</w:t>
      </w:r>
    </w:p>
    <w:p w14:paraId="42930A08">
      <w:pPr>
        <w:snapToGrid w:val="0"/>
        <w:spacing w:line="360" w:lineRule="auto"/>
        <w:ind w:firstLine="576"/>
        <w:rPr>
          <w:rFonts w:ascii="宋体" w:hAnsi="宋体" w:cs="宋体"/>
          <w:color w:val="000000" w:themeColor="text1"/>
          <w:kern w:val="0"/>
          <w:sz w:val="24"/>
        </w:rPr>
      </w:pPr>
      <w:r>
        <w:rPr>
          <w:rFonts w:hint="eastAsia" w:ascii="宋体" w:hAnsi="宋体" w:cs="宋体"/>
          <w:color w:val="000000" w:themeColor="text1"/>
          <w:kern w:val="0"/>
          <w:sz w:val="24"/>
        </w:rPr>
        <w:t>现</w:t>
      </w:r>
      <w:r>
        <w:rPr>
          <w:rFonts w:hint="eastAsia" w:ascii="宋体" w:hAnsi="宋体" w:cs="宋体"/>
          <w:color w:val="000000" w:themeColor="text1"/>
          <w:kern w:val="0"/>
          <w:sz w:val="24"/>
          <w:lang w:val="zh-CN"/>
        </w:rPr>
        <w:t>委托（姓名）为我方代理人（身份证号码：，手机：），以我方名义处理</w:t>
      </w:r>
      <w:r>
        <w:rPr>
          <w:rFonts w:hint="eastAsia" w:ascii="宋体" w:hAnsi="宋体" w:cs="宋体"/>
          <w:color w:val="000000" w:themeColor="text1"/>
          <w:sz w:val="24"/>
        </w:rPr>
        <w:t>（项目名称）【招标编号：（采购编号）】</w:t>
      </w:r>
      <w:r>
        <w:rPr>
          <w:rFonts w:hint="eastAsia" w:ascii="宋体" w:hAnsi="宋体" w:cs="宋体"/>
          <w:color w:val="000000" w:themeColor="text1"/>
          <w:kern w:val="0"/>
          <w:sz w:val="24"/>
          <w:lang w:val="zh-CN"/>
        </w:rPr>
        <w:t>政府采购投标的一切事项，其法律后果由我方承担。</w:t>
      </w:r>
    </w:p>
    <w:p w14:paraId="3D5F6A6B">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lang w:val="zh-CN"/>
        </w:rPr>
        <w:t>委托期限</w:t>
      </w:r>
      <w:r>
        <w:rPr>
          <w:rFonts w:hint="eastAsia" w:ascii="宋体" w:hAnsi="宋体" w:cs="宋体"/>
          <w:color w:val="000000" w:themeColor="text1"/>
          <w:kern w:val="0"/>
          <w:sz w:val="24"/>
        </w:rPr>
        <w:t>：</w:t>
      </w:r>
      <w:r>
        <w:rPr>
          <w:rFonts w:hint="eastAsia" w:ascii="宋体" w:hAnsi="宋体" w:cs="宋体"/>
          <w:color w:val="000000" w:themeColor="text1"/>
          <w:kern w:val="0"/>
          <w:sz w:val="24"/>
          <w:lang w:val="zh-CN"/>
        </w:rPr>
        <w:t>自年月日起至年月日止。</w:t>
      </w:r>
    </w:p>
    <w:p w14:paraId="695F7D5E">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lang w:val="zh-CN"/>
        </w:rPr>
        <w:t>特此告知。</w:t>
      </w:r>
    </w:p>
    <w:p w14:paraId="412E3FFF">
      <w:pPr>
        <w:spacing w:line="360" w:lineRule="auto"/>
        <w:ind w:left="4649" w:leftChars="2214"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6F84544D">
      <w:pPr>
        <w:snapToGrid w:val="0"/>
        <w:spacing w:line="360" w:lineRule="auto"/>
        <w:ind w:left="4649" w:leftChars="2214"/>
        <w:rPr>
          <w:rFonts w:ascii="宋体" w:hAnsi="宋体" w:cs="宋体"/>
          <w:color w:val="000000" w:themeColor="text1"/>
          <w:kern w:val="0"/>
          <w:sz w:val="24"/>
        </w:rPr>
      </w:pPr>
      <w:r>
        <w:rPr>
          <w:rFonts w:hint="eastAsia" w:ascii="宋体" w:hAnsi="宋体" w:cs="宋体"/>
          <w:color w:val="000000" w:themeColor="text1"/>
          <w:sz w:val="24"/>
        </w:rPr>
        <w:t>法定代表人（负责人） (签名)：</w:t>
      </w:r>
    </w:p>
    <w:p w14:paraId="073783B6">
      <w:pPr>
        <w:snapToGrid w:val="0"/>
        <w:spacing w:line="360" w:lineRule="auto"/>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签发日期：  年  月   日</w:t>
      </w:r>
    </w:p>
    <w:p w14:paraId="5AFCBDCC">
      <w:pPr>
        <w:pStyle w:val="82"/>
        <w:rPr>
          <w:color w:val="000000" w:themeColor="text1"/>
        </w:rPr>
      </w:pPr>
    </w:p>
    <w:p w14:paraId="44574364">
      <w:pPr>
        <w:rPr>
          <w:color w:val="000000" w:themeColor="text1"/>
          <w:lang w:val="zh-CN"/>
        </w:rPr>
      </w:pPr>
    </w:p>
    <w:p w14:paraId="33AECD86">
      <w:pPr>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lang w:val="zh-CN"/>
        </w:rPr>
        <w:t>授权委托书（适用于联合体投标）</w:t>
      </w:r>
    </w:p>
    <w:p w14:paraId="56367C15">
      <w:pPr>
        <w:snapToGrid w:val="0"/>
        <w:spacing w:line="360" w:lineRule="auto"/>
        <w:rPr>
          <w:rFonts w:ascii="宋体" w:hAnsi="宋体" w:cs="宋体"/>
          <w:color w:val="000000" w:themeColor="text1"/>
          <w:kern w:val="0"/>
          <w:sz w:val="24"/>
        </w:rPr>
      </w:pPr>
      <w:r>
        <w:rPr>
          <w:rFonts w:hint="eastAsia" w:ascii="宋体" w:hAnsi="宋体" w:cs="宋体"/>
          <w:color w:val="000000" w:themeColor="text1"/>
          <w:sz w:val="24"/>
        </w:rPr>
        <w:t>（采购人）、（采购代理机构）</w:t>
      </w:r>
      <w:r>
        <w:rPr>
          <w:rFonts w:hint="eastAsia" w:ascii="宋体" w:hAnsi="宋体" w:cs="宋体"/>
          <w:color w:val="000000" w:themeColor="text1"/>
          <w:kern w:val="0"/>
          <w:sz w:val="24"/>
          <w:lang w:val="zh-CN"/>
        </w:rPr>
        <w:t>：</w:t>
      </w:r>
    </w:p>
    <w:p w14:paraId="3FD87CA4">
      <w:pPr>
        <w:snapToGrid w:val="0"/>
        <w:spacing w:line="360" w:lineRule="auto"/>
        <w:ind w:firstLine="576"/>
        <w:rPr>
          <w:rFonts w:ascii="宋体" w:hAnsi="宋体" w:cs="宋体"/>
          <w:color w:val="000000" w:themeColor="text1"/>
          <w:kern w:val="0"/>
          <w:sz w:val="24"/>
        </w:rPr>
      </w:pPr>
      <w:r>
        <w:rPr>
          <w:rFonts w:hint="eastAsia" w:ascii="宋体" w:hAnsi="宋体" w:cs="宋体"/>
          <w:color w:val="000000" w:themeColor="text1"/>
          <w:kern w:val="0"/>
          <w:sz w:val="24"/>
        </w:rPr>
        <w:t>现</w:t>
      </w:r>
      <w:r>
        <w:rPr>
          <w:rFonts w:hint="eastAsia" w:ascii="宋体" w:hAnsi="宋体" w:cs="宋体"/>
          <w:color w:val="000000" w:themeColor="text1"/>
          <w:kern w:val="0"/>
          <w:sz w:val="24"/>
          <w:lang w:val="zh-CN"/>
        </w:rPr>
        <w:t>委托（姓名）为我方代理人（身份证号码：，手机：），以我方名义处理</w:t>
      </w:r>
      <w:r>
        <w:rPr>
          <w:rFonts w:hint="eastAsia" w:ascii="宋体" w:hAnsi="宋体" w:cs="宋体"/>
          <w:color w:val="000000" w:themeColor="text1"/>
          <w:sz w:val="24"/>
        </w:rPr>
        <w:t>（项目名称）【招标编号：（采购编号）】</w:t>
      </w:r>
      <w:r>
        <w:rPr>
          <w:rFonts w:hint="eastAsia" w:ascii="宋体" w:hAnsi="宋体" w:cs="宋体"/>
          <w:color w:val="000000" w:themeColor="text1"/>
          <w:kern w:val="0"/>
          <w:sz w:val="24"/>
          <w:lang w:val="zh-CN"/>
        </w:rPr>
        <w:t>政府采购投标的一切事项，其法律后果由我方承担。</w:t>
      </w:r>
    </w:p>
    <w:p w14:paraId="6B95B39E">
      <w:pPr>
        <w:snapToGrid w:val="0"/>
        <w:spacing w:line="360" w:lineRule="auto"/>
        <w:rPr>
          <w:rFonts w:ascii="宋体" w:hAnsi="宋体" w:cs="宋体"/>
          <w:color w:val="000000" w:themeColor="text1"/>
          <w:kern w:val="0"/>
          <w:sz w:val="24"/>
        </w:rPr>
      </w:pPr>
      <w:r>
        <w:rPr>
          <w:rFonts w:hint="eastAsia" w:ascii="宋体" w:hAnsi="宋体" w:cs="宋体"/>
          <w:color w:val="000000" w:themeColor="text1"/>
          <w:kern w:val="0"/>
          <w:sz w:val="24"/>
          <w:lang w:val="zh-CN"/>
        </w:rPr>
        <w:t>委托期限</w:t>
      </w:r>
      <w:r>
        <w:rPr>
          <w:rFonts w:hint="eastAsia" w:ascii="宋体" w:hAnsi="宋体" w:cs="宋体"/>
          <w:color w:val="000000" w:themeColor="text1"/>
          <w:kern w:val="0"/>
          <w:sz w:val="24"/>
        </w:rPr>
        <w:t>：</w:t>
      </w:r>
      <w:r>
        <w:rPr>
          <w:rFonts w:hint="eastAsia" w:ascii="宋体" w:hAnsi="宋体" w:cs="宋体"/>
          <w:color w:val="000000" w:themeColor="text1"/>
          <w:kern w:val="0"/>
          <w:sz w:val="24"/>
          <w:lang w:val="zh-CN"/>
        </w:rPr>
        <w:t>自年月日起至年月日止。</w:t>
      </w:r>
    </w:p>
    <w:p w14:paraId="3FB86F10">
      <w:pPr>
        <w:snapToGrid w:val="0"/>
        <w:spacing w:line="360" w:lineRule="auto"/>
        <w:rPr>
          <w:rFonts w:ascii="宋体" w:hAnsi="宋体" w:cs="宋体"/>
          <w:b/>
          <w:color w:val="000000" w:themeColor="text1"/>
          <w:kern w:val="0"/>
          <w:sz w:val="32"/>
          <w:szCs w:val="32"/>
        </w:rPr>
      </w:pPr>
      <w:r>
        <w:rPr>
          <w:rFonts w:hint="eastAsia" w:ascii="宋体" w:hAnsi="宋体" w:cs="宋体"/>
          <w:color w:val="000000" w:themeColor="text1"/>
          <w:kern w:val="0"/>
          <w:sz w:val="24"/>
          <w:lang w:val="zh-CN"/>
        </w:rPr>
        <w:t>特此告知。</w:t>
      </w:r>
    </w:p>
    <w:p w14:paraId="1D928C11">
      <w:pPr>
        <w:rPr>
          <w:rFonts w:ascii="宋体" w:hAnsi="宋体" w:cs="宋体"/>
          <w:color w:val="000000" w:themeColor="text1"/>
        </w:rPr>
      </w:pPr>
    </w:p>
    <w:p w14:paraId="3216D5B9">
      <w:pPr>
        <w:snapToGrid w:val="0"/>
        <w:spacing w:line="360" w:lineRule="auto"/>
        <w:ind w:firstLine="5040" w:firstLineChars="21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联合体成员名称(公章)：</w:t>
      </w:r>
    </w:p>
    <w:p w14:paraId="7B6655DA">
      <w:pPr>
        <w:snapToGrid w:val="0"/>
        <w:spacing w:line="360" w:lineRule="auto"/>
        <w:ind w:firstLine="5040" w:firstLineChars="2100"/>
        <w:rPr>
          <w:rStyle w:val="81"/>
          <w:color w:val="000000" w:themeColor="text1"/>
        </w:rPr>
      </w:pPr>
      <w:r>
        <w:rPr>
          <w:rStyle w:val="81"/>
          <w:rFonts w:hint="eastAsia"/>
          <w:color w:val="000000" w:themeColor="text1"/>
        </w:rPr>
        <w:t>法定代表人（负责人） (签名)：</w:t>
      </w:r>
    </w:p>
    <w:p w14:paraId="64736C6D">
      <w:pPr>
        <w:snapToGrid w:val="0"/>
        <w:spacing w:line="360" w:lineRule="auto"/>
        <w:ind w:firstLine="5040" w:firstLineChars="2100"/>
        <w:rPr>
          <w:rFonts w:ascii="宋体" w:hAnsi="宋体" w:cs="宋体"/>
          <w:color w:val="000000" w:themeColor="text1"/>
          <w:kern w:val="0"/>
          <w:sz w:val="24"/>
          <w:lang w:val="zh-CN"/>
        </w:rPr>
      </w:pPr>
      <w:r>
        <w:rPr>
          <w:rStyle w:val="81"/>
          <w:rFonts w:hint="eastAsia"/>
          <w:color w:val="000000" w:themeColor="text1"/>
        </w:rPr>
        <w:t>联合体成</w:t>
      </w:r>
      <w:r>
        <w:rPr>
          <w:rFonts w:hint="eastAsia" w:ascii="宋体" w:hAnsi="宋体" w:cs="宋体"/>
          <w:color w:val="000000" w:themeColor="text1"/>
          <w:kern w:val="0"/>
          <w:sz w:val="24"/>
          <w:lang w:val="zh-CN"/>
        </w:rPr>
        <w:t>员名称(公章)：</w:t>
      </w:r>
    </w:p>
    <w:p w14:paraId="65961941">
      <w:pPr>
        <w:snapToGrid w:val="0"/>
        <w:spacing w:line="360" w:lineRule="auto"/>
        <w:ind w:firstLine="5040" w:firstLineChars="2100"/>
        <w:rPr>
          <w:rStyle w:val="81"/>
          <w:color w:val="000000" w:themeColor="text1"/>
        </w:rPr>
      </w:pPr>
      <w:r>
        <w:rPr>
          <w:rStyle w:val="81"/>
          <w:rFonts w:hint="eastAsia"/>
          <w:color w:val="000000" w:themeColor="text1"/>
        </w:rPr>
        <w:t>法定代表人（负责人） (签名)：</w:t>
      </w:r>
    </w:p>
    <w:p w14:paraId="1D10744C">
      <w:pPr>
        <w:snapToGrid w:val="0"/>
        <w:spacing w:line="360" w:lineRule="auto"/>
        <w:ind w:firstLine="5760" w:firstLineChars="2400"/>
        <w:rPr>
          <w:rFonts w:ascii="宋体" w:hAnsi="宋体" w:cs="宋体"/>
          <w:color w:val="000000" w:themeColor="text1"/>
        </w:rPr>
      </w:pPr>
      <w:r>
        <w:rPr>
          <w:rFonts w:hint="eastAsia" w:ascii="宋体" w:hAnsi="宋体" w:cs="宋体"/>
          <w:color w:val="000000" w:themeColor="text1"/>
          <w:kern w:val="0"/>
          <w:sz w:val="24"/>
          <w:lang w:val="zh-CN"/>
        </w:rPr>
        <w:t>……</w:t>
      </w:r>
    </w:p>
    <w:p w14:paraId="1AE5520A">
      <w:pPr>
        <w:snapToGrid w:val="0"/>
        <w:spacing w:line="360" w:lineRule="auto"/>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日期：  年  月   日</w:t>
      </w:r>
    </w:p>
    <w:p w14:paraId="0517A338">
      <w:pPr>
        <w:autoSpaceDE w:val="0"/>
        <w:autoSpaceDN w:val="0"/>
        <w:spacing w:line="360" w:lineRule="auto"/>
        <w:rPr>
          <w:rFonts w:ascii="宋体" w:hAnsi="宋体" w:cs="宋体"/>
          <w:b/>
          <w:color w:val="000000" w:themeColor="text1"/>
          <w:kern w:val="0"/>
          <w:sz w:val="32"/>
          <w:szCs w:val="32"/>
          <w:lang w:val="zh-CN"/>
        </w:rPr>
      </w:pPr>
    </w:p>
    <w:p w14:paraId="2755039A">
      <w:pPr>
        <w:autoSpaceDE w:val="0"/>
        <w:autoSpaceDN w:val="0"/>
        <w:spacing w:line="360" w:lineRule="auto"/>
        <w:jc w:val="center"/>
        <w:rPr>
          <w:rFonts w:ascii="宋体" w:hAnsi="宋体" w:cs="宋体"/>
          <w:b/>
          <w:color w:val="000000" w:themeColor="text1"/>
          <w:sz w:val="24"/>
        </w:rPr>
      </w:pPr>
      <w:r>
        <w:rPr>
          <w:rFonts w:hint="eastAsia" w:ascii="宋体" w:hAnsi="宋体" w:cs="宋体"/>
          <w:b/>
          <w:color w:val="000000" w:themeColor="text1"/>
          <w:kern w:val="0"/>
          <w:sz w:val="32"/>
          <w:szCs w:val="32"/>
          <w:lang w:val="zh-CN"/>
        </w:rPr>
        <w:t>法定代表人、单位负责人或自然人本人</w:t>
      </w:r>
      <w:r>
        <w:rPr>
          <w:rFonts w:hint="eastAsia" w:ascii="宋体" w:hAnsi="宋体" w:cs="宋体"/>
          <w:b/>
          <w:color w:val="000000" w:themeColor="text1"/>
          <w:sz w:val="30"/>
          <w:szCs w:val="30"/>
        </w:rPr>
        <w:t>的身份证明（适用于法定代表人、单位负责人或者自然人本人代表投标人参加投标）</w:t>
      </w:r>
    </w:p>
    <w:p w14:paraId="359B92DC">
      <w:pPr>
        <w:pStyle w:val="146"/>
        <w:spacing w:line="360" w:lineRule="auto"/>
        <w:rPr>
          <w:rFonts w:hAnsi="宋体" w:cs="宋体"/>
          <w:bCs/>
          <w:color w:val="000000" w:themeColor="text1"/>
          <w:sz w:val="24"/>
        </w:rPr>
      </w:pPr>
      <w:r>
        <w:rPr>
          <w:rFonts w:hint="eastAsia" w:hAnsi="宋体" w:cs="宋体"/>
          <w:bCs/>
          <w:color w:val="000000" w:themeColor="text1"/>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9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2FDD49">
            <w:pPr>
              <w:pStyle w:val="146"/>
              <w:adjustRightInd w:val="0"/>
              <w:spacing w:line="360" w:lineRule="auto"/>
              <w:rPr>
                <w:rFonts w:hAnsi="宋体" w:cs="宋体"/>
                <w:bCs/>
                <w:color w:val="000000" w:themeColor="text1"/>
                <w:sz w:val="24"/>
              </w:rPr>
            </w:pPr>
            <w:r>
              <w:rPr>
                <w:rFonts w:hint="eastAsia" w:hAnsi="宋体" w:cs="宋体"/>
                <w:bCs/>
                <w:color w:val="000000" w:themeColor="text1"/>
                <w:sz w:val="24"/>
              </w:rPr>
              <w:t>正面：                                 反面：</w:t>
            </w:r>
          </w:p>
          <w:p w14:paraId="5BDE9F46">
            <w:pPr>
              <w:pStyle w:val="146"/>
              <w:adjustRightInd w:val="0"/>
              <w:spacing w:line="360" w:lineRule="auto"/>
              <w:rPr>
                <w:rFonts w:hAnsi="宋体" w:cs="宋体"/>
                <w:bCs/>
                <w:color w:val="000000" w:themeColor="text1"/>
                <w:sz w:val="24"/>
              </w:rPr>
            </w:pPr>
          </w:p>
        </w:tc>
      </w:tr>
    </w:tbl>
    <w:p w14:paraId="3A3A27AC">
      <w:pPr>
        <w:snapToGrid w:val="0"/>
        <w:spacing w:line="360" w:lineRule="auto"/>
        <w:ind w:firstLine="576"/>
        <w:jc w:val="center"/>
        <w:rPr>
          <w:rFonts w:ascii="宋体" w:hAnsi="宋体" w:cs="宋体"/>
          <w:color w:val="000000" w:themeColor="text1"/>
          <w:kern w:val="0"/>
          <w:sz w:val="24"/>
          <w:lang w:val="zh-CN"/>
        </w:rPr>
      </w:pPr>
    </w:p>
    <w:p w14:paraId="3A6DD4A3">
      <w:pPr>
        <w:snapToGrid w:val="0"/>
        <w:spacing w:line="360" w:lineRule="auto"/>
        <w:ind w:firstLine="576"/>
        <w:jc w:val="center"/>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投标人名称(公章)：                              </w:t>
      </w:r>
    </w:p>
    <w:p w14:paraId="66C099EA">
      <w:pPr>
        <w:spacing w:line="360" w:lineRule="auto"/>
        <w:jc w:val="center"/>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日期： 年  月日</w:t>
      </w:r>
    </w:p>
    <w:p w14:paraId="1EB2DB63">
      <w:pPr>
        <w:jc w:val="center"/>
        <w:rPr>
          <w:rFonts w:ascii="宋体" w:hAnsi="宋体" w:cs="宋体"/>
          <w:b/>
          <w:color w:val="000000" w:themeColor="text1"/>
          <w:kern w:val="0"/>
          <w:sz w:val="32"/>
          <w:szCs w:val="32"/>
        </w:rPr>
      </w:pPr>
    </w:p>
    <w:p w14:paraId="0652F8C1">
      <w:pPr>
        <w:jc w:val="center"/>
        <w:rPr>
          <w:rFonts w:ascii="宋体" w:hAnsi="宋体" w:cs="宋体"/>
          <w:b/>
          <w:color w:val="000000" w:themeColor="text1"/>
          <w:kern w:val="0"/>
          <w:sz w:val="32"/>
          <w:szCs w:val="32"/>
        </w:rPr>
      </w:pPr>
    </w:p>
    <w:p w14:paraId="10CB1D7D">
      <w:pPr>
        <w:jc w:val="center"/>
        <w:rPr>
          <w:rFonts w:ascii="宋体" w:hAnsi="宋体" w:cs="宋体"/>
          <w:b/>
          <w:color w:val="000000" w:themeColor="text1"/>
          <w:kern w:val="0"/>
          <w:sz w:val="32"/>
          <w:szCs w:val="32"/>
        </w:rPr>
      </w:pPr>
    </w:p>
    <w:p w14:paraId="17F43C1E">
      <w:pPr>
        <w:jc w:val="center"/>
        <w:rPr>
          <w:rFonts w:ascii="宋体" w:hAnsi="宋体" w:cs="宋体"/>
          <w:b/>
          <w:color w:val="000000" w:themeColor="text1"/>
          <w:kern w:val="0"/>
          <w:sz w:val="32"/>
          <w:szCs w:val="32"/>
        </w:rPr>
      </w:pPr>
    </w:p>
    <w:p w14:paraId="57D150E4">
      <w:pPr>
        <w:jc w:val="center"/>
        <w:rPr>
          <w:rFonts w:ascii="宋体" w:hAnsi="宋体" w:cs="宋体"/>
          <w:b/>
          <w:color w:val="000000" w:themeColor="text1"/>
          <w:kern w:val="0"/>
          <w:sz w:val="32"/>
          <w:szCs w:val="32"/>
        </w:rPr>
      </w:pPr>
    </w:p>
    <w:p w14:paraId="7CC17E39">
      <w:pPr>
        <w:jc w:val="center"/>
        <w:rPr>
          <w:rFonts w:ascii="宋体" w:hAnsi="宋体" w:cs="宋体"/>
          <w:b/>
          <w:color w:val="000000" w:themeColor="text1"/>
          <w:kern w:val="0"/>
          <w:sz w:val="32"/>
          <w:szCs w:val="32"/>
        </w:rPr>
      </w:pPr>
    </w:p>
    <w:p w14:paraId="13F29176">
      <w:pPr>
        <w:jc w:val="center"/>
        <w:rPr>
          <w:rFonts w:ascii="宋体" w:hAnsi="宋体" w:cs="宋体"/>
          <w:b/>
          <w:color w:val="000000" w:themeColor="text1"/>
          <w:kern w:val="0"/>
          <w:sz w:val="32"/>
          <w:szCs w:val="32"/>
        </w:rPr>
      </w:pPr>
    </w:p>
    <w:p w14:paraId="439184AF">
      <w:pPr>
        <w:jc w:val="center"/>
        <w:rPr>
          <w:rFonts w:ascii="宋体" w:hAnsi="宋体" w:cs="宋体"/>
          <w:b/>
          <w:color w:val="000000" w:themeColor="text1"/>
          <w:kern w:val="0"/>
          <w:sz w:val="32"/>
          <w:szCs w:val="32"/>
        </w:rPr>
      </w:pPr>
    </w:p>
    <w:p w14:paraId="2D97BEC7">
      <w:pPr>
        <w:snapToGrid w:val="0"/>
        <w:spacing w:line="360" w:lineRule="auto"/>
        <w:ind w:right="480"/>
        <w:rPr>
          <w:rFonts w:ascii="宋体" w:hAnsi="宋体" w:cs="宋体"/>
          <w:b/>
          <w:color w:val="000000" w:themeColor="text1"/>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7467D456">
      <w:pPr>
        <w:jc w:val="center"/>
        <w:rPr>
          <w:rFonts w:ascii="宋体" w:hAnsi="宋体" w:cs="宋体"/>
          <w:b/>
          <w:color w:val="000000" w:themeColor="text1"/>
          <w:kern w:val="0"/>
          <w:sz w:val="32"/>
          <w:szCs w:val="32"/>
        </w:rPr>
      </w:pPr>
    </w:p>
    <w:p w14:paraId="78D6C8BD">
      <w:pPr>
        <w:jc w:val="center"/>
        <w:rPr>
          <w:rFonts w:ascii="宋体" w:hAnsi="宋体" w:cs="宋体"/>
          <w:b/>
          <w:color w:val="000000" w:themeColor="text1"/>
          <w:kern w:val="0"/>
          <w:sz w:val="32"/>
          <w:szCs w:val="32"/>
        </w:rPr>
      </w:pPr>
    </w:p>
    <w:p w14:paraId="21E71161">
      <w:pPr>
        <w:jc w:val="center"/>
        <w:rPr>
          <w:rFonts w:ascii="宋体" w:hAnsi="宋体" w:cs="宋体"/>
          <w:color w:val="000000" w:themeColor="text1"/>
        </w:rPr>
      </w:pPr>
      <w:r>
        <w:rPr>
          <w:rFonts w:hint="eastAsia" w:ascii="宋体" w:hAnsi="宋体" w:cs="宋体"/>
          <w:b/>
          <w:color w:val="000000" w:themeColor="text1"/>
          <w:kern w:val="0"/>
          <w:sz w:val="32"/>
          <w:szCs w:val="32"/>
        </w:rPr>
        <w:t>三、评标标准相应的商务技术资料</w:t>
      </w:r>
    </w:p>
    <w:p w14:paraId="66AD8832">
      <w:pPr>
        <w:snapToGrid w:val="0"/>
        <w:spacing w:line="360" w:lineRule="auto"/>
        <w:jc w:val="left"/>
        <w:rPr>
          <w:rFonts w:ascii="宋体" w:hAnsi="宋体" w:cs="宋体"/>
          <w:b/>
          <w:color w:val="000000" w:themeColor="text1"/>
          <w:sz w:val="24"/>
        </w:rPr>
      </w:pPr>
      <w:r>
        <w:rPr>
          <w:rFonts w:hint="eastAsia" w:ascii="宋体" w:hAnsi="宋体" w:cs="宋体"/>
          <w:b/>
          <w:color w:val="000000" w:themeColor="text1"/>
          <w:sz w:val="24"/>
        </w:rPr>
        <w:t>（按招标文件第四部分评标办法前附表中“投标文件中评标标准相应的商务技术资料目录”提供资料。）</w:t>
      </w:r>
    </w:p>
    <w:p w14:paraId="0253C7DB">
      <w:pPr>
        <w:jc w:val="center"/>
        <w:rPr>
          <w:rFonts w:ascii="宋体" w:hAnsi="宋体" w:cs="宋体"/>
          <w:b/>
          <w:color w:val="000000" w:themeColor="text1"/>
          <w:kern w:val="0"/>
          <w:sz w:val="32"/>
          <w:szCs w:val="32"/>
        </w:rPr>
      </w:pPr>
    </w:p>
    <w:p w14:paraId="41423E9F">
      <w:pPr>
        <w:jc w:val="center"/>
        <w:rPr>
          <w:rFonts w:ascii="宋体" w:hAnsi="宋体" w:cs="宋体"/>
          <w:b/>
          <w:color w:val="000000" w:themeColor="text1"/>
          <w:kern w:val="0"/>
          <w:sz w:val="32"/>
          <w:szCs w:val="32"/>
        </w:rPr>
      </w:pPr>
    </w:p>
    <w:p w14:paraId="7FD4F0D0">
      <w:pPr>
        <w:jc w:val="center"/>
        <w:rPr>
          <w:rFonts w:ascii="宋体" w:hAnsi="宋体" w:cs="宋体"/>
          <w:b/>
          <w:color w:val="000000" w:themeColor="text1"/>
          <w:kern w:val="0"/>
          <w:sz w:val="32"/>
          <w:szCs w:val="32"/>
        </w:rPr>
      </w:pPr>
    </w:p>
    <w:p w14:paraId="012DB0E3">
      <w:pPr>
        <w:ind w:firstLine="2891" w:firstLineChars="900"/>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四、投标标的清单</w:t>
      </w:r>
    </w:p>
    <w:tbl>
      <w:tblPr>
        <w:tblStyle w:val="6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84"/>
        <w:gridCol w:w="1260"/>
        <w:gridCol w:w="1199"/>
        <w:gridCol w:w="2401"/>
        <w:gridCol w:w="1838"/>
      </w:tblGrid>
      <w:tr w14:paraId="04D6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3288894">
            <w:pPr>
              <w:spacing w:line="360" w:lineRule="auto"/>
              <w:jc w:val="center"/>
              <w:rPr>
                <w:rFonts w:ascii="宋体" w:hAnsi="宋体" w:cs="宋体"/>
                <w:b/>
                <w:sz w:val="24"/>
              </w:rPr>
            </w:pPr>
            <w:r>
              <w:rPr>
                <w:rFonts w:hint="eastAsia" w:ascii="宋体" w:hAnsi="宋体" w:cs="宋体"/>
                <w:b/>
                <w:sz w:val="24"/>
              </w:rPr>
              <w:t>序号</w:t>
            </w:r>
          </w:p>
        </w:tc>
        <w:tc>
          <w:tcPr>
            <w:tcW w:w="1284" w:type="dxa"/>
            <w:tcBorders>
              <w:top w:val="single" w:color="auto" w:sz="4" w:space="0"/>
              <w:left w:val="single" w:color="auto" w:sz="4" w:space="0"/>
              <w:bottom w:val="single" w:color="auto" w:sz="4" w:space="0"/>
              <w:right w:val="single" w:color="auto" w:sz="4" w:space="0"/>
            </w:tcBorders>
            <w:vAlign w:val="center"/>
          </w:tcPr>
          <w:p w14:paraId="4CF1CE3D">
            <w:pPr>
              <w:spacing w:line="360" w:lineRule="auto"/>
              <w:jc w:val="center"/>
              <w:rPr>
                <w:rFonts w:ascii="宋体" w:hAnsi="宋体" w:cs="宋体"/>
                <w:b/>
                <w:sz w:val="24"/>
              </w:rPr>
            </w:pPr>
            <w:r>
              <w:rPr>
                <w:rFonts w:hint="eastAsia" w:ascii="宋体" w:hAnsi="宋体" w:cs="宋体"/>
                <w:b/>
                <w:sz w:val="24"/>
              </w:rPr>
              <w:t>名称</w:t>
            </w:r>
          </w:p>
        </w:tc>
        <w:tc>
          <w:tcPr>
            <w:tcW w:w="1260" w:type="dxa"/>
            <w:tcBorders>
              <w:top w:val="single" w:color="auto" w:sz="4" w:space="0"/>
              <w:left w:val="single" w:color="auto" w:sz="4" w:space="0"/>
              <w:bottom w:val="single" w:color="auto" w:sz="4" w:space="0"/>
              <w:right w:val="single" w:color="auto" w:sz="4" w:space="0"/>
            </w:tcBorders>
            <w:vAlign w:val="center"/>
          </w:tcPr>
          <w:p w14:paraId="705E49C8">
            <w:pPr>
              <w:spacing w:line="360" w:lineRule="auto"/>
              <w:rPr>
                <w:rFonts w:ascii="宋体" w:hAnsi="宋体" w:cs="宋体"/>
                <w:b/>
                <w:sz w:val="24"/>
              </w:rPr>
            </w:pPr>
            <w:r>
              <w:rPr>
                <w:rFonts w:hint="eastAsia" w:ascii="宋体" w:hAnsi="宋体" w:cs="宋体"/>
                <w:b/>
                <w:sz w:val="24"/>
              </w:rPr>
              <w:t>服务范围</w:t>
            </w:r>
          </w:p>
        </w:tc>
        <w:tc>
          <w:tcPr>
            <w:tcW w:w="1199" w:type="dxa"/>
            <w:tcBorders>
              <w:top w:val="single" w:color="auto" w:sz="4" w:space="0"/>
              <w:left w:val="single" w:color="auto" w:sz="4" w:space="0"/>
              <w:bottom w:val="single" w:color="auto" w:sz="4" w:space="0"/>
              <w:right w:val="single" w:color="auto" w:sz="4" w:space="0"/>
            </w:tcBorders>
            <w:vAlign w:val="center"/>
          </w:tcPr>
          <w:p w14:paraId="5B89775A">
            <w:pPr>
              <w:spacing w:line="360" w:lineRule="auto"/>
              <w:jc w:val="center"/>
              <w:rPr>
                <w:rFonts w:ascii="宋体" w:hAnsi="宋体" w:cs="宋体"/>
                <w:b/>
                <w:sz w:val="24"/>
              </w:rPr>
            </w:pPr>
            <w:r>
              <w:rPr>
                <w:rFonts w:hint="eastAsia" w:ascii="宋体" w:hAnsi="宋体" w:cs="宋体"/>
                <w:b/>
                <w:sz w:val="24"/>
              </w:rPr>
              <w:t>服务要求</w:t>
            </w:r>
          </w:p>
        </w:tc>
        <w:tc>
          <w:tcPr>
            <w:tcW w:w="2401" w:type="dxa"/>
            <w:tcBorders>
              <w:top w:val="single" w:color="auto" w:sz="4" w:space="0"/>
              <w:left w:val="single" w:color="auto" w:sz="4" w:space="0"/>
              <w:bottom w:val="single" w:color="auto" w:sz="4" w:space="0"/>
              <w:right w:val="single" w:color="auto" w:sz="4" w:space="0"/>
            </w:tcBorders>
            <w:vAlign w:val="center"/>
          </w:tcPr>
          <w:p w14:paraId="57A8757A">
            <w:pPr>
              <w:spacing w:line="360" w:lineRule="auto"/>
              <w:jc w:val="center"/>
              <w:rPr>
                <w:rFonts w:ascii="宋体" w:hAnsi="宋体" w:cs="宋体"/>
                <w:b/>
                <w:sz w:val="24"/>
              </w:rPr>
            </w:pPr>
            <w:r>
              <w:rPr>
                <w:rFonts w:hint="eastAsia" w:ascii="宋体" w:hAnsi="宋体" w:cs="宋体"/>
                <w:b/>
                <w:sz w:val="24"/>
              </w:rPr>
              <w:t>服务时间</w:t>
            </w:r>
          </w:p>
        </w:tc>
        <w:tc>
          <w:tcPr>
            <w:tcW w:w="1838" w:type="dxa"/>
            <w:tcBorders>
              <w:top w:val="single" w:color="auto" w:sz="4" w:space="0"/>
              <w:left w:val="single" w:color="auto" w:sz="4" w:space="0"/>
              <w:bottom w:val="single" w:color="auto" w:sz="4" w:space="0"/>
              <w:right w:val="single" w:color="auto" w:sz="4" w:space="0"/>
            </w:tcBorders>
            <w:vAlign w:val="center"/>
          </w:tcPr>
          <w:p w14:paraId="6DA421B5">
            <w:pPr>
              <w:spacing w:line="360" w:lineRule="auto"/>
              <w:jc w:val="center"/>
              <w:rPr>
                <w:rFonts w:ascii="宋体" w:hAnsi="宋体" w:cs="宋体"/>
                <w:b/>
                <w:sz w:val="24"/>
              </w:rPr>
            </w:pPr>
          </w:p>
          <w:p w14:paraId="7EEF896B">
            <w:pPr>
              <w:spacing w:line="360" w:lineRule="auto"/>
              <w:jc w:val="center"/>
              <w:rPr>
                <w:rFonts w:ascii="宋体" w:hAnsi="宋体" w:cs="宋体"/>
                <w:b/>
                <w:sz w:val="24"/>
              </w:rPr>
            </w:pPr>
            <w:r>
              <w:rPr>
                <w:rFonts w:hint="eastAsia" w:ascii="宋体" w:hAnsi="宋体" w:cs="宋体"/>
                <w:b/>
                <w:sz w:val="24"/>
              </w:rPr>
              <w:t>备注（如果有）</w:t>
            </w:r>
          </w:p>
          <w:p w14:paraId="1BF0ACB5">
            <w:pPr>
              <w:spacing w:line="360" w:lineRule="auto"/>
              <w:jc w:val="center"/>
              <w:rPr>
                <w:rFonts w:ascii="宋体" w:hAnsi="宋体" w:cs="宋体"/>
                <w:b/>
                <w:sz w:val="24"/>
              </w:rPr>
            </w:pPr>
          </w:p>
        </w:tc>
      </w:tr>
      <w:tr w14:paraId="1156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AC88F4D">
            <w:pPr>
              <w:spacing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1284" w:type="dxa"/>
            <w:tcBorders>
              <w:top w:val="single" w:color="auto" w:sz="4" w:space="0"/>
              <w:left w:val="single" w:color="auto" w:sz="4" w:space="0"/>
              <w:bottom w:val="single" w:color="auto" w:sz="4" w:space="0"/>
              <w:right w:val="single" w:color="auto" w:sz="4" w:space="0"/>
            </w:tcBorders>
            <w:vAlign w:val="center"/>
          </w:tcPr>
          <w:p w14:paraId="1F46094F">
            <w:pPr>
              <w:snapToGrid w:val="0"/>
              <w:spacing w:line="360" w:lineRule="auto"/>
              <w:jc w:val="center"/>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2F2D457">
            <w:pPr>
              <w:snapToGrid w:val="0"/>
              <w:spacing w:line="360" w:lineRule="auto"/>
              <w:jc w:val="center"/>
              <w:rPr>
                <w:rFonts w:ascii="宋体" w:hAnsi="宋体" w:cs="宋体"/>
                <w:color w:val="000000" w:themeColor="text1"/>
                <w:sz w:val="24"/>
              </w:rPr>
            </w:pPr>
          </w:p>
        </w:tc>
        <w:tc>
          <w:tcPr>
            <w:tcW w:w="1199" w:type="dxa"/>
            <w:tcBorders>
              <w:top w:val="single" w:color="auto" w:sz="4" w:space="0"/>
              <w:left w:val="single" w:color="auto" w:sz="4" w:space="0"/>
              <w:bottom w:val="single" w:color="auto" w:sz="4" w:space="0"/>
              <w:right w:val="single" w:color="auto" w:sz="4" w:space="0"/>
            </w:tcBorders>
            <w:vAlign w:val="center"/>
          </w:tcPr>
          <w:p w14:paraId="68EF0DFA">
            <w:pPr>
              <w:snapToGrid w:val="0"/>
              <w:spacing w:line="360" w:lineRule="auto"/>
              <w:jc w:val="center"/>
              <w:rPr>
                <w:rFonts w:ascii="宋体" w:hAnsi="宋体" w:cs="宋体"/>
                <w:color w:val="000000" w:themeColor="text1"/>
                <w:sz w:val="24"/>
              </w:rPr>
            </w:pPr>
          </w:p>
        </w:tc>
        <w:tc>
          <w:tcPr>
            <w:tcW w:w="2401" w:type="dxa"/>
            <w:tcBorders>
              <w:top w:val="single" w:color="auto" w:sz="4" w:space="0"/>
              <w:left w:val="single" w:color="auto" w:sz="4" w:space="0"/>
              <w:bottom w:val="single" w:color="auto" w:sz="4" w:space="0"/>
              <w:right w:val="single" w:color="auto" w:sz="4" w:space="0"/>
            </w:tcBorders>
            <w:vAlign w:val="center"/>
          </w:tcPr>
          <w:p w14:paraId="71E90BFC">
            <w:pPr>
              <w:spacing w:line="360" w:lineRule="auto"/>
              <w:jc w:val="center"/>
              <w:rPr>
                <w:rFonts w:ascii="宋体" w:hAnsi="宋体" w:cs="宋体"/>
                <w:color w:val="000000" w:themeColor="text1"/>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D756D44">
            <w:pPr>
              <w:spacing w:line="360" w:lineRule="auto"/>
              <w:jc w:val="center"/>
              <w:rPr>
                <w:rFonts w:ascii="宋体" w:hAnsi="宋体" w:cs="宋体"/>
                <w:color w:val="000000" w:themeColor="text1"/>
                <w:sz w:val="24"/>
              </w:rPr>
            </w:pPr>
          </w:p>
        </w:tc>
      </w:tr>
      <w:tr w14:paraId="2AA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11893E">
            <w:pPr>
              <w:spacing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1284" w:type="dxa"/>
            <w:tcBorders>
              <w:top w:val="single" w:color="auto" w:sz="4" w:space="0"/>
              <w:left w:val="single" w:color="auto" w:sz="4" w:space="0"/>
              <w:bottom w:val="single" w:color="auto" w:sz="4" w:space="0"/>
              <w:right w:val="single" w:color="auto" w:sz="4" w:space="0"/>
            </w:tcBorders>
            <w:vAlign w:val="center"/>
          </w:tcPr>
          <w:p w14:paraId="272880C1">
            <w:pPr>
              <w:snapToGrid w:val="0"/>
              <w:spacing w:line="360" w:lineRule="auto"/>
              <w:jc w:val="center"/>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8DE4F8">
            <w:pPr>
              <w:snapToGrid w:val="0"/>
              <w:spacing w:line="360" w:lineRule="auto"/>
              <w:jc w:val="center"/>
              <w:rPr>
                <w:rFonts w:ascii="宋体" w:hAnsi="宋体" w:cs="宋体"/>
                <w:color w:val="000000" w:themeColor="text1"/>
                <w:sz w:val="24"/>
              </w:rPr>
            </w:pPr>
          </w:p>
        </w:tc>
        <w:tc>
          <w:tcPr>
            <w:tcW w:w="1199" w:type="dxa"/>
            <w:tcBorders>
              <w:top w:val="single" w:color="auto" w:sz="4" w:space="0"/>
              <w:left w:val="single" w:color="auto" w:sz="4" w:space="0"/>
              <w:bottom w:val="single" w:color="auto" w:sz="4" w:space="0"/>
              <w:right w:val="single" w:color="auto" w:sz="4" w:space="0"/>
            </w:tcBorders>
            <w:vAlign w:val="center"/>
          </w:tcPr>
          <w:p w14:paraId="4D10892E">
            <w:pPr>
              <w:snapToGrid w:val="0"/>
              <w:spacing w:line="360" w:lineRule="auto"/>
              <w:jc w:val="center"/>
              <w:rPr>
                <w:rFonts w:ascii="宋体" w:hAnsi="宋体" w:cs="宋体"/>
                <w:color w:val="000000" w:themeColor="text1"/>
                <w:sz w:val="24"/>
              </w:rPr>
            </w:pPr>
          </w:p>
        </w:tc>
        <w:tc>
          <w:tcPr>
            <w:tcW w:w="2401" w:type="dxa"/>
            <w:tcBorders>
              <w:top w:val="single" w:color="auto" w:sz="4" w:space="0"/>
              <w:left w:val="single" w:color="auto" w:sz="4" w:space="0"/>
              <w:bottom w:val="single" w:color="auto" w:sz="4" w:space="0"/>
              <w:right w:val="single" w:color="auto" w:sz="4" w:space="0"/>
            </w:tcBorders>
            <w:vAlign w:val="center"/>
          </w:tcPr>
          <w:p w14:paraId="5EEADBE5">
            <w:pPr>
              <w:spacing w:line="360" w:lineRule="auto"/>
              <w:jc w:val="center"/>
              <w:rPr>
                <w:rFonts w:ascii="宋体" w:hAnsi="宋体" w:cs="宋体"/>
                <w:color w:val="000000" w:themeColor="text1"/>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6B050C2">
            <w:pPr>
              <w:spacing w:line="360" w:lineRule="auto"/>
              <w:jc w:val="center"/>
              <w:rPr>
                <w:rFonts w:ascii="宋体" w:hAnsi="宋体" w:cs="宋体"/>
                <w:color w:val="000000" w:themeColor="text1"/>
                <w:sz w:val="24"/>
              </w:rPr>
            </w:pPr>
          </w:p>
        </w:tc>
      </w:tr>
      <w:tr w14:paraId="36B3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229CE0">
            <w:pPr>
              <w:spacing w:line="360" w:lineRule="auto"/>
              <w:jc w:val="center"/>
              <w:rPr>
                <w:rFonts w:ascii="宋体" w:hAnsi="宋体" w:cs="宋体"/>
                <w:color w:val="000000" w:themeColor="text1"/>
                <w:sz w:val="24"/>
              </w:rPr>
            </w:pPr>
            <w:r>
              <w:rPr>
                <w:rFonts w:hint="eastAsia" w:ascii="宋体" w:hAnsi="宋体" w:cs="宋体"/>
                <w:color w:val="000000" w:themeColor="text1"/>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5E0A9C6">
            <w:pPr>
              <w:snapToGrid w:val="0"/>
              <w:spacing w:line="360" w:lineRule="auto"/>
              <w:jc w:val="center"/>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01AF468">
            <w:pPr>
              <w:snapToGrid w:val="0"/>
              <w:spacing w:line="360" w:lineRule="auto"/>
              <w:jc w:val="center"/>
              <w:rPr>
                <w:rFonts w:ascii="宋体" w:hAnsi="宋体" w:cs="宋体"/>
                <w:color w:val="000000" w:themeColor="text1"/>
                <w:sz w:val="24"/>
              </w:rPr>
            </w:pPr>
          </w:p>
        </w:tc>
        <w:tc>
          <w:tcPr>
            <w:tcW w:w="1199" w:type="dxa"/>
            <w:tcBorders>
              <w:top w:val="single" w:color="auto" w:sz="4" w:space="0"/>
              <w:left w:val="single" w:color="auto" w:sz="4" w:space="0"/>
              <w:bottom w:val="single" w:color="auto" w:sz="4" w:space="0"/>
              <w:right w:val="single" w:color="auto" w:sz="4" w:space="0"/>
            </w:tcBorders>
            <w:vAlign w:val="center"/>
          </w:tcPr>
          <w:p w14:paraId="19B25E79">
            <w:pPr>
              <w:snapToGrid w:val="0"/>
              <w:spacing w:line="360" w:lineRule="auto"/>
              <w:jc w:val="center"/>
              <w:rPr>
                <w:rFonts w:ascii="宋体" w:hAnsi="宋体" w:cs="宋体"/>
                <w:color w:val="000000" w:themeColor="text1"/>
                <w:sz w:val="24"/>
              </w:rPr>
            </w:pPr>
          </w:p>
        </w:tc>
        <w:tc>
          <w:tcPr>
            <w:tcW w:w="2401" w:type="dxa"/>
            <w:tcBorders>
              <w:top w:val="single" w:color="auto" w:sz="4" w:space="0"/>
              <w:left w:val="single" w:color="auto" w:sz="4" w:space="0"/>
              <w:bottom w:val="single" w:color="auto" w:sz="4" w:space="0"/>
              <w:right w:val="single" w:color="auto" w:sz="4" w:space="0"/>
            </w:tcBorders>
            <w:vAlign w:val="center"/>
          </w:tcPr>
          <w:p w14:paraId="148CC354">
            <w:pPr>
              <w:spacing w:line="360" w:lineRule="auto"/>
              <w:jc w:val="center"/>
              <w:rPr>
                <w:rFonts w:ascii="宋体" w:hAnsi="宋体" w:cs="宋体"/>
                <w:color w:val="000000" w:themeColor="text1"/>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8751680">
            <w:pPr>
              <w:spacing w:line="360" w:lineRule="auto"/>
              <w:jc w:val="center"/>
              <w:rPr>
                <w:rFonts w:ascii="宋体" w:hAnsi="宋体" w:cs="宋体"/>
                <w:color w:val="000000" w:themeColor="text1"/>
                <w:sz w:val="24"/>
              </w:rPr>
            </w:pPr>
          </w:p>
        </w:tc>
      </w:tr>
    </w:tbl>
    <w:p w14:paraId="5111390A">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0EB940E2">
      <w:pPr>
        <w:jc w:val="center"/>
        <w:rPr>
          <w:rFonts w:ascii="宋体" w:hAnsi="宋体" w:cs="宋体"/>
          <w:b/>
          <w:color w:val="000000" w:themeColor="text1"/>
          <w:kern w:val="0"/>
          <w:sz w:val="32"/>
          <w:szCs w:val="32"/>
        </w:rPr>
      </w:pPr>
    </w:p>
    <w:p w14:paraId="01AB7D2D">
      <w:pPr>
        <w:jc w:val="center"/>
        <w:rPr>
          <w:rFonts w:ascii="宋体" w:hAnsi="宋体" w:cs="宋体"/>
          <w:b/>
          <w:color w:val="000000" w:themeColor="text1"/>
          <w:kern w:val="0"/>
          <w:sz w:val="32"/>
          <w:szCs w:val="32"/>
        </w:rPr>
      </w:pPr>
    </w:p>
    <w:p w14:paraId="318928BA">
      <w:pPr>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五、商务技术偏离表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2B0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DAEBDD6">
            <w:pPr>
              <w:jc w:val="center"/>
              <w:rPr>
                <w:rFonts w:ascii="宋体" w:hAnsi="宋体" w:cs="宋体"/>
                <w:b/>
                <w:bCs/>
                <w:color w:val="000000" w:themeColor="text1"/>
                <w:sz w:val="24"/>
              </w:rPr>
            </w:pPr>
            <w:r>
              <w:rPr>
                <w:rFonts w:hint="eastAsia" w:ascii="宋体" w:hAnsi="宋体" w:cs="宋体"/>
                <w:b/>
                <w:bCs/>
                <w:color w:val="000000" w:themeColor="text1"/>
                <w:sz w:val="24"/>
              </w:rPr>
              <w:t>序号</w:t>
            </w:r>
          </w:p>
        </w:tc>
        <w:tc>
          <w:tcPr>
            <w:tcW w:w="3683" w:type="dxa"/>
          </w:tcPr>
          <w:p w14:paraId="1664AEC5">
            <w:pPr>
              <w:jc w:val="center"/>
              <w:rPr>
                <w:rFonts w:ascii="宋体" w:hAnsi="宋体" w:cs="宋体"/>
                <w:b/>
                <w:bCs/>
                <w:color w:val="000000" w:themeColor="text1"/>
                <w:sz w:val="24"/>
              </w:rPr>
            </w:pPr>
            <w:r>
              <w:rPr>
                <w:rFonts w:hint="eastAsia" w:ascii="宋体" w:hAnsi="宋体" w:cs="宋体"/>
                <w:b/>
                <w:bCs/>
                <w:color w:val="000000" w:themeColor="text1"/>
                <w:sz w:val="24"/>
              </w:rPr>
              <w:t>招标文件章节及具体内容</w:t>
            </w:r>
          </w:p>
        </w:tc>
        <w:tc>
          <w:tcPr>
            <w:tcW w:w="3546" w:type="dxa"/>
          </w:tcPr>
          <w:p w14:paraId="0BB4D06A">
            <w:pPr>
              <w:jc w:val="center"/>
              <w:rPr>
                <w:rFonts w:ascii="宋体" w:hAnsi="宋体" w:cs="宋体"/>
                <w:b/>
                <w:bCs/>
                <w:color w:val="000000" w:themeColor="text1"/>
                <w:sz w:val="24"/>
              </w:rPr>
            </w:pPr>
            <w:r>
              <w:rPr>
                <w:rFonts w:hint="eastAsia" w:ascii="宋体" w:hAnsi="宋体" w:cs="宋体"/>
                <w:b/>
                <w:bCs/>
                <w:color w:val="000000" w:themeColor="text1"/>
                <w:sz w:val="24"/>
              </w:rPr>
              <w:t>投标文件章节及具体内容</w:t>
            </w:r>
          </w:p>
        </w:tc>
        <w:tc>
          <w:tcPr>
            <w:tcW w:w="1276" w:type="dxa"/>
          </w:tcPr>
          <w:p w14:paraId="6E560941">
            <w:pPr>
              <w:jc w:val="center"/>
              <w:rPr>
                <w:rFonts w:ascii="宋体" w:hAnsi="宋体" w:cs="宋体"/>
                <w:b/>
                <w:bCs/>
                <w:color w:val="000000" w:themeColor="text1"/>
                <w:sz w:val="24"/>
              </w:rPr>
            </w:pPr>
            <w:r>
              <w:rPr>
                <w:rFonts w:hint="eastAsia" w:ascii="宋体" w:hAnsi="宋体" w:cs="宋体"/>
                <w:b/>
                <w:bCs/>
                <w:color w:val="000000" w:themeColor="text1"/>
                <w:sz w:val="24"/>
              </w:rPr>
              <w:t>偏离说明</w:t>
            </w:r>
          </w:p>
        </w:tc>
      </w:tr>
      <w:tr w14:paraId="2FB6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31BBC8">
            <w:pPr>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3683" w:type="dxa"/>
          </w:tcPr>
          <w:p w14:paraId="4E19355A">
            <w:pPr>
              <w:jc w:val="center"/>
              <w:rPr>
                <w:rFonts w:ascii="宋体" w:hAnsi="宋体" w:cs="宋体"/>
                <w:b/>
                <w:color w:val="000000" w:themeColor="text1"/>
                <w:kern w:val="0"/>
                <w:sz w:val="32"/>
                <w:szCs w:val="32"/>
              </w:rPr>
            </w:pPr>
          </w:p>
        </w:tc>
        <w:tc>
          <w:tcPr>
            <w:tcW w:w="3546" w:type="dxa"/>
          </w:tcPr>
          <w:p w14:paraId="3691F783">
            <w:pPr>
              <w:jc w:val="center"/>
              <w:rPr>
                <w:rFonts w:ascii="宋体" w:hAnsi="宋体" w:cs="宋体"/>
                <w:b/>
                <w:color w:val="000000" w:themeColor="text1"/>
                <w:kern w:val="0"/>
                <w:sz w:val="32"/>
                <w:szCs w:val="32"/>
              </w:rPr>
            </w:pPr>
          </w:p>
        </w:tc>
        <w:tc>
          <w:tcPr>
            <w:tcW w:w="1276" w:type="dxa"/>
          </w:tcPr>
          <w:p w14:paraId="2AC2CDE6">
            <w:pPr>
              <w:jc w:val="center"/>
              <w:rPr>
                <w:rFonts w:ascii="宋体" w:hAnsi="宋体" w:cs="宋体"/>
                <w:b/>
                <w:color w:val="000000" w:themeColor="text1"/>
                <w:kern w:val="0"/>
                <w:sz w:val="32"/>
                <w:szCs w:val="32"/>
              </w:rPr>
            </w:pPr>
          </w:p>
        </w:tc>
      </w:tr>
      <w:tr w14:paraId="6AC0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675DD0">
            <w:pPr>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3683" w:type="dxa"/>
          </w:tcPr>
          <w:p w14:paraId="4126AC1E">
            <w:pPr>
              <w:jc w:val="center"/>
              <w:rPr>
                <w:rFonts w:ascii="宋体" w:hAnsi="宋体" w:cs="宋体"/>
                <w:b/>
                <w:color w:val="000000" w:themeColor="text1"/>
                <w:kern w:val="0"/>
                <w:sz w:val="32"/>
                <w:szCs w:val="32"/>
              </w:rPr>
            </w:pPr>
          </w:p>
        </w:tc>
        <w:tc>
          <w:tcPr>
            <w:tcW w:w="3546" w:type="dxa"/>
          </w:tcPr>
          <w:p w14:paraId="7AFDF2D9">
            <w:pPr>
              <w:jc w:val="center"/>
              <w:rPr>
                <w:rFonts w:ascii="宋体" w:hAnsi="宋体" w:cs="宋体"/>
                <w:b/>
                <w:color w:val="000000" w:themeColor="text1"/>
                <w:kern w:val="0"/>
                <w:sz w:val="32"/>
                <w:szCs w:val="32"/>
              </w:rPr>
            </w:pPr>
          </w:p>
        </w:tc>
        <w:tc>
          <w:tcPr>
            <w:tcW w:w="1276" w:type="dxa"/>
          </w:tcPr>
          <w:p w14:paraId="7B11D133">
            <w:pPr>
              <w:jc w:val="center"/>
              <w:rPr>
                <w:rFonts w:ascii="宋体" w:hAnsi="宋体" w:cs="宋体"/>
                <w:b/>
                <w:color w:val="000000" w:themeColor="text1"/>
                <w:kern w:val="0"/>
                <w:sz w:val="32"/>
                <w:szCs w:val="32"/>
              </w:rPr>
            </w:pPr>
          </w:p>
        </w:tc>
      </w:tr>
      <w:tr w14:paraId="1842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18FC7B">
            <w:pPr>
              <w:jc w:val="center"/>
              <w:rPr>
                <w:rFonts w:ascii="宋体" w:hAnsi="宋体" w:cs="宋体"/>
                <w:color w:val="000000" w:themeColor="text1"/>
                <w:kern w:val="0"/>
                <w:sz w:val="24"/>
              </w:rPr>
            </w:pPr>
            <w:r>
              <w:rPr>
                <w:rFonts w:hint="eastAsia" w:ascii="宋体" w:hAnsi="宋体" w:cs="宋体"/>
                <w:color w:val="000000" w:themeColor="text1"/>
                <w:kern w:val="0"/>
                <w:sz w:val="24"/>
              </w:rPr>
              <w:t>……</w:t>
            </w:r>
          </w:p>
        </w:tc>
        <w:tc>
          <w:tcPr>
            <w:tcW w:w="3683" w:type="dxa"/>
          </w:tcPr>
          <w:p w14:paraId="43437A69">
            <w:pPr>
              <w:jc w:val="center"/>
              <w:rPr>
                <w:rFonts w:ascii="宋体" w:hAnsi="宋体" w:cs="宋体"/>
                <w:b/>
                <w:color w:val="000000" w:themeColor="text1"/>
                <w:kern w:val="0"/>
                <w:sz w:val="32"/>
                <w:szCs w:val="32"/>
              </w:rPr>
            </w:pPr>
          </w:p>
        </w:tc>
        <w:tc>
          <w:tcPr>
            <w:tcW w:w="3546" w:type="dxa"/>
          </w:tcPr>
          <w:p w14:paraId="790DF9D3">
            <w:pPr>
              <w:jc w:val="center"/>
              <w:rPr>
                <w:rFonts w:ascii="宋体" w:hAnsi="宋体" w:cs="宋体"/>
                <w:b/>
                <w:color w:val="000000" w:themeColor="text1"/>
                <w:kern w:val="0"/>
                <w:sz w:val="32"/>
                <w:szCs w:val="32"/>
              </w:rPr>
            </w:pPr>
          </w:p>
        </w:tc>
        <w:tc>
          <w:tcPr>
            <w:tcW w:w="1276" w:type="dxa"/>
          </w:tcPr>
          <w:p w14:paraId="453D0743">
            <w:pPr>
              <w:jc w:val="center"/>
              <w:rPr>
                <w:rFonts w:ascii="宋体" w:hAnsi="宋体" w:cs="宋体"/>
                <w:b/>
                <w:color w:val="000000" w:themeColor="text1"/>
                <w:kern w:val="0"/>
                <w:sz w:val="32"/>
                <w:szCs w:val="32"/>
              </w:rPr>
            </w:pPr>
          </w:p>
        </w:tc>
      </w:tr>
    </w:tbl>
    <w:p w14:paraId="701D36A9">
      <w:pPr>
        <w:jc w:val="left"/>
        <w:rPr>
          <w:rFonts w:ascii="宋体" w:hAnsi="宋体" w:cs="宋体"/>
          <w:color w:val="000000" w:themeColor="text1"/>
          <w:kern w:val="0"/>
          <w:sz w:val="24"/>
        </w:rPr>
      </w:pPr>
      <w:r>
        <w:rPr>
          <w:rFonts w:hint="eastAsia" w:ascii="宋体" w:hAnsi="宋体" w:cs="宋体"/>
          <w:color w:val="000000" w:themeColor="text1"/>
          <w:kern w:val="0"/>
          <w:sz w:val="24"/>
        </w:rPr>
        <w:t>投标人保证：除商务技术偏离表列出的偏离外，投标人响应招标文件的全部要求</w:t>
      </w:r>
    </w:p>
    <w:p w14:paraId="294B6C5A">
      <w:pPr>
        <w:spacing w:line="360" w:lineRule="auto"/>
        <w:ind w:firstLine="3600" w:firstLineChars="1500"/>
        <w:rPr>
          <w:rFonts w:ascii="宋体" w:hAnsi="宋体" w:cs="宋体"/>
          <w:color w:val="000000" w:themeColor="text1"/>
          <w:sz w:val="24"/>
        </w:rPr>
      </w:pPr>
    </w:p>
    <w:p w14:paraId="35DC6365">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574B3FF6">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65EC6ED2">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4C26351B">
      <w:pPr>
        <w:jc w:val="center"/>
        <w:rPr>
          <w:rFonts w:ascii="宋体" w:hAnsi="宋体" w:cs="宋体"/>
          <w:b/>
          <w:color w:val="000000" w:themeColor="text1"/>
          <w:kern w:val="0"/>
          <w:sz w:val="32"/>
          <w:szCs w:val="32"/>
        </w:rPr>
      </w:pPr>
    </w:p>
    <w:p w14:paraId="7C0D972D">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326BF0C6">
      <w:pPr>
        <w:widowControl/>
        <w:adjustRightInd/>
        <w:jc w:val="center"/>
        <w:rPr>
          <w:rFonts w:ascii="宋体" w:hAnsi="宋体" w:cs="宋体"/>
          <w:b/>
          <w:bCs/>
          <w:color w:val="000000" w:themeColor="text1"/>
          <w:sz w:val="32"/>
          <w:szCs w:val="32"/>
        </w:rPr>
      </w:pPr>
    </w:p>
    <w:p w14:paraId="229EEBE0">
      <w:pPr>
        <w:widowControl/>
        <w:adjustRightInd/>
        <w:jc w:val="center"/>
        <w:rPr>
          <w:rFonts w:hint="eastAsia" w:ascii="宋体" w:hAnsi="宋体" w:cs="宋体"/>
          <w:b/>
          <w:bCs/>
          <w:color w:val="000000" w:themeColor="text1"/>
          <w:sz w:val="32"/>
          <w:szCs w:val="32"/>
        </w:rPr>
      </w:pPr>
    </w:p>
    <w:p w14:paraId="7CF5B678">
      <w:pPr>
        <w:widowControl/>
        <w:adjustRightInd/>
        <w:jc w:val="center"/>
        <w:rPr>
          <w:rFonts w:ascii="宋体" w:hAnsi="宋体" w:cs="宋体"/>
          <w:b/>
          <w:color w:val="000000" w:themeColor="text1"/>
          <w:kern w:val="0"/>
          <w:sz w:val="32"/>
          <w:szCs w:val="32"/>
        </w:rPr>
      </w:pPr>
      <w:r>
        <w:rPr>
          <w:rFonts w:hint="eastAsia" w:ascii="宋体" w:hAnsi="宋体" w:cs="宋体"/>
          <w:b/>
          <w:bCs/>
          <w:color w:val="000000" w:themeColor="text1"/>
          <w:sz w:val="32"/>
          <w:szCs w:val="32"/>
        </w:rPr>
        <w:t>六</w:t>
      </w:r>
      <w:r>
        <w:rPr>
          <w:rFonts w:hint="eastAsia" w:ascii="宋体" w:hAnsi="宋体" w:cs="宋体"/>
          <w:b/>
          <w:color w:val="000000" w:themeColor="text1"/>
          <w:kern w:val="0"/>
          <w:sz w:val="32"/>
          <w:szCs w:val="32"/>
        </w:rPr>
        <w:t>、</w:t>
      </w:r>
      <w:r>
        <w:rPr>
          <w:rFonts w:hint="eastAsia" w:ascii="宋体" w:hAnsi="宋体" w:cs="宋体"/>
          <w:b/>
          <w:color w:val="000000" w:themeColor="text1"/>
          <w:kern w:val="0"/>
          <w:sz w:val="32"/>
          <w:szCs w:val="32"/>
          <w:lang w:val="zh-CN"/>
        </w:rPr>
        <w:t>政府采购供应商廉洁自律承诺书</w:t>
      </w:r>
    </w:p>
    <w:p w14:paraId="31667C8F">
      <w:pPr>
        <w:snapToGrid w:val="0"/>
        <w:spacing w:line="360" w:lineRule="auto"/>
        <w:rPr>
          <w:rFonts w:ascii="宋体" w:hAnsi="宋体" w:cs="宋体"/>
          <w:color w:val="000000" w:themeColor="text1"/>
          <w:sz w:val="24"/>
        </w:rPr>
      </w:pPr>
    </w:p>
    <w:p w14:paraId="61026705">
      <w:pPr>
        <w:snapToGrid w:val="0"/>
        <w:spacing w:line="360" w:lineRule="auto"/>
        <w:rPr>
          <w:rFonts w:ascii="宋体" w:hAnsi="宋体" w:cs="宋体"/>
          <w:color w:val="000000" w:themeColor="text1"/>
          <w:kern w:val="0"/>
          <w:sz w:val="24"/>
        </w:rPr>
      </w:pPr>
      <w:r>
        <w:rPr>
          <w:rFonts w:hint="eastAsia" w:ascii="宋体" w:hAnsi="宋体" w:cs="宋体"/>
          <w:color w:val="000000" w:themeColor="text1"/>
          <w:sz w:val="24"/>
        </w:rPr>
        <w:t>（采购人）、（采购代理机构）</w:t>
      </w:r>
      <w:r>
        <w:rPr>
          <w:rFonts w:hint="eastAsia" w:ascii="宋体" w:hAnsi="宋体" w:cs="宋体"/>
          <w:color w:val="000000" w:themeColor="text1"/>
          <w:kern w:val="0"/>
          <w:sz w:val="24"/>
          <w:lang w:val="zh-CN"/>
        </w:rPr>
        <w:t>：</w:t>
      </w:r>
    </w:p>
    <w:p w14:paraId="58D35BCF">
      <w:pPr>
        <w:autoSpaceDE w:val="0"/>
        <w:autoSpaceDN w:val="0"/>
        <w:spacing w:line="360" w:lineRule="auto"/>
        <w:ind w:left="2" w:leftChars="1"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我单位响应你</w:t>
      </w:r>
      <w:r>
        <w:rPr>
          <w:rFonts w:hint="eastAsia" w:ascii="宋体" w:hAnsi="宋体" w:cs="宋体"/>
          <w:color w:val="000000" w:themeColor="text1"/>
          <w:sz w:val="24"/>
        </w:rPr>
        <w:t>单位</w:t>
      </w:r>
      <w:r>
        <w:rPr>
          <w:rFonts w:hint="eastAsia" w:ascii="宋体" w:hAnsi="宋体" w:cs="宋体"/>
          <w:color w:val="000000" w:themeColor="text1"/>
          <w:kern w:val="0"/>
          <w:sz w:val="24"/>
          <w:lang w:val="zh-CN"/>
        </w:rPr>
        <w:t>项目招标要求参加投标。在这次投标过程中和中标后，我们将严格遵守国家法律法规要求，并郑重承诺：</w:t>
      </w:r>
    </w:p>
    <w:p w14:paraId="603B2837">
      <w:pPr>
        <w:autoSpaceDE w:val="0"/>
        <w:autoSpaceDN w:val="0"/>
        <w:spacing w:line="360" w:lineRule="auto"/>
        <w:ind w:left="2" w:leftChars="1"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一、不向项目有关人员及部门赠送礼金礼物、有价证券、回扣以及中介费、介绍费、咨询费等好处费； </w:t>
      </w:r>
    </w:p>
    <w:p w14:paraId="3025EBFF">
      <w:pPr>
        <w:autoSpaceDE w:val="0"/>
        <w:autoSpaceDN w:val="0"/>
        <w:spacing w:line="360" w:lineRule="auto"/>
        <w:ind w:left="2" w:leftChars="1"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二、不为项目有关人员及部门报销应由你方单位或个人支付的费用； </w:t>
      </w:r>
    </w:p>
    <w:p w14:paraId="7AFDD8D4">
      <w:pPr>
        <w:autoSpaceDE w:val="0"/>
        <w:autoSpaceDN w:val="0"/>
        <w:spacing w:line="360" w:lineRule="auto"/>
        <w:ind w:left="2" w:leftChars="1"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三、不向项目有关人员及部门提供有可能影响公正的宴请和健身娱乐等活动； </w:t>
      </w:r>
    </w:p>
    <w:p w14:paraId="632EC275">
      <w:pPr>
        <w:autoSpaceDE w:val="0"/>
        <w:autoSpaceDN w:val="0"/>
        <w:spacing w:line="360" w:lineRule="auto"/>
        <w:ind w:left="2" w:leftChars="1"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四、不为项目有关人员及部门出国（境）、旅游等提供方便；</w:t>
      </w:r>
    </w:p>
    <w:p w14:paraId="771D8D17">
      <w:pPr>
        <w:autoSpaceDE w:val="0"/>
        <w:autoSpaceDN w:val="0"/>
        <w:spacing w:line="360" w:lineRule="auto"/>
        <w:ind w:left="481" w:leftChars="229"/>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五、不为项目有关人员个人装修住房、婚丧嫁娶、配偶子女工作安排等提供</w:t>
      </w:r>
    </w:p>
    <w:p w14:paraId="5159B3DC">
      <w:pPr>
        <w:autoSpaceDE w:val="0"/>
        <w:autoSpaceDN w:val="0"/>
        <w:spacing w:line="360" w:lineRule="auto"/>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好处；</w:t>
      </w:r>
    </w:p>
    <w:p w14:paraId="342C64DE">
      <w:pPr>
        <w:autoSpaceDE w:val="0"/>
        <w:autoSpaceDN w:val="0"/>
        <w:spacing w:line="360" w:lineRule="auto"/>
        <w:ind w:left="481" w:leftChars="229"/>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六、严格遵守《</w:t>
      </w:r>
      <w:r>
        <w:rPr>
          <w:rFonts w:hint="eastAsia" w:ascii="宋体" w:hAnsi="宋体" w:cs="宋体"/>
          <w:color w:val="000000" w:themeColor="text1"/>
          <w:sz w:val="24"/>
          <w:lang w:val="zh-CN"/>
        </w:rPr>
        <w:t>中华人民共和国</w:t>
      </w:r>
      <w:r>
        <w:rPr>
          <w:rFonts w:hint="eastAsia" w:ascii="宋体" w:hAnsi="宋体" w:cs="宋体"/>
          <w:color w:val="000000" w:themeColor="text1"/>
          <w:kern w:val="0"/>
          <w:sz w:val="24"/>
          <w:lang w:val="zh-CN"/>
        </w:rPr>
        <w:t>政府采购法》《</w:t>
      </w:r>
      <w:r>
        <w:rPr>
          <w:rFonts w:hint="eastAsia" w:ascii="宋体" w:hAnsi="宋体" w:cs="宋体"/>
          <w:color w:val="000000" w:themeColor="text1"/>
          <w:sz w:val="24"/>
          <w:lang w:val="zh-CN"/>
        </w:rPr>
        <w:t>中华人民共和国</w:t>
      </w:r>
      <w:r>
        <w:rPr>
          <w:rFonts w:hint="eastAsia" w:ascii="宋体" w:hAnsi="宋体" w:cs="宋体"/>
          <w:color w:val="000000" w:themeColor="text1"/>
          <w:kern w:val="0"/>
          <w:sz w:val="24"/>
          <w:lang w:val="zh-CN"/>
        </w:rPr>
        <w:t>招标投标</w:t>
      </w:r>
    </w:p>
    <w:p w14:paraId="67C12623">
      <w:pPr>
        <w:autoSpaceDE w:val="0"/>
        <w:autoSpaceDN w:val="0"/>
        <w:spacing w:line="360" w:lineRule="auto"/>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法》</w:t>
      </w:r>
      <w:r>
        <w:rPr>
          <w:rFonts w:hint="eastAsia" w:ascii="宋体" w:hAnsi="宋体" w:cs="宋体"/>
          <w:color w:val="000000" w:themeColor="text1"/>
          <w:sz w:val="24"/>
          <w:lang w:val="zh-CN"/>
        </w:rPr>
        <w:t>《中华人民共和国民法典》</w:t>
      </w:r>
      <w:r>
        <w:rPr>
          <w:rFonts w:hint="eastAsia" w:ascii="宋体" w:hAnsi="宋体" w:cs="宋体"/>
          <w:color w:val="000000" w:themeColor="text1"/>
          <w:kern w:val="0"/>
          <w:sz w:val="24"/>
          <w:lang w:val="zh-CN"/>
        </w:rPr>
        <w:t xml:space="preserve">等法律法规，诚实守信，合法经营，坚决抵制各种违法违纪行为。 </w:t>
      </w:r>
    </w:p>
    <w:p w14:paraId="1212702A">
      <w:pPr>
        <w:autoSpaceDE w:val="0"/>
        <w:autoSpaceDN w:val="0"/>
        <w:spacing w:line="360" w:lineRule="auto"/>
        <w:ind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如违反上述承诺，你</w:t>
      </w:r>
      <w:r>
        <w:rPr>
          <w:rFonts w:hint="eastAsia" w:ascii="宋体" w:hAnsi="宋体" w:cs="宋体"/>
          <w:color w:val="000000" w:themeColor="text1"/>
          <w:sz w:val="24"/>
        </w:rPr>
        <w:t>单位</w:t>
      </w:r>
      <w:r>
        <w:rPr>
          <w:rFonts w:hint="eastAsia" w:ascii="宋体" w:hAnsi="宋体" w:cs="宋体"/>
          <w:color w:val="000000" w:themeColor="text1"/>
          <w:kern w:val="0"/>
          <w:sz w:val="24"/>
          <w:lang w:val="zh-CN"/>
        </w:rPr>
        <w:t>有权立即取消我单位投标、中标或在建项目的建设资格，有权拒绝我单位在一定时期内进入你</w:t>
      </w:r>
      <w:r>
        <w:rPr>
          <w:rFonts w:hint="eastAsia" w:ascii="宋体" w:hAnsi="宋体" w:cs="宋体"/>
          <w:color w:val="000000" w:themeColor="text1"/>
          <w:sz w:val="24"/>
        </w:rPr>
        <w:t>单位</w:t>
      </w:r>
      <w:r>
        <w:rPr>
          <w:rFonts w:hint="eastAsia" w:ascii="宋体" w:hAnsi="宋体" w:cs="宋体"/>
          <w:color w:val="000000" w:themeColor="text1"/>
          <w:kern w:val="0"/>
          <w:sz w:val="24"/>
          <w:lang w:val="zh-CN"/>
        </w:rPr>
        <w:t>进行项目建设或其他经营活动，并通报市财政局。由此引起的相应损失均由我单位承担。</w:t>
      </w:r>
    </w:p>
    <w:p w14:paraId="0206E8ED">
      <w:pPr>
        <w:autoSpaceDE w:val="0"/>
        <w:autoSpaceDN w:val="0"/>
        <w:spacing w:line="360" w:lineRule="auto"/>
        <w:ind w:left="2"/>
        <w:jc w:val="left"/>
        <w:rPr>
          <w:rFonts w:ascii="宋体" w:hAnsi="宋体" w:cs="宋体"/>
          <w:color w:val="000000" w:themeColor="text1"/>
          <w:kern w:val="0"/>
          <w:sz w:val="24"/>
          <w:lang w:val="zh-CN"/>
        </w:rPr>
      </w:pPr>
    </w:p>
    <w:p w14:paraId="4DBEC1DA">
      <w:pPr>
        <w:autoSpaceDE w:val="0"/>
        <w:autoSpaceDN w:val="0"/>
        <w:spacing w:line="360" w:lineRule="auto"/>
        <w:ind w:left="2"/>
        <w:jc w:val="left"/>
        <w:rPr>
          <w:rFonts w:ascii="宋体" w:hAnsi="宋体" w:cs="宋体"/>
          <w:color w:val="000000" w:themeColor="text1"/>
          <w:kern w:val="0"/>
          <w:sz w:val="24"/>
          <w:lang w:val="zh-CN"/>
        </w:rPr>
      </w:pPr>
    </w:p>
    <w:p w14:paraId="33E89060">
      <w:pPr>
        <w:autoSpaceDE w:val="0"/>
        <w:autoSpaceDN w:val="0"/>
        <w:spacing w:line="360" w:lineRule="auto"/>
        <w:ind w:left="2"/>
        <w:jc w:val="left"/>
        <w:rPr>
          <w:rFonts w:ascii="宋体" w:hAnsi="宋体" w:cs="宋体"/>
          <w:color w:val="000000" w:themeColor="text1"/>
          <w:kern w:val="0"/>
          <w:sz w:val="24"/>
          <w:lang w:val="zh-CN"/>
        </w:rPr>
      </w:pPr>
    </w:p>
    <w:p w14:paraId="160BFE16">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71A84613">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13E6D3B4">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76FAEF78">
      <w:pPr>
        <w:spacing w:line="360" w:lineRule="auto"/>
        <w:ind w:left="4620" w:leftChars="2200"/>
        <w:rPr>
          <w:rFonts w:ascii="宋体" w:hAnsi="宋体" w:cs="宋体"/>
          <w:color w:val="000000" w:themeColor="text1"/>
          <w:sz w:val="24"/>
        </w:rPr>
      </w:pPr>
    </w:p>
    <w:p w14:paraId="57AD604E">
      <w:pPr>
        <w:spacing w:line="360" w:lineRule="auto"/>
        <w:jc w:val="center"/>
        <w:rPr>
          <w:rFonts w:ascii="宋体" w:hAnsi="宋体" w:cs="宋体"/>
          <w:b/>
          <w:bCs/>
          <w:color w:val="000000" w:themeColor="text1"/>
          <w:sz w:val="24"/>
        </w:rPr>
      </w:pPr>
    </w:p>
    <w:p w14:paraId="3997C81D">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1095F794">
      <w:pPr>
        <w:pStyle w:val="82"/>
        <w:rPr>
          <w:color w:val="000000" w:themeColor="text1"/>
        </w:rPr>
      </w:pPr>
    </w:p>
    <w:p w14:paraId="6A0DF038">
      <w:pPr>
        <w:pStyle w:val="82"/>
        <w:rPr>
          <w:color w:val="000000" w:themeColor="text1"/>
        </w:rPr>
      </w:pPr>
    </w:p>
    <w:p w14:paraId="0E4F0B8C">
      <w:pPr>
        <w:jc w:val="center"/>
        <w:rPr>
          <w:rFonts w:ascii="宋体" w:hAnsi="宋体" w:cs="宋体"/>
          <w:b/>
          <w:color w:val="000000" w:themeColor="text1"/>
          <w:kern w:val="0"/>
          <w:sz w:val="32"/>
          <w:szCs w:val="21"/>
        </w:rPr>
      </w:pPr>
      <w:r>
        <w:rPr>
          <w:rFonts w:hint="eastAsia" w:ascii="宋体" w:hAnsi="宋体" w:cs="宋体"/>
          <w:b/>
          <w:bCs/>
          <w:color w:val="000000" w:themeColor="text1"/>
          <w:sz w:val="32"/>
          <w:szCs w:val="32"/>
        </w:rPr>
        <w:t>七</w:t>
      </w:r>
      <w:r>
        <w:rPr>
          <w:rFonts w:hint="eastAsia" w:ascii="宋体" w:hAnsi="宋体" w:cs="宋体"/>
          <w:b/>
          <w:color w:val="000000" w:themeColor="text1"/>
          <w:kern w:val="0"/>
          <w:sz w:val="32"/>
          <w:szCs w:val="32"/>
        </w:rPr>
        <w:t>、</w:t>
      </w:r>
      <w:r>
        <w:rPr>
          <w:rFonts w:hint="eastAsia" w:ascii="宋体" w:hAnsi="宋体" w:cs="宋体"/>
          <w:b/>
          <w:color w:val="000000" w:themeColor="text1"/>
          <w:kern w:val="0"/>
          <w:sz w:val="32"/>
          <w:szCs w:val="21"/>
        </w:rPr>
        <w:t>承诺函</w:t>
      </w:r>
    </w:p>
    <w:p w14:paraId="16BCC07F">
      <w:pPr>
        <w:widowControl/>
        <w:adjustRightInd/>
        <w:ind w:firstLine="640" w:firstLineChars="200"/>
        <w:jc w:val="left"/>
        <w:rPr>
          <w:rFonts w:ascii="宋体" w:hAnsi="宋体" w:cs="宋体"/>
          <w:color w:val="000000" w:themeColor="text1"/>
          <w:kern w:val="0"/>
          <w:sz w:val="32"/>
          <w:szCs w:val="21"/>
        </w:rPr>
      </w:pPr>
    </w:p>
    <w:p w14:paraId="602F7254">
      <w:pPr>
        <w:snapToGrid w:val="0"/>
        <w:spacing w:line="360" w:lineRule="auto"/>
        <w:rPr>
          <w:rFonts w:ascii="宋体" w:hAnsi="宋体" w:cs="宋体"/>
          <w:color w:val="000000" w:themeColor="text1"/>
          <w:kern w:val="0"/>
          <w:sz w:val="24"/>
        </w:rPr>
      </w:pPr>
      <w:r>
        <w:rPr>
          <w:rFonts w:hint="eastAsia" w:ascii="宋体" w:hAnsi="宋体" w:cs="宋体"/>
          <w:color w:val="000000" w:themeColor="text1"/>
          <w:sz w:val="24"/>
        </w:rPr>
        <w:t>（采购人）、（采购代理机构）</w:t>
      </w:r>
      <w:r>
        <w:rPr>
          <w:rFonts w:hint="eastAsia" w:ascii="宋体" w:hAnsi="宋体" w:cs="宋体"/>
          <w:color w:val="000000" w:themeColor="text1"/>
          <w:kern w:val="0"/>
          <w:sz w:val="24"/>
          <w:lang w:val="zh-CN"/>
        </w:rPr>
        <w:t>：</w:t>
      </w:r>
    </w:p>
    <w:p w14:paraId="6ECD24AA">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我方作为本次采购项目的投标人，根据招标文件要求，现郑重承诺如下：</w:t>
      </w:r>
    </w:p>
    <w:p w14:paraId="610A1D8F">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34D796C5">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二、参加本次招标采购活动，不存在与单位负责人为同一人或者存在直接控股、管理关系的其他供应商参与同一合同项下的政府采购活动的行为。</w:t>
      </w:r>
    </w:p>
    <w:p w14:paraId="75D5F3D9">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14:paraId="6C7C3B4C">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四、参加本次招标采购活动，不存在和其他供应商在同一合同项下的采购项目中，同时委托同一个自然人、同一家庭的人员、同一单位的人员作为代理人的行为。</w:t>
      </w:r>
    </w:p>
    <w:p w14:paraId="0FD5C1D2">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五、投标文件中提供的能够给予我方带来优惠、好处的任何材料资料和技术、服务、商务、响应产品等响应承诺情况都是真实的、有效的、合法的。</w:t>
      </w:r>
    </w:p>
    <w:p w14:paraId="25D5AF05">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7ACEEBC4">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七、国家或行业主管部门对采购产品的技术标准、质量标准和资格资质条件等有强制性规定的，我方承诺符合其要求。</w:t>
      </w:r>
    </w:p>
    <w:p w14:paraId="45D53E60">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八、参加本次招标采购活动，我方完全同意招标文件第二部分关于“投标费用”、“合同分包”、“合同转包”、“履约保证金”的实质性要求，并承诺严格按照招标文件要求履行。</w:t>
      </w:r>
    </w:p>
    <w:p w14:paraId="63BF929F">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29CA40CB">
      <w:pPr>
        <w:widowControl/>
        <w:adjustRightInd/>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我方对上述承诺的内容事项真实性负责。如经查实上述承诺的内容事项存在虚假，我方愿意接受以提供虚假材料谋取中标追究法律责任。</w:t>
      </w:r>
    </w:p>
    <w:p w14:paraId="21727F02">
      <w:pPr>
        <w:widowControl/>
        <w:adjustRightInd/>
        <w:spacing w:line="360" w:lineRule="auto"/>
        <w:ind w:firstLine="480" w:firstLineChars="200"/>
        <w:jc w:val="left"/>
        <w:rPr>
          <w:rFonts w:ascii="宋体" w:hAnsi="宋体" w:cs="宋体"/>
          <w:color w:val="000000" w:themeColor="text1"/>
          <w:kern w:val="0"/>
          <w:sz w:val="24"/>
        </w:rPr>
      </w:pPr>
    </w:p>
    <w:p w14:paraId="6C98288C">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76A89E6E">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5585F1C6">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2B3FBE89">
      <w:pPr>
        <w:spacing w:line="360" w:lineRule="auto"/>
        <w:ind w:left="4620" w:leftChars="2200"/>
        <w:rPr>
          <w:rFonts w:ascii="宋体" w:hAnsi="宋体" w:cs="宋体"/>
          <w:color w:val="000000" w:themeColor="text1"/>
          <w:sz w:val="24"/>
        </w:rPr>
      </w:pPr>
    </w:p>
    <w:p w14:paraId="31BD11E0">
      <w:pPr>
        <w:spacing w:line="360" w:lineRule="auto"/>
        <w:jc w:val="center"/>
        <w:rPr>
          <w:rFonts w:ascii="宋体" w:hAnsi="宋体" w:cs="宋体"/>
          <w:b/>
          <w:bCs/>
          <w:color w:val="000000" w:themeColor="text1"/>
          <w:sz w:val="24"/>
        </w:rPr>
      </w:pPr>
    </w:p>
    <w:p w14:paraId="7D9AE5C3">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7E2C7C21">
      <w:pPr>
        <w:spacing w:line="360" w:lineRule="auto"/>
        <w:jc w:val="center"/>
        <w:rPr>
          <w:rFonts w:ascii="宋体" w:hAnsi="宋体" w:cs="宋体"/>
          <w:b/>
          <w:bCs/>
          <w:color w:val="000000" w:themeColor="text1"/>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2B10EEAC">
      <w:pPr>
        <w:spacing w:line="360" w:lineRule="auto"/>
        <w:jc w:val="center"/>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报价文件部分</w:t>
      </w:r>
    </w:p>
    <w:p w14:paraId="411F9EA4">
      <w:pPr>
        <w:spacing w:line="360" w:lineRule="auto"/>
        <w:jc w:val="center"/>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目录</w:t>
      </w:r>
    </w:p>
    <w:p w14:paraId="28C174A9">
      <w:pPr>
        <w:spacing w:line="360" w:lineRule="auto"/>
        <w:jc w:val="center"/>
        <w:rPr>
          <w:rFonts w:ascii="宋体" w:hAnsi="宋体" w:cs="宋体"/>
          <w:b/>
          <w:color w:val="000000" w:themeColor="text1"/>
          <w:kern w:val="0"/>
          <w:sz w:val="36"/>
          <w:szCs w:val="36"/>
        </w:rPr>
      </w:pPr>
    </w:p>
    <w:p w14:paraId="4DB8B9A6">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（1）开标一览表（报价表）………………………………………………………（页码）</w:t>
      </w:r>
    </w:p>
    <w:p w14:paraId="2B379727">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（2）中小企业声明函………………………………………………………………（页码）</w:t>
      </w:r>
    </w:p>
    <w:p w14:paraId="267B2479">
      <w:pPr>
        <w:snapToGrid w:val="0"/>
        <w:spacing w:line="360" w:lineRule="auto"/>
        <w:ind w:right="480"/>
        <w:jc w:val="center"/>
        <w:rPr>
          <w:rFonts w:ascii="宋体" w:hAnsi="宋体" w:cs="宋体"/>
          <w:b/>
          <w:color w:val="000000" w:themeColor="text1"/>
          <w:kern w:val="0"/>
          <w:sz w:val="32"/>
          <w:szCs w:val="32"/>
        </w:rPr>
      </w:pPr>
    </w:p>
    <w:p w14:paraId="27490414">
      <w:pPr>
        <w:snapToGrid w:val="0"/>
        <w:spacing w:line="360" w:lineRule="auto"/>
        <w:ind w:right="480"/>
        <w:jc w:val="center"/>
        <w:rPr>
          <w:rFonts w:ascii="宋体" w:hAnsi="宋体" w:cs="宋体"/>
          <w:b/>
          <w:color w:val="000000" w:themeColor="text1"/>
          <w:kern w:val="0"/>
          <w:sz w:val="32"/>
          <w:szCs w:val="32"/>
        </w:rPr>
      </w:pPr>
    </w:p>
    <w:p w14:paraId="37BA0171">
      <w:pPr>
        <w:snapToGrid w:val="0"/>
        <w:spacing w:line="360" w:lineRule="auto"/>
        <w:ind w:right="480"/>
        <w:jc w:val="center"/>
        <w:rPr>
          <w:rFonts w:ascii="宋体" w:hAnsi="宋体" w:cs="宋体"/>
          <w:b/>
          <w:color w:val="000000" w:themeColor="text1"/>
          <w:kern w:val="0"/>
          <w:sz w:val="32"/>
          <w:szCs w:val="32"/>
        </w:rPr>
      </w:pPr>
    </w:p>
    <w:p w14:paraId="23F87A54">
      <w:pPr>
        <w:snapToGrid w:val="0"/>
        <w:spacing w:line="360" w:lineRule="auto"/>
        <w:ind w:right="480"/>
        <w:jc w:val="center"/>
        <w:rPr>
          <w:rFonts w:ascii="宋体" w:hAnsi="宋体" w:cs="宋体"/>
          <w:b/>
          <w:color w:val="000000" w:themeColor="text1"/>
          <w:kern w:val="0"/>
          <w:sz w:val="32"/>
          <w:szCs w:val="32"/>
        </w:rPr>
      </w:pPr>
    </w:p>
    <w:p w14:paraId="437BF62F">
      <w:pPr>
        <w:snapToGrid w:val="0"/>
        <w:spacing w:line="360" w:lineRule="auto"/>
        <w:ind w:right="480"/>
        <w:jc w:val="center"/>
        <w:rPr>
          <w:rFonts w:ascii="宋体" w:hAnsi="宋体" w:cs="宋体"/>
          <w:b/>
          <w:color w:val="000000" w:themeColor="text1"/>
          <w:kern w:val="0"/>
          <w:sz w:val="32"/>
          <w:szCs w:val="32"/>
        </w:rPr>
      </w:pPr>
    </w:p>
    <w:p w14:paraId="62D86193">
      <w:pPr>
        <w:snapToGrid w:val="0"/>
        <w:spacing w:line="360" w:lineRule="auto"/>
        <w:ind w:right="480"/>
        <w:jc w:val="center"/>
        <w:rPr>
          <w:rFonts w:ascii="宋体" w:hAnsi="宋体" w:cs="宋体"/>
          <w:b/>
          <w:color w:val="000000" w:themeColor="text1"/>
          <w:kern w:val="0"/>
          <w:sz w:val="32"/>
          <w:szCs w:val="32"/>
        </w:rPr>
      </w:pPr>
    </w:p>
    <w:p w14:paraId="1C8E6327">
      <w:pPr>
        <w:snapToGrid w:val="0"/>
        <w:spacing w:line="360" w:lineRule="auto"/>
        <w:ind w:right="480"/>
        <w:jc w:val="center"/>
        <w:rPr>
          <w:rFonts w:ascii="宋体" w:hAnsi="宋体" w:cs="宋体"/>
          <w:b/>
          <w:color w:val="000000" w:themeColor="text1"/>
          <w:kern w:val="0"/>
          <w:sz w:val="32"/>
          <w:szCs w:val="32"/>
        </w:rPr>
      </w:pPr>
    </w:p>
    <w:p w14:paraId="54726190">
      <w:pPr>
        <w:snapToGrid w:val="0"/>
        <w:spacing w:line="360" w:lineRule="auto"/>
        <w:ind w:right="480"/>
        <w:jc w:val="center"/>
        <w:rPr>
          <w:rFonts w:ascii="宋体" w:hAnsi="宋体" w:cs="宋体"/>
          <w:b/>
          <w:color w:val="000000" w:themeColor="text1"/>
          <w:kern w:val="0"/>
          <w:sz w:val="32"/>
          <w:szCs w:val="32"/>
        </w:rPr>
      </w:pPr>
    </w:p>
    <w:p w14:paraId="01BA0E24">
      <w:pPr>
        <w:snapToGrid w:val="0"/>
        <w:spacing w:line="360" w:lineRule="auto"/>
        <w:ind w:right="480"/>
        <w:jc w:val="center"/>
        <w:rPr>
          <w:rFonts w:ascii="宋体" w:hAnsi="宋体" w:cs="宋体"/>
          <w:b/>
          <w:color w:val="000000" w:themeColor="text1"/>
          <w:kern w:val="0"/>
          <w:sz w:val="32"/>
          <w:szCs w:val="32"/>
        </w:rPr>
      </w:pPr>
    </w:p>
    <w:p w14:paraId="3D559D7F">
      <w:pPr>
        <w:snapToGrid w:val="0"/>
        <w:spacing w:line="360" w:lineRule="auto"/>
        <w:ind w:right="480"/>
        <w:jc w:val="center"/>
        <w:rPr>
          <w:rFonts w:ascii="宋体" w:hAnsi="宋体" w:cs="宋体"/>
          <w:b/>
          <w:color w:val="000000" w:themeColor="text1"/>
          <w:kern w:val="0"/>
          <w:sz w:val="32"/>
          <w:szCs w:val="32"/>
        </w:rPr>
      </w:pPr>
    </w:p>
    <w:p w14:paraId="639F10B0">
      <w:pPr>
        <w:snapToGrid w:val="0"/>
        <w:spacing w:line="360" w:lineRule="auto"/>
        <w:ind w:right="480"/>
        <w:jc w:val="center"/>
        <w:rPr>
          <w:rFonts w:ascii="宋体" w:hAnsi="宋体" w:cs="宋体"/>
          <w:b/>
          <w:color w:val="000000" w:themeColor="text1"/>
          <w:kern w:val="0"/>
          <w:sz w:val="32"/>
          <w:szCs w:val="32"/>
        </w:rPr>
      </w:pPr>
    </w:p>
    <w:p w14:paraId="25CF4416">
      <w:pPr>
        <w:snapToGrid w:val="0"/>
        <w:spacing w:line="360" w:lineRule="auto"/>
        <w:ind w:right="480"/>
        <w:jc w:val="center"/>
        <w:rPr>
          <w:rFonts w:ascii="宋体" w:hAnsi="宋体" w:cs="宋体"/>
          <w:b/>
          <w:color w:val="000000" w:themeColor="text1"/>
          <w:kern w:val="0"/>
          <w:sz w:val="32"/>
          <w:szCs w:val="32"/>
        </w:rPr>
      </w:pPr>
    </w:p>
    <w:p w14:paraId="35B3C922">
      <w:pPr>
        <w:snapToGrid w:val="0"/>
        <w:spacing w:line="360" w:lineRule="auto"/>
        <w:ind w:right="480"/>
        <w:jc w:val="center"/>
        <w:rPr>
          <w:rFonts w:ascii="宋体" w:hAnsi="宋体" w:cs="宋体"/>
          <w:b/>
          <w:color w:val="000000" w:themeColor="text1"/>
          <w:kern w:val="0"/>
          <w:sz w:val="32"/>
          <w:szCs w:val="32"/>
        </w:rPr>
      </w:pPr>
    </w:p>
    <w:p w14:paraId="74C11EBD">
      <w:pPr>
        <w:snapToGrid w:val="0"/>
        <w:spacing w:line="360" w:lineRule="auto"/>
        <w:ind w:right="480"/>
        <w:jc w:val="center"/>
        <w:rPr>
          <w:rFonts w:ascii="宋体" w:hAnsi="宋体" w:cs="宋体"/>
          <w:b/>
          <w:color w:val="000000" w:themeColor="text1"/>
          <w:kern w:val="0"/>
          <w:sz w:val="32"/>
          <w:szCs w:val="32"/>
        </w:rPr>
      </w:pPr>
    </w:p>
    <w:p w14:paraId="1FEF1608">
      <w:pPr>
        <w:snapToGrid w:val="0"/>
        <w:spacing w:line="360" w:lineRule="auto"/>
        <w:ind w:right="480"/>
        <w:jc w:val="center"/>
        <w:rPr>
          <w:rFonts w:ascii="宋体" w:hAnsi="宋体" w:cs="宋体"/>
          <w:b/>
          <w:color w:val="000000" w:themeColor="text1"/>
          <w:kern w:val="0"/>
          <w:sz w:val="32"/>
          <w:szCs w:val="32"/>
        </w:rPr>
      </w:pPr>
    </w:p>
    <w:p w14:paraId="7EAEEFA1">
      <w:pPr>
        <w:pStyle w:val="690"/>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0A1F4E">
      <w:pPr>
        <w:pStyle w:val="82"/>
        <w:jc w:val="center"/>
        <w:rPr>
          <w:b/>
          <w:color w:val="000000" w:themeColor="text1"/>
          <w:sz w:val="32"/>
          <w:szCs w:val="32"/>
        </w:rPr>
      </w:pPr>
      <w:r>
        <w:rPr>
          <w:rFonts w:hint="eastAsia"/>
          <w:b/>
          <w:color w:val="000000" w:themeColor="text1"/>
          <w:sz w:val="32"/>
          <w:szCs w:val="32"/>
        </w:rPr>
        <w:t>一、开标一览表（报价表）</w:t>
      </w:r>
    </w:p>
    <w:p w14:paraId="6A43EA64">
      <w:pPr>
        <w:snapToGrid w:val="0"/>
        <w:spacing w:line="360" w:lineRule="auto"/>
        <w:rPr>
          <w:rFonts w:ascii="宋体" w:hAnsi="宋体" w:cs="宋体"/>
          <w:color w:val="000000" w:themeColor="text1"/>
          <w:kern w:val="0"/>
          <w:sz w:val="24"/>
        </w:rPr>
      </w:pPr>
      <w:r>
        <w:rPr>
          <w:rFonts w:hint="eastAsia" w:ascii="宋体" w:hAnsi="宋体" w:cs="宋体"/>
          <w:color w:val="000000" w:themeColor="text1"/>
          <w:sz w:val="24"/>
        </w:rPr>
        <w:t>（采购人）、（采购代理机构）</w:t>
      </w:r>
      <w:r>
        <w:rPr>
          <w:rFonts w:hint="eastAsia" w:ascii="宋体" w:hAnsi="宋体" w:cs="宋体"/>
          <w:color w:val="000000" w:themeColor="text1"/>
          <w:kern w:val="0"/>
          <w:sz w:val="24"/>
          <w:lang w:val="zh-CN"/>
        </w:rPr>
        <w:t>：</w:t>
      </w:r>
    </w:p>
    <w:p w14:paraId="5E50A790">
      <w:pPr>
        <w:snapToGrid w:val="0"/>
        <w:spacing w:line="360" w:lineRule="auto"/>
        <w:ind w:firstLine="482"/>
        <w:rPr>
          <w:rFonts w:ascii="宋体" w:hAnsi="宋体" w:cs="宋体"/>
          <w:color w:val="000000" w:themeColor="text1"/>
          <w:kern w:val="0"/>
          <w:sz w:val="24"/>
          <w:lang w:val="zh-CN"/>
        </w:rPr>
      </w:pPr>
      <w:r>
        <w:rPr>
          <w:rFonts w:hint="eastAsia" w:ascii="宋体" w:hAnsi="宋体" w:cs="宋体"/>
          <w:color w:val="000000" w:themeColor="text1"/>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rPr>
        <w:t>（项目名称）</w:t>
      </w:r>
      <w:r>
        <w:rPr>
          <w:rFonts w:hint="eastAsia" w:ascii="宋体" w:hAnsi="宋体" w:cs="宋体"/>
          <w:color w:val="000000" w:themeColor="text1"/>
          <w:kern w:val="0"/>
          <w:sz w:val="24"/>
          <w:lang w:val="zh-CN"/>
        </w:rPr>
        <w:t>【招标编号：</w:t>
      </w:r>
      <w:r>
        <w:rPr>
          <w:rFonts w:hint="eastAsia" w:ascii="宋体" w:hAnsi="宋体" w:cs="宋体"/>
          <w:color w:val="000000" w:themeColor="text1"/>
          <w:sz w:val="24"/>
        </w:rPr>
        <w:t>（采购编号）】的实施</w:t>
      </w:r>
      <w:r>
        <w:rPr>
          <w:rFonts w:hint="eastAsia" w:ascii="宋体" w:hAnsi="宋体" w:cs="宋体"/>
          <w:color w:val="000000" w:themeColor="text1"/>
          <w:kern w:val="0"/>
          <w:sz w:val="24"/>
          <w:lang w:val="zh-CN"/>
        </w:rPr>
        <w:t>。</w:t>
      </w:r>
    </w:p>
    <w:p w14:paraId="0D4D8C85">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2"/>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81"/>
        <w:gridCol w:w="1665"/>
        <w:gridCol w:w="1665"/>
        <w:gridCol w:w="2115"/>
        <w:gridCol w:w="1680"/>
      </w:tblGrid>
      <w:tr w14:paraId="1B33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vAlign w:val="center"/>
          </w:tcPr>
          <w:p w14:paraId="7027E84C">
            <w:pPr>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681" w:type="dxa"/>
            <w:vAlign w:val="center"/>
          </w:tcPr>
          <w:p w14:paraId="306C2CA3">
            <w:pPr>
              <w:jc w:val="center"/>
              <w:rPr>
                <w:rFonts w:ascii="宋体" w:hAnsi="宋体" w:cs="宋体"/>
                <w:b/>
                <w:color w:val="000000" w:themeColor="text1"/>
                <w:sz w:val="24"/>
              </w:rPr>
            </w:pPr>
            <w:r>
              <w:rPr>
                <w:rFonts w:hint="eastAsia" w:ascii="宋体" w:hAnsi="宋体" w:cs="宋体"/>
                <w:b/>
                <w:color w:val="000000" w:themeColor="text1"/>
                <w:sz w:val="24"/>
              </w:rPr>
              <w:t>名称</w:t>
            </w:r>
          </w:p>
        </w:tc>
        <w:tc>
          <w:tcPr>
            <w:tcW w:w="1665" w:type="dxa"/>
            <w:vAlign w:val="center"/>
          </w:tcPr>
          <w:p w14:paraId="31955640">
            <w:pPr>
              <w:jc w:val="center"/>
              <w:rPr>
                <w:rFonts w:ascii="宋体" w:hAnsi="宋体" w:cs="宋体"/>
                <w:b/>
                <w:color w:val="000000" w:themeColor="text1"/>
                <w:sz w:val="24"/>
              </w:rPr>
            </w:pPr>
            <w:r>
              <w:rPr>
                <w:rFonts w:hint="eastAsia" w:ascii="宋体" w:hAnsi="宋体" w:cs="宋体"/>
                <w:b/>
                <w:color w:val="000000" w:themeColor="text1"/>
                <w:sz w:val="24"/>
              </w:rPr>
              <w:t>服务范围</w:t>
            </w:r>
          </w:p>
        </w:tc>
        <w:tc>
          <w:tcPr>
            <w:tcW w:w="1665" w:type="dxa"/>
            <w:vAlign w:val="center"/>
          </w:tcPr>
          <w:p w14:paraId="33CCF20F">
            <w:pPr>
              <w:jc w:val="center"/>
              <w:rPr>
                <w:rFonts w:ascii="宋体" w:hAnsi="宋体" w:cs="宋体"/>
                <w:b/>
                <w:color w:val="000000" w:themeColor="text1"/>
                <w:sz w:val="24"/>
              </w:rPr>
            </w:pPr>
            <w:r>
              <w:rPr>
                <w:rFonts w:hint="eastAsia" w:ascii="宋体" w:hAnsi="宋体" w:cs="宋体"/>
                <w:b/>
                <w:color w:val="000000" w:themeColor="text1"/>
                <w:sz w:val="24"/>
              </w:rPr>
              <w:t>服务要求</w:t>
            </w:r>
          </w:p>
        </w:tc>
        <w:tc>
          <w:tcPr>
            <w:tcW w:w="2115" w:type="dxa"/>
            <w:vAlign w:val="center"/>
          </w:tcPr>
          <w:p w14:paraId="07EB2EEA">
            <w:pPr>
              <w:jc w:val="center"/>
              <w:rPr>
                <w:rFonts w:ascii="宋体" w:hAnsi="宋体" w:cs="宋体"/>
                <w:b/>
                <w:color w:val="000000" w:themeColor="text1"/>
                <w:sz w:val="24"/>
              </w:rPr>
            </w:pPr>
            <w:r>
              <w:rPr>
                <w:rFonts w:hint="eastAsia" w:ascii="宋体" w:hAnsi="宋体" w:cs="宋体"/>
                <w:b/>
                <w:color w:val="000000" w:themeColor="text1"/>
                <w:sz w:val="24"/>
              </w:rPr>
              <w:t>服务时间</w:t>
            </w:r>
          </w:p>
        </w:tc>
        <w:tc>
          <w:tcPr>
            <w:tcW w:w="1680" w:type="dxa"/>
            <w:vAlign w:val="center"/>
          </w:tcPr>
          <w:p w14:paraId="20D2D8FA">
            <w:pPr>
              <w:jc w:val="center"/>
              <w:rPr>
                <w:rFonts w:ascii="宋体" w:hAnsi="宋体" w:cs="宋体"/>
                <w:b/>
                <w:color w:val="000000" w:themeColor="text1"/>
                <w:sz w:val="24"/>
              </w:rPr>
            </w:pPr>
          </w:p>
          <w:p w14:paraId="49FAFF80">
            <w:pPr>
              <w:jc w:val="center"/>
              <w:rPr>
                <w:rFonts w:ascii="宋体" w:hAnsi="宋体" w:cs="宋体"/>
                <w:b/>
                <w:color w:val="000000" w:themeColor="text1"/>
                <w:sz w:val="24"/>
              </w:rPr>
            </w:pPr>
            <w:r>
              <w:rPr>
                <w:rFonts w:hint="eastAsia" w:ascii="宋体" w:hAnsi="宋体" w:cs="宋体"/>
                <w:b/>
                <w:color w:val="000000" w:themeColor="text1"/>
                <w:sz w:val="24"/>
              </w:rPr>
              <w:t>备注（如果有）</w:t>
            </w:r>
          </w:p>
          <w:p w14:paraId="16319AA2">
            <w:pPr>
              <w:jc w:val="center"/>
              <w:rPr>
                <w:rFonts w:ascii="宋体" w:hAnsi="宋体" w:cs="宋体"/>
                <w:b/>
                <w:color w:val="000000" w:themeColor="text1"/>
                <w:sz w:val="24"/>
              </w:rPr>
            </w:pPr>
          </w:p>
        </w:tc>
      </w:tr>
      <w:tr w14:paraId="21D9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2328D19">
            <w:pPr>
              <w:spacing w:line="360" w:lineRule="auto"/>
              <w:jc w:val="center"/>
              <w:rPr>
                <w:rFonts w:ascii="宋体" w:hAnsi="宋体" w:cs="宋体"/>
                <w:color w:val="000000" w:themeColor="text1"/>
                <w:sz w:val="24"/>
              </w:rPr>
            </w:pPr>
            <w:r>
              <w:rPr>
                <w:rFonts w:hint="eastAsia" w:ascii="宋体" w:hAnsi="宋体" w:cs="宋体"/>
                <w:color w:val="000000" w:themeColor="text1"/>
                <w:sz w:val="24"/>
              </w:rPr>
              <w:t>1</w:t>
            </w:r>
          </w:p>
        </w:tc>
        <w:tc>
          <w:tcPr>
            <w:tcW w:w="1681" w:type="dxa"/>
            <w:vAlign w:val="center"/>
          </w:tcPr>
          <w:p w14:paraId="6954D73E">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X</w:t>
            </w:r>
            <w:r>
              <w:rPr>
                <w:rFonts w:ascii="宋体" w:hAnsi="宋体" w:cs="宋体"/>
                <w:color w:val="000000" w:themeColor="text1"/>
                <w:sz w:val="24"/>
              </w:rPr>
              <w:t>X</w:t>
            </w:r>
          </w:p>
        </w:tc>
        <w:tc>
          <w:tcPr>
            <w:tcW w:w="1665" w:type="dxa"/>
            <w:vAlign w:val="center"/>
          </w:tcPr>
          <w:p w14:paraId="761A37FB">
            <w:pPr>
              <w:snapToGrid w:val="0"/>
              <w:spacing w:line="360" w:lineRule="auto"/>
              <w:jc w:val="center"/>
              <w:rPr>
                <w:rFonts w:ascii="宋体" w:hAnsi="宋体" w:cs="宋体"/>
                <w:color w:val="000000" w:themeColor="text1"/>
                <w:sz w:val="24"/>
              </w:rPr>
            </w:pPr>
          </w:p>
        </w:tc>
        <w:tc>
          <w:tcPr>
            <w:tcW w:w="1665" w:type="dxa"/>
            <w:vAlign w:val="center"/>
          </w:tcPr>
          <w:p w14:paraId="2D429B88">
            <w:pPr>
              <w:snapToGrid w:val="0"/>
              <w:spacing w:line="360" w:lineRule="auto"/>
              <w:jc w:val="center"/>
              <w:rPr>
                <w:rFonts w:ascii="宋体" w:hAnsi="宋体" w:cs="宋体"/>
                <w:color w:val="000000" w:themeColor="text1"/>
                <w:sz w:val="24"/>
              </w:rPr>
            </w:pPr>
          </w:p>
        </w:tc>
        <w:tc>
          <w:tcPr>
            <w:tcW w:w="2115" w:type="dxa"/>
            <w:vAlign w:val="center"/>
          </w:tcPr>
          <w:p w14:paraId="3EC81E58">
            <w:pPr>
              <w:snapToGrid w:val="0"/>
              <w:spacing w:line="360" w:lineRule="auto"/>
              <w:jc w:val="center"/>
              <w:rPr>
                <w:rFonts w:ascii="宋体" w:hAnsi="宋体" w:cs="宋体"/>
                <w:color w:val="000000" w:themeColor="text1"/>
                <w:sz w:val="24"/>
              </w:rPr>
            </w:pPr>
          </w:p>
        </w:tc>
        <w:tc>
          <w:tcPr>
            <w:tcW w:w="1680" w:type="dxa"/>
            <w:vAlign w:val="center"/>
          </w:tcPr>
          <w:p w14:paraId="6560F130">
            <w:pPr>
              <w:spacing w:line="360" w:lineRule="auto"/>
              <w:jc w:val="center"/>
              <w:rPr>
                <w:rFonts w:ascii="宋体" w:hAnsi="宋体" w:cs="宋体"/>
                <w:color w:val="000000" w:themeColor="text1"/>
                <w:sz w:val="24"/>
              </w:rPr>
            </w:pPr>
          </w:p>
        </w:tc>
      </w:tr>
      <w:tr w14:paraId="63BF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AEF6E43">
            <w:pPr>
              <w:spacing w:line="360" w:lineRule="auto"/>
              <w:jc w:val="center"/>
              <w:rPr>
                <w:rFonts w:ascii="宋体" w:hAnsi="宋体" w:cs="宋体"/>
                <w:color w:val="000000" w:themeColor="text1"/>
                <w:sz w:val="24"/>
              </w:rPr>
            </w:pPr>
            <w:r>
              <w:rPr>
                <w:rFonts w:hint="eastAsia" w:ascii="宋体" w:hAnsi="宋体" w:cs="宋体"/>
                <w:color w:val="000000" w:themeColor="text1"/>
                <w:sz w:val="24"/>
              </w:rPr>
              <w:t>2</w:t>
            </w:r>
          </w:p>
        </w:tc>
        <w:tc>
          <w:tcPr>
            <w:tcW w:w="1681" w:type="dxa"/>
            <w:vAlign w:val="center"/>
          </w:tcPr>
          <w:p w14:paraId="1321B050">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X</w:t>
            </w:r>
            <w:r>
              <w:rPr>
                <w:rFonts w:ascii="宋体" w:hAnsi="宋体" w:cs="宋体"/>
                <w:color w:val="000000" w:themeColor="text1"/>
                <w:sz w:val="24"/>
              </w:rPr>
              <w:t>X</w:t>
            </w:r>
          </w:p>
        </w:tc>
        <w:tc>
          <w:tcPr>
            <w:tcW w:w="1665" w:type="dxa"/>
            <w:vAlign w:val="center"/>
          </w:tcPr>
          <w:p w14:paraId="0ABD1A48">
            <w:pPr>
              <w:snapToGrid w:val="0"/>
              <w:spacing w:line="360" w:lineRule="auto"/>
              <w:jc w:val="center"/>
              <w:rPr>
                <w:rFonts w:ascii="宋体" w:hAnsi="宋体" w:cs="宋体"/>
                <w:color w:val="000000" w:themeColor="text1"/>
                <w:sz w:val="24"/>
              </w:rPr>
            </w:pPr>
          </w:p>
        </w:tc>
        <w:tc>
          <w:tcPr>
            <w:tcW w:w="1665" w:type="dxa"/>
            <w:vAlign w:val="center"/>
          </w:tcPr>
          <w:p w14:paraId="03CE8F00">
            <w:pPr>
              <w:snapToGrid w:val="0"/>
              <w:spacing w:line="360" w:lineRule="auto"/>
              <w:jc w:val="center"/>
              <w:rPr>
                <w:rFonts w:ascii="宋体" w:hAnsi="宋体" w:cs="宋体"/>
                <w:color w:val="000000" w:themeColor="text1"/>
                <w:sz w:val="24"/>
              </w:rPr>
            </w:pPr>
          </w:p>
        </w:tc>
        <w:tc>
          <w:tcPr>
            <w:tcW w:w="2115" w:type="dxa"/>
            <w:vAlign w:val="center"/>
          </w:tcPr>
          <w:p w14:paraId="71483BE9">
            <w:pPr>
              <w:snapToGrid w:val="0"/>
              <w:spacing w:line="360" w:lineRule="auto"/>
              <w:jc w:val="center"/>
              <w:rPr>
                <w:rFonts w:ascii="宋体" w:hAnsi="宋体" w:cs="宋体"/>
                <w:color w:val="000000" w:themeColor="text1"/>
                <w:sz w:val="24"/>
              </w:rPr>
            </w:pPr>
          </w:p>
        </w:tc>
        <w:tc>
          <w:tcPr>
            <w:tcW w:w="1680" w:type="dxa"/>
            <w:vAlign w:val="center"/>
          </w:tcPr>
          <w:p w14:paraId="18BB4461">
            <w:pPr>
              <w:spacing w:line="360" w:lineRule="auto"/>
              <w:jc w:val="center"/>
              <w:rPr>
                <w:rFonts w:ascii="宋体" w:hAnsi="宋体" w:cs="宋体"/>
                <w:color w:val="000000" w:themeColor="text1"/>
                <w:sz w:val="24"/>
              </w:rPr>
            </w:pPr>
          </w:p>
        </w:tc>
      </w:tr>
      <w:tr w14:paraId="4B8A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A736D3B">
            <w:pPr>
              <w:spacing w:line="360" w:lineRule="auto"/>
              <w:jc w:val="center"/>
              <w:rPr>
                <w:rFonts w:ascii="宋体" w:hAnsi="宋体" w:cs="宋体"/>
                <w:color w:val="000000" w:themeColor="text1"/>
                <w:sz w:val="24"/>
              </w:rPr>
            </w:pPr>
            <w:r>
              <w:rPr>
                <w:rFonts w:hint="eastAsia" w:ascii="宋体" w:hAnsi="宋体" w:cs="宋体"/>
                <w:color w:val="000000" w:themeColor="text1"/>
                <w:sz w:val="24"/>
              </w:rPr>
              <w:t>…</w:t>
            </w:r>
          </w:p>
        </w:tc>
        <w:tc>
          <w:tcPr>
            <w:tcW w:w="1681" w:type="dxa"/>
            <w:vAlign w:val="center"/>
          </w:tcPr>
          <w:p w14:paraId="169D719A">
            <w:pPr>
              <w:snapToGrid w:val="0"/>
              <w:spacing w:line="360" w:lineRule="auto"/>
              <w:jc w:val="center"/>
              <w:rPr>
                <w:rFonts w:ascii="宋体" w:hAnsi="宋体" w:cs="宋体"/>
                <w:color w:val="000000" w:themeColor="text1"/>
                <w:sz w:val="24"/>
              </w:rPr>
            </w:pPr>
          </w:p>
        </w:tc>
        <w:tc>
          <w:tcPr>
            <w:tcW w:w="1665" w:type="dxa"/>
            <w:vAlign w:val="center"/>
          </w:tcPr>
          <w:p w14:paraId="08C44229">
            <w:pPr>
              <w:snapToGrid w:val="0"/>
              <w:spacing w:line="360" w:lineRule="auto"/>
              <w:jc w:val="center"/>
              <w:rPr>
                <w:rFonts w:ascii="宋体" w:hAnsi="宋体" w:cs="宋体"/>
                <w:color w:val="000000" w:themeColor="text1"/>
                <w:sz w:val="24"/>
              </w:rPr>
            </w:pPr>
          </w:p>
        </w:tc>
        <w:tc>
          <w:tcPr>
            <w:tcW w:w="1665" w:type="dxa"/>
            <w:vAlign w:val="center"/>
          </w:tcPr>
          <w:p w14:paraId="67656BB2">
            <w:pPr>
              <w:snapToGrid w:val="0"/>
              <w:spacing w:line="360" w:lineRule="auto"/>
              <w:jc w:val="center"/>
              <w:rPr>
                <w:rFonts w:ascii="宋体" w:hAnsi="宋体" w:cs="宋体"/>
                <w:color w:val="000000" w:themeColor="text1"/>
                <w:sz w:val="24"/>
              </w:rPr>
            </w:pPr>
          </w:p>
        </w:tc>
        <w:tc>
          <w:tcPr>
            <w:tcW w:w="2115" w:type="dxa"/>
            <w:vAlign w:val="center"/>
          </w:tcPr>
          <w:p w14:paraId="5BFAF4C2">
            <w:pPr>
              <w:snapToGrid w:val="0"/>
              <w:spacing w:line="360" w:lineRule="auto"/>
              <w:jc w:val="center"/>
              <w:rPr>
                <w:rFonts w:ascii="宋体" w:hAnsi="宋体" w:cs="宋体"/>
                <w:color w:val="000000" w:themeColor="text1"/>
                <w:sz w:val="24"/>
              </w:rPr>
            </w:pPr>
          </w:p>
        </w:tc>
        <w:tc>
          <w:tcPr>
            <w:tcW w:w="1680" w:type="dxa"/>
            <w:vAlign w:val="center"/>
          </w:tcPr>
          <w:p w14:paraId="1CF275D6">
            <w:pPr>
              <w:spacing w:line="360" w:lineRule="auto"/>
              <w:jc w:val="center"/>
              <w:rPr>
                <w:rFonts w:ascii="宋体" w:hAnsi="宋体" w:cs="宋体"/>
                <w:color w:val="000000" w:themeColor="text1"/>
                <w:sz w:val="24"/>
              </w:rPr>
            </w:pPr>
          </w:p>
        </w:tc>
      </w:tr>
      <w:tr w14:paraId="4FB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28" w:type="dxa"/>
            <w:gridSpan w:val="4"/>
            <w:vAlign w:val="center"/>
          </w:tcPr>
          <w:p w14:paraId="5C4A00A4">
            <w:pPr>
              <w:spacing w:line="360" w:lineRule="auto"/>
              <w:jc w:val="center"/>
              <w:rPr>
                <w:rFonts w:ascii="宋体" w:hAnsi="宋体" w:cs="宋体"/>
                <w:b/>
                <w:color w:val="000000" w:themeColor="text1"/>
                <w:sz w:val="24"/>
              </w:rPr>
            </w:pPr>
            <w:r>
              <w:rPr>
                <w:rFonts w:hint="eastAsia" w:ascii="宋体" w:hAnsi="宋体" w:cs="宋体"/>
                <w:b/>
                <w:color w:val="000000" w:themeColor="text1"/>
                <w:sz w:val="24"/>
              </w:rPr>
              <w:t>投标报价（小写）</w:t>
            </w:r>
          </w:p>
        </w:tc>
        <w:tc>
          <w:tcPr>
            <w:tcW w:w="3795" w:type="dxa"/>
            <w:gridSpan w:val="2"/>
          </w:tcPr>
          <w:p w14:paraId="3E70165D">
            <w:pPr>
              <w:spacing w:line="360" w:lineRule="auto"/>
              <w:jc w:val="center"/>
              <w:rPr>
                <w:rFonts w:ascii="宋体" w:hAnsi="宋体" w:cs="宋体"/>
                <w:color w:val="000000" w:themeColor="text1"/>
                <w:sz w:val="24"/>
              </w:rPr>
            </w:pPr>
          </w:p>
        </w:tc>
      </w:tr>
      <w:tr w14:paraId="6F10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828" w:type="dxa"/>
            <w:gridSpan w:val="4"/>
            <w:vAlign w:val="center"/>
          </w:tcPr>
          <w:p w14:paraId="20B8D529">
            <w:pPr>
              <w:spacing w:line="360" w:lineRule="auto"/>
              <w:jc w:val="center"/>
              <w:rPr>
                <w:rFonts w:ascii="宋体" w:hAnsi="宋体" w:cs="宋体"/>
                <w:b/>
                <w:color w:val="000000" w:themeColor="text1"/>
                <w:sz w:val="24"/>
              </w:rPr>
            </w:pPr>
            <w:r>
              <w:rPr>
                <w:rFonts w:hint="eastAsia" w:ascii="宋体" w:hAnsi="宋体" w:cs="宋体"/>
                <w:b/>
                <w:color w:val="000000" w:themeColor="text1"/>
                <w:sz w:val="24"/>
              </w:rPr>
              <w:t>投标报价（大写）</w:t>
            </w:r>
          </w:p>
        </w:tc>
        <w:tc>
          <w:tcPr>
            <w:tcW w:w="3795" w:type="dxa"/>
            <w:gridSpan w:val="2"/>
          </w:tcPr>
          <w:p w14:paraId="4EAEA7EF">
            <w:pPr>
              <w:spacing w:line="360" w:lineRule="auto"/>
              <w:jc w:val="center"/>
              <w:rPr>
                <w:rFonts w:ascii="宋体" w:hAnsi="宋体" w:cs="宋体"/>
                <w:color w:val="000000" w:themeColor="text1"/>
                <w:sz w:val="24"/>
              </w:rPr>
            </w:pPr>
          </w:p>
        </w:tc>
      </w:tr>
    </w:tbl>
    <w:p w14:paraId="28481356">
      <w:pPr>
        <w:snapToGrid w:val="0"/>
        <w:spacing w:line="360" w:lineRule="auto"/>
        <w:ind w:left="480"/>
        <w:rPr>
          <w:rFonts w:ascii="宋体" w:hAnsi="宋体" w:cs="宋体"/>
          <w:b/>
          <w:color w:val="000000" w:themeColor="text1"/>
          <w:kern w:val="0"/>
          <w:sz w:val="24"/>
          <w:lang w:val="zh-CN"/>
        </w:rPr>
      </w:pPr>
      <w:r>
        <w:rPr>
          <w:rFonts w:hint="eastAsia" w:ascii="宋体" w:hAnsi="宋体" w:cs="宋体"/>
          <w:b/>
          <w:color w:val="000000" w:themeColor="text1"/>
          <w:kern w:val="0"/>
          <w:sz w:val="24"/>
          <w:lang w:val="zh-CN"/>
        </w:rPr>
        <w:t>注：</w:t>
      </w:r>
    </w:p>
    <w:p w14:paraId="7BFCF13F">
      <w:pPr>
        <w:spacing w:line="360" w:lineRule="auto"/>
        <w:ind w:left="-2" w:leftChars="-1"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1、投标人需按本表格式填写</w:t>
      </w:r>
      <w:r>
        <w:rPr>
          <w:rFonts w:hint="eastAsia" w:ascii="宋体" w:hAnsi="宋体" w:cs="宋体"/>
          <w:b/>
          <w:color w:val="000000" w:themeColor="text1"/>
          <w:kern w:val="0"/>
          <w:sz w:val="24"/>
          <w:lang w:val="zh-CN"/>
        </w:rPr>
        <w:t>，</w:t>
      </w:r>
      <w:r>
        <w:rPr>
          <w:rFonts w:hint="eastAsia" w:ascii="宋体" w:hAnsi="宋体" w:cs="宋体"/>
          <w:b/>
          <w:color w:val="000000" w:themeColor="text1"/>
          <w:kern w:val="0"/>
          <w:sz w:val="24"/>
        </w:rPr>
        <w:t>否则视为</w:t>
      </w:r>
      <w:r>
        <w:rPr>
          <w:rFonts w:hint="eastAsia" w:ascii="宋体" w:hAnsi="宋体" w:cs="宋体"/>
          <w:b/>
          <w:color w:val="000000" w:themeColor="text1"/>
          <w:sz w:val="24"/>
        </w:rPr>
        <w:t>投标文件含有采购人不能接受的附加条件，投标无效</w:t>
      </w:r>
      <w:r>
        <w:rPr>
          <w:rFonts w:hint="eastAsia" w:ascii="宋体" w:hAnsi="宋体" w:cs="宋体"/>
          <w:b/>
          <w:color w:val="000000" w:themeColor="text1"/>
          <w:kern w:val="0"/>
          <w:sz w:val="24"/>
          <w:lang w:val="zh-CN"/>
        </w:rPr>
        <w:t>；</w:t>
      </w:r>
      <w:r>
        <w:rPr>
          <w:rFonts w:hint="eastAsia" w:ascii="宋体" w:hAnsi="宋体" w:cs="宋体"/>
          <w:color w:val="000000" w:themeColor="text1"/>
          <w:kern w:val="0"/>
          <w:sz w:val="24"/>
          <w:lang w:val="zh-CN"/>
        </w:rPr>
        <w:t>。</w:t>
      </w:r>
    </w:p>
    <w:p w14:paraId="72636DB0">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lang w:val="zh-CN"/>
        </w:rPr>
        <w:t>2、有关本项目实施所涉及的一切费用均计入报价。</w:t>
      </w:r>
      <w:r>
        <w:rPr>
          <w:rFonts w:hint="eastAsia" w:ascii="宋体" w:hAnsi="宋体" w:cs="宋体"/>
          <w:b/>
          <w:color w:val="000000" w:themeColor="text1"/>
          <w:kern w:val="0"/>
          <w:sz w:val="24"/>
          <w:lang w:val="zh-CN"/>
        </w:rPr>
        <w:t>采购人将以合同形式有偿取得货物或服务，不接受投标人给予的赠品、回扣或者与采购无关的其他商品、服务</w:t>
      </w:r>
      <w:r>
        <w:rPr>
          <w:rFonts w:hint="eastAsia" w:ascii="宋体" w:hAnsi="宋体" w:cs="宋体"/>
          <w:color w:val="000000" w:themeColor="text1"/>
          <w:kern w:val="0"/>
          <w:sz w:val="24"/>
          <w:lang w:val="zh-CN"/>
        </w:rPr>
        <w:t>，</w:t>
      </w:r>
      <w:r>
        <w:rPr>
          <w:rFonts w:hint="eastAsia" w:ascii="宋体" w:hAnsi="宋体" w:cs="宋体"/>
          <w:b/>
          <w:color w:val="000000" w:themeColor="text1"/>
          <w:kern w:val="0"/>
          <w:sz w:val="24"/>
          <w:lang w:val="zh-CN"/>
        </w:rPr>
        <w:t>不得出现“0元”“免费赠送”等形式的无偿报价，</w:t>
      </w:r>
      <w:r>
        <w:rPr>
          <w:rFonts w:hint="eastAsia" w:ascii="宋体" w:hAnsi="宋体" w:cs="宋体"/>
          <w:b/>
          <w:color w:val="000000" w:themeColor="text1"/>
          <w:kern w:val="0"/>
          <w:sz w:val="24"/>
        </w:rPr>
        <w:t>否则视为</w:t>
      </w:r>
      <w:r>
        <w:rPr>
          <w:rFonts w:hint="eastAsia" w:ascii="宋体" w:hAnsi="宋体" w:cs="宋体"/>
          <w:b/>
          <w:color w:val="000000" w:themeColor="text1"/>
          <w:sz w:val="24"/>
        </w:rPr>
        <w:t>投标文件含有采购人不能接受的附加条件，投标无效</w:t>
      </w:r>
      <w:r>
        <w:rPr>
          <w:rFonts w:hint="eastAsia" w:ascii="宋体" w:hAnsi="宋体" w:cs="宋体"/>
          <w:b/>
          <w:color w:val="000000" w:themeColor="text1"/>
          <w:kern w:val="0"/>
          <w:sz w:val="24"/>
          <w:lang w:val="zh-CN"/>
        </w:rPr>
        <w:t>；采购内容未包含在《开标一览表（报价表）》名称栏中，投标人不能作出合理解释的，</w:t>
      </w:r>
      <w:r>
        <w:rPr>
          <w:rFonts w:hint="eastAsia" w:ascii="宋体" w:hAnsi="宋体" w:cs="宋体"/>
          <w:b/>
          <w:color w:val="000000" w:themeColor="text1"/>
          <w:kern w:val="0"/>
          <w:sz w:val="24"/>
        </w:rPr>
        <w:t>视为</w:t>
      </w:r>
      <w:r>
        <w:rPr>
          <w:rFonts w:hint="eastAsia" w:ascii="宋体" w:hAnsi="宋体" w:cs="宋体"/>
          <w:b/>
          <w:color w:val="000000" w:themeColor="text1"/>
          <w:sz w:val="24"/>
        </w:rPr>
        <w:t>投标文件含有采购人不能接受的附加条件的，投标无效。</w:t>
      </w:r>
    </w:p>
    <w:p w14:paraId="4CC52D0D">
      <w:pPr>
        <w:snapToGrid w:val="0"/>
        <w:spacing w:line="360" w:lineRule="auto"/>
        <w:ind w:firstLine="480" w:firstLineChars="200"/>
        <w:jc w:val="lef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3、特别提示：采购代理机构将对项目名称和项目编号，中标供应商名称、地址和中标金额，主要中标标的名称、服务范围、服务要求、服务时间、服务标准等予以公示。</w:t>
      </w:r>
    </w:p>
    <w:p w14:paraId="46AB55BA">
      <w:pPr>
        <w:snapToGrid w:val="0"/>
        <w:spacing w:line="360" w:lineRule="auto"/>
        <w:ind w:firstLine="480" w:firstLineChars="200"/>
        <w:jc w:val="left"/>
        <w:rPr>
          <w:rFonts w:ascii="宋体" w:hAnsi="宋体" w:cs="宋体"/>
          <w:color w:val="000000" w:themeColor="text1"/>
          <w:kern w:val="0"/>
          <w:sz w:val="24"/>
          <w:lang w:val="zh-CN"/>
        </w:rPr>
      </w:pPr>
      <w:r>
        <w:rPr>
          <w:rFonts w:ascii="宋体" w:hAnsi="宋体" w:cs="宋体"/>
          <w:color w:val="000000" w:themeColor="text1"/>
          <w:kern w:val="0"/>
          <w:sz w:val="24"/>
          <w:szCs w:val="22"/>
          <w:lang w:val="zh-CN"/>
        </w:rPr>
        <w:t>4</w:t>
      </w:r>
      <w:r>
        <w:rPr>
          <w:rFonts w:hint="eastAsia" w:ascii="宋体" w:hAnsi="宋体" w:cs="宋体"/>
          <w:color w:val="000000" w:themeColor="text1"/>
          <w:kern w:val="0"/>
          <w:sz w:val="24"/>
          <w:szCs w:val="22"/>
          <w:lang w:val="zh-CN"/>
        </w:rPr>
        <w:t>、</w:t>
      </w:r>
      <w:r>
        <w:rPr>
          <w:rFonts w:hint="eastAsia" w:ascii="宋体" w:hAnsi="宋体" w:cs="宋体"/>
          <w:color w:val="000000" w:themeColor="text1"/>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8FAFD41">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投标人名称（公章）：</w:t>
      </w:r>
    </w:p>
    <w:p w14:paraId="34CABE4F">
      <w:pPr>
        <w:spacing w:line="360" w:lineRule="auto"/>
        <w:ind w:firstLine="3600" w:firstLineChars="1500"/>
        <w:rPr>
          <w:rFonts w:ascii="宋体" w:hAnsi="宋体" w:cs="宋体"/>
          <w:color w:val="000000" w:themeColor="text1"/>
          <w:sz w:val="24"/>
        </w:rPr>
      </w:pPr>
      <w:r>
        <w:rPr>
          <w:rFonts w:hint="eastAsia" w:ascii="宋体" w:hAnsi="宋体" w:cs="宋体"/>
          <w:color w:val="000000" w:themeColor="text1"/>
          <w:sz w:val="24"/>
        </w:rPr>
        <w:t xml:space="preserve">法定代表人（负责人）或委托代理人(签名)：                          </w:t>
      </w:r>
    </w:p>
    <w:p w14:paraId="72D66E76">
      <w:pPr>
        <w:spacing w:line="360" w:lineRule="auto"/>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4006FC3B">
      <w:pPr>
        <w:pStyle w:val="82"/>
        <w:jc w:val="center"/>
        <w:rPr>
          <w:b/>
          <w:color w:val="000000" w:themeColor="text1"/>
          <w:kern w:val="2"/>
          <w:sz w:val="32"/>
          <w:szCs w:val="32"/>
        </w:rPr>
      </w:pPr>
    </w:p>
    <w:p w14:paraId="23D47F23">
      <w:pPr>
        <w:pStyle w:val="82"/>
        <w:jc w:val="center"/>
        <w:rPr>
          <w:b/>
          <w:sz w:val="32"/>
          <w:szCs w:val="32"/>
        </w:rPr>
      </w:pPr>
      <w:r>
        <w:rPr>
          <w:rFonts w:hint="eastAsia"/>
          <w:b/>
          <w:kern w:val="2"/>
          <w:sz w:val="32"/>
          <w:szCs w:val="32"/>
        </w:rPr>
        <w:t>二、</w:t>
      </w:r>
      <w:r>
        <w:rPr>
          <w:rFonts w:hint="eastAsia"/>
          <w:b/>
          <w:sz w:val="32"/>
          <w:szCs w:val="32"/>
        </w:rPr>
        <w:t>中小企业声明函（如果有）</w:t>
      </w:r>
    </w:p>
    <w:p w14:paraId="0D54CDDA">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070043E8">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1A7189CE">
      <w:pPr>
        <w:spacing w:line="360" w:lineRule="auto"/>
        <w:ind w:right="420" w:firstLine="3614" w:firstLineChars="1000"/>
        <w:rPr>
          <w:rFonts w:ascii="宋体" w:hAnsi="宋体" w:cs="宋体"/>
          <w:b/>
          <w:color w:val="000000" w:themeColor="text1"/>
          <w:kern w:val="0"/>
          <w:sz w:val="36"/>
          <w:szCs w:val="36"/>
        </w:rPr>
      </w:pPr>
    </w:p>
    <w:p w14:paraId="7B40E7E8">
      <w:pPr>
        <w:spacing w:line="360" w:lineRule="auto"/>
        <w:ind w:right="420" w:firstLine="3614" w:firstLineChars="1000"/>
        <w:rPr>
          <w:rFonts w:ascii="宋体" w:hAnsi="宋体" w:cs="宋体"/>
          <w:b/>
          <w:color w:val="000000" w:themeColor="text1"/>
          <w:kern w:val="0"/>
          <w:sz w:val="36"/>
          <w:szCs w:val="36"/>
        </w:rPr>
      </w:pPr>
    </w:p>
    <w:p w14:paraId="6BF779B7">
      <w:pPr>
        <w:spacing w:line="360" w:lineRule="auto"/>
        <w:ind w:right="420" w:firstLine="3614" w:firstLineChars="1000"/>
        <w:rPr>
          <w:rFonts w:ascii="宋体" w:hAnsi="宋体" w:cs="宋体"/>
          <w:b/>
          <w:color w:val="000000" w:themeColor="text1"/>
          <w:kern w:val="0"/>
          <w:sz w:val="36"/>
          <w:szCs w:val="36"/>
        </w:rPr>
      </w:pPr>
    </w:p>
    <w:p w14:paraId="3161C7E8">
      <w:pPr>
        <w:spacing w:line="360" w:lineRule="auto"/>
        <w:ind w:right="420" w:firstLine="3614" w:firstLineChars="1000"/>
        <w:rPr>
          <w:rFonts w:ascii="宋体" w:hAnsi="宋体" w:cs="宋体"/>
          <w:b/>
          <w:color w:val="000000" w:themeColor="text1"/>
          <w:kern w:val="0"/>
          <w:sz w:val="36"/>
          <w:szCs w:val="36"/>
        </w:rPr>
      </w:pPr>
    </w:p>
    <w:p w14:paraId="3074F38C">
      <w:pPr>
        <w:spacing w:line="360" w:lineRule="auto"/>
        <w:ind w:right="420" w:firstLine="3614" w:firstLineChars="1000"/>
        <w:rPr>
          <w:rFonts w:ascii="宋体" w:hAnsi="宋体" w:cs="宋体"/>
          <w:b/>
          <w:color w:val="000000" w:themeColor="text1"/>
          <w:kern w:val="0"/>
          <w:sz w:val="36"/>
          <w:szCs w:val="36"/>
        </w:rPr>
      </w:pPr>
    </w:p>
    <w:p w14:paraId="583C9C52">
      <w:pPr>
        <w:spacing w:line="360" w:lineRule="auto"/>
        <w:ind w:right="420" w:firstLine="3614" w:firstLineChars="1000"/>
        <w:rPr>
          <w:rFonts w:ascii="宋体" w:hAnsi="宋体" w:cs="宋体"/>
          <w:b/>
          <w:color w:val="000000" w:themeColor="text1"/>
          <w:kern w:val="0"/>
          <w:sz w:val="36"/>
          <w:szCs w:val="36"/>
        </w:rPr>
      </w:pPr>
    </w:p>
    <w:p w14:paraId="74CA0E5A">
      <w:pPr>
        <w:spacing w:line="360" w:lineRule="auto"/>
        <w:ind w:right="420" w:firstLine="3614" w:firstLineChars="1000"/>
        <w:rPr>
          <w:rFonts w:ascii="宋体" w:hAnsi="宋体" w:cs="宋体"/>
          <w:b/>
          <w:color w:val="000000" w:themeColor="text1"/>
          <w:kern w:val="0"/>
          <w:sz w:val="36"/>
          <w:szCs w:val="36"/>
        </w:rPr>
      </w:pPr>
    </w:p>
    <w:p w14:paraId="55CF57FD">
      <w:pPr>
        <w:spacing w:line="360" w:lineRule="auto"/>
        <w:ind w:right="420" w:firstLine="3614" w:firstLineChars="1000"/>
        <w:rPr>
          <w:rFonts w:ascii="宋体" w:hAnsi="宋体" w:cs="宋体"/>
          <w:b/>
          <w:color w:val="000000" w:themeColor="text1"/>
          <w:kern w:val="0"/>
          <w:sz w:val="36"/>
          <w:szCs w:val="36"/>
        </w:rPr>
      </w:pPr>
    </w:p>
    <w:p w14:paraId="3E2305E7">
      <w:pPr>
        <w:spacing w:line="360" w:lineRule="auto"/>
        <w:ind w:right="420" w:firstLine="3614" w:firstLineChars="1000"/>
        <w:rPr>
          <w:rFonts w:ascii="宋体" w:hAnsi="宋体" w:cs="宋体"/>
          <w:b/>
          <w:color w:val="000000" w:themeColor="text1"/>
          <w:kern w:val="0"/>
          <w:sz w:val="36"/>
          <w:szCs w:val="36"/>
        </w:rPr>
      </w:pPr>
    </w:p>
    <w:p w14:paraId="3D175BDF">
      <w:pPr>
        <w:spacing w:line="360" w:lineRule="auto"/>
        <w:ind w:right="420" w:firstLine="3614" w:firstLineChars="1000"/>
        <w:rPr>
          <w:rFonts w:ascii="宋体" w:hAnsi="宋体" w:cs="宋体"/>
          <w:b/>
          <w:color w:val="000000" w:themeColor="text1"/>
          <w:kern w:val="0"/>
          <w:sz w:val="36"/>
          <w:szCs w:val="36"/>
        </w:rPr>
      </w:pPr>
    </w:p>
    <w:p w14:paraId="329AB9D2">
      <w:pPr>
        <w:spacing w:line="360" w:lineRule="auto"/>
        <w:ind w:right="420" w:firstLine="3614" w:firstLineChars="1000"/>
        <w:rPr>
          <w:rFonts w:ascii="宋体" w:hAnsi="宋体" w:cs="宋体"/>
          <w:b/>
          <w:color w:val="000000" w:themeColor="text1"/>
          <w:kern w:val="0"/>
          <w:sz w:val="36"/>
          <w:szCs w:val="36"/>
        </w:rPr>
      </w:pPr>
    </w:p>
    <w:p w14:paraId="2CD590F0">
      <w:pPr>
        <w:spacing w:line="360" w:lineRule="auto"/>
        <w:ind w:right="420" w:firstLine="3614" w:firstLineChars="1000"/>
        <w:rPr>
          <w:rFonts w:ascii="宋体" w:hAnsi="宋体" w:cs="宋体"/>
          <w:b/>
          <w:color w:val="000000" w:themeColor="text1"/>
          <w:kern w:val="0"/>
          <w:sz w:val="36"/>
          <w:szCs w:val="36"/>
        </w:rPr>
      </w:pPr>
    </w:p>
    <w:p w14:paraId="5B6D2CE9">
      <w:pPr>
        <w:spacing w:line="360" w:lineRule="auto"/>
        <w:ind w:right="420" w:firstLine="3614" w:firstLineChars="1000"/>
        <w:rPr>
          <w:rFonts w:ascii="宋体" w:hAnsi="宋体" w:cs="宋体"/>
          <w:b/>
          <w:color w:val="000000" w:themeColor="text1"/>
          <w:kern w:val="0"/>
          <w:sz w:val="36"/>
          <w:szCs w:val="36"/>
        </w:rPr>
      </w:pPr>
    </w:p>
    <w:p w14:paraId="071DABEB">
      <w:pPr>
        <w:spacing w:line="360" w:lineRule="auto"/>
        <w:ind w:right="420" w:firstLine="3614" w:firstLineChars="1000"/>
        <w:rPr>
          <w:rFonts w:ascii="宋体" w:hAnsi="宋体" w:cs="宋体"/>
          <w:b/>
          <w:color w:val="000000" w:themeColor="text1"/>
          <w:kern w:val="0"/>
          <w:sz w:val="36"/>
          <w:szCs w:val="36"/>
        </w:rPr>
      </w:pPr>
    </w:p>
    <w:p w14:paraId="0F313990">
      <w:pPr>
        <w:spacing w:line="360" w:lineRule="auto"/>
        <w:ind w:right="420" w:firstLine="3614" w:firstLineChars="1000"/>
        <w:rPr>
          <w:rFonts w:ascii="宋体" w:hAnsi="宋体" w:cs="宋体"/>
          <w:b/>
          <w:color w:val="000000" w:themeColor="text1"/>
          <w:kern w:val="0"/>
          <w:sz w:val="36"/>
          <w:szCs w:val="36"/>
        </w:rPr>
      </w:pPr>
    </w:p>
    <w:p w14:paraId="3DB9508C">
      <w:pPr>
        <w:spacing w:line="360" w:lineRule="auto"/>
        <w:ind w:right="420" w:firstLine="3614" w:firstLineChars="1000"/>
        <w:rPr>
          <w:rFonts w:ascii="宋体" w:hAnsi="宋体" w:cs="宋体"/>
          <w:b/>
          <w:color w:val="000000" w:themeColor="text1"/>
          <w:kern w:val="0"/>
          <w:sz w:val="36"/>
          <w:szCs w:val="36"/>
        </w:rPr>
      </w:pPr>
    </w:p>
    <w:p w14:paraId="729173D7">
      <w:pPr>
        <w:pStyle w:val="82"/>
        <w:rPr>
          <w:color w:val="000000" w:themeColor="text1"/>
        </w:rPr>
      </w:pPr>
    </w:p>
    <w:p w14:paraId="2485FC59">
      <w:pPr>
        <w:pStyle w:val="82"/>
        <w:jc w:val="center"/>
        <w:rPr>
          <w:b/>
          <w:color w:val="000000" w:themeColor="text1"/>
          <w:sz w:val="36"/>
          <w:szCs w:val="36"/>
        </w:rPr>
      </w:pPr>
      <w:r>
        <w:rPr>
          <w:rFonts w:hint="eastAsia"/>
          <w:b/>
          <w:color w:val="000000" w:themeColor="text1"/>
          <w:sz w:val="36"/>
          <w:szCs w:val="36"/>
        </w:rPr>
        <w:t>附件</w:t>
      </w:r>
    </w:p>
    <w:p w14:paraId="217954BD">
      <w:pPr>
        <w:pStyle w:val="82"/>
        <w:rPr>
          <w:color w:val="000000" w:themeColor="text1"/>
        </w:rPr>
      </w:pPr>
    </w:p>
    <w:p w14:paraId="4009670C">
      <w:pPr>
        <w:spacing w:line="360" w:lineRule="auto"/>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附件1：</w:t>
      </w:r>
    </w:p>
    <w:p w14:paraId="54D52A5E">
      <w:pPr>
        <w:spacing w:line="360" w:lineRule="auto"/>
        <w:jc w:val="center"/>
        <w:rPr>
          <w:rFonts w:ascii="宋体" w:hAnsi="宋体" w:cs="宋体"/>
          <w:b/>
          <w:color w:val="000000" w:themeColor="text1"/>
          <w:spacing w:val="6"/>
          <w:sz w:val="32"/>
          <w:szCs w:val="32"/>
        </w:rPr>
      </w:pPr>
      <w:bookmarkStart w:id="504" w:name="OLE_LINK14"/>
      <w:bookmarkStart w:id="505" w:name="OLE_LINK13"/>
      <w:r>
        <w:rPr>
          <w:rFonts w:hint="eastAsia" w:ascii="宋体" w:hAnsi="宋体" w:cs="宋体"/>
          <w:b/>
          <w:color w:val="000000" w:themeColor="text1"/>
          <w:spacing w:val="6"/>
          <w:sz w:val="32"/>
          <w:szCs w:val="32"/>
        </w:rPr>
        <w:t>残疾人福利性单位声明函</w:t>
      </w:r>
    </w:p>
    <w:bookmarkEnd w:id="504"/>
    <w:bookmarkEnd w:id="505"/>
    <w:p w14:paraId="5AE12747">
      <w:pPr>
        <w:spacing w:line="360" w:lineRule="auto"/>
        <w:rPr>
          <w:rFonts w:ascii="宋体" w:hAnsi="宋体" w:cs="宋体"/>
          <w:b/>
          <w:color w:val="000000" w:themeColor="text1"/>
          <w:spacing w:val="6"/>
          <w:sz w:val="30"/>
          <w:szCs w:val="30"/>
        </w:rPr>
      </w:pPr>
    </w:p>
    <w:p w14:paraId="1CB10913">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u w:val="single"/>
        </w:rPr>
        <w:t>(采购人)</w:t>
      </w:r>
      <w:r>
        <w:rPr>
          <w:rFonts w:hint="eastAsia" w:ascii="宋体" w:hAnsi="宋体" w:cs="宋体"/>
          <w:color w:val="000000" w:themeColor="text1"/>
          <w:sz w:val="24"/>
        </w:rPr>
        <w:t>_单位的_</w:t>
      </w:r>
      <w:r>
        <w:rPr>
          <w:rFonts w:hint="eastAsia" w:ascii="宋体" w:hAnsi="宋体" w:cs="宋体"/>
          <w:color w:val="000000" w:themeColor="text1"/>
          <w:sz w:val="24"/>
          <w:u w:val="single"/>
        </w:rPr>
        <w:t>（项目名称）</w:t>
      </w:r>
      <w:r>
        <w:rPr>
          <w:rFonts w:hint="eastAsia" w:ascii="宋体" w:hAnsi="宋体" w:cs="宋体"/>
          <w:color w:val="000000" w:themeColor="text1"/>
          <w:sz w:val="24"/>
        </w:rPr>
        <w:t>__项目采购活动提供本单位制造的货物（由本单位承担工程/提供服务），或者提供其他残疾人福利性单位制造的货物（不包括使用非残疾人福利性单位注册商标的货物）。</w:t>
      </w:r>
    </w:p>
    <w:p w14:paraId="1D7A16A7">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本单位对上述声明的真实性负责。如有虚假，将依法承担相应责任。</w:t>
      </w:r>
    </w:p>
    <w:p w14:paraId="22CC62BC">
      <w:pPr>
        <w:spacing w:line="360" w:lineRule="auto"/>
        <w:ind w:firstLine="480" w:firstLineChars="200"/>
        <w:rPr>
          <w:rFonts w:ascii="宋体" w:hAnsi="宋体" w:cs="宋体"/>
          <w:color w:val="000000" w:themeColor="text1"/>
          <w:sz w:val="24"/>
        </w:rPr>
      </w:pPr>
    </w:p>
    <w:p w14:paraId="49E9FF34">
      <w:pPr>
        <w:spacing w:line="360" w:lineRule="auto"/>
        <w:ind w:firstLine="480" w:firstLineChars="200"/>
        <w:rPr>
          <w:rFonts w:ascii="宋体" w:hAnsi="宋体" w:cs="宋体"/>
          <w:color w:val="000000" w:themeColor="text1"/>
          <w:sz w:val="24"/>
        </w:rPr>
      </w:pPr>
    </w:p>
    <w:p w14:paraId="2D30DD23">
      <w:pPr>
        <w:tabs>
          <w:tab w:val="left" w:pos="4860"/>
        </w:tabs>
        <w:spacing w:line="360" w:lineRule="auto"/>
        <w:ind w:right="1560" w:firstLine="480" w:firstLineChars="200"/>
        <w:jc w:val="center"/>
        <w:rPr>
          <w:rFonts w:ascii="宋体" w:hAnsi="宋体" w:cs="宋体"/>
          <w:color w:val="000000" w:themeColor="text1"/>
          <w:sz w:val="24"/>
        </w:rPr>
      </w:pPr>
      <w:r>
        <w:rPr>
          <w:rFonts w:hint="eastAsia" w:ascii="宋体" w:hAnsi="宋体" w:cs="宋体"/>
          <w:color w:val="000000" w:themeColor="text1"/>
          <w:kern w:val="0"/>
          <w:sz w:val="24"/>
          <w:lang w:val="zh-CN"/>
        </w:rPr>
        <w:t>投标人名称（</w:t>
      </w:r>
      <w:r>
        <w:rPr>
          <w:rFonts w:hint="eastAsia" w:ascii="宋体" w:hAnsi="宋体" w:cs="宋体"/>
          <w:color w:val="000000" w:themeColor="text1"/>
          <w:sz w:val="24"/>
        </w:rPr>
        <w:t>公章</w:t>
      </w:r>
      <w:r>
        <w:rPr>
          <w:rFonts w:hint="eastAsia" w:ascii="宋体" w:hAnsi="宋体" w:cs="宋体"/>
          <w:color w:val="000000" w:themeColor="text1"/>
          <w:kern w:val="0"/>
          <w:sz w:val="24"/>
          <w:lang w:val="zh-CN"/>
        </w:rPr>
        <w:t>）</w:t>
      </w:r>
      <w:r>
        <w:rPr>
          <w:rFonts w:hint="eastAsia" w:ascii="宋体" w:hAnsi="宋体" w:cs="宋体"/>
          <w:color w:val="000000" w:themeColor="text1"/>
          <w:sz w:val="24"/>
        </w:rPr>
        <w:t>：</w:t>
      </w:r>
    </w:p>
    <w:p w14:paraId="326142D0">
      <w:pPr>
        <w:tabs>
          <w:tab w:val="left" w:pos="4860"/>
        </w:tabs>
        <w:spacing w:line="360" w:lineRule="auto"/>
        <w:ind w:right="1560" w:firstLine="480" w:firstLineChars="200"/>
        <w:jc w:val="center"/>
        <w:rPr>
          <w:rFonts w:ascii="宋体" w:hAnsi="宋体" w:cs="宋体"/>
          <w:color w:val="000000" w:themeColor="text1"/>
          <w:sz w:val="24"/>
        </w:rPr>
      </w:pPr>
      <w:r>
        <w:rPr>
          <w:rFonts w:hint="eastAsia" w:ascii="宋体" w:hAnsi="宋体" w:cs="宋体"/>
          <w:color w:val="000000" w:themeColor="text1"/>
          <w:kern w:val="0"/>
          <w:sz w:val="24"/>
          <w:lang w:val="zh-CN"/>
        </w:rPr>
        <w:t>日期</w:t>
      </w:r>
      <w:r>
        <w:rPr>
          <w:rFonts w:hint="eastAsia" w:ascii="宋体" w:hAnsi="宋体" w:cs="宋体"/>
          <w:color w:val="000000" w:themeColor="text1"/>
          <w:kern w:val="0"/>
          <w:sz w:val="24"/>
        </w:rPr>
        <w:t xml:space="preserve">：  年  </w:t>
      </w:r>
      <w:r>
        <w:rPr>
          <w:rFonts w:hint="eastAsia" w:ascii="宋体" w:hAnsi="宋体" w:cs="宋体"/>
          <w:color w:val="000000" w:themeColor="text1"/>
          <w:kern w:val="0"/>
          <w:sz w:val="24"/>
          <w:lang w:val="zh-CN"/>
        </w:rPr>
        <w:t>月日</w:t>
      </w:r>
    </w:p>
    <w:p w14:paraId="0B1D6001">
      <w:pPr>
        <w:spacing w:line="360" w:lineRule="auto"/>
        <w:ind w:firstLine="480" w:firstLineChars="200"/>
        <w:rPr>
          <w:rFonts w:ascii="宋体" w:hAnsi="宋体" w:cs="宋体"/>
          <w:color w:val="000000" w:themeColor="text1"/>
          <w:sz w:val="24"/>
        </w:rPr>
      </w:pPr>
    </w:p>
    <w:p w14:paraId="2759392A">
      <w:pPr>
        <w:tabs>
          <w:tab w:val="left" w:pos="4860"/>
        </w:tabs>
        <w:spacing w:line="360" w:lineRule="auto"/>
        <w:ind w:right="1560" w:firstLine="480" w:firstLineChars="200"/>
        <w:jc w:val="center"/>
        <w:rPr>
          <w:rFonts w:ascii="宋体" w:hAnsi="宋体" w:cs="宋体"/>
          <w:color w:val="000000" w:themeColor="text1"/>
          <w:sz w:val="24"/>
        </w:rPr>
      </w:pPr>
    </w:p>
    <w:p w14:paraId="2827A608">
      <w:pPr>
        <w:spacing w:line="360" w:lineRule="auto"/>
        <w:ind w:firstLine="420" w:firstLineChars="200"/>
        <w:rPr>
          <w:rFonts w:ascii="宋体" w:hAnsi="宋体" w:cs="宋体"/>
          <w:color w:val="000000" w:themeColor="text1"/>
        </w:rPr>
      </w:pPr>
    </w:p>
    <w:p w14:paraId="1D25EBAB">
      <w:pPr>
        <w:spacing w:line="360" w:lineRule="auto"/>
        <w:ind w:firstLine="420" w:firstLineChars="200"/>
        <w:rPr>
          <w:rFonts w:ascii="宋体" w:hAnsi="宋体" w:cs="宋体"/>
          <w:color w:val="000000" w:themeColor="text1"/>
        </w:rPr>
      </w:pPr>
    </w:p>
    <w:p w14:paraId="4B5E17BD">
      <w:pPr>
        <w:spacing w:line="360" w:lineRule="auto"/>
        <w:ind w:firstLine="420" w:firstLineChars="200"/>
        <w:rPr>
          <w:rFonts w:ascii="宋体" w:hAnsi="宋体" w:cs="宋体"/>
          <w:color w:val="000000" w:themeColor="text1"/>
        </w:rPr>
      </w:pPr>
    </w:p>
    <w:p w14:paraId="51138905">
      <w:pPr>
        <w:spacing w:line="360" w:lineRule="auto"/>
        <w:ind w:firstLine="420" w:firstLineChars="200"/>
        <w:rPr>
          <w:rFonts w:ascii="宋体" w:hAnsi="宋体" w:cs="宋体"/>
          <w:color w:val="000000" w:themeColor="text1"/>
        </w:rPr>
      </w:pPr>
    </w:p>
    <w:p w14:paraId="3EC03B1C">
      <w:pPr>
        <w:spacing w:line="360" w:lineRule="auto"/>
        <w:rPr>
          <w:rFonts w:ascii="宋体" w:hAnsi="宋体" w:cs="宋体"/>
          <w:b/>
          <w:color w:val="000000" w:themeColor="text1"/>
          <w:sz w:val="24"/>
        </w:rPr>
      </w:pPr>
    </w:p>
    <w:p w14:paraId="07C30252">
      <w:pPr>
        <w:spacing w:line="360" w:lineRule="auto"/>
        <w:rPr>
          <w:rFonts w:ascii="宋体" w:hAnsi="宋体" w:cs="宋体"/>
          <w:b/>
          <w:color w:val="000000" w:themeColor="text1"/>
          <w:sz w:val="24"/>
        </w:rPr>
      </w:pPr>
    </w:p>
    <w:p w14:paraId="7B418728">
      <w:pPr>
        <w:spacing w:line="360" w:lineRule="auto"/>
        <w:rPr>
          <w:rFonts w:ascii="宋体" w:hAnsi="宋体" w:cs="宋体"/>
          <w:b/>
          <w:color w:val="000000" w:themeColor="text1"/>
          <w:sz w:val="24"/>
        </w:rPr>
      </w:pPr>
    </w:p>
    <w:p w14:paraId="2FE8626E">
      <w:pPr>
        <w:spacing w:line="360" w:lineRule="auto"/>
        <w:rPr>
          <w:rFonts w:ascii="宋体" w:hAnsi="宋体" w:cs="宋体"/>
          <w:b/>
          <w:color w:val="000000" w:themeColor="text1"/>
          <w:sz w:val="24"/>
        </w:rPr>
      </w:pPr>
    </w:p>
    <w:p w14:paraId="4F5ECA9A">
      <w:pPr>
        <w:spacing w:line="360" w:lineRule="auto"/>
        <w:rPr>
          <w:rFonts w:ascii="宋体" w:hAnsi="宋体" w:cs="宋体"/>
          <w:b/>
          <w:color w:val="000000" w:themeColor="text1"/>
          <w:sz w:val="24"/>
        </w:rPr>
      </w:pPr>
    </w:p>
    <w:p w14:paraId="4237A3A2">
      <w:pPr>
        <w:spacing w:line="360" w:lineRule="auto"/>
        <w:rPr>
          <w:rFonts w:ascii="宋体" w:hAnsi="宋体" w:cs="宋体"/>
          <w:b/>
          <w:color w:val="000000" w:themeColor="text1"/>
          <w:sz w:val="24"/>
        </w:rPr>
      </w:pPr>
    </w:p>
    <w:p w14:paraId="7A0A6CE7">
      <w:pPr>
        <w:spacing w:line="360" w:lineRule="auto"/>
        <w:rPr>
          <w:rFonts w:ascii="宋体" w:hAnsi="宋体" w:cs="宋体"/>
          <w:b/>
          <w:color w:val="000000" w:themeColor="text1"/>
          <w:sz w:val="24"/>
        </w:rPr>
      </w:pPr>
    </w:p>
    <w:p w14:paraId="5F507CC9">
      <w:pPr>
        <w:spacing w:line="360" w:lineRule="auto"/>
        <w:rPr>
          <w:rFonts w:ascii="宋体" w:hAnsi="宋体" w:cs="宋体"/>
          <w:b/>
          <w:color w:val="000000" w:themeColor="text1"/>
          <w:sz w:val="24"/>
        </w:rPr>
      </w:pPr>
    </w:p>
    <w:p w14:paraId="054FE1D7">
      <w:pPr>
        <w:spacing w:line="360" w:lineRule="auto"/>
        <w:rPr>
          <w:rFonts w:ascii="宋体" w:hAnsi="宋体" w:cs="宋体"/>
          <w:b/>
          <w:color w:val="000000" w:themeColor="text1"/>
          <w:sz w:val="24"/>
        </w:rPr>
      </w:pPr>
    </w:p>
    <w:p w14:paraId="3A7331AB">
      <w:pPr>
        <w:spacing w:line="360" w:lineRule="auto"/>
        <w:jc w:val="left"/>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附件2：质疑函范本及制作说明</w:t>
      </w:r>
    </w:p>
    <w:p w14:paraId="185ACEFA">
      <w:pPr>
        <w:spacing w:line="360" w:lineRule="auto"/>
        <w:jc w:val="center"/>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质疑函范本</w:t>
      </w:r>
    </w:p>
    <w:p w14:paraId="62272F1C">
      <w:pPr>
        <w:snapToGrid w:val="0"/>
        <w:spacing w:before="240" w:beforeLines="100" w:line="360" w:lineRule="auto"/>
        <w:rPr>
          <w:rFonts w:ascii="宋体" w:hAnsi="宋体" w:cs="宋体"/>
          <w:bCs/>
          <w:color w:val="000000" w:themeColor="text1"/>
          <w:sz w:val="24"/>
        </w:rPr>
      </w:pPr>
      <w:r>
        <w:rPr>
          <w:rFonts w:hint="eastAsia" w:ascii="宋体" w:hAnsi="宋体" w:cs="宋体"/>
          <w:bCs/>
          <w:color w:val="000000" w:themeColor="text1"/>
          <w:sz w:val="24"/>
        </w:rPr>
        <w:t>一、质疑供应商基本信息</w:t>
      </w:r>
    </w:p>
    <w:p w14:paraId="37ACE565">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质疑供应商：</w:t>
      </w:r>
    </w:p>
    <w:p w14:paraId="2C5DDC91">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地址：邮编：</w:t>
      </w:r>
    </w:p>
    <w:p w14:paraId="2A8589E8">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联系人：联系电话：</w:t>
      </w:r>
    </w:p>
    <w:p w14:paraId="0668FC76">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授权代表：</w:t>
      </w:r>
    </w:p>
    <w:p w14:paraId="2DDF94FF">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联系电话：</w:t>
      </w:r>
    </w:p>
    <w:p w14:paraId="1F8D005E">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地址： 邮编：</w:t>
      </w:r>
    </w:p>
    <w:p w14:paraId="16B82612">
      <w:pPr>
        <w:snapToGrid w:val="0"/>
        <w:spacing w:line="360" w:lineRule="auto"/>
        <w:rPr>
          <w:rFonts w:ascii="宋体" w:hAnsi="宋体" w:cs="宋体"/>
          <w:bCs/>
          <w:color w:val="000000" w:themeColor="text1"/>
          <w:sz w:val="24"/>
        </w:rPr>
      </w:pPr>
      <w:r>
        <w:rPr>
          <w:rFonts w:hint="eastAsia" w:ascii="宋体" w:hAnsi="宋体" w:cs="宋体"/>
          <w:bCs/>
          <w:color w:val="000000" w:themeColor="text1"/>
          <w:sz w:val="24"/>
        </w:rPr>
        <w:t>二、质疑项目基本情况</w:t>
      </w:r>
    </w:p>
    <w:p w14:paraId="786A69A8">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质疑项目的名称：</w:t>
      </w:r>
    </w:p>
    <w:p w14:paraId="087FADEE">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质疑项目的编号：包号：</w:t>
      </w:r>
    </w:p>
    <w:p w14:paraId="28D14325">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采购人名称：</w:t>
      </w:r>
    </w:p>
    <w:p w14:paraId="062DC974">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采购文件获取日期：</w:t>
      </w:r>
    </w:p>
    <w:p w14:paraId="1226E063">
      <w:pPr>
        <w:snapToGrid w:val="0"/>
        <w:spacing w:line="360" w:lineRule="auto"/>
        <w:rPr>
          <w:rFonts w:ascii="宋体" w:hAnsi="宋体" w:cs="宋体"/>
          <w:bCs/>
          <w:color w:val="000000" w:themeColor="text1"/>
          <w:sz w:val="24"/>
        </w:rPr>
      </w:pPr>
      <w:r>
        <w:rPr>
          <w:rFonts w:hint="eastAsia" w:ascii="宋体" w:hAnsi="宋体" w:cs="宋体"/>
          <w:bCs/>
          <w:color w:val="000000" w:themeColor="text1"/>
          <w:sz w:val="24"/>
        </w:rPr>
        <w:t>三、质疑事项具体内容</w:t>
      </w:r>
    </w:p>
    <w:p w14:paraId="5F3424BB">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质疑事项1：</w:t>
      </w:r>
    </w:p>
    <w:p w14:paraId="75476BED">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事实依据：</w:t>
      </w:r>
    </w:p>
    <w:p w14:paraId="2E9E1450">
      <w:pPr>
        <w:snapToGrid w:val="0"/>
        <w:spacing w:line="360" w:lineRule="auto"/>
        <w:rPr>
          <w:rFonts w:ascii="宋体" w:hAnsi="宋体" w:cs="宋体"/>
          <w:color w:val="000000" w:themeColor="text1"/>
          <w:sz w:val="24"/>
        </w:rPr>
      </w:pPr>
    </w:p>
    <w:p w14:paraId="77F4DCC5">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法律依据：</w:t>
      </w:r>
    </w:p>
    <w:p w14:paraId="0AC3F188">
      <w:pPr>
        <w:snapToGrid w:val="0"/>
        <w:spacing w:line="360" w:lineRule="auto"/>
        <w:rPr>
          <w:rFonts w:ascii="宋体" w:hAnsi="宋体" w:cs="宋体"/>
          <w:color w:val="000000" w:themeColor="text1"/>
          <w:sz w:val="24"/>
          <w:u w:val="dotted"/>
        </w:rPr>
      </w:pPr>
    </w:p>
    <w:p w14:paraId="4B103684">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质疑事项2</w:t>
      </w:r>
    </w:p>
    <w:p w14:paraId="64BE74D2">
      <w:pPr>
        <w:snapToGrid w:val="0"/>
        <w:spacing w:line="360" w:lineRule="auto"/>
        <w:rPr>
          <w:rFonts w:ascii="宋体" w:hAnsi="宋体" w:cs="宋体"/>
          <w:color w:val="000000" w:themeColor="text1"/>
          <w:sz w:val="24"/>
        </w:rPr>
      </w:pPr>
      <w:r>
        <w:rPr>
          <w:rFonts w:hint="eastAsia" w:ascii="宋体" w:hAnsi="宋体" w:cs="宋体"/>
          <w:color w:val="000000" w:themeColor="text1"/>
          <w:sz w:val="24"/>
        </w:rPr>
        <w:t>……</w:t>
      </w:r>
    </w:p>
    <w:p w14:paraId="6D1B65E2">
      <w:pPr>
        <w:snapToGrid w:val="0"/>
        <w:spacing w:line="360" w:lineRule="auto"/>
        <w:rPr>
          <w:rFonts w:ascii="宋体" w:hAnsi="宋体" w:cs="宋体"/>
          <w:bCs/>
          <w:color w:val="000000" w:themeColor="text1"/>
          <w:sz w:val="24"/>
        </w:rPr>
      </w:pPr>
      <w:r>
        <w:rPr>
          <w:rFonts w:hint="eastAsia" w:ascii="宋体" w:hAnsi="宋体" w:cs="宋体"/>
          <w:bCs/>
          <w:color w:val="000000" w:themeColor="text1"/>
          <w:sz w:val="24"/>
        </w:rPr>
        <w:t>四、与质疑事项相关的质疑请求</w:t>
      </w:r>
    </w:p>
    <w:p w14:paraId="4D23A5F6">
      <w:pPr>
        <w:snapToGrid w:val="0"/>
        <w:spacing w:line="360" w:lineRule="auto"/>
        <w:rPr>
          <w:rFonts w:ascii="宋体" w:hAnsi="宋体" w:cs="宋体"/>
          <w:color w:val="000000" w:themeColor="text1"/>
          <w:sz w:val="24"/>
          <w:u w:val="dotted"/>
        </w:rPr>
      </w:pPr>
      <w:r>
        <w:rPr>
          <w:rFonts w:hint="eastAsia" w:ascii="宋体" w:hAnsi="宋体" w:cs="宋体"/>
          <w:color w:val="000000" w:themeColor="text1"/>
          <w:sz w:val="24"/>
        </w:rPr>
        <w:t>请求：</w:t>
      </w:r>
    </w:p>
    <w:p w14:paraId="5F357073">
      <w:pPr>
        <w:spacing w:line="360" w:lineRule="auto"/>
        <w:rPr>
          <w:rFonts w:ascii="宋体" w:hAnsi="宋体" w:cs="宋体"/>
          <w:color w:val="000000" w:themeColor="text1"/>
          <w:sz w:val="24"/>
        </w:rPr>
      </w:pPr>
      <w:r>
        <w:rPr>
          <w:rFonts w:hint="eastAsia" w:ascii="宋体" w:hAnsi="宋体" w:cs="宋体"/>
          <w:color w:val="000000" w:themeColor="text1"/>
          <w:sz w:val="24"/>
        </w:rPr>
        <w:t xml:space="preserve">签字(签章)：                   公章：                      </w:t>
      </w:r>
    </w:p>
    <w:p w14:paraId="5C52B0A0">
      <w:pPr>
        <w:spacing w:line="360" w:lineRule="auto"/>
        <w:rPr>
          <w:rFonts w:ascii="宋体" w:hAnsi="宋体" w:cs="宋体"/>
          <w:color w:val="000000" w:themeColor="text1"/>
          <w:sz w:val="24"/>
        </w:rPr>
      </w:pPr>
      <w:r>
        <w:rPr>
          <w:rFonts w:hint="eastAsia" w:ascii="宋体" w:hAnsi="宋体" w:cs="宋体"/>
          <w:color w:val="000000" w:themeColor="text1"/>
          <w:sz w:val="24"/>
        </w:rPr>
        <w:t xml:space="preserve">日期：    </w:t>
      </w:r>
    </w:p>
    <w:p w14:paraId="3D494D24">
      <w:pPr>
        <w:spacing w:line="360" w:lineRule="auto"/>
        <w:jc w:val="center"/>
        <w:rPr>
          <w:rFonts w:ascii="宋体" w:hAnsi="宋体" w:cs="宋体"/>
          <w:b/>
          <w:bCs/>
          <w:color w:val="000000" w:themeColor="text1"/>
          <w:sz w:val="24"/>
        </w:rPr>
      </w:pPr>
    </w:p>
    <w:p w14:paraId="7D430B5B">
      <w:pPr>
        <w:spacing w:line="360" w:lineRule="auto"/>
        <w:rPr>
          <w:rFonts w:ascii="宋体" w:hAnsi="宋体" w:cs="宋体"/>
          <w:b/>
          <w:color w:val="000000" w:themeColor="text1"/>
          <w:sz w:val="24"/>
        </w:rPr>
      </w:pPr>
    </w:p>
    <w:p w14:paraId="22A06F91">
      <w:pPr>
        <w:spacing w:line="360" w:lineRule="auto"/>
        <w:rPr>
          <w:rFonts w:ascii="宋体" w:hAnsi="宋体" w:cs="宋体"/>
          <w:b/>
          <w:color w:val="000000" w:themeColor="text1"/>
          <w:sz w:val="24"/>
        </w:rPr>
      </w:pPr>
    </w:p>
    <w:p w14:paraId="7FD40FFB">
      <w:pPr>
        <w:spacing w:line="360" w:lineRule="auto"/>
        <w:rPr>
          <w:rFonts w:ascii="宋体" w:hAnsi="宋体" w:cs="宋体"/>
          <w:b/>
          <w:color w:val="000000" w:themeColor="text1"/>
          <w:sz w:val="24"/>
        </w:rPr>
      </w:pPr>
    </w:p>
    <w:p w14:paraId="6A6759A1">
      <w:pPr>
        <w:spacing w:line="360" w:lineRule="auto"/>
        <w:rPr>
          <w:rFonts w:ascii="宋体" w:hAnsi="宋体" w:cs="宋体"/>
          <w:b/>
          <w:color w:val="000000" w:themeColor="text1"/>
          <w:sz w:val="24"/>
        </w:rPr>
      </w:pPr>
      <w:r>
        <w:rPr>
          <w:rFonts w:hint="eastAsia" w:ascii="宋体" w:hAnsi="宋体" w:cs="宋体"/>
          <w:b/>
          <w:color w:val="000000" w:themeColor="text1"/>
          <w:sz w:val="24"/>
        </w:rPr>
        <w:t>质疑函制作说明：</w:t>
      </w:r>
    </w:p>
    <w:p w14:paraId="7265C821">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1.供应商提出质疑时，应提交质疑函和必要的证明材料。</w:t>
      </w:r>
    </w:p>
    <w:p w14:paraId="4CCFAD2E">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2.质疑供应商若委托代理人进行质疑的，质疑函应按要求列明“授权代表”的有关内容，并在附件中提交由质疑</w:t>
      </w:r>
      <w:r>
        <w:rPr>
          <w:rFonts w:hint="eastAsia" w:ascii="宋体" w:hAnsi="宋体" w:cs="宋体"/>
          <w:color w:val="000000" w:themeColor="text1"/>
          <w:kern w:val="0"/>
          <w:sz w:val="24"/>
        </w:rPr>
        <w:t>供应商签署的授权委托书。授权委托书应载明代理人的姓名或者名称、代理事项、具体权限、期限和相关事项。</w:t>
      </w:r>
    </w:p>
    <w:p w14:paraId="6C247A49">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3.质疑供应商若对项目的某一分包进行质疑，质疑函中应列明具体分包号。</w:t>
      </w:r>
    </w:p>
    <w:p w14:paraId="05D53359">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4.质疑函的质疑事项应具体、明确，并有必要的事实依据和法律依据。</w:t>
      </w:r>
    </w:p>
    <w:p w14:paraId="0327A698">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5.质疑函的质疑请求应与质疑事项相关。</w:t>
      </w:r>
    </w:p>
    <w:p w14:paraId="142E8486">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6.质疑供应商为自然人的，质疑函应由本人签字；质疑供应商为法人或者其他组织的，质疑函应由法定代表人、主要负责人，或者其授权代表签字或者盖章，并加盖公章。</w:t>
      </w:r>
    </w:p>
    <w:p w14:paraId="19CB12C1">
      <w:pPr>
        <w:widowControl/>
        <w:spacing w:line="360" w:lineRule="auto"/>
        <w:ind w:firstLine="600" w:firstLineChars="200"/>
        <w:jc w:val="left"/>
        <w:rPr>
          <w:rFonts w:ascii="宋体" w:hAnsi="宋体" w:cs="宋体"/>
          <w:color w:val="000000" w:themeColor="text1"/>
          <w:sz w:val="30"/>
          <w:szCs w:val="30"/>
        </w:rPr>
      </w:pPr>
    </w:p>
    <w:p w14:paraId="1CF41B30">
      <w:pPr>
        <w:spacing w:line="360" w:lineRule="auto"/>
        <w:jc w:val="center"/>
        <w:rPr>
          <w:rFonts w:ascii="宋体" w:hAnsi="宋体" w:cs="宋体"/>
          <w:b/>
          <w:color w:val="000000" w:themeColor="text1"/>
          <w:spacing w:val="6"/>
          <w:sz w:val="32"/>
          <w:szCs w:val="32"/>
        </w:rPr>
      </w:pPr>
    </w:p>
    <w:p w14:paraId="4DACE7C1">
      <w:pPr>
        <w:spacing w:line="360" w:lineRule="auto"/>
        <w:jc w:val="center"/>
        <w:rPr>
          <w:rFonts w:ascii="宋体" w:hAnsi="宋体" w:cs="宋体"/>
          <w:b/>
          <w:color w:val="000000" w:themeColor="text1"/>
          <w:spacing w:val="6"/>
          <w:sz w:val="32"/>
          <w:szCs w:val="32"/>
        </w:rPr>
      </w:pPr>
    </w:p>
    <w:p w14:paraId="10A1B570">
      <w:pPr>
        <w:spacing w:line="360" w:lineRule="auto"/>
        <w:jc w:val="center"/>
        <w:rPr>
          <w:rFonts w:ascii="宋体" w:hAnsi="宋体" w:cs="宋体"/>
          <w:b/>
          <w:color w:val="000000" w:themeColor="text1"/>
          <w:spacing w:val="6"/>
          <w:sz w:val="32"/>
          <w:szCs w:val="32"/>
        </w:rPr>
      </w:pPr>
    </w:p>
    <w:p w14:paraId="01639B80">
      <w:pPr>
        <w:spacing w:line="360" w:lineRule="auto"/>
        <w:jc w:val="center"/>
        <w:rPr>
          <w:rFonts w:ascii="宋体" w:hAnsi="宋体" w:cs="宋体"/>
          <w:b/>
          <w:color w:val="000000" w:themeColor="text1"/>
          <w:spacing w:val="6"/>
          <w:sz w:val="32"/>
          <w:szCs w:val="32"/>
        </w:rPr>
      </w:pPr>
    </w:p>
    <w:p w14:paraId="07820789">
      <w:pPr>
        <w:spacing w:line="360" w:lineRule="auto"/>
        <w:jc w:val="center"/>
        <w:rPr>
          <w:rFonts w:ascii="宋体" w:hAnsi="宋体" w:cs="宋体"/>
          <w:b/>
          <w:color w:val="000000" w:themeColor="text1"/>
          <w:spacing w:val="6"/>
          <w:sz w:val="32"/>
          <w:szCs w:val="32"/>
        </w:rPr>
      </w:pPr>
    </w:p>
    <w:p w14:paraId="6D491A25">
      <w:pPr>
        <w:spacing w:line="360" w:lineRule="auto"/>
        <w:jc w:val="center"/>
        <w:rPr>
          <w:rFonts w:ascii="宋体" w:hAnsi="宋体" w:cs="宋体"/>
          <w:b/>
          <w:color w:val="000000" w:themeColor="text1"/>
          <w:spacing w:val="6"/>
          <w:sz w:val="32"/>
          <w:szCs w:val="32"/>
        </w:rPr>
      </w:pPr>
    </w:p>
    <w:p w14:paraId="3F97C9F9">
      <w:pPr>
        <w:spacing w:line="360" w:lineRule="auto"/>
        <w:jc w:val="center"/>
        <w:rPr>
          <w:rFonts w:ascii="宋体" w:hAnsi="宋体" w:cs="宋体"/>
          <w:b/>
          <w:color w:val="000000" w:themeColor="text1"/>
          <w:spacing w:val="6"/>
          <w:sz w:val="32"/>
          <w:szCs w:val="32"/>
        </w:rPr>
      </w:pPr>
    </w:p>
    <w:p w14:paraId="49DE1BD6">
      <w:pPr>
        <w:spacing w:line="360" w:lineRule="auto"/>
        <w:jc w:val="center"/>
        <w:rPr>
          <w:rFonts w:ascii="宋体" w:hAnsi="宋体" w:cs="宋体"/>
          <w:b/>
          <w:color w:val="000000" w:themeColor="text1"/>
          <w:spacing w:val="6"/>
          <w:sz w:val="32"/>
          <w:szCs w:val="32"/>
        </w:rPr>
      </w:pPr>
    </w:p>
    <w:p w14:paraId="4A4672EF">
      <w:pPr>
        <w:spacing w:line="360" w:lineRule="auto"/>
        <w:jc w:val="center"/>
        <w:rPr>
          <w:rFonts w:ascii="宋体" w:hAnsi="宋体" w:cs="宋体"/>
          <w:b/>
          <w:color w:val="000000" w:themeColor="text1"/>
          <w:spacing w:val="6"/>
          <w:sz w:val="32"/>
          <w:szCs w:val="32"/>
        </w:rPr>
      </w:pPr>
    </w:p>
    <w:p w14:paraId="728CA1BB">
      <w:pPr>
        <w:spacing w:line="360" w:lineRule="auto"/>
        <w:jc w:val="center"/>
        <w:rPr>
          <w:rFonts w:ascii="宋体" w:hAnsi="宋体" w:cs="宋体"/>
          <w:b/>
          <w:color w:val="000000" w:themeColor="text1"/>
          <w:spacing w:val="6"/>
          <w:sz w:val="32"/>
          <w:szCs w:val="32"/>
        </w:rPr>
      </w:pPr>
    </w:p>
    <w:p w14:paraId="55F726F8">
      <w:pPr>
        <w:spacing w:line="360" w:lineRule="auto"/>
        <w:jc w:val="center"/>
        <w:rPr>
          <w:rFonts w:ascii="宋体" w:hAnsi="宋体" w:cs="宋体"/>
          <w:b/>
          <w:color w:val="000000" w:themeColor="text1"/>
          <w:spacing w:val="6"/>
          <w:sz w:val="32"/>
          <w:szCs w:val="32"/>
        </w:rPr>
      </w:pPr>
    </w:p>
    <w:p w14:paraId="58FF35F2">
      <w:pPr>
        <w:spacing w:line="360" w:lineRule="auto"/>
        <w:jc w:val="center"/>
        <w:rPr>
          <w:rFonts w:ascii="宋体" w:hAnsi="宋体" w:cs="宋体"/>
          <w:b/>
          <w:color w:val="000000" w:themeColor="text1"/>
          <w:spacing w:val="6"/>
          <w:sz w:val="32"/>
          <w:szCs w:val="32"/>
        </w:rPr>
      </w:pPr>
    </w:p>
    <w:p w14:paraId="4A1191A9">
      <w:pPr>
        <w:spacing w:line="360" w:lineRule="auto"/>
        <w:jc w:val="left"/>
        <w:rPr>
          <w:rFonts w:ascii="宋体" w:hAnsi="宋体" w:cs="宋体"/>
          <w:b/>
          <w:color w:val="000000" w:themeColor="text1"/>
          <w:spacing w:val="6"/>
          <w:sz w:val="32"/>
          <w:szCs w:val="32"/>
        </w:rPr>
      </w:pPr>
    </w:p>
    <w:p w14:paraId="0CABD824">
      <w:pPr>
        <w:spacing w:line="360" w:lineRule="auto"/>
        <w:jc w:val="left"/>
        <w:rPr>
          <w:rFonts w:ascii="宋体" w:hAnsi="宋体" w:cs="宋体"/>
          <w:b/>
          <w:color w:val="000000" w:themeColor="text1"/>
          <w:spacing w:val="6"/>
          <w:sz w:val="32"/>
          <w:szCs w:val="32"/>
        </w:rPr>
      </w:pPr>
    </w:p>
    <w:p w14:paraId="4FCC2E4A">
      <w:pPr>
        <w:spacing w:line="360" w:lineRule="auto"/>
        <w:jc w:val="left"/>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附件3：投诉书范本及制作说明</w:t>
      </w:r>
    </w:p>
    <w:p w14:paraId="391856DE">
      <w:pPr>
        <w:spacing w:line="360" w:lineRule="auto"/>
        <w:jc w:val="center"/>
        <w:rPr>
          <w:rFonts w:ascii="宋体" w:hAnsi="宋体" w:cs="宋体"/>
          <w:b/>
          <w:color w:val="000000" w:themeColor="text1"/>
          <w:sz w:val="24"/>
        </w:rPr>
      </w:pPr>
    </w:p>
    <w:p w14:paraId="31ABCFCD">
      <w:pPr>
        <w:spacing w:line="360" w:lineRule="auto"/>
        <w:jc w:val="center"/>
        <w:rPr>
          <w:rFonts w:ascii="宋体" w:hAnsi="宋体" w:cs="宋体"/>
          <w:b/>
          <w:color w:val="000000" w:themeColor="text1"/>
          <w:spacing w:val="6"/>
          <w:sz w:val="32"/>
          <w:szCs w:val="32"/>
        </w:rPr>
      </w:pPr>
      <w:r>
        <w:rPr>
          <w:rFonts w:hint="eastAsia" w:ascii="宋体" w:hAnsi="宋体" w:cs="宋体"/>
          <w:b/>
          <w:color w:val="000000" w:themeColor="text1"/>
          <w:spacing w:val="6"/>
          <w:sz w:val="32"/>
          <w:szCs w:val="32"/>
        </w:rPr>
        <w:t>投诉书范本</w:t>
      </w:r>
    </w:p>
    <w:p w14:paraId="1D26441A">
      <w:pPr>
        <w:spacing w:line="360" w:lineRule="auto"/>
        <w:rPr>
          <w:rFonts w:ascii="宋体" w:hAnsi="宋体" w:cs="宋体"/>
          <w:color w:val="000000" w:themeColor="text1"/>
          <w:sz w:val="24"/>
        </w:rPr>
      </w:pPr>
      <w:r>
        <w:rPr>
          <w:rFonts w:hint="eastAsia" w:ascii="宋体" w:hAnsi="宋体" w:cs="宋体"/>
          <w:color w:val="000000" w:themeColor="text1"/>
          <w:sz w:val="24"/>
        </w:rPr>
        <w:t>一、投诉相关主体基本情况</w:t>
      </w:r>
    </w:p>
    <w:p w14:paraId="6E506D88">
      <w:pPr>
        <w:spacing w:line="360" w:lineRule="auto"/>
        <w:rPr>
          <w:rFonts w:ascii="宋体" w:hAnsi="宋体" w:cs="宋体"/>
          <w:color w:val="000000" w:themeColor="text1"/>
          <w:sz w:val="24"/>
          <w:u w:val="dotted"/>
        </w:rPr>
      </w:pPr>
      <w:r>
        <w:rPr>
          <w:rFonts w:hint="eastAsia" w:ascii="宋体" w:hAnsi="宋体" w:cs="宋体"/>
          <w:color w:val="000000" w:themeColor="text1"/>
          <w:sz w:val="24"/>
        </w:rPr>
        <w:t>投诉人：</w:t>
      </w:r>
    </w:p>
    <w:p w14:paraId="436C0B7A">
      <w:pPr>
        <w:spacing w:line="360" w:lineRule="auto"/>
        <w:rPr>
          <w:rFonts w:ascii="宋体" w:hAnsi="宋体" w:cs="宋体"/>
          <w:color w:val="000000" w:themeColor="text1"/>
          <w:sz w:val="24"/>
          <w:u w:val="single"/>
        </w:rPr>
      </w:pPr>
      <w:r>
        <w:rPr>
          <w:rFonts w:hint="eastAsia" w:ascii="宋体" w:hAnsi="宋体" w:cs="宋体"/>
          <w:color w:val="000000" w:themeColor="text1"/>
          <w:sz w:val="24"/>
        </w:rPr>
        <w:t>地     址：邮编：</w:t>
      </w:r>
    </w:p>
    <w:p w14:paraId="100EB678">
      <w:pPr>
        <w:tabs>
          <w:tab w:val="left" w:pos="6510"/>
        </w:tabs>
        <w:spacing w:line="360" w:lineRule="auto"/>
        <w:jc w:val="left"/>
        <w:rPr>
          <w:rFonts w:ascii="宋体" w:hAnsi="宋体" w:cs="宋体"/>
          <w:color w:val="000000" w:themeColor="text1"/>
          <w:sz w:val="24"/>
        </w:rPr>
      </w:pPr>
      <w:r>
        <w:rPr>
          <w:rFonts w:hint="eastAsia" w:ascii="宋体" w:hAnsi="宋体" w:cs="宋体"/>
          <w:color w:val="000000" w:themeColor="text1"/>
          <w:sz w:val="24"/>
        </w:rPr>
        <w:t>法定代表人/主要负责人：</w:t>
      </w:r>
    </w:p>
    <w:p w14:paraId="11A32938">
      <w:pPr>
        <w:tabs>
          <w:tab w:val="left" w:pos="6510"/>
        </w:tabs>
        <w:spacing w:line="360" w:lineRule="auto"/>
        <w:rPr>
          <w:rFonts w:ascii="宋体" w:hAnsi="宋体" w:cs="宋体"/>
          <w:color w:val="000000" w:themeColor="text1"/>
          <w:sz w:val="24"/>
          <w:u w:val="dotted"/>
        </w:rPr>
      </w:pPr>
      <w:r>
        <w:rPr>
          <w:rFonts w:hint="eastAsia" w:ascii="宋体" w:hAnsi="宋体" w:cs="宋体"/>
          <w:color w:val="000000" w:themeColor="text1"/>
          <w:sz w:val="24"/>
        </w:rPr>
        <w:t>联系电话：</w:t>
      </w:r>
    </w:p>
    <w:p w14:paraId="1D425580">
      <w:pPr>
        <w:spacing w:line="360" w:lineRule="auto"/>
        <w:rPr>
          <w:rFonts w:ascii="宋体" w:hAnsi="宋体" w:cs="宋体"/>
          <w:color w:val="000000" w:themeColor="text1"/>
          <w:sz w:val="24"/>
          <w:u w:val="dotted"/>
        </w:rPr>
      </w:pPr>
      <w:r>
        <w:rPr>
          <w:rFonts w:hint="eastAsia" w:ascii="宋体" w:hAnsi="宋体" w:cs="宋体"/>
          <w:color w:val="000000" w:themeColor="text1"/>
          <w:sz w:val="24"/>
        </w:rPr>
        <w:t>授权代表：联系电话</w:t>
      </w:r>
      <w:r>
        <w:rPr>
          <w:rFonts w:hint="eastAsia" w:ascii="宋体" w:hAnsi="宋体" w:cs="宋体"/>
          <w:color w:val="000000" w:themeColor="text1"/>
          <w:sz w:val="24"/>
          <w:u w:val="dotted"/>
        </w:rPr>
        <w:t xml:space="preserve">：                  </w:t>
      </w:r>
    </w:p>
    <w:p w14:paraId="2A2D64C6">
      <w:pPr>
        <w:spacing w:line="360" w:lineRule="auto"/>
        <w:rPr>
          <w:rFonts w:ascii="宋体" w:hAnsi="宋体" w:cs="宋体"/>
          <w:color w:val="000000" w:themeColor="text1"/>
          <w:sz w:val="24"/>
          <w:u w:val="dotted"/>
        </w:rPr>
      </w:pPr>
      <w:r>
        <w:rPr>
          <w:rFonts w:hint="eastAsia" w:ascii="宋体" w:hAnsi="宋体" w:cs="宋体"/>
          <w:color w:val="000000" w:themeColor="text1"/>
          <w:sz w:val="24"/>
        </w:rPr>
        <w:t>地     址：邮编：</w:t>
      </w:r>
    </w:p>
    <w:p w14:paraId="7EDCF95C">
      <w:pPr>
        <w:spacing w:line="360" w:lineRule="auto"/>
        <w:rPr>
          <w:rFonts w:ascii="宋体" w:hAnsi="宋体" w:cs="宋体"/>
          <w:color w:val="000000" w:themeColor="text1"/>
          <w:sz w:val="24"/>
          <w:u w:val="single"/>
        </w:rPr>
      </w:pPr>
      <w:r>
        <w:rPr>
          <w:rFonts w:hint="eastAsia" w:ascii="宋体" w:hAnsi="宋体" w:cs="宋体"/>
          <w:color w:val="000000" w:themeColor="text1"/>
          <w:sz w:val="24"/>
        </w:rPr>
        <w:t>被投诉人1：</w:t>
      </w:r>
    </w:p>
    <w:p w14:paraId="7D0A5F24">
      <w:pPr>
        <w:spacing w:line="360" w:lineRule="auto"/>
        <w:rPr>
          <w:rFonts w:ascii="宋体" w:hAnsi="宋体" w:cs="宋体"/>
          <w:color w:val="000000" w:themeColor="text1"/>
          <w:sz w:val="24"/>
          <w:u w:val="single"/>
        </w:rPr>
      </w:pPr>
      <w:r>
        <w:rPr>
          <w:rFonts w:hint="eastAsia" w:ascii="宋体" w:hAnsi="宋体" w:cs="宋体"/>
          <w:color w:val="000000" w:themeColor="text1"/>
          <w:sz w:val="24"/>
        </w:rPr>
        <w:t>地     址：邮编：</w:t>
      </w:r>
    </w:p>
    <w:p w14:paraId="68DC74A4">
      <w:pPr>
        <w:spacing w:line="360" w:lineRule="auto"/>
        <w:rPr>
          <w:rFonts w:ascii="宋体" w:hAnsi="宋体" w:cs="宋体"/>
          <w:color w:val="000000" w:themeColor="text1"/>
          <w:sz w:val="24"/>
          <w:u w:val="single"/>
        </w:rPr>
      </w:pPr>
      <w:r>
        <w:rPr>
          <w:rFonts w:hint="eastAsia" w:ascii="宋体" w:hAnsi="宋体" w:cs="宋体"/>
          <w:color w:val="000000" w:themeColor="text1"/>
          <w:sz w:val="24"/>
        </w:rPr>
        <w:t>联系人：联系电话：</w:t>
      </w:r>
    </w:p>
    <w:p w14:paraId="15B3B608">
      <w:pPr>
        <w:spacing w:line="360" w:lineRule="auto"/>
        <w:rPr>
          <w:rFonts w:ascii="宋体" w:hAnsi="宋体" w:cs="宋体"/>
          <w:color w:val="000000" w:themeColor="text1"/>
          <w:sz w:val="24"/>
        </w:rPr>
      </w:pPr>
      <w:r>
        <w:rPr>
          <w:rFonts w:hint="eastAsia" w:ascii="宋体" w:hAnsi="宋体" w:cs="宋体"/>
          <w:color w:val="000000" w:themeColor="text1"/>
          <w:sz w:val="24"/>
        </w:rPr>
        <w:t>被投诉人2</w:t>
      </w:r>
    </w:p>
    <w:p w14:paraId="2B9E22CA">
      <w:pPr>
        <w:spacing w:line="360" w:lineRule="auto"/>
        <w:rPr>
          <w:rFonts w:ascii="宋体" w:hAnsi="宋体" w:cs="宋体"/>
          <w:color w:val="000000" w:themeColor="text1"/>
          <w:sz w:val="24"/>
          <w:u w:val="dotted"/>
        </w:rPr>
      </w:pPr>
      <w:r>
        <w:rPr>
          <w:rFonts w:hint="eastAsia" w:ascii="宋体" w:hAnsi="宋体" w:cs="宋体"/>
          <w:color w:val="000000" w:themeColor="text1"/>
          <w:sz w:val="24"/>
        </w:rPr>
        <w:t>……</w:t>
      </w:r>
    </w:p>
    <w:p w14:paraId="5D7F55D9">
      <w:pPr>
        <w:spacing w:line="360" w:lineRule="auto"/>
        <w:rPr>
          <w:rFonts w:ascii="宋体" w:hAnsi="宋体" w:cs="宋体"/>
          <w:color w:val="000000" w:themeColor="text1"/>
          <w:sz w:val="24"/>
          <w:u w:val="single"/>
        </w:rPr>
      </w:pPr>
      <w:r>
        <w:rPr>
          <w:rFonts w:hint="eastAsia" w:ascii="宋体" w:hAnsi="宋体" w:cs="宋体"/>
          <w:color w:val="000000" w:themeColor="text1"/>
          <w:sz w:val="24"/>
        </w:rPr>
        <w:t>相关供应商：</w:t>
      </w:r>
    </w:p>
    <w:p w14:paraId="1CA0FDC4">
      <w:pPr>
        <w:spacing w:line="360" w:lineRule="auto"/>
        <w:rPr>
          <w:rFonts w:ascii="宋体" w:hAnsi="宋体" w:cs="宋体"/>
          <w:color w:val="000000" w:themeColor="text1"/>
          <w:sz w:val="24"/>
          <w:u w:val="single"/>
        </w:rPr>
      </w:pPr>
      <w:r>
        <w:rPr>
          <w:rFonts w:hint="eastAsia" w:ascii="宋体" w:hAnsi="宋体" w:cs="宋体"/>
          <w:color w:val="000000" w:themeColor="text1"/>
          <w:sz w:val="24"/>
        </w:rPr>
        <w:t>地     址：邮编：</w:t>
      </w:r>
    </w:p>
    <w:p w14:paraId="716EE913">
      <w:pPr>
        <w:spacing w:line="360" w:lineRule="auto"/>
        <w:rPr>
          <w:rFonts w:ascii="宋体" w:hAnsi="宋体" w:cs="宋体"/>
          <w:color w:val="000000" w:themeColor="text1"/>
          <w:sz w:val="24"/>
          <w:u w:val="single"/>
        </w:rPr>
      </w:pPr>
      <w:r>
        <w:rPr>
          <w:rFonts w:hint="eastAsia" w:ascii="宋体" w:hAnsi="宋体" w:cs="宋体"/>
          <w:color w:val="000000" w:themeColor="text1"/>
          <w:sz w:val="24"/>
        </w:rPr>
        <w:t>联系人：联系电话：</w:t>
      </w:r>
    </w:p>
    <w:p w14:paraId="3D3EF145">
      <w:pPr>
        <w:spacing w:line="360" w:lineRule="auto"/>
        <w:rPr>
          <w:rFonts w:ascii="宋体" w:hAnsi="宋体" w:cs="宋体"/>
          <w:color w:val="000000" w:themeColor="text1"/>
          <w:sz w:val="24"/>
        </w:rPr>
      </w:pPr>
      <w:r>
        <w:rPr>
          <w:rFonts w:hint="eastAsia" w:ascii="宋体" w:hAnsi="宋体" w:cs="宋体"/>
          <w:color w:val="000000" w:themeColor="text1"/>
          <w:sz w:val="24"/>
        </w:rPr>
        <w:t>二、投诉项目基本情况</w:t>
      </w:r>
    </w:p>
    <w:p w14:paraId="197066C4">
      <w:pPr>
        <w:spacing w:line="360" w:lineRule="auto"/>
        <w:rPr>
          <w:rFonts w:ascii="宋体" w:hAnsi="宋体" w:cs="宋体"/>
          <w:color w:val="000000" w:themeColor="text1"/>
          <w:sz w:val="24"/>
          <w:u w:val="dotted"/>
        </w:rPr>
      </w:pPr>
      <w:r>
        <w:rPr>
          <w:rFonts w:hint="eastAsia" w:ascii="宋体" w:hAnsi="宋体" w:cs="宋体"/>
          <w:color w:val="000000" w:themeColor="text1"/>
          <w:sz w:val="24"/>
        </w:rPr>
        <w:t>采购项目名称：</w:t>
      </w:r>
    </w:p>
    <w:p w14:paraId="3591EC65">
      <w:pPr>
        <w:spacing w:line="360" w:lineRule="auto"/>
        <w:rPr>
          <w:rFonts w:ascii="宋体" w:hAnsi="宋体" w:cs="宋体"/>
          <w:color w:val="000000" w:themeColor="text1"/>
          <w:sz w:val="24"/>
          <w:u w:val="single"/>
        </w:rPr>
      </w:pPr>
      <w:r>
        <w:rPr>
          <w:rFonts w:hint="eastAsia" w:ascii="宋体" w:hAnsi="宋体" w:cs="宋体"/>
          <w:color w:val="000000" w:themeColor="text1"/>
          <w:sz w:val="24"/>
        </w:rPr>
        <w:t>采购项目编号：包号：</w:t>
      </w:r>
    </w:p>
    <w:p w14:paraId="0967BFEE">
      <w:pPr>
        <w:spacing w:line="360" w:lineRule="auto"/>
        <w:rPr>
          <w:rFonts w:ascii="宋体" w:hAnsi="宋体" w:cs="宋体"/>
          <w:color w:val="000000" w:themeColor="text1"/>
          <w:sz w:val="24"/>
        </w:rPr>
      </w:pPr>
      <w:r>
        <w:rPr>
          <w:rFonts w:hint="eastAsia" w:ascii="宋体" w:hAnsi="宋体" w:cs="宋体"/>
          <w:color w:val="000000" w:themeColor="text1"/>
          <w:sz w:val="24"/>
        </w:rPr>
        <w:t>采购人名称：</w:t>
      </w:r>
    </w:p>
    <w:p w14:paraId="35E8F433">
      <w:pPr>
        <w:spacing w:line="360" w:lineRule="auto"/>
        <w:rPr>
          <w:rFonts w:ascii="宋体" w:hAnsi="宋体" w:cs="宋体"/>
          <w:color w:val="000000" w:themeColor="text1"/>
          <w:sz w:val="24"/>
          <w:u w:val="single"/>
        </w:rPr>
      </w:pPr>
      <w:r>
        <w:rPr>
          <w:rFonts w:hint="eastAsia" w:ascii="宋体" w:hAnsi="宋体" w:cs="宋体"/>
          <w:color w:val="000000" w:themeColor="text1"/>
          <w:sz w:val="24"/>
        </w:rPr>
        <w:t>代理机构名称：</w:t>
      </w:r>
    </w:p>
    <w:p w14:paraId="4657AD31">
      <w:pPr>
        <w:spacing w:line="360" w:lineRule="auto"/>
        <w:rPr>
          <w:rFonts w:ascii="宋体" w:hAnsi="宋体" w:cs="宋体"/>
          <w:color w:val="000000" w:themeColor="text1"/>
          <w:sz w:val="24"/>
          <w:u w:val="dotted"/>
        </w:rPr>
      </w:pPr>
      <w:r>
        <w:rPr>
          <w:rFonts w:hint="eastAsia" w:ascii="宋体" w:hAnsi="宋体" w:cs="宋体"/>
          <w:color w:val="000000" w:themeColor="text1"/>
          <w:sz w:val="24"/>
        </w:rPr>
        <w:t>采购文件公告:</w:t>
      </w:r>
      <w:r>
        <w:rPr>
          <w:rFonts w:hint="eastAsia" w:ascii="宋体" w:hAnsi="宋体" w:cs="宋体"/>
          <w:color w:val="000000" w:themeColor="text1"/>
          <w:sz w:val="24"/>
          <w:u w:val="dotted"/>
        </w:rPr>
        <w:t xml:space="preserve">是/否 </w:t>
      </w:r>
      <w:r>
        <w:rPr>
          <w:rFonts w:hint="eastAsia" w:ascii="宋体" w:hAnsi="宋体" w:cs="宋体"/>
          <w:color w:val="000000" w:themeColor="text1"/>
          <w:sz w:val="24"/>
        </w:rPr>
        <w:t>公告期限：</w:t>
      </w:r>
    </w:p>
    <w:p w14:paraId="36B6D3A6">
      <w:pPr>
        <w:spacing w:line="360" w:lineRule="auto"/>
        <w:rPr>
          <w:rFonts w:ascii="宋体" w:hAnsi="宋体" w:cs="宋体"/>
          <w:color w:val="000000" w:themeColor="text1"/>
          <w:sz w:val="24"/>
          <w:u w:val="single"/>
        </w:rPr>
      </w:pPr>
      <w:r>
        <w:rPr>
          <w:rFonts w:hint="eastAsia" w:ascii="宋体" w:hAnsi="宋体" w:cs="宋体"/>
          <w:color w:val="000000" w:themeColor="text1"/>
          <w:sz w:val="24"/>
        </w:rPr>
        <w:t>采购结果公告:</w:t>
      </w:r>
      <w:r>
        <w:rPr>
          <w:rFonts w:hint="eastAsia" w:ascii="宋体" w:hAnsi="宋体" w:cs="宋体"/>
          <w:color w:val="000000" w:themeColor="text1"/>
          <w:sz w:val="24"/>
          <w:u w:val="dotted"/>
        </w:rPr>
        <w:t xml:space="preserve">是/否 </w:t>
      </w:r>
      <w:r>
        <w:rPr>
          <w:rFonts w:hint="eastAsia" w:ascii="宋体" w:hAnsi="宋体" w:cs="宋体"/>
          <w:color w:val="000000" w:themeColor="text1"/>
          <w:sz w:val="24"/>
        </w:rPr>
        <w:t>公告期限：</w:t>
      </w:r>
    </w:p>
    <w:p w14:paraId="4F18229C">
      <w:pPr>
        <w:spacing w:line="360" w:lineRule="auto"/>
        <w:rPr>
          <w:rFonts w:ascii="宋体" w:hAnsi="宋体" w:cs="宋体"/>
          <w:color w:val="000000" w:themeColor="text1"/>
          <w:sz w:val="24"/>
        </w:rPr>
      </w:pPr>
      <w:r>
        <w:rPr>
          <w:rFonts w:hint="eastAsia" w:ascii="宋体" w:hAnsi="宋体" w:cs="宋体"/>
          <w:color w:val="000000" w:themeColor="text1"/>
          <w:sz w:val="24"/>
        </w:rPr>
        <w:t>三、质疑基本情况</w:t>
      </w:r>
    </w:p>
    <w:p w14:paraId="4F6804A8">
      <w:pPr>
        <w:spacing w:line="360" w:lineRule="auto"/>
        <w:ind w:firstLine="480" w:firstLineChars="200"/>
        <w:rPr>
          <w:rFonts w:ascii="宋体" w:hAnsi="宋体" w:cs="宋体"/>
          <w:color w:val="000000" w:themeColor="text1"/>
          <w:sz w:val="24"/>
          <w:u w:val="dotted"/>
        </w:rPr>
      </w:pPr>
      <w:r>
        <w:rPr>
          <w:rFonts w:hint="eastAsia" w:ascii="宋体" w:hAnsi="宋体" w:cs="宋体"/>
          <w:color w:val="000000" w:themeColor="text1"/>
          <w:sz w:val="24"/>
        </w:rPr>
        <w:t>投诉人于年月日,向提出质疑，质疑事项为：</w:t>
      </w:r>
    </w:p>
    <w:p w14:paraId="0FC9CB52">
      <w:pPr>
        <w:spacing w:line="360" w:lineRule="auto"/>
        <w:rPr>
          <w:rFonts w:ascii="宋体" w:hAnsi="宋体" w:cs="宋体"/>
          <w:color w:val="000000" w:themeColor="text1"/>
          <w:sz w:val="24"/>
          <w:u w:val="dotted"/>
        </w:rPr>
      </w:pPr>
    </w:p>
    <w:p w14:paraId="2F921F4E">
      <w:pPr>
        <w:spacing w:line="360" w:lineRule="auto"/>
        <w:ind w:firstLine="360" w:firstLineChars="150"/>
        <w:rPr>
          <w:rFonts w:ascii="宋体" w:hAnsi="宋体" w:cs="宋体"/>
          <w:color w:val="000000" w:themeColor="text1"/>
          <w:sz w:val="24"/>
        </w:rPr>
      </w:pPr>
      <w:r>
        <w:rPr>
          <w:rFonts w:hint="eastAsia" w:ascii="宋体" w:hAnsi="宋体" w:cs="宋体"/>
          <w:color w:val="000000" w:themeColor="text1"/>
          <w:sz w:val="24"/>
          <w:u w:val="dotted"/>
        </w:rPr>
        <w:t>采购人/代理机构</w:t>
      </w:r>
      <w:r>
        <w:rPr>
          <w:rFonts w:hint="eastAsia" w:ascii="宋体" w:hAnsi="宋体" w:cs="宋体"/>
          <w:color w:val="000000" w:themeColor="text1"/>
          <w:sz w:val="24"/>
        </w:rPr>
        <w:t>于年月日,就质疑事项作出了答复/没有在法定期限内作出答复。</w:t>
      </w:r>
    </w:p>
    <w:p w14:paraId="5B911071">
      <w:pPr>
        <w:spacing w:line="360" w:lineRule="auto"/>
        <w:rPr>
          <w:rFonts w:ascii="宋体" w:hAnsi="宋体" w:cs="宋体"/>
          <w:color w:val="000000" w:themeColor="text1"/>
          <w:sz w:val="24"/>
        </w:rPr>
      </w:pPr>
      <w:r>
        <w:rPr>
          <w:rFonts w:hint="eastAsia" w:ascii="宋体" w:hAnsi="宋体" w:cs="宋体"/>
          <w:color w:val="000000" w:themeColor="text1"/>
          <w:sz w:val="24"/>
        </w:rPr>
        <w:t>四、投诉事项具体内容</w:t>
      </w:r>
    </w:p>
    <w:p w14:paraId="6C326C99">
      <w:pPr>
        <w:spacing w:line="360" w:lineRule="auto"/>
        <w:rPr>
          <w:rFonts w:ascii="宋体" w:hAnsi="宋体" w:cs="宋体"/>
          <w:color w:val="000000" w:themeColor="text1"/>
          <w:sz w:val="24"/>
          <w:u w:val="single"/>
        </w:rPr>
      </w:pPr>
      <w:r>
        <w:rPr>
          <w:rFonts w:hint="eastAsia" w:ascii="宋体" w:hAnsi="宋体" w:cs="宋体"/>
          <w:color w:val="000000" w:themeColor="text1"/>
          <w:sz w:val="24"/>
        </w:rPr>
        <w:t>投诉事项 1：</w:t>
      </w:r>
    </w:p>
    <w:p w14:paraId="4CA8024F">
      <w:pPr>
        <w:spacing w:line="360" w:lineRule="auto"/>
        <w:rPr>
          <w:rFonts w:ascii="宋体" w:hAnsi="宋体" w:cs="宋体"/>
          <w:color w:val="000000" w:themeColor="text1"/>
          <w:sz w:val="24"/>
        </w:rPr>
      </w:pPr>
      <w:r>
        <w:rPr>
          <w:rFonts w:hint="eastAsia" w:ascii="宋体" w:hAnsi="宋体" w:cs="宋体"/>
          <w:color w:val="000000" w:themeColor="text1"/>
          <w:sz w:val="24"/>
        </w:rPr>
        <w:t>事实依据：</w:t>
      </w:r>
    </w:p>
    <w:p w14:paraId="6EBFE960">
      <w:pPr>
        <w:spacing w:line="360" w:lineRule="auto"/>
        <w:rPr>
          <w:rFonts w:ascii="宋体" w:hAnsi="宋体" w:cs="宋体"/>
          <w:color w:val="000000" w:themeColor="text1"/>
          <w:sz w:val="24"/>
          <w:u w:val="dotted"/>
        </w:rPr>
      </w:pPr>
    </w:p>
    <w:p w14:paraId="00FA22F4">
      <w:pPr>
        <w:spacing w:line="360" w:lineRule="auto"/>
        <w:rPr>
          <w:rFonts w:ascii="宋体" w:hAnsi="宋体" w:cs="宋体"/>
          <w:color w:val="000000" w:themeColor="text1"/>
          <w:sz w:val="24"/>
          <w:u w:val="single"/>
        </w:rPr>
      </w:pPr>
      <w:r>
        <w:rPr>
          <w:rFonts w:hint="eastAsia" w:ascii="宋体" w:hAnsi="宋体" w:cs="宋体"/>
          <w:color w:val="000000" w:themeColor="text1"/>
          <w:sz w:val="24"/>
        </w:rPr>
        <w:t>法律依据：</w:t>
      </w:r>
    </w:p>
    <w:p w14:paraId="0CAF830C">
      <w:pPr>
        <w:spacing w:line="360" w:lineRule="auto"/>
        <w:rPr>
          <w:rFonts w:ascii="宋体" w:hAnsi="宋体" w:cs="宋体"/>
          <w:color w:val="000000" w:themeColor="text1"/>
          <w:sz w:val="24"/>
          <w:u w:val="dotted"/>
        </w:rPr>
      </w:pPr>
    </w:p>
    <w:p w14:paraId="1FEA93D9">
      <w:pPr>
        <w:spacing w:line="360" w:lineRule="auto"/>
        <w:rPr>
          <w:rFonts w:ascii="宋体" w:hAnsi="宋体" w:cs="宋体"/>
          <w:color w:val="000000" w:themeColor="text1"/>
          <w:sz w:val="24"/>
        </w:rPr>
      </w:pPr>
      <w:r>
        <w:rPr>
          <w:rFonts w:hint="eastAsia" w:ascii="宋体" w:hAnsi="宋体" w:cs="宋体"/>
          <w:color w:val="000000" w:themeColor="text1"/>
          <w:sz w:val="24"/>
        </w:rPr>
        <w:t>投诉事项2</w:t>
      </w:r>
    </w:p>
    <w:p w14:paraId="6125CBCA">
      <w:pPr>
        <w:spacing w:line="360" w:lineRule="auto"/>
        <w:rPr>
          <w:rFonts w:ascii="宋体" w:hAnsi="宋体" w:cs="宋体"/>
          <w:color w:val="000000" w:themeColor="text1"/>
          <w:sz w:val="24"/>
          <w:u w:val="dotted"/>
        </w:rPr>
      </w:pPr>
      <w:r>
        <w:rPr>
          <w:rFonts w:hint="eastAsia" w:ascii="宋体" w:hAnsi="宋体" w:cs="宋体"/>
          <w:color w:val="000000" w:themeColor="text1"/>
          <w:sz w:val="24"/>
        </w:rPr>
        <w:t>……</w:t>
      </w:r>
    </w:p>
    <w:p w14:paraId="382C42B4">
      <w:pPr>
        <w:spacing w:line="360" w:lineRule="auto"/>
        <w:rPr>
          <w:rFonts w:ascii="宋体" w:hAnsi="宋体" w:cs="宋体"/>
          <w:color w:val="000000" w:themeColor="text1"/>
          <w:sz w:val="24"/>
        </w:rPr>
      </w:pPr>
      <w:r>
        <w:rPr>
          <w:rFonts w:hint="eastAsia" w:ascii="宋体" w:hAnsi="宋体" w:cs="宋体"/>
          <w:color w:val="000000" w:themeColor="text1"/>
          <w:sz w:val="24"/>
        </w:rPr>
        <w:t>五、与投诉事项相关的投诉请求</w:t>
      </w:r>
    </w:p>
    <w:p w14:paraId="5436FB6A">
      <w:pPr>
        <w:spacing w:line="360" w:lineRule="auto"/>
        <w:rPr>
          <w:rFonts w:ascii="宋体" w:hAnsi="宋体" w:cs="宋体"/>
          <w:color w:val="000000" w:themeColor="text1"/>
          <w:sz w:val="24"/>
        </w:rPr>
      </w:pPr>
      <w:r>
        <w:rPr>
          <w:rFonts w:hint="eastAsia" w:ascii="宋体" w:hAnsi="宋体" w:cs="宋体"/>
          <w:color w:val="000000" w:themeColor="text1"/>
          <w:sz w:val="24"/>
        </w:rPr>
        <w:t>请求：</w:t>
      </w:r>
    </w:p>
    <w:p w14:paraId="72B48611">
      <w:pPr>
        <w:spacing w:line="360" w:lineRule="auto"/>
        <w:rPr>
          <w:rFonts w:ascii="宋体" w:hAnsi="宋体" w:cs="宋体"/>
          <w:color w:val="000000" w:themeColor="text1"/>
          <w:sz w:val="24"/>
          <w:u w:val="single"/>
        </w:rPr>
      </w:pPr>
    </w:p>
    <w:p w14:paraId="3AEB84AF">
      <w:pPr>
        <w:spacing w:line="360" w:lineRule="auto"/>
        <w:rPr>
          <w:rFonts w:ascii="宋体" w:hAnsi="宋体" w:cs="宋体"/>
          <w:color w:val="000000" w:themeColor="text1"/>
          <w:sz w:val="24"/>
        </w:rPr>
      </w:pPr>
      <w:r>
        <w:rPr>
          <w:rFonts w:hint="eastAsia" w:ascii="宋体" w:hAnsi="宋体" w:cs="宋体"/>
          <w:color w:val="000000" w:themeColor="text1"/>
          <w:sz w:val="24"/>
        </w:rPr>
        <w:t xml:space="preserve">签字(签章)：                   公章：                      </w:t>
      </w:r>
    </w:p>
    <w:p w14:paraId="5839C712">
      <w:pPr>
        <w:spacing w:line="360" w:lineRule="auto"/>
        <w:rPr>
          <w:rFonts w:ascii="宋体" w:hAnsi="宋体" w:cs="宋体"/>
          <w:color w:val="000000" w:themeColor="text1"/>
          <w:sz w:val="24"/>
        </w:rPr>
      </w:pPr>
      <w:r>
        <w:rPr>
          <w:rFonts w:hint="eastAsia" w:ascii="宋体" w:hAnsi="宋体" w:cs="宋体"/>
          <w:color w:val="000000" w:themeColor="text1"/>
          <w:sz w:val="24"/>
        </w:rPr>
        <w:t xml:space="preserve">日期：    </w:t>
      </w:r>
    </w:p>
    <w:p w14:paraId="39D8D4AC">
      <w:pPr>
        <w:spacing w:line="360" w:lineRule="auto"/>
        <w:rPr>
          <w:rFonts w:ascii="宋体" w:hAnsi="宋体" w:cs="宋体"/>
          <w:b/>
          <w:color w:val="000000" w:themeColor="text1"/>
          <w:sz w:val="24"/>
        </w:rPr>
      </w:pPr>
    </w:p>
    <w:p w14:paraId="7B3DFC6E">
      <w:pPr>
        <w:spacing w:line="360" w:lineRule="auto"/>
        <w:rPr>
          <w:rFonts w:ascii="宋体" w:hAnsi="宋体" w:cs="宋体"/>
          <w:b/>
          <w:color w:val="000000" w:themeColor="text1"/>
          <w:sz w:val="24"/>
        </w:rPr>
      </w:pPr>
    </w:p>
    <w:p w14:paraId="73A3343E">
      <w:pPr>
        <w:spacing w:line="360" w:lineRule="auto"/>
        <w:rPr>
          <w:rFonts w:ascii="宋体" w:hAnsi="宋体" w:cs="宋体"/>
          <w:b/>
          <w:color w:val="000000" w:themeColor="text1"/>
          <w:sz w:val="24"/>
        </w:rPr>
      </w:pPr>
      <w:r>
        <w:rPr>
          <w:rFonts w:hint="eastAsia" w:ascii="宋体" w:hAnsi="宋体" w:cs="宋体"/>
          <w:b/>
          <w:color w:val="000000" w:themeColor="text1"/>
          <w:sz w:val="24"/>
        </w:rPr>
        <w:t>投诉书制作说明：</w:t>
      </w:r>
    </w:p>
    <w:p w14:paraId="60B0B3DC">
      <w:pPr>
        <w:widowControl/>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sz w:val="24"/>
        </w:rPr>
        <w:t>1.投诉人提起投诉时，应当提交投诉书和必要的证明材料，并按照被投诉人和与投诉事项有关的供应商数量提供投诉书副本。</w:t>
      </w:r>
    </w:p>
    <w:p w14:paraId="2A39A779">
      <w:pPr>
        <w:widowControl/>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sz w:val="24"/>
        </w:rPr>
        <w:t>2.投诉人若委托代理人进行投诉的，投诉书应按照要求列明“授权代表”的有关内容，并在附件中提交由</w:t>
      </w:r>
      <w:r>
        <w:rPr>
          <w:rFonts w:hint="eastAsia" w:ascii="宋体" w:hAnsi="宋体" w:cs="宋体"/>
          <w:color w:val="000000" w:themeColor="text1"/>
          <w:kern w:val="0"/>
          <w:sz w:val="24"/>
        </w:rPr>
        <w:t>投诉人签署的授权委托书。授权委托书应当载明代理人的姓名或者名称、代理事项、具体权限、期限和相关事项。</w:t>
      </w:r>
    </w:p>
    <w:p w14:paraId="16C3FE53">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3.投诉人若对项目的某一分包进行投诉，投诉书应列明具体分包号。</w:t>
      </w:r>
    </w:p>
    <w:p w14:paraId="31630CD9">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4.投诉书应简要列明质疑事项，质疑函、质疑答复等作为附件材料提供。</w:t>
      </w:r>
    </w:p>
    <w:p w14:paraId="556BF1B0">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5.投诉书的投诉事项应具体、明确，并有必要的事实依据和法律依据。</w:t>
      </w:r>
    </w:p>
    <w:p w14:paraId="12025C52">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6.投诉书的投诉请求应与投诉事项相关。</w:t>
      </w:r>
    </w:p>
    <w:p w14:paraId="2DB7D150">
      <w:pPr>
        <w:widowControl/>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sz w:val="24"/>
        </w:rPr>
        <w:t>7.投诉人为自然人的，投诉书应当由本人签字；投诉人为法人或者其他组织的，投诉书应当由法定代表人、主要负责人，或者其授权代表签字或者盖章，并加盖公章。</w:t>
      </w:r>
    </w:p>
    <w:p w14:paraId="3D546900">
      <w:pPr>
        <w:spacing w:line="360" w:lineRule="auto"/>
        <w:rPr>
          <w:rFonts w:ascii="宋体" w:hAnsi="宋体" w:cs="宋体"/>
          <w:b/>
          <w:color w:val="000000" w:themeColor="text1"/>
          <w:sz w:val="24"/>
        </w:rPr>
      </w:pPr>
    </w:p>
    <w:p w14:paraId="6EA62D40">
      <w:pPr>
        <w:autoSpaceDE w:val="0"/>
        <w:autoSpaceDN w:val="0"/>
        <w:jc w:val="center"/>
        <w:rPr>
          <w:rFonts w:ascii="宋体" w:hAnsi="宋体" w:cs="宋体"/>
          <w:b/>
          <w:color w:val="000000" w:themeColor="text1"/>
          <w:spacing w:val="6"/>
          <w:sz w:val="32"/>
          <w:szCs w:val="32"/>
        </w:rPr>
      </w:pPr>
    </w:p>
    <w:p w14:paraId="3AECCE4D">
      <w:pPr>
        <w:autoSpaceDE w:val="0"/>
        <w:autoSpaceDN w:val="0"/>
        <w:jc w:val="center"/>
        <w:rPr>
          <w:rFonts w:ascii="宋体" w:hAnsi="宋体" w:cs="宋体"/>
          <w:b/>
          <w:color w:val="000000" w:themeColor="text1"/>
          <w:spacing w:val="6"/>
          <w:sz w:val="32"/>
          <w:szCs w:val="32"/>
        </w:rPr>
      </w:pPr>
    </w:p>
    <w:p w14:paraId="3FC2D019">
      <w:pPr>
        <w:autoSpaceDE w:val="0"/>
        <w:autoSpaceDN w:val="0"/>
        <w:rPr>
          <w:rFonts w:ascii="宋体" w:hAnsi="宋体" w:cs="宋体"/>
          <w:b/>
          <w:bCs/>
          <w:color w:val="000000" w:themeColor="text1"/>
          <w:sz w:val="32"/>
          <w:szCs w:val="32"/>
        </w:rPr>
      </w:pPr>
      <w:r>
        <w:rPr>
          <w:rFonts w:hint="eastAsia" w:ascii="宋体" w:hAnsi="宋体" w:cs="宋体"/>
          <w:b/>
          <w:color w:val="000000" w:themeColor="text1"/>
          <w:spacing w:val="6"/>
          <w:sz w:val="32"/>
          <w:szCs w:val="32"/>
        </w:rPr>
        <w:t>附件4：</w:t>
      </w:r>
      <w:r>
        <w:rPr>
          <w:rFonts w:hint="eastAsia" w:ascii="宋体" w:hAnsi="宋体" w:cs="宋体"/>
          <w:b/>
          <w:bCs/>
          <w:color w:val="000000" w:themeColor="text1"/>
          <w:sz w:val="32"/>
          <w:szCs w:val="32"/>
        </w:rPr>
        <w:t>业务专用章使用说明函</w:t>
      </w:r>
    </w:p>
    <w:p w14:paraId="63F11FD7">
      <w:pPr>
        <w:spacing w:line="360" w:lineRule="auto"/>
        <w:rPr>
          <w:rFonts w:ascii="宋体" w:hAnsi="宋体" w:cs="宋体"/>
          <w:color w:val="000000" w:themeColor="text1"/>
          <w:sz w:val="24"/>
          <w:u w:val="single"/>
        </w:rPr>
      </w:pPr>
    </w:p>
    <w:p w14:paraId="766ACD59">
      <w:pPr>
        <w:spacing w:line="360" w:lineRule="auto"/>
        <w:rPr>
          <w:rFonts w:ascii="宋体" w:hAnsi="宋体" w:cs="宋体"/>
          <w:color w:val="000000" w:themeColor="text1"/>
          <w:sz w:val="24"/>
        </w:rPr>
      </w:pPr>
      <w:r>
        <w:rPr>
          <w:rFonts w:hint="eastAsia" w:ascii="宋体" w:hAnsi="宋体" w:cs="宋体"/>
          <w:color w:val="000000" w:themeColor="text1"/>
          <w:sz w:val="24"/>
          <w:u w:val="single"/>
        </w:rPr>
        <w:t>（采购人）、（采购代理机构）：</w:t>
      </w:r>
    </w:p>
    <w:p w14:paraId="06400838">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kern w:val="0"/>
          <w:sz w:val="24"/>
          <w:lang w:val="zh-CN"/>
        </w:rPr>
        <w:t>我方</w:t>
      </w:r>
      <w:r>
        <w:rPr>
          <w:rFonts w:hint="eastAsia" w:ascii="宋体" w:hAnsi="宋体" w:cs="宋体"/>
          <w:color w:val="000000" w:themeColor="text1"/>
          <w:sz w:val="24"/>
        </w:rPr>
        <w:t>(投标人全称)是中华人民共和国依法登记注册的合法企业，</w:t>
      </w:r>
      <w:r>
        <w:rPr>
          <w:rFonts w:hint="eastAsia" w:ascii="宋体" w:hAnsi="宋体" w:cs="宋体"/>
          <w:bCs/>
          <w:color w:val="000000" w:themeColor="text1"/>
          <w:sz w:val="24"/>
        </w:rPr>
        <w:t>在参加</w:t>
      </w:r>
      <w:r>
        <w:rPr>
          <w:rFonts w:hint="eastAsia" w:ascii="宋体" w:hAnsi="宋体" w:cs="宋体"/>
          <w:color w:val="000000" w:themeColor="text1"/>
          <w:sz w:val="24"/>
        </w:rPr>
        <w:t>你方组织的（项目名称）【招标编号：（采购编号）】</w:t>
      </w:r>
      <w:r>
        <w:rPr>
          <w:rFonts w:hint="eastAsia" w:ascii="宋体" w:hAnsi="宋体" w:cs="宋体"/>
          <w:bCs/>
          <w:color w:val="000000" w:themeColor="text1"/>
          <w:sz w:val="24"/>
        </w:rPr>
        <w:t>投标活动中作如下说明：</w:t>
      </w:r>
      <w:r>
        <w:rPr>
          <w:rFonts w:hint="eastAsia" w:ascii="宋体" w:hAnsi="宋体" w:cs="宋体"/>
          <w:color w:val="000000" w:themeColor="text1"/>
          <w:sz w:val="24"/>
        </w:rPr>
        <w:t xml:space="preserve">我方所使用的“XX专用章”与法定名称章具有同等的法律效力，对使用“XX专用章”的行为予以完全承认，并愿意承担相应责任。   </w:t>
      </w:r>
    </w:p>
    <w:p w14:paraId="51631902">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特此说明。</w:t>
      </w:r>
    </w:p>
    <w:p w14:paraId="4B04151B">
      <w:pPr>
        <w:spacing w:line="360" w:lineRule="auto"/>
        <w:ind w:firstLine="494"/>
        <w:rPr>
          <w:rFonts w:ascii="宋体" w:hAnsi="宋体" w:cs="宋体"/>
          <w:color w:val="000000" w:themeColor="text1"/>
          <w:sz w:val="24"/>
        </w:rPr>
      </w:pPr>
    </w:p>
    <w:p w14:paraId="1EFA91C2">
      <w:pPr>
        <w:spacing w:line="360" w:lineRule="auto"/>
        <w:ind w:firstLine="494"/>
        <w:rPr>
          <w:rFonts w:ascii="宋体" w:hAnsi="宋体" w:cs="宋体"/>
          <w:color w:val="000000" w:themeColor="text1"/>
          <w:sz w:val="24"/>
        </w:rPr>
      </w:pPr>
    </w:p>
    <w:p w14:paraId="6F471D60">
      <w:pPr>
        <w:spacing w:line="360" w:lineRule="auto"/>
        <w:ind w:firstLine="494"/>
        <w:rPr>
          <w:rFonts w:ascii="宋体" w:hAnsi="宋体" w:cs="宋体"/>
          <w:color w:val="000000" w:themeColor="text1"/>
          <w:sz w:val="24"/>
        </w:rPr>
      </w:pPr>
    </w:p>
    <w:p w14:paraId="6A2E7948">
      <w:pPr>
        <w:spacing w:line="360" w:lineRule="auto"/>
        <w:ind w:firstLine="494"/>
        <w:rPr>
          <w:rFonts w:ascii="宋体" w:hAnsi="宋体" w:cs="宋体"/>
          <w:color w:val="000000" w:themeColor="text1"/>
          <w:sz w:val="24"/>
        </w:rPr>
      </w:pPr>
    </w:p>
    <w:p w14:paraId="1470E96A">
      <w:pPr>
        <w:spacing w:line="360" w:lineRule="auto"/>
        <w:ind w:right="480" w:firstLine="4080" w:firstLineChars="1700"/>
        <w:rPr>
          <w:rFonts w:ascii="宋体" w:hAnsi="宋体" w:cs="宋体"/>
          <w:color w:val="000000" w:themeColor="text1"/>
          <w:sz w:val="24"/>
        </w:rPr>
      </w:pPr>
      <w:r>
        <w:rPr>
          <w:rFonts w:hint="eastAsia" w:ascii="宋体" w:hAnsi="宋体" w:cs="宋体"/>
          <w:color w:val="000000" w:themeColor="text1"/>
          <w:sz w:val="24"/>
        </w:rPr>
        <w:t>投标单位（法定名称章）：</w:t>
      </w:r>
    </w:p>
    <w:p w14:paraId="4367B399">
      <w:pPr>
        <w:ind w:right="1440" w:firstLine="494"/>
        <w:jc w:val="center"/>
        <w:rPr>
          <w:rFonts w:ascii="宋体" w:hAnsi="宋体" w:cs="宋体"/>
          <w:color w:val="000000" w:themeColor="text1"/>
          <w:sz w:val="24"/>
        </w:rPr>
      </w:pPr>
      <w:r>
        <w:rPr>
          <w:rFonts w:hint="eastAsia" w:ascii="宋体" w:hAnsi="宋体" w:cs="宋体"/>
          <w:color w:val="000000" w:themeColor="text1"/>
          <w:sz w:val="24"/>
        </w:rPr>
        <w:t xml:space="preserve">                              日期：       年     月     日</w:t>
      </w:r>
    </w:p>
    <w:p w14:paraId="3560801E">
      <w:pPr>
        <w:rPr>
          <w:rFonts w:ascii="宋体" w:hAnsi="宋体" w:cs="宋体"/>
          <w:color w:val="000000" w:themeColor="text1"/>
          <w:sz w:val="24"/>
        </w:rPr>
      </w:pPr>
      <w:r>
        <w:rPr>
          <w:rFonts w:hint="eastAsia" w:ascii="宋体" w:hAnsi="宋体" w:cs="宋体"/>
          <w:b/>
          <w:bCs/>
          <w:color w:val="000000" w:themeColor="text1"/>
          <w:sz w:val="24"/>
        </w:rPr>
        <w:t>附：</w:t>
      </w:r>
    </w:p>
    <w:p w14:paraId="35DF275F">
      <w:pPr>
        <w:spacing w:line="360" w:lineRule="auto"/>
        <w:rPr>
          <w:rFonts w:ascii="宋体" w:hAnsi="宋体" w:cs="宋体"/>
          <w:bCs/>
          <w:color w:val="000000" w:themeColor="text1"/>
          <w:sz w:val="24"/>
        </w:rPr>
      </w:pPr>
      <w:r>
        <w:rPr>
          <w:rFonts w:ascii="宋体" w:hAnsi="宋体" w:cs="宋体"/>
          <w:b/>
          <w:bCs/>
          <w:color w:val="000000" w:themeColor="text1"/>
          <w:sz w:val="24"/>
        </w:rPr>
        <w:pict>
          <v:rect id="Rectangle 17" o:spid="_x0000_s1026" o:spt="1" style="position:absolute;left:0pt;margin-left:238.9pt;margin-top:28.05pt;height:177.45pt;width:212.95pt;z-index:-251657216;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ZAPP9gAAAAKAQAADwAAAAAAAAABACAAAAAiAAAAZHJz&#10;L2Rvd25yZXYueG1sUEsBAhQAFAAAAAgAh07iQDmIR1wEAgAAJgQAAA4AAAAAAAAAAQAgAAAAJwEA&#10;AGRycy9lMm9Eb2MueG1sUEsFBgAAAAAGAAYAWQEAAJ0FAAAAAA==&#10;">
            <v:path/>
            <v:fill focussize="0,0"/>
            <v:stroke miterlimit="2"/>
            <v:imagedata o:title=""/>
            <o:lock v:ext="edit"/>
          </v:rect>
        </w:pict>
      </w:r>
      <w:r>
        <w:rPr>
          <w:rFonts w:ascii="宋体" w:hAnsi="宋体" w:cs="宋体"/>
          <w:b/>
          <w:bCs/>
          <w:color w:val="000000" w:themeColor="text1"/>
          <w:sz w:val="24"/>
        </w:rPr>
        <w:pict>
          <v:rect id="Rectangle 16" o:spid="_x0000_s1027" o:spt="1" style="position:absolute;left:0pt;margin-left:-7.2pt;margin-top:30.3pt;height:177.45pt;width:208.5pt;z-index:-251656192;mso-width-relative:page;mso-height-relative:page;"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YxHptgAAAAKAQAADwAAAAAAAAABACAAAAAiAAAAZHJz&#10;L2Rvd25yZXYueG1sUEsBAhQAFAAAAAgAh07iQDQAvbMEAgAAJgQAAA4AAAAAAAAAAQAgAAAAJwEA&#10;AGRycy9lMm9Eb2MueG1sUEsFBgAAAAAGAAYAWQEAAJ0FAAAAAA==&#10;">
            <v:path/>
            <v:fill focussize="0,0"/>
            <v:stroke miterlimit="2"/>
            <v:imagedata o:title=""/>
            <o:lock v:ext="edit"/>
          </v:rect>
        </w:pict>
      </w:r>
      <w:r>
        <w:rPr>
          <w:rFonts w:hint="eastAsia" w:ascii="宋体" w:hAnsi="宋体" w:cs="宋体"/>
          <w:color w:val="000000" w:themeColor="text1"/>
          <w:sz w:val="24"/>
        </w:rPr>
        <w:t>投标单位法定名称章（印模）                投标单位“XX专用章”（印模）</w:t>
      </w:r>
    </w:p>
    <w:p w14:paraId="0CEBE839">
      <w:pPr>
        <w:autoSpaceDE w:val="0"/>
        <w:autoSpaceDN w:val="0"/>
        <w:jc w:val="center"/>
        <w:rPr>
          <w:rFonts w:ascii="宋体" w:hAnsi="宋体" w:cs="宋体"/>
          <w:b/>
          <w:color w:val="000000" w:themeColor="text1"/>
          <w:spacing w:val="6"/>
          <w:sz w:val="32"/>
          <w:szCs w:val="32"/>
        </w:rPr>
      </w:pPr>
    </w:p>
    <w:p w14:paraId="71DF500C">
      <w:pPr>
        <w:autoSpaceDE w:val="0"/>
        <w:autoSpaceDN w:val="0"/>
        <w:jc w:val="center"/>
        <w:rPr>
          <w:rFonts w:ascii="宋体" w:hAnsi="宋体" w:cs="宋体"/>
          <w:b/>
          <w:color w:val="000000" w:themeColor="text1"/>
          <w:spacing w:val="6"/>
          <w:sz w:val="32"/>
          <w:szCs w:val="32"/>
        </w:rPr>
      </w:pPr>
    </w:p>
    <w:p w14:paraId="3CE28B51">
      <w:pPr>
        <w:autoSpaceDE w:val="0"/>
        <w:autoSpaceDN w:val="0"/>
        <w:jc w:val="center"/>
        <w:rPr>
          <w:rFonts w:ascii="宋体" w:hAnsi="宋体" w:cs="宋体"/>
          <w:b/>
          <w:color w:val="000000" w:themeColor="text1"/>
          <w:spacing w:val="6"/>
          <w:sz w:val="32"/>
          <w:szCs w:val="32"/>
        </w:rPr>
      </w:pPr>
    </w:p>
    <w:p w14:paraId="2333D972">
      <w:pPr>
        <w:autoSpaceDE w:val="0"/>
        <w:autoSpaceDN w:val="0"/>
        <w:jc w:val="center"/>
        <w:rPr>
          <w:rFonts w:ascii="宋体" w:hAnsi="宋体" w:cs="宋体"/>
          <w:b/>
          <w:color w:val="000000" w:themeColor="text1"/>
          <w:spacing w:val="6"/>
          <w:sz w:val="32"/>
          <w:szCs w:val="32"/>
        </w:rPr>
      </w:pPr>
    </w:p>
    <w:p w14:paraId="15B98386">
      <w:pPr>
        <w:autoSpaceDE w:val="0"/>
        <w:autoSpaceDN w:val="0"/>
        <w:jc w:val="center"/>
        <w:rPr>
          <w:rFonts w:ascii="宋体" w:hAnsi="宋体" w:cs="宋体"/>
          <w:b/>
          <w:color w:val="000000" w:themeColor="text1"/>
          <w:spacing w:val="6"/>
          <w:sz w:val="32"/>
          <w:szCs w:val="32"/>
        </w:rPr>
      </w:pPr>
    </w:p>
    <w:p w14:paraId="5E73DE4F">
      <w:pPr>
        <w:autoSpaceDE w:val="0"/>
        <w:autoSpaceDN w:val="0"/>
        <w:jc w:val="center"/>
        <w:rPr>
          <w:rFonts w:ascii="宋体" w:hAnsi="宋体" w:cs="宋体"/>
          <w:b/>
          <w:color w:val="000000" w:themeColor="text1"/>
          <w:spacing w:val="6"/>
          <w:sz w:val="32"/>
          <w:szCs w:val="32"/>
        </w:rPr>
      </w:pPr>
    </w:p>
    <w:p w14:paraId="5AF16DED">
      <w:pPr>
        <w:autoSpaceDE w:val="0"/>
        <w:autoSpaceDN w:val="0"/>
        <w:jc w:val="center"/>
        <w:rPr>
          <w:rFonts w:ascii="宋体" w:hAnsi="宋体" w:cs="宋体"/>
          <w:b/>
          <w:color w:val="000000" w:themeColor="text1"/>
          <w:spacing w:val="6"/>
          <w:sz w:val="32"/>
          <w:szCs w:val="32"/>
        </w:rPr>
      </w:pPr>
    </w:p>
    <w:p w14:paraId="4BA1FB34">
      <w:pPr>
        <w:autoSpaceDE w:val="0"/>
        <w:autoSpaceDN w:val="0"/>
        <w:jc w:val="center"/>
        <w:rPr>
          <w:rFonts w:ascii="宋体" w:hAnsi="宋体" w:cs="宋体"/>
          <w:b/>
          <w:color w:val="000000" w:themeColor="text1"/>
          <w:spacing w:val="6"/>
          <w:sz w:val="32"/>
          <w:szCs w:val="32"/>
        </w:rPr>
      </w:pPr>
    </w:p>
    <w:p w14:paraId="1B9E69C3">
      <w:pPr>
        <w:autoSpaceDE w:val="0"/>
        <w:autoSpaceDN w:val="0"/>
        <w:jc w:val="center"/>
        <w:rPr>
          <w:rFonts w:ascii="宋体" w:hAnsi="宋体" w:cs="宋体"/>
          <w:b/>
          <w:color w:val="000000" w:themeColor="text1"/>
          <w:spacing w:val="6"/>
          <w:sz w:val="32"/>
          <w:szCs w:val="32"/>
        </w:rPr>
      </w:pPr>
    </w:p>
    <w:p w14:paraId="00AB266E">
      <w:pPr>
        <w:autoSpaceDE w:val="0"/>
        <w:autoSpaceDN w:val="0"/>
        <w:jc w:val="center"/>
        <w:rPr>
          <w:rFonts w:ascii="宋体" w:hAnsi="宋体" w:cs="宋体"/>
          <w:b/>
          <w:color w:val="000000" w:themeColor="text1"/>
          <w:spacing w:val="6"/>
          <w:sz w:val="32"/>
          <w:szCs w:val="32"/>
        </w:rPr>
      </w:pPr>
    </w:p>
    <w:p w14:paraId="5EF7382E">
      <w:pPr>
        <w:autoSpaceDE w:val="0"/>
        <w:autoSpaceDN w:val="0"/>
        <w:jc w:val="center"/>
        <w:rPr>
          <w:rFonts w:ascii="宋体" w:hAnsi="宋体" w:cs="宋体"/>
          <w:b/>
          <w:color w:val="000000" w:themeColor="text1"/>
          <w:spacing w:val="6"/>
          <w:sz w:val="32"/>
          <w:szCs w:val="32"/>
        </w:rPr>
      </w:pPr>
    </w:p>
    <w:p w14:paraId="70C00F57">
      <w:pPr>
        <w:autoSpaceDE w:val="0"/>
        <w:autoSpaceDN w:val="0"/>
        <w:jc w:val="center"/>
        <w:rPr>
          <w:rFonts w:ascii="宋体" w:hAnsi="宋体" w:cs="宋体"/>
          <w:b/>
          <w:color w:val="000000" w:themeColor="text1"/>
          <w:spacing w:val="6"/>
          <w:sz w:val="32"/>
          <w:szCs w:val="32"/>
        </w:rPr>
      </w:pPr>
    </w:p>
    <w:p w14:paraId="76E08682">
      <w:pPr>
        <w:autoSpaceDE w:val="0"/>
        <w:autoSpaceDN w:val="0"/>
        <w:jc w:val="center"/>
        <w:rPr>
          <w:rFonts w:ascii="宋体" w:hAnsi="宋体" w:cs="宋体"/>
          <w:b/>
          <w:color w:val="000000" w:themeColor="text1"/>
          <w:spacing w:val="6"/>
          <w:sz w:val="32"/>
          <w:szCs w:val="32"/>
        </w:rPr>
      </w:pPr>
    </w:p>
    <w:p w14:paraId="3B5EA258">
      <w:pPr>
        <w:autoSpaceDE w:val="0"/>
        <w:autoSpaceDN w:val="0"/>
        <w:jc w:val="center"/>
        <w:rPr>
          <w:rFonts w:ascii="宋体" w:hAnsi="宋体" w:cs="宋体"/>
          <w:b/>
          <w:color w:val="000000" w:themeColor="text1"/>
          <w:spacing w:val="6"/>
          <w:sz w:val="32"/>
          <w:szCs w:val="32"/>
        </w:rPr>
      </w:pPr>
    </w:p>
    <w:p w14:paraId="2FB7CF68">
      <w:pPr>
        <w:autoSpaceDE w:val="0"/>
        <w:autoSpaceDN w:val="0"/>
        <w:jc w:val="center"/>
        <w:rPr>
          <w:rFonts w:ascii="宋体" w:hAnsi="宋体" w:cs="宋体"/>
          <w:b/>
          <w:color w:val="000000" w:themeColor="text1"/>
          <w:spacing w:val="6"/>
          <w:sz w:val="32"/>
          <w:szCs w:val="32"/>
        </w:rPr>
      </w:pPr>
    </w:p>
    <w:p w14:paraId="3B7D08B7">
      <w:pPr>
        <w:autoSpaceDE w:val="0"/>
        <w:autoSpaceDN w:val="0"/>
        <w:jc w:val="center"/>
        <w:rPr>
          <w:rFonts w:ascii="宋体" w:hAnsi="宋体" w:cs="宋体"/>
          <w:b/>
          <w:color w:val="000000" w:themeColor="text1"/>
          <w:spacing w:val="6"/>
          <w:sz w:val="32"/>
          <w:szCs w:val="32"/>
        </w:rPr>
      </w:pPr>
    </w:p>
    <w:p w14:paraId="37CD4D7F">
      <w:pPr>
        <w:autoSpaceDE w:val="0"/>
        <w:autoSpaceDN w:val="0"/>
        <w:rPr>
          <w:rFonts w:ascii="宋体" w:hAnsi="宋体" w:cs="宋体"/>
          <w:b/>
          <w:color w:val="000000" w:themeColor="text1"/>
          <w:kern w:val="0"/>
          <w:sz w:val="32"/>
          <w:szCs w:val="32"/>
          <w:lang w:val="zh-CN"/>
        </w:rPr>
      </w:pPr>
      <w:r>
        <w:rPr>
          <w:rFonts w:hint="eastAsia" w:ascii="宋体" w:hAnsi="宋体" w:cs="宋体"/>
          <w:b/>
          <w:color w:val="000000" w:themeColor="text1"/>
          <w:spacing w:val="6"/>
          <w:sz w:val="32"/>
          <w:szCs w:val="32"/>
        </w:rPr>
        <w:t>附件</w:t>
      </w:r>
      <w:r>
        <w:rPr>
          <w:rFonts w:ascii="宋体" w:hAnsi="宋体" w:cs="宋体"/>
          <w:b/>
          <w:color w:val="000000" w:themeColor="text1"/>
          <w:spacing w:val="6"/>
          <w:sz w:val="32"/>
          <w:szCs w:val="32"/>
        </w:rPr>
        <w:t>5</w:t>
      </w:r>
      <w:r>
        <w:rPr>
          <w:rFonts w:hint="eastAsia" w:ascii="宋体" w:hAnsi="宋体" w:cs="宋体"/>
          <w:b/>
          <w:color w:val="000000" w:themeColor="text1"/>
          <w:spacing w:val="6"/>
          <w:sz w:val="32"/>
          <w:szCs w:val="32"/>
        </w:rPr>
        <w:t>：</w:t>
      </w:r>
      <w:r>
        <w:rPr>
          <w:rFonts w:hint="eastAsia" w:ascii="宋体" w:hAnsi="宋体" w:cs="宋体"/>
          <w:b/>
          <w:color w:val="000000" w:themeColor="text1"/>
          <w:kern w:val="0"/>
          <w:sz w:val="32"/>
          <w:szCs w:val="32"/>
          <w:lang w:val="zh-CN"/>
        </w:rPr>
        <w:t>联合协议</w:t>
      </w:r>
    </w:p>
    <w:p w14:paraId="7DA2D172">
      <w:pPr>
        <w:widowControl/>
        <w:spacing w:line="360" w:lineRule="auto"/>
        <w:ind w:firstLine="482" w:firstLineChars="200"/>
        <w:jc w:val="left"/>
        <w:rPr>
          <w:rFonts w:ascii="宋体" w:hAnsi="宋体" w:cs="宋体"/>
          <w:b/>
          <w:color w:val="000000" w:themeColor="text1"/>
          <w:sz w:val="24"/>
        </w:rPr>
      </w:pPr>
      <w:r>
        <w:rPr>
          <w:rFonts w:hint="eastAsia" w:ascii="宋体" w:hAnsi="宋体" w:cs="宋体"/>
          <w:b/>
          <w:color w:val="000000" w:themeColor="text1"/>
          <w:sz w:val="24"/>
        </w:rPr>
        <w:t>（以联合体形式投标的，提供联合协议；本项目不接受联合体投标或者投标人不以联合体形式投标的，则不需要提供）</w:t>
      </w:r>
    </w:p>
    <w:p w14:paraId="2868C56F">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u w:val="single"/>
        </w:rPr>
        <w:t>（联合体所有成员名称）</w:t>
      </w:r>
      <w:r>
        <w:rPr>
          <w:rFonts w:hint="eastAsia" w:ascii="宋体" w:hAnsi="宋体" w:cs="宋体"/>
          <w:color w:val="000000" w:themeColor="text1"/>
          <w:kern w:val="0"/>
          <w:sz w:val="24"/>
        </w:rPr>
        <w:t>自愿</w:t>
      </w:r>
      <w:r>
        <w:rPr>
          <w:rFonts w:hint="eastAsia" w:ascii="宋体" w:hAnsi="宋体" w:cs="宋体"/>
          <w:color w:val="000000" w:themeColor="text1"/>
          <w:kern w:val="0"/>
          <w:sz w:val="24"/>
          <w:lang w:val="zh-CN"/>
        </w:rPr>
        <w:t>组成一个联合体，以一个投标人的身份</w:t>
      </w:r>
      <w:r>
        <w:rPr>
          <w:rFonts w:hint="eastAsia" w:ascii="宋体" w:hAnsi="宋体" w:cs="宋体"/>
          <w:color w:val="000000" w:themeColor="text1"/>
          <w:kern w:val="0"/>
          <w:sz w:val="24"/>
        </w:rPr>
        <w:t>参加</w:t>
      </w:r>
      <w:r>
        <w:rPr>
          <w:rFonts w:hint="eastAsia" w:ascii="宋体" w:hAnsi="宋体" w:cs="宋体"/>
          <w:color w:val="000000" w:themeColor="text1"/>
          <w:sz w:val="24"/>
        </w:rPr>
        <w:t>（项目名称）【招标编号：（采购编号）】</w:t>
      </w:r>
      <w:r>
        <w:rPr>
          <w:rFonts w:hint="eastAsia" w:ascii="宋体" w:hAnsi="宋体" w:cs="宋体"/>
          <w:color w:val="000000" w:themeColor="text1"/>
          <w:kern w:val="0"/>
          <w:sz w:val="24"/>
          <w:lang w:val="zh-CN"/>
        </w:rPr>
        <w:t xml:space="preserve">投标。 </w:t>
      </w:r>
    </w:p>
    <w:p w14:paraId="2667B44F">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一、各方一致决定，</w:t>
      </w:r>
      <w:r>
        <w:rPr>
          <w:rFonts w:hint="eastAsia" w:ascii="宋体" w:hAnsi="宋体" w:cs="宋体"/>
          <w:color w:val="000000" w:themeColor="text1"/>
          <w:kern w:val="0"/>
          <w:sz w:val="24"/>
          <w:u w:val="single"/>
        </w:rPr>
        <w:t>（某联合体成员名称）</w:t>
      </w:r>
      <w:r>
        <w:rPr>
          <w:rFonts w:hint="eastAsia" w:ascii="宋体" w:hAnsi="宋体" w:cs="宋体"/>
          <w:color w:val="000000" w:themeColor="text1"/>
          <w:kern w:val="0"/>
          <w:sz w:val="24"/>
        </w:rPr>
        <w:t>为联合体</w:t>
      </w:r>
      <w:r>
        <w:rPr>
          <w:rFonts w:hint="eastAsia" w:ascii="宋体" w:hAnsi="宋体" w:cs="宋体"/>
          <w:color w:val="000000" w:themeColor="text1"/>
          <w:kern w:val="0"/>
          <w:sz w:val="24"/>
          <w:lang w:val="zh-CN"/>
        </w:rPr>
        <w:t>牵头人</w:t>
      </w:r>
      <w:r>
        <w:rPr>
          <w:rFonts w:hint="eastAsia" w:ascii="宋体" w:hAnsi="宋体" w:cs="宋体"/>
          <w:color w:val="000000" w:themeColor="text1"/>
          <w:sz w:val="24"/>
        </w:rPr>
        <w:t>，代表所有联合体成员负责投标和合同实施阶段的主办、协调工作</w:t>
      </w:r>
      <w:r>
        <w:rPr>
          <w:rFonts w:hint="eastAsia" w:ascii="宋体" w:hAnsi="宋体" w:cs="宋体"/>
          <w:color w:val="000000" w:themeColor="text1"/>
          <w:kern w:val="0"/>
          <w:sz w:val="24"/>
          <w:lang w:val="zh-CN"/>
        </w:rPr>
        <w:t>。</w:t>
      </w:r>
    </w:p>
    <w:p w14:paraId="30E3CFBB">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二、</w:t>
      </w:r>
      <w:r>
        <w:rPr>
          <w:rFonts w:hint="eastAsia" w:ascii="宋体" w:hAnsi="宋体" w:cs="宋体"/>
          <w:color w:val="000000" w:themeColor="text1"/>
          <w:sz w:val="24"/>
        </w:rPr>
        <w:t>所有联合体成员各方签署授权书，授权书载明的</w:t>
      </w:r>
      <w:r>
        <w:rPr>
          <w:rFonts w:hint="eastAsia" w:ascii="宋体" w:hAnsi="宋体" w:cs="宋体"/>
          <w:color w:val="000000" w:themeColor="text1"/>
          <w:kern w:val="0"/>
          <w:sz w:val="24"/>
          <w:lang w:val="zh-CN"/>
        </w:rPr>
        <w:t>授权代表根据招标文件规定及投标内容而对采购人、采购代理机构所作的任何合法承诺，包括书面澄清及相应等均对联合投标各方产生约束力。</w:t>
      </w:r>
    </w:p>
    <w:p w14:paraId="449CBF83">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三、本次联合投标中，分工如下：</w:t>
      </w:r>
    </w:p>
    <w:p w14:paraId="3404EBBA">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u w:val="single"/>
        </w:rPr>
        <w:t>（联合体成员1）</w:t>
      </w:r>
      <w:r>
        <w:rPr>
          <w:rFonts w:hint="eastAsia" w:ascii="宋体" w:hAnsi="宋体" w:cs="宋体"/>
          <w:color w:val="000000" w:themeColor="text1"/>
          <w:kern w:val="0"/>
          <w:sz w:val="24"/>
          <w:lang w:val="zh-CN"/>
        </w:rPr>
        <w:t>承担的工作和义务为：；</w:t>
      </w:r>
    </w:p>
    <w:p w14:paraId="548FC8B6">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u w:val="single"/>
        </w:rPr>
        <w:t>（联合体成员</w:t>
      </w:r>
      <w:r>
        <w:rPr>
          <w:rFonts w:ascii="宋体" w:hAnsi="宋体" w:cs="宋体"/>
          <w:color w:val="000000" w:themeColor="text1"/>
          <w:kern w:val="0"/>
          <w:sz w:val="24"/>
          <w:u w:val="single"/>
        </w:rPr>
        <w:t>2</w:t>
      </w:r>
      <w:r>
        <w:rPr>
          <w:rFonts w:hint="eastAsia" w:ascii="宋体" w:hAnsi="宋体" w:cs="宋体"/>
          <w:color w:val="000000" w:themeColor="text1"/>
          <w:kern w:val="0"/>
          <w:sz w:val="24"/>
          <w:u w:val="single"/>
        </w:rPr>
        <w:t>）</w:t>
      </w:r>
      <w:r>
        <w:rPr>
          <w:rFonts w:hint="eastAsia" w:ascii="宋体" w:hAnsi="宋体" w:cs="宋体"/>
          <w:color w:val="000000" w:themeColor="text1"/>
          <w:kern w:val="0"/>
          <w:sz w:val="24"/>
          <w:lang w:val="zh-CN"/>
        </w:rPr>
        <w:t>承担的工作和义务为：；</w:t>
      </w:r>
    </w:p>
    <w:p w14:paraId="3045764C">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w:t>
      </w:r>
    </w:p>
    <w:p w14:paraId="246FED7D">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四、联合体成员中小企业合同份额。</w:t>
      </w:r>
    </w:p>
    <w:p w14:paraId="7DFC9ECE">
      <w:pPr>
        <w:snapToGrid w:val="0"/>
        <w:spacing w:line="360" w:lineRule="auto"/>
        <w:ind w:firstLine="576"/>
        <w:rPr>
          <w:rFonts w:ascii="宋体" w:hAnsi="宋体" w:cs="宋体"/>
          <w:b/>
          <w:color w:val="000000" w:themeColor="text1"/>
          <w:kern w:val="0"/>
          <w:sz w:val="24"/>
          <w:lang w:val="zh-CN"/>
        </w:rPr>
      </w:pPr>
      <w:r>
        <w:rPr>
          <w:rFonts w:hint="eastAsia" w:ascii="宋体" w:hAnsi="宋体" w:cs="宋体"/>
          <w:color w:val="000000" w:themeColor="text1"/>
          <w:kern w:val="0"/>
          <w:sz w:val="24"/>
          <w:lang w:val="zh-CN"/>
        </w:rPr>
        <w:t>1、</w:t>
      </w:r>
      <w:r>
        <w:rPr>
          <w:rFonts w:hint="eastAsia" w:ascii="宋体" w:hAnsi="宋体" w:cs="宋体"/>
          <w:color w:val="000000" w:themeColor="text1"/>
          <w:kern w:val="0"/>
          <w:sz w:val="24"/>
          <w:u w:val="single"/>
        </w:rPr>
        <w:t>（</w:t>
      </w:r>
      <w:bookmarkStart w:id="506" w:name="_Hlk101131882"/>
      <w:r>
        <w:rPr>
          <w:rFonts w:hint="eastAsia" w:ascii="宋体" w:hAnsi="宋体" w:cs="宋体"/>
          <w:color w:val="000000" w:themeColor="text1"/>
          <w:kern w:val="0"/>
          <w:sz w:val="24"/>
          <w:u w:val="single"/>
        </w:rPr>
        <w:t>联合体成员X</w:t>
      </w:r>
      <w:r>
        <w:rPr>
          <w:rFonts w:ascii="宋体" w:hAnsi="宋体" w:cs="宋体"/>
          <w:color w:val="000000" w:themeColor="text1"/>
          <w:kern w:val="0"/>
          <w:sz w:val="24"/>
          <w:u w:val="single"/>
        </w:rPr>
        <w:t>,</w:t>
      </w:r>
      <w:r>
        <w:rPr>
          <w:rFonts w:hint="eastAsia" w:ascii="宋体" w:hAnsi="宋体" w:cs="宋体"/>
          <w:color w:val="000000" w:themeColor="text1"/>
          <w:kern w:val="0"/>
          <w:sz w:val="24"/>
          <w:u w:val="single"/>
        </w:rPr>
        <w:t>……</w:t>
      </w:r>
      <w:bookmarkEnd w:id="506"/>
      <w:r>
        <w:rPr>
          <w:rFonts w:hint="eastAsia" w:ascii="宋体" w:hAnsi="宋体" w:cs="宋体"/>
          <w:color w:val="000000" w:themeColor="text1"/>
          <w:kern w:val="0"/>
          <w:sz w:val="24"/>
          <w:u w:val="single"/>
        </w:rPr>
        <w:t>）</w:t>
      </w:r>
      <w:r>
        <w:rPr>
          <w:rFonts w:hint="eastAsia" w:ascii="宋体" w:hAnsi="宋体" w:cs="宋体"/>
          <w:color w:val="000000" w:themeColor="text1"/>
          <w:kern w:val="0"/>
          <w:sz w:val="24"/>
        </w:rPr>
        <w:t>提供的服务由小微企业承接，其合同份额占到合同总金额%以上</w:t>
      </w:r>
      <w:r>
        <w:rPr>
          <w:rFonts w:hint="eastAsia" w:ascii="宋体" w:hAnsi="宋体" w:cs="宋体"/>
          <w:color w:val="000000" w:themeColor="text1"/>
          <w:kern w:val="0"/>
          <w:sz w:val="24"/>
          <w:lang w:val="zh-CN"/>
        </w:rPr>
        <w:t>。</w:t>
      </w:r>
      <w:r>
        <w:rPr>
          <w:rFonts w:hint="eastAsia" w:ascii="宋体" w:hAnsi="宋体" w:cs="宋体"/>
          <w:b/>
          <w:color w:val="000000" w:themeColor="text1"/>
          <w:kern w:val="0"/>
          <w:sz w:val="24"/>
          <w:lang w:val="zh-CN"/>
        </w:rPr>
        <w:t>（</w:t>
      </w:r>
      <w:bookmarkStart w:id="507" w:name="_Hlk101133598"/>
      <w:r>
        <w:rPr>
          <w:rFonts w:hint="eastAsia" w:ascii="宋体" w:hAnsi="宋体" w:cs="宋体"/>
          <w:b/>
          <w:color w:val="000000" w:themeColor="text1"/>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rPr>
        <w:t>拟享受以上价格扣除政策的，填写有关内容。</w:t>
      </w:r>
      <w:bookmarkEnd w:id="507"/>
      <w:r>
        <w:rPr>
          <w:rFonts w:hint="eastAsia" w:ascii="宋体" w:hAnsi="宋体" w:cs="宋体"/>
          <w:b/>
          <w:color w:val="000000" w:themeColor="text1"/>
          <w:kern w:val="0"/>
          <w:sz w:val="24"/>
          <w:lang w:val="zh-CN"/>
        </w:rPr>
        <w:t>）</w:t>
      </w:r>
    </w:p>
    <w:p w14:paraId="7F379C31">
      <w:pPr>
        <w:spacing w:line="360" w:lineRule="auto"/>
        <w:ind w:firstLine="480" w:firstLineChars="200"/>
        <w:rPr>
          <w:rFonts w:ascii="宋体" w:hAnsi="宋体" w:cs="宋体"/>
          <w:b/>
          <w:bCs/>
          <w:color w:val="000000" w:themeColor="text1"/>
          <w:kern w:val="0"/>
          <w:sz w:val="24"/>
          <w:lang w:val="zh-CN"/>
        </w:rPr>
      </w:pPr>
      <w:r>
        <w:rPr>
          <w:rFonts w:hint="eastAsia" w:ascii="宋体" w:hAnsi="宋体" w:cs="宋体"/>
          <w:color w:val="000000" w:themeColor="text1"/>
          <w:sz w:val="24"/>
        </w:rPr>
        <w:t>2、</w:t>
      </w:r>
      <w:bookmarkStart w:id="508" w:name="_Hlk101133173"/>
      <w:r>
        <w:rPr>
          <w:rFonts w:hint="eastAsia" w:ascii="宋体" w:hAnsi="宋体" w:cs="宋体"/>
          <w:color w:val="000000" w:themeColor="text1"/>
          <w:sz w:val="24"/>
        </w:rPr>
        <w:t>中小企业合同金额达到%，小微企业合同金额达到%</w:t>
      </w:r>
      <w:r>
        <w:rPr>
          <w:rFonts w:hint="eastAsia" w:ascii="宋体" w:hAnsi="宋体" w:cs="宋体"/>
          <w:color w:val="000000" w:themeColor="text1"/>
          <w:kern w:val="0"/>
          <w:sz w:val="24"/>
          <w:lang w:val="zh-CN"/>
        </w:rPr>
        <w:t>。</w:t>
      </w:r>
      <w:r>
        <w:rPr>
          <w:rFonts w:hint="eastAsia" w:ascii="宋体" w:hAnsi="宋体" w:cs="宋体"/>
          <w:b/>
          <w:bCs/>
          <w:color w:val="000000" w:themeColor="text1"/>
          <w:kern w:val="0"/>
          <w:sz w:val="24"/>
          <w:lang w:val="zh-CN"/>
        </w:rPr>
        <w:t>（</w:t>
      </w:r>
      <w:r>
        <w:rPr>
          <w:rFonts w:hint="eastAsia" w:ascii="宋体" w:hAnsi="宋体" w:cs="宋体"/>
          <w:b/>
          <w:bCs/>
          <w:color w:val="000000" w:themeColor="text1"/>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lang w:val="zh-CN"/>
        </w:rPr>
        <w:t>）</w:t>
      </w:r>
      <w:bookmarkEnd w:id="508"/>
    </w:p>
    <w:p w14:paraId="07104230">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五、如果中标，</w:t>
      </w:r>
      <w:r>
        <w:rPr>
          <w:rFonts w:hint="eastAsia" w:ascii="宋体" w:hAnsi="宋体" w:cs="宋体"/>
          <w:color w:val="000000" w:themeColor="text1"/>
          <w:sz w:val="24"/>
        </w:rPr>
        <w:t>联合体各成员方共同与采购人签订合同，并就采购合同约定的事项对采购人承担连带责任。</w:t>
      </w:r>
    </w:p>
    <w:p w14:paraId="31C1C612">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六、有关本次联合投标的其他事宜：</w:t>
      </w:r>
    </w:p>
    <w:p w14:paraId="2F341DCC">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1、联合体各方不再单独参加或者与其他供应商另外组成联合体参加同一合同项下的政府采购活动。</w:t>
      </w:r>
    </w:p>
    <w:p w14:paraId="12D75979">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2、联合体中有同类资质的各方按照联合体分工承担相同工作的，按照资质等级较低的供应商确定资质等级。</w:t>
      </w:r>
    </w:p>
    <w:p w14:paraId="59E23CCF">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3、本协议提交采购人、采购代理机构后，联合体各方不得以任何形式对上述内容进行修改或撤销。</w:t>
      </w:r>
    </w:p>
    <w:p w14:paraId="40634354">
      <w:pPr>
        <w:snapToGrid w:val="0"/>
        <w:spacing w:line="360" w:lineRule="auto"/>
        <w:ind w:firstLine="5040" w:firstLineChars="21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联合体成员名称(公章)：</w:t>
      </w:r>
    </w:p>
    <w:p w14:paraId="421D0EE1">
      <w:pPr>
        <w:snapToGrid w:val="0"/>
        <w:spacing w:line="360" w:lineRule="auto"/>
        <w:ind w:firstLine="5040" w:firstLineChars="2100"/>
        <w:rPr>
          <w:rStyle w:val="81"/>
          <w:color w:val="000000" w:themeColor="text1"/>
        </w:rPr>
      </w:pPr>
      <w:r>
        <w:rPr>
          <w:rStyle w:val="81"/>
          <w:rFonts w:hint="eastAsia"/>
          <w:color w:val="000000" w:themeColor="text1"/>
        </w:rPr>
        <w:t>法定代表人（负责人） (签名)：</w:t>
      </w:r>
    </w:p>
    <w:p w14:paraId="542FB945">
      <w:pPr>
        <w:snapToGrid w:val="0"/>
        <w:spacing w:line="360" w:lineRule="auto"/>
        <w:ind w:firstLine="5040" w:firstLineChars="2100"/>
        <w:rPr>
          <w:rFonts w:ascii="宋体" w:hAnsi="宋体" w:cs="宋体"/>
          <w:color w:val="000000" w:themeColor="text1"/>
          <w:kern w:val="0"/>
          <w:sz w:val="24"/>
          <w:lang w:val="zh-CN"/>
        </w:rPr>
      </w:pPr>
      <w:r>
        <w:rPr>
          <w:rStyle w:val="81"/>
          <w:rFonts w:hint="eastAsia"/>
          <w:color w:val="000000" w:themeColor="text1"/>
        </w:rPr>
        <w:t>联合体成</w:t>
      </w:r>
      <w:r>
        <w:rPr>
          <w:rFonts w:hint="eastAsia" w:ascii="宋体" w:hAnsi="宋体" w:cs="宋体"/>
          <w:color w:val="000000" w:themeColor="text1"/>
          <w:kern w:val="0"/>
          <w:sz w:val="24"/>
          <w:lang w:val="zh-CN"/>
        </w:rPr>
        <w:t>员名称(公章)：</w:t>
      </w:r>
    </w:p>
    <w:p w14:paraId="3642473A">
      <w:pPr>
        <w:snapToGrid w:val="0"/>
        <w:spacing w:line="360" w:lineRule="auto"/>
        <w:ind w:firstLine="5040" w:firstLineChars="21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法定代表人（负责人） (签名)：</w:t>
      </w:r>
    </w:p>
    <w:p w14:paraId="45DB8DC9">
      <w:pPr>
        <w:snapToGrid w:val="0"/>
        <w:spacing w:line="360" w:lineRule="auto"/>
        <w:ind w:right="960"/>
        <w:jc w:val="center"/>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w:t>
      </w:r>
    </w:p>
    <w:p w14:paraId="67F47D48">
      <w:pPr>
        <w:snapToGrid w:val="0"/>
        <w:spacing w:line="360" w:lineRule="auto"/>
        <w:jc w:val="right"/>
        <w:rPr>
          <w:rFonts w:ascii="宋体" w:hAnsi="宋体" w:cs="宋体"/>
          <w:color w:val="000000" w:themeColor="text1"/>
          <w:kern w:val="0"/>
          <w:sz w:val="24"/>
          <w:lang w:val="zh-CN"/>
        </w:rPr>
      </w:pPr>
      <w:r>
        <w:rPr>
          <w:rFonts w:hint="eastAsia" w:ascii="宋体" w:hAnsi="宋体" w:cs="宋体"/>
          <w:color w:val="000000" w:themeColor="text1"/>
          <w:kern w:val="0"/>
          <w:sz w:val="24"/>
          <w:lang w:val="zh-CN"/>
        </w:rPr>
        <w:t>日期：  年  月   日</w:t>
      </w:r>
    </w:p>
    <w:p w14:paraId="4FF5CFDF">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5E608C8E">
      <w:pPr>
        <w:autoSpaceDE w:val="0"/>
        <w:autoSpaceDN w:val="0"/>
        <w:jc w:val="center"/>
        <w:rPr>
          <w:rFonts w:ascii="宋体" w:hAnsi="宋体" w:cs="宋体"/>
          <w:b/>
          <w:color w:val="000000" w:themeColor="text1"/>
          <w:spacing w:val="6"/>
          <w:sz w:val="32"/>
          <w:szCs w:val="32"/>
        </w:rPr>
      </w:pPr>
    </w:p>
    <w:p w14:paraId="6A07A606">
      <w:pPr>
        <w:autoSpaceDE w:val="0"/>
        <w:autoSpaceDN w:val="0"/>
        <w:jc w:val="center"/>
        <w:rPr>
          <w:rFonts w:ascii="宋体" w:hAnsi="宋体" w:cs="宋体"/>
          <w:b/>
          <w:color w:val="000000" w:themeColor="text1"/>
          <w:spacing w:val="6"/>
          <w:sz w:val="32"/>
          <w:szCs w:val="32"/>
        </w:rPr>
      </w:pPr>
    </w:p>
    <w:p w14:paraId="0E91767A">
      <w:pPr>
        <w:autoSpaceDE w:val="0"/>
        <w:autoSpaceDN w:val="0"/>
        <w:jc w:val="center"/>
        <w:rPr>
          <w:rFonts w:ascii="宋体" w:hAnsi="宋体" w:cs="宋体"/>
          <w:b/>
          <w:color w:val="000000" w:themeColor="text1"/>
          <w:spacing w:val="6"/>
          <w:sz w:val="32"/>
          <w:szCs w:val="32"/>
        </w:rPr>
      </w:pPr>
    </w:p>
    <w:p w14:paraId="4AD33B10">
      <w:pPr>
        <w:autoSpaceDE w:val="0"/>
        <w:autoSpaceDN w:val="0"/>
        <w:jc w:val="center"/>
        <w:rPr>
          <w:rFonts w:ascii="宋体" w:hAnsi="宋体" w:cs="宋体"/>
          <w:b/>
          <w:color w:val="000000" w:themeColor="text1"/>
          <w:spacing w:val="6"/>
          <w:sz w:val="32"/>
          <w:szCs w:val="32"/>
        </w:rPr>
      </w:pPr>
    </w:p>
    <w:p w14:paraId="1DE5CFC3">
      <w:pPr>
        <w:autoSpaceDE w:val="0"/>
        <w:autoSpaceDN w:val="0"/>
        <w:jc w:val="center"/>
        <w:rPr>
          <w:rFonts w:ascii="宋体" w:hAnsi="宋体" w:cs="宋体"/>
          <w:b/>
          <w:color w:val="000000" w:themeColor="text1"/>
          <w:spacing w:val="6"/>
          <w:sz w:val="32"/>
          <w:szCs w:val="32"/>
        </w:rPr>
      </w:pPr>
    </w:p>
    <w:p w14:paraId="102552C8">
      <w:pPr>
        <w:autoSpaceDE w:val="0"/>
        <w:autoSpaceDN w:val="0"/>
        <w:jc w:val="center"/>
        <w:rPr>
          <w:rFonts w:ascii="宋体" w:hAnsi="宋体" w:cs="宋体"/>
          <w:b/>
          <w:color w:val="000000" w:themeColor="text1"/>
          <w:spacing w:val="6"/>
          <w:sz w:val="32"/>
          <w:szCs w:val="32"/>
        </w:rPr>
      </w:pPr>
    </w:p>
    <w:p w14:paraId="7515110D">
      <w:pPr>
        <w:autoSpaceDE w:val="0"/>
        <w:autoSpaceDN w:val="0"/>
        <w:jc w:val="center"/>
        <w:rPr>
          <w:rFonts w:ascii="宋体" w:hAnsi="宋体" w:cs="宋体"/>
          <w:b/>
          <w:color w:val="000000" w:themeColor="text1"/>
          <w:spacing w:val="6"/>
          <w:sz w:val="32"/>
          <w:szCs w:val="32"/>
        </w:rPr>
      </w:pPr>
    </w:p>
    <w:p w14:paraId="30A29A98">
      <w:pPr>
        <w:autoSpaceDE w:val="0"/>
        <w:autoSpaceDN w:val="0"/>
        <w:jc w:val="center"/>
        <w:rPr>
          <w:rFonts w:ascii="宋体" w:hAnsi="宋体" w:cs="宋体"/>
          <w:b/>
          <w:color w:val="000000" w:themeColor="text1"/>
          <w:spacing w:val="6"/>
          <w:sz w:val="32"/>
          <w:szCs w:val="32"/>
        </w:rPr>
      </w:pPr>
    </w:p>
    <w:p w14:paraId="07C11CA7">
      <w:pPr>
        <w:autoSpaceDE w:val="0"/>
        <w:autoSpaceDN w:val="0"/>
        <w:jc w:val="center"/>
        <w:rPr>
          <w:rFonts w:ascii="宋体" w:hAnsi="宋体" w:cs="宋体"/>
          <w:b/>
          <w:color w:val="000000" w:themeColor="text1"/>
          <w:spacing w:val="6"/>
          <w:sz w:val="32"/>
          <w:szCs w:val="32"/>
        </w:rPr>
      </w:pPr>
    </w:p>
    <w:p w14:paraId="47B0E8FF">
      <w:pPr>
        <w:autoSpaceDE w:val="0"/>
        <w:autoSpaceDN w:val="0"/>
        <w:jc w:val="center"/>
        <w:rPr>
          <w:rFonts w:ascii="宋体" w:hAnsi="宋体" w:cs="宋体"/>
          <w:b/>
          <w:color w:val="000000" w:themeColor="text1"/>
          <w:spacing w:val="6"/>
          <w:sz w:val="32"/>
          <w:szCs w:val="32"/>
        </w:rPr>
      </w:pPr>
    </w:p>
    <w:p w14:paraId="1BE93878">
      <w:pPr>
        <w:autoSpaceDE w:val="0"/>
        <w:autoSpaceDN w:val="0"/>
        <w:jc w:val="center"/>
        <w:rPr>
          <w:rFonts w:ascii="宋体" w:hAnsi="宋体" w:cs="宋体"/>
          <w:b/>
          <w:color w:val="000000" w:themeColor="text1"/>
          <w:spacing w:val="6"/>
          <w:sz w:val="32"/>
          <w:szCs w:val="32"/>
        </w:rPr>
      </w:pPr>
    </w:p>
    <w:p w14:paraId="02FD4303">
      <w:pPr>
        <w:autoSpaceDE w:val="0"/>
        <w:autoSpaceDN w:val="0"/>
        <w:jc w:val="center"/>
        <w:rPr>
          <w:rFonts w:ascii="宋体" w:hAnsi="宋体" w:cs="宋体"/>
          <w:b/>
          <w:color w:val="000000" w:themeColor="text1"/>
          <w:spacing w:val="6"/>
          <w:sz w:val="32"/>
          <w:szCs w:val="32"/>
        </w:rPr>
      </w:pPr>
    </w:p>
    <w:p w14:paraId="768B95F7">
      <w:pPr>
        <w:autoSpaceDE w:val="0"/>
        <w:autoSpaceDN w:val="0"/>
        <w:jc w:val="center"/>
        <w:rPr>
          <w:rFonts w:ascii="宋体" w:hAnsi="宋体" w:cs="宋体"/>
          <w:b/>
          <w:color w:val="000000" w:themeColor="text1"/>
          <w:spacing w:val="6"/>
          <w:sz w:val="32"/>
          <w:szCs w:val="32"/>
        </w:rPr>
      </w:pPr>
    </w:p>
    <w:p w14:paraId="5A6E9772">
      <w:pPr>
        <w:autoSpaceDE w:val="0"/>
        <w:autoSpaceDN w:val="0"/>
        <w:jc w:val="center"/>
        <w:rPr>
          <w:rFonts w:ascii="宋体" w:hAnsi="宋体" w:cs="宋体"/>
          <w:b/>
          <w:color w:val="000000" w:themeColor="text1"/>
          <w:spacing w:val="6"/>
          <w:sz w:val="32"/>
          <w:szCs w:val="32"/>
        </w:rPr>
      </w:pPr>
    </w:p>
    <w:p w14:paraId="24D760A0">
      <w:pPr>
        <w:autoSpaceDE w:val="0"/>
        <w:autoSpaceDN w:val="0"/>
        <w:jc w:val="center"/>
        <w:rPr>
          <w:rFonts w:ascii="宋体" w:hAnsi="宋体" w:cs="宋体"/>
          <w:b/>
          <w:color w:val="000000" w:themeColor="text1"/>
          <w:spacing w:val="6"/>
          <w:sz w:val="32"/>
          <w:szCs w:val="32"/>
        </w:rPr>
      </w:pPr>
    </w:p>
    <w:p w14:paraId="3CA7DF0D">
      <w:pPr>
        <w:autoSpaceDE w:val="0"/>
        <w:autoSpaceDN w:val="0"/>
        <w:jc w:val="center"/>
        <w:rPr>
          <w:rFonts w:ascii="宋体" w:hAnsi="宋体" w:cs="宋体"/>
          <w:b/>
          <w:color w:val="000000" w:themeColor="text1"/>
          <w:spacing w:val="6"/>
          <w:sz w:val="32"/>
          <w:szCs w:val="32"/>
        </w:rPr>
      </w:pPr>
    </w:p>
    <w:p w14:paraId="7E8EE4EF">
      <w:pPr>
        <w:autoSpaceDE w:val="0"/>
        <w:autoSpaceDN w:val="0"/>
        <w:jc w:val="center"/>
        <w:rPr>
          <w:rFonts w:ascii="宋体" w:hAnsi="宋体" w:cs="宋体"/>
          <w:b/>
          <w:color w:val="000000" w:themeColor="text1"/>
          <w:spacing w:val="6"/>
          <w:sz w:val="32"/>
          <w:szCs w:val="32"/>
        </w:rPr>
      </w:pPr>
    </w:p>
    <w:p w14:paraId="2200971F">
      <w:pPr>
        <w:autoSpaceDE w:val="0"/>
        <w:autoSpaceDN w:val="0"/>
        <w:jc w:val="center"/>
        <w:rPr>
          <w:rFonts w:ascii="宋体" w:hAnsi="宋体" w:cs="宋体"/>
          <w:b/>
          <w:color w:val="000000" w:themeColor="text1"/>
          <w:spacing w:val="6"/>
          <w:sz w:val="32"/>
          <w:szCs w:val="32"/>
        </w:rPr>
      </w:pPr>
    </w:p>
    <w:p w14:paraId="3A2F5C88">
      <w:pPr>
        <w:autoSpaceDE w:val="0"/>
        <w:autoSpaceDN w:val="0"/>
        <w:jc w:val="center"/>
        <w:rPr>
          <w:rFonts w:ascii="宋体" w:hAnsi="宋体" w:cs="宋体"/>
          <w:b/>
          <w:color w:val="000000" w:themeColor="text1"/>
          <w:spacing w:val="6"/>
          <w:sz w:val="32"/>
          <w:szCs w:val="32"/>
        </w:rPr>
      </w:pPr>
    </w:p>
    <w:p w14:paraId="33C3E7EA">
      <w:pPr>
        <w:autoSpaceDE w:val="0"/>
        <w:autoSpaceDN w:val="0"/>
        <w:jc w:val="center"/>
        <w:rPr>
          <w:rFonts w:ascii="宋体" w:hAnsi="宋体" w:cs="宋体"/>
          <w:b/>
          <w:color w:val="000000" w:themeColor="text1"/>
          <w:spacing w:val="6"/>
          <w:sz w:val="32"/>
          <w:szCs w:val="32"/>
        </w:rPr>
      </w:pPr>
    </w:p>
    <w:p w14:paraId="1885454F">
      <w:pPr>
        <w:autoSpaceDE w:val="0"/>
        <w:autoSpaceDN w:val="0"/>
        <w:jc w:val="center"/>
        <w:rPr>
          <w:rFonts w:ascii="宋体" w:hAnsi="宋体" w:cs="宋体"/>
          <w:b/>
          <w:color w:val="000000" w:themeColor="text1"/>
          <w:spacing w:val="6"/>
          <w:sz w:val="32"/>
          <w:szCs w:val="32"/>
        </w:rPr>
      </w:pPr>
    </w:p>
    <w:p w14:paraId="3D01E618">
      <w:pPr>
        <w:autoSpaceDE w:val="0"/>
        <w:autoSpaceDN w:val="0"/>
        <w:jc w:val="center"/>
        <w:rPr>
          <w:rFonts w:ascii="宋体" w:hAnsi="宋体" w:cs="宋体"/>
          <w:b/>
          <w:color w:val="000000" w:themeColor="text1"/>
          <w:spacing w:val="6"/>
          <w:sz w:val="32"/>
          <w:szCs w:val="32"/>
        </w:rPr>
      </w:pPr>
    </w:p>
    <w:p w14:paraId="6F4D9C02">
      <w:pPr>
        <w:autoSpaceDE w:val="0"/>
        <w:autoSpaceDN w:val="0"/>
        <w:jc w:val="center"/>
        <w:rPr>
          <w:rFonts w:ascii="宋体" w:hAnsi="宋体" w:cs="宋体"/>
          <w:b/>
          <w:color w:val="000000" w:themeColor="text1"/>
          <w:spacing w:val="6"/>
          <w:sz w:val="32"/>
          <w:szCs w:val="32"/>
        </w:rPr>
      </w:pPr>
    </w:p>
    <w:p w14:paraId="62E94764">
      <w:pPr>
        <w:snapToGrid w:val="0"/>
        <w:spacing w:line="360" w:lineRule="auto"/>
        <w:rPr>
          <w:rFonts w:hint="eastAsia" w:ascii="宋体" w:hAnsi="宋体" w:cs="宋体"/>
          <w:b/>
          <w:color w:val="000000" w:themeColor="text1"/>
          <w:spacing w:val="6"/>
          <w:sz w:val="32"/>
          <w:szCs w:val="32"/>
        </w:rPr>
      </w:pPr>
    </w:p>
    <w:p w14:paraId="57C10994">
      <w:pPr>
        <w:snapToGrid w:val="0"/>
        <w:spacing w:line="360" w:lineRule="auto"/>
        <w:rPr>
          <w:rFonts w:ascii="宋体" w:hAnsi="宋体" w:cs="宋体"/>
          <w:b/>
          <w:color w:val="000000" w:themeColor="text1"/>
          <w:kern w:val="0"/>
          <w:sz w:val="32"/>
          <w:szCs w:val="32"/>
        </w:rPr>
      </w:pPr>
      <w:r>
        <w:rPr>
          <w:rFonts w:hint="eastAsia" w:ascii="宋体" w:hAnsi="宋体" w:cs="宋体"/>
          <w:b/>
          <w:color w:val="000000" w:themeColor="text1"/>
          <w:spacing w:val="6"/>
          <w:sz w:val="32"/>
          <w:szCs w:val="32"/>
        </w:rPr>
        <w:t>附件</w:t>
      </w:r>
      <w:r>
        <w:rPr>
          <w:rFonts w:ascii="宋体" w:hAnsi="宋体" w:cs="宋体"/>
          <w:b/>
          <w:color w:val="000000" w:themeColor="text1"/>
          <w:spacing w:val="6"/>
          <w:sz w:val="32"/>
          <w:szCs w:val="32"/>
        </w:rPr>
        <w:t>6</w:t>
      </w:r>
      <w:r>
        <w:rPr>
          <w:rFonts w:hint="eastAsia" w:ascii="宋体" w:hAnsi="宋体" w:cs="宋体"/>
          <w:b/>
          <w:color w:val="000000" w:themeColor="text1"/>
          <w:spacing w:val="6"/>
          <w:sz w:val="32"/>
          <w:szCs w:val="32"/>
        </w:rPr>
        <w:t>：</w:t>
      </w:r>
      <w:r>
        <w:rPr>
          <w:rFonts w:hint="eastAsia" w:ascii="宋体" w:hAnsi="宋体" w:cs="宋体"/>
          <w:b/>
          <w:color w:val="000000" w:themeColor="text1"/>
          <w:kern w:val="0"/>
          <w:sz w:val="32"/>
          <w:szCs w:val="32"/>
        </w:rPr>
        <w:t>分包意向协议</w:t>
      </w:r>
    </w:p>
    <w:p w14:paraId="374840FC">
      <w:pPr>
        <w:widowControl/>
        <w:spacing w:line="360" w:lineRule="auto"/>
        <w:ind w:firstLine="120" w:firstLineChars="50"/>
        <w:jc w:val="left"/>
        <w:rPr>
          <w:rFonts w:ascii="宋体" w:hAnsi="宋体" w:cs="宋体"/>
          <w:color w:val="000000" w:themeColor="text1"/>
          <w:sz w:val="24"/>
        </w:rPr>
      </w:pPr>
      <w:r>
        <w:rPr>
          <w:rFonts w:hint="eastAsia" w:ascii="宋体" w:hAnsi="宋体" w:cs="宋体"/>
          <w:color w:val="000000" w:themeColor="text1"/>
          <w:sz w:val="24"/>
        </w:rPr>
        <w:t>（</w:t>
      </w:r>
      <w:r>
        <w:rPr>
          <w:rFonts w:hint="eastAsia" w:ascii="宋体" w:hAnsi="宋体" w:cs="宋体"/>
          <w:b/>
          <w:color w:val="000000" w:themeColor="text1"/>
          <w:sz w:val="24"/>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rPr>
        <w:t>）</w:t>
      </w:r>
    </w:p>
    <w:p w14:paraId="79F8FEF9">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u w:val="single"/>
        </w:rPr>
        <w:t>（投标人名称）</w:t>
      </w:r>
      <w:r>
        <w:rPr>
          <w:rFonts w:hint="eastAsia" w:ascii="宋体" w:hAnsi="宋体" w:cs="宋体"/>
          <w:color w:val="000000" w:themeColor="text1"/>
          <w:kern w:val="0"/>
          <w:sz w:val="24"/>
          <w:lang w:val="zh-CN"/>
        </w:rPr>
        <w:t>若成为</w:t>
      </w:r>
      <w:r>
        <w:rPr>
          <w:rFonts w:hint="eastAsia" w:ascii="宋体" w:hAnsi="宋体" w:cs="宋体"/>
          <w:color w:val="000000" w:themeColor="text1"/>
          <w:sz w:val="24"/>
        </w:rPr>
        <w:t>（项目名称）【招标编号：（采购编号）】</w:t>
      </w:r>
      <w:r>
        <w:rPr>
          <w:rFonts w:hint="eastAsia" w:ascii="宋体" w:hAnsi="宋体" w:cs="宋体"/>
          <w:color w:val="000000" w:themeColor="text1"/>
          <w:kern w:val="0"/>
          <w:sz w:val="24"/>
          <w:lang w:val="zh-CN"/>
        </w:rPr>
        <w:t>的中标供应商，将依法采取分包方式履行合同。</w:t>
      </w:r>
      <w:r>
        <w:rPr>
          <w:rFonts w:hint="eastAsia" w:ascii="宋体" w:hAnsi="宋体" w:cs="宋体"/>
          <w:color w:val="000000" w:themeColor="text1"/>
          <w:kern w:val="0"/>
          <w:sz w:val="24"/>
          <w:u w:val="single"/>
        </w:rPr>
        <w:t>（投标人名称）</w:t>
      </w:r>
      <w:r>
        <w:rPr>
          <w:rFonts w:hint="eastAsia" w:ascii="宋体" w:hAnsi="宋体" w:cs="宋体"/>
          <w:color w:val="000000" w:themeColor="text1"/>
          <w:kern w:val="0"/>
          <w:sz w:val="24"/>
        </w:rPr>
        <w:t>与</w:t>
      </w:r>
      <w:r>
        <w:rPr>
          <w:rFonts w:hint="eastAsia" w:ascii="宋体" w:hAnsi="宋体" w:cs="宋体"/>
          <w:color w:val="000000" w:themeColor="text1"/>
          <w:kern w:val="0"/>
          <w:sz w:val="24"/>
          <w:u w:val="single"/>
        </w:rPr>
        <w:t>（所有分包供应商名称）</w:t>
      </w:r>
      <w:r>
        <w:rPr>
          <w:rFonts w:hint="eastAsia" w:ascii="宋体" w:hAnsi="宋体" w:cs="宋体"/>
          <w:color w:val="000000" w:themeColor="text1"/>
          <w:kern w:val="0"/>
          <w:sz w:val="24"/>
        </w:rPr>
        <w:t>达成分包意向协议</w:t>
      </w:r>
      <w:r>
        <w:rPr>
          <w:rFonts w:hint="eastAsia" w:ascii="宋体" w:hAnsi="宋体" w:cs="宋体"/>
          <w:color w:val="000000" w:themeColor="text1"/>
          <w:kern w:val="0"/>
          <w:sz w:val="24"/>
          <w:lang w:val="zh-CN"/>
        </w:rPr>
        <w:t xml:space="preserve">。 </w:t>
      </w:r>
    </w:p>
    <w:p w14:paraId="4C11AED4">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一、分包标的及数量</w:t>
      </w:r>
    </w:p>
    <w:p w14:paraId="50B2BB70">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u w:val="single"/>
        </w:rPr>
        <w:t>（投标人名称）</w:t>
      </w:r>
      <w:r>
        <w:rPr>
          <w:rFonts w:hint="eastAsia" w:ascii="宋体" w:hAnsi="宋体" w:cs="宋体"/>
          <w:color w:val="000000" w:themeColor="text1"/>
          <w:kern w:val="0"/>
          <w:sz w:val="24"/>
          <w:lang w:val="zh-CN"/>
        </w:rPr>
        <w:t>将</w:t>
      </w:r>
      <w:r>
        <w:rPr>
          <w:rFonts w:ascii="宋体" w:hAnsi="宋体" w:cs="宋体"/>
          <w:color w:val="000000" w:themeColor="text1"/>
          <w:kern w:val="0"/>
          <w:sz w:val="24"/>
          <w:u w:val="single"/>
        </w:rPr>
        <w:t xml:space="preserve"> XX工作内容   </w:t>
      </w:r>
      <w:r>
        <w:rPr>
          <w:rFonts w:hint="eastAsia" w:ascii="宋体" w:hAnsi="宋体" w:cs="宋体"/>
          <w:color w:val="000000" w:themeColor="text1"/>
          <w:sz w:val="24"/>
        </w:rPr>
        <w:t>分包给</w:t>
      </w:r>
      <w:r>
        <w:rPr>
          <w:rFonts w:hint="eastAsia" w:ascii="宋体" w:hAnsi="宋体" w:cs="宋体"/>
          <w:color w:val="000000" w:themeColor="text1"/>
          <w:kern w:val="0"/>
          <w:sz w:val="24"/>
          <w:u w:val="single"/>
        </w:rPr>
        <w:t>（分包供应商1名称）</w:t>
      </w:r>
      <w:r>
        <w:rPr>
          <w:rFonts w:hint="eastAsia" w:ascii="宋体" w:hAnsi="宋体" w:cs="宋体"/>
          <w:color w:val="000000" w:themeColor="text1"/>
          <w:kern w:val="0"/>
          <w:sz w:val="24"/>
          <w:lang w:val="zh-CN"/>
        </w:rPr>
        <w:t>，</w:t>
      </w:r>
      <w:r>
        <w:rPr>
          <w:rFonts w:hint="eastAsia" w:ascii="宋体" w:hAnsi="宋体" w:cs="宋体"/>
          <w:color w:val="000000" w:themeColor="text1"/>
          <w:kern w:val="0"/>
          <w:sz w:val="24"/>
          <w:u w:val="single"/>
        </w:rPr>
        <w:t>（分包供应商2名称），</w:t>
      </w:r>
      <w:r>
        <w:rPr>
          <w:rFonts w:hint="eastAsia" w:ascii="宋体" w:hAnsi="宋体" w:cs="宋体"/>
          <w:color w:val="000000" w:themeColor="text1"/>
          <w:kern w:val="0"/>
          <w:sz w:val="24"/>
          <w:lang w:val="zh-CN"/>
        </w:rPr>
        <w:t>具备承</w:t>
      </w:r>
      <w:r>
        <w:rPr>
          <w:rFonts w:hint="eastAsia" w:ascii="宋体" w:hAnsi="宋体" w:cs="宋体"/>
          <w:color w:val="000000" w:themeColor="text1"/>
          <w:kern w:val="0"/>
          <w:sz w:val="24"/>
        </w:rPr>
        <w:t>担</w:t>
      </w:r>
      <w:r>
        <w:rPr>
          <w:rFonts w:hint="eastAsia" w:ascii="宋体" w:hAnsi="宋体" w:cs="宋体"/>
          <w:color w:val="000000" w:themeColor="text1"/>
          <w:kern w:val="0"/>
          <w:sz w:val="24"/>
          <w:u w:val="single"/>
          <w:lang w:val="zh-CN"/>
        </w:rPr>
        <w:t>XX工作内容</w:t>
      </w:r>
      <w:r>
        <w:rPr>
          <w:rFonts w:hint="eastAsia" w:ascii="宋体" w:hAnsi="宋体" w:cs="宋体"/>
          <w:color w:val="000000" w:themeColor="text1"/>
          <w:kern w:val="0"/>
          <w:sz w:val="24"/>
          <w:lang w:val="zh-CN"/>
        </w:rPr>
        <w:t>相应资质条件且不得再次分包；</w:t>
      </w:r>
    </w:p>
    <w:p w14:paraId="6FCB565A">
      <w:pPr>
        <w:pStyle w:val="82"/>
        <w:rPr>
          <w:color w:val="000000" w:themeColor="text1"/>
        </w:rPr>
      </w:pPr>
      <w:r>
        <w:rPr>
          <w:rFonts w:hint="eastAsia"/>
          <w:color w:val="000000" w:themeColor="text1"/>
        </w:rPr>
        <w:t>……</w:t>
      </w:r>
    </w:p>
    <w:p w14:paraId="3678CE1D">
      <w:pPr>
        <w:rPr>
          <w:color w:val="000000" w:themeColor="text1"/>
        </w:rPr>
      </w:pPr>
    </w:p>
    <w:p w14:paraId="55A56545">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二、分包供应商中小企业合同份额</w:t>
      </w:r>
    </w:p>
    <w:p w14:paraId="7B117A41">
      <w:pPr>
        <w:snapToGrid w:val="0"/>
        <w:spacing w:line="360" w:lineRule="auto"/>
        <w:ind w:firstLine="576"/>
        <w:rPr>
          <w:rFonts w:ascii="宋体" w:hAnsi="宋体" w:cs="宋体"/>
          <w:b/>
          <w:color w:val="000000" w:themeColor="text1"/>
          <w:kern w:val="0"/>
          <w:sz w:val="24"/>
          <w:lang w:val="zh-CN"/>
        </w:rPr>
      </w:pPr>
      <w:r>
        <w:rPr>
          <w:rFonts w:ascii="宋体" w:hAnsi="宋体" w:cs="宋体"/>
          <w:color w:val="000000" w:themeColor="text1"/>
          <w:kern w:val="0"/>
          <w:sz w:val="24"/>
        </w:rPr>
        <w:t>1、</w:t>
      </w:r>
      <w:r>
        <w:rPr>
          <w:rFonts w:hint="eastAsia" w:ascii="宋体" w:hAnsi="宋体" w:cs="宋体"/>
          <w:color w:val="000000" w:themeColor="text1"/>
          <w:kern w:val="0"/>
          <w:sz w:val="24"/>
          <w:u w:val="single"/>
        </w:rPr>
        <w:t>（分包供应商X</w:t>
      </w:r>
      <w:r>
        <w:rPr>
          <w:rFonts w:ascii="宋体" w:hAnsi="宋体" w:cs="宋体"/>
          <w:color w:val="000000" w:themeColor="text1"/>
          <w:kern w:val="0"/>
          <w:sz w:val="24"/>
          <w:u w:val="single"/>
        </w:rPr>
        <w:t>,</w:t>
      </w:r>
      <w:r>
        <w:rPr>
          <w:rFonts w:hint="eastAsia" w:ascii="宋体" w:hAnsi="宋体" w:cs="宋体"/>
          <w:color w:val="000000" w:themeColor="text1"/>
          <w:kern w:val="0"/>
          <w:sz w:val="24"/>
          <w:u w:val="single"/>
        </w:rPr>
        <w:t>……）提供的服务全部由小微企业承接，</w:t>
      </w:r>
      <w:r>
        <w:rPr>
          <w:rFonts w:hint="eastAsia" w:ascii="宋体" w:hAnsi="宋体" w:cs="宋体"/>
          <w:color w:val="000000" w:themeColor="text1"/>
          <w:kern w:val="0"/>
          <w:sz w:val="24"/>
        </w:rPr>
        <w:t>其合同份额占到合同总金额%以上</w:t>
      </w:r>
      <w:r>
        <w:rPr>
          <w:rFonts w:hint="eastAsia" w:ascii="宋体" w:hAnsi="宋体" w:cs="宋体"/>
          <w:color w:val="000000" w:themeColor="text1"/>
        </w:rPr>
        <w:t>。</w:t>
      </w:r>
      <w:r>
        <w:rPr>
          <w:rFonts w:hint="eastAsia" w:ascii="宋体" w:hAnsi="宋体" w:cs="宋体"/>
          <w:b/>
          <w:color w:val="000000" w:themeColor="text1"/>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rPr>
        <w:t>拟享受以上价格扣除政策的，填写有关内容。</w:t>
      </w:r>
      <w:r>
        <w:rPr>
          <w:rFonts w:hint="eastAsia" w:ascii="宋体" w:hAnsi="宋体" w:cs="宋体"/>
          <w:b/>
          <w:color w:val="000000" w:themeColor="text1"/>
          <w:kern w:val="0"/>
          <w:sz w:val="24"/>
          <w:lang w:val="zh-CN"/>
        </w:rPr>
        <w:t>）</w:t>
      </w:r>
    </w:p>
    <w:p w14:paraId="1971F9D4">
      <w:pPr>
        <w:spacing w:line="360" w:lineRule="auto"/>
        <w:ind w:firstLine="480" w:firstLineChars="200"/>
        <w:rPr>
          <w:rFonts w:ascii="宋体" w:hAnsi="宋体" w:cs="宋体"/>
          <w:b/>
          <w:bCs/>
          <w:color w:val="000000" w:themeColor="text1"/>
          <w:kern w:val="0"/>
          <w:sz w:val="24"/>
          <w:lang w:val="zh-CN"/>
        </w:rPr>
      </w:pPr>
      <w:r>
        <w:rPr>
          <w:rFonts w:hint="eastAsia" w:ascii="宋体" w:hAnsi="宋体" w:cs="宋体"/>
          <w:color w:val="000000" w:themeColor="text1"/>
          <w:sz w:val="24"/>
        </w:rPr>
        <w:t>2、中小企业合同金额达到%，小微企业合同金额达到%</w:t>
      </w:r>
      <w:r>
        <w:rPr>
          <w:rFonts w:hint="eastAsia" w:ascii="宋体" w:hAnsi="宋体" w:cs="宋体"/>
          <w:color w:val="000000" w:themeColor="text1"/>
          <w:kern w:val="0"/>
          <w:sz w:val="24"/>
          <w:lang w:val="zh-CN"/>
        </w:rPr>
        <w:t>。</w:t>
      </w:r>
      <w:r>
        <w:rPr>
          <w:rFonts w:hint="eastAsia" w:ascii="宋体" w:hAnsi="宋体" w:cs="宋体"/>
          <w:b/>
          <w:bCs/>
          <w:color w:val="000000" w:themeColor="text1"/>
          <w:kern w:val="0"/>
          <w:sz w:val="24"/>
          <w:lang w:val="zh-CN"/>
        </w:rPr>
        <w:t>（</w:t>
      </w:r>
      <w:r>
        <w:rPr>
          <w:rFonts w:hint="eastAsia" w:ascii="宋体" w:hAnsi="宋体" w:cs="宋体"/>
          <w:b/>
          <w:bCs/>
          <w:color w:val="000000" w:themeColor="text1"/>
          <w:sz w:val="24"/>
        </w:rPr>
        <w:t>要求合同分包形式参加的项目或采购包，供应商按招标文件第一部分招标公告申请人的资格要求中规定的</w:t>
      </w:r>
      <w:r>
        <w:rPr>
          <w:rFonts w:hint="eastAsia" w:ascii="宋体" w:hAnsi="宋体" w:cs="宋体"/>
          <w:b/>
          <w:color w:val="000000" w:themeColor="text1"/>
          <w:kern w:val="0"/>
          <w:sz w:val="24"/>
          <w:lang w:val="zh-CN"/>
        </w:rPr>
        <w:t>分包意向协议</w:t>
      </w:r>
      <w:r>
        <w:rPr>
          <w:rFonts w:hint="eastAsia" w:ascii="宋体" w:hAnsi="宋体" w:cs="宋体"/>
          <w:b/>
          <w:bCs/>
          <w:color w:val="000000" w:themeColor="text1"/>
          <w:sz w:val="24"/>
        </w:rPr>
        <w:t>中中小企业、小微企业合同金额应当达到的比例要求填写。</w:t>
      </w:r>
      <w:r>
        <w:rPr>
          <w:rFonts w:hint="eastAsia" w:ascii="宋体" w:hAnsi="宋体" w:cs="宋体"/>
          <w:b/>
          <w:bCs/>
          <w:color w:val="000000" w:themeColor="text1"/>
          <w:kern w:val="0"/>
          <w:sz w:val="24"/>
          <w:lang w:val="zh-CN"/>
        </w:rPr>
        <w:t>）</w:t>
      </w:r>
    </w:p>
    <w:p w14:paraId="4DE604EF">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三、分包工作履行期限、地点、方式</w:t>
      </w:r>
    </w:p>
    <w:p w14:paraId="76912E49">
      <w:pPr>
        <w:snapToGrid w:val="0"/>
        <w:spacing w:line="360" w:lineRule="auto"/>
        <w:ind w:firstLine="576"/>
        <w:rPr>
          <w:rFonts w:ascii="宋体" w:hAnsi="宋体" w:cs="宋体"/>
          <w:color w:val="000000" w:themeColor="text1"/>
          <w:u w:val="single"/>
        </w:rPr>
      </w:pPr>
    </w:p>
    <w:p w14:paraId="32A1D711">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四、质量</w:t>
      </w:r>
    </w:p>
    <w:p w14:paraId="750572BE">
      <w:pPr>
        <w:snapToGrid w:val="0"/>
        <w:spacing w:line="360" w:lineRule="auto"/>
        <w:ind w:firstLine="576"/>
        <w:rPr>
          <w:rFonts w:ascii="宋体" w:hAnsi="宋体" w:cs="宋体"/>
          <w:color w:val="000000" w:themeColor="text1"/>
          <w:kern w:val="0"/>
          <w:sz w:val="24"/>
          <w:lang w:val="zh-CN"/>
        </w:rPr>
      </w:pPr>
    </w:p>
    <w:p w14:paraId="64A03908">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五、价款或者报酬</w:t>
      </w:r>
    </w:p>
    <w:p w14:paraId="0D553427">
      <w:pPr>
        <w:snapToGrid w:val="0"/>
        <w:spacing w:line="360" w:lineRule="auto"/>
        <w:ind w:left="573" w:leftChars="273"/>
        <w:rPr>
          <w:rFonts w:ascii="宋体" w:hAnsi="宋体" w:cs="宋体"/>
          <w:color w:val="000000" w:themeColor="text1"/>
          <w:kern w:val="0"/>
          <w:sz w:val="24"/>
          <w:lang w:val="zh-CN"/>
        </w:rPr>
      </w:pPr>
    </w:p>
    <w:p w14:paraId="395D8DFE">
      <w:pPr>
        <w:snapToGrid w:val="0"/>
        <w:spacing w:line="360" w:lineRule="auto"/>
        <w:ind w:left="573" w:leftChars="273"/>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六、违约责任</w:t>
      </w:r>
    </w:p>
    <w:p w14:paraId="2B818165">
      <w:pPr>
        <w:snapToGrid w:val="0"/>
        <w:spacing w:line="360" w:lineRule="auto"/>
        <w:ind w:firstLine="576"/>
        <w:rPr>
          <w:rFonts w:ascii="宋体" w:hAnsi="宋体" w:cs="宋体"/>
          <w:color w:val="000000" w:themeColor="text1"/>
          <w:kern w:val="0"/>
          <w:sz w:val="24"/>
          <w:lang w:val="zh-CN"/>
        </w:rPr>
      </w:pPr>
    </w:p>
    <w:p w14:paraId="64BA7E2F">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七、争议解决的办法</w:t>
      </w:r>
    </w:p>
    <w:p w14:paraId="6EF7EE2D">
      <w:pPr>
        <w:snapToGrid w:val="0"/>
        <w:spacing w:line="360" w:lineRule="auto"/>
        <w:ind w:firstLine="576"/>
        <w:rPr>
          <w:rFonts w:ascii="宋体" w:hAnsi="宋体" w:cs="宋体"/>
          <w:color w:val="000000" w:themeColor="text1"/>
          <w:kern w:val="0"/>
          <w:sz w:val="24"/>
          <w:lang w:val="zh-CN"/>
        </w:rPr>
      </w:pPr>
    </w:p>
    <w:p w14:paraId="5844DB6C">
      <w:pPr>
        <w:snapToGrid w:val="0"/>
        <w:spacing w:line="360" w:lineRule="auto"/>
        <w:ind w:firstLine="576"/>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八、其他</w:t>
      </w:r>
    </w:p>
    <w:p w14:paraId="621D2E95">
      <w:pPr>
        <w:snapToGrid w:val="0"/>
        <w:spacing w:line="360" w:lineRule="auto"/>
        <w:ind w:left="5758" w:leftChars="342" w:hanging="5040" w:hangingChars="2100"/>
        <w:rPr>
          <w:rFonts w:ascii="宋体" w:hAnsi="宋体" w:cs="宋体"/>
          <w:color w:val="000000" w:themeColor="text1"/>
          <w:kern w:val="0"/>
          <w:sz w:val="24"/>
          <w:lang w:val="zh-CN"/>
        </w:rPr>
      </w:pPr>
      <w:r>
        <w:rPr>
          <w:rFonts w:hint="eastAsia" w:ascii="宋体" w:hAnsi="宋体" w:cs="宋体"/>
          <w:color w:val="000000" w:themeColor="text1"/>
          <w:sz w:val="24"/>
        </w:rPr>
        <w:t>中小企业合同金额达到%，小微企业合同金额达到%</w:t>
      </w:r>
      <w:r>
        <w:rPr>
          <w:rFonts w:hint="eastAsia" w:ascii="宋体" w:hAnsi="宋体" w:cs="宋体"/>
          <w:color w:val="000000" w:themeColor="text1"/>
          <w:kern w:val="0"/>
          <w:sz w:val="24"/>
          <w:lang w:val="zh-CN"/>
        </w:rPr>
        <w:t xml:space="preserve">  。                                           投标人名称(公章)：</w:t>
      </w:r>
    </w:p>
    <w:p w14:paraId="392808AE">
      <w:pPr>
        <w:snapToGrid w:val="0"/>
        <w:spacing w:line="360" w:lineRule="auto"/>
        <w:ind w:left="5758" w:leftChars="2742"/>
        <w:rPr>
          <w:rFonts w:ascii="宋体" w:hAnsi="宋体" w:cs="宋体"/>
          <w:color w:val="000000" w:themeColor="text1"/>
          <w:kern w:val="0"/>
          <w:sz w:val="24"/>
          <w:lang w:val="zh-CN"/>
        </w:rPr>
      </w:pPr>
      <w:r>
        <w:rPr>
          <w:rStyle w:val="81"/>
          <w:rFonts w:hint="eastAsia"/>
          <w:color w:val="000000" w:themeColor="text1"/>
        </w:rPr>
        <w:t>法定代表人（负责人） (签名)：</w:t>
      </w:r>
      <w:r>
        <w:rPr>
          <w:rFonts w:hint="eastAsia" w:ascii="宋体" w:hAnsi="宋体" w:cs="宋体"/>
          <w:color w:val="000000" w:themeColor="text1"/>
          <w:kern w:val="0"/>
          <w:sz w:val="24"/>
          <w:lang w:val="zh-CN"/>
        </w:rPr>
        <w:t>分包供应商名称(公章)：</w:t>
      </w:r>
    </w:p>
    <w:p w14:paraId="0D63445B">
      <w:pPr>
        <w:pStyle w:val="82"/>
        <w:ind w:firstLine="5760" w:firstLineChars="2400"/>
        <w:rPr>
          <w:color w:val="000000" w:themeColor="text1"/>
        </w:rPr>
      </w:pPr>
      <w:r>
        <w:rPr>
          <w:rStyle w:val="81"/>
          <w:rFonts w:hint="eastAsia"/>
          <w:color w:val="000000" w:themeColor="text1"/>
        </w:rPr>
        <w:t>法定代表人（负责人） (签名)：</w:t>
      </w:r>
    </w:p>
    <w:p w14:paraId="773AFA25">
      <w:pPr>
        <w:snapToGrid w:val="0"/>
        <w:spacing w:line="360" w:lineRule="auto"/>
        <w:jc w:val="right"/>
        <w:rPr>
          <w:rFonts w:ascii="宋体" w:hAnsi="宋体" w:cs="宋体"/>
          <w:color w:val="000000" w:themeColor="text1"/>
          <w:kern w:val="0"/>
          <w:sz w:val="24"/>
          <w:lang w:val="zh-CN"/>
        </w:rPr>
      </w:pPr>
    </w:p>
    <w:p w14:paraId="10D051C2">
      <w:pPr>
        <w:snapToGrid w:val="0"/>
        <w:spacing w:line="360" w:lineRule="auto"/>
        <w:ind w:firstLine="5760" w:firstLineChars="2400"/>
        <w:rPr>
          <w:rFonts w:ascii="宋体" w:hAnsi="宋体" w:cs="宋体"/>
          <w:color w:val="000000" w:themeColor="text1"/>
        </w:rPr>
      </w:pPr>
      <w:r>
        <w:rPr>
          <w:rFonts w:hint="eastAsia" w:ascii="宋体" w:hAnsi="宋体" w:cs="宋体"/>
          <w:color w:val="000000" w:themeColor="text1"/>
          <w:kern w:val="0"/>
          <w:sz w:val="24"/>
          <w:lang w:val="zh-CN"/>
        </w:rPr>
        <w:t>……</w:t>
      </w:r>
    </w:p>
    <w:p w14:paraId="0765742E">
      <w:pPr>
        <w:snapToGrid w:val="0"/>
        <w:spacing w:line="360" w:lineRule="auto"/>
        <w:ind w:left="5758" w:leftChars="342" w:hanging="5040" w:hangingChars="21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日期：  年  月   日</w:t>
      </w:r>
    </w:p>
    <w:p w14:paraId="4D702048">
      <w:pPr>
        <w:spacing w:line="360" w:lineRule="auto"/>
        <w:ind w:right="420"/>
        <w:rPr>
          <w:rFonts w:ascii="宋体" w:hAnsi="宋体" w:cs="宋体"/>
          <w:color w:val="000000" w:themeColor="text1"/>
          <w:sz w:val="24"/>
        </w:rPr>
      </w:pPr>
      <w:r>
        <w:rPr>
          <w:rFonts w:hint="eastAsia" w:ascii="宋体" w:hAnsi="宋体" w:cs="宋体"/>
          <w:color w:val="000000" w:themeColor="text1"/>
          <w:sz w:val="24"/>
        </w:rPr>
        <w:t>注：按本格式和要求提供。</w:t>
      </w:r>
    </w:p>
    <w:p w14:paraId="48AA1BB7">
      <w:pPr>
        <w:autoSpaceDE w:val="0"/>
        <w:autoSpaceDN w:val="0"/>
        <w:jc w:val="center"/>
        <w:rPr>
          <w:rFonts w:ascii="宋体" w:hAnsi="宋体" w:cs="宋体"/>
          <w:b/>
          <w:color w:val="000000" w:themeColor="text1"/>
          <w:spacing w:val="6"/>
          <w:sz w:val="32"/>
          <w:szCs w:val="32"/>
        </w:rPr>
      </w:pPr>
    </w:p>
    <w:p w14:paraId="66B20092">
      <w:pPr>
        <w:autoSpaceDE w:val="0"/>
        <w:autoSpaceDN w:val="0"/>
        <w:jc w:val="center"/>
        <w:rPr>
          <w:rFonts w:ascii="宋体" w:hAnsi="宋体" w:cs="宋体"/>
          <w:b/>
          <w:color w:val="000000" w:themeColor="text1"/>
          <w:spacing w:val="6"/>
          <w:sz w:val="32"/>
          <w:szCs w:val="32"/>
        </w:rPr>
      </w:pPr>
    </w:p>
    <w:p w14:paraId="286CCA37">
      <w:pPr>
        <w:autoSpaceDE w:val="0"/>
        <w:autoSpaceDN w:val="0"/>
        <w:jc w:val="center"/>
        <w:rPr>
          <w:rFonts w:ascii="宋体" w:hAnsi="宋体" w:cs="宋体"/>
          <w:b/>
          <w:color w:val="000000" w:themeColor="text1"/>
          <w:spacing w:val="6"/>
          <w:sz w:val="32"/>
          <w:szCs w:val="32"/>
        </w:rPr>
      </w:pPr>
    </w:p>
    <w:p w14:paraId="236AA2A0">
      <w:pPr>
        <w:autoSpaceDE w:val="0"/>
        <w:autoSpaceDN w:val="0"/>
        <w:jc w:val="center"/>
        <w:rPr>
          <w:rFonts w:ascii="宋体" w:hAnsi="宋体" w:cs="宋体"/>
          <w:b/>
          <w:color w:val="000000" w:themeColor="text1"/>
          <w:spacing w:val="6"/>
          <w:sz w:val="32"/>
          <w:szCs w:val="32"/>
        </w:rPr>
      </w:pPr>
    </w:p>
    <w:p w14:paraId="4762CDB4">
      <w:pPr>
        <w:autoSpaceDE w:val="0"/>
        <w:autoSpaceDN w:val="0"/>
        <w:jc w:val="center"/>
        <w:rPr>
          <w:rFonts w:ascii="宋体" w:hAnsi="宋体" w:cs="宋体"/>
          <w:b/>
          <w:color w:val="000000" w:themeColor="text1"/>
          <w:spacing w:val="6"/>
          <w:sz w:val="32"/>
          <w:szCs w:val="32"/>
        </w:rPr>
      </w:pPr>
    </w:p>
    <w:p w14:paraId="30743D40">
      <w:pPr>
        <w:autoSpaceDE w:val="0"/>
        <w:autoSpaceDN w:val="0"/>
        <w:jc w:val="center"/>
        <w:rPr>
          <w:rFonts w:ascii="宋体" w:hAnsi="宋体" w:cs="宋体"/>
          <w:b/>
          <w:color w:val="000000" w:themeColor="text1"/>
          <w:spacing w:val="6"/>
          <w:sz w:val="32"/>
          <w:szCs w:val="32"/>
        </w:rPr>
      </w:pPr>
    </w:p>
    <w:p w14:paraId="56276560">
      <w:pPr>
        <w:autoSpaceDE w:val="0"/>
        <w:autoSpaceDN w:val="0"/>
        <w:jc w:val="center"/>
        <w:rPr>
          <w:rFonts w:ascii="宋体" w:hAnsi="宋体" w:cs="宋体"/>
          <w:b/>
          <w:color w:val="000000" w:themeColor="text1"/>
          <w:spacing w:val="6"/>
          <w:sz w:val="32"/>
          <w:szCs w:val="32"/>
        </w:rPr>
      </w:pPr>
    </w:p>
    <w:p w14:paraId="544D5AE0">
      <w:pPr>
        <w:autoSpaceDE w:val="0"/>
        <w:autoSpaceDN w:val="0"/>
        <w:jc w:val="center"/>
        <w:rPr>
          <w:rFonts w:ascii="宋体" w:hAnsi="宋体" w:cs="宋体"/>
          <w:b/>
          <w:color w:val="000000" w:themeColor="text1"/>
          <w:spacing w:val="6"/>
          <w:sz w:val="32"/>
          <w:szCs w:val="32"/>
        </w:rPr>
      </w:pPr>
    </w:p>
    <w:p w14:paraId="0AE25C15">
      <w:pPr>
        <w:autoSpaceDE w:val="0"/>
        <w:autoSpaceDN w:val="0"/>
        <w:jc w:val="center"/>
        <w:rPr>
          <w:rFonts w:ascii="宋体" w:hAnsi="宋体" w:cs="宋体"/>
          <w:b/>
          <w:color w:val="000000" w:themeColor="text1"/>
          <w:spacing w:val="6"/>
          <w:sz w:val="32"/>
          <w:szCs w:val="32"/>
        </w:rPr>
      </w:pPr>
    </w:p>
    <w:p w14:paraId="2C6892BF">
      <w:pPr>
        <w:autoSpaceDE w:val="0"/>
        <w:autoSpaceDN w:val="0"/>
        <w:jc w:val="center"/>
        <w:rPr>
          <w:rFonts w:ascii="宋体" w:hAnsi="宋体" w:cs="宋体"/>
          <w:b/>
          <w:color w:val="000000" w:themeColor="text1"/>
          <w:spacing w:val="6"/>
          <w:sz w:val="32"/>
          <w:szCs w:val="32"/>
        </w:rPr>
      </w:pPr>
    </w:p>
    <w:p w14:paraId="5D922540">
      <w:pPr>
        <w:autoSpaceDE w:val="0"/>
        <w:autoSpaceDN w:val="0"/>
        <w:jc w:val="center"/>
        <w:rPr>
          <w:rFonts w:ascii="宋体" w:hAnsi="宋体" w:cs="宋体"/>
          <w:b/>
          <w:color w:val="000000" w:themeColor="text1"/>
          <w:spacing w:val="6"/>
          <w:sz w:val="32"/>
          <w:szCs w:val="32"/>
        </w:rPr>
      </w:pPr>
    </w:p>
    <w:p w14:paraId="74CDFE25">
      <w:pPr>
        <w:autoSpaceDE w:val="0"/>
        <w:autoSpaceDN w:val="0"/>
        <w:jc w:val="center"/>
        <w:rPr>
          <w:rFonts w:ascii="宋体" w:hAnsi="宋体" w:cs="宋体"/>
          <w:b/>
          <w:color w:val="000000" w:themeColor="text1"/>
          <w:spacing w:val="6"/>
          <w:sz w:val="32"/>
          <w:szCs w:val="32"/>
        </w:rPr>
      </w:pPr>
    </w:p>
    <w:p w14:paraId="4BBB706E">
      <w:pPr>
        <w:autoSpaceDE w:val="0"/>
        <w:autoSpaceDN w:val="0"/>
        <w:jc w:val="center"/>
        <w:rPr>
          <w:rFonts w:ascii="宋体" w:hAnsi="宋体" w:cs="宋体"/>
          <w:b/>
          <w:color w:val="000000" w:themeColor="text1"/>
          <w:spacing w:val="6"/>
          <w:sz w:val="32"/>
          <w:szCs w:val="32"/>
        </w:rPr>
      </w:pPr>
    </w:p>
    <w:p w14:paraId="582099C1">
      <w:pPr>
        <w:autoSpaceDE w:val="0"/>
        <w:autoSpaceDN w:val="0"/>
        <w:jc w:val="center"/>
        <w:rPr>
          <w:rFonts w:ascii="宋体" w:hAnsi="宋体" w:cs="宋体"/>
          <w:b/>
          <w:color w:val="000000" w:themeColor="text1"/>
          <w:spacing w:val="6"/>
          <w:sz w:val="32"/>
          <w:szCs w:val="32"/>
        </w:rPr>
      </w:pPr>
    </w:p>
    <w:p w14:paraId="49326891">
      <w:pPr>
        <w:autoSpaceDE w:val="0"/>
        <w:autoSpaceDN w:val="0"/>
        <w:jc w:val="center"/>
        <w:rPr>
          <w:rFonts w:ascii="宋体" w:hAnsi="宋体" w:cs="宋体"/>
          <w:b/>
          <w:color w:val="000000" w:themeColor="text1"/>
          <w:spacing w:val="6"/>
          <w:sz w:val="32"/>
          <w:szCs w:val="32"/>
        </w:rPr>
      </w:pPr>
    </w:p>
    <w:p w14:paraId="3B5CDF0F">
      <w:pPr>
        <w:autoSpaceDE w:val="0"/>
        <w:autoSpaceDN w:val="0"/>
        <w:jc w:val="center"/>
        <w:rPr>
          <w:rFonts w:ascii="宋体" w:hAnsi="宋体" w:cs="宋体"/>
          <w:b/>
          <w:color w:val="000000" w:themeColor="text1"/>
          <w:spacing w:val="6"/>
          <w:sz w:val="32"/>
          <w:szCs w:val="32"/>
        </w:rPr>
      </w:pPr>
    </w:p>
    <w:p w14:paraId="3CEB8416">
      <w:pPr>
        <w:autoSpaceDE w:val="0"/>
        <w:autoSpaceDN w:val="0"/>
        <w:jc w:val="center"/>
        <w:rPr>
          <w:rFonts w:ascii="宋体" w:hAnsi="宋体" w:cs="宋体"/>
          <w:b/>
          <w:color w:val="000000" w:themeColor="text1"/>
          <w:spacing w:val="6"/>
          <w:sz w:val="32"/>
          <w:szCs w:val="32"/>
        </w:rPr>
      </w:pPr>
    </w:p>
    <w:p w14:paraId="43B8C0B8">
      <w:pPr>
        <w:autoSpaceDE w:val="0"/>
        <w:autoSpaceDN w:val="0"/>
        <w:jc w:val="center"/>
        <w:rPr>
          <w:rFonts w:ascii="宋体" w:hAnsi="宋体" w:cs="宋体"/>
          <w:b/>
          <w:color w:val="000000" w:themeColor="text1"/>
          <w:spacing w:val="6"/>
          <w:sz w:val="32"/>
          <w:szCs w:val="32"/>
        </w:rPr>
      </w:pPr>
    </w:p>
    <w:p w14:paraId="59EC6B44">
      <w:pPr>
        <w:autoSpaceDE w:val="0"/>
        <w:autoSpaceDN w:val="0"/>
        <w:jc w:val="center"/>
        <w:rPr>
          <w:rFonts w:ascii="宋体" w:hAnsi="宋体" w:cs="宋体"/>
          <w:b/>
          <w:color w:val="000000" w:themeColor="text1"/>
          <w:spacing w:val="6"/>
          <w:sz w:val="32"/>
          <w:szCs w:val="32"/>
        </w:rPr>
      </w:pPr>
    </w:p>
    <w:p w14:paraId="5554369C">
      <w:pPr>
        <w:autoSpaceDE w:val="0"/>
        <w:autoSpaceDN w:val="0"/>
        <w:jc w:val="center"/>
        <w:rPr>
          <w:rFonts w:ascii="宋体" w:hAnsi="宋体" w:cs="宋体"/>
          <w:b/>
          <w:color w:val="000000" w:themeColor="text1"/>
          <w:spacing w:val="6"/>
          <w:sz w:val="32"/>
          <w:szCs w:val="32"/>
        </w:rPr>
      </w:pPr>
    </w:p>
    <w:p w14:paraId="18B71153">
      <w:pPr>
        <w:autoSpaceDE w:val="0"/>
        <w:autoSpaceDN w:val="0"/>
        <w:jc w:val="center"/>
        <w:rPr>
          <w:rFonts w:ascii="宋体" w:hAnsi="宋体" w:cs="宋体"/>
          <w:b/>
          <w:color w:val="000000" w:themeColor="text1"/>
          <w:spacing w:val="6"/>
          <w:sz w:val="32"/>
          <w:szCs w:val="32"/>
        </w:rPr>
      </w:pPr>
    </w:p>
    <w:p w14:paraId="154B095F">
      <w:pPr>
        <w:autoSpaceDE w:val="0"/>
        <w:autoSpaceDN w:val="0"/>
        <w:jc w:val="center"/>
        <w:rPr>
          <w:rFonts w:ascii="宋体" w:hAnsi="宋体" w:cs="宋体"/>
          <w:b/>
          <w:color w:val="000000" w:themeColor="text1"/>
          <w:spacing w:val="6"/>
          <w:sz w:val="32"/>
          <w:szCs w:val="32"/>
        </w:rPr>
      </w:pPr>
    </w:p>
    <w:p w14:paraId="10D957D1">
      <w:pPr>
        <w:autoSpaceDE w:val="0"/>
        <w:autoSpaceDN w:val="0"/>
        <w:jc w:val="center"/>
        <w:rPr>
          <w:rFonts w:ascii="宋体" w:hAnsi="宋体" w:cs="宋体"/>
          <w:b/>
          <w:color w:val="000000" w:themeColor="text1"/>
          <w:spacing w:val="6"/>
          <w:sz w:val="32"/>
          <w:szCs w:val="32"/>
        </w:rPr>
      </w:pPr>
    </w:p>
    <w:p w14:paraId="06CD03E2">
      <w:pPr>
        <w:autoSpaceDE w:val="0"/>
        <w:autoSpaceDN w:val="0"/>
        <w:jc w:val="center"/>
        <w:rPr>
          <w:rFonts w:ascii="宋体" w:hAnsi="宋体" w:cs="宋体"/>
          <w:b/>
          <w:color w:val="000000" w:themeColor="text1"/>
          <w:spacing w:val="6"/>
          <w:sz w:val="32"/>
          <w:szCs w:val="32"/>
        </w:rPr>
      </w:pPr>
    </w:p>
    <w:p w14:paraId="62047E66">
      <w:pPr>
        <w:autoSpaceDE w:val="0"/>
        <w:autoSpaceDN w:val="0"/>
        <w:jc w:val="center"/>
        <w:rPr>
          <w:rFonts w:ascii="宋体" w:hAnsi="宋体" w:cs="宋体"/>
          <w:b/>
          <w:color w:val="000000" w:themeColor="text1"/>
          <w:spacing w:val="6"/>
          <w:sz w:val="32"/>
          <w:szCs w:val="32"/>
        </w:rPr>
      </w:pPr>
    </w:p>
    <w:p w14:paraId="4BD265BB">
      <w:pPr>
        <w:spacing w:line="360" w:lineRule="auto"/>
        <w:jc w:val="left"/>
        <w:rPr>
          <w:rFonts w:ascii="宋体" w:hAnsi="宋体" w:cs="宋体"/>
          <w:b/>
          <w:color w:val="000000" w:themeColor="text1"/>
          <w:sz w:val="32"/>
          <w:szCs w:val="32"/>
        </w:rPr>
      </w:pPr>
      <w:r>
        <w:rPr>
          <w:rFonts w:hint="eastAsia" w:ascii="宋体" w:hAnsi="宋体" w:cs="宋体"/>
          <w:b/>
          <w:color w:val="000000" w:themeColor="text1"/>
          <w:sz w:val="32"/>
          <w:szCs w:val="32"/>
        </w:rPr>
        <w:t>附件</w:t>
      </w:r>
      <w:r>
        <w:rPr>
          <w:rFonts w:ascii="宋体" w:hAnsi="宋体" w:cs="宋体"/>
          <w:b/>
          <w:color w:val="000000" w:themeColor="text1"/>
          <w:sz w:val="32"/>
          <w:szCs w:val="32"/>
        </w:rPr>
        <w:t>7</w:t>
      </w:r>
      <w:r>
        <w:rPr>
          <w:rFonts w:hint="eastAsia" w:ascii="宋体" w:hAnsi="宋体" w:cs="宋体"/>
          <w:b/>
          <w:color w:val="000000" w:themeColor="text1"/>
          <w:sz w:val="32"/>
          <w:szCs w:val="32"/>
        </w:rPr>
        <w:t>：中小企业声明函</w:t>
      </w:r>
    </w:p>
    <w:p w14:paraId="2087A54B">
      <w:pPr>
        <w:spacing w:line="360" w:lineRule="auto"/>
        <w:jc w:val="center"/>
        <w:rPr>
          <w:rFonts w:ascii="宋体" w:hAnsi="宋体" w:cs="宋体"/>
          <w:color w:val="000000" w:themeColor="text1"/>
          <w:sz w:val="24"/>
          <w:u w:val="single"/>
        </w:rPr>
      </w:pPr>
    </w:p>
    <w:p w14:paraId="10811572">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中小企业声明函（服务）</w:t>
      </w:r>
    </w:p>
    <w:p w14:paraId="204893F9">
      <w:pPr>
        <w:spacing w:line="360" w:lineRule="auto"/>
        <w:ind w:firstLine="360" w:firstLineChars="150"/>
        <w:jc w:val="left"/>
        <w:rPr>
          <w:rFonts w:ascii="宋体" w:hAnsi="宋体" w:cs="宋体"/>
          <w:color w:val="000000" w:themeColor="text1"/>
          <w:sz w:val="24"/>
        </w:rPr>
      </w:pPr>
      <w:r>
        <w:rPr>
          <w:rFonts w:hint="eastAsia" w:ascii="宋体" w:hAnsi="宋体" w:cs="宋体"/>
          <w:color w:val="000000" w:themeColor="text1"/>
          <w:sz w:val="24"/>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rPr>
        <w:t xml:space="preserve">（采购人） </w:t>
      </w:r>
      <w:r>
        <w:rPr>
          <w:rFonts w:hint="eastAsia" w:ascii="宋体" w:hAnsi="宋体" w:cs="宋体"/>
          <w:color w:val="000000" w:themeColor="text1"/>
          <w:sz w:val="24"/>
        </w:rPr>
        <w:t>的</w:t>
      </w:r>
      <w:r>
        <w:rPr>
          <w:rFonts w:hint="eastAsia" w:ascii="宋体" w:hAnsi="宋体" w:cs="宋体"/>
          <w:color w:val="000000" w:themeColor="text1"/>
          <w:sz w:val="24"/>
          <w:u w:val="single"/>
        </w:rPr>
        <w:t xml:space="preserve"> （项目名称） </w:t>
      </w:r>
      <w:r>
        <w:rPr>
          <w:rFonts w:hint="eastAsia" w:ascii="宋体" w:hAnsi="宋体" w:cs="宋体"/>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14:paraId="09A9A8C2">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u w:val="single"/>
        </w:rPr>
        <w:t>（标的名称）</w:t>
      </w:r>
      <w:r>
        <w:rPr>
          <w:rFonts w:hint="eastAsia" w:ascii="宋体" w:hAnsi="宋体" w:cs="宋体"/>
          <w:color w:val="000000" w:themeColor="text1"/>
          <w:sz w:val="24"/>
        </w:rPr>
        <w:t>，属于</w:t>
      </w:r>
      <w:r>
        <w:rPr>
          <w:rFonts w:hint="eastAsia" w:ascii="宋体" w:hAnsi="宋体" w:cs="宋体"/>
          <w:color w:val="000000" w:themeColor="text1"/>
          <w:sz w:val="24"/>
          <w:u w:val="single"/>
        </w:rPr>
        <w:t xml:space="preserve"> （采购文件中明确的所属行业）</w:t>
      </w:r>
      <w:r>
        <w:rPr>
          <w:rFonts w:hint="eastAsia" w:ascii="宋体" w:hAnsi="宋体" w:cs="宋体"/>
          <w:color w:val="000000" w:themeColor="text1"/>
          <w:sz w:val="24"/>
        </w:rPr>
        <w:t xml:space="preserve"> ；承建（承接）企业为 </w:t>
      </w:r>
      <w:r>
        <w:rPr>
          <w:rFonts w:hint="eastAsia" w:ascii="宋体" w:hAnsi="宋体" w:cs="宋体"/>
          <w:color w:val="000000" w:themeColor="text1"/>
          <w:sz w:val="24"/>
          <w:u w:val="single"/>
        </w:rPr>
        <w:t>（企业名称）</w:t>
      </w:r>
      <w:r>
        <w:rPr>
          <w:rFonts w:hint="eastAsia" w:ascii="宋体" w:hAnsi="宋体" w:cs="宋体"/>
          <w:color w:val="000000" w:themeColor="text1"/>
          <w:sz w:val="24"/>
        </w:rPr>
        <w:t xml:space="preserve"> ，从业人员人，营业收入为万元，资产总额为万元属于</w:t>
      </w:r>
      <w:r>
        <w:rPr>
          <w:rFonts w:hint="eastAsia" w:ascii="宋体" w:hAnsi="宋体" w:cs="宋体"/>
          <w:color w:val="000000" w:themeColor="text1"/>
          <w:sz w:val="24"/>
          <w:u w:val="single"/>
        </w:rPr>
        <w:t xml:space="preserve"> （中型企业、小型企业、微型企业） </w:t>
      </w:r>
      <w:r>
        <w:rPr>
          <w:rFonts w:hint="eastAsia" w:ascii="宋体" w:hAnsi="宋体" w:cs="宋体"/>
          <w:color w:val="000000" w:themeColor="text1"/>
          <w:sz w:val="24"/>
        </w:rPr>
        <w:t>；</w:t>
      </w:r>
    </w:p>
    <w:p w14:paraId="4F81B2E1">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u w:val="single"/>
        </w:rPr>
        <w:t xml:space="preserve"> （标的名称），</w:t>
      </w:r>
      <w:r>
        <w:rPr>
          <w:rFonts w:hint="eastAsia" w:ascii="宋体" w:hAnsi="宋体" w:cs="宋体"/>
          <w:color w:val="000000" w:themeColor="text1"/>
          <w:sz w:val="24"/>
        </w:rPr>
        <w:t xml:space="preserve">属于 </w:t>
      </w:r>
      <w:r>
        <w:rPr>
          <w:rFonts w:hint="eastAsia" w:ascii="宋体" w:hAnsi="宋体" w:cs="宋体"/>
          <w:color w:val="000000" w:themeColor="text1"/>
          <w:sz w:val="24"/>
          <w:u w:val="single"/>
        </w:rPr>
        <w:t xml:space="preserve">（采购文件中明确的所属行业） </w:t>
      </w:r>
      <w:r>
        <w:rPr>
          <w:rFonts w:hint="eastAsia" w:ascii="宋体" w:hAnsi="宋体" w:cs="宋体"/>
          <w:color w:val="000000" w:themeColor="text1"/>
          <w:sz w:val="24"/>
        </w:rPr>
        <w:t xml:space="preserve">；承建（承接）企业为 </w:t>
      </w:r>
      <w:r>
        <w:rPr>
          <w:rFonts w:hint="eastAsia" w:ascii="宋体" w:hAnsi="宋体" w:cs="宋体"/>
          <w:color w:val="000000" w:themeColor="text1"/>
          <w:sz w:val="24"/>
          <w:u w:val="single"/>
        </w:rPr>
        <w:t>（企业名称）</w:t>
      </w:r>
      <w:r>
        <w:rPr>
          <w:rFonts w:hint="eastAsia" w:ascii="宋体" w:hAnsi="宋体" w:cs="宋体"/>
          <w:color w:val="000000" w:themeColor="text1"/>
          <w:sz w:val="24"/>
        </w:rPr>
        <w:t xml:space="preserve"> ，从业人员人，营业收入为万元，资产总额为万元属于</w:t>
      </w:r>
      <w:r>
        <w:rPr>
          <w:rFonts w:hint="eastAsia" w:ascii="宋体" w:hAnsi="宋体" w:cs="宋体"/>
          <w:color w:val="000000" w:themeColor="text1"/>
          <w:sz w:val="24"/>
          <w:u w:val="single"/>
        </w:rPr>
        <w:t xml:space="preserve"> （中型企业、小型企业、微型企业） </w:t>
      </w:r>
      <w:r>
        <w:rPr>
          <w:rFonts w:hint="eastAsia" w:ascii="宋体" w:hAnsi="宋体" w:cs="宋体"/>
          <w:color w:val="000000" w:themeColor="text1"/>
          <w:sz w:val="24"/>
        </w:rPr>
        <w:t>；</w:t>
      </w:r>
    </w:p>
    <w:p w14:paraId="21AB11C9">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w:t>
      </w:r>
    </w:p>
    <w:p w14:paraId="36066F65">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以上企业，不属于大企业的分支机构，不存在控股股东为大企业的情形，也不存在与大企业的负责人为同一人的情形。</w:t>
      </w:r>
    </w:p>
    <w:p w14:paraId="641EDDC9">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本企业对上述声明内容的真实性负责。如有虚假，将依法承担相应责任。</w:t>
      </w:r>
    </w:p>
    <w:p w14:paraId="4B39F170">
      <w:pPr>
        <w:snapToGrid w:val="0"/>
        <w:spacing w:line="360" w:lineRule="auto"/>
        <w:ind w:firstLine="5160" w:firstLineChars="2150"/>
        <w:rPr>
          <w:rFonts w:ascii="宋体" w:hAnsi="宋体" w:cs="宋体"/>
          <w:color w:val="000000" w:themeColor="text1"/>
          <w:kern w:val="0"/>
          <w:sz w:val="24"/>
        </w:rPr>
      </w:pPr>
      <w:r>
        <w:rPr>
          <w:rFonts w:hint="eastAsia" w:ascii="宋体" w:hAnsi="宋体" w:cs="宋体"/>
          <w:color w:val="000000" w:themeColor="text1"/>
          <w:kern w:val="0"/>
          <w:sz w:val="24"/>
          <w:lang w:val="zh-CN"/>
        </w:rPr>
        <w:t>投标人名称(公章)：</w:t>
      </w:r>
    </w:p>
    <w:p w14:paraId="4AFE0CFE">
      <w:pPr>
        <w:snapToGrid w:val="0"/>
        <w:spacing w:line="360" w:lineRule="auto"/>
        <w:rPr>
          <w:rFonts w:ascii="宋体" w:hAnsi="宋体" w:cs="宋体"/>
          <w:color w:val="000000" w:themeColor="text1"/>
          <w:kern w:val="0"/>
          <w:sz w:val="24"/>
          <w:lang w:val="zh-CN"/>
        </w:rPr>
      </w:pPr>
      <w:r>
        <w:rPr>
          <w:rFonts w:hint="eastAsia" w:ascii="宋体" w:hAnsi="宋体" w:cs="宋体"/>
          <w:color w:val="000000" w:themeColor="text1"/>
          <w:kern w:val="0"/>
          <w:sz w:val="24"/>
          <w:lang w:val="zh-CN"/>
        </w:rPr>
        <w:t xml:space="preserve">                                           日期</w:t>
      </w:r>
      <w:r>
        <w:rPr>
          <w:rFonts w:hint="eastAsia" w:ascii="宋体" w:hAnsi="宋体" w:cs="宋体"/>
          <w:color w:val="000000" w:themeColor="text1"/>
          <w:kern w:val="0"/>
          <w:sz w:val="24"/>
        </w:rPr>
        <w:t xml:space="preserve">：  年  </w:t>
      </w:r>
      <w:r>
        <w:rPr>
          <w:rFonts w:hint="eastAsia" w:ascii="宋体" w:hAnsi="宋体" w:cs="宋体"/>
          <w:color w:val="000000" w:themeColor="text1"/>
          <w:kern w:val="0"/>
          <w:sz w:val="24"/>
          <w:lang w:val="zh-CN"/>
        </w:rPr>
        <w:t>月日</w:t>
      </w:r>
    </w:p>
    <w:p w14:paraId="5E3FE624">
      <w:pPr>
        <w:spacing w:line="360" w:lineRule="auto"/>
        <w:ind w:right="420"/>
        <w:rPr>
          <w:rFonts w:ascii="宋体" w:hAnsi="宋体" w:cs="宋体"/>
          <w:color w:val="000000" w:themeColor="text1"/>
          <w:sz w:val="24"/>
        </w:rPr>
      </w:pPr>
    </w:p>
    <w:p w14:paraId="08F68B29">
      <w:pPr>
        <w:spacing w:line="360" w:lineRule="auto"/>
        <w:ind w:right="420"/>
        <w:rPr>
          <w:rFonts w:ascii="宋体" w:hAnsi="宋体" w:cs="宋体"/>
          <w:color w:val="000000" w:themeColor="text1"/>
          <w:sz w:val="24"/>
        </w:rPr>
      </w:pPr>
      <w:r>
        <w:rPr>
          <w:rFonts w:hint="eastAsia" w:ascii="宋体" w:hAnsi="宋体" w:cs="宋体"/>
          <w:color w:val="000000" w:themeColor="text1"/>
          <w:sz w:val="24"/>
        </w:rPr>
        <w:t xml:space="preserve">   注：</w:t>
      </w:r>
    </w:p>
    <w:p w14:paraId="0AB12FFA">
      <w:pPr>
        <w:spacing w:line="360" w:lineRule="auto"/>
        <w:ind w:right="420" w:firstLine="480" w:firstLineChars="200"/>
        <w:rPr>
          <w:rFonts w:ascii="宋体" w:hAnsi="宋体" w:cs="宋体"/>
          <w:color w:val="000000" w:themeColor="text1"/>
          <w:sz w:val="24"/>
        </w:rPr>
      </w:pPr>
      <w:r>
        <w:rPr>
          <w:rFonts w:hint="eastAsia" w:ascii="宋体" w:hAnsi="宋体" w:cs="宋体"/>
          <w:color w:val="000000" w:themeColor="text1"/>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8B5730E">
      <w:pPr>
        <w:spacing w:line="360" w:lineRule="auto"/>
        <w:ind w:right="420" w:firstLine="720" w:firstLineChars="300"/>
        <w:rPr>
          <w:rFonts w:ascii="宋体" w:hAnsi="宋体" w:cs="宋体"/>
          <w:color w:val="000000" w:themeColor="text1"/>
          <w:sz w:val="24"/>
        </w:rPr>
      </w:pPr>
      <w:r>
        <w:rPr>
          <w:rFonts w:hint="eastAsia" w:ascii="宋体" w:hAnsi="宋体" w:cs="宋体"/>
          <w:color w:val="000000" w:themeColor="text1"/>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ECD6F24">
      <w:pPr>
        <w:pStyle w:val="82"/>
        <w:rPr>
          <w:color w:val="000000" w:themeColor="text1"/>
        </w:rPr>
      </w:pPr>
    </w:p>
    <w:p w14:paraId="0A9A66E8">
      <w:pPr>
        <w:spacing w:line="360" w:lineRule="auto"/>
        <w:ind w:right="420"/>
        <w:rPr>
          <w:rFonts w:ascii="宋体" w:hAnsi="宋体" w:cs="宋体"/>
          <w:color w:val="000000" w:themeColor="text1"/>
        </w:rPr>
      </w:pPr>
    </w:p>
    <w:p w14:paraId="5ED70C27">
      <w:pPr>
        <w:spacing w:line="360" w:lineRule="auto"/>
        <w:rPr>
          <w:rFonts w:ascii="宋体" w:hAnsi="宋体" w:cs="宋体"/>
          <w:bCs/>
          <w:color w:val="000000" w:themeColor="text1"/>
          <w:sz w:val="24"/>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260C">
    <w:pPr>
      <w:pStyle w:val="3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C9C7">
    <w:pPr>
      <w:pStyle w:val="39"/>
      <w:jc w:val="center"/>
      <w:rPr>
        <w:rFonts w:ascii="仿宋_GB2312" w:eastAsia="仿宋_GB2312"/>
        <w:sz w:val="21"/>
        <w:szCs w:val="21"/>
      </w:rPr>
    </w:pPr>
    <w:r>
      <w:rPr>
        <w:sz w:val="21"/>
      </w:rPr>
      <w:pict>
        <v:shape id="_x0000_s2069" o:spid="_x0000_s206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D65321D">
                <w:pPr>
                  <w:pStyle w:val="39"/>
                </w:pPr>
                <w:r>
                  <w:fldChar w:fldCharType="begin"/>
                </w:r>
                <w:r>
                  <w:instrText xml:space="preserve"> PAGE  \* MERGEFORMAT </w:instrText>
                </w:r>
                <w:r>
                  <w:fldChar w:fldCharType="separate"/>
                </w:r>
                <w:r>
                  <w:t>67</w:t>
                </w:r>
                <w:r>
                  <w:fldChar w:fldCharType="end"/>
                </w:r>
              </w:p>
            </w:txbxContent>
          </v:textbox>
        </v:shape>
      </w:pict>
    </w:r>
  </w:p>
  <w:p w14:paraId="06DE794B">
    <w:pPr>
      <w:rPr>
        <w:rFonts w:ascii="仿宋_GB2312" w:eastAsia="仿宋_GB2312"/>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19A3">
    <w:pPr>
      <w:pStyle w:val="39"/>
      <w:jc w:val="center"/>
      <w:rPr>
        <w:rFonts w:ascii="仿宋_GB2312" w:eastAsia="仿宋_GB2312"/>
        <w:sz w:val="21"/>
        <w:szCs w:val="21"/>
      </w:rPr>
    </w:pPr>
    <w:r>
      <w:rPr>
        <w:sz w:val="21"/>
      </w:rPr>
      <w:pict>
        <v:shape id="_x0000_s2070" o:spid="_x0000_s207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84F5ABB">
                <w:pPr>
                  <w:pStyle w:val="39"/>
                </w:pPr>
                <w:r>
                  <w:fldChar w:fldCharType="begin"/>
                </w:r>
                <w:r>
                  <w:instrText xml:space="preserve"> PAGE  \* MERGEFORMAT </w:instrText>
                </w:r>
                <w:r>
                  <w:fldChar w:fldCharType="separate"/>
                </w:r>
                <w:r>
                  <w:t>69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6D3C6">
    <w:pPr>
      <w:pStyle w:val="39"/>
      <w:framePr w:wrap="around" w:vAnchor="text" w:hAnchor="margin" w:xAlign="right" w:y="1"/>
      <w:rPr>
        <w:rStyle w:val="72"/>
      </w:rPr>
    </w:pPr>
    <w:r>
      <w:fldChar w:fldCharType="begin"/>
    </w:r>
    <w:r>
      <w:rPr>
        <w:rStyle w:val="72"/>
      </w:rPr>
      <w:instrText xml:space="preserve">PAGE  </w:instrText>
    </w:r>
    <w:r>
      <w:fldChar w:fldCharType="end"/>
    </w:r>
  </w:p>
  <w:p w14:paraId="6F37F32C">
    <w:pPr>
      <w:pStyle w:val="3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5A06">
    <w:pPr>
      <w:pStyle w:val="39"/>
      <w:jc w:val="center"/>
      <w:rPr>
        <w:rFonts w:ascii="仿宋_GB2312" w:eastAsia="仿宋_GB2312"/>
        <w:sz w:val="21"/>
        <w:szCs w:val="21"/>
      </w:rPr>
    </w:pPr>
    <w:r>
      <w:rPr>
        <w:sz w:val="21"/>
      </w:rPr>
      <w:pict>
        <v:shape id="_x0000_s2071" o:spid="_x0000_s207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030CA308">
                <w:pPr>
                  <w:pStyle w:val="39"/>
                </w:pPr>
                <w:r>
                  <w:fldChar w:fldCharType="begin"/>
                </w:r>
                <w:r>
                  <w:instrText xml:space="preserve"> PAGE  \* MERGEFORMAT </w:instrText>
                </w:r>
                <w:r>
                  <w:fldChar w:fldCharType="separate"/>
                </w:r>
                <w:r>
                  <w:t>68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5E21">
    <w:pPr>
      <w:pStyle w:val="39"/>
      <w:jc w:val="center"/>
    </w:pPr>
    <w:r>
      <w:rPr>
        <w:sz w:val="18"/>
      </w:rPr>
      <w:pict>
        <v:shape id="_x0000_s2072" o:spid="_x0000_s2072"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503CC176">
                <w:pPr>
                  <w:pStyle w:val="3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B9F8">
    <w:pPr>
      <w:pStyle w:val="23"/>
      <w:spacing w:line="229" w:lineRule="exact"/>
      <w:ind w:left="4739"/>
      <w:rPr>
        <w:sz w:val="18"/>
        <w:szCs w:val="18"/>
      </w:rPr>
    </w:pPr>
    <w:r>
      <w:rPr>
        <w:sz w:val="18"/>
      </w:rPr>
      <w:pict>
        <v:shape id="_x0000_s2062" o:spid="_x0000_s206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5C9FCC6">
                <w:pPr>
                  <w:pStyle w:val="39"/>
                </w:pPr>
                <w:r>
                  <w:fldChar w:fldCharType="begin"/>
                </w:r>
                <w:r>
                  <w:instrText xml:space="preserve"> PAGE  \* MERGEFORMAT </w:instrText>
                </w:r>
                <w:r>
                  <w:fldChar w:fldCharType="separate"/>
                </w:r>
                <w:r>
                  <w:t>29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36D2">
    <w:pPr>
      <w:pStyle w:val="39"/>
      <w:jc w:val="center"/>
      <w:rPr>
        <w:rFonts w:ascii="仿宋_GB2312" w:eastAsia="仿宋_GB2312"/>
        <w:sz w:val="21"/>
        <w:szCs w:val="21"/>
      </w:rPr>
    </w:pPr>
    <w:r>
      <w:rPr>
        <w:sz w:val="21"/>
      </w:rPr>
      <w:pict>
        <v:shape id="_x0000_s2063" o:spid="_x0000_s206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27731C2">
                <w:pPr>
                  <w:pStyle w:val="39"/>
                </w:pPr>
                <w:r>
                  <w:fldChar w:fldCharType="begin"/>
                </w:r>
                <w:r>
                  <w:instrText xml:space="preserve"> PAGE  \* MERGEFORMAT </w:instrText>
                </w:r>
                <w:r>
                  <w:fldChar w:fldCharType="separate"/>
                </w:r>
                <w:r>
                  <w:t>32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5261">
    <w:pPr>
      <w:pStyle w:val="39"/>
      <w:jc w:val="center"/>
      <w:rPr>
        <w:rFonts w:ascii="仿宋_GB2312" w:eastAsia="仿宋_GB2312"/>
        <w:sz w:val="21"/>
        <w:szCs w:val="21"/>
      </w:rPr>
    </w:pPr>
    <w:r>
      <w:rPr>
        <w:sz w:val="21"/>
      </w:rPr>
      <w:pict>
        <v:shape id="_x0000_s2064" o:spid="_x0000_s206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7CD098E">
                <w:pPr>
                  <w:pStyle w:val="39"/>
                </w:pPr>
                <w:r>
                  <w:fldChar w:fldCharType="begin"/>
                </w:r>
                <w:r>
                  <w:instrText xml:space="preserve"> PAGE  \* MERGEFORMAT </w:instrText>
                </w:r>
                <w:r>
                  <w:fldChar w:fldCharType="separate"/>
                </w:r>
                <w:r>
                  <w:t>45</w:t>
                </w:r>
                <w:r>
                  <w:fldChar w:fldCharType="end"/>
                </w:r>
              </w:p>
            </w:txbxContent>
          </v:textbox>
        </v:shape>
      </w:pict>
    </w:r>
  </w:p>
  <w:p w14:paraId="1F88B0C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9D7B">
    <w:pPr>
      <w:pStyle w:val="39"/>
      <w:jc w:val="center"/>
      <w:rPr>
        <w:rFonts w:ascii="仿宋_GB2312" w:eastAsia="仿宋_GB2312"/>
        <w:sz w:val="21"/>
        <w:szCs w:val="21"/>
      </w:rPr>
    </w:pPr>
    <w:r>
      <w:rPr>
        <w:sz w:val="21"/>
      </w:rPr>
      <w:pict>
        <v:shape id="_x0000_s2065" o:spid="_x0000_s206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7DA64B7">
                <w:pPr>
                  <w:pStyle w:val="39"/>
                </w:pPr>
                <w:r>
                  <w:fldChar w:fldCharType="begin"/>
                </w:r>
                <w:r>
                  <w:instrText xml:space="preserve"> PAGE  \* MERGEFORMAT </w:instrText>
                </w:r>
                <w:r>
                  <w:fldChar w:fldCharType="separate"/>
                </w:r>
                <w:r>
                  <w:t>44</w:t>
                </w:r>
                <w:r>
                  <w:fldChar w:fldCharType="end"/>
                </w:r>
              </w:p>
            </w:txbxContent>
          </v:textbox>
        </v:shape>
      </w:pict>
    </w:r>
  </w:p>
  <w:p w14:paraId="6FCACC3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3628">
    <w:pPr>
      <w:pStyle w:val="39"/>
      <w:jc w:val="center"/>
      <w:rPr>
        <w:rFonts w:ascii="仿宋_GB2312" w:eastAsia="仿宋_GB2312"/>
        <w:sz w:val="21"/>
        <w:szCs w:val="21"/>
      </w:rPr>
    </w:pPr>
    <w:r>
      <w:rPr>
        <w:sz w:val="21"/>
      </w:rPr>
      <w:pict>
        <v:shape id="_x0000_s2066" o:spid="_x0000_s206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A656D48">
                <w:pPr>
                  <w:pStyle w:val="39"/>
                </w:pPr>
                <w:r>
                  <w:fldChar w:fldCharType="begin"/>
                </w:r>
                <w:r>
                  <w:instrText xml:space="preserve"> PAGE  \* MERGEFORMAT </w:instrText>
                </w:r>
                <w:r>
                  <w:fldChar w:fldCharType="separate"/>
                </w:r>
                <w:r>
                  <w:t>64</w:t>
                </w:r>
                <w:r>
                  <w:fldChar w:fldCharType="end"/>
                </w:r>
              </w:p>
            </w:txbxContent>
          </v:textbox>
        </v:shape>
      </w:pict>
    </w:r>
  </w:p>
  <w:p w14:paraId="776E412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3323">
    <w:pPr>
      <w:pStyle w:val="39"/>
      <w:jc w:val="center"/>
      <w:rPr>
        <w:rFonts w:ascii="仿宋_GB2312" w:eastAsia="仿宋_GB2312"/>
        <w:sz w:val="21"/>
        <w:szCs w:val="21"/>
      </w:rPr>
    </w:pPr>
    <w:r>
      <w:rPr>
        <w:sz w:val="21"/>
      </w:rPr>
      <w:pict>
        <v:shape id="_x0000_s2067" o:spid="_x0000_s206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8CA8CFD">
                <w:pPr>
                  <w:pStyle w:val="39"/>
                </w:pPr>
                <w:r>
                  <w:fldChar w:fldCharType="begin"/>
                </w:r>
                <w:r>
                  <w:instrText xml:space="preserve"> PAGE  \* MERGEFORMAT </w:instrText>
                </w:r>
                <w:r>
                  <w:fldChar w:fldCharType="separate"/>
                </w:r>
                <w:r>
                  <w:t>63</w:t>
                </w:r>
                <w:r>
                  <w:fldChar w:fldCharType="end"/>
                </w:r>
              </w:p>
            </w:txbxContent>
          </v:textbox>
        </v:shape>
      </w:pict>
    </w:r>
  </w:p>
  <w:p w14:paraId="6BBB2F7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40567">
    <w:pPr>
      <w:pStyle w:val="39"/>
      <w:jc w:val="center"/>
      <w:rPr>
        <w:rFonts w:ascii="仿宋_GB2312" w:eastAsia="仿宋_GB2312"/>
        <w:sz w:val="21"/>
        <w:szCs w:val="21"/>
      </w:rPr>
    </w:pPr>
    <w:r>
      <w:rPr>
        <w:sz w:val="21"/>
      </w:rPr>
      <w:pict>
        <v:shape id="_x0000_s2068" o:spid="_x0000_s206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4F3B21F">
                <w:pPr>
                  <w:pStyle w:val="39"/>
                </w:pPr>
                <w:r>
                  <w:fldChar w:fldCharType="begin"/>
                </w:r>
                <w:r>
                  <w:instrText xml:space="preserve"> PAGE  \* MERGEFORMAT </w:instrText>
                </w:r>
                <w:r>
                  <w:fldChar w:fldCharType="separate"/>
                </w:r>
                <w:r>
                  <w:t>1</w:t>
                </w:r>
                <w:r>
                  <w:fldChar w:fldCharType="end"/>
                </w:r>
              </w:p>
            </w:txbxContent>
          </v:textbox>
        </v:shape>
      </w:pict>
    </w:r>
  </w:p>
  <w:p w14:paraId="556D06E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FFFA">
    <w:pPr>
      <w:pStyle w:val="40"/>
      <w:pBdr>
        <w:bottom w:val="single" w:color="auto" w:sz="6" w:space="4"/>
      </w:pBdr>
      <w:jc w:val="right"/>
    </w:pPr>
    <w:r>
      <w:t></w:t>
    </w:r>
    <w:r>
      <w:rPr>
        <w:sz w:val="21"/>
        <w:szCs w:val="21"/>
      </w:rPr>
      <w:t>北海市政府采购公开招标文件</w:t>
    </w:r>
  </w:p>
  <w:p w14:paraId="6830A7B4">
    <w:pPr>
      <w:pStyle w:val="58"/>
      <w:tabs>
        <w:tab w:val="center" w:pos="4535"/>
        <w:tab w:val="right" w:pos="9070"/>
      </w:tabs>
      <w:ind w:firstLine="241" w:firstLineChars="100"/>
      <w:jc w:val="both"/>
      <w:rPr>
        <w:rFonts w:ascii="仿宋_GB2312" w:eastAsia="仿宋_GB2312"/>
        <w:b w:val="0"/>
        <w:i/>
        <w:sz w:val="18"/>
        <w:u w:val="single"/>
        <w:lang w:val="en-US"/>
      </w:rPr>
    </w:pP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3857764B">
                <w:r>
                  <w:t>ImpTraceLabel=PD94bWwgdmVyc2lvbj0nMS4wJyBlbmNvZGluZz0nVVRGLTgnPz48dHJhY2U+PGNvbnRlbnQ+PC9jb250ZW50PjxhY2NvdW50PjRrejl5aWljY2ZkcHdsZG5uYmF6ZzQ8L2FjY291bnQ+PG1hY2hpbmVDb2RlPks1MTE3NUowMTU0MzYKPC9tYWNoaW5lQ29kZT48dGltZT4yMDI0LTExLTIxIDE3OjUyOjI0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91F9">
    <w:pPr>
      <w:pStyle w:val="40"/>
      <w:rPr>
        <w:rFonts w:ascii="仿宋_GB2312" w:eastAsia="仿宋_GB2312"/>
        <w:b/>
        <w:i/>
        <w:sz w:val="21"/>
        <w:szCs w:val="21"/>
        <w:u w:val="single"/>
      </w:rPr>
    </w:pPr>
    <w:r>
      <w:t></w:t>
    </w:r>
    <w:r>
      <w:rPr>
        <w:sz w:val="21"/>
        <w:szCs w:val="21"/>
      </w:rPr>
      <w:t xml:space="preserve">  北海市政府采购公开招标文件</w:t>
    </w:r>
  </w:p>
  <w:p w14:paraId="0F30683C">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BDEC">
    <w:pPr>
      <w:pStyle w:val="40"/>
    </w:pPr>
    <w:r>
      <w:t></w:t>
    </w:r>
  </w:p>
  <w:p w14:paraId="570181B5">
    <w:pPr>
      <w:pStyle w:val="40"/>
      <w:rPr>
        <w:sz w:val="21"/>
        <w:szCs w:val="21"/>
      </w:rPr>
    </w:pP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7BC4C">
    <w:pPr>
      <w:pStyle w:val="40"/>
      <w:rPr>
        <w:rFonts w:ascii="仿宋_GB2312" w:eastAsia="仿宋_GB2312"/>
        <w:b/>
        <w:i/>
        <w:u w:val="single"/>
      </w:rPr>
    </w:pPr>
    <w:r>
      <w:t></w:t>
    </w:r>
    <w:r>
      <w:rPr>
        <w:sz w:val="21"/>
        <w:szCs w:val="21"/>
      </w:rPr>
      <w:t>北海市政府采购公开招标文件</w:t>
    </w:r>
  </w:p>
  <w:p w14:paraId="24393EE7">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C3DB">
    <w:pPr>
      <w:pStyle w:val="40"/>
      <w:jc w:val="right"/>
    </w:pPr>
    <w:r>
      <w:t></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C148">
    <w:pPr>
      <w:pStyle w:val="40"/>
      <w:jc w:val="right"/>
      <w:rPr>
        <w:rFonts w:ascii="仿宋_GB2312" w:eastAsia="仿宋_GB2312"/>
        <w:b/>
        <w:i/>
        <w:sz w:val="21"/>
        <w:szCs w:val="21"/>
        <w:u w:val="single"/>
      </w:rPr>
    </w:pPr>
    <w:r>
      <w:rPr>
        <w:sz w:val="21"/>
        <w:szCs w:val="21"/>
      </w:rPr>
      <w:t>北海市政府采购公开招标文件</w:t>
    </w:r>
  </w:p>
  <w:p w14:paraId="3E18EF56">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B528">
    <w:pPr>
      <w:pStyle w:val="40"/>
      <w:jc w:val="right"/>
      <w:rPr>
        <w:sz w:val="21"/>
        <w:szCs w:val="21"/>
      </w:rPr>
    </w:pP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44C5">
    <w:pPr>
      <w:pStyle w:val="40"/>
      <w:jc w:val="right"/>
      <w:rPr>
        <w:rFonts w:ascii="仿宋_GB2312" w:eastAsia="仿宋_GB2312"/>
        <w:b/>
        <w:i/>
        <w:iCs/>
        <w:u w:val="single"/>
      </w:rPr>
    </w:pPr>
    <w:r>
      <w:t></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5E1C">
    <w:pPr>
      <w:pStyle w:val="40"/>
    </w:pPr>
    <w:r>
      <w:t></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44D51"/>
    <w:multiLevelType w:val="singleLevel"/>
    <w:tmpl w:val="BD844D51"/>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cwMWM5Y2U2ODFlMjY2MTYyOTg1NjVlYmU0N2I0NTkifQ=="/>
  </w:docVars>
  <w:rsids>
    <w:rsidRoot w:val="0098339D"/>
    <w:rsid w:val="000079A3"/>
    <w:rsid w:val="00077ECD"/>
    <w:rsid w:val="00133165"/>
    <w:rsid w:val="001871AE"/>
    <w:rsid w:val="002E131B"/>
    <w:rsid w:val="003470CF"/>
    <w:rsid w:val="004874D5"/>
    <w:rsid w:val="004B3ECE"/>
    <w:rsid w:val="004C0F51"/>
    <w:rsid w:val="0062548C"/>
    <w:rsid w:val="00664CE5"/>
    <w:rsid w:val="006B5E67"/>
    <w:rsid w:val="006C3CEE"/>
    <w:rsid w:val="007546D4"/>
    <w:rsid w:val="007734CF"/>
    <w:rsid w:val="0098339D"/>
    <w:rsid w:val="009A6D92"/>
    <w:rsid w:val="009E5D32"/>
    <w:rsid w:val="00C8747C"/>
    <w:rsid w:val="00D05BF0"/>
    <w:rsid w:val="00E32BEA"/>
    <w:rsid w:val="00E51C31"/>
    <w:rsid w:val="00E84814"/>
    <w:rsid w:val="00EB6E9F"/>
    <w:rsid w:val="00F265EA"/>
    <w:rsid w:val="00F45F21"/>
    <w:rsid w:val="03547F3F"/>
    <w:rsid w:val="05FB57F0"/>
    <w:rsid w:val="08D40ECD"/>
    <w:rsid w:val="09FF35C4"/>
    <w:rsid w:val="0A090A62"/>
    <w:rsid w:val="0A1B7A08"/>
    <w:rsid w:val="11412F6E"/>
    <w:rsid w:val="140C03C2"/>
    <w:rsid w:val="15791A87"/>
    <w:rsid w:val="17C3523B"/>
    <w:rsid w:val="183121A5"/>
    <w:rsid w:val="185F6D12"/>
    <w:rsid w:val="18F4651B"/>
    <w:rsid w:val="1A6C34DD"/>
    <w:rsid w:val="1B642891"/>
    <w:rsid w:val="1D9624ED"/>
    <w:rsid w:val="1E162EEE"/>
    <w:rsid w:val="213F14D7"/>
    <w:rsid w:val="22C02AA3"/>
    <w:rsid w:val="241A2924"/>
    <w:rsid w:val="291160AF"/>
    <w:rsid w:val="2ACC1950"/>
    <w:rsid w:val="2AE337D3"/>
    <w:rsid w:val="2B502629"/>
    <w:rsid w:val="2C340C6F"/>
    <w:rsid w:val="2CEF2903"/>
    <w:rsid w:val="2D186AC9"/>
    <w:rsid w:val="2D536E7A"/>
    <w:rsid w:val="2D81006B"/>
    <w:rsid w:val="30147100"/>
    <w:rsid w:val="30DE75C9"/>
    <w:rsid w:val="318908BB"/>
    <w:rsid w:val="33103B70"/>
    <w:rsid w:val="33A67A93"/>
    <w:rsid w:val="375850D5"/>
    <w:rsid w:val="393D0552"/>
    <w:rsid w:val="39671EC1"/>
    <w:rsid w:val="399D3C65"/>
    <w:rsid w:val="3CAD1327"/>
    <w:rsid w:val="3D243309"/>
    <w:rsid w:val="40385F17"/>
    <w:rsid w:val="4110479E"/>
    <w:rsid w:val="45663FFB"/>
    <w:rsid w:val="45825D1E"/>
    <w:rsid w:val="478657BA"/>
    <w:rsid w:val="47B95986"/>
    <w:rsid w:val="480C5CBF"/>
    <w:rsid w:val="4824360A"/>
    <w:rsid w:val="499B6895"/>
    <w:rsid w:val="4A5A3216"/>
    <w:rsid w:val="4A5F709C"/>
    <w:rsid w:val="4B5F07FC"/>
    <w:rsid w:val="4BA32DDE"/>
    <w:rsid w:val="4FA72771"/>
    <w:rsid w:val="50BC224C"/>
    <w:rsid w:val="51143E36"/>
    <w:rsid w:val="53B02DB7"/>
    <w:rsid w:val="54323E2C"/>
    <w:rsid w:val="54A6749B"/>
    <w:rsid w:val="558375D4"/>
    <w:rsid w:val="56B86087"/>
    <w:rsid w:val="571B4958"/>
    <w:rsid w:val="575914E2"/>
    <w:rsid w:val="582E0D30"/>
    <w:rsid w:val="58404BF0"/>
    <w:rsid w:val="58F033DB"/>
    <w:rsid w:val="59430206"/>
    <w:rsid w:val="599F48BC"/>
    <w:rsid w:val="5BD13050"/>
    <w:rsid w:val="5E5D0BCB"/>
    <w:rsid w:val="5E9A1E1F"/>
    <w:rsid w:val="60101498"/>
    <w:rsid w:val="638A6CA9"/>
    <w:rsid w:val="675B5EC3"/>
    <w:rsid w:val="684A146C"/>
    <w:rsid w:val="68550146"/>
    <w:rsid w:val="69020CEC"/>
    <w:rsid w:val="697F233D"/>
    <w:rsid w:val="6A38073E"/>
    <w:rsid w:val="6A3F7D1E"/>
    <w:rsid w:val="6A5F7A28"/>
    <w:rsid w:val="6B0C5E52"/>
    <w:rsid w:val="6E54043A"/>
    <w:rsid w:val="6FFF2C85"/>
    <w:rsid w:val="71883117"/>
    <w:rsid w:val="727B2F78"/>
    <w:rsid w:val="729D059B"/>
    <w:rsid w:val="733C7230"/>
    <w:rsid w:val="735A7977"/>
    <w:rsid w:val="73BC23E0"/>
    <w:rsid w:val="74B14858"/>
    <w:rsid w:val="772A1A86"/>
    <w:rsid w:val="779D5709"/>
    <w:rsid w:val="77DA2E34"/>
    <w:rsid w:val="795814B0"/>
    <w:rsid w:val="79A96F62"/>
    <w:rsid w:val="7BD30694"/>
    <w:rsid w:val="7BEB3862"/>
    <w:rsid w:val="7D576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2"/>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next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2"/>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2"/>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2"/>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outlineLvl w:val="5"/>
    </w:pPr>
  </w:style>
  <w:style w:type="paragraph" w:customStyle="1" w:styleId="471">
    <w:name w:val="5级标题"/>
    <w:basedOn w:val="472"/>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2"/>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Lines="50"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2"/>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Lines="0" w:afterLines="0"/>
      <w:ind w:left="1680"/>
      <w:outlineLvl w:val="2"/>
    </w:pPr>
  </w:style>
  <w:style w:type="paragraph" w:customStyle="1" w:styleId="655">
    <w:name w:val="章标题"/>
    <w:next w:val="637"/>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Lines="50"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2"/>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2">
    <w:name w:val="Table Normal"/>
    <w:semiHidden/>
    <w:unhideWhenUsed/>
    <w:qFormat/>
    <w:uiPriority w:val="0"/>
    <w:tblPr>
      <w:tblCellMar>
        <w:top w:w="0" w:type="dxa"/>
        <w:left w:w="0" w:type="dxa"/>
        <w:bottom w:w="0" w:type="dxa"/>
        <w:right w:w="0" w:type="dxa"/>
      </w:tblCellMar>
    </w:tblPr>
  </w:style>
  <w:style w:type="paragraph" w:customStyle="1" w:styleId="963">
    <w:name w:val="Body text|1"/>
    <w:basedOn w:val="1"/>
    <w:autoRedefine/>
    <w:qFormat/>
    <w:uiPriority w:val="0"/>
    <w:pPr>
      <w:spacing w:line="398" w:lineRule="exact"/>
      <w:ind w:firstLine="420"/>
    </w:pPr>
    <w:rPr>
      <w:rFonts w:asci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72" textRotate="1"/>
    <customShpInfo spid="_x0000_s2062" textRotate="1"/>
    <customShpInfo spid="_x0000_s2049"/>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69" textRotate="1"/>
    <customShpInfo spid="_x0000_s2070" textRotate="1"/>
    <customShpInfo spid="_x0000_s207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211C9-77CC-4795-839D-1689CCD79DA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15205</Words>
  <Characters>16757</Characters>
  <Lines>361</Lines>
  <Paragraphs>101</Paragraphs>
  <TotalTime>109</TotalTime>
  <ScaleCrop>false</ScaleCrop>
  <LinksUpToDate>false</LinksUpToDate>
  <CharactersWithSpaces>17084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Administrator</cp:lastModifiedBy>
  <cp:lastPrinted>2021-12-27T11:06:00Z</cp:lastPrinted>
  <dcterms:modified xsi:type="dcterms:W3CDTF">2025-12-01T02:32:15Z</dcterms:modified>
  <dc:title>北海市政府采购中心</dc:title>
  <cp:revision>494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f2457d6f_mFV3wj85ICk2PcpOlXv8qsw06JI=_8QYrr2VhfDcyPdtMkXn/ruCF9SbXjqsuRT1EWYdN+PaXKs34pWlbGrclnUJln8EcEDduLncMnr6reYXMNrvy9pkjJg==_920deeff</vt:lpwstr>
  </property>
  <property fmtid="{D5CDD505-2E9C-101B-9397-08002B2CF9AE}" pid="3" name="ICV">
    <vt:lpwstr>0FD1A88BCBDC48C0BE7BED3F6297D455</vt:lpwstr>
  </property>
  <property fmtid="{D5CDD505-2E9C-101B-9397-08002B2CF9AE}" pid="4" name="KSOProductBuildVer">
    <vt:lpwstr>2052-12.1.0.23542</vt:lpwstr>
  </property>
  <property fmtid="{D5CDD505-2E9C-101B-9397-08002B2CF9AE}" pid="5" name="KSOTemplateDocerSaveRecord">
    <vt:lpwstr>eyJoZGlkIjoiYTc3NzJiNzFiOWY2ZTZhYjIyZTI0ODJlMmUyMGZjNGEiLCJ1c2VySWQiOiI0MjkyMDA5NjQifQ==</vt:lpwstr>
  </property>
</Properties>
</file>