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33286">
      <w:pPr>
        <w:jc w:val="center"/>
        <w:rPr>
          <w:rFonts w:ascii="方正小标宋简体" w:eastAsia="方正小标宋简体"/>
          <w:color w:val="auto"/>
          <w:sz w:val="52"/>
          <w:szCs w:val="52"/>
          <w:highlight w:val="none"/>
        </w:rPr>
      </w:pPr>
      <w:r>
        <w:rPr>
          <w:color w:val="auto"/>
          <w:highlight w:val="none"/>
        </w:rPr>
        <w:drawing>
          <wp:inline distT="0" distB="0" distL="114300" distR="114300">
            <wp:extent cx="5755005" cy="817245"/>
            <wp:effectExtent l="0" t="0" r="5715" b="57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755005" cy="817245"/>
                    </a:xfrm>
                    <a:prstGeom prst="rect">
                      <a:avLst/>
                    </a:prstGeom>
                    <a:noFill/>
                    <a:ln>
                      <a:noFill/>
                    </a:ln>
                  </pic:spPr>
                </pic:pic>
              </a:graphicData>
            </a:graphic>
          </wp:inline>
        </w:drawing>
      </w:r>
    </w:p>
    <w:p w14:paraId="56DF7E65">
      <w:pPr>
        <w:pStyle w:val="10"/>
        <w:adjustRightInd w:val="0"/>
        <w:snapToGrid w:val="0"/>
        <w:rPr>
          <w:rFonts w:hint="eastAsia" w:ascii="方正小标宋简体" w:eastAsia="方正小标宋简体"/>
          <w:b/>
          <w:bCs/>
          <w:color w:val="auto"/>
          <w:spacing w:val="-20"/>
          <w:sz w:val="32"/>
          <w:highlight w:val="none"/>
        </w:rPr>
      </w:pPr>
      <w:r>
        <w:rPr>
          <w:rFonts w:ascii="宋体" w:hAnsi="宋体"/>
          <w:b/>
          <w:color w:val="auto"/>
          <w:sz w:val="32"/>
          <w:highlight w:val="none"/>
        </w:rPr>
        <mc:AlternateContent>
          <mc:Choice Requires="wps">
            <w:drawing>
              <wp:anchor distT="0" distB="0" distL="114300" distR="114300" simplePos="0" relativeHeight="251659264" behindDoc="0" locked="0" layoutInCell="1" allowOverlap="1">
                <wp:simplePos x="0" y="0"/>
                <wp:positionH relativeFrom="column">
                  <wp:posOffset>274320</wp:posOffset>
                </wp:positionH>
                <wp:positionV relativeFrom="paragraph">
                  <wp:posOffset>161925</wp:posOffset>
                </wp:positionV>
                <wp:extent cx="5600700" cy="635"/>
                <wp:effectExtent l="0" t="31750" r="7620" b="43815"/>
                <wp:wrapNone/>
                <wp:docPr id="4" name="直接连接符 4"/>
                <wp:cNvGraphicFramePr/>
                <a:graphic xmlns:a="http://schemas.openxmlformats.org/drawingml/2006/main">
                  <a:graphicData uri="http://schemas.microsoft.com/office/word/2010/wordprocessingShape">
                    <wps:wsp>
                      <wps:cNvCnPr/>
                      <wps:spPr>
                        <a:xfrm flipV="1">
                          <a:off x="0" y="0"/>
                          <a:ext cx="5600700" cy="635"/>
                        </a:xfrm>
                        <a:prstGeom prst="line">
                          <a:avLst/>
                        </a:prstGeom>
                        <a:ln w="63500" cap="flat" cmpd="tri">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1.6pt;margin-top:12.75pt;height:0.05pt;width:441pt;z-index:251659264;mso-width-relative:page;mso-height-relative:page;" filled="f" stroked="t" coordsize="21600,21600" o:gfxdata="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1Rn8J1QAAAAgBAAAPAAAAAAAAAAEAIAAAACIAAABkcnMvZG93bnJl&#10;di54bWxQSwECFAAUAAAACACHTuJAAhvjwwACAAD/AwAADgAAAAAAAAABACAAAAAkAQAAZHJzL2Uy&#10;b0RvYy54bWxQSwUGAAAAAAYABgBZAQAAlgUAAAAA&#10;">
                <v:fill on="f" focussize="0,0"/>
                <v:stroke weight="5pt" color="#FF0000" linestyle="thickBetweenThin" joinstyle="round"/>
                <v:imagedata o:title=""/>
                <o:lock v:ext="edit" aspectratio="f"/>
              </v:line>
            </w:pict>
          </mc:Fallback>
        </mc:AlternateContent>
      </w:r>
    </w:p>
    <w:p w14:paraId="693226FD">
      <w:pPr>
        <w:spacing w:before="156" w:beforeLines="50"/>
        <w:jc w:val="both"/>
        <w:rPr>
          <w:rFonts w:hint="eastAsia" w:ascii="宋体" w:hAnsi="宋体"/>
          <w:b/>
          <w:color w:val="auto"/>
          <w:sz w:val="84"/>
          <w:szCs w:val="84"/>
          <w:highlight w:val="none"/>
        </w:rPr>
      </w:pPr>
    </w:p>
    <w:p w14:paraId="058F32F8">
      <w:pPr>
        <w:spacing w:before="156" w:beforeLines="50"/>
        <w:jc w:val="center"/>
        <w:rPr>
          <w:rFonts w:hint="eastAsia" w:ascii="宋体" w:hAnsi="宋体"/>
          <w:b/>
          <w:color w:val="auto"/>
          <w:sz w:val="84"/>
          <w:szCs w:val="84"/>
          <w:highlight w:val="none"/>
        </w:rPr>
      </w:pPr>
      <w:r>
        <w:rPr>
          <w:rFonts w:hint="eastAsia" w:ascii="宋体" w:hAnsi="宋体"/>
          <w:b/>
          <w:color w:val="auto"/>
          <w:sz w:val="84"/>
          <w:szCs w:val="84"/>
          <w:highlight w:val="none"/>
        </w:rPr>
        <w:t>竞争性</w:t>
      </w:r>
      <w:r>
        <w:rPr>
          <w:rFonts w:hint="eastAsia" w:ascii="宋体" w:hAnsi="宋体"/>
          <w:b/>
          <w:color w:val="auto"/>
          <w:sz w:val="84"/>
          <w:szCs w:val="84"/>
          <w:highlight w:val="none"/>
          <w:lang w:eastAsia="zh-CN"/>
        </w:rPr>
        <w:t>谈判</w:t>
      </w:r>
      <w:r>
        <w:rPr>
          <w:rFonts w:hint="eastAsia" w:ascii="宋体" w:hAnsi="宋体"/>
          <w:b/>
          <w:color w:val="auto"/>
          <w:sz w:val="84"/>
          <w:szCs w:val="84"/>
          <w:highlight w:val="none"/>
        </w:rPr>
        <w:t>采购文件</w:t>
      </w:r>
    </w:p>
    <w:p w14:paraId="5C3FAA30">
      <w:pPr>
        <w:rPr>
          <w:rFonts w:hint="eastAsia"/>
          <w:color w:val="auto"/>
          <w:sz w:val="32"/>
          <w:szCs w:val="32"/>
          <w:highlight w:val="none"/>
        </w:rPr>
      </w:pPr>
    </w:p>
    <w:p w14:paraId="312FACA0">
      <w:pPr>
        <w:rPr>
          <w:rFonts w:hint="eastAsia"/>
          <w:color w:val="auto"/>
          <w:sz w:val="32"/>
          <w:szCs w:val="32"/>
          <w:highlight w:val="none"/>
        </w:rPr>
      </w:pPr>
    </w:p>
    <w:p w14:paraId="3C6E1D4B">
      <w:pPr>
        <w:pStyle w:val="2"/>
        <w:rPr>
          <w:rFonts w:hint="eastAsia"/>
          <w:color w:val="auto"/>
          <w:highlight w:val="none"/>
        </w:rPr>
      </w:pPr>
    </w:p>
    <w:p w14:paraId="4BB9A558">
      <w:pPr>
        <w:ind w:left="2564" w:leftChars="456" w:hanging="1606" w:hangingChars="500"/>
        <w:rPr>
          <w:rFonts w:hint="eastAsia" w:eastAsiaTheme="minorEastAsia"/>
          <w:color w:val="auto"/>
          <w:sz w:val="32"/>
          <w:szCs w:val="32"/>
          <w:highlight w:val="none"/>
          <w:u w:val="none"/>
          <w:lang w:eastAsia="zh-CN"/>
        </w:rPr>
      </w:pPr>
      <w:r>
        <w:rPr>
          <w:rFonts w:hint="eastAsia" w:ascii="宋体" w:hAnsi="宋体" w:cs="宋体"/>
          <w:b/>
          <w:color w:val="auto"/>
          <w:sz w:val="32"/>
          <w:szCs w:val="32"/>
          <w:highlight w:val="none"/>
        </w:rPr>
        <w:t>项目名称：</w:t>
      </w:r>
      <w:r>
        <w:rPr>
          <w:rFonts w:hint="eastAsia" w:ascii="宋体" w:hAnsi="宋体" w:cs="宋体"/>
          <w:b/>
          <w:color w:val="auto"/>
          <w:sz w:val="32"/>
          <w:szCs w:val="32"/>
          <w:highlight w:val="none"/>
          <w:lang w:eastAsia="zh-CN"/>
        </w:rPr>
        <w:t>皮肤科医疗设备</w:t>
      </w:r>
    </w:p>
    <w:p w14:paraId="6EB8354D">
      <w:pPr>
        <w:spacing w:line="360" w:lineRule="auto"/>
        <w:ind w:firstLine="2249" w:firstLineChars="700"/>
        <w:jc w:val="left"/>
        <w:rPr>
          <w:rFonts w:hint="eastAsia" w:ascii="宋体" w:hAnsi="宋体" w:cs="宋体"/>
          <w:b/>
          <w:color w:val="auto"/>
          <w:sz w:val="32"/>
          <w:szCs w:val="32"/>
          <w:highlight w:val="none"/>
          <w:u w:val="none"/>
        </w:rPr>
      </w:pPr>
    </w:p>
    <w:p w14:paraId="1D1FE384">
      <w:pPr>
        <w:spacing w:line="360" w:lineRule="auto"/>
        <w:ind w:firstLine="964" w:firstLineChars="300"/>
        <w:jc w:val="left"/>
        <w:rPr>
          <w:rFonts w:hint="eastAsia" w:ascii="宋体" w:hAnsi="宋体" w:cs="宋体" w:eastAsiaTheme="minorEastAsia"/>
          <w:b/>
          <w:color w:val="auto"/>
          <w:sz w:val="32"/>
          <w:szCs w:val="32"/>
          <w:highlight w:val="none"/>
          <w:u w:val="none"/>
          <w:lang w:eastAsia="zh-CN"/>
        </w:rPr>
      </w:pPr>
      <w:r>
        <w:rPr>
          <w:rFonts w:hint="eastAsia" w:ascii="宋体" w:hAnsi="宋体" w:cs="宋体"/>
          <w:b/>
          <w:color w:val="auto"/>
          <w:sz w:val="32"/>
          <w:szCs w:val="32"/>
          <w:highlight w:val="none"/>
          <w:u w:val="none"/>
        </w:rPr>
        <w:t>项目编号：BHZC2025-J1-210223-ZZYG</w:t>
      </w:r>
    </w:p>
    <w:p w14:paraId="6FE64B1B">
      <w:pPr>
        <w:spacing w:line="360" w:lineRule="auto"/>
        <w:ind w:firstLine="723" w:firstLineChars="225"/>
        <w:jc w:val="left"/>
        <w:rPr>
          <w:rFonts w:hint="eastAsia" w:ascii="宋体" w:hAnsi="宋体" w:cs="宋体"/>
          <w:b/>
          <w:color w:val="auto"/>
          <w:sz w:val="32"/>
          <w:szCs w:val="32"/>
          <w:highlight w:val="none"/>
          <w:u w:val="none"/>
        </w:rPr>
      </w:pPr>
    </w:p>
    <w:p w14:paraId="54C82A69">
      <w:pPr>
        <w:spacing w:line="360" w:lineRule="auto"/>
        <w:ind w:left="1602" w:leftChars="610" w:hanging="321" w:hangingChars="100"/>
        <w:rPr>
          <w:rFonts w:hint="eastAsia" w:ascii="宋体" w:hAnsi="宋体" w:cs="宋体" w:eastAsiaTheme="minorEastAsia"/>
          <w:b/>
          <w:color w:val="auto"/>
          <w:sz w:val="32"/>
          <w:szCs w:val="32"/>
          <w:highlight w:val="none"/>
          <w:u w:val="none"/>
          <w:lang w:val="en-US" w:eastAsia="zh-CN"/>
        </w:rPr>
      </w:pPr>
    </w:p>
    <w:p w14:paraId="3A01948B">
      <w:pPr>
        <w:spacing w:line="360" w:lineRule="auto"/>
        <w:ind w:firstLine="723" w:firstLineChars="225"/>
        <w:jc w:val="left"/>
        <w:rPr>
          <w:rFonts w:hint="eastAsia" w:ascii="宋体" w:hAnsi="宋体" w:cs="宋体"/>
          <w:b/>
          <w:color w:val="auto"/>
          <w:sz w:val="32"/>
          <w:szCs w:val="32"/>
          <w:highlight w:val="none"/>
          <w:u w:val="none"/>
        </w:rPr>
      </w:pPr>
    </w:p>
    <w:p w14:paraId="79C0363F">
      <w:pPr>
        <w:spacing w:line="360" w:lineRule="auto"/>
        <w:ind w:firstLine="723" w:firstLineChars="225"/>
        <w:jc w:val="left"/>
        <w:rPr>
          <w:rFonts w:hint="eastAsia" w:ascii="宋体" w:hAnsi="宋体" w:cs="宋体"/>
          <w:b/>
          <w:color w:val="auto"/>
          <w:sz w:val="32"/>
          <w:szCs w:val="32"/>
          <w:highlight w:val="none"/>
          <w:u w:val="none"/>
        </w:rPr>
      </w:pPr>
    </w:p>
    <w:p w14:paraId="74529268">
      <w:pPr>
        <w:spacing w:line="360" w:lineRule="auto"/>
        <w:ind w:firstLine="723" w:firstLineChars="225"/>
        <w:jc w:val="left"/>
        <w:rPr>
          <w:rFonts w:hint="eastAsia" w:ascii="宋体" w:hAnsi="宋体" w:cs="宋体"/>
          <w:b/>
          <w:color w:val="auto"/>
          <w:sz w:val="32"/>
          <w:szCs w:val="32"/>
          <w:highlight w:val="none"/>
          <w:u w:val="none"/>
        </w:rPr>
      </w:pPr>
      <w:r>
        <w:rPr>
          <w:rFonts w:ascii="宋体" w:hAnsi="宋体"/>
          <w:b/>
          <w:color w:val="auto"/>
          <w:sz w:val="32"/>
          <w:highlight w:val="none"/>
          <w:u w:val="none"/>
        </w:rPr>
        <mc:AlternateContent>
          <mc:Choice Requires="wps">
            <w:drawing>
              <wp:anchor distT="0" distB="0" distL="114300" distR="114300" simplePos="0" relativeHeight="251662336" behindDoc="0" locked="0" layoutInCell="1" allowOverlap="1">
                <wp:simplePos x="0" y="0"/>
                <wp:positionH relativeFrom="column">
                  <wp:posOffset>-91440</wp:posOffset>
                </wp:positionH>
                <wp:positionV relativeFrom="paragraph">
                  <wp:posOffset>167005</wp:posOffset>
                </wp:positionV>
                <wp:extent cx="5600700" cy="635"/>
                <wp:effectExtent l="0" t="31750" r="7620" b="43815"/>
                <wp:wrapNone/>
                <wp:docPr id="6" name="直接连接符 6"/>
                <wp:cNvGraphicFramePr/>
                <a:graphic xmlns:a="http://schemas.openxmlformats.org/drawingml/2006/main">
                  <a:graphicData uri="http://schemas.microsoft.com/office/word/2010/wordprocessingShape">
                    <wps:wsp>
                      <wps:cNvCnPr/>
                      <wps:spPr>
                        <a:xfrm flipV="1">
                          <a:off x="0" y="0"/>
                          <a:ext cx="5600700" cy="635"/>
                        </a:xfrm>
                        <a:prstGeom prst="line">
                          <a:avLst/>
                        </a:prstGeom>
                        <a:ln w="63500" cap="flat" cmpd="tri">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7.2pt;margin-top:13.15pt;height:0.05pt;width:441pt;z-index:251662336;mso-width-relative:page;mso-height-relative:page;" filled="f" stroked="t" coordsize="21600,21600" o:gfxdata="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msicy1gAAAAkBAAAPAAAAAAAAAAEAIAAAACIAAABkcnMvZG93bnJl&#10;di54bWxQSwECFAAUAAAACACHTuJAaeu1hP8BAAD/AwAADgAAAAAAAAABACAAAAAlAQAAZHJzL2Uy&#10;b0RvYy54bWxQSwUGAAAAAAYABgBZAQAAlgUAAAAA&#10;">
                <v:fill on="f" focussize="0,0"/>
                <v:stroke weight="5pt" color="#FF0000" linestyle="thickBetweenThin" joinstyle="round"/>
                <v:imagedata o:title=""/>
                <o:lock v:ext="edit" aspectratio="f"/>
              </v:line>
            </w:pict>
          </mc:Fallback>
        </mc:AlternateContent>
      </w:r>
      <w:r>
        <w:rPr>
          <w:rFonts w:ascii="宋体" w:hAnsi="宋体"/>
          <w:b/>
          <w:color w:val="auto"/>
          <w:sz w:val="32"/>
          <w:highlight w:val="none"/>
          <w:u w:val="none"/>
        </w:rPr>
        <mc:AlternateContent>
          <mc:Choice Requires="wps">
            <w:drawing>
              <wp:anchor distT="0" distB="0" distL="114300" distR="114300" simplePos="0" relativeHeight="251661312" behindDoc="0" locked="0" layoutInCell="1" allowOverlap="1">
                <wp:simplePos x="0" y="0"/>
                <wp:positionH relativeFrom="column">
                  <wp:posOffset>1028065</wp:posOffset>
                </wp:positionH>
                <wp:positionV relativeFrom="paragraph">
                  <wp:posOffset>8824595</wp:posOffset>
                </wp:positionV>
                <wp:extent cx="5600700" cy="635"/>
                <wp:effectExtent l="0" t="31750" r="7620" b="43815"/>
                <wp:wrapNone/>
                <wp:docPr id="5" name="直接连接符 5"/>
                <wp:cNvGraphicFramePr/>
                <a:graphic xmlns:a="http://schemas.openxmlformats.org/drawingml/2006/main">
                  <a:graphicData uri="http://schemas.microsoft.com/office/word/2010/wordprocessingShape">
                    <wps:wsp>
                      <wps:cNvCnPr/>
                      <wps:spPr>
                        <a:xfrm flipV="1">
                          <a:off x="0" y="0"/>
                          <a:ext cx="5600700" cy="635"/>
                        </a:xfrm>
                        <a:prstGeom prst="line">
                          <a:avLst/>
                        </a:prstGeom>
                        <a:ln w="63500" cap="flat" cmpd="tri">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80.95pt;margin-top:694.85pt;height:0.05pt;width:441pt;z-index:251661312;mso-width-relative:page;mso-height-relative:page;" filled="f" stroked="t" coordsize="21600,21600" o:gfxdata="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dTfV1wAAAA4BAAAPAAAAAAAAAAEAIAAAACIAAABkcnMvZG93&#10;bnJldi54bWxQSwECFAAUAAAACACHTuJAF+DwDQECAAD/AwAADgAAAAAAAAABACAAAAAmAQAAZHJz&#10;L2Uyb0RvYy54bWxQSwUGAAAAAAYABgBZAQAAmQUAAAAA&#10;">
                <v:fill on="f" focussize="0,0"/>
                <v:stroke weight="5pt" color="#FF0000" linestyle="thickBetweenThin" joinstyle="round"/>
                <v:imagedata o:title=""/>
                <o:lock v:ext="edit" aspectratio="f"/>
              </v:line>
            </w:pict>
          </mc:Fallback>
        </mc:AlternateContent>
      </w:r>
    </w:p>
    <w:p w14:paraId="60970A0D">
      <w:pPr>
        <w:spacing w:line="360" w:lineRule="auto"/>
        <w:ind w:firstLine="1928" w:firstLineChars="600"/>
        <w:jc w:val="left"/>
        <w:rPr>
          <w:rFonts w:hint="eastAsia" w:ascii="宋体" w:hAnsi="宋体" w:cs="宋体"/>
          <w:b/>
          <w:color w:val="auto"/>
          <w:sz w:val="32"/>
          <w:szCs w:val="32"/>
          <w:highlight w:val="none"/>
          <w:u w:val="none"/>
        </w:rPr>
      </w:pPr>
      <w:r>
        <w:rPr>
          <w:rFonts w:hint="eastAsia" w:ascii="宋体" w:hAnsi="宋体" w:cs="宋体"/>
          <w:b/>
          <w:color w:val="auto"/>
          <w:sz w:val="32"/>
          <w:szCs w:val="32"/>
          <w:highlight w:val="none"/>
          <w:u w:val="none"/>
        </w:rPr>
        <w:t>采购单位：</w:t>
      </w:r>
      <w:r>
        <w:rPr>
          <w:rFonts w:hint="eastAsia" w:ascii="宋体" w:hAnsi="宋体" w:cs="宋体"/>
          <w:b/>
          <w:color w:val="auto"/>
          <w:sz w:val="32"/>
          <w:szCs w:val="32"/>
          <w:highlight w:val="none"/>
          <w:u w:val="none"/>
          <w:lang w:val="en-US" w:eastAsia="zh-CN"/>
        </w:rPr>
        <w:t>合浦县妇幼保健院</w:t>
      </w:r>
    </w:p>
    <w:p w14:paraId="4A10FA20">
      <w:pPr>
        <w:spacing w:line="360" w:lineRule="auto"/>
        <w:ind w:firstLine="1928" w:firstLineChars="600"/>
        <w:jc w:val="left"/>
        <w:rPr>
          <w:rFonts w:hint="eastAsia"/>
          <w:b/>
          <w:bCs/>
          <w:color w:val="auto"/>
          <w:sz w:val="32"/>
          <w:szCs w:val="32"/>
          <w:highlight w:val="none"/>
          <w:u w:val="none"/>
        </w:rPr>
      </w:pPr>
      <w:r>
        <w:rPr>
          <w:rFonts w:hint="eastAsia" w:ascii="宋体" w:hAnsi="宋体" w:cs="宋体"/>
          <w:b/>
          <w:color w:val="auto"/>
          <w:sz w:val="32"/>
          <w:szCs w:val="32"/>
          <w:highlight w:val="none"/>
          <w:u w:val="none"/>
        </w:rPr>
        <w:t>采购代理机构：</w:t>
      </w:r>
      <w:r>
        <w:rPr>
          <w:rFonts w:hint="eastAsia" w:ascii="宋体" w:hAnsi="宋体" w:cs="宋体"/>
          <w:b/>
          <w:color w:val="auto"/>
          <w:sz w:val="32"/>
          <w:szCs w:val="32"/>
          <w:highlight w:val="none"/>
          <w:u w:val="none"/>
          <w:lang w:eastAsia="zh-CN"/>
        </w:rPr>
        <w:t>广西中之元工程管理有限公司</w:t>
      </w:r>
      <w:r>
        <w:rPr>
          <w:rFonts w:hint="eastAsia"/>
          <w:b/>
          <w:bCs/>
          <w:color w:val="auto"/>
          <w:sz w:val="32"/>
          <w:szCs w:val="32"/>
          <w:highlight w:val="none"/>
          <w:u w:val="none"/>
        </w:rPr>
        <w:t xml:space="preserve"> </w:t>
      </w:r>
    </w:p>
    <w:p w14:paraId="14A8DE6F">
      <w:pPr>
        <w:jc w:val="center"/>
        <w:rPr>
          <w:rFonts w:hint="eastAsia" w:eastAsia="宋体"/>
          <w:b/>
          <w:bCs/>
          <w:color w:val="auto"/>
          <w:sz w:val="32"/>
          <w:szCs w:val="32"/>
          <w:highlight w:val="none"/>
          <w:lang w:eastAsia="zh-CN"/>
        </w:rPr>
      </w:pPr>
      <w:r>
        <w:rPr>
          <w:rFonts w:hint="eastAsia"/>
          <w:b/>
          <w:bCs/>
          <w:color w:val="auto"/>
          <w:sz w:val="32"/>
          <w:szCs w:val="32"/>
          <w:highlight w:val="none"/>
        </w:rPr>
        <w:t xml:space="preserve"> </w:t>
      </w:r>
      <w:r>
        <w:rPr>
          <w:rFonts w:hint="eastAsia"/>
          <w:b/>
          <w:bCs/>
          <w:color w:val="auto"/>
          <w:sz w:val="32"/>
          <w:szCs w:val="32"/>
          <w:highlight w:val="none"/>
          <w:lang w:eastAsia="zh-CN"/>
        </w:rPr>
        <w:t>202</w:t>
      </w:r>
      <w:r>
        <w:rPr>
          <w:rFonts w:hint="eastAsia"/>
          <w:b/>
          <w:bCs/>
          <w:color w:val="auto"/>
          <w:sz w:val="32"/>
          <w:szCs w:val="32"/>
          <w:highlight w:val="none"/>
          <w:lang w:val="en-US" w:eastAsia="zh-CN"/>
        </w:rPr>
        <w:t>5</w:t>
      </w:r>
      <w:r>
        <w:rPr>
          <w:rFonts w:hint="eastAsia"/>
          <w:b/>
          <w:bCs/>
          <w:color w:val="auto"/>
          <w:sz w:val="32"/>
          <w:szCs w:val="32"/>
          <w:highlight w:val="none"/>
          <w:lang w:eastAsia="zh-CN"/>
        </w:rPr>
        <w:t>年</w:t>
      </w:r>
      <w:r>
        <w:rPr>
          <w:rFonts w:hint="eastAsia"/>
          <w:b/>
          <w:bCs/>
          <w:color w:val="auto"/>
          <w:sz w:val="32"/>
          <w:szCs w:val="32"/>
          <w:highlight w:val="none"/>
          <w:lang w:val="en-US" w:eastAsia="zh-CN"/>
        </w:rPr>
        <w:t>12</w:t>
      </w:r>
      <w:r>
        <w:rPr>
          <w:rFonts w:hint="eastAsia"/>
          <w:b/>
          <w:bCs/>
          <w:color w:val="auto"/>
          <w:sz w:val="32"/>
          <w:szCs w:val="32"/>
          <w:highlight w:val="none"/>
          <w:lang w:eastAsia="zh-CN"/>
        </w:rPr>
        <w:t>月</w:t>
      </w:r>
    </w:p>
    <w:p w14:paraId="4439F08B">
      <w:pPr>
        <w:jc w:val="center"/>
        <w:rPr>
          <w:rFonts w:hint="eastAsia" w:ascii="宋体" w:hAnsi="宋体" w:eastAsia="宋体" w:cs="宋体"/>
          <w:b/>
          <w:bCs/>
          <w:color w:val="auto"/>
          <w:sz w:val="36"/>
          <w:szCs w:val="36"/>
          <w:highlight w:val="none"/>
          <w:lang w:eastAsia="zh-CN"/>
        </w:rPr>
        <w:sectPr>
          <w:pgSz w:w="11906" w:h="16838"/>
          <w:pgMar w:top="1247" w:right="1247" w:bottom="1247" w:left="1247" w:header="851" w:footer="992" w:gutter="0"/>
          <w:cols w:space="425" w:num="1"/>
          <w:docGrid w:type="lines" w:linePitch="312" w:charSpace="0"/>
        </w:sectPr>
      </w:pPr>
    </w:p>
    <w:p w14:paraId="1B554635">
      <w:pPr>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目</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录</w:t>
      </w:r>
    </w:p>
    <w:p w14:paraId="48986BC8">
      <w:pPr>
        <w:pStyle w:val="2"/>
        <w:ind w:left="0" w:leftChars="0" w:firstLine="0" w:firstLineChars="0"/>
        <w:rPr>
          <w:rFonts w:hint="eastAsia" w:ascii="宋体" w:hAnsi="宋体" w:eastAsia="宋体" w:cs="宋体"/>
          <w:b/>
          <w:bCs/>
          <w:color w:val="auto"/>
          <w:sz w:val="36"/>
          <w:szCs w:val="36"/>
          <w:highlight w:val="none"/>
          <w:lang w:eastAsia="zh-CN"/>
        </w:rPr>
      </w:pPr>
    </w:p>
    <w:p w14:paraId="393A5291">
      <w:pPr>
        <w:pStyle w:val="14"/>
        <w:tabs>
          <w:tab w:val="right" w:leader="dot" w:pos="9638"/>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TOC \o "1-1" \h \u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 HYPERLINK \l _Toc6880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color w:val="auto"/>
          <w:sz w:val="28"/>
          <w:szCs w:val="28"/>
          <w:highlight w:val="none"/>
          <w:lang w:val="en-US" w:eastAsia="zh-CN"/>
        </w:rPr>
        <w:t>第一章  竞争性谈判公告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_Toc6880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eastAsia="zh-CN"/>
        </w:rPr>
        <w:fldChar w:fldCharType="end"/>
      </w:r>
    </w:p>
    <w:p w14:paraId="7C51F570">
      <w:pPr>
        <w:pStyle w:val="14"/>
        <w:tabs>
          <w:tab w:val="right" w:leader="dot" w:pos="9638"/>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 HYPERLINK \l _Toc19050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color w:val="auto"/>
          <w:sz w:val="28"/>
          <w:szCs w:val="28"/>
          <w:highlight w:val="none"/>
          <w:lang w:val="en-US" w:eastAsia="zh-CN"/>
        </w:rPr>
        <w:t>第二章  谈判供应商须知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_Toc19050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eastAsia="zh-CN"/>
        </w:rPr>
        <w:fldChar w:fldCharType="end"/>
      </w:r>
    </w:p>
    <w:p w14:paraId="66BF2CD0">
      <w:pPr>
        <w:pStyle w:val="14"/>
        <w:tabs>
          <w:tab w:val="right" w:leader="dot" w:pos="9638"/>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 HYPERLINK \l _Toc19056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color w:val="auto"/>
          <w:sz w:val="28"/>
          <w:szCs w:val="28"/>
          <w:highlight w:val="none"/>
          <w:lang w:val="en-US" w:eastAsia="zh-CN"/>
        </w:rPr>
        <w:t>第三章  采购项目需求</w:t>
      </w:r>
      <w:bookmarkStart w:id="110" w:name="_GoBack"/>
      <w:bookmarkEnd w:id="110"/>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_Toc19056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eastAsia="zh-CN"/>
        </w:rPr>
        <w:fldChar w:fldCharType="end"/>
      </w:r>
    </w:p>
    <w:p w14:paraId="29773E9E">
      <w:pPr>
        <w:pStyle w:val="14"/>
        <w:tabs>
          <w:tab w:val="right" w:leader="dot" w:pos="9638"/>
        </w:tabs>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 HYPERLINK \l _Toc6559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竞争性谈判响应文件格式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fldChar w:fldCharType="end"/>
      </w:r>
      <w:r>
        <w:rPr>
          <w:rFonts w:hint="eastAsia" w:ascii="宋体" w:hAnsi="宋体" w:eastAsia="宋体" w:cs="宋体"/>
          <w:color w:val="auto"/>
          <w:sz w:val="28"/>
          <w:szCs w:val="28"/>
          <w:highlight w:val="none"/>
          <w:lang w:val="en-US" w:eastAsia="zh-CN"/>
        </w:rPr>
        <w:t>5</w:t>
      </w:r>
    </w:p>
    <w:p w14:paraId="236418E6">
      <w:pPr>
        <w:pStyle w:val="14"/>
        <w:tabs>
          <w:tab w:val="right" w:leader="dot" w:pos="9638"/>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 HYPERLINK \l _Toc3262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color w:val="auto"/>
          <w:sz w:val="28"/>
          <w:szCs w:val="28"/>
          <w:highlight w:val="none"/>
        </w:rPr>
        <w:t>第五章  合同主要条款</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_Toc3262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eastAsia="zh-CN"/>
        </w:rPr>
        <w:fldChar w:fldCharType="end"/>
      </w:r>
    </w:p>
    <w:p w14:paraId="37740D6B">
      <w:pPr>
        <w:pStyle w:val="14"/>
        <w:tabs>
          <w:tab w:val="right" w:leader="dot" w:pos="9638"/>
        </w:tabs>
        <w:rPr>
          <w:color w:val="auto"/>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 HYPERLINK \l _Toc26122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color w:val="auto"/>
          <w:sz w:val="28"/>
          <w:szCs w:val="28"/>
          <w:highlight w:val="none"/>
          <w:lang w:eastAsia="zh-CN"/>
        </w:rPr>
        <w:t>第六章</w:t>
      </w:r>
      <w:r>
        <w:rPr>
          <w:rFonts w:hint="eastAsia" w:ascii="宋体" w:hAnsi="宋体" w:eastAsia="宋体" w:cs="宋体"/>
          <w:color w:val="auto"/>
          <w:sz w:val="28"/>
          <w:szCs w:val="28"/>
          <w:highlight w:val="none"/>
          <w:lang w:val="en-US" w:eastAsia="zh-CN"/>
        </w:rPr>
        <w:t xml:space="preserve">  评定标准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_Toc26122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eastAsia="zh-CN"/>
        </w:rPr>
        <w:fldChar w:fldCharType="end"/>
      </w:r>
    </w:p>
    <w:p w14:paraId="56E2D21C">
      <w:pPr>
        <w:pStyle w:val="2"/>
        <w:rPr>
          <w:rFonts w:hint="eastAsia" w:ascii="宋体" w:hAnsi="宋体" w:eastAsia="宋体" w:cs="宋体"/>
          <w:color w:val="auto"/>
          <w:sz w:val="28"/>
          <w:szCs w:val="28"/>
          <w:highlight w:val="none"/>
          <w:lang w:eastAsia="zh-CN"/>
        </w:rPr>
      </w:pPr>
      <w:r>
        <w:rPr>
          <w:rFonts w:hint="eastAsia" w:ascii="宋体" w:hAnsi="宋体" w:eastAsia="宋体" w:cs="宋体"/>
          <w:color w:val="auto"/>
          <w:szCs w:val="28"/>
          <w:highlight w:val="none"/>
          <w:lang w:eastAsia="zh-CN"/>
        </w:rPr>
        <w:fldChar w:fldCharType="end"/>
      </w:r>
    </w:p>
    <w:p w14:paraId="6B1CD15F">
      <w:pPr>
        <w:pStyle w:val="3"/>
        <w:bidi w:val="0"/>
        <w:rPr>
          <w:rFonts w:hint="eastAsia"/>
          <w:color w:val="auto"/>
          <w:highlight w:val="none"/>
          <w:lang w:val="en-US" w:eastAsia="zh-CN"/>
        </w:rPr>
        <w:sectPr>
          <w:footerReference r:id="rId3" w:type="default"/>
          <w:pgSz w:w="11906" w:h="16838"/>
          <w:pgMar w:top="1247" w:right="1247" w:bottom="1247" w:left="1247" w:header="851" w:footer="992" w:gutter="0"/>
          <w:pgNumType w:start="1"/>
          <w:cols w:space="425" w:num="1"/>
          <w:docGrid w:type="lines" w:linePitch="312" w:charSpace="0"/>
        </w:sectPr>
      </w:pPr>
    </w:p>
    <w:p w14:paraId="07F3A8AD">
      <w:pPr>
        <w:pStyle w:val="25"/>
        <w:bidi w:val="0"/>
        <w:rPr>
          <w:rFonts w:hint="default"/>
          <w:lang w:val="en-US" w:eastAsia="zh-CN"/>
        </w:rPr>
      </w:pPr>
      <w:bookmarkStart w:id="0" w:name="_Toc6880"/>
      <w:r>
        <w:rPr>
          <w:rFonts w:hint="eastAsia"/>
          <w:lang w:val="en-US" w:eastAsia="zh-CN"/>
        </w:rPr>
        <w:t>第一章  竞争性谈判公告</w:t>
      </w:r>
      <w:bookmarkEnd w:id="0"/>
    </w:p>
    <w:p w14:paraId="6BE061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bCs/>
          <w:color w:val="auto"/>
          <w:sz w:val="28"/>
          <w:szCs w:val="28"/>
          <w:highlight w:val="none"/>
          <w:lang w:eastAsia="zh-CN"/>
        </w:rPr>
      </w:pPr>
    </w:p>
    <w:p w14:paraId="2FC4B7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eastAsiaTheme="minorEastAsia"/>
          <w:b/>
          <w:bCs/>
          <w:color w:val="auto"/>
          <w:sz w:val="28"/>
          <w:szCs w:val="28"/>
          <w:highlight w:val="none"/>
          <w:lang w:eastAsia="zh-CN"/>
        </w:rPr>
      </w:pPr>
      <w:bookmarkStart w:id="1" w:name="OLE_LINK4"/>
      <w:r>
        <w:rPr>
          <w:rFonts w:hint="eastAsia" w:ascii="宋体" w:hAnsi="宋体" w:cs="宋体"/>
          <w:b/>
          <w:bCs/>
          <w:color w:val="auto"/>
          <w:sz w:val="28"/>
          <w:szCs w:val="28"/>
          <w:highlight w:val="none"/>
          <w:lang w:eastAsia="zh-CN"/>
        </w:rPr>
        <w:t>广西中之元工程管理有限公司关于皮肤科医疗设备的</w:t>
      </w:r>
      <w:r>
        <w:rPr>
          <w:rFonts w:hint="eastAsia" w:ascii="宋体" w:hAnsi="宋体" w:cs="宋体"/>
          <w:b/>
          <w:bCs/>
          <w:color w:val="auto"/>
          <w:sz w:val="28"/>
          <w:szCs w:val="28"/>
          <w:highlight w:val="none"/>
        </w:rPr>
        <w:t>竞争性谈判公告</w:t>
      </w:r>
      <w:bookmarkEnd w:id="1"/>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lang w:eastAsia="zh-CN"/>
        </w:rPr>
        <w:t>（远程异地评标）</w:t>
      </w:r>
    </w:p>
    <w:p w14:paraId="26183B33">
      <w:pPr>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2"/>
          <w:szCs w:val="22"/>
          <w:highlight w:val="none"/>
        </w:rPr>
      </w:pPr>
    </w:p>
    <w:p w14:paraId="5C08AFD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项目概况</w:t>
      </w:r>
    </w:p>
    <w:p w14:paraId="34D27E09">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bookmarkStart w:id="2" w:name="OLE_LINK10"/>
      <w:r>
        <w:rPr>
          <w:rFonts w:hint="eastAsia" w:ascii="宋体" w:hAnsi="宋体" w:eastAsia="宋体" w:cs="宋体"/>
          <w:color w:val="auto"/>
          <w:sz w:val="22"/>
          <w:szCs w:val="22"/>
          <w:highlight w:val="none"/>
          <w:u w:val="single"/>
          <w:lang w:eastAsia="zh-CN"/>
        </w:rPr>
        <w:t>皮肤科医疗设备</w:t>
      </w:r>
      <w:r>
        <w:rPr>
          <w:rFonts w:hint="eastAsia" w:ascii="宋体" w:hAnsi="宋体" w:eastAsia="宋体" w:cs="宋体"/>
          <w:color w:val="auto"/>
          <w:sz w:val="22"/>
          <w:szCs w:val="22"/>
          <w:highlight w:val="none"/>
        </w:rPr>
        <w:t>采购项目的潜在供应商</w:t>
      </w:r>
      <w:r>
        <w:rPr>
          <w:rFonts w:hint="eastAsia" w:ascii="宋体" w:hAnsi="宋体" w:eastAsia="宋体" w:cs="宋体"/>
          <w:color w:val="auto"/>
          <w:sz w:val="22"/>
          <w:szCs w:val="22"/>
          <w:highlight w:val="none"/>
          <w:lang w:eastAsia="zh-CN"/>
        </w:rPr>
        <w:t>应在广西政府采购云平台（http://www.gcy.zfcg.gxzf.gov.cn/）</w:t>
      </w:r>
      <w:r>
        <w:rPr>
          <w:rFonts w:hint="eastAsia" w:ascii="宋体" w:hAnsi="宋体" w:eastAsia="宋体" w:cs="宋体"/>
          <w:color w:val="auto"/>
          <w:sz w:val="22"/>
          <w:szCs w:val="22"/>
          <w:highlight w:val="none"/>
          <w:u w:val="none"/>
        </w:rPr>
        <w:fldChar w:fldCharType="begin"/>
      </w:r>
      <w:r>
        <w:rPr>
          <w:rFonts w:hint="eastAsia" w:ascii="宋体" w:hAnsi="宋体" w:eastAsia="宋体" w:cs="宋体"/>
          <w:color w:val="auto"/>
          <w:sz w:val="22"/>
          <w:szCs w:val="22"/>
          <w:highlight w:val="none"/>
          <w:u w:val="none"/>
        </w:rPr>
        <w:instrText xml:space="preserve"> HYPERLINK "https://www.zcygov.cn/）获取采购文件，并于2021年" </w:instrText>
      </w:r>
      <w:r>
        <w:rPr>
          <w:rFonts w:hint="eastAsia" w:ascii="宋体" w:hAnsi="宋体" w:eastAsia="宋体" w:cs="宋体"/>
          <w:color w:val="auto"/>
          <w:sz w:val="22"/>
          <w:szCs w:val="22"/>
          <w:highlight w:val="none"/>
          <w:u w:val="none"/>
        </w:rPr>
        <w:fldChar w:fldCharType="separate"/>
      </w:r>
      <w:r>
        <w:rPr>
          <w:rStyle w:val="21"/>
          <w:rFonts w:hint="eastAsia" w:ascii="宋体" w:hAnsi="宋体" w:eastAsia="宋体" w:cs="宋体"/>
          <w:color w:val="auto"/>
          <w:sz w:val="22"/>
          <w:szCs w:val="22"/>
          <w:highlight w:val="none"/>
          <w:u w:val="none"/>
        </w:rPr>
        <w:t>获取采购文件，并于</w:t>
      </w:r>
      <w:r>
        <w:rPr>
          <w:rStyle w:val="21"/>
          <w:rFonts w:hint="eastAsia" w:ascii="宋体" w:hAnsi="宋体" w:eastAsia="宋体" w:cs="宋体"/>
          <w:color w:val="auto"/>
          <w:sz w:val="22"/>
          <w:szCs w:val="22"/>
          <w:highlight w:val="none"/>
          <w:u w:val="none"/>
          <w:lang w:eastAsia="zh-CN"/>
        </w:rPr>
        <w:t>202</w:t>
      </w:r>
      <w:r>
        <w:rPr>
          <w:rStyle w:val="21"/>
          <w:rFonts w:hint="eastAsia" w:ascii="宋体" w:hAnsi="宋体" w:eastAsia="宋体" w:cs="宋体"/>
          <w:color w:val="auto"/>
          <w:sz w:val="22"/>
          <w:szCs w:val="22"/>
          <w:highlight w:val="none"/>
          <w:u w:val="none"/>
          <w:lang w:val="en-US" w:eastAsia="zh-CN"/>
        </w:rPr>
        <w:t>5</w:t>
      </w:r>
      <w:r>
        <w:rPr>
          <w:rStyle w:val="21"/>
          <w:rFonts w:hint="eastAsia" w:ascii="宋体" w:hAnsi="宋体" w:eastAsia="宋体" w:cs="宋体"/>
          <w:color w:val="auto"/>
          <w:sz w:val="22"/>
          <w:szCs w:val="22"/>
          <w:highlight w:val="none"/>
          <w:u w:val="none"/>
          <w:lang w:eastAsia="zh-CN"/>
        </w:rPr>
        <w:t>年</w:t>
      </w:r>
      <w:r>
        <w:rPr>
          <w:rFonts w:hint="eastAsia" w:ascii="宋体" w:hAnsi="宋体" w:eastAsia="宋体" w:cs="宋体"/>
          <w:color w:val="auto"/>
          <w:sz w:val="22"/>
          <w:szCs w:val="22"/>
          <w:highlight w:val="none"/>
          <w:u w:val="none"/>
        </w:rPr>
        <w:fldChar w:fldCharType="end"/>
      </w:r>
      <w:r>
        <w:rPr>
          <w:rFonts w:hint="eastAsia" w:ascii="宋体" w:hAnsi="宋体" w:eastAsia="宋体" w:cs="宋体"/>
          <w:color w:val="auto"/>
          <w:sz w:val="22"/>
          <w:szCs w:val="22"/>
          <w:highlight w:val="none"/>
          <w:u w:val="none"/>
          <w:lang w:val="en-US" w:eastAsia="zh-CN"/>
        </w:rPr>
        <w:t>12</w:t>
      </w:r>
      <w:r>
        <w:rPr>
          <w:rFonts w:hint="eastAsia" w:ascii="宋体" w:hAnsi="宋体" w:eastAsia="宋体" w:cs="宋体"/>
          <w:color w:val="auto"/>
          <w:sz w:val="22"/>
          <w:szCs w:val="22"/>
          <w:highlight w:val="none"/>
          <w:u w:val="none"/>
          <w:lang w:eastAsia="zh-CN"/>
        </w:rPr>
        <w:t>月</w:t>
      </w:r>
      <w:r>
        <w:rPr>
          <w:rFonts w:hint="eastAsia" w:ascii="宋体" w:hAnsi="宋体" w:eastAsia="宋体" w:cs="宋体"/>
          <w:color w:val="auto"/>
          <w:sz w:val="22"/>
          <w:szCs w:val="22"/>
          <w:highlight w:val="none"/>
          <w:u w:val="none"/>
          <w:lang w:val="en-US" w:eastAsia="zh-CN"/>
        </w:rPr>
        <w:t>26</w:t>
      </w:r>
      <w:r>
        <w:rPr>
          <w:rFonts w:hint="eastAsia" w:ascii="宋体" w:hAnsi="宋体" w:eastAsia="宋体" w:cs="宋体"/>
          <w:color w:val="auto"/>
          <w:sz w:val="22"/>
          <w:szCs w:val="22"/>
          <w:highlight w:val="none"/>
          <w:u w:val="none"/>
          <w:lang w:eastAsia="zh-CN"/>
        </w:rPr>
        <w:t>日</w:t>
      </w:r>
      <w:r>
        <w:rPr>
          <w:rFonts w:hint="eastAsia" w:ascii="宋体" w:hAnsi="宋体" w:eastAsia="宋体" w:cs="宋体"/>
          <w:color w:val="auto"/>
          <w:sz w:val="22"/>
          <w:szCs w:val="22"/>
          <w:highlight w:val="none"/>
          <w:u w:val="none"/>
          <w:lang w:val="en-US" w:eastAsia="zh-CN"/>
        </w:rPr>
        <w:t>09点00</w:t>
      </w:r>
      <w:r>
        <w:rPr>
          <w:rFonts w:hint="eastAsia" w:ascii="宋体" w:hAnsi="宋体" w:eastAsia="宋体" w:cs="宋体"/>
          <w:color w:val="auto"/>
          <w:sz w:val="22"/>
          <w:szCs w:val="22"/>
          <w:highlight w:val="none"/>
          <w:u w:val="none"/>
          <w:lang w:eastAsia="zh-CN"/>
        </w:rPr>
        <w:t>分</w:t>
      </w:r>
      <w:r>
        <w:rPr>
          <w:rFonts w:hint="eastAsia" w:ascii="宋体" w:hAnsi="宋体" w:eastAsia="宋体" w:cs="宋体"/>
          <w:bCs/>
          <w:color w:val="auto"/>
          <w:sz w:val="22"/>
          <w:szCs w:val="22"/>
          <w:highlight w:val="none"/>
        </w:rPr>
        <w:t>（北京时间）前提交响应文件</w:t>
      </w:r>
      <w:bookmarkEnd w:id="2"/>
      <w:r>
        <w:rPr>
          <w:rFonts w:hint="eastAsia" w:ascii="宋体" w:hAnsi="宋体" w:eastAsia="宋体" w:cs="宋体"/>
          <w:color w:val="auto"/>
          <w:sz w:val="22"/>
          <w:szCs w:val="22"/>
          <w:highlight w:val="none"/>
        </w:rPr>
        <w:t>。</w:t>
      </w:r>
    </w:p>
    <w:p w14:paraId="2739FA2C">
      <w:pPr>
        <w:pStyle w:val="15"/>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exact"/>
        <w:ind w:left="0" w:right="0" w:firstLine="0"/>
        <w:textAlignment w:val="auto"/>
        <w:rPr>
          <w:rFonts w:hint="eastAsia" w:ascii="宋体" w:hAnsi="宋体" w:eastAsia="宋体" w:cs="宋体"/>
          <w:i w:val="0"/>
          <w:caps w:val="0"/>
          <w:color w:val="auto"/>
          <w:spacing w:val="0"/>
          <w:sz w:val="22"/>
          <w:szCs w:val="22"/>
          <w:highlight w:val="none"/>
        </w:rPr>
      </w:pPr>
      <w:r>
        <w:rPr>
          <w:rStyle w:val="20"/>
          <w:rFonts w:hint="eastAsia" w:ascii="宋体" w:hAnsi="宋体" w:eastAsia="宋体" w:cs="宋体"/>
          <w:b/>
          <w:i w:val="0"/>
          <w:caps w:val="0"/>
          <w:color w:val="auto"/>
          <w:spacing w:val="0"/>
          <w:sz w:val="22"/>
          <w:szCs w:val="22"/>
          <w:highlight w:val="none"/>
        </w:rPr>
        <w:t>一、项目基本情况</w:t>
      </w:r>
    </w:p>
    <w:p w14:paraId="739CC5BB">
      <w:pPr>
        <w:pStyle w:val="24"/>
        <w:keepNext w:val="0"/>
        <w:keepLines w:val="0"/>
        <w:pageBreakBefore w:val="0"/>
        <w:widowControl w:val="0"/>
        <w:kinsoku/>
        <w:wordWrap/>
        <w:overflowPunct/>
        <w:topLinePunct w:val="0"/>
        <w:autoSpaceDE/>
        <w:autoSpaceDN/>
        <w:bidi w:val="0"/>
        <w:adjustRightInd w:val="0"/>
        <w:spacing w:after="0" w:afterLines="0" w:line="360" w:lineRule="exact"/>
        <w:ind w:firstLine="420"/>
        <w:textAlignment w:val="auto"/>
        <w:rPr>
          <w:rFonts w:hint="eastAsia" w:ascii="宋体" w:hAnsi="宋体" w:eastAsia="宋体" w:cs="宋体"/>
          <w:b w:val="0"/>
          <w:bCs w:val="0"/>
          <w:color w:val="auto"/>
          <w:sz w:val="22"/>
          <w:szCs w:val="22"/>
          <w:highlight w:val="none"/>
          <w:lang w:eastAsia="zh-CN"/>
        </w:rPr>
      </w:pPr>
      <w:bookmarkStart w:id="3" w:name="OLE_LINK11"/>
      <w:r>
        <w:rPr>
          <w:rFonts w:hint="eastAsia" w:ascii="宋体" w:hAnsi="宋体" w:eastAsia="宋体" w:cs="宋体"/>
          <w:b w:val="0"/>
          <w:bCs w:val="0"/>
          <w:color w:val="auto"/>
          <w:sz w:val="22"/>
          <w:szCs w:val="22"/>
          <w:highlight w:val="none"/>
        </w:rPr>
        <w:t>项目编号：BHZC2025-J1-210223-ZZYG</w:t>
      </w:r>
    </w:p>
    <w:p w14:paraId="4EC6B04E">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eastAsia="宋体" w:cs="宋体"/>
          <w:b w:val="0"/>
          <w:bCs w:val="0"/>
          <w:color w:val="auto"/>
          <w:sz w:val="22"/>
          <w:szCs w:val="22"/>
          <w:highlight w:val="none"/>
          <w:u w:val="single"/>
          <w:lang w:eastAsia="zh-CN"/>
        </w:rPr>
      </w:pPr>
      <w:r>
        <w:rPr>
          <w:rFonts w:hint="eastAsia" w:ascii="宋体" w:hAnsi="宋体" w:eastAsia="宋体" w:cs="宋体"/>
          <w:b w:val="0"/>
          <w:bCs w:val="0"/>
          <w:color w:val="auto"/>
          <w:sz w:val="22"/>
          <w:szCs w:val="22"/>
          <w:highlight w:val="none"/>
        </w:rPr>
        <w:t xml:space="preserve">项目名称: </w:t>
      </w:r>
      <w:r>
        <w:rPr>
          <w:rFonts w:hint="eastAsia" w:ascii="宋体" w:hAnsi="宋体" w:eastAsia="宋体" w:cs="宋体"/>
          <w:b w:val="0"/>
          <w:bCs w:val="0"/>
          <w:color w:val="auto"/>
          <w:sz w:val="22"/>
          <w:szCs w:val="22"/>
          <w:highlight w:val="none"/>
          <w:lang w:eastAsia="zh-CN"/>
        </w:rPr>
        <w:t>皮肤科医疗设备</w:t>
      </w:r>
    </w:p>
    <w:p w14:paraId="45DE72F2">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采购</w:t>
      </w:r>
      <w:r>
        <w:rPr>
          <w:rFonts w:hint="eastAsia" w:ascii="宋体" w:hAnsi="宋体" w:eastAsia="宋体" w:cs="宋体"/>
          <w:b w:val="0"/>
          <w:bCs w:val="0"/>
          <w:color w:val="auto"/>
          <w:sz w:val="22"/>
          <w:szCs w:val="22"/>
          <w:highlight w:val="none"/>
          <w:lang w:eastAsia="zh-CN"/>
        </w:rPr>
        <w:t xml:space="preserve">方式：竞争性谈判 </w:t>
      </w:r>
    </w:p>
    <w:p w14:paraId="63ECF3AA">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预算金额：</w:t>
      </w:r>
      <w:bookmarkStart w:id="4" w:name="OLE_LINK7"/>
      <w:r>
        <w:rPr>
          <w:rFonts w:hint="eastAsia" w:ascii="宋体" w:hAnsi="宋体" w:eastAsia="宋体" w:cs="宋体"/>
          <w:color w:val="auto"/>
          <w:sz w:val="22"/>
          <w:szCs w:val="22"/>
          <w:highlight w:val="none"/>
          <w:lang w:val="en-US" w:eastAsia="zh-CN"/>
        </w:rPr>
        <w:t>1100000.00</w:t>
      </w:r>
      <w:bookmarkEnd w:id="4"/>
      <w:r>
        <w:rPr>
          <w:rFonts w:hint="eastAsia" w:ascii="宋体" w:hAnsi="宋体" w:eastAsia="宋体" w:cs="宋体"/>
          <w:color w:val="auto"/>
          <w:sz w:val="22"/>
          <w:szCs w:val="22"/>
          <w:highlight w:val="none"/>
          <w:lang w:val="en-US" w:eastAsia="zh-CN"/>
        </w:rPr>
        <w:t>元</w:t>
      </w:r>
    </w:p>
    <w:p w14:paraId="65F650FA">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最高限价：</w:t>
      </w:r>
      <w:r>
        <w:rPr>
          <w:rFonts w:hint="eastAsia" w:ascii="宋体" w:hAnsi="宋体" w:eastAsia="宋体" w:cs="宋体"/>
          <w:color w:val="auto"/>
          <w:sz w:val="22"/>
          <w:szCs w:val="22"/>
          <w:highlight w:val="none"/>
          <w:lang w:val="en-US" w:eastAsia="zh-CN"/>
        </w:rPr>
        <w:t xml:space="preserve">1100000.00元 </w:t>
      </w:r>
    </w:p>
    <w:p w14:paraId="4BD5F5C8">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采购需求：</w:t>
      </w:r>
      <w:r>
        <w:rPr>
          <w:rFonts w:hint="eastAsia" w:ascii="宋体" w:hAnsi="宋体" w:eastAsia="宋体" w:cs="宋体"/>
          <w:color w:val="auto"/>
          <w:sz w:val="22"/>
          <w:szCs w:val="22"/>
          <w:highlight w:val="none"/>
          <w:lang w:eastAsia="zh-CN"/>
        </w:rPr>
        <w:t>采购</w:t>
      </w:r>
      <w:r>
        <w:rPr>
          <w:rFonts w:hint="eastAsia" w:ascii="宋体" w:hAnsi="宋体" w:eastAsia="宋体" w:cs="宋体"/>
          <w:b w:val="0"/>
          <w:bCs w:val="0"/>
          <w:color w:val="auto"/>
          <w:sz w:val="22"/>
          <w:szCs w:val="22"/>
          <w:highlight w:val="none"/>
          <w:lang w:eastAsia="zh-CN"/>
        </w:rPr>
        <w:t>皮肤科医疗设备一批</w:t>
      </w:r>
      <w:r>
        <w:rPr>
          <w:rFonts w:hint="eastAsia" w:ascii="宋体" w:hAnsi="宋体" w:eastAsia="宋体" w:cs="宋体"/>
          <w:b w:val="0"/>
          <w:bCs w:val="0"/>
          <w:color w:val="auto"/>
          <w:kern w:val="0"/>
          <w:sz w:val="22"/>
          <w:szCs w:val="22"/>
          <w:highlight w:val="none"/>
          <w:lang w:val="en-US" w:eastAsia="zh-CN" w:bidi="ar-SA"/>
        </w:rPr>
        <w:t>，</w:t>
      </w:r>
      <w:r>
        <w:rPr>
          <w:rFonts w:hint="eastAsia" w:ascii="宋体" w:hAnsi="宋体" w:eastAsia="宋体" w:cs="宋体"/>
          <w:color w:val="auto"/>
          <w:sz w:val="22"/>
          <w:szCs w:val="22"/>
          <w:highlight w:val="none"/>
        </w:rPr>
        <w:t>详见谈判文件。</w:t>
      </w:r>
    </w:p>
    <w:p w14:paraId="24B12FE3">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合同履行期限：</w:t>
      </w:r>
      <w:r>
        <w:rPr>
          <w:rFonts w:hint="eastAsia" w:ascii="宋体" w:hAnsi="宋体" w:eastAsia="宋体" w:cs="宋体"/>
          <w:color w:val="auto"/>
          <w:sz w:val="22"/>
          <w:szCs w:val="22"/>
          <w:highlight w:val="none"/>
          <w:lang w:eastAsia="zh-CN"/>
        </w:rPr>
        <w:t>自</w:t>
      </w:r>
      <w:r>
        <w:rPr>
          <w:rFonts w:hint="eastAsia" w:ascii="宋体" w:hAnsi="宋体" w:eastAsia="宋体" w:cs="宋体"/>
          <w:color w:val="auto"/>
          <w:sz w:val="22"/>
          <w:szCs w:val="22"/>
          <w:highlight w:val="none"/>
        </w:rPr>
        <w:t>合同签订</w:t>
      </w:r>
      <w:r>
        <w:rPr>
          <w:rFonts w:hint="eastAsia" w:ascii="宋体" w:hAnsi="宋体" w:eastAsia="宋体" w:cs="宋体"/>
          <w:color w:val="auto"/>
          <w:sz w:val="22"/>
          <w:szCs w:val="22"/>
          <w:highlight w:val="none"/>
          <w:lang w:eastAsia="zh-CN"/>
        </w:rPr>
        <w:t>之日起</w:t>
      </w:r>
      <w:r>
        <w:rPr>
          <w:rFonts w:hint="eastAsia" w:ascii="宋体" w:hAnsi="宋体" w:eastAsia="宋体" w:cs="宋体"/>
          <w:color w:val="auto"/>
          <w:sz w:val="22"/>
          <w:szCs w:val="22"/>
          <w:highlight w:val="none"/>
          <w:u w:val="single"/>
          <w:lang w:val="en-US" w:eastAsia="zh-CN"/>
        </w:rPr>
        <w:t xml:space="preserve"> 30 </w:t>
      </w:r>
      <w:r>
        <w:rPr>
          <w:rFonts w:hint="eastAsia" w:ascii="宋体" w:hAnsi="宋体" w:eastAsia="宋体" w:cs="宋体"/>
          <w:color w:val="auto"/>
          <w:sz w:val="22"/>
          <w:szCs w:val="22"/>
          <w:highlight w:val="none"/>
        </w:rPr>
        <w:t>个</w:t>
      </w:r>
      <w:r>
        <w:rPr>
          <w:rFonts w:hint="eastAsia" w:ascii="宋体" w:hAnsi="宋体" w:eastAsia="宋体" w:cs="宋体"/>
          <w:color w:val="auto"/>
          <w:sz w:val="22"/>
          <w:szCs w:val="22"/>
          <w:highlight w:val="none"/>
          <w:lang w:eastAsia="zh-CN"/>
        </w:rPr>
        <w:t>日历天</w:t>
      </w:r>
      <w:r>
        <w:rPr>
          <w:rFonts w:hint="eastAsia" w:ascii="宋体" w:hAnsi="宋体" w:eastAsia="宋体" w:cs="宋体"/>
          <w:color w:val="auto"/>
          <w:sz w:val="22"/>
          <w:szCs w:val="22"/>
          <w:highlight w:val="none"/>
        </w:rPr>
        <w:t>内完成</w:t>
      </w:r>
      <w:r>
        <w:rPr>
          <w:rFonts w:hint="eastAsia" w:ascii="宋体" w:hAnsi="宋体" w:eastAsia="宋体" w:cs="宋体"/>
          <w:color w:val="auto"/>
          <w:sz w:val="22"/>
          <w:szCs w:val="22"/>
          <w:highlight w:val="none"/>
          <w:lang w:eastAsia="zh-CN"/>
        </w:rPr>
        <w:t>。</w:t>
      </w:r>
    </w:p>
    <w:p w14:paraId="7BA1F5A8">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w:t>
      </w:r>
      <w:r>
        <w:rPr>
          <w:rFonts w:hint="eastAsia" w:ascii="宋体" w:hAnsi="宋体" w:eastAsia="宋体" w:cs="宋体"/>
          <w:color w:val="auto"/>
          <w:sz w:val="22"/>
          <w:szCs w:val="22"/>
          <w:highlight w:val="none"/>
          <w:lang w:eastAsia="zh-CN"/>
        </w:rPr>
        <w:t>不</w:t>
      </w:r>
      <w:r>
        <w:rPr>
          <w:rFonts w:hint="eastAsia" w:ascii="宋体" w:hAnsi="宋体" w:eastAsia="宋体" w:cs="宋体"/>
          <w:color w:val="auto"/>
          <w:sz w:val="22"/>
          <w:szCs w:val="22"/>
          <w:highlight w:val="none"/>
        </w:rPr>
        <w:t>接受联合体。</w:t>
      </w:r>
    </w:p>
    <w:bookmarkEnd w:id="3"/>
    <w:p w14:paraId="24DA16C9">
      <w:pPr>
        <w:pStyle w:val="15"/>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exact"/>
        <w:ind w:left="0" w:right="0" w:firstLine="0"/>
        <w:textAlignment w:val="auto"/>
        <w:rPr>
          <w:rStyle w:val="20"/>
          <w:rFonts w:hint="eastAsia" w:ascii="宋体" w:hAnsi="宋体" w:eastAsia="宋体" w:cs="宋体"/>
          <w:b/>
          <w:i w:val="0"/>
          <w:caps w:val="0"/>
          <w:color w:val="auto"/>
          <w:spacing w:val="0"/>
          <w:sz w:val="22"/>
          <w:szCs w:val="22"/>
          <w:highlight w:val="none"/>
        </w:rPr>
      </w:pPr>
      <w:bookmarkStart w:id="5" w:name="_Toc28359013"/>
      <w:bookmarkStart w:id="6" w:name="_Toc35393799"/>
      <w:bookmarkStart w:id="7" w:name="_Toc28359090"/>
      <w:bookmarkStart w:id="8" w:name="_Toc35393630"/>
      <w:r>
        <w:rPr>
          <w:rStyle w:val="20"/>
          <w:rFonts w:hint="eastAsia" w:ascii="宋体" w:hAnsi="宋体" w:eastAsia="宋体" w:cs="宋体"/>
          <w:b/>
          <w:i w:val="0"/>
          <w:caps w:val="0"/>
          <w:color w:val="auto"/>
          <w:spacing w:val="0"/>
          <w:sz w:val="22"/>
          <w:szCs w:val="22"/>
          <w:highlight w:val="none"/>
        </w:rPr>
        <w:t>二、申请人的资格要求</w:t>
      </w:r>
      <w:bookmarkEnd w:id="5"/>
      <w:bookmarkEnd w:id="6"/>
      <w:bookmarkEnd w:id="7"/>
      <w:bookmarkEnd w:id="8"/>
    </w:p>
    <w:p w14:paraId="498DF1EF">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1.满足《中华人民共和国政府采购法》第二十二条规定；</w:t>
      </w:r>
    </w:p>
    <w:p w14:paraId="3E28128F">
      <w:pPr>
        <w:pStyle w:val="24"/>
        <w:keepNext w:val="0"/>
        <w:keepLines w:val="0"/>
        <w:pageBreakBefore w:val="0"/>
        <w:widowControl w:val="0"/>
        <w:kinsoku/>
        <w:wordWrap/>
        <w:overflowPunct/>
        <w:topLinePunct w:val="0"/>
        <w:autoSpaceDE/>
        <w:autoSpaceDN/>
        <w:bidi w:val="0"/>
        <w:adjustRightInd w:val="0"/>
        <w:snapToGrid w:val="0"/>
        <w:spacing w:after="0" w:afterLines="0" w:line="360" w:lineRule="exact"/>
        <w:ind w:firstLine="420"/>
        <w:textAlignment w:val="auto"/>
        <w:rPr>
          <w:rFonts w:hint="eastAsia" w:ascii="宋体" w:hAnsi="宋体" w:eastAsia="宋体" w:cs="宋体"/>
          <w:b w:val="0"/>
          <w:bCs w:val="0"/>
          <w:color w:val="auto"/>
          <w:kern w:val="2"/>
          <w:sz w:val="22"/>
          <w:szCs w:val="22"/>
          <w:highlight w:val="none"/>
          <w:lang w:val="en-US" w:eastAsia="zh-CN" w:bidi="ar-SA"/>
        </w:rPr>
      </w:pPr>
      <w:bookmarkStart w:id="9" w:name="_Toc28359014"/>
      <w:bookmarkStart w:id="10" w:name="_Toc28359091"/>
      <w:r>
        <w:rPr>
          <w:rFonts w:hint="eastAsia" w:ascii="宋体" w:hAnsi="宋体" w:eastAsia="宋体" w:cs="宋体"/>
          <w:b w:val="0"/>
          <w:bCs w:val="0"/>
          <w:color w:val="auto"/>
          <w:sz w:val="22"/>
          <w:szCs w:val="22"/>
          <w:highlight w:val="none"/>
        </w:rPr>
        <w:t>2</w:t>
      </w:r>
      <w:r>
        <w:rPr>
          <w:rFonts w:hint="eastAsia" w:ascii="宋体" w:hAnsi="宋体" w:eastAsia="宋体" w:cs="宋体"/>
          <w:b w:val="0"/>
          <w:bCs w:val="0"/>
          <w:color w:val="auto"/>
          <w:kern w:val="2"/>
          <w:sz w:val="22"/>
          <w:szCs w:val="22"/>
          <w:highlight w:val="none"/>
          <w:lang w:val="en-US" w:eastAsia="zh-CN" w:bidi="ar-SA"/>
        </w:rPr>
        <w:t>.落实政府采购政策需满足的资格要求：本项目专门面向中小企业（供应商应为中小微企业或监狱企业或残疾人福利性单位) ；</w:t>
      </w:r>
    </w:p>
    <w:p w14:paraId="2CB0A721">
      <w:pPr>
        <w:pStyle w:val="24"/>
        <w:keepNext w:val="0"/>
        <w:keepLines w:val="0"/>
        <w:pageBreakBefore w:val="0"/>
        <w:widowControl w:val="0"/>
        <w:kinsoku/>
        <w:wordWrap/>
        <w:overflowPunct/>
        <w:topLinePunct w:val="0"/>
        <w:autoSpaceDE/>
        <w:autoSpaceDN/>
        <w:bidi w:val="0"/>
        <w:adjustRightInd w:val="0"/>
        <w:snapToGrid w:val="0"/>
        <w:spacing w:after="0" w:afterLines="0" w:line="360" w:lineRule="exact"/>
        <w:ind w:firstLine="420"/>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3.本项目的特定资格要求：具有医疗器械经营许可证（或第二类医疗器械经营备案凭证）</w:t>
      </w:r>
      <w:r>
        <w:rPr>
          <w:rFonts w:hint="eastAsia" w:ascii="宋体" w:hAnsi="宋体" w:eastAsia="宋体" w:cs="宋体"/>
          <w:b w:val="0"/>
          <w:bCs w:val="0"/>
          <w:color w:val="auto"/>
          <w:sz w:val="22"/>
          <w:szCs w:val="22"/>
          <w:highlight w:val="none"/>
          <w:lang w:eastAsia="zh-CN"/>
        </w:rPr>
        <w:t>。</w:t>
      </w:r>
    </w:p>
    <w:p w14:paraId="6C802621">
      <w:pPr>
        <w:pStyle w:val="15"/>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exact"/>
        <w:ind w:left="0" w:right="0" w:firstLine="0"/>
        <w:textAlignment w:val="auto"/>
        <w:rPr>
          <w:rStyle w:val="20"/>
          <w:rFonts w:hint="eastAsia" w:ascii="宋体" w:hAnsi="宋体" w:eastAsia="宋体" w:cs="宋体"/>
          <w:b/>
          <w:i w:val="0"/>
          <w:caps w:val="0"/>
          <w:color w:val="auto"/>
          <w:spacing w:val="0"/>
          <w:sz w:val="22"/>
          <w:szCs w:val="22"/>
          <w:highlight w:val="none"/>
        </w:rPr>
      </w:pPr>
      <w:bookmarkStart w:id="11" w:name="_Toc35393800"/>
      <w:bookmarkStart w:id="12" w:name="_Toc35393631"/>
      <w:r>
        <w:rPr>
          <w:rStyle w:val="20"/>
          <w:rFonts w:hint="eastAsia" w:ascii="宋体" w:hAnsi="宋体" w:eastAsia="宋体" w:cs="宋体"/>
          <w:b/>
          <w:i w:val="0"/>
          <w:caps w:val="0"/>
          <w:color w:val="auto"/>
          <w:spacing w:val="0"/>
          <w:sz w:val="22"/>
          <w:szCs w:val="22"/>
          <w:highlight w:val="none"/>
        </w:rPr>
        <w:t>三、获取采购文件</w:t>
      </w:r>
      <w:bookmarkEnd w:id="9"/>
      <w:bookmarkEnd w:id="10"/>
      <w:bookmarkEnd w:id="11"/>
      <w:bookmarkEnd w:id="12"/>
    </w:p>
    <w:p w14:paraId="45135D35">
      <w:pPr>
        <w:pStyle w:val="24"/>
        <w:keepNext w:val="0"/>
        <w:keepLines w:val="0"/>
        <w:pageBreakBefore w:val="0"/>
        <w:widowControl w:val="0"/>
        <w:kinsoku/>
        <w:wordWrap/>
        <w:overflowPunct/>
        <w:topLinePunct w:val="0"/>
        <w:autoSpaceDE/>
        <w:autoSpaceDN/>
        <w:bidi w:val="0"/>
        <w:adjustRightInd w:val="0"/>
        <w:snapToGrid w:val="0"/>
        <w:spacing w:after="0" w:afterLines="0" w:line="360" w:lineRule="exact"/>
        <w:ind w:firstLine="420"/>
        <w:textAlignment w:val="auto"/>
        <w:rPr>
          <w:rFonts w:hint="eastAsia" w:ascii="宋体" w:hAnsi="宋体" w:eastAsia="宋体" w:cs="宋体"/>
          <w:b w:val="0"/>
          <w:bCs w:val="0"/>
          <w:color w:val="auto"/>
          <w:sz w:val="22"/>
          <w:szCs w:val="22"/>
          <w:highlight w:val="none"/>
        </w:rPr>
      </w:pPr>
      <w:bookmarkStart w:id="13" w:name="OLE_LINK13"/>
      <w:r>
        <w:rPr>
          <w:rFonts w:hint="eastAsia" w:ascii="宋体" w:hAnsi="宋体" w:eastAsia="宋体" w:cs="宋体"/>
          <w:b w:val="0"/>
          <w:bCs w:val="0"/>
          <w:color w:val="auto"/>
          <w:sz w:val="22"/>
          <w:szCs w:val="22"/>
          <w:highlight w:val="none"/>
        </w:rPr>
        <w:t>1.时间：</w:t>
      </w:r>
      <w:r>
        <w:rPr>
          <w:rFonts w:hint="eastAsia" w:ascii="宋体" w:hAnsi="宋体" w:eastAsia="宋体" w:cs="宋体"/>
          <w:color w:val="auto"/>
          <w:sz w:val="22"/>
          <w:szCs w:val="22"/>
          <w:highlight w:val="none"/>
          <w:u w:val="single"/>
        </w:rPr>
        <w:t>202</w:t>
      </w:r>
      <w:r>
        <w:rPr>
          <w:rFonts w:hint="eastAsia" w:ascii="宋体" w:hAnsi="宋体"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u w:val="single"/>
        </w:rPr>
        <w:t>年</w:t>
      </w:r>
      <w:r>
        <w:rPr>
          <w:rFonts w:hint="eastAsia" w:ascii="宋体" w:hAnsi="宋体" w:eastAsia="宋体" w:cs="宋体"/>
          <w:color w:val="auto"/>
          <w:sz w:val="22"/>
          <w:szCs w:val="22"/>
          <w:highlight w:val="none"/>
          <w:u w:val="single"/>
          <w:lang w:val="en-US" w:eastAsia="zh-CN"/>
        </w:rPr>
        <w:t>12</w:t>
      </w:r>
      <w:r>
        <w:rPr>
          <w:rFonts w:hint="eastAsia" w:ascii="宋体" w:hAnsi="宋体" w:eastAsia="宋体" w:cs="宋体"/>
          <w:color w:val="auto"/>
          <w:sz w:val="22"/>
          <w:szCs w:val="22"/>
          <w:highlight w:val="none"/>
          <w:u w:val="single"/>
        </w:rPr>
        <w:t>月</w:t>
      </w:r>
      <w:r>
        <w:rPr>
          <w:rFonts w:hint="eastAsia" w:ascii="宋体" w:hAnsi="宋体" w:eastAsia="宋体" w:cs="宋体"/>
          <w:color w:val="auto"/>
          <w:sz w:val="22"/>
          <w:szCs w:val="22"/>
          <w:highlight w:val="none"/>
          <w:u w:val="single"/>
          <w:lang w:val="en-US" w:eastAsia="zh-CN"/>
        </w:rPr>
        <w:t>22</w:t>
      </w:r>
      <w:r>
        <w:rPr>
          <w:rFonts w:hint="eastAsia" w:ascii="宋体" w:hAnsi="宋体" w:eastAsia="宋体" w:cs="宋体"/>
          <w:color w:val="auto"/>
          <w:sz w:val="22"/>
          <w:szCs w:val="22"/>
          <w:highlight w:val="none"/>
          <w:u w:val="single"/>
        </w:rPr>
        <w:t>日</w:t>
      </w:r>
      <w:r>
        <w:rPr>
          <w:rFonts w:hint="eastAsia" w:ascii="宋体" w:hAnsi="宋体" w:eastAsia="宋体" w:cs="宋体"/>
          <w:color w:val="auto"/>
          <w:sz w:val="22"/>
          <w:szCs w:val="22"/>
          <w:highlight w:val="none"/>
        </w:rPr>
        <w:t>至</w:t>
      </w:r>
      <w:r>
        <w:rPr>
          <w:rFonts w:hint="eastAsia" w:ascii="宋体" w:hAnsi="宋体" w:eastAsia="宋体" w:cs="宋体"/>
          <w:color w:val="auto"/>
          <w:sz w:val="22"/>
          <w:szCs w:val="22"/>
          <w:highlight w:val="none"/>
          <w:u w:val="single"/>
        </w:rPr>
        <w:t>202</w:t>
      </w:r>
      <w:r>
        <w:rPr>
          <w:rFonts w:hint="eastAsia" w:ascii="宋体" w:hAnsi="宋体"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u w:val="single"/>
        </w:rPr>
        <w:t>年</w:t>
      </w:r>
      <w:r>
        <w:rPr>
          <w:rFonts w:hint="eastAsia" w:ascii="宋体" w:hAnsi="宋体" w:eastAsia="宋体" w:cs="宋体"/>
          <w:color w:val="auto"/>
          <w:sz w:val="22"/>
          <w:szCs w:val="22"/>
          <w:highlight w:val="none"/>
          <w:u w:val="single"/>
          <w:lang w:val="en-US" w:eastAsia="zh-CN"/>
        </w:rPr>
        <w:t>12</w:t>
      </w:r>
      <w:r>
        <w:rPr>
          <w:rFonts w:hint="eastAsia" w:ascii="宋体" w:hAnsi="宋体" w:eastAsia="宋体" w:cs="宋体"/>
          <w:color w:val="auto"/>
          <w:sz w:val="22"/>
          <w:szCs w:val="22"/>
          <w:highlight w:val="none"/>
          <w:u w:val="single"/>
        </w:rPr>
        <w:t>月</w:t>
      </w:r>
      <w:r>
        <w:rPr>
          <w:rFonts w:hint="eastAsia" w:ascii="宋体" w:hAnsi="宋体" w:eastAsia="宋体" w:cs="宋体"/>
          <w:color w:val="auto"/>
          <w:sz w:val="22"/>
          <w:szCs w:val="22"/>
          <w:highlight w:val="none"/>
          <w:u w:val="single"/>
          <w:lang w:val="en-US" w:eastAsia="zh-CN"/>
        </w:rPr>
        <w:t>25</w:t>
      </w:r>
      <w:r>
        <w:rPr>
          <w:rFonts w:hint="eastAsia" w:ascii="宋体" w:hAnsi="宋体" w:eastAsia="宋体" w:cs="宋体"/>
          <w:color w:val="auto"/>
          <w:sz w:val="22"/>
          <w:szCs w:val="22"/>
          <w:highlight w:val="none"/>
          <w:u w:val="single"/>
        </w:rPr>
        <w:t>日</w:t>
      </w:r>
    </w:p>
    <w:p w14:paraId="06073FD4">
      <w:pPr>
        <w:pStyle w:val="24"/>
        <w:keepNext w:val="0"/>
        <w:keepLines w:val="0"/>
        <w:pageBreakBefore w:val="0"/>
        <w:widowControl w:val="0"/>
        <w:kinsoku/>
        <w:wordWrap/>
        <w:overflowPunct/>
        <w:topLinePunct w:val="0"/>
        <w:autoSpaceDE/>
        <w:autoSpaceDN/>
        <w:bidi w:val="0"/>
        <w:adjustRightInd w:val="0"/>
        <w:snapToGrid w:val="0"/>
        <w:spacing w:after="0" w:afterLines="0" w:line="360" w:lineRule="exact"/>
        <w:ind w:firstLine="42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2.地点：</w:t>
      </w:r>
      <w:bookmarkStart w:id="14" w:name="OLE_LINK23"/>
      <w:r>
        <w:rPr>
          <w:rFonts w:hint="eastAsia" w:ascii="宋体" w:hAnsi="宋体" w:eastAsia="宋体" w:cs="宋体"/>
          <w:b w:val="0"/>
          <w:bCs w:val="0"/>
          <w:color w:val="auto"/>
          <w:sz w:val="22"/>
          <w:szCs w:val="22"/>
          <w:highlight w:val="none"/>
        </w:rPr>
        <w:t>广西政府采购云平台（网址：http://www.gcy.zfcg.gxzf.gov.cn）</w:t>
      </w:r>
      <w:bookmarkEnd w:id="14"/>
    </w:p>
    <w:p w14:paraId="19A33C33">
      <w:pPr>
        <w:pStyle w:val="24"/>
        <w:keepNext w:val="0"/>
        <w:keepLines w:val="0"/>
        <w:pageBreakBefore w:val="0"/>
        <w:widowControl w:val="0"/>
        <w:kinsoku/>
        <w:wordWrap/>
        <w:overflowPunct/>
        <w:topLinePunct w:val="0"/>
        <w:autoSpaceDE/>
        <w:autoSpaceDN/>
        <w:bidi w:val="0"/>
        <w:adjustRightInd w:val="0"/>
        <w:snapToGrid w:val="0"/>
        <w:spacing w:after="0" w:afterLines="0" w:line="360" w:lineRule="exact"/>
        <w:ind w:firstLine="42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3.方式：供应商登录广西政府采购云平台（网址：http://www.gcy.zfcg.gxzf.gov.cn）</w:t>
      </w:r>
      <w:r>
        <w:rPr>
          <w:rFonts w:hint="eastAsia" w:ascii="宋体" w:hAnsi="宋体" w:eastAsia="宋体" w:cs="宋体"/>
          <w:b w:val="0"/>
          <w:bCs w:val="0"/>
          <w:color w:val="auto"/>
          <w:sz w:val="22"/>
          <w:szCs w:val="22"/>
          <w:highlight w:val="none"/>
          <w:lang w:eastAsia="zh-CN"/>
        </w:rPr>
        <w:t>在线免费</w:t>
      </w:r>
      <w:r>
        <w:rPr>
          <w:rFonts w:hint="eastAsia" w:ascii="宋体" w:hAnsi="宋体" w:eastAsia="宋体" w:cs="宋体"/>
          <w:b w:val="0"/>
          <w:bCs w:val="0"/>
          <w:color w:val="auto"/>
          <w:sz w:val="22"/>
          <w:szCs w:val="22"/>
          <w:highlight w:val="none"/>
        </w:rPr>
        <w:t>获取采购文件；未注册的</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可在</w:t>
      </w:r>
      <w:r>
        <w:rPr>
          <w:rFonts w:hint="eastAsia" w:ascii="宋体" w:hAnsi="宋体" w:eastAsia="宋体" w:cs="宋体"/>
          <w:b w:val="0"/>
          <w:bCs w:val="0"/>
          <w:color w:val="auto"/>
          <w:sz w:val="22"/>
          <w:szCs w:val="22"/>
          <w:highlight w:val="none"/>
          <w:lang w:eastAsia="zh-CN"/>
        </w:rPr>
        <w:t>广西政府采购云平台</w:t>
      </w:r>
      <w:r>
        <w:rPr>
          <w:rFonts w:hint="eastAsia" w:ascii="宋体" w:hAnsi="宋体" w:eastAsia="宋体" w:cs="宋体"/>
          <w:b w:val="0"/>
          <w:bCs w:val="0"/>
          <w:color w:val="auto"/>
          <w:sz w:val="22"/>
          <w:szCs w:val="22"/>
          <w:highlight w:val="none"/>
        </w:rPr>
        <w:t>完成注册后再获取采购文件</w:t>
      </w:r>
      <w:r>
        <w:rPr>
          <w:rFonts w:hint="eastAsia" w:ascii="宋体" w:hAnsi="宋体" w:eastAsia="宋体" w:cs="宋体"/>
          <w:b w:val="0"/>
          <w:bCs w:val="0"/>
          <w:color w:val="auto"/>
          <w:sz w:val="22"/>
          <w:szCs w:val="22"/>
          <w:highlight w:val="none"/>
          <w:lang w:eastAsia="zh-CN"/>
        </w:rPr>
        <w:t>，非正式供应商在获取采购文件前应先成为正式供应商</w:t>
      </w:r>
      <w:r>
        <w:rPr>
          <w:rFonts w:hint="eastAsia" w:ascii="宋体" w:hAnsi="宋体" w:eastAsia="宋体" w:cs="宋体"/>
          <w:b w:val="0"/>
          <w:bCs w:val="0"/>
          <w:color w:val="auto"/>
          <w:sz w:val="22"/>
          <w:szCs w:val="22"/>
          <w:highlight w:val="none"/>
        </w:rPr>
        <w:t>。如在操作过程中遇到问题或需技术支持，请致电政采云客服热线：</w:t>
      </w:r>
      <w:r>
        <w:rPr>
          <w:rFonts w:hint="eastAsia" w:ascii="宋体" w:hAnsi="宋体" w:eastAsia="宋体" w:cs="宋体"/>
          <w:b w:val="0"/>
          <w:bCs w:val="0"/>
          <w:color w:val="auto"/>
          <w:sz w:val="22"/>
          <w:szCs w:val="22"/>
          <w:highlight w:val="none"/>
          <w:lang w:eastAsia="zh-CN"/>
        </w:rPr>
        <w:t>95763</w:t>
      </w:r>
      <w:r>
        <w:rPr>
          <w:rFonts w:hint="eastAsia" w:ascii="宋体" w:hAnsi="宋体" w:eastAsia="宋体" w:cs="宋体"/>
          <w:b w:val="0"/>
          <w:bCs w:val="0"/>
          <w:color w:val="auto"/>
          <w:sz w:val="22"/>
          <w:szCs w:val="22"/>
          <w:highlight w:val="none"/>
        </w:rPr>
        <w:t>。</w:t>
      </w:r>
    </w:p>
    <w:p w14:paraId="50B5A87D">
      <w:pPr>
        <w:pStyle w:val="24"/>
        <w:keepNext w:val="0"/>
        <w:keepLines w:val="0"/>
        <w:pageBreakBefore w:val="0"/>
        <w:widowControl w:val="0"/>
        <w:kinsoku/>
        <w:wordWrap/>
        <w:overflowPunct/>
        <w:topLinePunct w:val="0"/>
        <w:autoSpaceDE/>
        <w:autoSpaceDN/>
        <w:bidi w:val="0"/>
        <w:adjustRightInd w:val="0"/>
        <w:snapToGrid w:val="0"/>
        <w:spacing w:after="0" w:afterLines="0" w:line="360" w:lineRule="exact"/>
        <w:ind w:firstLine="42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4.售价：0.00元。</w:t>
      </w:r>
      <w:bookmarkEnd w:id="13"/>
    </w:p>
    <w:p w14:paraId="0D3A4B15">
      <w:pPr>
        <w:pStyle w:val="15"/>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exact"/>
        <w:ind w:left="0" w:right="0" w:firstLine="0"/>
        <w:textAlignment w:val="auto"/>
        <w:rPr>
          <w:rStyle w:val="20"/>
          <w:rFonts w:hint="eastAsia" w:ascii="宋体" w:hAnsi="宋体" w:eastAsia="宋体" w:cs="宋体"/>
          <w:b/>
          <w:i w:val="0"/>
          <w:caps w:val="0"/>
          <w:color w:val="auto"/>
          <w:spacing w:val="0"/>
          <w:sz w:val="22"/>
          <w:szCs w:val="22"/>
          <w:highlight w:val="none"/>
        </w:rPr>
      </w:pPr>
      <w:r>
        <w:rPr>
          <w:rStyle w:val="20"/>
          <w:rFonts w:hint="eastAsia" w:ascii="宋体" w:hAnsi="宋体" w:eastAsia="宋体" w:cs="宋体"/>
          <w:b/>
          <w:i w:val="0"/>
          <w:caps w:val="0"/>
          <w:color w:val="auto"/>
          <w:spacing w:val="0"/>
          <w:sz w:val="22"/>
          <w:szCs w:val="22"/>
          <w:highlight w:val="none"/>
        </w:rPr>
        <w:t>四、响应文件提交</w:t>
      </w:r>
    </w:p>
    <w:p w14:paraId="3D833EA0">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宋体" w:hAnsi="宋体" w:eastAsia="宋体" w:cs="宋体"/>
          <w:i w:val="0"/>
          <w:caps w:val="0"/>
          <w:color w:val="auto"/>
          <w:spacing w:val="0"/>
          <w:sz w:val="22"/>
          <w:szCs w:val="22"/>
          <w:highlight w:val="none"/>
        </w:rPr>
      </w:pPr>
      <w:r>
        <w:rPr>
          <w:rFonts w:hint="eastAsia" w:ascii="宋体" w:hAnsi="宋体" w:eastAsia="宋体" w:cs="宋体"/>
          <w:i w:val="0"/>
          <w:caps w:val="0"/>
          <w:color w:val="auto"/>
          <w:spacing w:val="0"/>
          <w:sz w:val="22"/>
          <w:szCs w:val="22"/>
          <w:highlight w:val="none"/>
        </w:rPr>
        <w:t>截止时间：</w:t>
      </w:r>
      <w:r>
        <w:rPr>
          <w:rFonts w:hint="eastAsia" w:ascii="宋体" w:hAnsi="宋体" w:eastAsia="宋体" w:cs="宋体"/>
          <w:i w:val="0"/>
          <w:caps w:val="0"/>
          <w:color w:val="auto"/>
          <w:spacing w:val="0"/>
          <w:sz w:val="22"/>
          <w:szCs w:val="22"/>
          <w:highlight w:val="none"/>
          <w:u w:val="single"/>
          <w:lang w:eastAsia="zh-CN"/>
        </w:rPr>
        <w:t>202</w:t>
      </w:r>
      <w:r>
        <w:rPr>
          <w:rFonts w:hint="eastAsia" w:eastAsia="宋体" w:cs="宋体"/>
          <w:i w:val="0"/>
          <w:caps w:val="0"/>
          <w:color w:val="auto"/>
          <w:spacing w:val="0"/>
          <w:sz w:val="22"/>
          <w:szCs w:val="22"/>
          <w:highlight w:val="none"/>
          <w:u w:val="single"/>
          <w:lang w:val="en-US" w:eastAsia="zh-CN"/>
        </w:rPr>
        <w:t>5</w:t>
      </w:r>
      <w:r>
        <w:rPr>
          <w:rFonts w:hint="eastAsia" w:ascii="宋体" w:hAnsi="宋体" w:eastAsia="宋体" w:cs="宋体"/>
          <w:i w:val="0"/>
          <w:caps w:val="0"/>
          <w:color w:val="auto"/>
          <w:spacing w:val="0"/>
          <w:sz w:val="22"/>
          <w:szCs w:val="22"/>
          <w:highlight w:val="none"/>
          <w:u w:val="single"/>
          <w:lang w:eastAsia="zh-CN"/>
        </w:rPr>
        <w:t>年</w:t>
      </w:r>
      <w:r>
        <w:rPr>
          <w:rFonts w:hint="eastAsia" w:eastAsia="宋体" w:cs="宋体"/>
          <w:i w:val="0"/>
          <w:caps w:val="0"/>
          <w:color w:val="auto"/>
          <w:spacing w:val="0"/>
          <w:sz w:val="22"/>
          <w:szCs w:val="22"/>
          <w:highlight w:val="none"/>
          <w:u w:val="single"/>
          <w:lang w:val="en-US" w:eastAsia="zh-CN"/>
        </w:rPr>
        <w:t>12</w:t>
      </w:r>
      <w:r>
        <w:rPr>
          <w:rFonts w:hint="eastAsia" w:ascii="宋体" w:hAnsi="宋体" w:eastAsia="宋体" w:cs="宋体"/>
          <w:i w:val="0"/>
          <w:caps w:val="0"/>
          <w:color w:val="auto"/>
          <w:spacing w:val="0"/>
          <w:sz w:val="22"/>
          <w:szCs w:val="22"/>
          <w:highlight w:val="none"/>
          <w:u w:val="single"/>
          <w:lang w:eastAsia="zh-CN"/>
        </w:rPr>
        <w:t>月</w:t>
      </w:r>
      <w:r>
        <w:rPr>
          <w:rFonts w:hint="eastAsia" w:eastAsia="宋体" w:cs="宋体"/>
          <w:i w:val="0"/>
          <w:caps w:val="0"/>
          <w:color w:val="auto"/>
          <w:spacing w:val="0"/>
          <w:sz w:val="22"/>
          <w:szCs w:val="22"/>
          <w:highlight w:val="none"/>
          <w:u w:val="single"/>
          <w:lang w:val="en-US" w:eastAsia="zh-CN"/>
        </w:rPr>
        <w:t>26</w:t>
      </w:r>
      <w:r>
        <w:rPr>
          <w:rFonts w:hint="eastAsia" w:ascii="宋体" w:hAnsi="宋体" w:eastAsia="宋体" w:cs="宋体"/>
          <w:i w:val="0"/>
          <w:caps w:val="0"/>
          <w:color w:val="auto"/>
          <w:spacing w:val="0"/>
          <w:sz w:val="22"/>
          <w:szCs w:val="22"/>
          <w:highlight w:val="none"/>
          <w:u w:val="single"/>
          <w:lang w:eastAsia="zh-CN"/>
        </w:rPr>
        <w:t>日</w:t>
      </w:r>
      <w:r>
        <w:rPr>
          <w:rFonts w:hint="eastAsia" w:eastAsia="宋体" w:cs="宋体"/>
          <w:i w:val="0"/>
          <w:caps w:val="0"/>
          <w:color w:val="auto"/>
          <w:spacing w:val="0"/>
          <w:sz w:val="22"/>
          <w:szCs w:val="22"/>
          <w:highlight w:val="none"/>
          <w:u w:val="single"/>
          <w:lang w:val="en-US" w:eastAsia="zh-CN"/>
        </w:rPr>
        <w:t>09</w:t>
      </w:r>
      <w:r>
        <w:rPr>
          <w:rFonts w:hint="eastAsia" w:ascii="宋体" w:hAnsi="宋体" w:eastAsia="宋体" w:cs="宋体"/>
          <w:i w:val="0"/>
          <w:caps w:val="0"/>
          <w:color w:val="auto"/>
          <w:spacing w:val="0"/>
          <w:sz w:val="22"/>
          <w:szCs w:val="22"/>
          <w:highlight w:val="none"/>
          <w:u w:val="single"/>
          <w:lang w:eastAsia="zh-CN"/>
        </w:rPr>
        <w:t>点</w:t>
      </w:r>
      <w:r>
        <w:rPr>
          <w:rFonts w:hint="eastAsia" w:eastAsia="宋体" w:cs="宋体"/>
          <w:i w:val="0"/>
          <w:caps w:val="0"/>
          <w:color w:val="auto"/>
          <w:spacing w:val="0"/>
          <w:sz w:val="22"/>
          <w:szCs w:val="22"/>
          <w:highlight w:val="none"/>
          <w:u w:val="single"/>
          <w:lang w:val="en-US" w:eastAsia="zh-CN"/>
        </w:rPr>
        <w:t>00</w:t>
      </w:r>
      <w:r>
        <w:rPr>
          <w:rFonts w:hint="eastAsia" w:ascii="宋体" w:hAnsi="宋体" w:eastAsia="宋体" w:cs="宋体"/>
          <w:i w:val="0"/>
          <w:caps w:val="0"/>
          <w:color w:val="auto"/>
          <w:spacing w:val="0"/>
          <w:sz w:val="22"/>
          <w:szCs w:val="22"/>
          <w:highlight w:val="none"/>
          <w:u w:val="single"/>
          <w:lang w:eastAsia="zh-CN"/>
        </w:rPr>
        <w:t>分</w:t>
      </w:r>
      <w:r>
        <w:rPr>
          <w:rFonts w:hint="eastAsia" w:ascii="宋体" w:hAnsi="宋体" w:eastAsia="宋体" w:cs="宋体"/>
          <w:i w:val="0"/>
          <w:caps w:val="0"/>
          <w:color w:val="auto"/>
          <w:spacing w:val="0"/>
          <w:sz w:val="22"/>
          <w:szCs w:val="22"/>
          <w:highlight w:val="none"/>
        </w:rPr>
        <w:t>（北京时间）</w:t>
      </w:r>
    </w:p>
    <w:p w14:paraId="17A5C017">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宋体" w:hAnsi="宋体" w:eastAsia="宋体" w:cs="宋体"/>
          <w:i w:val="0"/>
          <w:caps w:val="0"/>
          <w:color w:val="auto"/>
          <w:spacing w:val="0"/>
          <w:sz w:val="22"/>
          <w:szCs w:val="22"/>
          <w:highlight w:val="none"/>
          <w:u w:val="none"/>
        </w:rPr>
      </w:pPr>
      <w:r>
        <w:rPr>
          <w:rFonts w:hint="eastAsia" w:ascii="宋体" w:hAnsi="宋体" w:eastAsia="宋体" w:cs="宋体"/>
          <w:i w:val="0"/>
          <w:caps w:val="0"/>
          <w:color w:val="auto"/>
          <w:spacing w:val="0"/>
          <w:sz w:val="22"/>
          <w:szCs w:val="22"/>
          <w:highlight w:val="none"/>
        </w:rPr>
        <w:t>地点：</w:t>
      </w:r>
      <w:bookmarkStart w:id="15" w:name="OLE_LINK14"/>
      <w:r>
        <w:rPr>
          <w:rFonts w:hint="eastAsia" w:ascii="宋体" w:hAnsi="宋体" w:eastAsia="宋体" w:cs="宋体"/>
          <w:i w:val="0"/>
          <w:iCs w:val="0"/>
          <w:caps w:val="0"/>
          <w:color w:val="auto"/>
          <w:spacing w:val="0"/>
          <w:sz w:val="22"/>
          <w:szCs w:val="22"/>
          <w:highlight w:val="none"/>
        </w:rPr>
        <w:t>通过</w:t>
      </w:r>
      <w:r>
        <w:rPr>
          <w:rFonts w:hint="eastAsia" w:eastAsia="宋体" w:cs="宋体"/>
          <w:i w:val="0"/>
          <w:iCs w:val="0"/>
          <w:caps w:val="0"/>
          <w:color w:val="auto"/>
          <w:spacing w:val="0"/>
          <w:sz w:val="22"/>
          <w:szCs w:val="22"/>
          <w:highlight w:val="none"/>
          <w:lang w:eastAsia="zh-CN"/>
        </w:rPr>
        <w:t>广西政府采购云平台</w:t>
      </w:r>
      <w:r>
        <w:rPr>
          <w:rFonts w:hint="eastAsia" w:ascii="宋体" w:hAnsi="宋体" w:eastAsia="宋体" w:cs="宋体"/>
          <w:i w:val="0"/>
          <w:iCs w:val="0"/>
          <w:caps w:val="0"/>
          <w:color w:val="auto"/>
          <w:spacing w:val="0"/>
          <w:sz w:val="22"/>
          <w:szCs w:val="22"/>
          <w:highlight w:val="none"/>
        </w:rPr>
        <w:t>实行在线</w:t>
      </w:r>
      <w:r>
        <w:rPr>
          <w:rFonts w:hint="eastAsia" w:ascii="宋体" w:hAnsi="宋体" w:eastAsia="宋体" w:cs="宋体"/>
          <w:i w:val="0"/>
          <w:iCs w:val="0"/>
          <w:caps w:val="0"/>
          <w:color w:val="auto"/>
          <w:spacing w:val="0"/>
          <w:sz w:val="22"/>
          <w:szCs w:val="22"/>
          <w:highlight w:val="none"/>
          <w:lang w:eastAsia="zh-CN"/>
        </w:rPr>
        <w:t>谈判</w:t>
      </w:r>
      <w:r>
        <w:rPr>
          <w:rFonts w:hint="eastAsia" w:ascii="宋体" w:hAnsi="宋体" w:eastAsia="宋体" w:cs="宋体"/>
          <w:i w:val="0"/>
          <w:iCs w:val="0"/>
          <w:caps w:val="0"/>
          <w:color w:val="auto"/>
          <w:spacing w:val="0"/>
          <w:sz w:val="22"/>
          <w:szCs w:val="22"/>
          <w:highlight w:val="none"/>
        </w:rPr>
        <w:t>响应</w:t>
      </w:r>
      <w:bookmarkEnd w:id="15"/>
      <w:r>
        <w:rPr>
          <w:rFonts w:hint="eastAsia" w:ascii="宋体" w:hAnsi="宋体" w:eastAsia="宋体" w:cs="宋体"/>
          <w:i w:val="0"/>
          <w:iCs w:val="0"/>
          <w:caps w:val="0"/>
          <w:color w:val="auto"/>
          <w:spacing w:val="0"/>
          <w:sz w:val="22"/>
          <w:szCs w:val="22"/>
          <w:highlight w:val="none"/>
        </w:rPr>
        <w:t>。</w:t>
      </w:r>
    </w:p>
    <w:p w14:paraId="63D0D23E">
      <w:pPr>
        <w:pStyle w:val="15"/>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exact"/>
        <w:ind w:left="0" w:right="0" w:firstLine="0"/>
        <w:textAlignment w:val="auto"/>
        <w:rPr>
          <w:rStyle w:val="20"/>
          <w:rFonts w:hint="eastAsia" w:ascii="宋体" w:hAnsi="宋体" w:eastAsia="宋体" w:cs="宋体"/>
          <w:b/>
          <w:i w:val="0"/>
          <w:caps w:val="0"/>
          <w:color w:val="auto"/>
          <w:spacing w:val="0"/>
          <w:sz w:val="22"/>
          <w:szCs w:val="22"/>
          <w:highlight w:val="none"/>
          <w:lang w:val="en-US" w:eastAsia="zh-CN"/>
        </w:rPr>
      </w:pPr>
      <w:r>
        <w:rPr>
          <w:rStyle w:val="20"/>
          <w:rFonts w:hint="eastAsia" w:ascii="宋体" w:hAnsi="宋体" w:eastAsia="宋体" w:cs="宋体"/>
          <w:b/>
          <w:i w:val="0"/>
          <w:caps w:val="0"/>
          <w:color w:val="auto"/>
          <w:spacing w:val="0"/>
          <w:sz w:val="22"/>
          <w:szCs w:val="22"/>
          <w:highlight w:val="none"/>
        </w:rPr>
        <w:t>五、</w:t>
      </w:r>
      <w:r>
        <w:rPr>
          <w:rStyle w:val="20"/>
          <w:rFonts w:hint="eastAsia" w:ascii="宋体" w:hAnsi="宋体" w:eastAsia="宋体" w:cs="宋体"/>
          <w:b/>
          <w:i w:val="0"/>
          <w:caps w:val="0"/>
          <w:color w:val="auto"/>
          <w:spacing w:val="0"/>
          <w:sz w:val="22"/>
          <w:szCs w:val="22"/>
          <w:highlight w:val="none"/>
          <w:lang w:eastAsia="zh-CN"/>
        </w:rPr>
        <w:t>开启</w:t>
      </w:r>
    </w:p>
    <w:p w14:paraId="5C608BC2">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bidi="ar-SA"/>
        </w:rPr>
        <w:t>时间：</w:t>
      </w:r>
      <w:r>
        <w:rPr>
          <w:rFonts w:hint="eastAsia" w:ascii="宋体" w:hAnsi="宋体" w:eastAsia="宋体" w:cs="宋体"/>
          <w:i w:val="0"/>
          <w:caps w:val="0"/>
          <w:color w:val="auto"/>
          <w:spacing w:val="0"/>
          <w:sz w:val="22"/>
          <w:szCs w:val="22"/>
          <w:highlight w:val="none"/>
          <w:u w:val="single"/>
          <w:lang w:eastAsia="zh-CN"/>
        </w:rPr>
        <w:t>202</w:t>
      </w:r>
      <w:r>
        <w:rPr>
          <w:rFonts w:hint="eastAsia" w:eastAsia="宋体" w:cs="宋体"/>
          <w:i w:val="0"/>
          <w:caps w:val="0"/>
          <w:color w:val="auto"/>
          <w:spacing w:val="0"/>
          <w:sz w:val="22"/>
          <w:szCs w:val="22"/>
          <w:highlight w:val="none"/>
          <w:u w:val="single"/>
          <w:lang w:val="en-US" w:eastAsia="zh-CN"/>
        </w:rPr>
        <w:t>5</w:t>
      </w:r>
      <w:r>
        <w:rPr>
          <w:rFonts w:hint="eastAsia" w:ascii="宋体" w:hAnsi="宋体" w:eastAsia="宋体" w:cs="宋体"/>
          <w:i w:val="0"/>
          <w:caps w:val="0"/>
          <w:color w:val="auto"/>
          <w:spacing w:val="0"/>
          <w:sz w:val="22"/>
          <w:szCs w:val="22"/>
          <w:highlight w:val="none"/>
          <w:u w:val="single"/>
          <w:lang w:eastAsia="zh-CN"/>
        </w:rPr>
        <w:t>年</w:t>
      </w:r>
      <w:r>
        <w:rPr>
          <w:rFonts w:hint="eastAsia" w:eastAsia="宋体" w:cs="宋体"/>
          <w:i w:val="0"/>
          <w:caps w:val="0"/>
          <w:color w:val="auto"/>
          <w:spacing w:val="0"/>
          <w:sz w:val="22"/>
          <w:szCs w:val="22"/>
          <w:highlight w:val="none"/>
          <w:u w:val="single"/>
          <w:lang w:val="en-US" w:eastAsia="zh-CN"/>
        </w:rPr>
        <w:t>12</w:t>
      </w:r>
      <w:r>
        <w:rPr>
          <w:rFonts w:hint="eastAsia" w:ascii="宋体" w:hAnsi="宋体" w:eastAsia="宋体" w:cs="宋体"/>
          <w:i w:val="0"/>
          <w:caps w:val="0"/>
          <w:color w:val="auto"/>
          <w:spacing w:val="0"/>
          <w:sz w:val="22"/>
          <w:szCs w:val="22"/>
          <w:highlight w:val="none"/>
          <w:u w:val="single"/>
          <w:lang w:eastAsia="zh-CN"/>
        </w:rPr>
        <w:t>月</w:t>
      </w:r>
      <w:r>
        <w:rPr>
          <w:rFonts w:hint="eastAsia" w:eastAsia="宋体" w:cs="宋体"/>
          <w:i w:val="0"/>
          <w:caps w:val="0"/>
          <w:color w:val="auto"/>
          <w:spacing w:val="0"/>
          <w:sz w:val="22"/>
          <w:szCs w:val="22"/>
          <w:highlight w:val="none"/>
          <w:u w:val="single"/>
          <w:lang w:val="en-US" w:eastAsia="zh-CN"/>
        </w:rPr>
        <w:t>26</w:t>
      </w:r>
      <w:r>
        <w:rPr>
          <w:rFonts w:hint="eastAsia" w:ascii="宋体" w:hAnsi="宋体" w:eastAsia="宋体" w:cs="宋体"/>
          <w:i w:val="0"/>
          <w:caps w:val="0"/>
          <w:color w:val="auto"/>
          <w:spacing w:val="0"/>
          <w:sz w:val="22"/>
          <w:szCs w:val="22"/>
          <w:highlight w:val="none"/>
          <w:u w:val="single"/>
          <w:lang w:eastAsia="zh-CN"/>
        </w:rPr>
        <w:t>日</w:t>
      </w:r>
      <w:r>
        <w:rPr>
          <w:rFonts w:hint="eastAsia" w:eastAsia="宋体" w:cs="宋体"/>
          <w:i w:val="0"/>
          <w:caps w:val="0"/>
          <w:color w:val="auto"/>
          <w:spacing w:val="0"/>
          <w:sz w:val="22"/>
          <w:szCs w:val="22"/>
          <w:highlight w:val="none"/>
          <w:u w:val="single"/>
          <w:lang w:val="en-US" w:eastAsia="zh-CN"/>
        </w:rPr>
        <w:t>09点00</w:t>
      </w:r>
      <w:r>
        <w:rPr>
          <w:rFonts w:hint="eastAsia" w:ascii="宋体" w:hAnsi="宋体" w:eastAsia="宋体" w:cs="宋体"/>
          <w:i w:val="0"/>
          <w:caps w:val="0"/>
          <w:color w:val="auto"/>
          <w:spacing w:val="0"/>
          <w:sz w:val="22"/>
          <w:szCs w:val="22"/>
          <w:highlight w:val="none"/>
          <w:u w:val="single"/>
          <w:lang w:eastAsia="zh-CN"/>
        </w:rPr>
        <w:t>分</w:t>
      </w:r>
      <w:r>
        <w:rPr>
          <w:rFonts w:hint="eastAsia" w:ascii="宋体" w:hAnsi="宋体" w:eastAsia="宋体" w:cs="宋体"/>
          <w:b w:val="0"/>
          <w:bCs w:val="0"/>
          <w:color w:val="auto"/>
          <w:kern w:val="0"/>
          <w:sz w:val="22"/>
          <w:szCs w:val="22"/>
          <w:highlight w:val="none"/>
          <w:lang w:val="en-US" w:eastAsia="zh-CN" w:bidi="ar-SA"/>
        </w:rPr>
        <w:t>（北京时间）</w:t>
      </w:r>
    </w:p>
    <w:p w14:paraId="6E91DFC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textAlignment w:val="auto"/>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b w:val="0"/>
          <w:bCs w:val="0"/>
          <w:color w:val="auto"/>
          <w:kern w:val="0"/>
          <w:sz w:val="22"/>
          <w:szCs w:val="22"/>
          <w:highlight w:val="none"/>
          <w:lang w:val="en-US" w:eastAsia="zh-CN" w:bidi="ar-SA"/>
        </w:rPr>
        <w:t>地点：</w:t>
      </w:r>
      <w:bookmarkStart w:id="16" w:name="OLE_LINK15"/>
      <w:r>
        <w:rPr>
          <w:rFonts w:hint="eastAsia" w:ascii="宋体" w:hAnsi="宋体" w:eastAsia="宋体" w:cs="宋体"/>
          <w:b w:val="0"/>
          <w:bCs w:val="0"/>
          <w:color w:val="auto"/>
          <w:kern w:val="0"/>
          <w:sz w:val="22"/>
          <w:szCs w:val="22"/>
          <w:highlight w:val="none"/>
          <w:lang w:val="en-US" w:eastAsia="zh-CN" w:bidi="ar-SA"/>
        </w:rPr>
        <w:t>通过</w:t>
      </w:r>
      <w:r>
        <w:rPr>
          <w:rFonts w:hint="eastAsia" w:eastAsia="宋体" w:cs="宋体"/>
          <w:b w:val="0"/>
          <w:bCs w:val="0"/>
          <w:color w:val="auto"/>
          <w:kern w:val="0"/>
          <w:sz w:val="22"/>
          <w:szCs w:val="22"/>
          <w:highlight w:val="none"/>
          <w:lang w:val="en-US" w:eastAsia="zh-CN" w:bidi="ar-SA"/>
        </w:rPr>
        <w:t>广西政府采购云平台</w:t>
      </w:r>
      <w:r>
        <w:rPr>
          <w:rFonts w:hint="eastAsia" w:ascii="宋体" w:hAnsi="宋体" w:eastAsia="宋体" w:cs="宋体"/>
          <w:b w:val="0"/>
          <w:bCs w:val="0"/>
          <w:color w:val="auto"/>
          <w:kern w:val="0"/>
          <w:sz w:val="22"/>
          <w:szCs w:val="22"/>
          <w:highlight w:val="none"/>
          <w:lang w:val="en-US" w:eastAsia="zh-CN" w:bidi="ar-SA"/>
        </w:rPr>
        <w:t>实行在线解密开启</w:t>
      </w:r>
      <w:bookmarkEnd w:id="16"/>
      <w:r>
        <w:rPr>
          <w:rFonts w:hint="eastAsia" w:ascii="宋体" w:hAnsi="宋体" w:eastAsia="宋体" w:cs="宋体"/>
          <w:b w:val="0"/>
          <w:bCs w:val="0"/>
          <w:color w:val="auto"/>
          <w:kern w:val="0"/>
          <w:sz w:val="22"/>
          <w:szCs w:val="22"/>
          <w:highlight w:val="none"/>
          <w:lang w:val="en-US" w:eastAsia="zh-CN" w:bidi="ar-SA"/>
        </w:rPr>
        <w:t>。</w:t>
      </w:r>
    </w:p>
    <w:p w14:paraId="468BAE26">
      <w:pPr>
        <w:pStyle w:val="15"/>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exact"/>
        <w:ind w:left="0" w:right="0" w:firstLine="0"/>
        <w:textAlignment w:val="auto"/>
        <w:rPr>
          <w:rStyle w:val="20"/>
          <w:rFonts w:hint="eastAsia" w:ascii="宋体" w:hAnsi="宋体" w:eastAsia="宋体" w:cs="宋体"/>
          <w:b/>
          <w:i w:val="0"/>
          <w:caps w:val="0"/>
          <w:color w:val="auto"/>
          <w:spacing w:val="0"/>
          <w:sz w:val="22"/>
          <w:szCs w:val="22"/>
          <w:highlight w:val="none"/>
        </w:rPr>
      </w:pPr>
      <w:r>
        <w:rPr>
          <w:rStyle w:val="20"/>
          <w:rFonts w:hint="eastAsia" w:ascii="宋体" w:hAnsi="宋体" w:eastAsia="宋体" w:cs="宋体"/>
          <w:b/>
          <w:i w:val="0"/>
          <w:caps w:val="0"/>
          <w:color w:val="auto"/>
          <w:spacing w:val="0"/>
          <w:sz w:val="22"/>
          <w:szCs w:val="22"/>
          <w:highlight w:val="none"/>
          <w:lang w:eastAsia="zh-CN"/>
        </w:rPr>
        <w:t>六</w:t>
      </w:r>
      <w:r>
        <w:rPr>
          <w:rStyle w:val="20"/>
          <w:rFonts w:hint="eastAsia" w:ascii="宋体" w:hAnsi="宋体" w:eastAsia="宋体" w:cs="宋体"/>
          <w:b/>
          <w:i w:val="0"/>
          <w:caps w:val="0"/>
          <w:color w:val="auto"/>
          <w:spacing w:val="0"/>
          <w:sz w:val="22"/>
          <w:szCs w:val="22"/>
          <w:highlight w:val="none"/>
        </w:rPr>
        <w:t>、公告期限</w:t>
      </w:r>
    </w:p>
    <w:p w14:paraId="4EA1C4CE">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Style w:val="20"/>
          <w:rFonts w:hint="eastAsia" w:ascii="宋体" w:hAnsi="宋体" w:eastAsia="宋体" w:cs="宋体"/>
          <w:b/>
          <w:i w:val="0"/>
          <w:caps w:val="0"/>
          <w:color w:val="auto"/>
          <w:spacing w:val="0"/>
          <w:sz w:val="22"/>
          <w:szCs w:val="22"/>
          <w:highlight w:val="none"/>
          <w:lang w:eastAsia="zh-CN"/>
        </w:rPr>
      </w:pPr>
      <w:r>
        <w:rPr>
          <w:rFonts w:hint="eastAsia" w:ascii="宋体" w:hAnsi="宋体" w:eastAsia="宋体" w:cs="宋体"/>
          <w:i w:val="0"/>
          <w:caps w:val="0"/>
          <w:color w:val="auto"/>
          <w:spacing w:val="0"/>
          <w:sz w:val="22"/>
          <w:szCs w:val="22"/>
          <w:highlight w:val="none"/>
          <w:u w:val="none"/>
        </w:rPr>
        <w:t>自本公告发布之日起3个工作日。</w:t>
      </w:r>
    </w:p>
    <w:p w14:paraId="138D7433">
      <w:pPr>
        <w:pStyle w:val="15"/>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exact"/>
        <w:ind w:left="0" w:right="0" w:firstLine="0"/>
        <w:textAlignment w:val="auto"/>
        <w:rPr>
          <w:rStyle w:val="20"/>
          <w:rFonts w:hint="eastAsia" w:ascii="宋体" w:hAnsi="宋体" w:eastAsia="宋体" w:cs="宋体"/>
          <w:b/>
          <w:i w:val="0"/>
          <w:caps w:val="0"/>
          <w:color w:val="auto"/>
          <w:spacing w:val="0"/>
          <w:sz w:val="22"/>
          <w:szCs w:val="22"/>
          <w:highlight w:val="none"/>
          <w:lang w:eastAsia="zh-CN"/>
        </w:rPr>
      </w:pPr>
      <w:r>
        <w:rPr>
          <w:rStyle w:val="20"/>
          <w:rFonts w:hint="eastAsia" w:ascii="宋体" w:hAnsi="宋体" w:eastAsia="宋体" w:cs="宋体"/>
          <w:b/>
          <w:i w:val="0"/>
          <w:caps w:val="0"/>
          <w:color w:val="auto"/>
          <w:spacing w:val="0"/>
          <w:sz w:val="22"/>
          <w:szCs w:val="22"/>
          <w:highlight w:val="none"/>
          <w:lang w:eastAsia="zh-CN"/>
        </w:rPr>
        <w:t>七、其他补充事宜</w:t>
      </w:r>
    </w:p>
    <w:p w14:paraId="0743B1D0">
      <w:pPr>
        <w:adjustRightInd w:val="0"/>
        <w:snapToGrid w:val="0"/>
        <w:spacing w:line="360" w:lineRule="auto"/>
        <w:ind w:firstLine="440" w:firstLineChars="200"/>
        <w:rPr>
          <w:rFonts w:hint="eastAsia" w:ascii="宋体" w:hAnsi="宋体" w:eastAsia="宋体" w:cs="宋体"/>
          <w:color w:val="auto"/>
          <w:sz w:val="22"/>
          <w:szCs w:val="22"/>
          <w:highlight w:val="none"/>
        </w:rPr>
      </w:pPr>
      <w:bookmarkStart w:id="17" w:name="OLE_LINK16"/>
      <w:r>
        <w:rPr>
          <w:rFonts w:hint="eastAsia" w:ascii="宋体" w:hAnsi="宋体" w:eastAsia="宋体" w:cs="宋体"/>
          <w:bCs/>
          <w:color w:val="auto"/>
          <w:sz w:val="22"/>
          <w:szCs w:val="22"/>
          <w:highlight w:val="none"/>
          <w:lang w:val="en-US" w:eastAsia="zh-CN"/>
        </w:rPr>
        <w:t>1、</w:t>
      </w:r>
      <w:r>
        <w:rPr>
          <w:rFonts w:hint="eastAsia" w:ascii="宋体" w:hAnsi="宋体" w:eastAsia="宋体" w:cs="宋体"/>
          <w:bCs/>
          <w:color w:val="auto"/>
          <w:sz w:val="22"/>
          <w:szCs w:val="22"/>
          <w:highlight w:val="none"/>
        </w:rPr>
        <w:t>本项目需要落实的政府采购政策：</w:t>
      </w:r>
      <w:r>
        <w:rPr>
          <w:rFonts w:hint="eastAsia" w:ascii="宋体" w:hAnsi="宋体" w:eastAsia="宋体" w:cs="宋体"/>
          <w:color w:val="auto"/>
          <w:sz w:val="22"/>
          <w:szCs w:val="22"/>
          <w:highlight w:val="none"/>
        </w:rPr>
        <w:t>《中华人民共和国政府采购法》、《中华人民共和国政府采购法实施条例》、《政府采购非招标采购方式管理办法》、《政府采购促进中小企业发展管理办法》（财库﹝2020﹞46 号）、《关于政府采购支持监狱企业发展有关问题的通知》 (财库[2014]68号)、《财库〔2017〕141号三部门联合发布关于促进残疾人就业政府采购政策的通知》等政府采购政策。</w:t>
      </w:r>
    </w:p>
    <w:p w14:paraId="2CEE5534">
      <w:pPr>
        <w:adjustRightInd w:val="0"/>
        <w:snapToGrid w:val="0"/>
        <w:spacing w:line="360" w:lineRule="auto"/>
        <w:ind w:firstLine="440" w:firstLineChars="20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网上公告媒体查询：中国政府采购网（http://www.ccgp.gov.cn/）、广西政府采购网 （ http://www.ccgp-guangxi.gov.cn/ ） </w:t>
      </w:r>
      <w:r>
        <w:rPr>
          <w:rFonts w:hint="eastAsia" w:ascii="宋体" w:hAnsi="宋体" w:eastAsia="宋体" w:cs="宋体"/>
          <w:color w:val="auto"/>
          <w:sz w:val="22"/>
          <w:szCs w:val="22"/>
          <w:highlight w:val="none"/>
          <w:lang w:eastAsia="zh-CN"/>
        </w:rPr>
        <w:t>。</w:t>
      </w:r>
    </w:p>
    <w:p w14:paraId="0DFC29D4">
      <w:pPr>
        <w:adjustRightInd w:val="0"/>
        <w:snapToGrid w:val="0"/>
        <w:spacing w:line="360" w:lineRule="auto"/>
        <w:ind w:firstLine="440" w:firstLineChars="200"/>
        <w:rPr>
          <w:rFonts w:hint="eastAsia" w:ascii="宋体" w:hAnsi="宋体" w:eastAsia="宋体" w:cs="宋体"/>
          <w:i w:val="0"/>
          <w:caps w:val="0"/>
          <w:color w:val="auto"/>
          <w:spacing w:val="0"/>
          <w:sz w:val="22"/>
          <w:szCs w:val="22"/>
          <w:highlight w:val="none"/>
          <w:u w:val="none"/>
          <w:lang w:val="en-US" w:eastAsia="zh-CN"/>
        </w:rPr>
      </w:pPr>
      <w:r>
        <w:rPr>
          <w:rFonts w:hint="eastAsia" w:ascii="宋体" w:hAnsi="宋体" w:eastAsia="宋体" w:cs="宋体"/>
          <w:i w:val="0"/>
          <w:caps w:val="0"/>
          <w:color w:val="auto"/>
          <w:spacing w:val="0"/>
          <w:sz w:val="22"/>
          <w:szCs w:val="22"/>
          <w:highlight w:val="none"/>
          <w:u w:val="none"/>
          <w:lang w:val="en-US" w:eastAsia="zh-CN"/>
        </w:rPr>
        <w:t>3、本项目通过广西政府采购云平台实行在线投标响应（电子投标），具体操作流程详见谈判文件。</w:t>
      </w:r>
    </w:p>
    <w:bookmarkEnd w:id="17"/>
    <w:p w14:paraId="77410310">
      <w:pPr>
        <w:pStyle w:val="15"/>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exact"/>
        <w:ind w:left="0" w:right="0" w:firstLine="0"/>
        <w:textAlignment w:val="auto"/>
        <w:rPr>
          <w:rStyle w:val="20"/>
          <w:rFonts w:hint="eastAsia" w:ascii="宋体" w:hAnsi="宋体" w:eastAsia="宋体" w:cs="宋体"/>
          <w:b/>
          <w:i w:val="0"/>
          <w:caps w:val="0"/>
          <w:color w:val="auto"/>
          <w:spacing w:val="0"/>
          <w:sz w:val="22"/>
          <w:szCs w:val="22"/>
          <w:highlight w:val="none"/>
          <w:lang w:eastAsia="zh-CN"/>
        </w:rPr>
      </w:pPr>
      <w:r>
        <w:rPr>
          <w:rStyle w:val="20"/>
          <w:rFonts w:hint="eastAsia" w:ascii="宋体" w:hAnsi="宋体" w:eastAsia="宋体" w:cs="宋体"/>
          <w:b/>
          <w:i w:val="0"/>
          <w:caps w:val="0"/>
          <w:color w:val="auto"/>
          <w:spacing w:val="0"/>
          <w:sz w:val="22"/>
          <w:szCs w:val="22"/>
          <w:highlight w:val="none"/>
          <w:lang w:eastAsia="zh-CN"/>
        </w:rPr>
        <w:t>八、凡对本次采购提出询问，请按以下方式联系。</w:t>
      </w:r>
    </w:p>
    <w:p w14:paraId="61F720C8">
      <w:pPr>
        <w:pageBreakBefore w:val="0"/>
        <w:widowControl w:val="0"/>
        <w:kinsoku/>
        <w:wordWrap/>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color w:val="auto"/>
          <w:sz w:val="22"/>
          <w:szCs w:val="22"/>
          <w:highlight w:val="none"/>
        </w:rPr>
      </w:pPr>
      <w:bookmarkStart w:id="18" w:name="_Toc35393637"/>
      <w:bookmarkStart w:id="19" w:name="_Toc28359096"/>
      <w:bookmarkStart w:id="20" w:name="_Toc35393806"/>
      <w:bookmarkStart w:id="21" w:name="_Toc28359019"/>
      <w:bookmarkStart w:id="22" w:name="OLE_LINK17"/>
      <w:r>
        <w:rPr>
          <w:rFonts w:hint="eastAsia" w:ascii="宋体" w:hAnsi="宋体" w:eastAsia="宋体" w:cs="宋体"/>
          <w:b w:val="0"/>
          <w:color w:val="auto"/>
          <w:sz w:val="22"/>
          <w:szCs w:val="22"/>
          <w:highlight w:val="none"/>
        </w:rPr>
        <w:t>1.采购人信息</w:t>
      </w:r>
      <w:bookmarkEnd w:id="18"/>
      <w:bookmarkEnd w:id="19"/>
      <w:bookmarkEnd w:id="20"/>
      <w:bookmarkEnd w:id="21"/>
    </w:p>
    <w:p w14:paraId="60D99854">
      <w:pPr>
        <w:pageBreakBefore w:val="0"/>
        <w:widowControl w:val="0"/>
        <w:kinsoku/>
        <w:wordWrap/>
        <w:overflowPunct/>
        <w:topLinePunct w:val="0"/>
        <w:autoSpaceDE/>
        <w:autoSpaceDN/>
        <w:bidi w:val="0"/>
        <w:snapToGrid w:val="0"/>
        <w:spacing w:line="360" w:lineRule="auto"/>
        <w:ind w:left="1054" w:leftChars="371" w:hanging="275" w:hangingChars="125"/>
        <w:jc w:val="left"/>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名       称：</w:t>
      </w:r>
      <w:r>
        <w:rPr>
          <w:rFonts w:hint="eastAsia" w:ascii="宋体" w:hAnsi="宋体" w:eastAsia="宋体" w:cs="宋体"/>
          <w:color w:val="auto"/>
          <w:sz w:val="22"/>
          <w:szCs w:val="22"/>
          <w:highlight w:val="none"/>
          <w:lang w:eastAsia="zh-CN"/>
        </w:rPr>
        <w:t>合浦县妇幼保健院</w:t>
      </w:r>
    </w:p>
    <w:p w14:paraId="2F1E5E50">
      <w:pPr>
        <w:pageBreakBefore w:val="0"/>
        <w:widowControl w:val="0"/>
        <w:kinsoku/>
        <w:wordWrap/>
        <w:overflowPunct/>
        <w:topLinePunct w:val="0"/>
        <w:autoSpaceDE/>
        <w:autoSpaceDN/>
        <w:bidi w:val="0"/>
        <w:snapToGrid w:val="0"/>
        <w:spacing w:line="360" w:lineRule="auto"/>
        <w:ind w:left="1054" w:leftChars="371" w:hanging="275" w:hangingChars="125"/>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址：北海市合浦县公园路396号</w:t>
      </w:r>
    </w:p>
    <w:p w14:paraId="3E6B0497">
      <w:pPr>
        <w:pageBreakBefore w:val="0"/>
        <w:widowControl w:val="0"/>
        <w:kinsoku/>
        <w:wordWrap/>
        <w:overflowPunct/>
        <w:topLinePunct w:val="0"/>
        <w:autoSpaceDE/>
        <w:autoSpaceDN/>
        <w:bidi w:val="0"/>
        <w:snapToGrid w:val="0"/>
        <w:spacing w:line="360" w:lineRule="auto"/>
        <w:ind w:left="1054" w:leftChars="371" w:hanging="275" w:hangingChars="125"/>
        <w:jc w:val="left"/>
        <w:textAlignment w:val="auto"/>
        <w:outlineLvl w:val="9"/>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rPr>
        <w:t>项目联系方式：</w:t>
      </w:r>
      <w:r>
        <w:rPr>
          <w:rFonts w:hint="eastAsia" w:ascii="宋体" w:hAnsi="宋体" w:eastAsia="宋体" w:cs="宋体"/>
          <w:color w:val="auto"/>
          <w:sz w:val="22"/>
          <w:szCs w:val="22"/>
          <w:highlight w:val="none"/>
          <w:lang w:eastAsia="zh-CN"/>
        </w:rPr>
        <w:t>0779-7284360</w:t>
      </w:r>
    </w:p>
    <w:p w14:paraId="228A2CEB">
      <w:pPr>
        <w:pageBreakBefore w:val="0"/>
        <w:widowControl w:val="0"/>
        <w:kinsoku/>
        <w:wordWrap/>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color w:val="auto"/>
          <w:sz w:val="22"/>
          <w:szCs w:val="22"/>
          <w:highlight w:val="none"/>
          <w:u w:val="none"/>
        </w:rPr>
      </w:pPr>
      <w:bookmarkStart w:id="23" w:name="_Toc35393638"/>
      <w:bookmarkStart w:id="24" w:name="_Toc28359020"/>
      <w:bookmarkStart w:id="25" w:name="_Toc28359097"/>
      <w:bookmarkStart w:id="26" w:name="_Toc35393807"/>
      <w:r>
        <w:rPr>
          <w:rFonts w:hint="eastAsia" w:ascii="宋体" w:hAnsi="宋体" w:eastAsia="宋体" w:cs="宋体"/>
          <w:b w:val="0"/>
          <w:color w:val="auto"/>
          <w:sz w:val="22"/>
          <w:szCs w:val="22"/>
          <w:highlight w:val="none"/>
          <w:u w:val="none"/>
        </w:rPr>
        <w:t>2.采购代理机构信息</w:t>
      </w:r>
      <w:bookmarkEnd w:id="23"/>
      <w:bookmarkEnd w:id="24"/>
      <w:bookmarkEnd w:id="25"/>
      <w:bookmarkEnd w:id="26"/>
    </w:p>
    <w:p w14:paraId="0D5A520C">
      <w:pPr>
        <w:pageBreakBefore w:val="0"/>
        <w:widowControl w:val="0"/>
        <w:kinsoku/>
        <w:wordWrap/>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名    称：</w:t>
      </w:r>
      <w:r>
        <w:rPr>
          <w:rFonts w:hint="eastAsia" w:ascii="宋体" w:hAnsi="宋体" w:eastAsia="宋体" w:cs="宋体"/>
          <w:color w:val="auto"/>
          <w:sz w:val="22"/>
          <w:szCs w:val="22"/>
          <w:highlight w:val="none"/>
          <w:u w:val="none"/>
          <w:lang w:eastAsia="zh-CN"/>
        </w:rPr>
        <w:t>广西中之元工程管理有限公司</w:t>
      </w:r>
      <w:r>
        <w:rPr>
          <w:rFonts w:hint="eastAsia" w:ascii="宋体" w:hAnsi="宋体" w:eastAsia="宋体" w:cs="宋体"/>
          <w:color w:val="auto"/>
          <w:sz w:val="22"/>
          <w:szCs w:val="22"/>
          <w:highlight w:val="none"/>
          <w:u w:val="none"/>
        </w:rPr>
        <w:t xml:space="preserve">  </w:t>
      </w:r>
    </w:p>
    <w:p w14:paraId="3A8A9554">
      <w:pPr>
        <w:pageBreakBefore w:val="0"/>
        <w:widowControl w:val="0"/>
        <w:kinsoku/>
        <w:wordWrap/>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rPr>
        <w:t>地　　址：</w:t>
      </w:r>
      <w:r>
        <w:rPr>
          <w:rFonts w:hint="eastAsia" w:ascii="宋体" w:hAnsi="宋体" w:eastAsia="宋体" w:cs="宋体"/>
          <w:color w:val="auto"/>
          <w:sz w:val="22"/>
          <w:szCs w:val="22"/>
          <w:highlight w:val="none"/>
          <w:u w:val="none"/>
          <w:lang w:eastAsia="zh-CN"/>
        </w:rPr>
        <w:t>北海市合浦县廉州镇文昌新城2栋9号楼</w:t>
      </w:r>
    </w:p>
    <w:p w14:paraId="274601F8">
      <w:pPr>
        <w:pageBreakBefore w:val="0"/>
        <w:widowControl w:val="0"/>
        <w:kinsoku/>
        <w:wordWrap/>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联系方式：</w:t>
      </w:r>
      <w:r>
        <w:rPr>
          <w:rFonts w:hint="eastAsia" w:ascii="宋体" w:hAnsi="宋体" w:eastAsia="宋体" w:cs="宋体"/>
          <w:color w:val="auto"/>
          <w:sz w:val="22"/>
          <w:szCs w:val="22"/>
          <w:highlight w:val="none"/>
          <w:u w:val="none"/>
          <w:lang w:eastAsia="zh-CN"/>
        </w:rPr>
        <w:t>0779-7200788</w:t>
      </w:r>
      <w:r>
        <w:rPr>
          <w:rFonts w:hint="eastAsia" w:ascii="宋体" w:hAnsi="宋体" w:eastAsia="宋体" w:cs="宋体"/>
          <w:color w:val="auto"/>
          <w:sz w:val="22"/>
          <w:szCs w:val="22"/>
          <w:highlight w:val="none"/>
          <w:u w:val="none"/>
        </w:rPr>
        <w:t xml:space="preserve"> </w:t>
      </w:r>
    </w:p>
    <w:p w14:paraId="253F82A0">
      <w:pPr>
        <w:pageBreakBefore w:val="0"/>
        <w:widowControl w:val="0"/>
        <w:kinsoku/>
        <w:wordWrap/>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color w:val="auto"/>
          <w:sz w:val="22"/>
          <w:szCs w:val="22"/>
          <w:highlight w:val="none"/>
          <w:u w:val="none"/>
        </w:rPr>
      </w:pPr>
      <w:bookmarkStart w:id="27" w:name="_Toc28359021"/>
      <w:bookmarkStart w:id="28" w:name="_Toc28359098"/>
      <w:bookmarkStart w:id="29" w:name="_Toc35393808"/>
      <w:bookmarkStart w:id="30" w:name="_Toc35393639"/>
      <w:r>
        <w:rPr>
          <w:rFonts w:hint="eastAsia" w:ascii="宋体" w:hAnsi="宋体" w:eastAsia="宋体" w:cs="宋体"/>
          <w:b w:val="0"/>
          <w:color w:val="auto"/>
          <w:sz w:val="22"/>
          <w:szCs w:val="22"/>
          <w:highlight w:val="none"/>
          <w:u w:val="none"/>
        </w:rPr>
        <w:t>3.项目联系方式</w:t>
      </w:r>
      <w:bookmarkEnd w:id="27"/>
      <w:bookmarkEnd w:id="28"/>
      <w:bookmarkEnd w:id="29"/>
      <w:bookmarkEnd w:id="30"/>
    </w:p>
    <w:p w14:paraId="625284AA">
      <w:pPr>
        <w:pStyle w:val="10"/>
        <w:pageBreakBefore w:val="0"/>
        <w:widowControl w:val="0"/>
        <w:kinsoku/>
        <w:wordWrap/>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rPr>
        <w:t>项目联系人：</w:t>
      </w:r>
      <w:r>
        <w:rPr>
          <w:rFonts w:hint="eastAsia" w:hAnsi="宋体" w:eastAsia="宋体" w:cs="宋体"/>
          <w:color w:val="auto"/>
          <w:sz w:val="22"/>
          <w:szCs w:val="22"/>
          <w:highlight w:val="none"/>
          <w:u w:val="none"/>
          <w:lang w:eastAsia="zh-CN"/>
        </w:rPr>
        <w:t>庞工</w:t>
      </w:r>
    </w:p>
    <w:p w14:paraId="10AD428A">
      <w:pPr>
        <w:pageBreakBefore w:val="0"/>
        <w:widowControl w:val="0"/>
        <w:kinsoku/>
        <w:wordWrap/>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rPr>
        <w:t>电　　 话：</w:t>
      </w:r>
      <w:r>
        <w:rPr>
          <w:rFonts w:hint="eastAsia" w:ascii="宋体" w:hAnsi="宋体" w:eastAsia="宋体" w:cs="宋体"/>
          <w:color w:val="auto"/>
          <w:sz w:val="22"/>
          <w:szCs w:val="22"/>
          <w:highlight w:val="none"/>
          <w:u w:val="none"/>
          <w:lang w:eastAsia="zh-CN"/>
        </w:rPr>
        <w:t>0779-7200788</w:t>
      </w:r>
      <w:bookmarkEnd w:id="22"/>
    </w:p>
    <w:p w14:paraId="6C25294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2"/>
          <w:szCs w:val="22"/>
          <w:highlight w:val="none"/>
        </w:rPr>
      </w:pPr>
    </w:p>
    <w:p w14:paraId="5162E739">
      <w:pPr>
        <w:pStyle w:val="25"/>
        <w:pageBreakBefore w:val="0"/>
        <w:widowControl w:val="0"/>
        <w:kinsoku/>
        <w:wordWrap/>
        <w:overflowPunct/>
        <w:topLinePunct w:val="0"/>
        <w:autoSpaceDE/>
        <w:autoSpaceDN/>
        <w:bidi w:val="0"/>
        <w:textAlignment w:val="auto"/>
        <w:outlineLvl w:val="9"/>
        <w:rPr>
          <w:rFonts w:hint="eastAsia" w:ascii="宋体" w:hAnsi="宋体" w:eastAsia="宋体" w:cs="宋体"/>
          <w:color w:val="auto"/>
          <w:sz w:val="22"/>
          <w:szCs w:val="22"/>
          <w:highlight w:val="none"/>
        </w:rPr>
      </w:pPr>
    </w:p>
    <w:p w14:paraId="5D70062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cs="仿宋_GB2312"/>
          <w:color w:val="auto"/>
          <w:sz w:val="22"/>
          <w:szCs w:val="22"/>
          <w:highlight w:val="none"/>
        </w:rPr>
      </w:pPr>
      <w:r>
        <w:rPr>
          <w:rFonts w:hint="eastAsia" w:ascii="宋体" w:hAnsi="宋体" w:eastAsia="宋体" w:cs="宋体"/>
          <w:color w:val="auto"/>
          <w:sz w:val="22"/>
          <w:szCs w:val="22"/>
          <w:highlight w:val="none"/>
          <w:lang w:val="en-US" w:eastAsia="zh-CN"/>
        </w:rPr>
        <w:t xml:space="preserve">    </w:t>
      </w:r>
      <w:r>
        <w:rPr>
          <w:rFonts w:hint="eastAsia" w:ascii="宋体" w:hAnsi="宋体" w:cs="仿宋_GB2312"/>
          <w:color w:val="auto"/>
          <w:sz w:val="22"/>
          <w:szCs w:val="22"/>
          <w:highlight w:val="none"/>
        </w:rPr>
        <w:t xml:space="preserve">采购人（盖章）：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采购代理机构（盖章）：</w:t>
      </w:r>
    </w:p>
    <w:p w14:paraId="18243F56">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outlineLvl w:val="9"/>
        <w:rPr>
          <w:rFonts w:hint="eastAsia" w:ascii="宋体" w:hAnsi="宋体" w:cs="仿宋_GB2312"/>
          <w:color w:val="auto"/>
          <w:sz w:val="22"/>
          <w:szCs w:val="22"/>
          <w:highlight w:val="none"/>
          <w:lang w:eastAsia="zh-CN"/>
        </w:rPr>
      </w:pPr>
      <w:r>
        <w:rPr>
          <w:rFonts w:hint="eastAsia" w:ascii="宋体" w:hAnsi="宋体" w:cs="仿宋_GB2312"/>
          <w:color w:val="auto"/>
          <w:sz w:val="22"/>
          <w:szCs w:val="22"/>
          <w:highlight w:val="none"/>
          <w:lang w:eastAsia="zh-CN"/>
        </w:rPr>
        <w:t>合浦县妇幼保健院</w:t>
      </w: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lang w:eastAsia="zh-CN"/>
        </w:rPr>
        <w:t>广西中之元工程管理有限公司</w:t>
      </w:r>
    </w:p>
    <w:p w14:paraId="1B9A1EEF">
      <w:pPr>
        <w:pageBreakBefore w:val="0"/>
        <w:widowControl w:val="0"/>
        <w:kinsoku/>
        <w:wordWrap/>
        <w:overflowPunct/>
        <w:topLinePunct w:val="0"/>
        <w:autoSpaceDE/>
        <w:autoSpaceDN/>
        <w:bidi w:val="0"/>
        <w:snapToGrid w:val="0"/>
        <w:spacing w:line="360" w:lineRule="exact"/>
        <w:ind w:firstLine="440" w:firstLineChars="200"/>
        <w:jc w:val="both"/>
        <w:textAlignment w:val="auto"/>
        <w:outlineLvl w:val="9"/>
        <w:rPr>
          <w:rFonts w:hint="eastAsia" w:ascii="宋体" w:hAnsi="宋体" w:eastAsia="宋体" w:cs="宋体"/>
          <w:color w:val="auto"/>
          <w:sz w:val="22"/>
          <w:szCs w:val="22"/>
          <w:highlight w:val="none"/>
        </w:rPr>
      </w:pPr>
      <w:r>
        <w:rPr>
          <w:rFonts w:hint="eastAsia" w:ascii="宋体" w:hAnsi="宋体" w:cs="仿宋_GB2312"/>
          <w:color w:val="auto"/>
          <w:sz w:val="22"/>
          <w:szCs w:val="22"/>
          <w:highlight w:val="none"/>
          <w:lang w:val="en-US" w:eastAsia="zh-CN"/>
        </w:rPr>
        <w:t>2025</w:t>
      </w:r>
      <w:r>
        <w:rPr>
          <w:rFonts w:hint="eastAsia" w:ascii="宋体" w:hAnsi="宋体" w:cs="仿宋_GB2312"/>
          <w:color w:val="auto"/>
          <w:sz w:val="22"/>
          <w:szCs w:val="22"/>
          <w:highlight w:val="none"/>
        </w:rPr>
        <w:t>年</w:t>
      </w:r>
      <w:r>
        <w:rPr>
          <w:rFonts w:hint="eastAsia" w:ascii="宋体" w:hAnsi="宋体" w:cs="仿宋_GB2312"/>
          <w:color w:val="auto"/>
          <w:sz w:val="22"/>
          <w:szCs w:val="22"/>
          <w:highlight w:val="none"/>
          <w:lang w:val="en-US" w:eastAsia="zh-CN"/>
        </w:rPr>
        <w:t>12</w:t>
      </w:r>
      <w:r>
        <w:rPr>
          <w:rFonts w:hint="eastAsia" w:ascii="宋体" w:hAnsi="宋体" w:cs="仿宋_GB2312"/>
          <w:color w:val="auto"/>
          <w:sz w:val="22"/>
          <w:szCs w:val="22"/>
          <w:highlight w:val="none"/>
        </w:rPr>
        <w:t>月</w:t>
      </w:r>
      <w:r>
        <w:rPr>
          <w:rFonts w:hint="eastAsia" w:ascii="宋体" w:hAnsi="宋体" w:cs="仿宋_GB2312"/>
          <w:color w:val="auto"/>
          <w:sz w:val="22"/>
          <w:szCs w:val="22"/>
          <w:highlight w:val="none"/>
          <w:lang w:val="en-US" w:eastAsia="zh-CN"/>
        </w:rPr>
        <w:t xml:space="preserve">22 </w:t>
      </w:r>
      <w:r>
        <w:rPr>
          <w:rFonts w:hint="eastAsia" w:ascii="宋体" w:hAnsi="宋体" w:cs="仿宋_GB2312"/>
          <w:color w:val="auto"/>
          <w:sz w:val="22"/>
          <w:szCs w:val="22"/>
          <w:highlight w:val="none"/>
        </w:rPr>
        <w:t xml:space="preserve">日                        </w:t>
      </w:r>
      <w:r>
        <w:rPr>
          <w:rFonts w:hint="eastAsia" w:ascii="宋体" w:hAnsi="宋体" w:cs="仿宋_GB2312"/>
          <w:color w:val="auto"/>
          <w:sz w:val="22"/>
          <w:szCs w:val="22"/>
          <w:highlight w:val="none"/>
          <w:lang w:val="en-US" w:eastAsia="zh-CN"/>
        </w:rPr>
        <w:t xml:space="preserve">           2025</w:t>
      </w:r>
      <w:r>
        <w:rPr>
          <w:rFonts w:hint="eastAsia" w:ascii="宋体" w:hAnsi="宋体" w:cs="仿宋_GB2312"/>
          <w:color w:val="auto"/>
          <w:sz w:val="22"/>
          <w:szCs w:val="22"/>
          <w:highlight w:val="none"/>
        </w:rPr>
        <w:t>年</w:t>
      </w:r>
      <w:r>
        <w:rPr>
          <w:rFonts w:hint="eastAsia" w:ascii="宋体" w:hAnsi="宋体" w:cs="仿宋_GB2312"/>
          <w:color w:val="auto"/>
          <w:sz w:val="22"/>
          <w:szCs w:val="22"/>
          <w:highlight w:val="none"/>
          <w:lang w:val="en-US" w:eastAsia="zh-CN"/>
        </w:rPr>
        <w:t>12</w:t>
      </w:r>
      <w:r>
        <w:rPr>
          <w:rFonts w:hint="eastAsia" w:ascii="宋体" w:hAnsi="宋体" w:cs="仿宋_GB2312"/>
          <w:color w:val="auto"/>
          <w:sz w:val="22"/>
          <w:szCs w:val="22"/>
          <w:highlight w:val="none"/>
        </w:rPr>
        <w:t>月</w:t>
      </w:r>
      <w:r>
        <w:rPr>
          <w:rFonts w:hint="eastAsia" w:ascii="宋体" w:hAnsi="宋体" w:cs="仿宋_GB2312"/>
          <w:color w:val="auto"/>
          <w:sz w:val="22"/>
          <w:szCs w:val="22"/>
          <w:highlight w:val="none"/>
          <w:lang w:val="en-US" w:eastAsia="zh-CN"/>
        </w:rPr>
        <w:t>22</w:t>
      </w:r>
      <w:r>
        <w:rPr>
          <w:rFonts w:hint="eastAsia" w:ascii="宋体" w:hAnsi="宋体" w:cs="仿宋_GB2312"/>
          <w:color w:val="auto"/>
          <w:sz w:val="22"/>
          <w:szCs w:val="22"/>
          <w:highlight w:val="none"/>
        </w:rPr>
        <w:t>日</w:t>
      </w:r>
    </w:p>
    <w:p w14:paraId="57A9E218">
      <w:pPr>
        <w:rPr>
          <w:rFonts w:hint="default" w:ascii="宋体" w:hAnsi="宋体" w:cs="宋体"/>
          <w:b/>
          <w:bCs/>
          <w:color w:val="auto"/>
          <w:sz w:val="22"/>
          <w:szCs w:val="22"/>
          <w:highlight w:val="none"/>
          <w:lang w:val="en-US" w:eastAsia="zh-CN"/>
        </w:rPr>
      </w:pPr>
      <w:r>
        <w:rPr>
          <w:rFonts w:hint="default" w:ascii="宋体" w:hAnsi="宋体" w:cs="宋体"/>
          <w:b/>
          <w:bCs/>
          <w:color w:val="auto"/>
          <w:sz w:val="22"/>
          <w:szCs w:val="22"/>
          <w:highlight w:val="none"/>
          <w:lang w:val="en-US" w:eastAsia="zh-CN"/>
        </w:rPr>
        <w:br w:type="page"/>
      </w:r>
    </w:p>
    <w:p w14:paraId="3925A36C">
      <w:pPr>
        <w:pStyle w:val="3"/>
        <w:bidi w:val="0"/>
        <w:rPr>
          <w:rFonts w:hint="eastAsia"/>
          <w:color w:val="auto"/>
          <w:highlight w:val="none"/>
          <w:lang w:val="en-US" w:eastAsia="zh-CN"/>
        </w:rPr>
      </w:pPr>
      <w:bookmarkStart w:id="31" w:name="_Toc19050"/>
      <w:r>
        <w:rPr>
          <w:rFonts w:hint="eastAsia"/>
          <w:color w:val="auto"/>
          <w:highlight w:val="none"/>
          <w:lang w:val="en-US" w:eastAsia="zh-CN"/>
        </w:rPr>
        <w:t>第二章  谈判供应商须知</w:t>
      </w:r>
      <w:bookmarkEnd w:id="31"/>
    </w:p>
    <w:p w14:paraId="56699996">
      <w:pPr>
        <w:pStyle w:val="2"/>
        <w:numPr>
          <w:ilvl w:val="0"/>
          <w:numId w:val="0"/>
        </w:numPr>
        <w:ind w:leftChars="0"/>
        <w:jc w:val="center"/>
        <w:rPr>
          <w:rFonts w:hint="eastAsia" w:ascii="宋体" w:hAnsi="宋体" w:eastAsia="宋体" w:cs="宋体"/>
          <w:color w:val="auto"/>
          <w:sz w:val="28"/>
          <w:szCs w:val="28"/>
          <w:highlight w:val="none"/>
          <w:lang w:val="en-US" w:eastAsia="zh-CN"/>
        </w:rPr>
      </w:pPr>
      <w:bookmarkStart w:id="32" w:name="_Toc254970667"/>
      <w:bookmarkStart w:id="33" w:name="_Toc254970526"/>
      <w:r>
        <w:rPr>
          <w:rFonts w:hint="eastAsia" w:ascii="宋体" w:hAnsi="宋体" w:eastAsia="宋体" w:cs="宋体"/>
          <w:color w:val="auto"/>
          <w:sz w:val="28"/>
          <w:szCs w:val="28"/>
          <w:highlight w:val="none"/>
          <w:lang w:val="en-US" w:eastAsia="zh-CN"/>
        </w:rPr>
        <w:t>谈判供应商须知前附表</w:t>
      </w:r>
      <w:bookmarkEnd w:id="32"/>
      <w:bookmarkEnd w:id="33"/>
    </w:p>
    <w:tbl>
      <w:tblPr>
        <w:tblStyle w:val="16"/>
        <w:tblW w:w="93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0"/>
        <w:gridCol w:w="8662"/>
      </w:tblGrid>
      <w:tr w14:paraId="4C098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13BC93CF">
            <w:pPr>
              <w:snapToGrid w:val="0"/>
              <w:spacing w:line="2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序号</w:t>
            </w:r>
          </w:p>
        </w:tc>
        <w:tc>
          <w:tcPr>
            <w:tcW w:w="8662" w:type="dxa"/>
            <w:tcBorders>
              <w:top w:val="single" w:color="auto" w:sz="4" w:space="0"/>
              <w:left w:val="single" w:color="auto" w:sz="4" w:space="0"/>
              <w:bottom w:val="single" w:color="auto" w:sz="4" w:space="0"/>
              <w:right w:val="single" w:color="auto" w:sz="4" w:space="0"/>
            </w:tcBorders>
            <w:noWrap w:val="0"/>
            <w:vAlign w:val="center"/>
          </w:tcPr>
          <w:p w14:paraId="03FD59AB">
            <w:pPr>
              <w:snapToGrid w:val="0"/>
              <w:spacing w:line="2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内容</w:t>
            </w:r>
          </w:p>
        </w:tc>
      </w:tr>
      <w:tr w14:paraId="2E3D46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7"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766E745B">
            <w:pPr>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8662" w:type="dxa"/>
            <w:tcBorders>
              <w:top w:val="single" w:color="auto" w:sz="4" w:space="0"/>
              <w:left w:val="single" w:color="auto" w:sz="4" w:space="0"/>
              <w:bottom w:val="single" w:color="auto" w:sz="4" w:space="0"/>
              <w:right w:val="single" w:color="auto" w:sz="4" w:space="0"/>
            </w:tcBorders>
            <w:noWrap w:val="0"/>
            <w:vAlign w:val="center"/>
          </w:tcPr>
          <w:p w14:paraId="2E74C6E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rPr>
              <w:t>项目名称：</w:t>
            </w:r>
            <w:r>
              <w:rPr>
                <w:rFonts w:hint="eastAsia" w:ascii="宋体" w:hAnsi="宋体" w:eastAsia="宋体" w:cs="宋体"/>
                <w:b w:val="0"/>
                <w:bCs w:val="0"/>
                <w:color w:val="auto"/>
                <w:sz w:val="22"/>
                <w:szCs w:val="22"/>
                <w:highlight w:val="none"/>
                <w:lang w:eastAsia="zh-CN"/>
              </w:rPr>
              <w:t>皮肤科医疗设备</w:t>
            </w:r>
          </w:p>
          <w:p w14:paraId="65222C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eastAsiaTheme="minorEastAsia"/>
                <w:bCs/>
                <w:color w:val="auto"/>
                <w:sz w:val="22"/>
                <w:szCs w:val="22"/>
                <w:highlight w:val="none"/>
                <w:lang w:eastAsia="zh-CN"/>
              </w:rPr>
            </w:pPr>
            <w:r>
              <w:rPr>
                <w:rFonts w:hint="eastAsia" w:ascii="宋体" w:hAnsi="宋体" w:cs="宋体"/>
                <w:bCs/>
                <w:color w:val="auto"/>
                <w:sz w:val="22"/>
                <w:szCs w:val="22"/>
                <w:highlight w:val="none"/>
              </w:rPr>
              <w:t>项目编号：BHZC2025-J1-210223-ZZYG</w:t>
            </w:r>
          </w:p>
          <w:p w14:paraId="4BEF05F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预算金额：</w:t>
            </w:r>
            <w:r>
              <w:rPr>
                <w:rFonts w:hint="eastAsia" w:ascii="宋体" w:hAnsi="宋体" w:eastAsia="宋体" w:cs="宋体"/>
                <w:color w:val="auto"/>
                <w:sz w:val="22"/>
                <w:szCs w:val="22"/>
                <w:highlight w:val="none"/>
                <w:lang w:val="en-US" w:eastAsia="zh-CN"/>
              </w:rPr>
              <w:t xml:space="preserve">1100000.00元 </w:t>
            </w:r>
          </w:p>
        </w:tc>
      </w:tr>
      <w:tr w14:paraId="230C3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92"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50B1FD1E">
            <w:pPr>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w:t>
            </w:r>
          </w:p>
        </w:tc>
        <w:tc>
          <w:tcPr>
            <w:tcW w:w="8662" w:type="dxa"/>
            <w:tcBorders>
              <w:top w:val="single" w:color="auto" w:sz="4" w:space="0"/>
              <w:left w:val="single" w:color="auto" w:sz="4" w:space="0"/>
              <w:bottom w:val="single" w:color="auto" w:sz="4" w:space="0"/>
              <w:right w:val="single" w:color="auto" w:sz="4" w:space="0"/>
            </w:tcBorders>
            <w:noWrap w:val="0"/>
            <w:vAlign w:val="center"/>
          </w:tcPr>
          <w:p w14:paraId="641E446C">
            <w:pPr>
              <w:keepNext w:val="0"/>
              <w:keepLines w:val="0"/>
              <w:pageBreakBefore w:val="0"/>
              <w:widowControl w:val="0"/>
              <w:kinsoku/>
              <w:wordWrap/>
              <w:overflowPunct/>
              <w:topLinePunct w:val="0"/>
              <w:bidi w:val="0"/>
              <w:adjustRightInd w:val="0"/>
              <w:snapToGri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谈判供应商资格：</w:t>
            </w:r>
          </w:p>
          <w:p w14:paraId="7BBBD251">
            <w:pPr>
              <w:pStyle w:val="24"/>
              <w:keepNext w:val="0"/>
              <w:keepLines w:val="0"/>
              <w:pageBreakBefore w:val="0"/>
              <w:widowControl w:val="0"/>
              <w:kinsoku/>
              <w:wordWrap/>
              <w:overflowPunct/>
              <w:topLinePunct w:val="0"/>
              <w:autoSpaceDE/>
              <w:autoSpaceDN/>
              <w:bidi w:val="0"/>
              <w:adjustRightInd w:val="0"/>
              <w:snapToGrid w:val="0"/>
              <w:spacing w:after="0" w:afterLines="0" w:line="360" w:lineRule="auto"/>
              <w:ind w:firstLine="420"/>
              <w:textAlignment w:val="auto"/>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1.满足《中华人民共和国政府采购法》第二十二条规定；</w:t>
            </w:r>
          </w:p>
          <w:p w14:paraId="091E966D">
            <w:pPr>
              <w:pStyle w:val="24"/>
              <w:keepNext w:val="0"/>
              <w:keepLines w:val="0"/>
              <w:pageBreakBefore w:val="0"/>
              <w:widowControl w:val="0"/>
              <w:kinsoku/>
              <w:wordWrap/>
              <w:overflowPunct/>
              <w:topLinePunct w:val="0"/>
              <w:autoSpaceDE/>
              <w:autoSpaceDN/>
              <w:bidi w:val="0"/>
              <w:adjustRightInd w:val="0"/>
              <w:snapToGrid w:val="0"/>
              <w:spacing w:after="0" w:afterLines="0" w:line="360" w:lineRule="auto"/>
              <w:ind w:firstLine="420"/>
              <w:textAlignment w:val="auto"/>
              <w:rPr>
                <w:rFonts w:hint="eastAsia" w:ascii="宋体" w:hAnsi="宋体" w:cs="宋体"/>
                <w:b w:val="0"/>
                <w:bCs w:val="0"/>
                <w:color w:val="auto"/>
                <w:sz w:val="22"/>
                <w:szCs w:val="22"/>
                <w:highlight w:val="none"/>
              </w:rPr>
            </w:pPr>
            <w:bookmarkStart w:id="34" w:name="OLE_LINK2"/>
            <w:r>
              <w:rPr>
                <w:rFonts w:hint="eastAsia" w:ascii="宋体" w:hAnsi="宋体" w:cs="宋体"/>
                <w:b w:val="0"/>
                <w:bCs w:val="0"/>
                <w:color w:val="auto"/>
                <w:sz w:val="22"/>
                <w:szCs w:val="22"/>
                <w:highlight w:val="none"/>
              </w:rPr>
              <w:t>2.落实政府采购政策需满足的资格要求：</w:t>
            </w:r>
            <w:r>
              <w:rPr>
                <w:rFonts w:hint="eastAsia" w:ascii="宋体" w:hAnsi="宋体" w:eastAsia="宋体" w:cs="宋体"/>
                <w:b w:val="0"/>
                <w:bCs w:val="0"/>
                <w:color w:val="auto"/>
                <w:kern w:val="2"/>
                <w:sz w:val="22"/>
                <w:szCs w:val="22"/>
                <w:highlight w:val="none"/>
                <w:lang w:val="en-US" w:eastAsia="zh-CN" w:bidi="ar-SA"/>
              </w:rPr>
              <w:t xml:space="preserve">本项目专门面向中小企业（供应商应为中小微企业或监狱企业或残疾人福利性单位) </w:t>
            </w:r>
            <w:r>
              <w:rPr>
                <w:rFonts w:hint="eastAsia" w:ascii="宋体" w:hAnsi="宋体" w:cs="宋体"/>
                <w:b w:val="0"/>
                <w:bCs w:val="0"/>
                <w:color w:val="auto"/>
                <w:sz w:val="22"/>
                <w:szCs w:val="22"/>
                <w:highlight w:val="none"/>
              </w:rPr>
              <w:t>；</w:t>
            </w:r>
          </w:p>
          <w:p w14:paraId="72F402AE">
            <w:pPr>
              <w:pStyle w:val="24"/>
              <w:keepNext w:val="0"/>
              <w:keepLines w:val="0"/>
              <w:pageBreakBefore w:val="0"/>
              <w:widowControl w:val="0"/>
              <w:kinsoku/>
              <w:wordWrap/>
              <w:overflowPunct/>
              <w:topLinePunct w:val="0"/>
              <w:autoSpaceDE/>
              <w:autoSpaceDN/>
              <w:bidi w:val="0"/>
              <w:adjustRightInd w:val="0"/>
              <w:snapToGrid w:val="0"/>
              <w:spacing w:after="0" w:afterLines="0" w:line="360" w:lineRule="auto"/>
              <w:ind w:firstLine="420"/>
              <w:textAlignment w:val="auto"/>
              <w:rPr>
                <w:rFonts w:hint="eastAsia" w:ascii="宋体" w:hAnsi="宋体" w:cs="宋体"/>
                <w:color w:val="auto"/>
                <w:sz w:val="22"/>
                <w:szCs w:val="22"/>
                <w:highlight w:val="none"/>
              </w:rPr>
            </w:pPr>
            <w:r>
              <w:rPr>
                <w:rFonts w:hint="eastAsia" w:ascii="宋体" w:hAnsi="宋体" w:cs="宋体"/>
                <w:b w:val="0"/>
                <w:bCs w:val="0"/>
                <w:color w:val="auto"/>
                <w:sz w:val="22"/>
                <w:szCs w:val="22"/>
                <w:highlight w:val="none"/>
              </w:rPr>
              <w:t>3.本项目的特定资格要求：</w:t>
            </w:r>
            <w:bookmarkEnd w:id="34"/>
            <w:r>
              <w:rPr>
                <w:rFonts w:hint="eastAsia" w:ascii="宋体" w:hAnsi="宋体" w:cs="宋体"/>
                <w:b w:val="0"/>
                <w:bCs w:val="0"/>
                <w:color w:val="auto"/>
                <w:sz w:val="22"/>
                <w:szCs w:val="22"/>
                <w:highlight w:val="none"/>
              </w:rPr>
              <w:t>具有医疗器械经营许可证（或第二类医疗器械经营备案凭证）。</w:t>
            </w:r>
          </w:p>
        </w:tc>
      </w:tr>
      <w:tr w14:paraId="0C475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0B787689">
            <w:pPr>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3</w:t>
            </w:r>
          </w:p>
        </w:tc>
        <w:tc>
          <w:tcPr>
            <w:tcW w:w="8662" w:type="dxa"/>
            <w:tcBorders>
              <w:top w:val="single" w:color="auto" w:sz="4" w:space="0"/>
              <w:left w:val="single" w:color="auto" w:sz="4" w:space="0"/>
              <w:bottom w:val="single" w:color="auto" w:sz="4" w:space="0"/>
              <w:right w:val="single" w:color="auto" w:sz="4" w:space="0"/>
            </w:tcBorders>
            <w:noWrap w:val="0"/>
            <w:vAlign w:val="center"/>
          </w:tcPr>
          <w:p w14:paraId="5D018215">
            <w:pPr>
              <w:keepNext w:val="0"/>
              <w:keepLines w:val="0"/>
              <w:pageBreakBefore w:val="0"/>
              <w:widowControl w:val="0"/>
              <w:kinsoku/>
              <w:wordWrap/>
              <w:overflowPunct/>
              <w:topLinePunct w:val="0"/>
              <w:bidi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报价：谈判供应商</w:t>
            </w:r>
            <w:r>
              <w:rPr>
                <w:rFonts w:hint="eastAsia" w:ascii="宋体" w:hAnsi="宋体" w:cs="宋体"/>
                <w:color w:val="auto"/>
                <w:sz w:val="22"/>
                <w:szCs w:val="22"/>
                <w:highlight w:val="none"/>
                <w:lang w:eastAsia="zh-CN"/>
              </w:rPr>
              <w:t>应</w:t>
            </w:r>
            <w:r>
              <w:rPr>
                <w:rFonts w:hint="eastAsia" w:ascii="宋体" w:hAnsi="宋体" w:cs="宋体"/>
                <w:color w:val="auto"/>
                <w:sz w:val="22"/>
                <w:szCs w:val="22"/>
                <w:highlight w:val="none"/>
              </w:rPr>
              <w:t>就《采购需求》中所有的货物和服务内容做完整唯一报价。</w:t>
            </w:r>
          </w:p>
        </w:tc>
      </w:tr>
      <w:tr w14:paraId="1CD86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4AD80A99">
            <w:pPr>
              <w:snapToGrid w:val="0"/>
              <w:spacing w:line="360" w:lineRule="auto"/>
              <w:jc w:val="center"/>
              <w:rPr>
                <w:rFonts w:hint="eastAsia" w:ascii="宋体" w:hAnsi="宋体" w:cs="宋体" w:eastAsiaTheme="minorEastAsia"/>
                <w:color w:val="auto"/>
                <w:sz w:val="22"/>
                <w:szCs w:val="22"/>
                <w:highlight w:val="none"/>
                <w:lang w:val="en-US" w:eastAsia="zh-CN"/>
              </w:rPr>
            </w:pPr>
            <w:r>
              <w:rPr>
                <w:rFonts w:hint="eastAsia" w:ascii="宋体" w:hAnsi="宋体" w:cs="宋体"/>
                <w:color w:val="auto"/>
                <w:sz w:val="22"/>
                <w:szCs w:val="22"/>
                <w:highlight w:val="none"/>
                <w:lang w:val="en-US" w:eastAsia="zh-CN"/>
              </w:rPr>
              <w:t>4</w:t>
            </w:r>
          </w:p>
        </w:tc>
        <w:tc>
          <w:tcPr>
            <w:tcW w:w="8662" w:type="dxa"/>
            <w:tcBorders>
              <w:top w:val="single" w:color="auto" w:sz="4" w:space="0"/>
              <w:left w:val="single" w:color="auto" w:sz="4" w:space="0"/>
              <w:bottom w:val="single" w:color="auto" w:sz="4" w:space="0"/>
              <w:right w:val="single" w:color="auto" w:sz="4" w:space="0"/>
            </w:tcBorders>
            <w:noWrap w:val="0"/>
            <w:vAlign w:val="center"/>
          </w:tcPr>
          <w:p w14:paraId="6604621A">
            <w:pPr>
              <w:keepNext w:val="0"/>
              <w:keepLines w:val="0"/>
              <w:pageBreakBefore w:val="0"/>
              <w:widowControl w:val="0"/>
              <w:kinsoku/>
              <w:wordWrap/>
              <w:overflowPunct/>
              <w:topLinePunct w:val="0"/>
              <w:bidi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谈判前准备：</w:t>
            </w:r>
          </w:p>
          <w:p w14:paraId="5001DF65">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1.本项目实行网上谈判，采用电子谈判响应文件。若供应商参与谈判，自行承担谈判一切费用。</w:t>
            </w:r>
          </w:p>
          <w:p w14:paraId="2E5608FF">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2.各供应商应在截标前应确保成为</w:t>
            </w:r>
            <w:bookmarkStart w:id="35" w:name="OLE_LINK1"/>
            <w:r>
              <w:rPr>
                <w:rFonts w:hint="eastAsia" w:ascii="宋体" w:hAnsi="宋体" w:cs="宋体"/>
                <w:color w:val="auto"/>
                <w:sz w:val="22"/>
                <w:szCs w:val="22"/>
                <w:highlight w:val="none"/>
                <w:lang w:eastAsia="zh-CN"/>
              </w:rPr>
              <w:t>广西政府采购云平台</w:t>
            </w:r>
            <w:bookmarkEnd w:id="35"/>
            <w:r>
              <w:rPr>
                <w:rFonts w:hint="eastAsia" w:ascii="宋体" w:hAnsi="宋体" w:cs="宋体"/>
                <w:color w:val="auto"/>
                <w:sz w:val="22"/>
                <w:szCs w:val="22"/>
                <w:highlight w:val="none"/>
              </w:rPr>
              <w:t>正式注册入库供应商，并完成CA数字证书申领。因未注册入库、未办理CA数字证书等原因造成无法谈判或谈判失败等后果由供应商自行承担。</w:t>
            </w:r>
          </w:p>
          <w:p w14:paraId="300B6688">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3.供应商将政采云电子交易客户端下载、安装完成后，可通过账号密码或CA登录客户端进行电子谈判响应文件制作。客户端请至北海市政府采购中心网站（http://xxgk.beihai.gov.cn/bhzcw/）下载专区查看，如有问题可拨打政采云客户服务热线</w:t>
            </w:r>
            <w:r>
              <w:rPr>
                <w:rFonts w:hint="eastAsia" w:ascii="宋体" w:hAnsi="宋体" w:cs="宋体"/>
                <w:color w:val="auto"/>
                <w:sz w:val="22"/>
                <w:szCs w:val="22"/>
                <w:highlight w:val="none"/>
                <w:lang w:eastAsia="zh-CN"/>
              </w:rPr>
              <w:t>95763</w:t>
            </w:r>
            <w:r>
              <w:rPr>
                <w:rFonts w:hint="eastAsia" w:ascii="宋体" w:hAnsi="宋体" w:cs="宋体"/>
                <w:color w:val="auto"/>
                <w:sz w:val="22"/>
                <w:szCs w:val="22"/>
                <w:highlight w:val="none"/>
              </w:rPr>
              <w:t>进行咨询。</w:t>
            </w:r>
          </w:p>
        </w:tc>
      </w:tr>
      <w:tr w14:paraId="10144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45E88E24">
            <w:pPr>
              <w:snapToGrid w:val="0"/>
              <w:spacing w:line="360" w:lineRule="auto"/>
              <w:jc w:val="center"/>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lang w:val="en-US" w:eastAsia="zh-CN"/>
              </w:rPr>
              <w:t>5</w:t>
            </w:r>
          </w:p>
        </w:tc>
        <w:tc>
          <w:tcPr>
            <w:tcW w:w="8662" w:type="dxa"/>
            <w:tcBorders>
              <w:top w:val="single" w:color="auto" w:sz="4" w:space="0"/>
              <w:left w:val="single" w:color="auto" w:sz="4" w:space="0"/>
              <w:bottom w:val="single" w:color="auto" w:sz="4" w:space="0"/>
              <w:right w:val="single" w:color="auto" w:sz="4" w:space="0"/>
            </w:tcBorders>
            <w:noWrap w:val="0"/>
            <w:vAlign w:val="center"/>
          </w:tcPr>
          <w:p w14:paraId="11DA8E69">
            <w:pPr>
              <w:keepNext w:val="0"/>
              <w:keepLines w:val="0"/>
              <w:pageBreakBefore w:val="0"/>
              <w:widowControl w:val="0"/>
              <w:kinsoku/>
              <w:wordWrap/>
              <w:overflowPunct/>
              <w:topLinePunct w:val="0"/>
              <w:bidi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供应商应当准备电子谈判响应文件、可以准备以介质存储的数据电文形式的电子备份谈判响应文件：</w:t>
            </w:r>
          </w:p>
          <w:p w14:paraId="0F28024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1.电子谈判响应文件按</w:t>
            </w:r>
            <w:r>
              <w:rPr>
                <w:rFonts w:hint="eastAsia" w:ascii="宋体" w:hAnsi="宋体" w:cs="宋体"/>
                <w:color w:val="auto"/>
                <w:sz w:val="22"/>
                <w:szCs w:val="22"/>
                <w:highlight w:val="none"/>
                <w:lang w:eastAsia="zh-CN"/>
              </w:rPr>
              <w:t>广西政府采购云</w:t>
            </w:r>
            <w:r>
              <w:rPr>
                <w:rFonts w:hint="eastAsia" w:ascii="宋体" w:hAnsi="宋体" w:cs="宋体"/>
                <w:color w:val="auto"/>
                <w:sz w:val="22"/>
                <w:szCs w:val="22"/>
                <w:highlight w:val="none"/>
              </w:rPr>
              <w:t>平台要求及本谈判文件要求制作、加密并递交。</w:t>
            </w:r>
          </w:p>
          <w:p w14:paraId="02DC91B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2.以介质存储的数据电文形式的电子备份谈判响应文件，按</w:t>
            </w:r>
            <w:r>
              <w:rPr>
                <w:rFonts w:hint="eastAsia" w:ascii="宋体" w:hAnsi="宋体" w:cs="宋体"/>
                <w:color w:val="auto"/>
                <w:sz w:val="22"/>
                <w:szCs w:val="22"/>
                <w:highlight w:val="none"/>
                <w:lang w:eastAsia="zh-CN"/>
              </w:rPr>
              <w:t>广西政府采购云平台</w:t>
            </w:r>
            <w:r>
              <w:rPr>
                <w:rFonts w:hint="eastAsia" w:ascii="宋体" w:hAnsi="宋体" w:cs="宋体"/>
                <w:color w:val="auto"/>
                <w:sz w:val="22"/>
                <w:szCs w:val="22"/>
                <w:highlight w:val="none"/>
              </w:rPr>
              <w:t>项目采购-电子招投标操作指南中上传的电子备份谈判响应文件格式，以DVD光盘或者U盘等形式提供。数量为1份。</w:t>
            </w:r>
          </w:p>
          <w:p w14:paraId="680717D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3.电子谈判响应文件启用顺序和效力。电子谈判响应文件的启用，按先后顺位分别为电子谈判响应文件、以介质存储的数据电文形式的电子备份谈判响应文件。顺位在先的谈判响应文件已按时解密的，下一顺位谈判响应文件自动失效。在下一顺位的谈判响应文件启用时，前一顺位的谈判响应文件自动失效。</w:t>
            </w:r>
          </w:p>
          <w:p w14:paraId="7821437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未传输递交电子谈判响应文件的，谈判无效。</w:t>
            </w:r>
          </w:p>
          <w:p w14:paraId="4A2E1AC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未按规定提供相应的备份谈判响应文件，造成项目开评标活动无法进行下去的，谈判无效。</w:t>
            </w:r>
          </w:p>
        </w:tc>
      </w:tr>
      <w:tr w14:paraId="43BB7E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602DBA5B">
            <w:pPr>
              <w:snapToGrid w:val="0"/>
              <w:spacing w:line="360" w:lineRule="auto"/>
              <w:jc w:val="center"/>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lang w:val="en-US" w:eastAsia="zh-CN"/>
              </w:rPr>
              <w:t>6</w:t>
            </w:r>
          </w:p>
        </w:tc>
        <w:tc>
          <w:tcPr>
            <w:tcW w:w="8662" w:type="dxa"/>
            <w:tcBorders>
              <w:top w:val="single" w:color="auto" w:sz="4" w:space="0"/>
              <w:left w:val="single" w:color="auto" w:sz="4" w:space="0"/>
              <w:bottom w:val="single" w:color="auto" w:sz="4" w:space="0"/>
              <w:right w:val="single" w:color="auto" w:sz="4" w:space="0"/>
            </w:tcBorders>
            <w:noWrap w:val="0"/>
            <w:vAlign w:val="center"/>
          </w:tcPr>
          <w:p w14:paraId="04CEF12A">
            <w:pPr>
              <w:keepNext w:val="0"/>
              <w:keepLines w:val="0"/>
              <w:pageBreakBefore w:val="0"/>
              <w:widowControl w:val="0"/>
              <w:kinsoku/>
              <w:wordWrap/>
              <w:overflowPunct/>
              <w:topLinePunct w:val="0"/>
              <w:bidi w:val="0"/>
              <w:snapToGrid w:val="0"/>
              <w:spacing w:line="360" w:lineRule="auto"/>
              <w:rPr>
                <w:rFonts w:hint="eastAsia" w:ascii="宋体" w:hAnsi="宋体" w:cs="宋体"/>
                <w:b/>
                <w:color w:val="auto"/>
                <w:sz w:val="22"/>
                <w:szCs w:val="22"/>
                <w:highlight w:val="none"/>
              </w:rPr>
            </w:pPr>
            <w:r>
              <w:rPr>
                <w:rFonts w:hint="eastAsia" w:ascii="宋体" w:hAnsi="宋体" w:cs="宋体"/>
                <w:color w:val="auto"/>
                <w:sz w:val="22"/>
                <w:szCs w:val="22"/>
                <w:highlight w:val="none"/>
              </w:rPr>
              <w:t>响应文件递交截止时间：</w:t>
            </w:r>
            <w:r>
              <w:rPr>
                <w:rFonts w:hint="eastAsia" w:ascii="宋体" w:hAnsi="宋体" w:cs="宋体"/>
                <w:color w:val="auto"/>
                <w:sz w:val="22"/>
                <w:szCs w:val="22"/>
                <w:highlight w:val="none"/>
                <w:lang w:eastAsia="zh-CN"/>
              </w:rPr>
              <w:t>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lang w:eastAsia="zh-CN"/>
              </w:rPr>
              <w:t>年</w:t>
            </w:r>
            <w:r>
              <w:rPr>
                <w:rFonts w:hint="eastAsia" w:ascii="宋体" w:hAnsi="宋体" w:cs="宋体"/>
                <w:color w:val="auto"/>
                <w:sz w:val="22"/>
                <w:szCs w:val="22"/>
                <w:highlight w:val="none"/>
                <w:lang w:val="en-US" w:eastAsia="zh-CN"/>
              </w:rPr>
              <w:t>12</w:t>
            </w:r>
            <w:r>
              <w:rPr>
                <w:rFonts w:hint="eastAsia" w:ascii="宋体" w:hAnsi="宋体" w:cs="宋体"/>
                <w:color w:val="auto"/>
                <w:sz w:val="22"/>
                <w:szCs w:val="22"/>
                <w:highlight w:val="none"/>
                <w:lang w:eastAsia="zh-CN"/>
              </w:rPr>
              <w:t>月</w:t>
            </w:r>
            <w:r>
              <w:rPr>
                <w:rFonts w:hint="eastAsia" w:ascii="宋体" w:hAnsi="宋体" w:cs="宋体"/>
                <w:color w:val="auto"/>
                <w:sz w:val="22"/>
                <w:szCs w:val="22"/>
                <w:highlight w:val="none"/>
                <w:lang w:val="en-US" w:eastAsia="zh-CN"/>
              </w:rPr>
              <w:t>26</w:t>
            </w:r>
            <w:r>
              <w:rPr>
                <w:rFonts w:hint="eastAsia" w:ascii="宋体" w:hAnsi="宋体" w:cs="宋体"/>
                <w:color w:val="auto"/>
                <w:sz w:val="22"/>
                <w:szCs w:val="22"/>
                <w:highlight w:val="none"/>
                <w:lang w:eastAsia="zh-CN"/>
              </w:rPr>
              <w:t>日</w:t>
            </w:r>
            <w:r>
              <w:rPr>
                <w:rFonts w:hint="eastAsia" w:ascii="宋体" w:hAnsi="宋体" w:cs="宋体"/>
                <w:color w:val="auto"/>
                <w:sz w:val="22"/>
                <w:szCs w:val="22"/>
                <w:highlight w:val="none"/>
                <w:lang w:val="en-US" w:eastAsia="zh-CN"/>
              </w:rPr>
              <w:t>09点00</w:t>
            </w:r>
            <w:r>
              <w:rPr>
                <w:rFonts w:hint="eastAsia" w:ascii="宋体" w:hAnsi="宋体" w:cs="宋体"/>
                <w:color w:val="auto"/>
                <w:sz w:val="22"/>
                <w:szCs w:val="22"/>
                <w:highlight w:val="none"/>
                <w:lang w:eastAsia="zh-CN"/>
              </w:rPr>
              <w:t>分</w:t>
            </w:r>
            <w:r>
              <w:rPr>
                <w:rFonts w:hint="eastAsia" w:ascii="宋体" w:hAnsi="宋体" w:cs="宋体"/>
                <w:bCs/>
                <w:color w:val="auto"/>
                <w:sz w:val="22"/>
                <w:szCs w:val="22"/>
                <w:highlight w:val="none"/>
              </w:rPr>
              <w:t>。</w:t>
            </w:r>
          </w:p>
          <w:p w14:paraId="00AF624B">
            <w:pPr>
              <w:keepNext w:val="0"/>
              <w:keepLines w:val="0"/>
              <w:pageBreakBefore w:val="0"/>
              <w:widowControl w:val="0"/>
              <w:kinsoku/>
              <w:wordWrap/>
              <w:overflowPunct/>
              <w:topLinePunct w:val="0"/>
              <w:bidi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地址：</w:t>
            </w:r>
            <w:r>
              <w:rPr>
                <w:rFonts w:hint="eastAsia" w:ascii="宋体" w:hAnsi="宋体" w:cs="宋体"/>
                <w:color w:val="auto"/>
                <w:sz w:val="22"/>
                <w:szCs w:val="22"/>
                <w:highlight w:val="none"/>
                <w:lang w:eastAsia="zh-CN"/>
              </w:rPr>
              <w:t>通过广西政府采购云平台实行在线截标</w:t>
            </w:r>
            <w:r>
              <w:rPr>
                <w:rFonts w:hint="eastAsia" w:ascii="宋体" w:hAnsi="宋体" w:cs="宋体"/>
                <w:b w:val="0"/>
                <w:bCs/>
                <w:color w:val="auto"/>
                <w:spacing w:val="-12"/>
                <w:sz w:val="22"/>
                <w:szCs w:val="22"/>
                <w:highlight w:val="none"/>
              </w:rPr>
              <w:t>。</w:t>
            </w:r>
          </w:p>
        </w:tc>
      </w:tr>
      <w:tr w14:paraId="29038C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44131EFE">
            <w:pPr>
              <w:snapToGrid w:val="0"/>
              <w:spacing w:line="360" w:lineRule="auto"/>
              <w:jc w:val="center"/>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lang w:val="en-US" w:eastAsia="zh-CN"/>
              </w:rPr>
              <w:t>7</w:t>
            </w:r>
          </w:p>
        </w:tc>
        <w:tc>
          <w:tcPr>
            <w:tcW w:w="8662" w:type="dxa"/>
            <w:tcBorders>
              <w:top w:val="single" w:color="auto" w:sz="4" w:space="0"/>
              <w:left w:val="single" w:color="auto" w:sz="4" w:space="0"/>
              <w:bottom w:val="single" w:color="auto" w:sz="4" w:space="0"/>
              <w:right w:val="single" w:color="auto" w:sz="4" w:space="0"/>
            </w:tcBorders>
            <w:noWrap w:val="0"/>
            <w:vAlign w:val="center"/>
          </w:tcPr>
          <w:p w14:paraId="62711210">
            <w:pPr>
              <w:keepNext w:val="0"/>
              <w:keepLines w:val="0"/>
              <w:pageBreakBefore w:val="0"/>
              <w:widowControl w:val="0"/>
              <w:kinsoku/>
              <w:wordWrap/>
              <w:overflowPunct/>
              <w:topLinePunct w:val="0"/>
              <w:autoSpaceDE w:val="0"/>
              <w:autoSpaceDN w:val="0"/>
              <w:bidi w:val="0"/>
              <w:snapToGrid w:val="0"/>
              <w:spacing w:line="360" w:lineRule="auto"/>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响应文件有效期：响应文件递交截止日期后</w:t>
            </w:r>
            <w:r>
              <w:rPr>
                <w:rFonts w:hint="eastAsia" w:ascii="宋体" w:hAnsi="宋体" w:cs="宋体"/>
                <w:color w:val="auto"/>
                <w:sz w:val="22"/>
                <w:szCs w:val="22"/>
                <w:highlight w:val="none"/>
                <w:u w:val="single"/>
              </w:rPr>
              <w:t xml:space="preserve"> 60 </w:t>
            </w:r>
            <w:r>
              <w:rPr>
                <w:rFonts w:hint="eastAsia" w:ascii="宋体" w:hAnsi="宋体" w:cs="宋体"/>
                <w:color w:val="auto"/>
                <w:sz w:val="22"/>
                <w:szCs w:val="22"/>
                <w:highlight w:val="none"/>
              </w:rPr>
              <w:t>天。</w:t>
            </w:r>
          </w:p>
        </w:tc>
      </w:tr>
      <w:tr w14:paraId="6E600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00B4806E">
            <w:pPr>
              <w:spacing w:line="360" w:lineRule="auto"/>
              <w:rPr>
                <w:rFonts w:hint="eastAsia" w:ascii="宋体" w:hAnsi="宋体" w:cs="宋体" w:eastAsiaTheme="minorEastAsia"/>
                <w:color w:val="auto"/>
                <w:sz w:val="22"/>
                <w:szCs w:val="22"/>
                <w:highlight w:val="none"/>
                <w:lang w:val="en-US" w:eastAsia="zh-CN"/>
              </w:rPr>
            </w:pPr>
            <w:r>
              <w:rPr>
                <w:rFonts w:hint="eastAsia"/>
                <w:color w:val="auto"/>
                <w:szCs w:val="21"/>
                <w:highlight w:val="none"/>
                <w:lang w:val="en-US" w:eastAsia="zh-CN"/>
              </w:rPr>
              <w:t>8</w:t>
            </w:r>
          </w:p>
        </w:tc>
        <w:tc>
          <w:tcPr>
            <w:tcW w:w="8662" w:type="dxa"/>
            <w:tcBorders>
              <w:top w:val="single" w:color="auto" w:sz="4" w:space="0"/>
              <w:left w:val="single" w:color="auto" w:sz="4" w:space="0"/>
              <w:bottom w:val="single" w:color="auto" w:sz="4" w:space="0"/>
              <w:right w:val="single" w:color="auto" w:sz="4" w:space="0"/>
            </w:tcBorders>
            <w:noWrap w:val="0"/>
            <w:vAlign w:val="center"/>
          </w:tcPr>
          <w:p w14:paraId="280BAD3D">
            <w:pPr>
              <w:spacing w:line="360" w:lineRule="auto"/>
              <w:rPr>
                <w:rFonts w:hint="eastAsia" w:ascii="宋体" w:hAnsi="宋体" w:cs="宋体"/>
                <w:color w:val="auto"/>
                <w:sz w:val="22"/>
                <w:szCs w:val="22"/>
                <w:highlight w:val="none"/>
              </w:rPr>
            </w:pPr>
            <w:r>
              <w:rPr>
                <w:rFonts w:hint="eastAsia"/>
                <w:color w:val="auto"/>
                <w:szCs w:val="21"/>
                <w:highlight w:val="none"/>
                <w:lang w:eastAsia="zh-CN"/>
              </w:rPr>
              <w:t>谈判</w:t>
            </w:r>
            <w:r>
              <w:rPr>
                <w:color w:val="auto"/>
                <w:szCs w:val="21"/>
                <w:highlight w:val="none"/>
              </w:rPr>
              <w:t>保证金：</w:t>
            </w:r>
            <w:r>
              <w:rPr>
                <w:rFonts w:hint="eastAsia" w:ascii="宋体" w:hAnsi="宋体" w:cs="宋体"/>
                <w:color w:val="auto"/>
                <w:sz w:val="22"/>
                <w:szCs w:val="22"/>
                <w:highlight w:val="none"/>
              </w:rPr>
              <w:t>不收取</w:t>
            </w:r>
            <w:r>
              <w:rPr>
                <w:rFonts w:hint="eastAsia"/>
                <w:color w:val="auto"/>
                <w:szCs w:val="21"/>
                <w:highlight w:val="none"/>
              </w:rPr>
              <w:t>。</w:t>
            </w:r>
          </w:p>
        </w:tc>
      </w:tr>
      <w:tr w14:paraId="42582F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0770C117">
            <w:pPr>
              <w:snapToGrid w:val="0"/>
              <w:spacing w:line="360" w:lineRule="auto"/>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9</w:t>
            </w:r>
          </w:p>
        </w:tc>
        <w:tc>
          <w:tcPr>
            <w:tcW w:w="8662" w:type="dxa"/>
            <w:tcBorders>
              <w:top w:val="single" w:color="auto" w:sz="4" w:space="0"/>
              <w:left w:val="single" w:color="auto" w:sz="4" w:space="0"/>
              <w:bottom w:val="single" w:color="auto" w:sz="4" w:space="0"/>
              <w:right w:val="single" w:color="auto" w:sz="4" w:space="0"/>
            </w:tcBorders>
            <w:noWrap w:val="0"/>
            <w:vAlign w:val="center"/>
          </w:tcPr>
          <w:p w14:paraId="247F4BFC">
            <w:pPr>
              <w:keepNext w:val="0"/>
              <w:keepLines w:val="0"/>
              <w:pageBreakBefore w:val="0"/>
              <w:widowControl w:val="0"/>
              <w:kinsoku/>
              <w:wordWrap/>
              <w:overflowPunct/>
              <w:topLinePunct w:val="0"/>
              <w:bidi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谈判时间：</w:t>
            </w:r>
            <w:r>
              <w:rPr>
                <w:rFonts w:hint="eastAsia" w:ascii="宋体" w:hAnsi="宋体" w:cs="宋体"/>
                <w:color w:val="auto"/>
                <w:sz w:val="22"/>
                <w:szCs w:val="22"/>
                <w:highlight w:val="none"/>
                <w:lang w:eastAsia="zh-CN"/>
              </w:rPr>
              <w:t>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lang w:eastAsia="zh-CN"/>
              </w:rPr>
              <w:t>年</w:t>
            </w:r>
            <w:r>
              <w:rPr>
                <w:rFonts w:hint="eastAsia" w:ascii="宋体" w:hAnsi="宋体" w:cs="宋体"/>
                <w:color w:val="auto"/>
                <w:sz w:val="22"/>
                <w:szCs w:val="22"/>
                <w:highlight w:val="none"/>
                <w:lang w:val="en-US" w:eastAsia="zh-CN"/>
              </w:rPr>
              <w:t>12</w:t>
            </w:r>
            <w:r>
              <w:rPr>
                <w:rFonts w:hint="eastAsia" w:ascii="宋体" w:hAnsi="宋体" w:cs="宋体"/>
                <w:color w:val="auto"/>
                <w:sz w:val="22"/>
                <w:szCs w:val="22"/>
                <w:highlight w:val="none"/>
                <w:lang w:eastAsia="zh-CN"/>
              </w:rPr>
              <w:t>月</w:t>
            </w:r>
            <w:r>
              <w:rPr>
                <w:rFonts w:hint="eastAsia" w:ascii="宋体" w:hAnsi="宋体" w:cs="宋体"/>
                <w:color w:val="auto"/>
                <w:sz w:val="22"/>
                <w:szCs w:val="22"/>
                <w:highlight w:val="none"/>
                <w:lang w:val="en-US" w:eastAsia="zh-CN"/>
              </w:rPr>
              <w:t>26</w:t>
            </w:r>
            <w:r>
              <w:rPr>
                <w:rFonts w:hint="eastAsia" w:ascii="宋体" w:hAnsi="宋体" w:cs="宋体"/>
                <w:color w:val="auto"/>
                <w:sz w:val="22"/>
                <w:szCs w:val="22"/>
                <w:highlight w:val="none"/>
                <w:lang w:eastAsia="zh-CN"/>
              </w:rPr>
              <w:t>日</w:t>
            </w:r>
            <w:r>
              <w:rPr>
                <w:rFonts w:hint="eastAsia" w:ascii="宋体" w:hAnsi="宋体" w:cs="宋体"/>
                <w:color w:val="auto"/>
                <w:sz w:val="22"/>
                <w:szCs w:val="22"/>
                <w:highlight w:val="none"/>
                <w:lang w:val="en-US" w:eastAsia="zh-CN"/>
              </w:rPr>
              <w:t>09点00</w:t>
            </w:r>
            <w:r>
              <w:rPr>
                <w:rFonts w:hint="eastAsia" w:ascii="宋体" w:hAnsi="宋体" w:cs="宋体"/>
                <w:color w:val="auto"/>
                <w:sz w:val="22"/>
                <w:szCs w:val="22"/>
                <w:highlight w:val="none"/>
                <w:lang w:eastAsia="zh-CN"/>
              </w:rPr>
              <w:t>分</w:t>
            </w:r>
            <w:r>
              <w:rPr>
                <w:rFonts w:hint="eastAsia" w:ascii="宋体" w:hAnsi="宋体" w:cs="宋体"/>
                <w:iCs/>
                <w:color w:val="auto"/>
                <w:sz w:val="22"/>
                <w:szCs w:val="22"/>
                <w:highlight w:val="none"/>
              </w:rPr>
              <w:t>响应</w:t>
            </w:r>
            <w:r>
              <w:rPr>
                <w:rFonts w:hint="eastAsia" w:ascii="宋体" w:hAnsi="宋体" w:cs="宋体"/>
                <w:color w:val="auto"/>
                <w:sz w:val="22"/>
                <w:szCs w:val="22"/>
                <w:highlight w:val="none"/>
              </w:rPr>
              <w:t>文件提交截止时间后</w:t>
            </w:r>
          </w:p>
          <w:p w14:paraId="1F038E86">
            <w:pPr>
              <w:keepNext w:val="0"/>
              <w:keepLines w:val="0"/>
              <w:pageBreakBefore w:val="0"/>
              <w:widowControl w:val="0"/>
              <w:kinsoku/>
              <w:wordWrap/>
              <w:overflowPunct/>
              <w:topLinePunct w:val="0"/>
              <w:bidi w:val="0"/>
              <w:snapToGrid w:val="0"/>
              <w:spacing w:line="360" w:lineRule="auto"/>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rPr>
              <w:t>谈判地点：</w:t>
            </w:r>
            <w:r>
              <w:rPr>
                <w:rFonts w:hint="eastAsia" w:ascii="宋体" w:hAnsi="宋体" w:cs="宋体"/>
                <w:color w:val="auto"/>
                <w:sz w:val="22"/>
                <w:szCs w:val="22"/>
                <w:highlight w:val="none"/>
                <w:lang w:eastAsia="zh-CN"/>
              </w:rPr>
              <w:t>通过广西政府采购云平台实行在线谈判。</w:t>
            </w:r>
          </w:p>
        </w:tc>
      </w:tr>
      <w:tr w14:paraId="59ED5F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740BEF76">
            <w:pPr>
              <w:snapToGrid w:val="0"/>
              <w:spacing w:line="360" w:lineRule="auto"/>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p>
        </w:tc>
        <w:tc>
          <w:tcPr>
            <w:tcW w:w="8662" w:type="dxa"/>
            <w:tcBorders>
              <w:top w:val="single" w:color="auto" w:sz="4" w:space="0"/>
              <w:left w:val="single" w:color="auto" w:sz="4" w:space="0"/>
              <w:bottom w:val="single" w:color="auto" w:sz="4" w:space="0"/>
              <w:right w:val="single" w:color="auto" w:sz="4" w:space="0"/>
            </w:tcBorders>
            <w:noWrap w:val="0"/>
            <w:vAlign w:val="center"/>
          </w:tcPr>
          <w:p w14:paraId="20C31D2F">
            <w:pPr>
              <w:keepNext w:val="0"/>
              <w:keepLines w:val="0"/>
              <w:pageBreakBefore w:val="0"/>
              <w:widowControl w:val="0"/>
              <w:kinsoku/>
              <w:wordWrap/>
              <w:overflowPunct/>
              <w:topLinePunct w:val="0"/>
              <w:bidi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电子谈判响应文件解密时间：截标时间后</w:t>
            </w:r>
            <w:r>
              <w:rPr>
                <w:rFonts w:hint="eastAsia" w:ascii="宋体" w:hAnsi="宋体" w:cs="宋体"/>
                <w:color w:val="auto"/>
                <w:sz w:val="22"/>
                <w:szCs w:val="22"/>
                <w:highlight w:val="none"/>
                <w:lang w:val="en-US" w:eastAsia="zh-CN"/>
              </w:rPr>
              <w:t>30分钟</w:t>
            </w:r>
            <w:r>
              <w:rPr>
                <w:rFonts w:hint="eastAsia" w:ascii="宋体" w:hAnsi="宋体" w:cs="宋体"/>
                <w:color w:val="auto"/>
                <w:sz w:val="22"/>
                <w:szCs w:val="22"/>
                <w:highlight w:val="none"/>
              </w:rPr>
              <w:t>内，谈判供应商必须在此时间段内登录</w:t>
            </w:r>
            <w:r>
              <w:rPr>
                <w:rFonts w:hint="eastAsia" w:ascii="宋体" w:hAnsi="宋体" w:cs="宋体"/>
                <w:color w:val="auto"/>
                <w:sz w:val="22"/>
                <w:szCs w:val="22"/>
                <w:highlight w:val="none"/>
                <w:lang w:eastAsia="zh-CN"/>
              </w:rPr>
              <w:t>广西政府采购云</w:t>
            </w:r>
            <w:r>
              <w:rPr>
                <w:rFonts w:hint="eastAsia" w:ascii="宋体" w:hAnsi="宋体" w:cs="宋体"/>
                <w:color w:val="auto"/>
                <w:sz w:val="22"/>
                <w:szCs w:val="22"/>
                <w:highlight w:val="none"/>
              </w:rPr>
              <w:t>平台，用“项目采购-开标评标”功能完成电子谈判响应文件的解密。若谈判供应商在规定时间内未按时解密的，视为响应文件撤回。</w:t>
            </w:r>
          </w:p>
        </w:tc>
      </w:tr>
      <w:tr w14:paraId="460EA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3A23800C">
            <w:pPr>
              <w:snapToGrid w:val="0"/>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w:t>
            </w:r>
          </w:p>
        </w:tc>
        <w:tc>
          <w:tcPr>
            <w:tcW w:w="8662" w:type="dxa"/>
            <w:tcBorders>
              <w:top w:val="single" w:color="auto" w:sz="4" w:space="0"/>
              <w:left w:val="single" w:color="auto" w:sz="4" w:space="0"/>
              <w:bottom w:val="single" w:color="auto" w:sz="4" w:space="0"/>
              <w:right w:val="single" w:color="auto" w:sz="4" w:space="0"/>
            </w:tcBorders>
            <w:noWrap w:val="0"/>
            <w:vAlign w:val="center"/>
          </w:tcPr>
          <w:p w14:paraId="6A93C3FC">
            <w:pPr>
              <w:keepNext w:val="0"/>
              <w:keepLines w:val="0"/>
              <w:pageBreakBefore w:val="0"/>
              <w:widowControl w:val="0"/>
              <w:kinsoku/>
              <w:wordWrap/>
              <w:overflowPunct/>
              <w:topLinePunct w:val="0"/>
              <w:autoSpaceDE w:val="0"/>
              <w:autoSpaceDN w:val="0"/>
              <w:bidi w:val="0"/>
              <w:snapToGrid w:val="0"/>
              <w:spacing w:line="360" w:lineRule="auto"/>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评定标准：最低评标价法（详见第六章）</w:t>
            </w:r>
          </w:p>
        </w:tc>
      </w:tr>
      <w:tr w14:paraId="550F33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2271D4C2">
            <w:pPr>
              <w:snapToGrid w:val="0"/>
              <w:spacing w:line="360" w:lineRule="auto"/>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w:t>
            </w:r>
          </w:p>
        </w:tc>
        <w:tc>
          <w:tcPr>
            <w:tcW w:w="8662" w:type="dxa"/>
            <w:tcBorders>
              <w:top w:val="single" w:color="auto" w:sz="4" w:space="0"/>
              <w:left w:val="single" w:color="auto" w:sz="4" w:space="0"/>
              <w:bottom w:val="single" w:color="auto" w:sz="4" w:space="0"/>
              <w:right w:val="single" w:color="auto" w:sz="4" w:space="0"/>
            </w:tcBorders>
            <w:noWrap w:val="0"/>
            <w:vAlign w:val="center"/>
          </w:tcPr>
          <w:p w14:paraId="3A6E7935">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eastAsia="宋体" w:cs="宋体"/>
                <w:i w:val="0"/>
                <w:caps w:val="0"/>
                <w:color w:val="auto"/>
                <w:spacing w:val="0"/>
                <w:sz w:val="22"/>
                <w:szCs w:val="22"/>
                <w:highlight w:val="none"/>
                <w:u w:val="none"/>
                <w:lang w:val="en-US" w:eastAsia="zh-CN"/>
              </w:rPr>
            </w:pPr>
            <w:r>
              <w:rPr>
                <w:rFonts w:hint="eastAsia" w:eastAsia="宋体" w:cs="宋体"/>
                <w:i w:val="0"/>
                <w:caps w:val="0"/>
                <w:color w:val="auto"/>
                <w:spacing w:val="0"/>
                <w:sz w:val="22"/>
                <w:szCs w:val="22"/>
                <w:highlight w:val="none"/>
                <w:u w:val="none"/>
                <w:lang w:val="en-US" w:eastAsia="zh-CN"/>
              </w:rPr>
              <w:t>在线投标响应（电子投标）说明</w:t>
            </w:r>
          </w:p>
          <w:p w14:paraId="4E2B787C">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宋体" w:hAnsi="宋体" w:eastAsia="宋体" w:cs="宋体"/>
                <w:i w:val="0"/>
                <w:caps w:val="0"/>
                <w:color w:val="auto"/>
                <w:spacing w:val="0"/>
                <w:sz w:val="22"/>
                <w:szCs w:val="22"/>
                <w:highlight w:val="none"/>
                <w:u w:val="none"/>
              </w:rPr>
            </w:pPr>
            <w:r>
              <w:rPr>
                <w:rFonts w:hint="eastAsia" w:eastAsia="宋体" w:cs="宋体"/>
                <w:i w:val="0"/>
                <w:caps w:val="0"/>
                <w:color w:val="auto"/>
                <w:spacing w:val="0"/>
                <w:sz w:val="22"/>
                <w:szCs w:val="22"/>
                <w:highlight w:val="none"/>
                <w:u w:val="none"/>
                <w:lang w:val="en-US" w:eastAsia="zh-CN"/>
              </w:rPr>
              <w:t>（1）本项目通过</w:t>
            </w:r>
            <w:r>
              <w:rPr>
                <w:rFonts w:hint="eastAsia" w:ascii="宋体" w:hAnsi="宋体" w:cs="宋体"/>
                <w:color w:val="auto"/>
                <w:sz w:val="22"/>
                <w:szCs w:val="22"/>
                <w:highlight w:val="none"/>
                <w:lang w:eastAsia="zh-CN"/>
              </w:rPr>
              <w:t>广西政府采购云平台</w:t>
            </w:r>
            <w:r>
              <w:rPr>
                <w:rFonts w:hint="eastAsia" w:eastAsia="宋体" w:cs="宋体"/>
                <w:i w:val="0"/>
                <w:caps w:val="0"/>
                <w:color w:val="auto"/>
                <w:spacing w:val="0"/>
                <w:sz w:val="22"/>
                <w:szCs w:val="22"/>
                <w:highlight w:val="none"/>
                <w:u w:val="none"/>
                <w:lang w:val="en-US" w:eastAsia="zh-CN"/>
              </w:rPr>
              <w:t>实行在线</w:t>
            </w:r>
            <w:r>
              <w:rPr>
                <w:rFonts w:hint="eastAsia" w:ascii="宋体" w:hAnsi="宋体" w:eastAsia="宋体" w:cs="宋体"/>
                <w:i w:val="0"/>
                <w:caps w:val="0"/>
                <w:color w:val="auto"/>
                <w:spacing w:val="0"/>
                <w:sz w:val="22"/>
                <w:szCs w:val="22"/>
                <w:highlight w:val="none"/>
                <w:u w:val="none"/>
              </w:rPr>
              <w:t>投标响应（电子投标），供应商需要先安装“</w:t>
            </w:r>
            <w:r>
              <w:rPr>
                <w:rFonts w:hint="eastAsia" w:ascii="宋体" w:hAnsi="宋体" w:cs="宋体"/>
                <w:color w:val="auto"/>
                <w:sz w:val="22"/>
                <w:szCs w:val="22"/>
                <w:highlight w:val="none"/>
                <w:lang w:eastAsia="zh-CN"/>
              </w:rPr>
              <w:t>广西政府采购云平台</w:t>
            </w:r>
            <w:r>
              <w:rPr>
                <w:rFonts w:hint="eastAsia" w:ascii="宋体" w:hAnsi="宋体" w:eastAsia="宋体" w:cs="宋体"/>
                <w:i w:val="0"/>
                <w:caps w:val="0"/>
                <w:color w:val="auto"/>
                <w:spacing w:val="0"/>
                <w:sz w:val="22"/>
                <w:szCs w:val="22"/>
                <w:highlight w:val="none"/>
                <w:u w:val="none"/>
              </w:rPr>
              <w:t>电子交易客户端”，并按照本谈判文件和</w:t>
            </w:r>
            <w:r>
              <w:rPr>
                <w:rFonts w:hint="eastAsia" w:ascii="宋体" w:hAnsi="宋体" w:cs="宋体"/>
                <w:color w:val="auto"/>
                <w:sz w:val="22"/>
                <w:szCs w:val="22"/>
                <w:highlight w:val="none"/>
                <w:lang w:eastAsia="zh-CN"/>
              </w:rPr>
              <w:t>广西政府采购云平台</w:t>
            </w:r>
            <w:r>
              <w:rPr>
                <w:rFonts w:hint="eastAsia" w:ascii="宋体" w:hAnsi="宋体" w:eastAsia="宋体" w:cs="宋体"/>
                <w:i w:val="0"/>
                <w:caps w:val="0"/>
                <w:color w:val="auto"/>
                <w:spacing w:val="0"/>
                <w:sz w:val="22"/>
                <w:szCs w:val="22"/>
                <w:highlight w:val="none"/>
                <w:u w:val="none"/>
              </w:rPr>
              <w:t>的要求，通过“</w:t>
            </w:r>
            <w:r>
              <w:rPr>
                <w:rFonts w:hint="eastAsia" w:ascii="宋体" w:hAnsi="宋体" w:cs="宋体"/>
                <w:color w:val="auto"/>
                <w:sz w:val="22"/>
                <w:szCs w:val="22"/>
                <w:highlight w:val="none"/>
                <w:lang w:eastAsia="zh-CN"/>
              </w:rPr>
              <w:t>广西政府采购云平台</w:t>
            </w:r>
            <w:r>
              <w:rPr>
                <w:rFonts w:hint="eastAsia" w:ascii="宋体" w:hAnsi="宋体" w:eastAsia="宋体" w:cs="宋体"/>
                <w:i w:val="0"/>
                <w:caps w:val="0"/>
                <w:color w:val="auto"/>
                <w:spacing w:val="0"/>
                <w:sz w:val="22"/>
                <w:szCs w:val="22"/>
                <w:highlight w:val="none"/>
                <w:u w:val="none"/>
              </w:rPr>
              <w:t>电子交易客户端”编制并加密投标文件。供应商未按规定编制并加密的投标文件，</w:t>
            </w:r>
            <w:r>
              <w:rPr>
                <w:rFonts w:hint="eastAsia" w:eastAsia="宋体" w:cs="宋体"/>
                <w:i w:val="0"/>
                <w:caps w:val="0"/>
                <w:color w:val="auto"/>
                <w:spacing w:val="0"/>
                <w:sz w:val="22"/>
                <w:szCs w:val="22"/>
                <w:highlight w:val="none"/>
                <w:u w:val="none"/>
                <w:lang w:eastAsia="zh-CN"/>
              </w:rPr>
              <w:t>广西政府采购云平台</w:t>
            </w:r>
            <w:r>
              <w:rPr>
                <w:rFonts w:hint="eastAsia" w:ascii="宋体" w:hAnsi="宋体" w:eastAsia="宋体" w:cs="宋体"/>
                <w:i w:val="0"/>
                <w:caps w:val="0"/>
                <w:color w:val="auto"/>
                <w:spacing w:val="0"/>
                <w:sz w:val="22"/>
                <w:szCs w:val="22"/>
                <w:highlight w:val="none"/>
                <w:u w:val="none"/>
              </w:rPr>
              <w:t>将予以拒收。</w:t>
            </w:r>
          </w:p>
          <w:p w14:paraId="2EC7ECE6">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宋体" w:hAnsi="宋体" w:eastAsia="宋体" w:cs="宋体"/>
                <w:i w:val="0"/>
                <w:caps w:val="0"/>
                <w:color w:val="auto"/>
                <w:spacing w:val="0"/>
                <w:sz w:val="22"/>
                <w:szCs w:val="22"/>
                <w:highlight w:val="none"/>
                <w:u w:val="none"/>
              </w:rPr>
            </w:pPr>
            <w:r>
              <w:rPr>
                <w:rFonts w:hint="eastAsia" w:ascii="宋体" w:hAnsi="宋体" w:eastAsia="宋体" w:cs="宋体"/>
                <w:i w:val="0"/>
                <w:caps w:val="0"/>
                <w:color w:val="auto"/>
                <w:spacing w:val="0"/>
                <w:sz w:val="22"/>
                <w:szCs w:val="22"/>
                <w:highlight w:val="none"/>
                <w:u w:val="none"/>
              </w:rPr>
              <w:t>“</w:t>
            </w:r>
            <w:r>
              <w:rPr>
                <w:rFonts w:hint="eastAsia" w:ascii="宋体" w:hAnsi="宋体" w:cs="宋体"/>
                <w:color w:val="auto"/>
                <w:sz w:val="22"/>
                <w:szCs w:val="22"/>
                <w:highlight w:val="none"/>
                <w:lang w:eastAsia="zh-CN"/>
              </w:rPr>
              <w:t>广西政府采购云平台</w:t>
            </w:r>
            <w:r>
              <w:rPr>
                <w:rFonts w:hint="eastAsia" w:ascii="宋体" w:hAnsi="宋体" w:eastAsia="宋体" w:cs="宋体"/>
                <w:i w:val="0"/>
                <w:caps w:val="0"/>
                <w:color w:val="auto"/>
                <w:spacing w:val="0"/>
                <w:sz w:val="22"/>
                <w:szCs w:val="22"/>
                <w:highlight w:val="none"/>
                <w:u w:val="none"/>
              </w:rPr>
              <w:t>电子交易客户端”请自行前往广西政府采购网下载并安装（http://zfcg.gxzf.gov.cn/OfficeService/DownloadArea/2455918.html?utm=sites_group_front.b8b6c91.0.0.c51f9820a48111eabb9bcbdf01af125e）；电子投标具体操作流程参考《政府采购项目电子交易管理操作指南-供应商》；在使用</w:t>
            </w:r>
            <w:r>
              <w:rPr>
                <w:rFonts w:hint="eastAsia" w:ascii="宋体" w:hAnsi="宋体" w:cs="宋体"/>
                <w:color w:val="auto"/>
                <w:sz w:val="22"/>
                <w:szCs w:val="22"/>
                <w:highlight w:val="none"/>
                <w:lang w:eastAsia="zh-CN"/>
              </w:rPr>
              <w:t>广西政府采购云平台</w:t>
            </w:r>
            <w:r>
              <w:rPr>
                <w:rFonts w:hint="eastAsia" w:ascii="宋体" w:hAnsi="宋体" w:eastAsia="宋体" w:cs="宋体"/>
                <w:i w:val="0"/>
                <w:caps w:val="0"/>
                <w:color w:val="auto"/>
                <w:spacing w:val="0"/>
                <w:sz w:val="22"/>
                <w:szCs w:val="22"/>
                <w:highlight w:val="none"/>
                <w:u w:val="none"/>
              </w:rPr>
              <w:t>投标客户端时，建议使用WIN7及以上操作系统,通过</w:t>
            </w:r>
            <w:r>
              <w:rPr>
                <w:rFonts w:hint="eastAsia" w:ascii="宋体" w:hAnsi="宋体" w:cs="宋体"/>
                <w:color w:val="auto"/>
                <w:sz w:val="22"/>
                <w:szCs w:val="22"/>
                <w:highlight w:val="none"/>
                <w:lang w:eastAsia="zh-CN"/>
              </w:rPr>
              <w:t>广西政府采购云平台</w:t>
            </w:r>
            <w:r>
              <w:rPr>
                <w:rFonts w:hint="eastAsia" w:ascii="宋体" w:hAnsi="宋体" w:eastAsia="宋体" w:cs="宋体"/>
                <w:i w:val="0"/>
                <w:caps w:val="0"/>
                <w:color w:val="auto"/>
                <w:spacing w:val="0"/>
                <w:sz w:val="22"/>
                <w:szCs w:val="22"/>
                <w:highlight w:val="none"/>
                <w:u w:val="none"/>
              </w:rPr>
              <w:t>参与在线投标时如遇平台技术问题详询</w:t>
            </w:r>
            <w:r>
              <w:rPr>
                <w:rFonts w:hint="eastAsia" w:eastAsia="宋体" w:cs="宋体"/>
                <w:i w:val="0"/>
                <w:caps w:val="0"/>
                <w:color w:val="auto"/>
                <w:spacing w:val="0"/>
                <w:sz w:val="22"/>
                <w:szCs w:val="22"/>
                <w:highlight w:val="none"/>
                <w:u w:val="none"/>
                <w:lang w:eastAsia="zh-CN"/>
              </w:rPr>
              <w:t>95763</w:t>
            </w:r>
            <w:r>
              <w:rPr>
                <w:rFonts w:hint="eastAsia" w:ascii="宋体" w:hAnsi="宋体" w:eastAsia="宋体" w:cs="宋体"/>
                <w:i w:val="0"/>
                <w:caps w:val="0"/>
                <w:color w:val="auto"/>
                <w:spacing w:val="0"/>
                <w:sz w:val="22"/>
                <w:szCs w:val="22"/>
                <w:highlight w:val="none"/>
                <w:u w:val="none"/>
              </w:rPr>
              <w:t>。</w:t>
            </w:r>
          </w:p>
          <w:p w14:paraId="4BF0CE69">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宋体" w:hAnsi="宋体" w:eastAsia="宋体" w:cs="宋体"/>
                <w:i w:val="0"/>
                <w:caps w:val="0"/>
                <w:color w:val="auto"/>
                <w:spacing w:val="0"/>
                <w:sz w:val="22"/>
                <w:szCs w:val="22"/>
                <w:highlight w:val="none"/>
                <w:u w:val="none"/>
                <w:lang w:eastAsia="zh-CN"/>
              </w:rPr>
            </w:pPr>
            <w:r>
              <w:rPr>
                <w:rFonts w:hint="eastAsia" w:ascii="宋体" w:hAnsi="宋体" w:eastAsia="宋体" w:cs="宋体"/>
                <w:i w:val="0"/>
                <w:caps w:val="0"/>
                <w:color w:val="auto"/>
                <w:spacing w:val="0"/>
                <w:sz w:val="22"/>
                <w:szCs w:val="22"/>
                <w:highlight w:val="none"/>
                <w:u w:val="none"/>
                <w:lang w:eastAsia="zh-CN"/>
              </w:rPr>
              <w:t>（</w:t>
            </w:r>
            <w:r>
              <w:rPr>
                <w:rFonts w:hint="eastAsia" w:ascii="宋体" w:hAnsi="宋体" w:eastAsia="宋体" w:cs="宋体"/>
                <w:i w:val="0"/>
                <w:caps w:val="0"/>
                <w:color w:val="auto"/>
                <w:spacing w:val="0"/>
                <w:sz w:val="22"/>
                <w:szCs w:val="22"/>
                <w:highlight w:val="none"/>
                <w:u w:val="none"/>
                <w:lang w:val="en-US" w:eastAsia="zh-CN"/>
              </w:rPr>
              <w:t>2</w:t>
            </w:r>
            <w:r>
              <w:rPr>
                <w:rFonts w:hint="eastAsia" w:ascii="宋体" w:hAnsi="宋体" w:eastAsia="宋体" w:cs="宋体"/>
                <w:i w:val="0"/>
                <w:caps w:val="0"/>
                <w:color w:val="auto"/>
                <w:spacing w:val="0"/>
                <w:sz w:val="22"/>
                <w:szCs w:val="22"/>
                <w:highlight w:val="none"/>
                <w:u w:val="none"/>
                <w:lang w:eastAsia="zh-CN"/>
              </w:rPr>
              <w:t>）</w:t>
            </w:r>
            <w:r>
              <w:rPr>
                <w:rFonts w:hint="eastAsia" w:ascii="宋体" w:hAnsi="宋体" w:eastAsia="宋体" w:cs="宋体"/>
                <w:i w:val="0"/>
                <w:caps w:val="0"/>
                <w:color w:val="auto"/>
                <w:spacing w:val="0"/>
                <w:sz w:val="22"/>
                <w:szCs w:val="22"/>
                <w:highlight w:val="none"/>
                <w:u w:val="none"/>
              </w:rPr>
              <w:t>为确保网上操作合法、有效和安全，谈判供应商应当在谈判截止时间前完成在“</w:t>
            </w:r>
            <w:r>
              <w:rPr>
                <w:rFonts w:hint="eastAsia" w:eastAsia="宋体" w:cs="宋体"/>
                <w:i w:val="0"/>
                <w:caps w:val="0"/>
                <w:color w:val="auto"/>
                <w:spacing w:val="0"/>
                <w:sz w:val="22"/>
                <w:szCs w:val="22"/>
                <w:highlight w:val="none"/>
                <w:u w:val="none"/>
                <w:lang w:eastAsia="zh-CN"/>
              </w:rPr>
              <w:t>广西</w:t>
            </w:r>
            <w:r>
              <w:rPr>
                <w:rFonts w:hint="eastAsia" w:ascii="宋体" w:hAnsi="宋体" w:eastAsia="宋体" w:cs="宋体"/>
                <w:i w:val="0"/>
                <w:caps w:val="0"/>
                <w:color w:val="auto"/>
                <w:spacing w:val="0"/>
                <w:sz w:val="22"/>
                <w:szCs w:val="22"/>
                <w:highlight w:val="none"/>
                <w:u w:val="none"/>
              </w:rPr>
              <w:t>政府采购云平台”的身份认证，确保在电子投标过程中能够对相关数据电文进行加密和使用电子签章。使用“</w:t>
            </w:r>
            <w:r>
              <w:rPr>
                <w:rFonts w:hint="eastAsia" w:ascii="宋体" w:hAnsi="宋体" w:cs="宋体"/>
                <w:color w:val="auto"/>
                <w:sz w:val="22"/>
                <w:szCs w:val="22"/>
                <w:highlight w:val="none"/>
                <w:lang w:eastAsia="zh-CN"/>
              </w:rPr>
              <w:t>广西政府采购云平台</w:t>
            </w:r>
            <w:r>
              <w:rPr>
                <w:rFonts w:hint="eastAsia" w:ascii="宋体" w:hAnsi="宋体" w:eastAsia="宋体" w:cs="宋体"/>
                <w:i w:val="0"/>
                <w:caps w:val="0"/>
                <w:color w:val="auto"/>
                <w:spacing w:val="0"/>
                <w:sz w:val="22"/>
                <w:szCs w:val="22"/>
                <w:highlight w:val="none"/>
                <w:u w:val="none"/>
              </w:rPr>
              <w:t>电子交易客户端”需要提前申领CA数字证书，申领流程请自行前往“北海市政府采购中心网站-相关下载- CA证书办理操作指南”进行查阅</w:t>
            </w:r>
            <w:r>
              <w:rPr>
                <w:rFonts w:hint="eastAsia" w:ascii="宋体" w:hAnsi="宋体" w:eastAsia="宋体" w:cs="宋体"/>
                <w:i w:val="0"/>
                <w:caps w:val="0"/>
                <w:color w:val="auto"/>
                <w:spacing w:val="0"/>
                <w:sz w:val="22"/>
                <w:szCs w:val="22"/>
                <w:highlight w:val="none"/>
                <w:u w:val="none"/>
                <w:lang w:eastAsia="zh-CN"/>
              </w:rPr>
              <w:t>；</w:t>
            </w:r>
          </w:p>
          <w:p w14:paraId="6823E33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宋体" w:hAnsi="宋体" w:eastAsia="宋体" w:cs="宋体"/>
                <w:i w:val="0"/>
                <w:caps w:val="0"/>
                <w:color w:val="auto"/>
                <w:spacing w:val="0"/>
                <w:sz w:val="22"/>
                <w:szCs w:val="22"/>
                <w:highlight w:val="none"/>
                <w:u w:val="none"/>
                <w:lang w:eastAsia="zh-CN"/>
              </w:rPr>
            </w:pPr>
            <w:r>
              <w:rPr>
                <w:rFonts w:hint="eastAsia" w:ascii="宋体" w:hAnsi="宋体" w:eastAsia="宋体" w:cs="宋体"/>
                <w:i w:val="0"/>
                <w:caps w:val="0"/>
                <w:color w:val="auto"/>
                <w:spacing w:val="0"/>
                <w:sz w:val="22"/>
                <w:szCs w:val="22"/>
                <w:highlight w:val="none"/>
                <w:u w:val="none"/>
                <w:lang w:eastAsia="zh-CN"/>
              </w:rPr>
              <w:t>（</w:t>
            </w:r>
            <w:r>
              <w:rPr>
                <w:rFonts w:hint="eastAsia" w:ascii="宋体" w:hAnsi="宋体" w:eastAsia="宋体" w:cs="宋体"/>
                <w:i w:val="0"/>
                <w:caps w:val="0"/>
                <w:color w:val="auto"/>
                <w:spacing w:val="0"/>
                <w:sz w:val="22"/>
                <w:szCs w:val="22"/>
                <w:highlight w:val="none"/>
                <w:u w:val="none"/>
                <w:lang w:val="en-US" w:eastAsia="zh-CN"/>
              </w:rPr>
              <w:t>3</w:t>
            </w:r>
            <w:r>
              <w:rPr>
                <w:rFonts w:hint="eastAsia" w:ascii="宋体" w:hAnsi="宋体" w:eastAsia="宋体" w:cs="宋体"/>
                <w:i w:val="0"/>
                <w:caps w:val="0"/>
                <w:color w:val="auto"/>
                <w:spacing w:val="0"/>
                <w:sz w:val="22"/>
                <w:szCs w:val="22"/>
                <w:highlight w:val="none"/>
                <w:u w:val="none"/>
                <w:lang w:eastAsia="zh-CN"/>
              </w:rPr>
              <w:t>）谈判供应商应当在谈判截止时间前，将生成的“电子谈判响应文件”上传递交至</w:t>
            </w:r>
            <w:r>
              <w:rPr>
                <w:rFonts w:hint="eastAsia" w:ascii="宋体" w:hAnsi="宋体" w:cs="宋体"/>
                <w:color w:val="auto"/>
                <w:sz w:val="22"/>
                <w:szCs w:val="22"/>
                <w:highlight w:val="none"/>
                <w:lang w:eastAsia="zh-CN"/>
              </w:rPr>
              <w:t>广西政府采购云平台</w:t>
            </w:r>
            <w:r>
              <w:rPr>
                <w:rFonts w:hint="eastAsia" w:ascii="宋体" w:hAnsi="宋体" w:eastAsia="宋体" w:cs="宋体"/>
                <w:i w:val="0"/>
                <w:caps w:val="0"/>
                <w:color w:val="auto"/>
                <w:spacing w:val="0"/>
                <w:sz w:val="22"/>
                <w:szCs w:val="22"/>
                <w:highlight w:val="none"/>
                <w:u w:val="none"/>
                <w:lang w:eastAsia="zh-CN"/>
              </w:rPr>
              <w:t>。谈判截止时间前可以补充、修改或者撤回电子谈判响应文件。补充或者修改电子谈判响应文件的，应当先行撤回原文件，补充、修改后重新传输递交，谈判截止时间前未完成传输的，视为撤回谈判响应文件。</w:t>
            </w:r>
          </w:p>
          <w:p w14:paraId="78798849">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宋体" w:hAnsi="宋体" w:eastAsia="宋体" w:cs="宋体"/>
                <w:i w:val="0"/>
                <w:caps w:val="0"/>
                <w:color w:val="auto"/>
                <w:spacing w:val="0"/>
                <w:sz w:val="22"/>
                <w:szCs w:val="22"/>
                <w:highlight w:val="none"/>
                <w:u w:val="none"/>
              </w:rPr>
            </w:pPr>
            <w:r>
              <w:rPr>
                <w:rFonts w:hint="eastAsia" w:eastAsia="宋体" w:cs="宋体"/>
                <w:i w:val="0"/>
                <w:caps w:val="0"/>
                <w:color w:val="auto"/>
                <w:spacing w:val="0"/>
                <w:sz w:val="22"/>
                <w:szCs w:val="22"/>
                <w:highlight w:val="none"/>
                <w:u w:val="none"/>
                <w:lang w:eastAsia="zh-CN"/>
              </w:rPr>
              <w:t>（</w:t>
            </w:r>
            <w:r>
              <w:rPr>
                <w:rFonts w:hint="eastAsia" w:eastAsia="宋体" w:cs="宋体"/>
                <w:i w:val="0"/>
                <w:caps w:val="0"/>
                <w:color w:val="auto"/>
                <w:spacing w:val="0"/>
                <w:sz w:val="22"/>
                <w:szCs w:val="22"/>
                <w:highlight w:val="none"/>
                <w:u w:val="none"/>
                <w:lang w:val="en-US" w:eastAsia="zh-CN"/>
              </w:rPr>
              <w:t>4</w:t>
            </w:r>
            <w:r>
              <w:rPr>
                <w:rFonts w:hint="eastAsia" w:eastAsia="宋体" w:cs="宋体"/>
                <w:i w:val="0"/>
                <w:caps w:val="0"/>
                <w:color w:val="auto"/>
                <w:spacing w:val="0"/>
                <w:sz w:val="22"/>
                <w:szCs w:val="22"/>
                <w:highlight w:val="none"/>
                <w:u w:val="none"/>
                <w:lang w:eastAsia="zh-CN"/>
              </w:rPr>
              <w:t>）</w:t>
            </w:r>
            <w:r>
              <w:rPr>
                <w:rFonts w:hint="eastAsia" w:ascii="宋体" w:hAnsi="宋体" w:eastAsia="宋体" w:cs="宋体"/>
                <w:i w:val="0"/>
                <w:caps w:val="0"/>
                <w:color w:val="auto"/>
                <w:spacing w:val="0"/>
                <w:sz w:val="22"/>
                <w:szCs w:val="22"/>
                <w:highlight w:val="none"/>
                <w:u w:val="none"/>
              </w:rPr>
              <w:t>谈判供应商可以提供以介质（U盘或光盘等）存储的数据电文形成的电子备份谈判响应文件。电子备份谈判响应文件应当在谈判截止时间前按要求密封并送达</w:t>
            </w:r>
            <w:r>
              <w:rPr>
                <w:rFonts w:hint="eastAsia" w:eastAsia="宋体" w:cs="宋体"/>
                <w:i w:val="0"/>
                <w:caps w:val="0"/>
                <w:color w:val="auto"/>
                <w:spacing w:val="0"/>
                <w:sz w:val="22"/>
                <w:szCs w:val="22"/>
                <w:highlight w:val="none"/>
                <w:u w:val="none"/>
                <w:lang w:eastAsia="zh-CN"/>
              </w:rPr>
              <w:t>广西中之元工程管理有限公司（广西合浦县文昌新城2栋9号楼）</w:t>
            </w:r>
            <w:r>
              <w:rPr>
                <w:rFonts w:hint="eastAsia" w:ascii="宋体" w:hAnsi="宋体" w:eastAsia="宋体" w:cs="宋体"/>
                <w:i w:val="0"/>
                <w:caps w:val="0"/>
                <w:color w:val="auto"/>
                <w:spacing w:val="0"/>
                <w:sz w:val="22"/>
                <w:szCs w:val="22"/>
                <w:highlight w:val="none"/>
                <w:u w:val="none"/>
              </w:rPr>
              <w:t>，逾期送达或未按要求密封将被拒收。电子备份谈判响应文件应当密封包装并在包装上标注投标项目名称、谈判供应商名称并加盖公章。</w:t>
            </w:r>
          </w:p>
          <w:p w14:paraId="4446192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宋体" w:hAnsi="宋体" w:eastAsia="宋体" w:cs="宋体"/>
                <w:i w:val="0"/>
                <w:caps w:val="0"/>
                <w:color w:val="auto"/>
                <w:spacing w:val="0"/>
                <w:sz w:val="22"/>
                <w:szCs w:val="22"/>
                <w:highlight w:val="none"/>
                <w:u w:val="none"/>
              </w:rPr>
            </w:pPr>
            <w:r>
              <w:rPr>
                <w:rFonts w:hint="eastAsia" w:ascii="宋体" w:hAnsi="宋体" w:eastAsia="宋体" w:cs="宋体"/>
                <w:i w:val="0"/>
                <w:caps w:val="0"/>
                <w:color w:val="auto"/>
                <w:spacing w:val="0"/>
                <w:sz w:val="22"/>
                <w:szCs w:val="22"/>
                <w:highlight w:val="none"/>
                <w:u w:val="none"/>
              </w:rPr>
              <w:t>邮寄地址：</w:t>
            </w:r>
            <w:r>
              <w:rPr>
                <w:rFonts w:hint="eastAsia" w:eastAsia="宋体" w:cs="宋体"/>
                <w:i w:val="0"/>
                <w:caps w:val="0"/>
                <w:color w:val="auto"/>
                <w:spacing w:val="0"/>
                <w:sz w:val="22"/>
                <w:szCs w:val="22"/>
                <w:highlight w:val="none"/>
                <w:u w:val="none"/>
                <w:lang w:eastAsia="zh-CN"/>
              </w:rPr>
              <w:t>北海市</w:t>
            </w:r>
            <w:r>
              <w:rPr>
                <w:rFonts w:hint="eastAsia" w:ascii="宋体" w:hAnsi="宋体" w:eastAsia="宋体" w:cs="宋体"/>
                <w:i w:val="0"/>
                <w:caps w:val="0"/>
                <w:color w:val="auto"/>
                <w:spacing w:val="0"/>
                <w:sz w:val="22"/>
                <w:szCs w:val="22"/>
                <w:highlight w:val="none"/>
                <w:u w:val="none"/>
              </w:rPr>
              <w:t>合浦县</w:t>
            </w:r>
            <w:r>
              <w:rPr>
                <w:rFonts w:hint="eastAsia" w:eastAsia="宋体" w:cs="宋体"/>
                <w:i w:val="0"/>
                <w:caps w:val="0"/>
                <w:color w:val="auto"/>
                <w:spacing w:val="0"/>
                <w:sz w:val="22"/>
                <w:szCs w:val="22"/>
                <w:highlight w:val="none"/>
                <w:u w:val="none"/>
                <w:lang w:eastAsia="zh-CN"/>
              </w:rPr>
              <w:t>廉州镇</w:t>
            </w:r>
            <w:r>
              <w:rPr>
                <w:rFonts w:hint="eastAsia" w:ascii="宋体" w:hAnsi="宋体" w:eastAsia="宋体" w:cs="宋体"/>
                <w:i w:val="0"/>
                <w:caps w:val="0"/>
                <w:color w:val="auto"/>
                <w:spacing w:val="0"/>
                <w:sz w:val="22"/>
                <w:szCs w:val="22"/>
                <w:highlight w:val="none"/>
                <w:u w:val="none"/>
              </w:rPr>
              <w:t>文昌新城2栋9号楼，联系人：</w:t>
            </w:r>
            <w:r>
              <w:rPr>
                <w:rFonts w:hint="eastAsia" w:eastAsia="宋体" w:cs="宋体"/>
                <w:i w:val="0"/>
                <w:caps w:val="0"/>
                <w:color w:val="auto"/>
                <w:spacing w:val="0"/>
                <w:sz w:val="22"/>
                <w:szCs w:val="22"/>
                <w:highlight w:val="none"/>
                <w:u w:val="none"/>
                <w:lang w:eastAsia="zh-CN"/>
              </w:rPr>
              <w:t>庞工</w:t>
            </w:r>
            <w:r>
              <w:rPr>
                <w:rFonts w:hint="eastAsia" w:ascii="宋体" w:hAnsi="宋体" w:eastAsia="宋体" w:cs="宋体"/>
                <w:i w:val="0"/>
                <w:caps w:val="0"/>
                <w:color w:val="auto"/>
                <w:spacing w:val="0"/>
                <w:sz w:val="22"/>
                <w:szCs w:val="22"/>
                <w:highlight w:val="none"/>
                <w:u w:val="none"/>
              </w:rPr>
              <w:t>，电话：</w:t>
            </w:r>
            <w:r>
              <w:rPr>
                <w:rFonts w:hint="eastAsia" w:eastAsia="宋体" w:cs="宋体"/>
                <w:i w:val="0"/>
                <w:caps w:val="0"/>
                <w:color w:val="auto"/>
                <w:spacing w:val="0"/>
                <w:sz w:val="22"/>
                <w:szCs w:val="22"/>
                <w:highlight w:val="none"/>
                <w:u w:val="none"/>
                <w:lang w:eastAsia="zh-CN"/>
              </w:rPr>
              <w:t>0779-7200788</w:t>
            </w:r>
            <w:r>
              <w:rPr>
                <w:rFonts w:hint="eastAsia" w:ascii="宋体" w:hAnsi="宋体" w:eastAsia="宋体" w:cs="宋体"/>
                <w:i w:val="0"/>
                <w:caps w:val="0"/>
                <w:color w:val="auto"/>
                <w:spacing w:val="0"/>
                <w:sz w:val="22"/>
                <w:szCs w:val="22"/>
                <w:highlight w:val="none"/>
                <w:u w:val="none"/>
              </w:rPr>
              <w:t>。</w:t>
            </w:r>
          </w:p>
          <w:p w14:paraId="17C59BB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宋体" w:hAnsi="宋体" w:eastAsia="宋体" w:cs="宋体"/>
                <w:i w:val="0"/>
                <w:caps w:val="0"/>
                <w:color w:val="auto"/>
                <w:spacing w:val="0"/>
                <w:sz w:val="22"/>
                <w:szCs w:val="22"/>
                <w:highlight w:val="none"/>
                <w:u w:val="none"/>
              </w:rPr>
            </w:pPr>
            <w:r>
              <w:rPr>
                <w:rFonts w:hint="eastAsia" w:ascii="宋体" w:hAnsi="宋体" w:eastAsia="宋体" w:cs="宋体"/>
                <w:i w:val="0"/>
                <w:caps w:val="0"/>
                <w:color w:val="auto"/>
                <w:spacing w:val="0"/>
                <w:sz w:val="22"/>
                <w:szCs w:val="22"/>
                <w:highlight w:val="none"/>
                <w:u w:val="none"/>
              </w:rPr>
              <w:t>拒收到付邮件，通过邮寄方式送达的，请合理安排邮寄时间，因邮寄原因未能在规定时间内送达的后果由投标供应商自行承担。</w:t>
            </w:r>
          </w:p>
          <w:p w14:paraId="32C0300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宋体" w:hAnsi="宋体" w:cs="宋体"/>
                <w:color w:val="auto"/>
                <w:sz w:val="22"/>
                <w:szCs w:val="22"/>
                <w:highlight w:val="none"/>
              </w:rPr>
            </w:pPr>
            <w:r>
              <w:rPr>
                <w:rFonts w:hint="eastAsia" w:eastAsia="宋体" w:cs="宋体"/>
                <w:i w:val="0"/>
                <w:caps w:val="0"/>
                <w:color w:val="auto"/>
                <w:spacing w:val="0"/>
                <w:sz w:val="22"/>
                <w:szCs w:val="22"/>
                <w:highlight w:val="none"/>
                <w:u w:val="none"/>
                <w:lang w:eastAsia="zh-CN"/>
              </w:rPr>
              <w:t>（</w:t>
            </w:r>
            <w:r>
              <w:rPr>
                <w:rFonts w:hint="eastAsia" w:eastAsia="宋体" w:cs="宋体"/>
                <w:i w:val="0"/>
                <w:caps w:val="0"/>
                <w:color w:val="auto"/>
                <w:spacing w:val="0"/>
                <w:sz w:val="22"/>
                <w:szCs w:val="22"/>
                <w:highlight w:val="none"/>
                <w:u w:val="none"/>
                <w:lang w:val="en-US" w:eastAsia="zh-CN"/>
              </w:rPr>
              <w:t>5</w:t>
            </w:r>
            <w:r>
              <w:rPr>
                <w:rFonts w:hint="eastAsia" w:eastAsia="宋体" w:cs="宋体"/>
                <w:i w:val="0"/>
                <w:caps w:val="0"/>
                <w:color w:val="auto"/>
                <w:spacing w:val="0"/>
                <w:sz w:val="22"/>
                <w:szCs w:val="22"/>
                <w:highlight w:val="none"/>
                <w:u w:val="none"/>
                <w:lang w:eastAsia="zh-CN"/>
              </w:rPr>
              <w:t>）通过“</w:t>
            </w:r>
            <w:r>
              <w:rPr>
                <w:rFonts w:hint="eastAsia" w:ascii="宋体" w:hAnsi="宋体" w:cs="宋体"/>
                <w:color w:val="auto"/>
                <w:sz w:val="22"/>
                <w:szCs w:val="22"/>
                <w:highlight w:val="none"/>
                <w:lang w:eastAsia="zh-CN"/>
              </w:rPr>
              <w:t>广西政府采购云平台</w:t>
            </w:r>
            <w:r>
              <w:rPr>
                <w:rFonts w:hint="eastAsia" w:eastAsia="宋体" w:cs="宋体"/>
                <w:i w:val="0"/>
                <w:caps w:val="0"/>
                <w:color w:val="auto"/>
                <w:spacing w:val="0"/>
                <w:sz w:val="22"/>
                <w:szCs w:val="22"/>
                <w:highlight w:val="none"/>
                <w:u w:val="none"/>
                <w:lang w:eastAsia="zh-CN"/>
              </w:rPr>
              <w:t>”上传递交的“电子加密谈判响应文件”无法按时解密，</w:t>
            </w:r>
            <w:r>
              <w:rPr>
                <w:rFonts w:hint="eastAsia" w:ascii="宋体" w:hAnsi="宋体" w:eastAsia="宋体" w:cs="宋体"/>
                <w:i w:val="0"/>
                <w:caps w:val="0"/>
                <w:color w:val="auto"/>
                <w:spacing w:val="0"/>
                <w:sz w:val="22"/>
                <w:szCs w:val="22"/>
                <w:highlight w:val="none"/>
                <w:u w:val="none"/>
              </w:rPr>
              <w:t>谈判供应商</w:t>
            </w:r>
            <w:r>
              <w:rPr>
                <w:rFonts w:hint="eastAsia" w:eastAsia="宋体" w:cs="宋体"/>
                <w:i w:val="0"/>
                <w:caps w:val="0"/>
                <w:color w:val="auto"/>
                <w:spacing w:val="0"/>
                <w:sz w:val="22"/>
                <w:szCs w:val="22"/>
                <w:highlight w:val="none"/>
                <w:u w:val="none"/>
                <w:lang w:eastAsia="zh-CN"/>
              </w:rPr>
              <w:t>递交了电子备份谈判响应文件的，以电子备份谈判响应文件为依据，否则视为谈判响应文件撤回。通过</w:t>
            </w:r>
            <w:r>
              <w:rPr>
                <w:rFonts w:hint="eastAsia" w:ascii="宋体" w:hAnsi="宋体" w:cs="宋体"/>
                <w:color w:val="auto"/>
                <w:sz w:val="22"/>
                <w:szCs w:val="22"/>
                <w:highlight w:val="none"/>
                <w:lang w:eastAsia="zh-CN"/>
              </w:rPr>
              <w:t>广西政府采购云平台</w:t>
            </w:r>
            <w:r>
              <w:rPr>
                <w:rFonts w:hint="eastAsia" w:eastAsia="宋体" w:cs="宋体"/>
                <w:i w:val="0"/>
                <w:caps w:val="0"/>
                <w:color w:val="auto"/>
                <w:spacing w:val="0"/>
                <w:sz w:val="22"/>
                <w:szCs w:val="22"/>
                <w:highlight w:val="none"/>
                <w:u w:val="none"/>
                <w:lang w:eastAsia="zh-CN"/>
              </w:rPr>
              <w:t>上传递交的电子加密谈判响应文件已按时解密的，电子备份谈判响应文件自动失效。</w:t>
            </w:r>
            <w:r>
              <w:rPr>
                <w:rFonts w:hint="eastAsia" w:ascii="宋体" w:hAnsi="宋体" w:eastAsia="宋体" w:cs="宋体"/>
                <w:i w:val="0"/>
                <w:caps w:val="0"/>
                <w:color w:val="auto"/>
                <w:spacing w:val="0"/>
                <w:sz w:val="22"/>
                <w:szCs w:val="22"/>
                <w:highlight w:val="none"/>
                <w:u w:val="none"/>
              </w:rPr>
              <w:t>谈判供应商</w:t>
            </w:r>
            <w:r>
              <w:rPr>
                <w:rFonts w:hint="eastAsia" w:eastAsia="宋体" w:cs="宋体"/>
                <w:i w:val="0"/>
                <w:caps w:val="0"/>
                <w:color w:val="auto"/>
                <w:spacing w:val="0"/>
                <w:sz w:val="22"/>
                <w:szCs w:val="22"/>
                <w:highlight w:val="none"/>
                <w:u w:val="none"/>
                <w:lang w:eastAsia="zh-CN"/>
              </w:rPr>
              <w:t>仅递交电子备份谈判响应文件的，谈判无效。</w:t>
            </w:r>
          </w:p>
        </w:tc>
      </w:tr>
    </w:tbl>
    <w:p w14:paraId="19A78E52">
      <w:pPr>
        <w:pStyle w:val="2"/>
        <w:numPr>
          <w:ilvl w:val="0"/>
          <w:numId w:val="0"/>
        </w:numPr>
        <w:spacing w:line="360" w:lineRule="auto"/>
        <w:ind w:leftChars="0"/>
        <w:jc w:val="both"/>
        <w:rPr>
          <w:rFonts w:hint="eastAsia" w:ascii="宋体" w:hAnsi="宋体" w:eastAsia="宋体" w:cs="宋体"/>
          <w:color w:val="auto"/>
          <w:sz w:val="28"/>
          <w:szCs w:val="28"/>
          <w:highlight w:val="none"/>
          <w:lang w:val="en-US" w:eastAsia="zh-CN"/>
        </w:rPr>
      </w:pPr>
    </w:p>
    <w:p w14:paraId="43E69DF2">
      <w:pPr>
        <w:rPr>
          <w:rFonts w:hint="default"/>
          <w:color w:val="auto"/>
          <w:highlight w:val="none"/>
          <w:lang w:val="en-US" w:eastAsia="zh-CN"/>
        </w:rPr>
      </w:pPr>
      <w:r>
        <w:rPr>
          <w:rFonts w:hint="default"/>
          <w:color w:val="auto"/>
          <w:highlight w:val="none"/>
          <w:lang w:val="en-US" w:eastAsia="zh-CN"/>
        </w:rPr>
        <w:br w:type="page"/>
      </w:r>
    </w:p>
    <w:p w14:paraId="6C77C5D4">
      <w:pPr>
        <w:pStyle w:val="2"/>
        <w:numPr>
          <w:ilvl w:val="0"/>
          <w:numId w:val="0"/>
        </w:numPr>
        <w:ind w:leftChars="0"/>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谈判供应商须知</w:t>
      </w:r>
    </w:p>
    <w:p w14:paraId="3B409C66">
      <w:pPr>
        <w:adjustRightInd w:val="0"/>
        <w:snapToGrid w:val="0"/>
        <w:spacing w:line="360" w:lineRule="exact"/>
        <w:ind w:firstLine="442" w:firstLineChars="200"/>
        <w:rPr>
          <w:rFonts w:hint="eastAsia" w:ascii="宋体" w:hAnsi="宋体" w:cs="宋体"/>
          <w:b/>
          <w:color w:val="auto"/>
          <w:sz w:val="22"/>
          <w:szCs w:val="22"/>
          <w:highlight w:val="none"/>
        </w:rPr>
      </w:pPr>
    </w:p>
    <w:p w14:paraId="32FDDB61">
      <w:pPr>
        <w:adjustRightInd w:val="0"/>
        <w:snapToGrid w:val="0"/>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一.总　则</w:t>
      </w:r>
    </w:p>
    <w:p w14:paraId="3C648D03">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 适用范围</w:t>
      </w:r>
    </w:p>
    <w:p w14:paraId="07CF4926">
      <w:pPr>
        <w:pStyle w:val="10"/>
        <w:adjustRightInd w:val="0"/>
        <w:snapToGrid w:val="0"/>
        <w:spacing w:line="360" w:lineRule="auto"/>
        <w:rPr>
          <w:rFonts w:hint="eastAsia" w:hAnsi="宋体" w:eastAsia="宋体" w:cs="宋体"/>
          <w:color w:val="auto"/>
          <w:sz w:val="22"/>
          <w:szCs w:val="22"/>
          <w:highlight w:val="none"/>
          <w:lang w:eastAsia="zh-CN"/>
        </w:rPr>
      </w:pPr>
      <w:r>
        <w:rPr>
          <w:rFonts w:hint="eastAsia" w:hAnsi="宋体" w:cs="宋体"/>
          <w:color w:val="auto"/>
          <w:sz w:val="22"/>
          <w:szCs w:val="22"/>
          <w:highlight w:val="none"/>
        </w:rPr>
        <w:t xml:space="preserve">    1.1项目名称</w:t>
      </w:r>
      <w:r>
        <w:rPr>
          <w:rFonts w:hint="eastAsia" w:ascii="宋体" w:hAnsi="宋体" w:cs="宋体"/>
          <w:color w:val="auto"/>
          <w:kern w:val="2"/>
          <w:sz w:val="22"/>
          <w:szCs w:val="22"/>
          <w:highlight w:val="none"/>
          <w:lang w:val="en-US" w:eastAsia="zh-CN" w:bidi="ar-SA"/>
        </w:rPr>
        <w:t>：</w:t>
      </w:r>
      <w:r>
        <w:rPr>
          <w:rFonts w:hint="eastAsia" w:hAnsi="宋体" w:cs="宋体"/>
          <w:color w:val="auto"/>
          <w:kern w:val="2"/>
          <w:sz w:val="22"/>
          <w:szCs w:val="22"/>
          <w:highlight w:val="none"/>
          <w:lang w:val="en-US" w:eastAsia="zh-CN" w:bidi="ar-SA"/>
        </w:rPr>
        <w:t>皮肤科医疗设备</w:t>
      </w:r>
    </w:p>
    <w:p w14:paraId="5A7D567C">
      <w:pPr>
        <w:pStyle w:val="10"/>
        <w:adjustRightInd w:val="0"/>
        <w:snapToGrid w:val="0"/>
        <w:spacing w:line="360" w:lineRule="auto"/>
        <w:ind w:firstLine="871" w:firstLineChars="396"/>
        <w:rPr>
          <w:rFonts w:hint="eastAsia" w:hAnsi="宋体" w:cs="宋体"/>
          <w:color w:val="auto"/>
          <w:sz w:val="22"/>
          <w:szCs w:val="22"/>
          <w:highlight w:val="none"/>
        </w:rPr>
      </w:pPr>
      <w:r>
        <w:rPr>
          <w:rFonts w:hint="eastAsia" w:hAnsi="宋体" w:cs="宋体"/>
          <w:color w:val="auto"/>
          <w:sz w:val="22"/>
          <w:szCs w:val="22"/>
          <w:highlight w:val="none"/>
        </w:rPr>
        <w:t>项目编号</w:t>
      </w:r>
      <w:r>
        <w:rPr>
          <w:rFonts w:hint="eastAsia" w:hAnsi="宋体" w:cs="宋体"/>
          <w:color w:val="auto"/>
          <w:sz w:val="22"/>
          <w:szCs w:val="22"/>
          <w:highlight w:val="none"/>
          <w:lang w:eastAsia="zh-CN"/>
        </w:rPr>
        <w:t>：BHZC2025-J1-210223-ZZYG</w:t>
      </w:r>
    </w:p>
    <w:p w14:paraId="70FC6845">
      <w:pPr>
        <w:adjustRightInd w:val="0"/>
        <w:snapToGrid w:val="0"/>
        <w:spacing w:line="360" w:lineRule="auto"/>
        <w:ind w:firstLine="880" w:firstLineChars="400"/>
        <w:rPr>
          <w:rFonts w:hint="eastAsia" w:ascii="宋体" w:hAnsi="宋体" w:cs="宋体"/>
          <w:color w:val="auto"/>
          <w:sz w:val="22"/>
          <w:szCs w:val="22"/>
          <w:highlight w:val="none"/>
        </w:rPr>
      </w:pPr>
      <w:r>
        <w:rPr>
          <w:rFonts w:hint="eastAsia" w:ascii="宋体" w:hAnsi="宋体" w:cs="宋体"/>
          <w:color w:val="auto"/>
          <w:sz w:val="22"/>
          <w:szCs w:val="22"/>
          <w:highlight w:val="none"/>
        </w:rPr>
        <w:t>本文件仅适用于本文件中所叙述的货物类政府采购项目。</w:t>
      </w:r>
    </w:p>
    <w:p w14:paraId="1D60E7DD">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 定义</w:t>
      </w:r>
    </w:p>
    <w:p w14:paraId="0F5F8BDB">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2.1“采购人”是指：</w:t>
      </w:r>
      <w:r>
        <w:rPr>
          <w:rFonts w:hint="eastAsia" w:ascii="宋体" w:hAnsi="宋体" w:cs="宋体"/>
          <w:color w:val="auto"/>
          <w:sz w:val="22"/>
          <w:szCs w:val="22"/>
          <w:highlight w:val="none"/>
          <w:lang w:eastAsia="zh-CN"/>
        </w:rPr>
        <w:t>合浦县妇幼保健院</w:t>
      </w:r>
      <w:r>
        <w:rPr>
          <w:rFonts w:hint="eastAsia" w:ascii="宋体" w:hAnsi="宋体" w:cs="宋体"/>
          <w:color w:val="auto"/>
          <w:sz w:val="22"/>
          <w:szCs w:val="22"/>
          <w:highlight w:val="none"/>
        </w:rPr>
        <w:t>。</w:t>
      </w:r>
    </w:p>
    <w:p w14:paraId="2DAC602F">
      <w:pPr>
        <w:adjustRightInd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2.2“采购代理机构”是指：</w:t>
      </w:r>
      <w:r>
        <w:rPr>
          <w:rFonts w:hint="eastAsia" w:ascii="宋体" w:hAnsi="宋体" w:cs="宋体"/>
          <w:color w:val="auto"/>
          <w:sz w:val="22"/>
          <w:szCs w:val="22"/>
          <w:highlight w:val="none"/>
          <w:lang w:eastAsia="zh-CN"/>
        </w:rPr>
        <w:t>广西中之元工程管理有限公司</w:t>
      </w:r>
      <w:r>
        <w:rPr>
          <w:rFonts w:hint="eastAsia" w:ascii="宋体" w:hAnsi="宋体" w:cs="宋体"/>
          <w:color w:val="auto"/>
          <w:sz w:val="22"/>
          <w:szCs w:val="22"/>
          <w:highlight w:val="none"/>
        </w:rPr>
        <w:t>。</w:t>
      </w:r>
    </w:p>
    <w:p w14:paraId="0212924C">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2.3“谈判供应商”是指响应本文件要求，参加谈判的法人或者其他组织和自然人。如果该供应商在本次谈判中成交,即成为“成交供应商”。</w:t>
      </w:r>
    </w:p>
    <w:p w14:paraId="60ED1DC0">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2.4“货物”是指各种形态和种类的物品，包括原材料、燃料、设备、产品等。</w:t>
      </w:r>
    </w:p>
    <w:p w14:paraId="3BBFBFE3">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2.5“服务”是指除货物和工程以外的其他政府采购对象。</w:t>
      </w:r>
    </w:p>
    <w:p w14:paraId="2DE41064">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2.6“竞争性谈判响应文件”是指：供应商根据本文件要求，编制包含报价、技术和服务等所有内容的文件。</w:t>
      </w:r>
    </w:p>
    <w:p w14:paraId="701BCFB1">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2.7“▲”系指实质性要求条款。</w:t>
      </w:r>
    </w:p>
    <w:p w14:paraId="3E482688">
      <w:pPr>
        <w:adjustRightInd w:val="0"/>
        <w:snapToGrid w:val="0"/>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3. 谈判供应商的基本条件</w:t>
      </w:r>
    </w:p>
    <w:p w14:paraId="05BAAFA1">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3.1谈判供应商资格：具备《中华人民共和国政府采购法》第二十二条</w:t>
      </w:r>
      <w:r>
        <w:rPr>
          <w:rFonts w:hint="eastAsia" w:ascii="宋体" w:hAnsi="宋体" w:cs="宋体"/>
          <w:color w:val="auto"/>
          <w:kern w:val="0"/>
          <w:sz w:val="22"/>
          <w:szCs w:val="22"/>
          <w:highlight w:val="none"/>
        </w:rPr>
        <w:t>【（一）具有独立承</w:t>
      </w:r>
      <w:r>
        <w:rPr>
          <w:rFonts w:hint="eastAsia" w:ascii="宋体" w:hAnsi="宋体" w:cs="宋体"/>
          <w:color w:val="auto"/>
          <w:kern w:val="0"/>
          <w:sz w:val="22"/>
          <w:szCs w:val="22"/>
          <w:highlight w:val="none"/>
          <w:lang w:eastAsia="zh-CN"/>
        </w:rPr>
        <w:t>担</w:t>
      </w:r>
      <w:r>
        <w:rPr>
          <w:rFonts w:hint="eastAsia" w:ascii="宋体" w:hAnsi="宋体" w:cs="宋体"/>
          <w:color w:val="auto"/>
          <w:kern w:val="0"/>
          <w:sz w:val="22"/>
          <w:szCs w:val="22"/>
          <w:highlight w:val="none"/>
        </w:rPr>
        <w:t>民事责任的能力；（二）具有良好的商业信誉和健全的财务制度；（三）具有履行合同所必需的设备和专业技术能力；（四）有依法缴纳税收和社会保障资金的良好记录；（五）参加政府采购活动前三年内，在经营活动中没有重大的违法记录；（六）法律、行政法规规定的其他条件。】</w:t>
      </w:r>
      <w:r>
        <w:rPr>
          <w:rFonts w:hint="eastAsia" w:ascii="宋体" w:hAnsi="宋体" w:cs="宋体"/>
          <w:color w:val="auto"/>
          <w:sz w:val="22"/>
          <w:szCs w:val="22"/>
          <w:highlight w:val="none"/>
        </w:rPr>
        <w:t>所规定的条件，且承诺履行谈判文件的各项规定</w:t>
      </w:r>
      <w:r>
        <w:rPr>
          <w:rFonts w:hint="eastAsia" w:ascii="宋体" w:hAnsi="宋体" w:cs="宋体"/>
          <w:color w:val="auto"/>
          <w:kern w:val="0"/>
          <w:sz w:val="22"/>
          <w:szCs w:val="22"/>
          <w:highlight w:val="none"/>
        </w:rPr>
        <w:t>的供应商</w:t>
      </w:r>
      <w:r>
        <w:rPr>
          <w:rFonts w:hint="eastAsia" w:ascii="宋体" w:hAnsi="宋体" w:cs="宋体"/>
          <w:color w:val="auto"/>
          <w:sz w:val="22"/>
          <w:szCs w:val="22"/>
          <w:highlight w:val="none"/>
        </w:rPr>
        <w:t>。</w:t>
      </w:r>
    </w:p>
    <w:p w14:paraId="7D63DA00">
      <w:pPr>
        <w:adjustRightInd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r>
        <w:rPr>
          <w:rFonts w:hint="eastAsia" w:ascii="宋体" w:hAnsi="宋体" w:cs="宋体"/>
          <w:color w:val="auto"/>
          <w:sz w:val="22"/>
          <w:szCs w:val="22"/>
          <w:highlight w:val="none"/>
          <w:lang w:eastAsia="zh-CN"/>
        </w:rPr>
        <w:t>。</w:t>
      </w:r>
    </w:p>
    <w:p w14:paraId="4877E034">
      <w:pPr>
        <w:adjustRightInd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3.2</w:t>
      </w:r>
      <w:r>
        <w:rPr>
          <w:rFonts w:hint="eastAsia" w:ascii="宋体" w:hAnsi="宋体" w:cs="宋体"/>
          <w:color w:val="auto"/>
          <w:sz w:val="22"/>
          <w:szCs w:val="22"/>
          <w:highlight w:val="none"/>
          <w:lang w:eastAsia="zh-CN"/>
        </w:rPr>
        <w:t>其他</w:t>
      </w:r>
      <w:r>
        <w:rPr>
          <w:rFonts w:hint="eastAsia" w:ascii="宋体" w:hAnsi="宋体" w:cs="宋体"/>
          <w:color w:val="auto"/>
          <w:sz w:val="22"/>
          <w:szCs w:val="22"/>
          <w:highlight w:val="none"/>
        </w:rPr>
        <w:t>：</w:t>
      </w:r>
    </w:p>
    <w:p w14:paraId="10308744">
      <w:pPr>
        <w:adjustRightInd w:val="0"/>
        <w:snapToGrid w:val="0"/>
        <w:spacing w:line="360" w:lineRule="auto"/>
        <w:ind w:firstLine="440" w:firstLineChars="200"/>
        <w:jc w:val="left"/>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3.2.1落实政府采购政策需满足的资格要求：</w:t>
      </w:r>
      <w:r>
        <w:rPr>
          <w:rFonts w:hint="eastAsia" w:ascii="宋体" w:hAnsi="宋体" w:eastAsia="宋体" w:cs="宋体"/>
          <w:b w:val="0"/>
          <w:bCs w:val="0"/>
          <w:color w:val="auto"/>
          <w:kern w:val="2"/>
          <w:sz w:val="22"/>
          <w:szCs w:val="22"/>
          <w:highlight w:val="none"/>
          <w:lang w:val="en-US" w:eastAsia="zh-CN" w:bidi="ar-SA"/>
        </w:rPr>
        <w:t xml:space="preserve">本项目专门面向中小企业（供应商应为中小微企业或监狱企业或残疾人福利性单位) </w:t>
      </w:r>
      <w:r>
        <w:rPr>
          <w:rFonts w:hint="eastAsia" w:ascii="宋体" w:hAnsi="宋体" w:cs="宋体"/>
          <w:color w:val="auto"/>
          <w:sz w:val="22"/>
          <w:szCs w:val="22"/>
          <w:highlight w:val="none"/>
          <w:lang w:val="en-US" w:eastAsia="zh-CN"/>
        </w:rPr>
        <w:t>；</w:t>
      </w:r>
    </w:p>
    <w:p w14:paraId="5B432DDF">
      <w:pPr>
        <w:adjustRightInd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3.2.2本项目的特定资格要求：具有医疗器械经营许可证（或第二类医疗器械经营备案凭证）</w:t>
      </w:r>
      <w:r>
        <w:rPr>
          <w:rFonts w:hint="eastAsia" w:ascii="宋体" w:hAnsi="宋体" w:cs="宋体"/>
          <w:color w:val="auto"/>
          <w:sz w:val="22"/>
          <w:szCs w:val="22"/>
          <w:highlight w:val="none"/>
          <w:lang w:eastAsia="zh-CN"/>
        </w:rPr>
        <w:t>。</w:t>
      </w:r>
    </w:p>
    <w:p w14:paraId="4AA6C748">
      <w:pPr>
        <w:adjustRightInd w:val="0"/>
        <w:snapToGrid w:val="0"/>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注：特别说明：</w:t>
      </w:r>
    </w:p>
    <w:p w14:paraId="1FC003A7">
      <w:pPr>
        <w:adjustRightInd w:val="0"/>
        <w:snapToGrid w:val="0"/>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sz w:val="22"/>
          <w:szCs w:val="22"/>
          <w:highlight w:val="none"/>
        </w:rPr>
        <w:t>▲1.</w:t>
      </w:r>
      <w:r>
        <w:rPr>
          <w:rFonts w:hint="eastAsia" w:ascii="宋体" w:hAnsi="宋体" w:cs="宋体"/>
          <w:color w:val="auto"/>
          <w:kern w:val="0"/>
          <w:sz w:val="22"/>
          <w:szCs w:val="22"/>
          <w:highlight w:val="none"/>
        </w:rPr>
        <w:t>多家供应商参加谈判，同一品牌同一型号产品只能由一家供应商参加，如果有多家代理商参加同一品牌同一型号产品谈判的，应当作为一个供应商计算。谈判时，取其中通过资格审查后的报价最低一家为有效供应商；当报价相同时，则以技术标最优一家为有效供应商；均相同时，由谈判小组集体决定。</w:t>
      </w:r>
    </w:p>
    <w:p w14:paraId="7118A703">
      <w:pPr>
        <w:adjustRightInd w:val="0"/>
        <w:snapToGrid w:val="0"/>
        <w:spacing w:line="360" w:lineRule="auto"/>
        <w:ind w:firstLine="220" w:firstLineChars="1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多家代理商或经销商参加谈判，如其中两家或两家以上供应商存在分级代理或代销关系，且提供的是其所代理品牌产品的，谈判时，谈判小组按上述规定确定其中一家为有效供应商。</w:t>
      </w:r>
    </w:p>
    <w:p w14:paraId="11824DE4">
      <w:pPr>
        <w:adjustRightInd w:val="0"/>
        <w:snapToGrid w:val="0"/>
        <w:spacing w:line="360" w:lineRule="auto"/>
        <w:ind w:firstLine="220" w:firstLineChars="1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非单一产品采购项目中，多家供应商提供的核心产品品牌相同的，视为提供相同品牌产品。</w:t>
      </w:r>
    </w:p>
    <w:p w14:paraId="5453DA13">
      <w:pPr>
        <w:pStyle w:val="10"/>
        <w:adjustRightInd w:val="0"/>
        <w:snapToGrid w:val="0"/>
        <w:spacing w:line="360" w:lineRule="auto"/>
        <w:ind w:left="2" w:leftChars="1" w:firstLine="660" w:firstLineChars="300"/>
        <w:rPr>
          <w:rFonts w:hint="eastAsia" w:hAnsi="宋体" w:cs="宋体"/>
          <w:color w:val="auto"/>
          <w:sz w:val="22"/>
          <w:szCs w:val="22"/>
          <w:highlight w:val="none"/>
        </w:rPr>
      </w:pPr>
      <w:r>
        <w:rPr>
          <w:rFonts w:hint="eastAsia" w:hAnsi="宋体" w:cs="宋体"/>
          <w:color w:val="auto"/>
          <w:sz w:val="22"/>
          <w:szCs w:val="22"/>
          <w:highlight w:val="none"/>
        </w:rPr>
        <w:t>2.谈判响应供应商所使用的资格、信誉、荣誉、业绩与企业认证必须为本法人所拥有。谈判响应供应商所使用的采购项目实施人员必须为本法人员工（或必须为本法人或控股公司正式员工）。</w:t>
      </w:r>
    </w:p>
    <w:p w14:paraId="25DECCFF">
      <w:pPr>
        <w:pStyle w:val="10"/>
        <w:adjustRightInd w:val="0"/>
        <w:snapToGrid w:val="0"/>
        <w:spacing w:line="360" w:lineRule="auto"/>
        <w:ind w:left="2" w:leftChars="1" w:firstLine="440" w:firstLineChars="200"/>
        <w:rPr>
          <w:rFonts w:hint="eastAsia" w:hAnsi="宋体" w:cs="宋体"/>
          <w:color w:val="auto"/>
          <w:sz w:val="22"/>
          <w:szCs w:val="22"/>
          <w:highlight w:val="none"/>
        </w:rPr>
      </w:pPr>
      <w:r>
        <w:rPr>
          <w:rFonts w:hint="eastAsia" w:hAnsi="宋体" w:cs="宋体"/>
          <w:color w:val="auto"/>
          <w:sz w:val="22"/>
          <w:szCs w:val="22"/>
          <w:highlight w:val="none"/>
        </w:rPr>
        <w:t>▲3.谈判响应供应商应仔细阅读谈判文件的所有内容，按照谈判文件的要求提交谈判响应文件，并对所提供的全部资料的真实性承担法律责任。</w:t>
      </w:r>
    </w:p>
    <w:p w14:paraId="70D400FC">
      <w:pPr>
        <w:pStyle w:val="10"/>
        <w:adjustRightInd w:val="0"/>
        <w:snapToGrid w:val="0"/>
        <w:spacing w:line="360" w:lineRule="auto"/>
        <w:ind w:left="2" w:leftChars="1" w:firstLine="440" w:firstLineChars="200"/>
        <w:rPr>
          <w:rFonts w:hint="eastAsia" w:hAnsi="宋体" w:cs="宋体"/>
          <w:color w:val="auto"/>
          <w:sz w:val="22"/>
          <w:szCs w:val="22"/>
          <w:highlight w:val="none"/>
        </w:rPr>
      </w:pPr>
      <w:r>
        <w:rPr>
          <w:rFonts w:hint="eastAsia" w:hAnsi="宋体" w:cs="宋体"/>
          <w:color w:val="auto"/>
          <w:sz w:val="22"/>
          <w:szCs w:val="22"/>
          <w:highlight w:val="none"/>
        </w:rPr>
        <w:t>▲4.谈判响应供应商在竞争性谈判采购活动中提供任何虚假材料,其谈判或成交无效，并报监管部门查处。</w:t>
      </w:r>
    </w:p>
    <w:p w14:paraId="3258FA45">
      <w:pPr>
        <w:adjustRightInd w:val="0"/>
        <w:snapToGrid w:val="0"/>
        <w:spacing w:line="360" w:lineRule="auto"/>
        <w:ind w:firstLine="433" w:firstLineChars="196"/>
        <w:rPr>
          <w:rFonts w:hint="eastAsia" w:ascii="宋体" w:hAnsi="宋体" w:cs="宋体"/>
          <w:b/>
          <w:color w:val="auto"/>
          <w:sz w:val="22"/>
          <w:szCs w:val="22"/>
          <w:highlight w:val="none"/>
        </w:rPr>
      </w:pPr>
      <w:r>
        <w:rPr>
          <w:rFonts w:hint="eastAsia" w:ascii="宋体" w:hAnsi="宋体" w:cs="宋体"/>
          <w:b/>
          <w:color w:val="auto"/>
          <w:sz w:val="22"/>
          <w:szCs w:val="22"/>
          <w:highlight w:val="none"/>
        </w:rPr>
        <w:t>4. 谈判费用、竞争性谈判公告、竞争性谈判文件的澄清和修改</w:t>
      </w:r>
    </w:p>
    <w:p w14:paraId="70A5E940">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4.1谈判费用：谈判供应商应自行承担所有与编写和提交竞争性谈判响应文件有关的费用，不论谈判结果如何，采购人和采购代理机构在任何情况下无义务和责任承担此类费用。</w:t>
      </w:r>
    </w:p>
    <w:p w14:paraId="5CF6DA18">
      <w:pPr>
        <w:pStyle w:val="10"/>
        <w:adjustRightInd w:val="0"/>
        <w:snapToGrid w:val="0"/>
        <w:spacing w:line="360" w:lineRule="auto"/>
        <w:ind w:firstLine="420"/>
        <w:rPr>
          <w:rFonts w:hint="eastAsia" w:hAnsi="宋体" w:cs="宋体"/>
          <w:color w:val="auto"/>
          <w:sz w:val="22"/>
          <w:szCs w:val="22"/>
          <w:highlight w:val="none"/>
        </w:rPr>
      </w:pPr>
      <w:r>
        <w:rPr>
          <w:rFonts w:hint="eastAsia" w:hAnsi="宋体" w:cs="宋体"/>
          <w:color w:val="auto"/>
          <w:sz w:val="22"/>
          <w:szCs w:val="22"/>
          <w:highlight w:val="none"/>
        </w:rPr>
        <w:t>4.2</w:t>
      </w:r>
      <w:r>
        <w:rPr>
          <w:rFonts w:hint="eastAsia" w:hAnsi="宋体" w:cs="宋体"/>
          <w:b/>
          <w:color w:val="auto"/>
          <w:sz w:val="22"/>
          <w:szCs w:val="22"/>
          <w:highlight w:val="none"/>
        </w:rPr>
        <w:t>竞争性谈判公告</w:t>
      </w:r>
      <w:r>
        <w:rPr>
          <w:rFonts w:hint="eastAsia" w:hAnsi="宋体" w:cs="宋体"/>
          <w:color w:val="auto"/>
          <w:sz w:val="22"/>
          <w:szCs w:val="22"/>
          <w:highlight w:val="none"/>
        </w:rPr>
        <w:t>：见</w:t>
      </w:r>
      <w:r>
        <w:rPr>
          <w:rFonts w:hint="eastAsia" w:hAnsi="宋体" w:cs="宋体"/>
          <w:color w:val="auto"/>
          <w:sz w:val="22"/>
          <w:szCs w:val="22"/>
          <w:highlight w:val="none"/>
          <w:lang w:eastAsia="zh-CN"/>
        </w:rPr>
        <w:t>广西政府采购网（</w:t>
      </w:r>
      <w:r>
        <w:rPr>
          <w:rFonts w:hint="eastAsia" w:ascii="宋体" w:hAnsi="宋体" w:eastAsia="宋体" w:cs="宋体"/>
          <w:color w:val="auto"/>
          <w:sz w:val="22"/>
          <w:szCs w:val="22"/>
          <w:highlight w:val="none"/>
        </w:rPr>
        <w:t xml:space="preserve">http://www.ccgp-guangxi.gov.cn/ </w:t>
      </w:r>
      <w:r>
        <w:rPr>
          <w:rFonts w:hint="eastAsia" w:hAnsi="宋体" w:cs="宋体"/>
          <w:color w:val="auto"/>
          <w:sz w:val="22"/>
          <w:szCs w:val="22"/>
          <w:highlight w:val="none"/>
          <w:lang w:eastAsia="zh-CN"/>
        </w:rPr>
        <w:t>）、中国政府采购网（www.ccgp.gov.cn）</w:t>
      </w:r>
      <w:r>
        <w:rPr>
          <w:rFonts w:hint="eastAsia" w:hAnsi="宋体" w:cs="宋体"/>
          <w:color w:val="auto"/>
          <w:sz w:val="22"/>
          <w:szCs w:val="22"/>
          <w:highlight w:val="none"/>
        </w:rPr>
        <w:t>。</w:t>
      </w:r>
    </w:p>
    <w:p w14:paraId="3B8AB7E8">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b w:val="0"/>
          <w:bCs w:val="0"/>
          <w:color w:val="auto"/>
          <w:sz w:val="22"/>
          <w:szCs w:val="22"/>
          <w:highlight w:val="none"/>
        </w:rPr>
        <w:t>4.3</w:t>
      </w:r>
      <w:r>
        <w:rPr>
          <w:rFonts w:hint="eastAsia" w:ascii="宋体" w:hAnsi="宋体" w:cs="宋体"/>
          <w:color w:val="auto"/>
          <w:sz w:val="22"/>
          <w:szCs w:val="22"/>
          <w:highlight w:val="none"/>
        </w:rPr>
        <w:t>竞争性谈判文件的澄清和修改：</w:t>
      </w:r>
    </w:p>
    <w:p w14:paraId="05406FFE">
      <w:pPr>
        <w:pStyle w:val="10"/>
        <w:adjustRightInd w:val="0"/>
        <w:snapToGrid w:val="0"/>
        <w:spacing w:line="360" w:lineRule="auto"/>
        <w:ind w:firstLine="420"/>
        <w:rPr>
          <w:rFonts w:hint="eastAsia" w:hAnsi="宋体" w:cs="宋体"/>
          <w:color w:val="auto"/>
          <w:sz w:val="22"/>
          <w:szCs w:val="22"/>
          <w:highlight w:val="none"/>
        </w:rPr>
      </w:pPr>
      <w:r>
        <w:rPr>
          <w:rFonts w:hint="eastAsia" w:hAnsi="宋体" w:cs="宋体"/>
          <w:color w:val="auto"/>
          <w:sz w:val="22"/>
          <w:szCs w:val="22"/>
          <w:highlight w:val="none"/>
        </w:rPr>
        <w:t>4.3.1谈判供应商应认真审核《采购需求》中的技术参数、配置及要求，如发现表中技术参数、配置有误或要求不合理的，谈判供应商必须在规定的时间前要求澄清，否则，由此产生的后果由谈判供应商负责。</w:t>
      </w:r>
    </w:p>
    <w:p w14:paraId="17B79B5D">
      <w:pPr>
        <w:pStyle w:val="10"/>
        <w:adjustRightInd w:val="0"/>
        <w:snapToGrid w:val="0"/>
        <w:spacing w:line="360" w:lineRule="auto"/>
        <w:ind w:firstLine="420"/>
        <w:rPr>
          <w:rFonts w:hint="eastAsia" w:hAnsi="宋体" w:cs="宋体"/>
          <w:color w:val="auto"/>
          <w:sz w:val="22"/>
          <w:szCs w:val="22"/>
          <w:highlight w:val="none"/>
        </w:rPr>
      </w:pPr>
      <w:r>
        <w:rPr>
          <w:rFonts w:hint="eastAsia" w:hAnsi="宋体" w:cs="宋体"/>
          <w:color w:val="auto"/>
          <w:sz w:val="22"/>
          <w:szCs w:val="22"/>
          <w:highlight w:val="none"/>
        </w:rPr>
        <w:t>4.3.2任何要求澄清竞争性谈判文件的谈判供应商，均应在响应文件递交截止日期二日前的正常工作时间以传真等书面形式通知采购代理机构，同时认定其他澄清方式为无效。采购代理机构将以书面形式予以答复。</w:t>
      </w:r>
    </w:p>
    <w:p w14:paraId="54327581">
      <w:pPr>
        <w:adjustRightInd w:val="0"/>
        <w:snapToGrid w:val="0"/>
        <w:spacing w:line="360" w:lineRule="auto"/>
        <w:ind w:firstLine="42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4.3.3采购代理机构对已发出的谈判文件进行必要澄清或者修改的，在竞争性谈判文件要求提交竞争性谈判响应文件截止时间三个工作日前（不足三个工作日顺延），在</w:t>
      </w:r>
      <w:r>
        <w:rPr>
          <w:rFonts w:hint="eastAsia" w:ascii="宋体" w:hAnsi="宋体" w:cs="宋体"/>
          <w:color w:val="auto"/>
          <w:sz w:val="22"/>
          <w:szCs w:val="22"/>
          <w:highlight w:val="none"/>
          <w:lang w:eastAsia="zh-CN"/>
        </w:rPr>
        <w:t>广西政府采购网（</w:t>
      </w:r>
      <w:r>
        <w:rPr>
          <w:rFonts w:hint="eastAsia" w:ascii="宋体" w:hAnsi="宋体" w:eastAsia="宋体" w:cs="宋体"/>
          <w:color w:val="auto"/>
          <w:sz w:val="22"/>
          <w:szCs w:val="22"/>
          <w:highlight w:val="none"/>
        </w:rPr>
        <w:t xml:space="preserve">http://www.ccgp-guangxi.gov.cn/ </w:t>
      </w:r>
      <w:r>
        <w:rPr>
          <w:rFonts w:hint="eastAsia" w:ascii="宋体" w:hAnsi="宋体" w:cs="宋体"/>
          <w:color w:val="auto"/>
          <w:sz w:val="22"/>
          <w:szCs w:val="22"/>
          <w:highlight w:val="none"/>
          <w:lang w:eastAsia="zh-CN"/>
        </w:rPr>
        <w:t>）、中国政府采购网（www.ccgp.gov.cn）</w:t>
      </w:r>
      <w:r>
        <w:rPr>
          <w:rFonts w:hint="eastAsia" w:ascii="宋体" w:hAnsi="宋体" w:cs="宋体"/>
          <w:color w:val="auto"/>
          <w:sz w:val="22"/>
          <w:szCs w:val="22"/>
          <w:highlight w:val="none"/>
        </w:rPr>
        <w:t>上发布更正公告，并以书面形式通知所有竞争性谈判文件收受人。该澄清或者修改的内容为竞争性谈判文件的组成部分。</w:t>
      </w:r>
    </w:p>
    <w:p w14:paraId="35339777">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4.3.4采购代理机构可视具体情况，延长响应文件递交截止时间和谈判时间。采购代理机构至少在竞争性谈判文件要求提交竞争性谈判响应文件的截止时间一日前，将变更时间书面通知所有竞争性谈判文件收受人，并在</w:t>
      </w:r>
      <w:r>
        <w:rPr>
          <w:rFonts w:hint="eastAsia" w:ascii="宋体" w:hAnsi="宋体" w:cs="宋体"/>
          <w:color w:val="auto"/>
          <w:sz w:val="22"/>
          <w:szCs w:val="22"/>
          <w:highlight w:val="none"/>
          <w:lang w:eastAsia="zh-CN"/>
        </w:rPr>
        <w:t>广西政府采购网（</w:t>
      </w:r>
      <w:r>
        <w:rPr>
          <w:rFonts w:hint="eastAsia" w:ascii="宋体" w:hAnsi="宋体" w:eastAsia="宋体" w:cs="宋体"/>
          <w:color w:val="auto"/>
          <w:sz w:val="22"/>
          <w:szCs w:val="22"/>
          <w:highlight w:val="none"/>
        </w:rPr>
        <w:t xml:space="preserve">http://www.ccgp-guangxi.gov.cn/ </w:t>
      </w:r>
      <w:r>
        <w:rPr>
          <w:rFonts w:hint="eastAsia" w:ascii="宋体" w:hAnsi="宋体" w:cs="宋体"/>
          <w:color w:val="auto"/>
          <w:sz w:val="22"/>
          <w:szCs w:val="22"/>
          <w:highlight w:val="none"/>
          <w:lang w:eastAsia="zh-CN"/>
        </w:rPr>
        <w:t>）、中国政府采购网（www.ccgp.gov.cn）</w:t>
      </w:r>
      <w:r>
        <w:rPr>
          <w:rFonts w:hint="eastAsia" w:ascii="宋体" w:hAnsi="宋体" w:cs="宋体"/>
          <w:color w:val="auto"/>
          <w:sz w:val="22"/>
          <w:szCs w:val="22"/>
          <w:highlight w:val="none"/>
        </w:rPr>
        <w:t>上发布变更公告。</w:t>
      </w:r>
    </w:p>
    <w:p w14:paraId="71C3CDC6">
      <w:pPr>
        <w:adjustRightInd w:val="0"/>
        <w:snapToGrid w:val="0"/>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二.竞争性谈判响应文件的编制</w:t>
      </w:r>
    </w:p>
    <w:p w14:paraId="223EC5FA">
      <w:pPr>
        <w:adjustRightInd w:val="0"/>
        <w:snapToGrid w:val="0"/>
        <w:spacing w:line="360" w:lineRule="auto"/>
        <w:ind w:firstLine="431" w:firstLineChars="196"/>
        <w:rPr>
          <w:rFonts w:hint="eastAsia" w:ascii="宋体" w:hAnsi="宋体" w:cs="宋体"/>
          <w:color w:val="auto"/>
          <w:sz w:val="22"/>
          <w:szCs w:val="22"/>
          <w:highlight w:val="none"/>
        </w:rPr>
      </w:pPr>
      <w:r>
        <w:rPr>
          <w:rFonts w:hint="eastAsia" w:ascii="宋体" w:hAnsi="宋体" w:cs="宋体"/>
          <w:color w:val="auto"/>
          <w:sz w:val="22"/>
          <w:szCs w:val="22"/>
          <w:highlight w:val="none"/>
        </w:rPr>
        <w:t>5.竞争性谈判响应文件编制基本要求</w:t>
      </w:r>
    </w:p>
    <w:p w14:paraId="31F03AEC">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5.1</w:t>
      </w:r>
      <w:r>
        <w:rPr>
          <w:rFonts w:hint="eastAsia" w:ascii="宋体" w:hAnsi="宋体" w:cs="宋体"/>
          <w:b/>
          <w:bCs/>
          <w:color w:val="auto"/>
          <w:sz w:val="22"/>
          <w:szCs w:val="22"/>
          <w:highlight w:val="none"/>
        </w:rPr>
        <w:t>本项目实行在线谈判，谈判供应商应当准备电子谈判响应文件、可以准备以介质存储的数据电文形式的电子备份谈判响应文件两类。</w:t>
      </w:r>
    </w:p>
    <w:p w14:paraId="7941AE75">
      <w:pPr>
        <w:adjustRightInd w:val="0"/>
        <w:snapToGrid w:val="0"/>
        <w:spacing w:line="360" w:lineRule="auto"/>
        <w:ind w:firstLine="440" w:firstLineChars="20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5.2电子谈判响应文件按广西政府采购云平台要求及本谈判文件要求制作、加密并递交。具体操作流程可参考《政府采购项目电子交易管理操作指南-供应商》，指南可在“北海市政府采购中心网站-办事指南-政府采购项目电子交易管理操作指南”下载。</w:t>
      </w:r>
    </w:p>
    <w:p w14:paraId="1DDFBEBA">
      <w:pPr>
        <w:adjustRightInd w:val="0"/>
        <w:snapToGrid w:val="0"/>
        <w:spacing w:line="360" w:lineRule="auto"/>
        <w:ind w:firstLine="440" w:firstLineChars="20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5.3 电子备份谈判响应文件为上传广西政府采购云平台的谈判响应文件电子版，按照本谈判文件要求制作。</w:t>
      </w:r>
    </w:p>
    <w:p w14:paraId="677BCBA5">
      <w:pPr>
        <w:adjustRightInd w:val="0"/>
        <w:snapToGrid w:val="0"/>
        <w:spacing w:line="360" w:lineRule="auto"/>
        <w:ind w:firstLine="440" w:firstLineChars="200"/>
        <w:rPr>
          <w:rFonts w:hint="default" w:ascii="宋体" w:hAnsi="宋体" w:cs="宋体" w:eastAsiaTheme="minorEastAsia"/>
          <w:color w:val="auto"/>
          <w:sz w:val="22"/>
          <w:szCs w:val="22"/>
          <w:highlight w:val="none"/>
          <w:lang w:val="en-US" w:eastAsia="zh-CN"/>
        </w:rPr>
      </w:pPr>
      <w:r>
        <w:rPr>
          <w:rFonts w:hint="eastAsia" w:ascii="宋体" w:hAnsi="宋体" w:cs="宋体"/>
          <w:color w:val="auto"/>
          <w:sz w:val="22"/>
          <w:szCs w:val="22"/>
          <w:highlight w:val="none"/>
          <w:lang w:val="en-US" w:eastAsia="zh-CN"/>
        </w:rPr>
        <w:t>5.4</w:t>
      </w:r>
      <w:r>
        <w:rPr>
          <w:rFonts w:hint="eastAsia" w:ascii="宋体" w:hAnsi="宋体" w:cs="宋体"/>
          <w:b/>
          <w:bCs/>
          <w:color w:val="auto"/>
          <w:sz w:val="22"/>
          <w:szCs w:val="22"/>
          <w:highlight w:val="none"/>
          <w:lang w:val="en-US" w:eastAsia="zh-CN"/>
        </w:rPr>
        <w:t>谈判响应文件启用顺序和效力：谈判响应文件的启用，按先后顺位分别为电子谈判响应文件、以介质存储的数据电文形式的电子备份谈判响应文件。全部谈判供应商的电子谈判响应文件均已按时解密的，以介质存储的数据电文形式的电子备份谈判响应文件自动失效。如果某位谈判供应商的电子谈判响应文件无法按时解密的，其电子谈判响应文件为无效，启用以介质存储的数据电文形式的电子备份谈判响应文件。谈判供应商仅递交电子备份谈判响应文件的，谈判无效。</w:t>
      </w:r>
    </w:p>
    <w:p w14:paraId="74BD7B59">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谈判供应商提交的竞争性谈判响应文件以及谈判供应商与采购代理机构和采购人就有关谈判的所有来往函电均应使用中文。谈判供应商提交的支持文件和印刷的文献可以使用别的语言，但其相应内容必须附有中文翻译文本，在解释竞争性谈判响应文件时以翻译文本为主。</w:t>
      </w:r>
    </w:p>
    <w:p w14:paraId="4F4E4CD8">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谈判供应商应认真阅读、并充分理解本文件的全部内容（包括所有的澄清、更改、补充、答疑等内容），承诺并履行本文件中各项条款规定及要求。</w:t>
      </w:r>
    </w:p>
    <w:p w14:paraId="57025A79">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w:t>
      </w: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rPr>
        <w:t>竞争性谈判响应文件必须按本文件的全部内容，包括所有的澄清、更改、补充、答疑等内容及附件进行编制。</w:t>
      </w:r>
    </w:p>
    <w:p w14:paraId="330333B4">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rPr>
        <w:t>如因谈判供应商只填写和提供了本文件要求的部分内容和附件，而给谈判小组评审造成困难，其可能导致的结果和责任由谈判供应商自行承担。</w:t>
      </w:r>
    </w:p>
    <w:p w14:paraId="6403F80E">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w:t>
      </w:r>
      <w:r>
        <w:rPr>
          <w:rFonts w:hint="eastAsia" w:ascii="宋体" w:hAnsi="宋体" w:cs="宋体"/>
          <w:color w:val="auto"/>
          <w:sz w:val="22"/>
          <w:szCs w:val="22"/>
          <w:highlight w:val="none"/>
          <w:lang w:val="en-US" w:eastAsia="zh-CN"/>
        </w:rPr>
        <w:t>9</w:t>
      </w:r>
      <w:r>
        <w:rPr>
          <w:rFonts w:hint="eastAsia" w:ascii="宋体" w:hAnsi="宋体" w:cs="宋体"/>
          <w:color w:val="auto"/>
          <w:sz w:val="22"/>
          <w:szCs w:val="22"/>
          <w:highlight w:val="none"/>
        </w:rPr>
        <w:t>竞争性谈判响应文件的组成：竞争性谈判响应文件应分为</w:t>
      </w:r>
      <w:r>
        <w:rPr>
          <w:rFonts w:hint="eastAsia" w:ascii="宋体" w:hAnsi="宋体" w:cs="宋体"/>
          <w:color w:val="auto"/>
          <w:sz w:val="22"/>
          <w:szCs w:val="22"/>
          <w:highlight w:val="none"/>
          <w:lang w:eastAsia="zh-CN"/>
        </w:rPr>
        <w:t>资格文件、</w:t>
      </w:r>
      <w:r>
        <w:rPr>
          <w:rFonts w:hint="eastAsia" w:ascii="宋体" w:hAnsi="宋体" w:cs="宋体"/>
          <w:color w:val="auto"/>
          <w:sz w:val="22"/>
          <w:szCs w:val="22"/>
          <w:highlight w:val="none"/>
        </w:rPr>
        <w:t>价格文件和商务技术文件</w:t>
      </w:r>
      <w:r>
        <w:rPr>
          <w:rFonts w:hint="eastAsia" w:ascii="宋体" w:hAnsi="宋体" w:cs="宋体"/>
          <w:color w:val="auto"/>
          <w:sz w:val="22"/>
          <w:szCs w:val="22"/>
          <w:highlight w:val="none"/>
          <w:lang w:eastAsia="zh-CN"/>
        </w:rPr>
        <w:t>三</w:t>
      </w:r>
      <w:r>
        <w:rPr>
          <w:rFonts w:hint="eastAsia" w:ascii="宋体" w:hAnsi="宋体" w:cs="宋体"/>
          <w:color w:val="auto"/>
          <w:sz w:val="22"/>
          <w:szCs w:val="22"/>
          <w:highlight w:val="none"/>
        </w:rPr>
        <w:t>个部分组成。供应商应仔细阅读采购文件的所有内容，按谈判文件的要求，详细编制谈判响应文件（包含电子谈判响应文件和电子备份谈判响应文件）。</w:t>
      </w:r>
    </w:p>
    <w:p w14:paraId="0586A1C0">
      <w:pPr>
        <w:adjustRightInd w:val="0"/>
        <w:snapToGrid w:val="0"/>
        <w:spacing w:line="360" w:lineRule="auto"/>
        <w:ind w:firstLine="442" w:firstLineChars="20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5.6.1</w:t>
      </w:r>
      <w:r>
        <w:rPr>
          <w:rFonts w:hint="eastAsia" w:ascii="宋体" w:hAnsi="宋体" w:eastAsia="宋体" w:cs="宋体"/>
          <w:b/>
          <w:color w:val="auto"/>
          <w:sz w:val="22"/>
          <w:szCs w:val="22"/>
          <w:highlight w:val="none"/>
          <w:lang w:eastAsia="zh-CN"/>
        </w:rPr>
        <w:t>资格文件</w:t>
      </w:r>
    </w:p>
    <w:p w14:paraId="38735472">
      <w:pPr>
        <w:spacing w:line="360" w:lineRule="auto"/>
        <w:ind w:firstLine="220" w:firstLineChars="100"/>
        <w:rPr>
          <w:rFonts w:hint="eastAsia" w:ascii="宋体" w:hAnsi="宋体" w:cs="宋体"/>
          <w:b/>
          <w:bCs/>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w:t>
      </w:r>
      <w:r>
        <w:rPr>
          <w:rFonts w:hint="eastAsia" w:ascii="宋体" w:hAnsi="宋体" w:eastAsia="宋体" w:cs="宋体"/>
          <w:color w:val="auto"/>
          <w:sz w:val="22"/>
          <w:szCs w:val="22"/>
          <w:highlight w:val="none"/>
        </w:rPr>
        <w:t>北海市政府采购供应商信用承诺函</w:t>
      </w:r>
      <w:r>
        <w:rPr>
          <w:rFonts w:hint="eastAsia" w:ascii="宋体" w:hAnsi="宋体" w:cs="宋体"/>
          <w:b/>
          <w:bCs/>
          <w:color w:val="auto"/>
          <w:sz w:val="22"/>
          <w:szCs w:val="22"/>
          <w:highlight w:val="none"/>
        </w:rPr>
        <w:t>（必须提供</w:t>
      </w:r>
      <w:r>
        <w:rPr>
          <w:rFonts w:hint="eastAsia" w:ascii="宋体" w:hAnsi="宋体" w:cs="宋体"/>
          <w:b/>
          <w:color w:val="auto"/>
          <w:szCs w:val="21"/>
          <w:highlight w:val="none"/>
        </w:rPr>
        <w:t>，格式见第四章</w:t>
      </w:r>
      <w:r>
        <w:rPr>
          <w:rFonts w:hint="eastAsia" w:ascii="宋体" w:hAnsi="宋体" w:cs="宋体"/>
          <w:b/>
          <w:bCs/>
          <w:color w:val="auto"/>
          <w:sz w:val="22"/>
          <w:szCs w:val="22"/>
          <w:highlight w:val="none"/>
        </w:rPr>
        <w:t>）；</w:t>
      </w:r>
    </w:p>
    <w:p w14:paraId="00D67CE3">
      <w:pPr>
        <w:pStyle w:val="2"/>
        <w:numPr>
          <w:ilvl w:val="0"/>
          <w:numId w:val="0"/>
        </w:numPr>
        <w:spacing w:line="360" w:lineRule="auto"/>
        <w:ind w:firstLine="220" w:firstLineChars="100"/>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w:t>
      </w:r>
      <w:r>
        <w:rPr>
          <w:rFonts w:hint="eastAsia" w:ascii="宋体" w:hAnsi="宋体" w:eastAsia="宋体" w:cs="宋体"/>
          <w:b w:val="0"/>
          <w:bCs/>
          <w:color w:val="auto"/>
          <w:kern w:val="2"/>
          <w:sz w:val="22"/>
          <w:szCs w:val="22"/>
          <w:highlight w:val="none"/>
          <w:lang w:val="en-US" w:eastAsia="zh-CN" w:bidi="ar-SA"/>
        </w:rPr>
        <w:t>中小企业声明函或残疾人福利性单位声明函</w:t>
      </w:r>
      <w:r>
        <w:rPr>
          <w:rFonts w:hint="eastAsia" w:ascii="宋体" w:hAnsi="宋体" w:eastAsia="宋体" w:cs="宋体"/>
          <w:b/>
          <w:bCs w:val="0"/>
          <w:color w:val="auto"/>
          <w:kern w:val="2"/>
          <w:sz w:val="22"/>
          <w:szCs w:val="22"/>
          <w:highlight w:val="none"/>
          <w:lang w:val="en-US" w:eastAsia="zh-CN" w:bidi="ar-SA"/>
        </w:rPr>
        <w:t>（</w:t>
      </w:r>
      <w:r>
        <w:rPr>
          <w:rFonts w:hint="eastAsia" w:ascii="宋体" w:hAnsi="宋体" w:eastAsia="宋体" w:cs="宋体"/>
          <w:b/>
          <w:bCs w:val="0"/>
          <w:color w:val="auto"/>
          <w:sz w:val="22"/>
          <w:szCs w:val="22"/>
          <w:highlight w:val="none"/>
        </w:rPr>
        <w:t>必须提供</w:t>
      </w:r>
      <w:r>
        <w:rPr>
          <w:rFonts w:hint="eastAsia" w:ascii="宋体" w:hAnsi="宋体" w:eastAsia="宋体" w:cs="宋体"/>
          <w:b/>
          <w:bCs w:val="0"/>
          <w:color w:val="auto"/>
          <w:kern w:val="2"/>
          <w:sz w:val="22"/>
          <w:szCs w:val="22"/>
          <w:highlight w:val="none"/>
          <w:lang w:val="en-US" w:eastAsia="zh-CN" w:bidi="ar-SA"/>
        </w:rPr>
        <w:t>）；</w:t>
      </w:r>
    </w:p>
    <w:p w14:paraId="7BB584A2">
      <w:pPr>
        <w:pStyle w:val="2"/>
        <w:numPr>
          <w:ilvl w:val="0"/>
          <w:numId w:val="0"/>
        </w:numPr>
        <w:spacing w:line="360" w:lineRule="auto"/>
        <w:ind w:firstLine="220" w:firstLineChars="100"/>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w:t>
      </w:r>
      <w:r>
        <w:rPr>
          <w:rFonts w:hint="eastAsia" w:ascii="宋体" w:hAnsi="宋体" w:eastAsia="宋体" w:cs="宋体"/>
          <w:b w:val="0"/>
          <w:bCs/>
          <w:color w:val="auto"/>
          <w:kern w:val="2"/>
          <w:sz w:val="22"/>
          <w:szCs w:val="22"/>
          <w:highlight w:val="none"/>
          <w:lang w:val="en-US" w:eastAsia="zh-CN" w:bidi="ar-SA"/>
        </w:rPr>
        <w:t>本项目的特定资格要求：具有医疗器械经营许可证（或第二类医疗器械经营备案凭证）</w:t>
      </w:r>
      <w:r>
        <w:rPr>
          <w:rFonts w:hint="eastAsia" w:ascii="宋体" w:hAnsi="宋体" w:eastAsia="宋体" w:cs="宋体"/>
          <w:b/>
          <w:bCs w:val="0"/>
          <w:color w:val="auto"/>
          <w:kern w:val="2"/>
          <w:sz w:val="22"/>
          <w:szCs w:val="22"/>
          <w:highlight w:val="none"/>
          <w:lang w:val="en-US" w:eastAsia="zh-CN" w:bidi="ar-SA"/>
        </w:rPr>
        <w:t>（</w:t>
      </w:r>
      <w:r>
        <w:rPr>
          <w:rFonts w:hint="eastAsia" w:ascii="宋体" w:hAnsi="宋体" w:eastAsia="宋体" w:cs="宋体"/>
          <w:b/>
          <w:bCs w:val="0"/>
          <w:color w:val="auto"/>
          <w:sz w:val="22"/>
          <w:szCs w:val="22"/>
          <w:highlight w:val="none"/>
        </w:rPr>
        <w:t>必须提供</w:t>
      </w:r>
      <w:r>
        <w:rPr>
          <w:rFonts w:hint="eastAsia" w:ascii="宋体" w:hAnsi="宋体" w:eastAsia="宋体" w:cs="宋体"/>
          <w:b/>
          <w:bCs w:val="0"/>
          <w:color w:val="auto"/>
          <w:kern w:val="2"/>
          <w:sz w:val="22"/>
          <w:szCs w:val="22"/>
          <w:highlight w:val="none"/>
          <w:lang w:val="en-US" w:eastAsia="zh-CN" w:bidi="ar-SA"/>
        </w:rPr>
        <w:t>）</w:t>
      </w:r>
      <w:r>
        <w:rPr>
          <w:rFonts w:hint="eastAsia" w:ascii="宋体" w:hAnsi="宋体" w:eastAsia="宋体" w:cs="宋体"/>
          <w:b w:val="0"/>
          <w:bCs/>
          <w:color w:val="auto"/>
          <w:kern w:val="2"/>
          <w:sz w:val="22"/>
          <w:szCs w:val="22"/>
          <w:highlight w:val="none"/>
          <w:lang w:val="en-US" w:eastAsia="zh-CN" w:bidi="ar-SA"/>
        </w:rPr>
        <w:t>；</w:t>
      </w:r>
    </w:p>
    <w:p w14:paraId="0710C5CD">
      <w:pPr>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5.6.2</w:t>
      </w:r>
      <w:r>
        <w:rPr>
          <w:rFonts w:hint="eastAsia" w:ascii="宋体" w:hAnsi="宋体" w:eastAsia="宋体" w:cs="宋体"/>
          <w:b/>
          <w:color w:val="auto"/>
          <w:sz w:val="22"/>
          <w:szCs w:val="22"/>
          <w:highlight w:val="none"/>
        </w:rPr>
        <w:t>价格文件</w:t>
      </w:r>
    </w:p>
    <w:p w14:paraId="7E1FEC09">
      <w:pPr>
        <w:adjustRightInd w:val="0"/>
        <w:snapToGrid w:val="0"/>
        <w:spacing w:line="360" w:lineRule="auto"/>
        <w:ind w:firstLine="220" w:firstLineChars="1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▲（1）报价表（附件1）</w:t>
      </w:r>
      <w:r>
        <w:rPr>
          <w:rFonts w:hint="eastAsia" w:ascii="宋体" w:hAnsi="宋体" w:eastAsia="宋体" w:cs="宋体"/>
          <w:b/>
          <w:color w:val="auto"/>
          <w:sz w:val="22"/>
          <w:szCs w:val="22"/>
          <w:highlight w:val="none"/>
        </w:rPr>
        <w:t>（</w:t>
      </w:r>
      <w:bookmarkStart w:id="36" w:name="OLE_LINK3"/>
      <w:r>
        <w:rPr>
          <w:rFonts w:hint="eastAsia" w:ascii="宋体" w:hAnsi="宋体" w:eastAsia="宋体" w:cs="宋体"/>
          <w:b/>
          <w:color w:val="auto"/>
          <w:sz w:val="22"/>
          <w:szCs w:val="22"/>
          <w:highlight w:val="none"/>
        </w:rPr>
        <w:t>必须提供</w:t>
      </w:r>
      <w:bookmarkEnd w:id="36"/>
      <w:r>
        <w:rPr>
          <w:rFonts w:hint="eastAsia" w:ascii="宋体" w:hAnsi="宋体" w:eastAsia="宋体" w:cs="宋体"/>
          <w:b/>
          <w:color w:val="auto"/>
          <w:sz w:val="22"/>
          <w:szCs w:val="22"/>
          <w:highlight w:val="none"/>
        </w:rPr>
        <w:t>）；</w:t>
      </w:r>
    </w:p>
    <w:p w14:paraId="17629549">
      <w:pPr>
        <w:adjustRightInd w:val="0"/>
        <w:snapToGrid w:val="0"/>
        <w:spacing w:line="360" w:lineRule="auto"/>
        <w:ind w:firstLine="442" w:firstLineChars="20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5.6.</w:t>
      </w:r>
      <w:r>
        <w:rPr>
          <w:rFonts w:hint="eastAsia" w:ascii="宋体" w:hAnsi="宋体" w:eastAsia="宋体" w:cs="宋体"/>
          <w:b/>
          <w:color w:val="auto"/>
          <w:sz w:val="22"/>
          <w:szCs w:val="22"/>
          <w:highlight w:val="none"/>
          <w:lang w:val="en-US" w:eastAsia="zh-CN"/>
        </w:rPr>
        <w:t>3</w:t>
      </w:r>
      <w:r>
        <w:rPr>
          <w:rFonts w:hint="eastAsia" w:ascii="宋体" w:hAnsi="宋体" w:eastAsia="宋体" w:cs="宋体"/>
          <w:b/>
          <w:color w:val="auto"/>
          <w:sz w:val="22"/>
          <w:szCs w:val="22"/>
          <w:highlight w:val="none"/>
        </w:rPr>
        <w:t xml:space="preserve"> 商务技术文件</w:t>
      </w:r>
      <w:r>
        <w:rPr>
          <w:rFonts w:hint="eastAsia" w:ascii="宋体" w:hAnsi="宋体" w:eastAsia="宋体" w:cs="宋体"/>
          <w:color w:val="auto"/>
          <w:sz w:val="22"/>
          <w:szCs w:val="22"/>
          <w:highlight w:val="none"/>
        </w:rPr>
        <w:t xml:space="preserve">（应该有的必须提供,如未提供,谈判小组有权拒绝其竞争性谈判响应文件） </w:t>
      </w:r>
    </w:p>
    <w:p w14:paraId="5BE18EB6">
      <w:pPr>
        <w:adjustRightInd w:val="0"/>
        <w:snapToGrid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▲（1）谈判书（附件</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（必须提供）；</w:t>
      </w:r>
    </w:p>
    <w:p w14:paraId="6D7D26A5">
      <w:pPr>
        <w:adjustRightInd w:val="0"/>
        <w:snapToGrid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▲（2）商务、技术响应、偏离情况说明表（附件</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（必须提供）；</w:t>
      </w:r>
    </w:p>
    <w:p w14:paraId="39B2BBD2">
      <w:pPr>
        <w:adjustRightInd w:val="0"/>
        <w:snapToGrid w:val="0"/>
        <w:spacing w:line="360" w:lineRule="auto"/>
        <w:ind w:firstLine="220" w:firstLineChars="1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法定代表人(负责人)授权委托书原件和委托代理人身份证复印件（</w:t>
      </w:r>
      <w:r>
        <w:rPr>
          <w:rFonts w:hint="eastAsia" w:ascii="宋体" w:hAnsi="宋体" w:eastAsia="宋体" w:cs="宋体"/>
          <w:b/>
          <w:color w:val="auto"/>
          <w:sz w:val="22"/>
          <w:szCs w:val="22"/>
          <w:highlight w:val="none"/>
        </w:rPr>
        <w:t>委托代理时</w:t>
      </w:r>
      <w:r>
        <w:rPr>
          <w:rFonts w:hint="eastAsia" w:ascii="宋体" w:hAnsi="宋体" w:eastAsia="宋体" w:cs="宋体"/>
          <w:b/>
          <w:bCs/>
          <w:color w:val="auto"/>
          <w:sz w:val="22"/>
          <w:szCs w:val="22"/>
          <w:highlight w:val="none"/>
        </w:rPr>
        <w:t>必须提供</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附件</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3BAE938E">
      <w:pPr>
        <w:adjustRightInd w:val="0"/>
        <w:snapToGrid w:val="0"/>
        <w:spacing w:line="360" w:lineRule="auto"/>
        <w:ind w:firstLine="220" w:firstLineChars="1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▲（4）法定代表人(负责人)身份证复印件</w:t>
      </w:r>
      <w:r>
        <w:rPr>
          <w:rFonts w:hint="eastAsia" w:ascii="宋体" w:hAnsi="宋体" w:eastAsia="宋体" w:cs="宋体"/>
          <w:b/>
          <w:color w:val="auto"/>
          <w:sz w:val="22"/>
          <w:szCs w:val="22"/>
          <w:highlight w:val="none"/>
        </w:rPr>
        <w:t>【法定代表人(负责人)参加谈判时，必须提供】；</w:t>
      </w:r>
    </w:p>
    <w:p w14:paraId="7777EA24">
      <w:pPr>
        <w:adjustRightInd w:val="0"/>
        <w:snapToGrid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）承诺函（</w:t>
      </w:r>
      <w:r>
        <w:rPr>
          <w:rFonts w:hint="eastAsia" w:ascii="宋体" w:hAnsi="宋体" w:cs="宋体"/>
          <w:color w:val="auto"/>
          <w:highlight w:val="none"/>
        </w:rPr>
        <w:t>格式见第四章</w:t>
      </w:r>
      <w:r>
        <w:rPr>
          <w:rFonts w:hint="eastAsia" w:ascii="宋体" w:hAnsi="宋体" w:cs="宋体"/>
          <w:color w:val="auto"/>
          <w:szCs w:val="21"/>
          <w:highlight w:val="none"/>
        </w:rPr>
        <w:t>）</w:t>
      </w:r>
      <w:r>
        <w:rPr>
          <w:rFonts w:hint="eastAsia" w:ascii="宋体" w:hAnsi="宋体" w:cs="宋体"/>
          <w:b/>
          <w:color w:val="auto"/>
          <w:szCs w:val="21"/>
          <w:highlight w:val="none"/>
        </w:rPr>
        <w:t>（必须提供）</w:t>
      </w:r>
      <w:r>
        <w:rPr>
          <w:rFonts w:hint="eastAsia" w:ascii="宋体" w:hAnsi="宋体" w:eastAsia="宋体" w:cs="宋体"/>
          <w:b/>
          <w:color w:val="auto"/>
          <w:sz w:val="22"/>
          <w:szCs w:val="22"/>
          <w:highlight w:val="none"/>
        </w:rPr>
        <w:t>；</w:t>
      </w:r>
    </w:p>
    <w:p w14:paraId="309D1FEE">
      <w:pPr>
        <w:adjustRightInd w:val="0"/>
        <w:snapToGrid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）售后服务承诺书（内容可以是提供的切实可行的售后服务和优惠承诺）（附件</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（格式自拟，必须提供）</w:t>
      </w:r>
      <w:r>
        <w:rPr>
          <w:rFonts w:hint="eastAsia" w:ascii="宋体" w:hAnsi="宋体" w:eastAsia="宋体" w:cs="宋体"/>
          <w:color w:val="auto"/>
          <w:sz w:val="22"/>
          <w:szCs w:val="22"/>
          <w:highlight w:val="none"/>
        </w:rPr>
        <w:t>；</w:t>
      </w:r>
    </w:p>
    <w:p w14:paraId="13CDF364">
      <w:pPr>
        <w:adjustRightInd w:val="0"/>
        <w:snapToGrid w:val="0"/>
        <w:spacing w:line="360" w:lineRule="auto"/>
        <w:ind w:firstLine="220" w:firstLineChars="1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）产品质量保证书（附件</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（必须提供）；</w:t>
      </w:r>
    </w:p>
    <w:p w14:paraId="653B5B62">
      <w:pPr>
        <w:pStyle w:val="2"/>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（8）采购需求中要求必须提供的材料等</w:t>
      </w:r>
      <w:r>
        <w:rPr>
          <w:rFonts w:hint="eastAsia" w:ascii="宋体" w:hAnsi="宋体" w:eastAsia="宋体" w:cs="宋体"/>
          <w:b/>
          <w:bCs/>
          <w:color w:val="auto"/>
          <w:sz w:val="22"/>
          <w:szCs w:val="22"/>
          <w:highlight w:val="none"/>
          <w:lang w:val="en-US" w:eastAsia="zh-CN"/>
        </w:rPr>
        <w:t>（如有规定,则必须提供）</w:t>
      </w:r>
      <w:r>
        <w:rPr>
          <w:rFonts w:hint="eastAsia" w:ascii="宋体" w:hAnsi="宋体" w:eastAsia="宋体" w:cs="宋体"/>
          <w:color w:val="auto"/>
          <w:sz w:val="22"/>
          <w:szCs w:val="22"/>
          <w:highlight w:val="none"/>
          <w:lang w:val="en-US" w:eastAsia="zh-CN"/>
        </w:rPr>
        <w:t>；</w:t>
      </w:r>
    </w:p>
    <w:p w14:paraId="145D45E4">
      <w:pPr>
        <w:numPr>
          <w:ilvl w:val="0"/>
          <w:numId w:val="0"/>
        </w:numP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生产、销售许可证</w:t>
      </w:r>
      <w:r>
        <w:rPr>
          <w:rFonts w:hint="eastAsia" w:ascii="宋体" w:hAnsi="宋体" w:cs="宋体"/>
          <w:color w:val="auto"/>
          <w:highlight w:val="none"/>
        </w:rPr>
        <w:t>（如国家实行强制性要求的，则必须提供）</w:t>
      </w:r>
      <w:r>
        <w:rPr>
          <w:rFonts w:hint="eastAsia" w:ascii="宋体" w:hAnsi="宋体" w:eastAsia="宋体" w:cs="宋体"/>
          <w:color w:val="auto"/>
          <w:sz w:val="22"/>
          <w:szCs w:val="22"/>
          <w:highlight w:val="none"/>
        </w:rPr>
        <w:t>；</w:t>
      </w:r>
    </w:p>
    <w:p w14:paraId="61A63642">
      <w:pP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）货物制造、检验、测试、验收执行的标准；</w:t>
      </w:r>
    </w:p>
    <w:p w14:paraId="4B2D4445">
      <w:pP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11</w:t>
      </w:r>
      <w:r>
        <w:rPr>
          <w:rFonts w:hint="eastAsia" w:ascii="宋体" w:hAnsi="宋体" w:eastAsia="宋体" w:cs="宋体"/>
          <w:color w:val="auto"/>
          <w:sz w:val="22"/>
          <w:szCs w:val="22"/>
          <w:highlight w:val="none"/>
        </w:rPr>
        <w:t>）货物认证、检测报告、鉴定证书等；</w:t>
      </w:r>
    </w:p>
    <w:p w14:paraId="50EA1B36">
      <w:pPr>
        <w:pStyle w:val="2"/>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谈判供应商认为需要提供的有关资料。</w:t>
      </w:r>
    </w:p>
    <w:p w14:paraId="48CB2AC1">
      <w:pPr>
        <w:pStyle w:val="10"/>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jc w:val="left"/>
        <w:textAlignment w:val="auto"/>
        <w:rPr>
          <w:rFonts w:hint="eastAsia" w:hAnsi="宋体" w:cs="宋体"/>
          <w:b/>
          <w:color w:val="auto"/>
          <w:sz w:val="22"/>
          <w:szCs w:val="22"/>
          <w:highlight w:val="none"/>
        </w:rPr>
      </w:pPr>
      <w:r>
        <w:rPr>
          <w:rFonts w:hint="eastAsia" w:hAnsi="宋体" w:cs="宋体"/>
          <w:b/>
          <w:color w:val="auto"/>
          <w:sz w:val="22"/>
          <w:szCs w:val="22"/>
          <w:highlight w:val="none"/>
        </w:rPr>
        <w:t>特别说明：（1）</w:t>
      </w:r>
      <w:r>
        <w:rPr>
          <w:rFonts w:hint="eastAsia" w:hAnsi="宋体" w:cs="宋体"/>
          <w:b/>
          <w:color w:val="auto"/>
          <w:sz w:val="22"/>
          <w:szCs w:val="22"/>
          <w:highlight w:val="none"/>
          <w:u w:val="single"/>
        </w:rPr>
        <w:t>响应文件中所须加盖公章部分均采用CA签章。若谈判文件中有专门标注的某关联点，并要求供应商在电子投标系统中作出谈判响应的，如供应商未对关联点进行响应或者在响应文件其它内容进行描述，造成电子评审不能查询的责任由供应商自行承担。</w:t>
      </w:r>
    </w:p>
    <w:p w14:paraId="1EF04669">
      <w:pPr>
        <w:pStyle w:val="10"/>
        <w:keepNext w:val="0"/>
        <w:keepLines w:val="0"/>
        <w:pageBreakBefore w:val="0"/>
        <w:widowControl w:val="0"/>
        <w:kinsoku/>
        <w:wordWrap/>
        <w:overflowPunct/>
        <w:topLinePunct w:val="0"/>
        <w:autoSpaceDE/>
        <w:autoSpaceDN/>
        <w:bidi w:val="0"/>
        <w:adjustRightInd w:val="0"/>
        <w:snapToGrid w:val="0"/>
        <w:spacing w:line="360" w:lineRule="auto"/>
        <w:ind w:left="103" w:leftChars="49" w:firstLine="329" w:firstLineChars="149"/>
        <w:jc w:val="left"/>
        <w:textAlignment w:val="auto"/>
        <w:rPr>
          <w:rFonts w:hint="eastAsia" w:hAnsi="宋体" w:cs="宋体"/>
          <w:b/>
          <w:color w:val="auto"/>
          <w:sz w:val="22"/>
          <w:szCs w:val="22"/>
          <w:highlight w:val="none"/>
          <w:u w:val="single"/>
        </w:rPr>
      </w:pPr>
      <w:r>
        <w:rPr>
          <w:rFonts w:hint="eastAsia" w:hAnsi="宋体" w:cs="宋体"/>
          <w:b/>
          <w:color w:val="auto"/>
          <w:sz w:val="22"/>
          <w:szCs w:val="22"/>
          <w:highlight w:val="none"/>
        </w:rPr>
        <w:t>（2）</w:t>
      </w:r>
      <w:r>
        <w:rPr>
          <w:rFonts w:hint="eastAsia" w:hAnsi="宋体" w:cs="宋体"/>
          <w:b/>
          <w:color w:val="auto"/>
          <w:sz w:val="22"/>
          <w:szCs w:val="22"/>
          <w:highlight w:val="none"/>
          <w:u w:val="single"/>
        </w:rPr>
        <w:t>谈判文件要求提供的各种复印件，须加盖谈判供应商CA签章，否则其无效。</w:t>
      </w:r>
    </w:p>
    <w:p w14:paraId="77FE3ACF">
      <w:pPr>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cs="宋体"/>
          <w:b/>
          <w:color w:val="auto"/>
          <w:sz w:val="22"/>
          <w:szCs w:val="22"/>
          <w:highlight w:val="none"/>
          <w:u w:val="single"/>
        </w:rPr>
      </w:pPr>
      <w:r>
        <w:rPr>
          <w:rFonts w:hint="eastAsia" w:ascii="宋体" w:hAnsi="宋体" w:cs="宋体"/>
          <w:b/>
          <w:color w:val="auto"/>
          <w:sz w:val="22"/>
          <w:szCs w:val="22"/>
          <w:highlight w:val="none"/>
          <w:u w:val="none"/>
        </w:rPr>
        <w:t>（</w:t>
      </w:r>
      <w:r>
        <w:rPr>
          <w:rFonts w:hint="eastAsia" w:ascii="宋体" w:hAnsi="宋体" w:cs="宋体"/>
          <w:b/>
          <w:color w:val="auto"/>
          <w:sz w:val="22"/>
          <w:szCs w:val="22"/>
          <w:highlight w:val="none"/>
          <w:u w:val="none"/>
          <w:lang w:val="en-US" w:eastAsia="zh-CN"/>
        </w:rPr>
        <w:t>3</w:t>
      </w:r>
      <w:r>
        <w:rPr>
          <w:rFonts w:hint="eastAsia" w:ascii="宋体" w:hAnsi="宋体" w:cs="宋体"/>
          <w:b/>
          <w:color w:val="auto"/>
          <w:sz w:val="22"/>
          <w:szCs w:val="22"/>
          <w:highlight w:val="none"/>
          <w:u w:val="none"/>
        </w:rPr>
        <w:t>）</w:t>
      </w:r>
      <w:r>
        <w:rPr>
          <w:rFonts w:hint="eastAsia" w:ascii="宋体" w:hAnsi="宋体" w:cs="宋体"/>
          <w:b/>
          <w:color w:val="auto"/>
          <w:sz w:val="22"/>
          <w:szCs w:val="22"/>
          <w:highlight w:val="none"/>
          <w:u w:val="single"/>
        </w:rPr>
        <w:t>谈判文件要求“必须提供”的证明等材料，谈判供应商必须全部提供，缺一不可，否则谈判无效。</w:t>
      </w:r>
    </w:p>
    <w:p w14:paraId="07B425D6">
      <w:pPr>
        <w:pStyle w:val="2"/>
        <w:keepNext w:val="0"/>
        <w:keepLines w:val="0"/>
        <w:pageBreakBefore w:val="0"/>
        <w:widowControl w:val="0"/>
        <w:kinsoku/>
        <w:wordWrap/>
        <w:overflowPunct/>
        <w:topLinePunct w:val="0"/>
        <w:autoSpaceDE/>
        <w:autoSpaceDN/>
        <w:bidi w:val="0"/>
        <w:spacing w:line="360" w:lineRule="auto"/>
        <w:textAlignment w:val="auto"/>
        <w:rPr>
          <w:rFonts w:hint="eastAsia"/>
          <w:color w:val="auto"/>
          <w:highlight w:val="none"/>
        </w:rPr>
      </w:pPr>
      <w:r>
        <w:rPr>
          <w:rFonts w:hint="eastAsia" w:ascii="宋体" w:hAnsi="宋体" w:cs="宋体" w:eastAsiaTheme="minorEastAsia"/>
          <w:b/>
          <w:color w:val="auto"/>
          <w:kern w:val="2"/>
          <w:sz w:val="22"/>
          <w:szCs w:val="22"/>
          <w:highlight w:val="none"/>
          <w:lang w:val="en-US" w:eastAsia="zh-CN" w:bidi="ar-SA"/>
        </w:rPr>
        <w:t>（4）</w:t>
      </w:r>
      <w:r>
        <w:rPr>
          <w:rFonts w:hint="eastAsia" w:ascii="宋体" w:hAnsi="宋体" w:cs="宋体" w:eastAsiaTheme="minorEastAsia"/>
          <w:b/>
          <w:color w:val="auto"/>
          <w:kern w:val="2"/>
          <w:sz w:val="22"/>
          <w:szCs w:val="22"/>
          <w:highlight w:val="none"/>
          <w:u w:val="single"/>
          <w:lang w:val="en-US" w:eastAsia="zh-CN" w:bidi="ar-SA"/>
        </w:rPr>
        <w:t>谈判文件要求法定代表人（负责人）或委托代理人签字的部分必须签字，无签字的视为无效。</w:t>
      </w:r>
    </w:p>
    <w:p w14:paraId="1FA656A4">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6. 计量单位</w:t>
      </w:r>
    </w:p>
    <w:p w14:paraId="02DE59BA">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6.1除技术要求中另有规定外，本文件所要求使用的计量单位均应采用国家法定计量单位。</w:t>
      </w:r>
    </w:p>
    <w:p w14:paraId="3509B414">
      <w:pPr>
        <w:adjustRightInd w:val="0"/>
        <w:snapToGrid w:val="0"/>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三.报价要求</w:t>
      </w:r>
    </w:p>
    <w:p w14:paraId="41FF2FFC">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7.1对于本文件中未列明，而谈判供应商认为必需的费用也需列入总报价。在合同实施时，采购人将不予支付成交供应商没有列入的项目费用，并认为此项目的费用已包括在总报价中。</w:t>
      </w:r>
    </w:p>
    <w:p w14:paraId="1E2D21D5">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7.2成交供应商负责本项目所需货物的制造、运输、售后服务等全部工作。</w:t>
      </w:r>
    </w:p>
    <w:p w14:paraId="262DFDB0">
      <w:pPr>
        <w:pStyle w:val="10"/>
        <w:adjustRightInd w:val="0"/>
        <w:snapToGrid w:val="0"/>
        <w:spacing w:line="360" w:lineRule="auto"/>
        <w:ind w:firstLine="440" w:firstLineChars="200"/>
        <w:rPr>
          <w:rFonts w:hint="eastAsia" w:hAnsi="宋体" w:cs="宋体"/>
          <w:color w:val="auto"/>
          <w:spacing w:val="-4"/>
          <w:sz w:val="22"/>
          <w:szCs w:val="22"/>
          <w:highlight w:val="none"/>
        </w:rPr>
      </w:pPr>
      <w:r>
        <w:rPr>
          <w:rFonts w:hint="eastAsia" w:hAnsi="宋体" w:cs="宋体"/>
          <w:color w:val="auto"/>
          <w:sz w:val="22"/>
          <w:szCs w:val="22"/>
          <w:highlight w:val="none"/>
        </w:rPr>
        <w:t>7.3</w:t>
      </w:r>
      <w:r>
        <w:rPr>
          <w:rFonts w:hint="eastAsia" w:hAnsi="宋体" w:cs="宋体"/>
          <w:color w:val="auto"/>
          <w:spacing w:val="-4"/>
          <w:sz w:val="22"/>
          <w:szCs w:val="22"/>
          <w:highlight w:val="none"/>
        </w:rPr>
        <w:t>谈判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谈判响应文件的解释发生异议的，以中文文本为准。除上述原因以外，如果因谈判供应商原因引起的报价失误，并在谈判时被接受，其后果由谈判供应商自负。</w:t>
      </w:r>
    </w:p>
    <w:p w14:paraId="62731D01">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7.4报价：谈判供应商可就《采购需求》中所有的货物和服务内容作完整唯一报价，也可对某个分标或几个分标的货物和服务内容按分标分别作完整唯一报价。</w:t>
      </w:r>
    </w:p>
    <w:p w14:paraId="5022DC46">
      <w:pPr>
        <w:adjustRightInd w:val="0"/>
        <w:snapToGrid w:val="0"/>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四.竞争性谈判响应文件的封装和递交</w:t>
      </w:r>
    </w:p>
    <w:p w14:paraId="368BB260">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8.</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 xml:space="preserve"> 竞争性谈判响应文件的封装</w:t>
      </w:r>
    </w:p>
    <w:p w14:paraId="571630D9">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（1）电子谈判响应文件中须加盖供应商公章部分均采用 CA 签章，并根据“政府采购项目电子交易管理操作指南-供应商” 及本谈判文件规定的格式和顺序编制电子谈判响应文件并进行关联定位，以便谈判小组在评时时，点击评分项可直接定位到该评分项内容。如对谈判文件的某项要求，供应商的电子谈判响应文件未能关联定位提供相应的内容与其对应，则谈判小组在评审时如做出对供应商不利的评审由供应商自行承担。电子谈判响应文件如内容不完整、编排混乱导致谈判响应文件被误读、漏读，或者在按采购文件规定的部位查找不到相关内容的，由供应商自行承担。</w:t>
      </w:r>
    </w:p>
    <w:p w14:paraId="38C0B9A3">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（2）CA 签章上目前没有法人（负责人）或授权代表签字信息，供应商在谈判响应文件中涉及到签字的位置</w:t>
      </w:r>
      <w:r>
        <w:rPr>
          <w:rFonts w:hint="eastAsia" w:ascii="宋体" w:hAnsi="宋体" w:cs="宋体"/>
          <w:color w:val="auto"/>
          <w:sz w:val="22"/>
          <w:szCs w:val="22"/>
          <w:highlight w:val="none"/>
          <w:lang w:eastAsia="zh-CN"/>
        </w:rPr>
        <w:t>必须签字</w:t>
      </w:r>
      <w:r>
        <w:rPr>
          <w:rFonts w:hint="eastAsia" w:ascii="宋体" w:hAnsi="宋体" w:cs="宋体"/>
          <w:color w:val="auto"/>
          <w:sz w:val="22"/>
          <w:szCs w:val="22"/>
          <w:highlight w:val="none"/>
        </w:rPr>
        <w:t>。</w:t>
      </w:r>
    </w:p>
    <w:p w14:paraId="6B131BC7">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（3）谈判响应文件不得涂改，若有修改错漏处，须法定代表人（负责人）或授权委托人签字。谈判响应文件因字迹潦草或表达不清所引起的后果由供应商负责。</w:t>
      </w:r>
    </w:p>
    <w:p w14:paraId="444F11B4">
      <w:pPr>
        <w:keepNext w:val="0"/>
        <w:keepLines w:val="0"/>
        <w:pageBreakBefore w:val="0"/>
        <w:widowControl w:val="0"/>
        <w:kinsoku/>
        <w:wordWrap/>
        <w:overflowPunct/>
        <w:topLinePunct w:val="0"/>
        <w:bidi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8.2</w:t>
      </w:r>
      <w:r>
        <w:rPr>
          <w:rFonts w:hint="eastAsia" w:ascii="宋体" w:hAnsi="宋体" w:cs="宋体"/>
          <w:color w:val="auto"/>
          <w:sz w:val="22"/>
          <w:szCs w:val="22"/>
          <w:highlight w:val="none"/>
        </w:rPr>
        <w:t>供应商应当准备电子谈判响应文件、可以准备以介质存储的数据电文形式的电子备份谈判响应文件：</w:t>
      </w:r>
    </w:p>
    <w:p w14:paraId="28FE759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电子谈判响应文件按</w:t>
      </w:r>
      <w:r>
        <w:rPr>
          <w:rFonts w:hint="eastAsia" w:ascii="宋体" w:hAnsi="宋体" w:cs="宋体"/>
          <w:color w:val="auto"/>
          <w:sz w:val="22"/>
          <w:szCs w:val="22"/>
          <w:highlight w:val="none"/>
          <w:lang w:eastAsia="zh-CN"/>
        </w:rPr>
        <w:t>广西政府采购云平台</w:t>
      </w:r>
      <w:r>
        <w:rPr>
          <w:rFonts w:hint="eastAsia" w:ascii="宋体" w:hAnsi="宋体" w:cs="宋体"/>
          <w:color w:val="auto"/>
          <w:sz w:val="22"/>
          <w:szCs w:val="22"/>
          <w:highlight w:val="none"/>
        </w:rPr>
        <w:t>要求及本谈判文件要求制作、加密并递交。</w:t>
      </w:r>
    </w:p>
    <w:p w14:paraId="0D89196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以介质存储的数据电文形式的电子备份谈判响应文件，按</w:t>
      </w:r>
      <w:r>
        <w:rPr>
          <w:rFonts w:hint="eastAsia" w:ascii="宋体" w:hAnsi="宋体" w:cs="宋体"/>
          <w:color w:val="auto"/>
          <w:sz w:val="22"/>
          <w:szCs w:val="22"/>
          <w:highlight w:val="none"/>
          <w:lang w:eastAsia="zh-CN"/>
        </w:rPr>
        <w:t>广西政府采购云平台</w:t>
      </w:r>
      <w:r>
        <w:rPr>
          <w:rFonts w:hint="eastAsia" w:ascii="宋体" w:hAnsi="宋体" w:cs="宋体"/>
          <w:color w:val="auto"/>
          <w:sz w:val="22"/>
          <w:szCs w:val="22"/>
          <w:highlight w:val="none"/>
        </w:rPr>
        <w:t>项目采购-电子招投标操作指南中上传的电子备份谈判响应文件格式，以DVD光盘或者U盘等形式提供。数量为1份。</w:t>
      </w:r>
    </w:p>
    <w:p w14:paraId="343E005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电子谈判响应文件启用顺序和效力。电子谈判响应文件的启用，按先后顺位分别为电子谈判响应文件、以介质存储的数据电文形式的电子备份谈判响应文件。顺位在先的谈判响应文件已按时解密的，下一顺位谈判响应文件自动失效。在下一顺位的谈判响应文件启用时，前一顺位的谈判响应文件自动失效。</w:t>
      </w:r>
    </w:p>
    <w:p w14:paraId="20992E0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未传输递交电子谈判响应文件的，谈判无效。</w:t>
      </w:r>
    </w:p>
    <w:p w14:paraId="50274FE5">
      <w:pPr>
        <w:adjustRightInd w:val="0"/>
        <w:snapToGrid w:val="0"/>
        <w:spacing w:line="360" w:lineRule="auto"/>
        <w:ind w:firstLine="440" w:firstLineChars="200"/>
        <w:rPr>
          <w:rFonts w:hint="default" w:ascii="宋体" w:hAnsi="宋体" w:cs="宋体" w:eastAsiaTheme="minorEastAsia"/>
          <w:color w:val="auto"/>
          <w:sz w:val="22"/>
          <w:szCs w:val="22"/>
          <w:highlight w:val="none"/>
          <w:lang w:val="en-US" w:eastAsia="zh-CN"/>
        </w:rPr>
      </w:pPr>
      <w:r>
        <w:rPr>
          <w:rFonts w:hint="eastAsia" w:ascii="宋体" w:hAnsi="宋体" w:cs="宋体"/>
          <w:color w:val="auto"/>
          <w:sz w:val="22"/>
          <w:szCs w:val="22"/>
          <w:highlight w:val="none"/>
        </w:rPr>
        <w:t>未按规定提供相应的备份谈判响应文件，造成项目开评标活动无法进行下去的，谈判无效。</w:t>
      </w:r>
    </w:p>
    <w:p w14:paraId="7AD3EE6D">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9. 竞争性谈判响应文件的递交</w:t>
      </w:r>
    </w:p>
    <w:p w14:paraId="751D7CEE">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9.1所有竞争性谈判响应文件应于竞争性谈判文件中规定的时间前上传递交至</w:t>
      </w:r>
      <w:r>
        <w:rPr>
          <w:rFonts w:hint="eastAsia" w:ascii="宋体" w:hAnsi="宋体" w:cs="宋体"/>
          <w:color w:val="auto"/>
          <w:sz w:val="22"/>
          <w:szCs w:val="22"/>
          <w:highlight w:val="none"/>
          <w:lang w:eastAsia="zh-CN"/>
        </w:rPr>
        <w:t>广西政府采购云平台</w:t>
      </w:r>
      <w:r>
        <w:rPr>
          <w:rFonts w:hint="eastAsia" w:ascii="宋体" w:hAnsi="宋体" w:cs="宋体"/>
          <w:color w:val="auto"/>
          <w:sz w:val="22"/>
          <w:szCs w:val="22"/>
          <w:highlight w:val="none"/>
        </w:rPr>
        <w:t>。</w:t>
      </w:r>
    </w:p>
    <w:p w14:paraId="569F8873">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电子</w:t>
      </w:r>
      <w:r>
        <w:rPr>
          <w:rFonts w:hint="eastAsia" w:ascii="宋体" w:hAnsi="宋体" w:cs="宋体"/>
          <w:color w:val="auto"/>
          <w:sz w:val="22"/>
          <w:szCs w:val="22"/>
          <w:highlight w:val="none"/>
          <w:lang w:eastAsia="zh-CN"/>
        </w:rPr>
        <w:t>谈判</w:t>
      </w:r>
      <w:r>
        <w:rPr>
          <w:rFonts w:hint="eastAsia" w:ascii="宋体" w:hAnsi="宋体" w:cs="宋体"/>
          <w:color w:val="auto"/>
          <w:sz w:val="22"/>
          <w:szCs w:val="22"/>
          <w:highlight w:val="none"/>
        </w:rPr>
        <w:t>文件的相关说明</w:t>
      </w:r>
    </w:p>
    <w:p w14:paraId="09623A42">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供应商进行电子投标应安装客户端软件，并按照采购文件和电子交易平台的要求编制并加密谈判响应文件。供应商未按规定加密的谈判响应文件，电子交易平台将拒收。供应商应当在谈判截止时间前完成谈判响应文件的传输递交，且可以补充、修改或者撤回谈判响应文件。补充或者修改谈判响应文件的，应当先行撤回原文件，补充、修改后重新传输递交。谈判截止时间前未完成传输的，视为撤回谈判响应文件。谈判截止时间后递交的谈判响应文件，电子交易平台将拒收。</w:t>
      </w:r>
    </w:p>
    <w:p w14:paraId="2F3A0F5C">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（2）如有特殊情况，采购代理机构延长截止时间和开标时间，采购代理机构和供应商的权利和义务将受到新的截止时间和开标时间的约束。</w:t>
      </w:r>
    </w:p>
    <w:p w14:paraId="5EF1CACC">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9.2竞争性谈判响应文件从响应文件递交截止日期后</w:t>
      </w:r>
      <w:r>
        <w:rPr>
          <w:rFonts w:hint="eastAsia" w:ascii="宋体" w:hAnsi="宋体" w:cs="宋体"/>
          <w:color w:val="auto"/>
          <w:sz w:val="22"/>
          <w:szCs w:val="22"/>
          <w:highlight w:val="none"/>
          <w:u w:val="single"/>
        </w:rPr>
        <w:t xml:space="preserve"> 60 </w:t>
      </w:r>
      <w:r>
        <w:rPr>
          <w:rFonts w:hint="eastAsia" w:ascii="宋体" w:hAnsi="宋体" w:cs="宋体"/>
          <w:color w:val="auto"/>
          <w:sz w:val="22"/>
          <w:szCs w:val="22"/>
          <w:highlight w:val="none"/>
        </w:rPr>
        <w:t>天内有效。</w:t>
      </w:r>
    </w:p>
    <w:p w14:paraId="7FF9D296">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10.迟交的竞争性谈判响应文件</w:t>
      </w:r>
    </w:p>
    <w:p w14:paraId="025FD3F6">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10.1在本文件要求竞争性谈判响应文件提交截止时间后送达的竞争性谈判响应文件为无效文件，采购代理机构将拒收。</w:t>
      </w:r>
    </w:p>
    <w:p w14:paraId="3DF0F88E">
      <w:pPr>
        <w:pStyle w:val="2"/>
        <w:spacing w:line="360" w:lineRule="auto"/>
        <w:rPr>
          <w:rFonts w:hint="default" w:eastAsiaTheme="minorEastAsia"/>
          <w:color w:val="auto"/>
          <w:highlight w:val="none"/>
          <w:lang w:val="en-US" w:eastAsia="zh-CN"/>
        </w:rPr>
      </w:pPr>
      <w:r>
        <w:rPr>
          <w:rFonts w:hint="eastAsia" w:ascii="宋体" w:hAnsi="宋体" w:cs="宋体"/>
          <w:color w:val="auto"/>
          <w:sz w:val="22"/>
          <w:szCs w:val="22"/>
          <w:highlight w:val="none"/>
          <w:lang w:val="en-US" w:eastAsia="zh-CN"/>
        </w:rPr>
        <w:t>11.1谈判</w:t>
      </w:r>
      <w:r>
        <w:rPr>
          <w:rFonts w:hint="eastAsia" w:ascii="宋体" w:hAnsi="宋体" w:eastAsia="宋体" w:cs="宋体"/>
          <w:color w:val="auto"/>
          <w:sz w:val="22"/>
          <w:szCs w:val="22"/>
          <w:highlight w:val="none"/>
        </w:rPr>
        <w:t>保证金：</w:t>
      </w:r>
      <w:r>
        <w:rPr>
          <w:rFonts w:hint="eastAsia" w:ascii="宋体" w:hAnsi="宋体" w:eastAsia="宋体" w:cs="宋体"/>
          <w:color w:val="auto"/>
          <w:sz w:val="22"/>
          <w:szCs w:val="22"/>
          <w:highlight w:val="none"/>
          <w:lang w:val="en-US" w:eastAsia="zh-CN"/>
        </w:rPr>
        <w:t>不收取</w:t>
      </w:r>
      <w:r>
        <w:rPr>
          <w:rFonts w:hint="eastAsia" w:ascii="宋体" w:hAnsi="宋体" w:eastAsia="宋体" w:cs="宋体"/>
          <w:bCs/>
          <w:color w:val="auto"/>
          <w:sz w:val="22"/>
          <w:szCs w:val="22"/>
          <w:highlight w:val="none"/>
        </w:rPr>
        <w:t>。</w:t>
      </w:r>
    </w:p>
    <w:p w14:paraId="42488C62">
      <w:pPr>
        <w:tabs>
          <w:tab w:val="left" w:pos="975"/>
        </w:tabs>
        <w:adjustRightInd w:val="0"/>
        <w:snapToGrid w:val="0"/>
        <w:spacing w:line="360" w:lineRule="auto"/>
        <w:ind w:firstLine="433" w:firstLineChars="196"/>
        <w:jc w:val="lef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注：</w:t>
      </w:r>
      <w:r>
        <w:rPr>
          <w:rFonts w:hint="eastAsia" w:ascii="宋体" w:hAnsi="宋体" w:cs="宋体"/>
          <w:color w:val="auto"/>
          <w:kern w:val="0"/>
          <w:sz w:val="22"/>
          <w:szCs w:val="22"/>
          <w:highlight w:val="none"/>
        </w:rPr>
        <w:t>在采购过程中符合竞争要求的供应商或者报价未超过采购预算的供应商不足3家的</w:t>
      </w:r>
      <w:r>
        <w:rPr>
          <w:rFonts w:hint="eastAsia" w:ascii="宋体" w:hAnsi="宋体" w:cs="宋体"/>
          <w:b/>
          <w:bCs/>
          <w:color w:val="auto"/>
          <w:sz w:val="22"/>
          <w:szCs w:val="22"/>
          <w:highlight w:val="none"/>
        </w:rPr>
        <w:t>，采购代理机构将按政府采购管理的有关规定处理。</w:t>
      </w:r>
    </w:p>
    <w:p w14:paraId="615DF569">
      <w:pPr>
        <w:adjustRightInd w:val="0"/>
        <w:snapToGrid w:val="0"/>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五.谈判程序及评定标准</w:t>
      </w:r>
    </w:p>
    <w:p w14:paraId="6046D715">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12．谈判程序</w:t>
      </w:r>
    </w:p>
    <w:p w14:paraId="13EB9694">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12.1谈判响应文件递交截止时间后，主持人宣布谈判开始。</w:t>
      </w:r>
    </w:p>
    <w:p w14:paraId="33E496E5">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12.2供应商登录</w:t>
      </w:r>
      <w:r>
        <w:rPr>
          <w:rFonts w:hint="eastAsia" w:ascii="宋体" w:hAnsi="宋体" w:cs="宋体"/>
          <w:color w:val="auto"/>
          <w:sz w:val="22"/>
          <w:szCs w:val="22"/>
          <w:highlight w:val="none"/>
          <w:lang w:eastAsia="zh-CN"/>
        </w:rPr>
        <w:t>广西政府采购云平台</w:t>
      </w:r>
      <w:r>
        <w:rPr>
          <w:rFonts w:hint="eastAsia" w:ascii="宋体" w:hAnsi="宋体" w:cs="宋体"/>
          <w:color w:val="auto"/>
          <w:sz w:val="22"/>
          <w:szCs w:val="22"/>
          <w:highlight w:val="none"/>
        </w:rPr>
        <w:t>，用“项目采购-开标评标”功能对电子谈判响应文件进行在线解密。在线解密电子谈判响应文件时间为开标时间起</w:t>
      </w:r>
      <w:r>
        <w:rPr>
          <w:rFonts w:hint="eastAsia" w:ascii="宋体" w:hAnsi="宋体" w:cs="宋体"/>
          <w:color w:val="auto"/>
          <w:sz w:val="22"/>
          <w:szCs w:val="22"/>
          <w:highlight w:val="none"/>
          <w:lang w:val="en-US" w:eastAsia="zh-CN"/>
        </w:rPr>
        <w:t>30分钟</w:t>
      </w:r>
      <w:r>
        <w:rPr>
          <w:rFonts w:hint="eastAsia" w:ascii="宋体" w:hAnsi="宋体" w:cs="宋体"/>
          <w:color w:val="auto"/>
          <w:sz w:val="22"/>
          <w:szCs w:val="22"/>
          <w:highlight w:val="none"/>
        </w:rPr>
        <w:t>内。</w:t>
      </w:r>
    </w:p>
    <w:p w14:paraId="4073CA79">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12.3谈判小组对谈判响应文件进行评估和比较。</w:t>
      </w:r>
    </w:p>
    <w:p w14:paraId="099E6A99">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12.4以</w:t>
      </w:r>
      <w:r>
        <w:rPr>
          <w:rFonts w:hint="eastAsia" w:ascii="宋体" w:hAnsi="宋体" w:cs="宋体"/>
          <w:color w:val="auto"/>
          <w:sz w:val="22"/>
          <w:szCs w:val="22"/>
          <w:highlight w:val="none"/>
          <w:lang w:eastAsia="zh-CN"/>
        </w:rPr>
        <w:t>广西政府采购云平台</w:t>
      </w:r>
      <w:r>
        <w:rPr>
          <w:rFonts w:hint="eastAsia" w:ascii="宋体" w:hAnsi="宋体" w:cs="宋体"/>
          <w:color w:val="auto"/>
          <w:sz w:val="22"/>
          <w:szCs w:val="22"/>
          <w:highlight w:val="none"/>
        </w:rPr>
        <w:t>中“项目采购”应用模块获取谈判文件顺序确定各供应商谈判、顺序。</w:t>
      </w:r>
    </w:p>
    <w:p w14:paraId="30763FD5">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12.5谈判小组与单一供应商分别进行谈判。（谈判时供应商的技术资料、价格和其他信息在评审、谈判过程中保密）</w:t>
      </w:r>
    </w:p>
    <w:p w14:paraId="04872536">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12.6谈判小组要求所有实质性响应的供应商在规定时间内提交最后报价（只公开最后报价，最后报价原则上不得高于初次报价）。</w:t>
      </w:r>
    </w:p>
    <w:p w14:paraId="288FF8EA">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12.7由谈判小组采用最低评标价法对提交最后报价的供应商的响应文件和最后报价进行评审，在符合采购需求、质量和服务要求的前提下，按评审价从低到高的顺序推荐确定成交候选供应商。</w:t>
      </w:r>
    </w:p>
    <w:p w14:paraId="6BD7D1D2">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特别说明：政采云公司如对电子化谈判及评审程序有调整的，按调整后的程序操作。</w:t>
      </w:r>
    </w:p>
    <w:p w14:paraId="5D400CEC">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13.采购过程中出现以下情形，导致电子交易平台无法正常运行，或者无法保证电子交易的公平、公正和安全时，采购组织机构可中止电子交易活动：</w:t>
      </w:r>
    </w:p>
    <w:p w14:paraId="06917698">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13.1电子交易平台发生故障而无法登录访问的； </w:t>
      </w:r>
    </w:p>
    <w:p w14:paraId="72EA3E30">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13.2电子交易平台应用或数据库出现错误，不能进行正常操作的；</w:t>
      </w:r>
    </w:p>
    <w:p w14:paraId="1DF3D365">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13.3电子交易平台发现严重安全漏洞，有潜在泄密危险的；</w:t>
      </w:r>
    </w:p>
    <w:p w14:paraId="7927EACD">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13.4病毒发作导致不能进行正常操作的； </w:t>
      </w:r>
    </w:p>
    <w:p w14:paraId="4225C21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13.5其他无法保证电子交易的公平、公正和安全的情况。</w:t>
      </w:r>
    </w:p>
    <w:p w14:paraId="58B295C6">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14:paraId="091C7FD1">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14．谈判内容</w:t>
      </w:r>
    </w:p>
    <w:p w14:paraId="597AE752">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14.1本次谈判内容为在谈判文件范围内就供应商的谈判响应文件，谈判小组与供应商在技术、价格、服务、合同等问题进行谈判，最终确定成交与否。</w:t>
      </w:r>
    </w:p>
    <w:p w14:paraId="6C07E830">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14.2谈判应作书面记录，供应商并就谈判内容作出书面承诺，并由供应商法定代表人或其授权委托人签字后生效，作为谈判响应文件的一部分。</w:t>
      </w:r>
    </w:p>
    <w:p w14:paraId="6FB172E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14.3谈判文件有实质性变动的，谈判小组以书面形式通知所有参加谈判的供应商。</w:t>
      </w:r>
    </w:p>
    <w:p w14:paraId="45F6267C">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15．谈判</w:t>
      </w:r>
    </w:p>
    <w:p w14:paraId="58E87C90">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15.1谈判小组由采购人、采购代理机构依法组建，负责评审活动。谈判小组遵循公开、公平、公正、科学合理、竞争择优的原则。</w:t>
      </w:r>
    </w:p>
    <w:p w14:paraId="3E5B2596">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15.2谈判小组由采购人代表和有关方面专家组成，成员人数为3人以上单数。</w:t>
      </w:r>
    </w:p>
    <w:p w14:paraId="6DF28410">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15.3谈判小组负责对供应商资格的最终审定。</w:t>
      </w:r>
    </w:p>
    <w:p w14:paraId="5BF8D25C">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15.4谈判小组可以要求供应商对其谈判响应文件中含义不明确的内容作必要的澄清或者说明，但澄清或者说明不得超过谈判响应文件的范围或者改变谈判响应文件的实质性内容。</w:t>
      </w:r>
    </w:p>
    <w:p w14:paraId="0BBD5DC2">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15.5谈判小组对谈判响应文件的判定，只依据谈判响应文件和谈判文件内容本身，不依据任何外来证明。</w:t>
      </w:r>
    </w:p>
    <w:p w14:paraId="119B29DB">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15.6谈判小组不向落标方解释落标的原因，不退还谈判响应文件。</w:t>
      </w:r>
    </w:p>
    <w:p w14:paraId="74C070D6">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16.1资格性审查</w:t>
      </w:r>
    </w:p>
    <w:p w14:paraId="402FE3F3">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依据法律、法规和谈判文件规定，对谈判响应文件提供的资格证明及通过“信用中国”网站（www.creditchina.gov.cn）和中国政府采购网（www.ccgp.gov.cn）查询的相关供应商主体信用记录等进行审查，以确定供应商是否具备谈判资格。</w:t>
      </w:r>
    </w:p>
    <w:p w14:paraId="21D472CF">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16.2符合性审查</w:t>
      </w:r>
    </w:p>
    <w:p w14:paraId="2144A56D">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谈判时，谈判小组将首先评定每份谈判响应文件是否在实质上响应了谈判文件要求。所谓实质上的响应，是指谈判响应文件与谈判文件的所有实质性条款、条件和要求相符，无显著差异或保留，或者对合同中约定的采购人的权利和供应商的义务方面造成重大的限制，纠正这些显著差异或保留将会对其他实质上响应谈判文件要求的供应商的竞争地位产生不公正的影响。</w:t>
      </w:r>
    </w:p>
    <w:p w14:paraId="253A1367">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16.3如果谈判响应文件实质不响应谈判文件的各项要求，谈判小组将予以拒绝，并且不允许供应商通过修改或撤销其不符合要求的差异或保留，使之成为具有响应性的谈判。</w:t>
      </w:r>
    </w:p>
    <w:p w14:paraId="7D1508E7">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17. 对明显的文字和计算错误的修正原则</w:t>
      </w:r>
    </w:p>
    <w:p w14:paraId="50301E73">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17.1谈判响应文件中报价一览表（报价表）内容与谈判响应文件中相应内容不一致的，以报价一览表（报价表）为准；</w:t>
      </w:r>
    </w:p>
    <w:p w14:paraId="3A7FF58D">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17.2大写金额和小写金额不一致的，以大写金额为准；</w:t>
      </w:r>
    </w:p>
    <w:p w14:paraId="7C89E76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17.3单价金额小数点或者百分比有明显错位的，以开标一览表的总价为准，并修改单价；</w:t>
      </w:r>
    </w:p>
    <w:p w14:paraId="6F96773C">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17.4总价金额与按单价汇总金额不一致的，以单价金额计算结果为准。</w:t>
      </w:r>
    </w:p>
    <w:p w14:paraId="3AE475CF">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同时出现两种以上不一致的，按照前款规定的顺序修正。修正后的报价经谈判响应人确认后产生约束力，谈判响应人不确认的，其谈判无效。</w:t>
      </w:r>
    </w:p>
    <w:p w14:paraId="35160B1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18.谈判响应文件的评审、比较和否决</w:t>
      </w:r>
    </w:p>
    <w:p w14:paraId="1BE259C7">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18.1谈判小组将对在实质上响应谈判文件要求的谈判响应文件进行评审。</w:t>
      </w:r>
    </w:p>
    <w:p w14:paraId="0E0FE7CD">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18.2在评审过程中，谈判小组可以书面形式要求供应商就谈判响应文件含义不明确的内容进行书面说明并提供相关材料。</w:t>
      </w:r>
    </w:p>
    <w:p w14:paraId="3E28E059">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18.3在谈判过程中，如发现与谈判文件要求相偏离的，谈判小组应对其偏离情形进行必要的书面核实。</w:t>
      </w:r>
    </w:p>
    <w:p w14:paraId="284C654C">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18.4在评审过程中，如属于实质性偏离或符合无效响应条件的，应当询问相关供应商，并允许其进行陈述申辩，但不允许对偏离条款撤回。</w:t>
      </w:r>
    </w:p>
    <w:p w14:paraId="3E24D3FF">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18.5 报价审核。对符合采购需求且通过商务技术（资信）评审的</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的报价的合理性、准确性等进行审查核实。</w:t>
      </w:r>
    </w:p>
    <w:p w14:paraId="7970FB59">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谈判小组认为供应商的报价明显低于其他通过符合性审查供应商的报价，有可能影响产品质量或者不能诚信履约的，应当要求其在谈判现场合理的时间内通过</w:t>
      </w:r>
      <w:r>
        <w:rPr>
          <w:rFonts w:hint="eastAsia" w:ascii="宋体" w:hAnsi="宋体" w:cs="宋体"/>
          <w:color w:val="auto"/>
          <w:sz w:val="22"/>
          <w:szCs w:val="22"/>
          <w:highlight w:val="none"/>
          <w:lang w:eastAsia="zh-CN"/>
        </w:rPr>
        <w:t>广西政府采购云平台</w:t>
      </w:r>
      <w:r>
        <w:rPr>
          <w:rFonts w:hint="eastAsia" w:ascii="宋体" w:hAnsi="宋体" w:cs="宋体"/>
          <w:color w:val="auto"/>
          <w:sz w:val="22"/>
          <w:szCs w:val="22"/>
          <w:highlight w:val="none"/>
        </w:rPr>
        <w:t>提供线上说明，必要时提交相关证明材料。</w:t>
      </w:r>
    </w:p>
    <w:p w14:paraId="083D1781">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根据财政部发布的《政府采购促进中小企业发展管理办法》规定，对于非专门面向中小企业的项目，对小型和微型企业产品的价格给予一定的扣除，用扣除后的价格参与评审。</w:t>
      </w:r>
    </w:p>
    <w:p w14:paraId="50FA5084">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18.6评标委员会依据谈判文件规定的评定标准和方法，对谈判响应文件进行评审后，向本中心提供书面谈判报告，并按评审价从低到高的顺序推荐成交候选供应商。</w:t>
      </w:r>
    </w:p>
    <w:p w14:paraId="612EE6A8">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19.谈判响应文件的澄清</w:t>
      </w:r>
    </w:p>
    <w:p w14:paraId="32638D5B">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为有利于对谈判响应文件的比较和评议，谈判小组可要求供应商对谈判响应文件进行澄清，必要时谈判小组可要求供应商对澄清的问题作出书面答复。</w:t>
      </w:r>
    </w:p>
    <w:p w14:paraId="5EB2170F">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评审中需要供应商对谈判响应文件作出澄清、说明或者补正的，谈判小组和供应商应当通过</w:t>
      </w:r>
      <w:r>
        <w:rPr>
          <w:rFonts w:hint="eastAsia" w:ascii="宋体" w:hAnsi="宋体" w:cs="宋体"/>
          <w:color w:val="auto"/>
          <w:sz w:val="22"/>
          <w:szCs w:val="22"/>
          <w:highlight w:val="none"/>
          <w:lang w:eastAsia="zh-CN"/>
        </w:rPr>
        <w:t>广西政府采购云平台</w:t>
      </w:r>
      <w:r>
        <w:rPr>
          <w:rFonts w:hint="eastAsia" w:ascii="宋体" w:hAnsi="宋体" w:cs="宋体"/>
          <w:color w:val="auto"/>
          <w:sz w:val="22"/>
          <w:szCs w:val="22"/>
          <w:highlight w:val="none"/>
        </w:rPr>
        <w:t>交换数据电文。给予供应商提交澄清说明或补正的时间不少于半小时，供应商已经明确表示澄清说明或补正完毕的除外。</w:t>
      </w:r>
    </w:p>
    <w:p w14:paraId="31591926">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供应商通过</w:t>
      </w:r>
      <w:r>
        <w:rPr>
          <w:rFonts w:hint="eastAsia" w:ascii="宋体" w:hAnsi="宋体" w:cs="宋体"/>
          <w:color w:val="auto"/>
          <w:sz w:val="22"/>
          <w:szCs w:val="22"/>
          <w:highlight w:val="none"/>
          <w:lang w:eastAsia="zh-CN"/>
        </w:rPr>
        <w:t>广西政府采购云平台</w:t>
      </w:r>
      <w:r>
        <w:rPr>
          <w:rFonts w:hint="eastAsia" w:ascii="宋体" w:hAnsi="宋体" w:cs="宋体"/>
          <w:color w:val="auto"/>
          <w:sz w:val="22"/>
          <w:szCs w:val="22"/>
          <w:highlight w:val="none"/>
        </w:rPr>
        <w:t>交换的数据电文必须进行电子签章。</w:t>
      </w:r>
    </w:p>
    <w:p w14:paraId="35FFC451">
      <w:pPr>
        <w:pStyle w:val="10"/>
        <w:adjustRightInd w:val="0"/>
        <w:snapToGrid w:val="0"/>
        <w:spacing w:line="360" w:lineRule="auto"/>
        <w:ind w:firstLine="442" w:firstLineChars="200"/>
        <w:rPr>
          <w:rFonts w:hint="eastAsia" w:hAnsi="宋体" w:cs="宋体"/>
          <w:color w:val="auto"/>
          <w:sz w:val="22"/>
          <w:szCs w:val="22"/>
          <w:highlight w:val="none"/>
        </w:rPr>
      </w:pPr>
      <w:r>
        <w:rPr>
          <w:rFonts w:hint="eastAsia" w:hAnsi="宋体" w:cs="宋体"/>
          <w:b/>
          <w:color w:val="auto"/>
          <w:sz w:val="22"/>
          <w:szCs w:val="22"/>
          <w:highlight w:val="none"/>
        </w:rPr>
        <w:t>六.无效谈判条款</w:t>
      </w:r>
    </w:p>
    <w:p w14:paraId="37744C35">
      <w:pPr>
        <w:adjustRightInd w:val="0"/>
        <w:snapToGrid w:val="0"/>
        <w:spacing w:line="360" w:lineRule="auto"/>
        <w:ind w:firstLine="331" w:firstLineChars="150"/>
        <w:jc w:val="left"/>
        <w:rPr>
          <w:rFonts w:hint="eastAsia" w:ascii="宋体" w:hAnsi="宋体" w:cs="宋体"/>
          <w:color w:val="auto"/>
          <w:kern w:val="0"/>
          <w:sz w:val="22"/>
          <w:szCs w:val="22"/>
          <w:highlight w:val="none"/>
        </w:rPr>
      </w:pPr>
      <w:r>
        <w:rPr>
          <w:rFonts w:hint="eastAsia" w:ascii="宋体" w:hAnsi="宋体" w:cs="宋体"/>
          <w:b/>
          <w:bCs/>
          <w:color w:val="auto"/>
          <w:kern w:val="0"/>
          <w:sz w:val="22"/>
          <w:szCs w:val="22"/>
          <w:highlight w:val="none"/>
          <w:lang w:val="en-US" w:eastAsia="zh-CN"/>
        </w:rPr>
        <w:t>20</w:t>
      </w:r>
      <w:r>
        <w:rPr>
          <w:rFonts w:hint="eastAsia" w:ascii="宋体" w:hAnsi="宋体" w:cs="宋体"/>
          <w:b/>
          <w:bCs/>
          <w:color w:val="auto"/>
          <w:kern w:val="0"/>
          <w:sz w:val="22"/>
          <w:szCs w:val="22"/>
          <w:highlight w:val="none"/>
        </w:rPr>
        <w:t>.1谈判响应文件如有下列情况之一，在评审中按照无效谈判处理：</w:t>
      </w:r>
    </w:p>
    <w:p w14:paraId="7C4A6848">
      <w:pPr>
        <w:adjustRightInd w:val="0"/>
        <w:snapToGrid w:val="0"/>
        <w:spacing w:line="360" w:lineRule="auto"/>
        <w:ind w:firstLine="330" w:firstLineChars="15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1</w:t>
      </w:r>
      <w:r>
        <w:rPr>
          <w:rFonts w:hint="eastAsia" w:ascii="宋体" w:hAnsi="宋体" w:cs="宋体"/>
          <w:color w:val="auto"/>
          <w:kern w:val="0"/>
          <w:sz w:val="22"/>
          <w:szCs w:val="22"/>
          <w:highlight w:val="none"/>
        </w:rPr>
        <w:t>）未按照谈判文件规定要求签署、盖章的；</w:t>
      </w:r>
    </w:p>
    <w:p w14:paraId="6992188B">
      <w:pPr>
        <w:adjustRightInd w:val="0"/>
        <w:snapToGrid w:val="0"/>
        <w:spacing w:line="360" w:lineRule="auto"/>
        <w:ind w:firstLine="330" w:firstLineChars="15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2</w:t>
      </w:r>
      <w:r>
        <w:rPr>
          <w:rFonts w:hint="eastAsia" w:ascii="宋体" w:hAnsi="宋体" w:cs="宋体"/>
          <w:color w:val="auto"/>
          <w:kern w:val="0"/>
          <w:sz w:val="22"/>
          <w:szCs w:val="22"/>
          <w:highlight w:val="none"/>
        </w:rPr>
        <w:t>）不具备谈判文件中规定资格要求的；</w:t>
      </w:r>
    </w:p>
    <w:p w14:paraId="71E9D85E">
      <w:pPr>
        <w:adjustRightInd w:val="0"/>
        <w:snapToGrid w:val="0"/>
        <w:spacing w:line="360" w:lineRule="auto"/>
        <w:ind w:firstLine="330" w:firstLineChars="15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3</w:t>
      </w:r>
      <w:r>
        <w:rPr>
          <w:rFonts w:hint="eastAsia" w:ascii="宋体" w:hAnsi="宋体" w:cs="宋体"/>
          <w:color w:val="auto"/>
          <w:kern w:val="0"/>
          <w:sz w:val="22"/>
          <w:szCs w:val="22"/>
          <w:highlight w:val="none"/>
        </w:rPr>
        <w:t>）关联供应商参加同一合同项或分标下政府采购活动的：</w:t>
      </w:r>
    </w:p>
    <w:p w14:paraId="12C1CE26">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①单位负责人为同一人或者存在直接控股、管理关系的不同的供应商，参加同一合同项或分标下的政府采购活动的；</w:t>
      </w:r>
    </w:p>
    <w:p w14:paraId="0404E38C">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②生产厂商授权给供应商后自己又参加同一合同项或分标下的政府采购活动的；</w:t>
      </w:r>
    </w:p>
    <w:p w14:paraId="6064ED70">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③生产厂商对同一品牌同一型号的货物，委托多于一个的代理商参加谈判的；</w:t>
      </w:r>
    </w:p>
    <w:p w14:paraId="22124331">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④不符合法律、法规的；</w:t>
      </w:r>
    </w:p>
    <w:p w14:paraId="6E34A6D6">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⑤不符合谈判文件中规定的实质性要求并且在谈判规定的时间内无法说明和补充的。</w:t>
      </w:r>
    </w:p>
    <w:p w14:paraId="3EEE110E">
      <w:pPr>
        <w:adjustRightInd w:val="0"/>
        <w:snapToGrid w:val="0"/>
        <w:spacing w:line="360" w:lineRule="auto"/>
        <w:ind w:firstLine="331" w:firstLineChars="15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lang w:val="en-US" w:eastAsia="zh-CN"/>
        </w:rPr>
        <w:t>20</w:t>
      </w:r>
      <w:r>
        <w:rPr>
          <w:rFonts w:hint="eastAsia" w:ascii="宋体" w:hAnsi="宋体" w:cs="宋体"/>
          <w:b/>
          <w:bCs/>
          <w:color w:val="auto"/>
          <w:kern w:val="0"/>
          <w:sz w:val="22"/>
          <w:szCs w:val="22"/>
          <w:highlight w:val="none"/>
        </w:rPr>
        <w:t>.2谈判采购项目出现下列情形之一的，谈判予以废止：</w:t>
      </w:r>
    </w:p>
    <w:p w14:paraId="1B2D79EE">
      <w:pPr>
        <w:adjustRightInd w:val="0"/>
        <w:snapToGrid w:val="0"/>
        <w:spacing w:line="360" w:lineRule="auto"/>
        <w:ind w:firstLine="330" w:firstLineChars="15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（1）出现影响采购公正的违法、违规行为的；</w:t>
      </w:r>
    </w:p>
    <w:p w14:paraId="53856EEB">
      <w:pPr>
        <w:adjustRightInd w:val="0"/>
        <w:snapToGrid w:val="0"/>
        <w:spacing w:line="360" w:lineRule="auto"/>
        <w:ind w:firstLine="330" w:firstLineChars="15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（2）谈判供应商的最后报价均超过了采购预算，采购人不能支付的；</w:t>
      </w:r>
    </w:p>
    <w:p w14:paraId="37AA6507">
      <w:pPr>
        <w:adjustRightInd w:val="0"/>
        <w:snapToGrid w:val="0"/>
        <w:spacing w:line="360" w:lineRule="auto"/>
        <w:ind w:firstLine="330" w:firstLineChars="15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（3）因重大变故，采购任务取消的。</w:t>
      </w:r>
    </w:p>
    <w:p w14:paraId="2661A90D">
      <w:pPr>
        <w:keepNext w:val="0"/>
        <w:keepLines w:val="0"/>
        <w:pageBreakBefore w:val="0"/>
        <w:widowControl w:val="0"/>
        <w:kinsoku/>
        <w:wordWrap/>
        <w:overflowPunct/>
        <w:topLinePunct w:val="0"/>
        <w:autoSpaceDE/>
        <w:autoSpaceDN/>
        <w:bidi w:val="0"/>
        <w:adjustRightInd w:val="0"/>
        <w:snapToGrid w:val="0"/>
        <w:spacing w:line="360" w:lineRule="auto"/>
        <w:ind w:firstLine="331" w:firstLineChars="150"/>
        <w:jc w:val="left"/>
        <w:textAlignment w:val="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lang w:val="en-US" w:eastAsia="zh-CN"/>
        </w:rPr>
        <w:t>20</w:t>
      </w:r>
      <w:r>
        <w:rPr>
          <w:rFonts w:hint="eastAsia" w:ascii="宋体" w:hAnsi="宋体" w:cs="宋体"/>
          <w:b/>
          <w:bCs/>
          <w:color w:val="auto"/>
          <w:kern w:val="0"/>
          <w:sz w:val="22"/>
          <w:szCs w:val="22"/>
          <w:highlight w:val="none"/>
        </w:rPr>
        <w:t>.3 供应商有以下情形之一的，视为相互串通，谈判响应文件作无效处理：</w:t>
      </w:r>
    </w:p>
    <w:p w14:paraId="122A9655">
      <w:pPr>
        <w:keepNext w:val="0"/>
        <w:keepLines w:val="0"/>
        <w:pageBreakBefore w:val="0"/>
        <w:widowControl w:val="0"/>
        <w:kinsoku/>
        <w:wordWrap/>
        <w:overflowPunct/>
        <w:topLinePunct w:val="0"/>
        <w:autoSpaceDE/>
        <w:autoSpaceDN/>
        <w:bidi w:val="0"/>
        <w:adjustRightInd w:val="0"/>
        <w:snapToGrid w:val="0"/>
        <w:spacing w:line="360" w:lineRule="auto"/>
        <w:ind w:firstLine="330" w:firstLineChars="15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（1）不同供应商的谈判响应文件由同一单位或者个人编制；或不同供应商报名的IP地址一致的；</w:t>
      </w:r>
    </w:p>
    <w:p w14:paraId="720BFC39">
      <w:pPr>
        <w:keepNext w:val="0"/>
        <w:keepLines w:val="0"/>
        <w:pageBreakBefore w:val="0"/>
        <w:widowControl w:val="0"/>
        <w:kinsoku/>
        <w:wordWrap/>
        <w:overflowPunct/>
        <w:topLinePunct w:val="0"/>
        <w:autoSpaceDE/>
        <w:autoSpaceDN/>
        <w:bidi w:val="0"/>
        <w:adjustRightInd w:val="0"/>
        <w:snapToGrid w:val="0"/>
        <w:spacing w:line="360" w:lineRule="auto"/>
        <w:ind w:firstLine="330" w:firstLineChars="15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（2）不同供应商委托同一单位或者个人办理竞标事宜；</w:t>
      </w:r>
    </w:p>
    <w:p w14:paraId="57427689">
      <w:pPr>
        <w:keepNext w:val="0"/>
        <w:keepLines w:val="0"/>
        <w:pageBreakBefore w:val="0"/>
        <w:widowControl w:val="0"/>
        <w:kinsoku/>
        <w:wordWrap/>
        <w:overflowPunct/>
        <w:topLinePunct w:val="0"/>
        <w:autoSpaceDE/>
        <w:autoSpaceDN/>
        <w:bidi w:val="0"/>
        <w:adjustRightInd w:val="0"/>
        <w:snapToGrid w:val="0"/>
        <w:spacing w:line="360" w:lineRule="auto"/>
        <w:ind w:firstLine="330" w:firstLineChars="15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（3）不同的供应商的谈判响应文件载明的项目管理员为同一个人；</w:t>
      </w:r>
    </w:p>
    <w:p w14:paraId="1270B896">
      <w:pPr>
        <w:keepNext w:val="0"/>
        <w:keepLines w:val="0"/>
        <w:pageBreakBefore w:val="0"/>
        <w:widowControl w:val="0"/>
        <w:kinsoku/>
        <w:wordWrap/>
        <w:overflowPunct/>
        <w:topLinePunct w:val="0"/>
        <w:autoSpaceDE/>
        <w:autoSpaceDN/>
        <w:bidi w:val="0"/>
        <w:adjustRightInd w:val="0"/>
        <w:snapToGrid w:val="0"/>
        <w:spacing w:line="360" w:lineRule="auto"/>
        <w:ind w:firstLine="330" w:firstLineChars="15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（4）不同供应商的谈判响应文件异常一致或谈判报价呈规律性差异；</w:t>
      </w:r>
    </w:p>
    <w:p w14:paraId="2D640A54">
      <w:pPr>
        <w:keepNext w:val="0"/>
        <w:keepLines w:val="0"/>
        <w:pageBreakBefore w:val="0"/>
        <w:widowControl w:val="0"/>
        <w:kinsoku/>
        <w:wordWrap/>
        <w:overflowPunct/>
        <w:topLinePunct w:val="0"/>
        <w:autoSpaceDE/>
        <w:autoSpaceDN/>
        <w:bidi w:val="0"/>
        <w:adjustRightInd w:val="0"/>
        <w:snapToGrid w:val="0"/>
        <w:spacing w:line="360" w:lineRule="auto"/>
        <w:ind w:firstLine="330" w:firstLineChars="15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（5）不同供应商的谈判响应文件相互混装；</w:t>
      </w:r>
    </w:p>
    <w:p w14:paraId="29AE1757">
      <w:pPr>
        <w:keepNext w:val="0"/>
        <w:keepLines w:val="0"/>
        <w:pageBreakBefore w:val="0"/>
        <w:widowControl w:val="0"/>
        <w:kinsoku/>
        <w:wordWrap/>
        <w:overflowPunct/>
        <w:topLinePunct w:val="0"/>
        <w:autoSpaceDE/>
        <w:autoSpaceDN/>
        <w:bidi w:val="0"/>
        <w:adjustRightInd w:val="0"/>
        <w:snapToGrid w:val="0"/>
        <w:spacing w:line="360" w:lineRule="auto"/>
        <w:ind w:firstLine="331" w:firstLineChars="150"/>
        <w:jc w:val="left"/>
        <w:textAlignment w:val="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lang w:val="en-US" w:eastAsia="zh-CN"/>
        </w:rPr>
        <w:t>20</w:t>
      </w:r>
      <w:r>
        <w:rPr>
          <w:rFonts w:hint="eastAsia" w:ascii="宋体" w:hAnsi="宋体" w:cs="宋体"/>
          <w:b/>
          <w:bCs/>
          <w:color w:val="auto"/>
          <w:kern w:val="0"/>
          <w:sz w:val="22"/>
          <w:szCs w:val="22"/>
          <w:highlight w:val="none"/>
        </w:rPr>
        <w:t>.4供应商有下列情形之一的，属于恶意串通行为：</w:t>
      </w:r>
    </w:p>
    <w:p w14:paraId="07F38610">
      <w:pPr>
        <w:keepNext w:val="0"/>
        <w:keepLines w:val="0"/>
        <w:pageBreakBefore w:val="0"/>
        <w:widowControl w:val="0"/>
        <w:kinsoku/>
        <w:wordWrap/>
        <w:overflowPunct/>
        <w:topLinePunct w:val="0"/>
        <w:autoSpaceDE/>
        <w:autoSpaceDN/>
        <w:bidi w:val="0"/>
        <w:adjustRightInd w:val="0"/>
        <w:snapToGrid w:val="0"/>
        <w:spacing w:line="360" w:lineRule="auto"/>
        <w:ind w:firstLine="330" w:firstLineChars="15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（1）供应商直接或者间接从采购人或者采购代理机构处获得其他供应商的相关信息并修改其谈判文件或者响应文件；</w:t>
      </w:r>
    </w:p>
    <w:p w14:paraId="76A0D305">
      <w:pPr>
        <w:keepNext w:val="0"/>
        <w:keepLines w:val="0"/>
        <w:pageBreakBefore w:val="0"/>
        <w:widowControl w:val="0"/>
        <w:kinsoku/>
        <w:wordWrap/>
        <w:overflowPunct/>
        <w:topLinePunct w:val="0"/>
        <w:autoSpaceDE/>
        <w:autoSpaceDN/>
        <w:bidi w:val="0"/>
        <w:adjustRightInd w:val="0"/>
        <w:snapToGrid w:val="0"/>
        <w:spacing w:line="360" w:lineRule="auto"/>
        <w:ind w:firstLine="330" w:firstLineChars="15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（2）供应商按照采购人或者采购代理机构的授意撤换、修改谈判文件或者响应文件；</w:t>
      </w:r>
    </w:p>
    <w:p w14:paraId="669DA593">
      <w:pPr>
        <w:keepNext w:val="0"/>
        <w:keepLines w:val="0"/>
        <w:pageBreakBefore w:val="0"/>
        <w:widowControl w:val="0"/>
        <w:kinsoku/>
        <w:wordWrap/>
        <w:overflowPunct/>
        <w:topLinePunct w:val="0"/>
        <w:autoSpaceDE/>
        <w:autoSpaceDN/>
        <w:bidi w:val="0"/>
        <w:adjustRightInd w:val="0"/>
        <w:snapToGrid w:val="0"/>
        <w:spacing w:line="360" w:lineRule="auto"/>
        <w:ind w:firstLine="330" w:firstLineChars="15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（3）供应商之间协商报价、技术方案等谈判文件或者响应文件的实质性内容；</w:t>
      </w:r>
    </w:p>
    <w:p w14:paraId="629B5655">
      <w:pPr>
        <w:keepNext w:val="0"/>
        <w:keepLines w:val="0"/>
        <w:pageBreakBefore w:val="0"/>
        <w:widowControl w:val="0"/>
        <w:kinsoku/>
        <w:wordWrap/>
        <w:overflowPunct/>
        <w:topLinePunct w:val="0"/>
        <w:autoSpaceDE/>
        <w:autoSpaceDN/>
        <w:bidi w:val="0"/>
        <w:adjustRightInd w:val="0"/>
        <w:snapToGrid w:val="0"/>
        <w:spacing w:line="360" w:lineRule="auto"/>
        <w:ind w:firstLine="330" w:firstLineChars="15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（4）属于同一集团、协会、商会等组织成员的供应商按照该组织要求协同参加政府采购活动；</w:t>
      </w:r>
    </w:p>
    <w:p w14:paraId="6DE0BE89">
      <w:pPr>
        <w:keepNext w:val="0"/>
        <w:keepLines w:val="0"/>
        <w:pageBreakBefore w:val="0"/>
        <w:widowControl w:val="0"/>
        <w:kinsoku/>
        <w:wordWrap/>
        <w:overflowPunct/>
        <w:topLinePunct w:val="0"/>
        <w:autoSpaceDE/>
        <w:autoSpaceDN/>
        <w:bidi w:val="0"/>
        <w:adjustRightInd w:val="0"/>
        <w:snapToGrid w:val="0"/>
        <w:spacing w:line="360" w:lineRule="auto"/>
        <w:ind w:firstLine="330" w:firstLineChars="15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（5）供应商之间事先约定一致抬高或者压低谈判报价,或者在谈判项目中事先约定轮流以高价位或者低价位成交,或者事先约定由某一特定供应商成交,然后再参加谈判；</w:t>
      </w:r>
    </w:p>
    <w:p w14:paraId="66ECA5BE">
      <w:pPr>
        <w:keepNext w:val="0"/>
        <w:keepLines w:val="0"/>
        <w:pageBreakBefore w:val="0"/>
        <w:widowControl w:val="0"/>
        <w:kinsoku/>
        <w:wordWrap/>
        <w:overflowPunct/>
        <w:topLinePunct w:val="0"/>
        <w:autoSpaceDE/>
        <w:autoSpaceDN/>
        <w:bidi w:val="0"/>
        <w:adjustRightInd w:val="0"/>
        <w:snapToGrid w:val="0"/>
        <w:spacing w:line="360" w:lineRule="auto"/>
        <w:ind w:firstLine="330" w:firstLineChars="15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（6）供应商之间商定部分供应商放弃参加政府采购活动或者放弃成交；</w:t>
      </w:r>
    </w:p>
    <w:p w14:paraId="57FB6E37">
      <w:pPr>
        <w:keepNext w:val="0"/>
        <w:keepLines w:val="0"/>
        <w:pageBreakBefore w:val="0"/>
        <w:widowControl w:val="0"/>
        <w:kinsoku/>
        <w:wordWrap/>
        <w:overflowPunct/>
        <w:topLinePunct w:val="0"/>
        <w:autoSpaceDE/>
        <w:autoSpaceDN/>
        <w:bidi w:val="0"/>
        <w:adjustRightInd w:val="0"/>
        <w:snapToGrid w:val="0"/>
        <w:spacing w:line="360" w:lineRule="auto"/>
        <w:ind w:firstLine="330" w:firstLineChars="15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（7）供应商与采购人或者采购代理机构之间、供应商相互之间，为谋求特定供应商成交或者排斥其他供应商的其他串通行为。</w:t>
      </w:r>
    </w:p>
    <w:p w14:paraId="1DE63425">
      <w:pPr>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cs="宋体"/>
          <w:b/>
          <w:color w:val="auto"/>
          <w:sz w:val="22"/>
          <w:szCs w:val="22"/>
          <w:highlight w:val="none"/>
        </w:rPr>
      </w:pPr>
      <w:r>
        <w:rPr>
          <w:rFonts w:hint="eastAsia" w:ascii="宋体" w:hAnsi="宋体" w:cs="宋体"/>
          <w:b/>
          <w:color w:val="auto"/>
          <w:sz w:val="22"/>
          <w:szCs w:val="22"/>
          <w:highlight w:val="none"/>
        </w:rPr>
        <w:t>七.确定成交供应商办法</w:t>
      </w:r>
    </w:p>
    <w:p w14:paraId="755EE3F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21</w:t>
      </w:r>
      <w:r>
        <w:rPr>
          <w:rFonts w:hint="eastAsia" w:ascii="宋体" w:hAnsi="宋体" w:cs="宋体"/>
          <w:color w:val="auto"/>
          <w:kern w:val="0"/>
          <w:sz w:val="22"/>
          <w:szCs w:val="22"/>
          <w:highlight w:val="none"/>
        </w:rPr>
        <w:t>根据以下原则确定成交供应商：</w:t>
      </w:r>
    </w:p>
    <w:p w14:paraId="3578CA13">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21</w:t>
      </w: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1</w:t>
      </w:r>
      <w:r>
        <w:rPr>
          <w:rFonts w:hint="eastAsia" w:ascii="宋体" w:hAnsi="宋体" w:cs="宋体"/>
          <w:color w:val="auto"/>
          <w:kern w:val="0"/>
          <w:sz w:val="22"/>
          <w:szCs w:val="22"/>
          <w:highlight w:val="none"/>
        </w:rPr>
        <w:t>质量和服务均能满足</w:t>
      </w:r>
      <w:r>
        <w:rPr>
          <w:rFonts w:hint="eastAsia" w:ascii="宋体" w:hAnsi="宋体" w:cs="宋体"/>
          <w:color w:val="auto"/>
          <w:sz w:val="22"/>
          <w:szCs w:val="22"/>
          <w:highlight w:val="none"/>
        </w:rPr>
        <w:t>竞争性谈判文件</w:t>
      </w:r>
      <w:r>
        <w:rPr>
          <w:rFonts w:hint="eastAsia" w:ascii="宋体" w:hAnsi="宋体" w:cs="宋体"/>
          <w:color w:val="auto"/>
          <w:kern w:val="0"/>
          <w:sz w:val="22"/>
          <w:szCs w:val="22"/>
          <w:highlight w:val="none"/>
        </w:rPr>
        <w:t>实质性响应要求的供应商中按最后报价最低的原则确定成交供应商。</w:t>
      </w:r>
    </w:p>
    <w:p w14:paraId="68A96105">
      <w:pPr>
        <w:pStyle w:val="10"/>
        <w:keepNext w:val="0"/>
        <w:keepLines w:val="0"/>
        <w:pageBreakBefore w:val="0"/>
        <w:widowControl w:val="0"/>
        <w:kinsoku/>
        <w:wordWrap/>
        <w:overflowPunct/>
        <w:topLinePunct w:val="0"/>
        <w:autoSpaceDE/>
        <w:autoSpaceDN/>
        <w:bidi w:val="0"/>
        <w:adjustRightInd w:val="0"/>
        <w:snapToGrid w:val="0"/>
        <w:spacing w:line="360" w:lineRule="auto"/>
        <w:ind w:firstLine="433" w:firstLineChars="196"/>
        <w:textAlignment w:val="auto"/>
        <w:rPr>
          <w:rFonts w:hint="eastAsia" w:hAnsi="宋体" w:cs="宋体"/>
          <w:b/>
          <w:color w:val="auto"/>
          <w:sz w:val="22"/>
          <w:szCs w:val="22"/>
          <w:highlight w:val="none"/>
        </w:rPr>
      </w:pPr>
      <w:r>
        <w:rPr>
          <w:rFonts w:hint="eastAsia" w:hAnsi="宋体" w:cs="宋体"/>
          <w:b/>
          <w:color w:val="auto"/>
          <w:sz w:val="22"/>
          <w:szCs w:val="22"/>
          <w:highlight w:val="none"/>
        </w:rPr>
        <w:t>八.成交公告</w:t>
      </w:r>
    </w:p>
    <w:p w14:paraId="6966962F">
      <w:pPr>
        <w:pStyle w:val="10"/>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hAnsi="宋体" w:cs="宋体"/>
          <w:color w:val="auto"/>
          <w:sz w:val="22"/>
          <w:szCs w:val="22"/>
          <w:highlight w:val="none"/>
        </w:rPr>
      </w:pPr>
      <w:r>
        <w:rPr>
          <w:rFonts w:hint="eastAsia" w:hAnsi="宋体" w:cs="宋体"/>
          <w:color w:val="auto"/>
          <w:sz w:val="22"/>
          <w:szCs w:val="22"/>
          <w:highlight w:val="none"/>
          <w:lang w:val="en-US" w:eastAsia="zh-CN"/>
        </w:rPr>
        <w:t>22</w:t>
      </w:r>
      <w:r>
        <w:rPr>
          <w:rFonts w:hint="eastAsia" w:hAnsi="宋体" w:cs="宋体"/>
          <w:color w:val="auto"/>
          <w:sz w:val="22"/>
          <w:szCs w:val="22"/>
          <w:highlight w:val="none"/>
        </w:rPr>
        <w:t>.1采购代理机构在评审结束后2个工作日内将谈判评审报告送采购人确认，</w:t>
      </w:r>
      <w:r>
        <w:rPr>
          <w:rFonts w:hint="eastAsia" w:hAnsi="宋体" w:cs="宋体"/>
          <w:color w:val="auto"/>
          <w:kern w:val="0"/>
          <w:sz w:val="22"/>
          <w:szCs w:val="22"/>
          <w:highlight w:val="none"/>
        </w:rPr>
        <w:t>采购人</w:t>
      </w:r>
      <w:r>
        <w:rPr>
          <w:rFonts w:hint="eastAsia" w:hAnsi="宋体" w:cs="宋体"/>
          <w:color w:val="auto"/>
          <w:sz w:val="22"/>
          <w:szCs w:val="22"/>
          <w:highlight w:val="none"/>
        </w:rPr>
        <w:t>确认后，成交公告将在</w:t>
      </w:r>
      <w:r>
        <w:rPr>
          <w:rFonts w:hint="eastAsia" w:hAnsi="宋体" w:cs="宋体"/>
          <w:bCs/>
          <w:color w:val="auto"/>
          <w:sz w:val="22"/>
          <w:szCs w:val="22"/>
          <w:highlight w:val="none"/>
          <w:lang w:eastAsia="zh-CN"/>
        </w:rPr>
        <w:t>广西政府采购网（</w:t>
      </w:r>
      <w:r>
        <w:rPr>
          <w:rFonts w:hint="eastAsia" w:ascii="宋体" w:hAnsi="宋体" w:eastAsia="宋体" w:cs="宋体"/>
          <w:color w:val="auto"/>
          <w:sz w:val="22"/>
          <w:szCs w:val="22"/>
          <w:highlight w:val="none"/>
        </w:rPr>
        <w:t>http://www.ccgp-guangxi.gov.cn/</w:t>
      </w:r>
      <w:r>
        <w:rPr>
          <w:rFonts w:hint="eastAsia" w:hAnsi="宋体" w:cs="宋体"/>
          <w:bCs/>
          <w:color w:val="auto"/>
          <w:sz w:val="22"/>
          <w:szCs w:val="22"/>
          <w:highlight w:val="none"/>
          <w:lang w:eastAsia="zh-CN"/>
        </w:rPr>
        <w:t>）、中国政府采购网（www.ccgp.gov.cn）</w:t>
      </w:r>
      <w:r>
        <w:rPr>
          <w:rFonts w:hint="eastAsia" w:hAnsi="宋体" w:cs="宋体"/>
          <w:color w:val="auto"/>
          <w:sz w:val="22"/>
          <w:szCs w:val="22"/>
          <w:highlight w:val="none"/>
        </w:rPr>
        <w:t>上发布，</w:t>
      </w:r>
      <w:r>
        <w:rPr>
          <w:rFonts w:hint="eastAsia" w:hAnsi="宋体" w:cs="宋体"/>
          <w:color w:val="auto"/>
          <w:kern w:val="0"/>
          <w:sz w:val="22"/>
          <w:szCs w:val="22"/>
          <w:highlight w:val="none"/>
        </w:rPr>
        <w:t>同时向成交供应商发出成交通知书</w:t>
      </w:r>
      <w:r>
        <w:rPr>
          <w:rFonts w:hint="eastAsia" w:hAnsi="宋体" w:cs="宋体"/>
          <w:color w:val="auto"/>
          <w:sz w:val="22"/>
          <w:szCs w:val="22"/>
          <w:highlight w:val="none"/>
        </w:rPr>
        <w:t>。</w:t>
      </w:r>
    </w:p>
    <w:p w14:paraId="3B1B72B8">
      <w:pPr>
        <w:pStyle w:val="10"/>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hAnsi="宋体" w:cs="宋体"/>
          <w:bCs/>
          <w:color w:val="auto"/>
          <w:sz w:val="22"/>
          <w:szCs w:val="22"/>
          <w:highlight w:val="none"/>
        </w:rPr>
      </w:pPr>
      <w:r>
        <w:rPr>
          <w:rFonts w:hint="eastAsia" w:hAnsi="宋体" w:cs="宋体"/>
          <w:color w:val="auto"/>
          <w:sz w:val="22"/>
          <w:szCs w:val="22"/>
          <w:highlight w:val="none"/>
          <w:lang w:val="en-US" w:eastAsia="zh-CN"/>
        </w:rPr>
        <w:t>22</w:t>
      </w:r>
      <w:r>
        <w:rPr>
          <w:rFonts w:hint="eastAsia" w:hAnsi="宋体" w:cs="宋体"/>
          <w:color w:val="auto"/>
          <w:sz w:val="22"/>
          <w:szCs w:val="22"/>
          <w:highlight w:val="none"/>
        </w:rPr>
        <w:t>.2谈判供应商如对成交公告有异议，可</w:t>
      </w:r>
      <w:r>
        <w:rPr>
          <w:rFonts w:hint="eastAsia" w:hAnsi="宋体" w:cs="宋体"/>
          <w:bCs/>
          <w:color w:val="auto"/>
          <w:sz w:val="22"/>
          <w:szCs w:val="22"/>
          <w:highlight w:val="none"/>
        </w:rPr>
        <w:t>以在成交公告期满之日起七个工作日内以书面形式向采购代理机构提出质疑。采购代理机构将在收到</w:t>
      </w:r>
      <w:r>
        <w:rPr>
          <w:rFonts w:hint="eastAsia" w:hAnsi="宋体" w:cs="宋体"/>
          <w:color w:val="auto"/>
          <w:sz w:val="22"/>
          <w:szCs w:val="22"/>
          <w:highlight w:val="none"/>
        </w:rPr>
        <w:t>谈判供应商</w:t>
      </w:r>
      <w:r>
        <w:rPr>
          <w:rFonts w:hint="eastAsia" w:hAnsi="宋体" w:cs="宋体"/>
          <w:bCs/>
          <w:color w:val="auto"/>
          <w:sz w:val="22"/>
          <w:szCs w:val="22"/>
          <w:highlight w:val="none"/>
        </w:rPr>
        <w:t>的书面质疑后七个工作日内做出答复，但答复的内容不得涉及商业秘密。</w:t>
      </w:r>
    </w:p>
    <w:p w14:paraId="55BE9660">
      <w:pPr>
        <w:pStyle w:val="10"/>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hAnsi="宋体" w:cs="宋体"/>
          <w:color w:val="auto"/>
          <w:sz w:val="22"/>
          <w:szCs w:val="22"/>
          <w:highlight w:val="none"/>
        </w:rPr>
      </w:pPr>
      <w:r>
        <w:rPr>
          <w:rFonts w:hint="eastAsia" w:hAnsi="宋体" w:cs="宋体"/>
          <w:color w:val="auto"/>
          <w:sz w:val="22"/>
          <w:szCs w:val="22"/>
          <w:highlight w:val="none"/>
          <w:lang w:val="en-US" w:eastAsia="zh-CN"/>
        </w:rPr>
        <w:t>22</w:t>
      </w:r>
      <w:r>
        <w:rPr>
          <w:rFonts w:hint="eastAsia" w:hAnsi="宋体" w:cs="宋体"/>
          <w:color w:val="auto"/>
          <w:sz w:val="22"/>
          <w:szCs w:val="22"/>
          <w:highlight w:val="none"/>
        </w:rPr>
        <w:t>.3质疑谈判供应商必须首先经过质疑程序，在对采购代理机构的答复不满意或者采购代理机构未在规定的时间内做出答复的，可以在答复期满后十五个工作日内书面向</w:t>
      </w:r>
      <w:r>
        <w:rPr>
          <w:rFonts w:hint="eastAsia" w:hAnsi="宋体" w:cs="宋体"/>
          <w:color w:val="auto"/>
          <w:sz w:val="22"/>
          <w:szCs w:val="22"/>
          <w:highlight w:val="none"/>
          <w:lang w:eastAsia="zh-CN"/>
        </w:rPr>
        <w:t>采购人相关</w:t>
      </w:r>
      <w:r>
        <w:rPr>
          <w:rFonts w:hint="eastAsia" w:hAnsi="宋体" w:cs="宋体"/>
          <w:color w:val="auto"/>
          <w:sz w:val="22"/>
          <w:szCs w:val="22"/>
          <w:highlight w:val="none"/>
        </w:rPr>
        <w:t>部门投诉。</w:t>
      </w:r>
    </w:p>
    <w:p w14:paraId="0EC41FD7">
      <w:pPr>
        <w:keepNext w:val="0"/>
        <w:keepLines w:val="0"/>
        <w:pageBreakBefore w:val="0"/>
        <w:widowControl w:val="0"/>
        <w:kinsoku/>
        <w:wordWrap/>
        <w:overflowPunct/>
        <w:topLinePunct w:val="0"/>
        <w:autoSpaceDE/>
        <w:autoSpaceDN/>
        <w:bidi w:val="0"/>
        <w:adjustRightInd w:val="0"/>
        <w:snapToGrid w:val="0"/>
        <w:spacing w:line="360" w:lineRule="auto"/>
        <w:ind w:firstLine="440"/>
        <w:textAlignment w:val="auto"/>
        <w:rPr>
          <w:rFonts w:hint="eastAsia" w:ascii="宋体" w:hAnsi="宋体" w:cs="宋体" w:eastAsiaTheme="minorEastAsia"/>
          <w:bCs/>
          <w:color w:val="auto"/>
          <w:sz w:val="22"/>
          <w:szCs w:val="22"/>
          <w:highlight w:val="none"/>
          <w:lang w:eastAsia="zh-CN"/>
        </w:rPr>
      </w:pPr>
      <w:r>
        <w:rPr>
          <w:rFonts w:hint="eastAsia" w:ascii="宋体" w:hAnsi="宋体" w:cs="宋体"/>
          <w:color w:val="auto"/>
          <w:sz w:val="22"/>
          <w:szCs w:val="22"/>
          <w:highlight w:val="none"/>
        </w:rPr>
        <w:t>质疑联系部门及电话为：</w:t>
      </w:r>
      <w:r>
        <w:rPr>
          <w:rFonts w:hint="eastAsia" w:ascii="宋体" w:hAnsi="宋体" w:cs="宋体"/>
          <w:color w:val="auto"/>
          <w:sz w:val="22"/>
          <w:szCs w:val="22"/>
          <w:highlight w:val="none"/>
          <w:lang w:eastAsia="zh-CN"/>
        </w:rPr>
        <w:t>广西中之元工程管理有限公司</w:t>
      </w: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lang w:val="en-US" w:eastAsia="zh-CN"/>
        </w:rPr>
        <w:t xml:space="preserve">    </w:t>
      </w:r>
      <w:r>
        <w:rPr>
          <w:rFonts w:hint="eastAsia" w:ascii="宋体" w:hAnsi="宋体" w:cs="宋体"/>
          <w:bCs/>
          <w:color w:val="auto"/>
          <w:sz w:val="22"/>
          <w:szCs w:val="22"/>
          <w:highlight w:val="none"/>
          <w:lang w:eastAsia="zh-CN"/>
        </w:rPr>
        <w:t>0779-7200788</w:t>
      </w:r>
    </w:p>
    <w:p w14:paraId="3C183F98">
      <w:pPr>
        <w:keepNext w:val="0"/>
        <w:keepLines w:val="0"/>
        <w:pageBreakBefore w:val="0"/>
        <w:widowControl w:val="0"/>
        <w:kinsoku/>
        <w:wordWrap/>
        <w:overflowPunct/>
        <w:topLinePunct w:val="0"/>
        <w:autoSpaceDE/>
        <w:autoSpaceDN/>
        <w:bidi w:val="0"/>
        <w:adjustRightInd w:val="0"/>
        <w:snapToGrid w:val="0"/>
        <w:spacing w:line="360" w:lineRule="auto"/>
        <w:ind w:left="-61" w:leftChars="-29" w:firstLine="440" w:firstLineChars="200"/>
        <w:textAlignment w:val="auto"/>
        <w:rPr>
          <w:rFonts w:hint="default" w:ascii="宋体" w:hAnsi="宋体" w:cs="宋体"/>
          <w:b/>
          <w:bCs/>
          <w:color w:val="auto"/>
          <w:sz w:val="22"/>
          <w:szCs w:val="22"/>
          <w:highlight w:val="none"/>
          <w:lang w:val="en-US"/>
        </w:rPr>
      </w:pPr>
      <w:r>
        <w:rPr>
          <w:rFonts w:hint="eastAsia" w:ascii="宋体" w:hAnsi="宋体" w:cs="宋体"/>
          <w:bCs/>
          <w:color w:val="auto"/>
          <w:sz w:val="22"/>
          <w:szCs w:val="22"/>
          <w:highlight w:val="none"/>
        </w:rPr>
        <w:t>投诉联系部</w:t>
      </w:r>
      <w:r>
        <w:rPr>
          <w:rFonts w:hint="eastAsia" w:ascii="宋体" w:hAnsi="宋体" w:cs="宋体"/>
          <w:color w:val="auto"/>
          <w:sz w:val="22"/>
          <w:szCs w:val="22"/>
          <w:highlight w:val="none"/>
        </w:rPr>
        <w:t>门及电话为：</w:t>
      </w:r>
      <w:r>
        <w:rPr>
          <w:rFonts w:hint="eastAsia" w:ascii="宋体" w:hAnsi="宋体" w:eastAsia="宋体" w:cs="宋体"/>
          <w:b w:val="0"/>
          <w:bCs/>
          <w:color w:val="auto"/>
          <w:kern w:val="2"/>
          <w:sz w:val="22"/>
          <w:szCs w:val="22"/>
          <w:highlight w:val="none"/>
          <w:lang w:val="en-US" w:eastAsia="zh-CN" w:bidi="ar-SA"/>
        </w:rPr>
        <w:t>合浦县财政局政府采购监督管理股       0779-7200908</w:t>
      </w:r>
    </w:p>
    <w:p w14:paraId="608BA518">
      <w:pPr>
        <w:keepNext w:val="0"/>
        <w:keepLines w:val="0"/>
        <w:pageBreakBefore w:val="0"/>
        <w:widowControl w:val="0"/>
        <w:kinsoku/>
        <w:wordWrap/>
        <w:overflowPunct/>
        <w:topLinePunct w:val="0"/>
        <w:autoSpaceDE/>
        <w:autoSpaceDN/>
        <w:bidi w:val="0"/>
        <w:adjustRightInd w:val="0"/>
        <w:snapToGrid w:val="0"/>
        <w:spacing w:line="360" w:lineRule="auto"/>
        <w:ind w:left="-61" w:leftChars="-29" w:firstLine="442" w:firstLineChars="200"/>
        <w:textAlignment w:val="auto"/>
        <w:rPr>
          <w:rFonts w:hint="eastAsia" w:ascii="宋体" w:hAnsi="宋体" w:cs="宋体"/>
          <w:b/>
          <w:color w:val="auto"/>
          <w:spacing w:val="4"/>
          <w:sz w:val="22"/>
          <w:szCs w:val="22"/>
          <w:highlight w:val="none"/>
        </w:rPr>
      </w:pPr>
      <w:r>
        <w:rPr>
          <w:rFonts w:hint="eastAsia" w:ascii="宋体" w:hAnsi="宋体" w:cs="宋体"/>
          <w:b/>
          <w:bCs/>
          <w:color w:val="auto"/>
          <w:sz w:val="22"/>
          <w:szCs w:val="22"/>
          <w:highlight w:val="none"/>
        </w:rPr>
        <w:t>九.</w:t>
      </w:r>
      <w:r>
        <w:rPr>
          <w:rFonts w:hint="eastAsia" w:ascii="宋体" w:hAnsi="宋体" w:cs="宋体"/>
          <w:b/>
          <w:color w:val="auto"/>
          <w:spacing w:val="4"/>
          <w:sz w:val="22"/>
          <w:szCs w:val="22"/>
          <w:highlight w:val="none"/>
        </w:rPr>
        <w:t>质量保证金</w:t>
      </w:r>
    </w:p>
    <w:p w14:paraId="50EA8AC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cs="宋体" w:eastAsiaTheme="minorEastAsia"/>
          <w:color w:val="auto"/>
          <w:sz w:val="22"/>
          <w:szCs w:val="22"/>
          <w:highlight w:val="none"/>
          <w:lang w:eastAsia="zh-CN"/>
        </w:rPr>
      </w:pPr>
      <w:r>
        <w:rPr>
          <w:rFonts w:hint="eastAsia" w:ascii="宋体" w:hAnsi="宋体" w:cs="宋体"/>
          <w:bCs/>
          <w:color w:val="auto"/>
          <w:sz w:val="22"/>
          <w:szCs w:val="22"/>
          <w:highlight w:val="none"/>
          <w:lang w:val="en-US" w:eastAsia="zh-CN"/>
        </w:rPr>
        <w:t>23</w:t>
      </w:r>
      <w:r>
        <w:rPr>
          <w:rFonts w:hint="eastAsia" w:ascii="宋体" w:hAnsi="宋体" w:cs="宋体"/>
          <w:bCs/>
          <w:color w:val="auto"/>
          <w:sz w:val="22"/>
          <w:szCs w:val="22"/>
          <w:highlight w:val="none"/>
        </w:rPr>
        <w:t>.1</w:t>
      </w:r>
      <w:r>
        <w:rPr>
          <w:rFonts w:hint="eastAsia" w:ascii="宋体" w:hAnsi="宋体" w:cs="宋体"/>
          <w:bCs/>
          <w:color w:val="auto"/>
          <w:sz w:val="22"/>
          <w:szCs w:val="22"/>
          <w:highlight w:val="none"/>
          <w:lang w:eastAsia="zh-CN"/>
        </w:rPr>
        <w:t>本项目不收取</w:t>
      </w:r>
      <w:r>
        <w:rPr>
          <w:rFonts w:hint="eastAsia" w:ascii="宋体" w:hAnsi="宋体" w:cs="宋体"/>
          <w:color w:val="auto"/>
          <w:sz w:val="22"/>
          <w:szCs w:val="22"/>
          <w:highlight w:val="none"/>
        </w:rPr>
        <w:t>质量保证金</w:t>
      </w:r>
      <w:r>
        <w:rPr>
          <w:rFonts w:hint="eastAsia" w:ascii="宋体" w:hAnsi="宋体" w:cs="宋体"/>
          <w:color w:val="auto"/>
          <w:sz w:val="22"/>
          <w:szCs w:val="22"/>
          <w:highlight w:val="none"/>
          <w:lang w:eastAsia="zh-CN"/>
        </w:rPr>
        <w:t>。</w:t>
      </w:r>
    </w:p>
    <w:p w14:paraId="5AC57668">
      <w:pPr>
        <w:pStyle w:val="10"/>
        <w:spacing w:line="360" w:lineRule="auto"/>
        <w:ind w:firstLine="458" w:firstLineChars="200"/>
        <w:outlineLvl w:val="2"/>
        <w:rPr>
          <w:rFonts w:hint="eastAsia" w:ascii="宋体" w:hAnsi="宋体" w:cs="宋体" w:eastAsiaTheme="minorEastAsia"/>
          <w:b/>
          <w:color w:val="auto"/>
          <w:spacing w:val="4"/>
          <w:kern w:val="2"/>
          <w:sz w:val="22"/>
          <w:szCs w:val="22"/>
          <w:highlight w:val="none"/>
          <w:lang w:val="en-US" w:eastAsia="zh-CN" w:bidi="ar-SA"/>
        </w:rPr>
      </w:pPr>
      <w:bookmarkStart w:id="37" w:name="_Toc292469144"/>
      <w:bookmarkStart w:id="38" w:name="_Toc332786166"/>
      <w:bookmarkStart w:id="39" w:name="_Toc362426447"/>
      <w:r>
        <w:rPr>
          <w:rFonts w:hint="eastAsia" w:hAnsi="宋体" w:cs="宋体"/>
          <w:b/>
          <w:color w:val="auto"/>
          <w:spacing w:val="4"/>
          <w:kern w:val="2"/>
          <w:sz w:val="22"/>
          <w:szCs w:val="22"/>
          <w:highlight w:val="none"/>
          <w:lang w:val="en-US" w:eastAsia="zh-CN" w:bidi="ar-SA"/>
        </w:rPr>
        <w:t>十</w:t>
      </w:r>
      <w:r>
        <w:rPr>
          <w:rFonts w:hint="eastAsia" w:ascii="宋体" w:hAnsi="宋体" w:cs="宋体" w:eastAsiaTheme="minorEastAsia"/>
          <w:b/>
          <w:color w:val="auto"/>
          <w:spacing w:val="4"/>
          <w:kern w:val="2"/>
          <w:sz w:val="22"/>
          <w:szCs w:val="22"/>
          <w:highlight w:val="none"/>
          <w:lang w:val="en-US" w:eastAsia="zh-CN" w:bidi="ar-SA"/>
        </w:rPr>
        <w:t>.</w:t>
      </w:r>
      <w:r>
        <w:rPr>
          <w:rFonts w:hint="eastAsia" w:hAnsi="宋体" w:cs="宋体"/>
          <w:b/>
          <w:color w:val="auto"/>
          <w:spacing w:val="4"/>
          <w:kern w:val="2"/>
          <w:sz w:val="22"/>
          <w:szCs w:val="22"/>
          <w:highlight w:val="none"/>
          <w:lang w:val="en-US" w:eastAsia="zh-CN" w:bidi="ar-SA"/>
        </w:rPr>
        <w:t>谈判</w:t>
      </w:r>
      <w:r>
        <w:rPr>
          <w:rFonts w:hint="eastAsia" w:ascii="宋体" w:hAnsi="宋体" w:cs="宋体" w:eastAsiaTheme="minorEastAsia"/>
          <w:b/>
          <w:color w:val="auto"/>
          <w:spacing w:val="4"/>
          <w:kern w:val="2"/>
          <w:sz w:val="22"/>
          <w:szCs w:val="22"/>
          <w:highlight w:val="none"/>
          <w:lang w:val="en-US" w:eastAsia="zh-CN" w:bidi="ar-SA"/>
        </w:rPr>
        <w:t>保证金</w:t>
      </w:r>
      <w:bookmarkEnd w:id="37"/>
      <w:bookmarkEnd w:id="38"/>
      <w:bookmarkEnd w:id="39"/>
    </w:p>
    <w:p w14:paraId="1A5C7016">
      <w:pPr>
        <w:pStyle w:val="10"/>
        <w:spacing w:line="360" w:lineRule="auto"/>
        <w:ind w:firstLine="420"/>
        <w:rPr>
          <w:rFonts w:hint="eastAsia" w:hAnsi="宋体"/>
          <w:b/>
          <w:color w:val="auto"/>
          <w:sz w:val="22"/>
          <w:szCs w:val="22"/>
          <w:highlight w:val="none"/>
        </w:rPr>
      </w:pPr>
      <w:r>
        <w:rPr>
          <w:rFonts w:hint="eastAsia" w:hAnsi="宋体"/>
          <w:color w:val="auto"/>
          <w:spacing w:val="-4"/>
          <w:sz w:val="22"/>
          <w:szCs w:val="22"/>
          <w:highlight w:val="none"/>
          <w:lang w:val="en-US" w:eastAsia="zh-CN"/>
        </w:rPr>
        <w:t>24</w:t>
      </w:r>
      <w:r>
        <w:rPr>
          <w:rFonts w:hint="eastAsia" w:hAnsi="宋体"/>
          <w:color w:val="auto"/>
          <w:spacing w:val="-4"/>
          <w:sz w:val="22"/>
          <w:szCs w:val="22"/>
          <w:highlight w:val="none"/>
        </w:rPr>
        <w:t>.1</w:t>
      </w:r>
      <w:r>
        <w:rPr>
          <w:rFonts w:hint="eastAsia" w:hAnsi="宋体" w:cs="Arial"/>
          <w:color w:val="auto"/>
          <w:sz w:val="22"/>
          <w:szCs w:val="22"/>
          <w:highlight w:val="none"/>
          <w:lang w:eastAsia="zh-CN"/>
        </w:rPr>
        <w:t>谈判</w:t>
      </w:r>
      <w:r>
        <w:rPr>
          <w:rFonts w:hint="eastAsia" w:hAnsi="宋体" w:cs="Arial"/>
          <w:color w:val="auto"/>
          <w:sz w:val="22"/>
          <w:szCs w:val="22"/>
          <w:highlight w:val="none"/>
        </w:rPr>
        <w:t>保证金</w:t>
      </w:r>
      <w:r>
        <w:rPr>
          <w:rFonts w:hint="eastAsia" w:hAnsi="宋体" w:cs="Arial"/>
          <w:color w:val="auto"/>
          <w:sz w:val="22"/>
          <w:szCs w:val="22"/>
          <w:highlight w:val="none"/>
          <w:lang w:eastAsia="zh-CN"/>
        </w:rPr>
        <w:t>详见谈判供应商须知</w:t>
      </w:r>
      <w:r>
        <w:rPr>
          <w:rFonts w:hint="eastAsia" w:hAnsi="宋体"/>
          <w:b/>
          <w:color w:val="auto"/>
          <w:sz w:val="22"/>
          <w:szCs w:val="22"/>
          <w:highlight w:val="none"/>
        </w:rPr>
        <w:t>。</w:t>
      </w:r>
    </w:p>
    <w:p w14:paraId="4C64D898">
      <w:pPr>
        <w:pStyle w:val="10"/>
        <w:spacing w:line="360" w:lineRule="auto"/>
        <w:ind w:firstLine="420"/>
        <w:rPr>
          <w:rFonts w:hint="eastAsia" w:hAnsi="宋体"/>
          <w:color w:val="auto"/>
          <w:sz w:val="22"/>
          <w:szCs w:val="22"/>
          <w:highlight w:val="none"/>
        </w:rPr>
      </w:pPr>
      <w:r>
        <w:rPr>
          <w:rFonts w:hint="eastAsia" w:hAnsi="宋体"/>
          <w:color w:val="auto"/>
          <w:sz w:val="22"/>
          <w:szCs w:val="22"/>
          <w:highlight w:val="none"/>
          <w:lang w:val="en-US" w:eastAsia="zh-CN"/>
        </w:rPr>
        <w:t>24</w:t>
      </w:r>
      <w:r>
        <w:rPr>
          <w:rFonts w:hint="eastAsia" w:hAnsi="宋体"/>
          <w:color w:val="auto"/>
          <w:sz w:val="22"/>
          <w:szCs w:val="22"/>
          <w:highlight w:val="none"/>
        </w:rPr>
        <w:t>.2投标人应按前附表第</w:t>
      </w:r>
      <w:r>
        <w:rPr>
          <w:rFonts w:hint="eastAsia" w:hAnsi="宋体"/>
          <w:color w:val="auto"/>
          <w:sz w:val="22"/>
          <w:szCs w:val="22"/>
          <w:highlight w:val="none"/>
          <w:lang w:val="en-US" w:eastAsia="zh-CN"/>
        </w:rPr>
        <w:t>8</w:t>
      </w:r>
      <w:r>
        <w:rPr>
          <w:rFonts w:hint="eastAsia" w:hAnsi="宋体"/>
          <w:color w:val="auto"/>
          <w:sz w:val="22"/>
          <w:szCs w:val="22"/>
          <w:highlight w:val="none"/>
        </w:rPr>
        <w:t>项的规定提交</w:t>
      </w:r>
      <w:r>
        <w:rPr>
          <w:rFonts w:hint="eastAsia" w:hAnsi="宋体"/>
          <w:color w:val="auto"/>
          <w:sz w:val="22"/>
          <w:szCs w:val="22"/>
          <w:highlight w:val="none"/>
          <w:lang w:eastAsia="zh-CN"/>
        </w:rPr>
        <w:t>谈判</w:t>
      </w:r>
      <w:r>
        <w:rPr>
          <w:rFonts w:hint="eastAsia" w:hAnsi="宋体"/>
          <w:color w:val="auto"/>
          <w:sz w:val="22"/>
          <w:szCs w:val="22"/>
          <w:highlight w:val="none"/>
        </w:rPr>
        <w:t>标保证金，此</w:t>
      </w:r>
      <w:r>
        <w:rPr>
          <w:rFonts w:hint="eastAsia" w:hAnsi="宋体"/>
          <w:color w:val="auto"/>
          <w:sz w:val="22"/>
          <w:szCs w:val="22"/>
          <w:highlight w:val="none"/>
          <w:lang w:eastAsia="zh-CN"/>
        </w:rPr>
        <w:t>谈判</w:t>
      </w:r>
      <w:r>
        <w:rPr>
          <w:rFonts w:hint="eastAsia" w:hAnsi="宋体"/>
          <w:color w:val="auto"/>
          <w:sz w:val="22"/>
          <w:szCs w:val="22"/>
          <w:highlight w:val="none"/>
        </w:rPr>
        <w:t>保证金是</w:t>
      </w:r>
      <w:r>
        <w:rPr>
          <w:rFonts w:hint="eastAsia" w:hAnsi="宋体"/>
          <w:color w:val="auto"/>
          <w:sz w:val="22"/>
          <w:szCs w:val="22"/>
          <w:highlight w:val="none"/>
          <w:lang w:eastAsia="zh-CN"/>
        </w:rPr>
        <w:t>谈判</w:t>
      </w:r>
      <w:r>
        <w:rPr>
          <w:rFonts w:hint="eastAsia" w:hAnsi="宋体"/>
          <w:color w:val="auto"/>
          <w:sz w:val="22"/>
          <w:szCs w:val="22"/>
          <w:highlight w:val="none"/>
        </w:rPr>
        <w:t>文件的一个组成部分。</w:t>
      </w:r>
      <w:r>
        <w:rPr>
          <w:rFonts w:hint="eastAsia" w:hAnsi="宋体"/>
          <w:color w:val="auto"/>
          <w:sz w:val="22"/>
          <w:szCs w:val="22"/>
          <w:highlight w:val="none"/>
          <w:lang w:eastAsia="zh-CN"/>
        </w:rPr>
        <w:t>供应商</w:t>
      </w:r>
      <w:r>
        <w:rPr>
          <w:rFonts w:hint="eastAsia" w:hAnsi="宋体"/>
          <w:color w:val="auto"/>
          <w:sz w:val="22"/>
          <w:szCs w:val="22"/>
          <w:highlight w:val="none"/>
        </w:rPr>
        <w:t>递交</w:t>
      </w:r>
      <w:r>
        <w:rPr>
          <w:rFonts w:hint="eastAsia" w:hAnsi="宋体"/>
          <w:color w:val="auto"/>
          <w:sz w:val="22"/>
          <w:szCs w:val="22"/>
          <w:highlight w:val="none"/>
          <w:lang w:eastAsia="zh-CN"/>
        </w:rPr>
        <w:t>谈判</w:t>
      </w:r>
      <w:r>
        <w:rPr>
          <w:rFonts w:hint="eastAsia" w:hAnsi="宋体"/>
          <w:color w:val="auto"/>
          <w:sz w:val="22"/>
          <w:szCs w:val="22"/>
          <w:highlight w:val="none"/>
        </w:rPr>
        <w:t>保证金后，须在截标前从</w:t>
      </w:r>
      <w:r>
        <w:rPr>
          <w:rFonts w:hint="eastAsia" w:hAnsi="宋体"/>
          <w:b/>
          <w:color w:val="auto"/>
          <w:sz w:val="22"/>
          <w:szCs w:val="22"/>
          <w:highlight w:val="none"/>
        </w:rPr>
        <w:t>基本账户以转账</w:t>
      </w:r>
      <w:r>
        <w:rPr>
          <w:rFonts w:hint="eastAsia" w:hAnsi="宋体"/>
          <w:color w:val="auto"/>
          <w:sz w:val="22"/>
          <w:szCs w:val="22"/>
          <w:highlight w:val="none"/>
        </w:rPr>
        <w:t>的形式足额缴纳到</w:t>
      </w:r>
      <w:r>
        <w:rPr>
          <w:rFonts w:hint="eastAsia" w:hAnsi="宋体"/>
          <w:color w:val="auto"/>
          <w:sz w:val="22"/>
          <w:szCs w:val="22"/>
          <w:highlight w:val="none"/>
          <w:lang w:eastAsia="zh-CN"/>
        </w:rPr>
        <w:t>广西中之元工程管理有限公司基本</w:t>
      </w:r>
      <w:r>
        <w:rPr>
          <w:rFonts w:hint="eastAsia" w:hAnsi="宋体"/>
          <w:color w:val="auto"/>
          <w:sz w:val="22"/>
          <w:szCs w:val="22"/>
          <w:highlight w:val="none"/>
        </w:rPr>
        <w:t>账户（以到账为准，且须注明项目名称及项目编号）。</w:t>
      </w:r>
    </w:p>
    <w:p w14:paraId="7FE9801C">
      <w:pPr>
        <w:pStyle w:val="10"/>
        <w:spacing w:line="360" w:lineRule="auto"/>
        <w:ind w:firstLine="420"/>
        <w:rPr>
          <w:rFonts w:hint="eastAsia" w:hAnsi="宋体"/>
          <w:color w:val="auto"/>
          <w:sz w:val="22"/>
          <w:szCs w:val="22"/>
          <w:highlight w:val="none"/>
        </w:rPr>
      </w:pPr>
      <w:r>
        <w:rPr>
          <w:rFonts w:hint="eastAsia" w:hAnsi="宋体"/>
          <w:color w:val="auto"/>
          <w:sz w:val="22"/>
          <w:szCs w:val="22"/>
          <w:highlight w:val="none"/>
          <w:lang w:val="en-US" w:eastAsia="zh-CN"/>
        </w:rPr>
        <w:t>24</w:t>
      </w:r>
      <w:r>
        <w:rPr>
          <w:rFonts w:hint="eastAsia" w:hAnsi="宋体"/>
          <w:color w:val="auto"/>
          <w:sz w:val="22"/>
          <w:szCs w:val="22"/>
          <w:highlight w:val="none"/>
        </w:rPr>
        <w:t>.3</w:t>
      </w:r>
      <w:r>
        <w:rPr>
          <w:rFonts w:hint="eastAsia" w:hAnsi="宋体"/>
          <w:b/>
          <w:color w:val="auto"/>
          <w:sz w:val="22"/>
          <w:szCs w:val="22"/>
          <w:highlight w:val="none"/>
        </w:rPr>
        <w:t>对未按</w:t>
      </w:r>
      <w:r>
        <w:rPr>
          <w:rFonts w:hint="eastAsia" w:hAnsi="宋体"/>
          <w:b/>
          <w:color w:val="auto"/>
          <w:sz w:val="22"/>
          <w:szCs w:val="22"/>
          <w:highlight w:val="none"/>
          <w:lang w:eastAsia="zh-CN"/>
        </w:rPr>
        <w:t>谈判</w:t>
      </w:r>
      <w:r>
        <w:rPr>
          <w:rFonts w:hint="eastAsia" w:hAnsi="宋体"/>
          <w:b/>
          <w:color w:val="auto"/>
          <w:sz w:val="22"/>
          <w:szCs w:val="22"/>
          <w:highlight w:val="none"/>
        </w:rPr>
        <w:t>文件要求交纳</w:t>
      </w:r>
      <w:r>
        <w:rPr>
          <w:rFonts w:hint="eastAsia" w:hAnsi="宋体"/>
          <w:b/>
          <w:color w:val="auto"/>
          <w:sz w:val="22"/>
          <w:szCs w:val="22"/>
          <w:highlight w:val="none"/>
          <w:lang w:eastAsia="zh-CN"/>
        </w:rPr>
        <w:t>谈判</w:t>
      </w:r>
      <w:r>
        <w:rPr>
          <w:rFonts w:hint="eastAsia" w:hAnsi="宋体"/>
          <w:b/>
          <w:color w:val="auto"/>
          <w:sz w:val="22"/>
          <w:szCs w:val="22"/>
          <w:highlight w:val="none"/>
        </w:rPr>
        <w:t>保证金的</w:t>
      </w:r>
      <w:r>
        <w:rPr>
          <w:rFonts w:hint="eastAsia" w:hAnsi="宋体"/>
          <w:b/>
          <w:color w:val="auto"/>
          <w:sz w:val="22"/>
          <w:szCs w:val="22"/>
          <w:highlight w:val="none"/>
          <w:lang w:eastAsia="zh-CN"/>
        </w:rPr>
        <w:t>谈判</w:t>
      </w:r>
      <w:r>
        <w:rPr>
          <w:rFonts w:hint="eastAsia" w:hAnsi="宋体"/>
          <w:b/>
          <w:color w:val="auto"/>
          <w:sz w:val="22"/>
          <w:szCs w:val="22"/>
          <w:highlight w:val="none"/>
        </w:rPr>
        <w:t>文件，采购代理机构将视其为不响应</w:t>
      </w:r>
      <w:r>
        <w:rPr>
          <w:rFonts w:hint="eastAsia" w:hAnsi="宋体"/>
          <w:b/>
          <w:color w:val="auto"/>
          <w:sz w:val="22"/>
          <w:szCs w:val="22"/>
          <w:highlight w:val="none"/>
          <w:lang w:eastAsia="zh-CN"/>
        </w:rPr>
        <w:t>采购</w:t>
      </w:r>
      <w:r>
        <w:rPr>
          <w:rFonts w:hint="eastAsia" w:hAnsi="宋体"/>
          <w:b/>
          <w:color w:val="auto"/>
          <w:sz w:val="22"/>
          <w:szCs w:val="22"/>
          <w:highlight w:val="none"/>
        </w:rPr>
        <w:t>文件而予以拒绝。</w:t>
      </w:r>
    </w:p>
    <w:p w14:paraId="49EB7F67">
      <w:pPr>
        <w:pStyle w:val="10"/>
        <w:spacing w:line="360" w:lineRule="auto"/>
        <w:ind w:firstLine="440" w:firstLineChars="200"/>
        <w:rPr>
          <w:rFonts w:hint="eastAsia" w:hAnsi="宋体"/>
          <w:color w:val="auto"/>
          <w:sz w:val="22"/>
          <w:szCs w:val="22"/>
          <w:highlight w:val="none"/>
        </w:rPr>
      </w:pPr>
      <w:r>
        <w:rPr>
          <w:rFonts w:hint="eastAsia" w:hAnsi="宋体"/>
          <w:color w:val="auto"/>
          <w:sz w:val="22"/>
          <w:szCs w:val="22"/>
          <w:highlight w:val="none"/>
          <w:lang w:val="en-US" w:eastAsia="zh-CN"/>
        </w:rPr>
        <w:t>24</w:t>
      </w:r>
      <w:r>
        <w:rPr>
          <w:rFonts w:hint="eastAsia" w:hAnsi="宋体"/>
          <w:color w:val="auto"/>
          <w:sz w:val="22"/>
          <w:szCs w:val="22"/>
          <w:highlight w:val="none"/>
        </w:rPr>
        <w:t>．4未</w:t>
      </w:r>
      <w:r>
        <w:rPr>
          <w:rFonts w:hint="eastAsia" w:hAnsi="宋体"/>
          <w:color w:val="auto"/>
          <w:sz w:val="22"/>
          <w:szCs w:val="22"/>
          <w:highlight w:val="none"/>
          <w:lang w:eastAsia="zh-CN"/>
        </w:rPr>
        <w:t>成交供应商</w:t>
      </w:r>
      <w:r>
        <w:rPr>
          <w:rFonts w:hint="eastAsia" w:hAnsi="宋体"/>
          <w:color w:val="auto"/>
          <w:sz w:val="22"/>
          <w:szCs w:val="22"/>
          <w:highlight w:val="none"/>
        </w:rPr>
        <w:t>的</w:t>
      </w:r>
      <w:r>
        <w:rPr>
          <w:rFonts w:hint="eastAsia" w:hAnsi="宋体"/>
          <w:color w:val="auto"/>
          <w:sz w:val="22"/>
          <w:szCs w:val="22"/>
          <w:highlight w:val="none"/>
          <w:lang w:eastAsia="zh-CN"/>
        </w:rPr>
        <w:t>谈判</w:t>
      </w:r>
      <w:r>
        <w:rPr>
          <w:rFonts w:hint="eastAsia" w:hAnsi="宋体"/>
          <w:color w:val="auto"/>
          <w:sz w:val="22"/>
          <w:szCs w:val="22"/>
          <w:highlight w:val="none"/>
        </w:rPr>
        <w:t>保证金，将在</w:t>
      </w:r>
      <w:r>
        <w:rPr>
          <w:rFonts w:hint="eastAsia" w:hAnsi="宋体"/>
          <w:color w:val="auto"/>
          <w:sz w:val="22"/>
          <w:szCs w:val="22"/>
          <w:highlight w:val="none"/>
          <w:lang w:eastAsia="zh-CN"/>
        </w:rPr>
        <w:t>成交</w:t>
      </w:r>
      <w:r>
        <w:rPr>
          <w:rFonts w:hint="eastAsia" w:hAnsi="宋体"/>
          <w:color w:val="auto"/>
          <w:sz w:val="22"/>
          <w:szCs w:val="22"/>
          <w:highlight w:val="none"/>
        </w:rPr>
        <w:t>通知书发出后5日内予以退还。</w:t>
      </w:r>
      <w:r>
        <w:rPr>
          <w:rFonts w:hint="eastAsia" w:hAnsi="宋体"/>
          <w:color w:val="auto"/>
          <w:sz w:val="22"/>
          <w:szCs w:val="22"/>
          <w:highlight w:val="none"/>
          <w:lang w:eastAsia="zh-CN"/>
        </w:rPr>
        <w:t>成交供应商</w:t>
      </w:r>
      <w:r>
        <w:rPr>
          <w:rFonts w:hint="eastAsia" w:hAnsi="宋体"/>
          <w:color w:val="auto"/>
          <w:sz w:val="22"/>
          <w:szCs w:val="22"/>
          <w:highlight w:val="none"/>
        </w:rPr>
        <w:t>的</w:t>
      </w:r>
      <w:r>
        <w:rPr>
          <w:rFonts w:hint="eastAsia" w:hAnsi="宋体"/>
          <w:color w:val="auto"/>
          <w:sz w:val="22"/>
          <w:szCs w:val="22"/>
          <w:highlight w:val="none"/>
          <w:lang w:eastAsia="zh-CN"/>
        </w:rPr>
        <w:t>谈判</w:t>
      </w:r>
      <w:r>
        <w:rPr>
          <w:rFonts w:hint="eastAsia" w:hAnsi="宋体"/>
          <w:color w:val="auto"/>
          <w:sz w:val="22"/>
          <w:szCs w:val="22"/>
          <w:highlight w:val="none"/>
        </w:rPr>
        <w:t>保证金将在签订合同后5日内予以退还。</w:t>
      </w:r>
    </w:p>
    <w:p w14:paraId="10F2DBF3">
      <w:pPr>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cs="宋体"/>
          <w:b/>
          <w:color w:val="auto"/>
          <w:sz w:val="22"/>
          <w:szCs w:val="22"/>
          <w:highlight w:val="none"/>
        </w:rPr>
      </w:pPr>
      <w:r>
        <w:rPr>
          <w:rFonts w:hint="eastAsia" w:ascii="宋体" w:hAnsi="宋体" w:cs="宋体"/>
          <w:b/>
          <w:color w:val="auto"/>
          <w:sz w:val="22"/>
          <w:szCs w:val="22"/>
          <w:highlight w:val="none"/>
          <w:lang w:val="en-US" w:eastAsia="zh-CN"/>
        </w:rPr>
        <w:t>24.5</w:t>
      </w:r>
      <w:r>
        <w:rPr>
          <w:rFonts w:hint="eastAsia" w:ascii="宋体" w:hAnsi="宋体" w:cs="宋体"/>
          <w:b/>
          <w:color w:val="auto"/>
          <w:sz w:val="22"/>
          <w:szCs w:val="22"/>
          <w:highlight w:val="none"/>
        </w:rPr>
        <w:t>有下列情形之一的，不予退还响应保证金：</w:t>
      </w:r>
    </w:p>
    <w:p w14:paraId="6896C09F">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cs="Courier New" w:eastAsiaTheme="minorEastAsia"/>
          <w:b w:val="0"/>
          <w:bCs w:val="0"/>
          <w:color w:val="auto"/>
          <w:kern w:val="2"/>
          <w:sz w:val="22"/>
          <w:szCs w:val="22"/>
          <w:highlight w:val="none"/>
          <w:lang w:val="en-US" w:eastAsia="zh-CN" w:bidi="ar-SA"/>
        </w:rPr>
      </w:pPr>
      <w:r>
        <w:rPr>
          <w:rFonts w:hint="eastAsia" w:ascii="宋体" w:hAnsi="宋体" w:cs="Courier New" w:eastAsiaTheme="minorEastAsia"/>
          <w:b w:val="0"/>
          <w:bCs w:val="0"/>
          <w:color w:val="auto"/>
          <w:kern w:val="2"/>
          <w:sz w:val="22"/>
          <w:szCs w:val="22"/>
          <w:highlight w:val="none"/>
          <w:lang w:val="en-US" w:eastAsia="zh-CN" w:bidi="ar-SA"/>
        </w:rPr>
        <w:t>供应商在提交响应文件截止时间后撤回响应文件的，但采取竞争性谈判方式采购且在提交最后报价之前退出谈判的情况除外；</w:t>
      </w:r>
    </w:p>
    <w:p w14:paraId="187E8E3B">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cs="Courier New" w:eastAsiaTheme="minorEastAsia"/>
          <w:b w:val="0"/>
          <w:bCs w:val="0"/>
          <w:color w:val="auto"/>
          <w:kern w:val="2"/>
          <w:sz w:val="22"/>
          <w:szCs w:val="22"/>
          <w:highlight w:val="none"/>
          <w:lang w:val="en-US" w:eastAsia="zh-CN" w:bidi="ar-SA"/>
        </w:rPr>
      </w:pPr>
      <w:r>
        <w:rPr>
          <w:rFonts w:hint="eastAsia" w:ascii="宋体" w:hAnsi="宋体" w:cs="Courier New" w:eastAsiaTheme="minorEastAsia"/>
          <w:b w:val="0"/>
          <w:bCs w:val="0"/>
          <w:color w:val="auto"/>
          <w:kern w:val="2"/>
          <w:sz w:val="22"/>
          <w:szCs w:val="22"/>
          <w:highlight w:val="none"/>
          <w:lang w:val="en-US" w:eastAsia="zh-CN" w:bidi="ar-SA"/>
        </w:rPr>
        <w:t>供应商在响应文件中提供虚假材料的；</w:t>
      </w:r>
    </w:p>
    <w:p w14:paraId="27135F9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cs="Courier New" w:eastAsiaTheme="minorEastAsia"/>
          <w:b w:val="0"/>
          <w:bCs w:val="0"/>
          <w:color w:val="auto"/>
          <w:kern w:val="2"/>
          <w:sz w:val="22"/>
          <w:szCs w:val="22"/>
          <w:highlight w:val="none"/>
          <w:lang w:val="en-US" w:eastAsia="zh-CN" w:bidi="ar-SA"/>
        </w:rPr>
      </w:pPr>
      <w:r>
        <w:rPr>
          <w:rFonts w:hint="eastAsia" w:ascii="宋体" w:hAnsi="宋体" w:cs="Courier New" w:eastAsiaTheme="minorEastAsia"/>
          <w:b w:val="0"/>
          <w:bCs w:val="0"/>
          <w:color w:val="auto"/>
          <w:kern w:val="2"/>
          <w:sz w:val="22"/>
          <w:szCs w:val="22"/>
          <w:highlight w:val="none"/>
          <w:lang w:val="en-US" w:eastAsia="zh-CN" w:bidi="ar-SA"/>
        </w:rPr>
        <w:t>（3）除因不可抗力或采购文件认可的情形外，成交供应商不与采购人签订合同的；</w:t>
      </w:r>
    </w:p>
    <w:p w14:paraId="5352EB74">
      <w:pPr>
        <w:pStyle w:val="6"/>
        <w:keepNext/>
        <w:keepLines/>
        <w:pageBreakBefore w:val="0"/>
        <w:widowControl w:val="0"/>
        <w:kinsoku/>
        <w:wordWrap/>
        <w:overflowPunct/>
        <w:topLinePunct w:val="0"/>
        <w:autoSpaceDE/>
        <w:autoSpaceDN/>
        <w:bidi w:val="0"/>
        <w:adjustRightInd/>
        <w:snapToGrid/>
        <w:spacing w:line="312" w:lineRule="auto"/>
        <w:ind w:left="0" w:firstLine="440" w:firstLineChars="200"/>
        <w:textAlignment w:val="auto"/>
        <w:rPr>
          <w:rFonts w:hint="eastAsia" w:ascii="宋体" w:hAnsi="宋体" w:cs="Courier New" w:eastAsiaTheme="minorEastAsia"/>
          <w:b w:val="0"/>
          <w:bCs w:val="0"/>
          <w:color w:val="auto"/>
          <w:kern w:val="2"/>
          <w:sz w:val="22"/>
          <w:szCs w:val="22"/>
          <w:highlight w:val="none"/>
          <w:lang w:val="en-US" w:eastAsia="zh-CN" w:bidi="ar-SA"/>
        </w:rPr>
      </w:pPr>
      <w:r>
        <w:rPr>
          <w:rFonts w:hint="eastAsia" w:ascii="宋体" w:hAnsi="宋体" w:cs="Courier New" w:eastAsiaTheme="minorEastAsia"/>
          <w:b w:val="0"/>
          <w:bCs w:val="0"/>
          <w:color w:val="auto"/>
          <w:kern w:val="2"/>
          <w:sz w:val="22"/>
          <w:szCs w:val="22"/>
          <w:highlight w:val="none"/>
          <w:lang w:val="en-US" w:eastAsia="zh-CN" w:bidi="ar-SA"/>
        </w:rPr>
        <w:t>（4）供应商与采购人、其他供应商或者采购代理机构恶意串通的；</w:t>
      </w:r>
    </w:p>
    <w:p w14:paraId="22F8BA7C">
      <w:pPr>
        <w:pStyle w:val="6"/>
        <w:keepNext/>
        <w:keepLines/>
        <w:pageBreakBefore w:val="0"/>
        <w:widowControl w:val="0"/>
        <w:kinsoku/>
        <w:wordWrap/>
        <w:overflowPunct/>
        <w:topLinePunct w:val="0"/>
        <w:autoSpaceDE/>
        <w:autoSpaceDN/>
        <w:bidi w:val="0"/>
        <w:adjustRightInd/>
        <w:snapToGrid/>
        <w:spacing w:line="312" w:lineRule="auto"/>
        <w:ind w:left="0" w:firstLine="440" w:firstLineChars="200"/>
        <w:textAlignment w:val="auto"/>
        <w:rPr>
          <w:rFonts w:hint="eastAsia" w:ascii="宋体" w:hAnsi="宋体" w:cs="宋体"/>
          <w:b/>
          <w:color w:val="auto"/>
          <w:sz w:val="22"/>
          <w:szCs w:val="22"/>
          <w:highlight w:val="none"/>
        </w:rPr>
      </w:pPr>
      <w:r>
        <w:rPr>
          <w:rFonts w:hint="eastAsia" w:ascii="宋体" w:hAnsi="宋体" w:cs="Courier New" w:eastAsiaTheme="minorEastAsia"/>
          <w:b w:val="0"/>
          <w:bCs w:val="0"/>
          <w:color w:val="auto"/>
          <w:kern w:val="2"/>
          <w:sz w:val="22"/>
          <w:szCs w:val="22"/>
          <w:highlight w:val="none"/>
          <w:lang w:val="en-US" w:eastAsia="zh-CN" w:bidi="ar-SA"/>
        </w:rPr>
        <w:t>（5）采购文件规定的其他情形。</w:t>
      </w:r>
    </w:p>
    <w:p w14:paraId="37F7B2AF">
      <w:pPr>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cs="宋体"/>
          <w:b/>
          <w:color w:val="auto"/>
          <w:sz w:val="22"/>
          <w:szCs w:val="22"/>
          <w:highlight w:val="none"/>
        </w:rPr>
      </w:pPr>
      <w:r>
        <w:rPr>
          <w:rFonts w:hint="eastAsia" w:ascii="宋体" w:hAnsi="宋体" w:cs="宋体"/>
          <w:b/>
          <w:color w:val="auto"/>
          <w:sz w:val="22"/>
          <w:szCs w:val="22"/>
          <w:highlight w:val="none"/>
        </w:rPr>
        <w:t>十</w:t>
      </w:r>
      <w:r>
        <w:rPr>
          <w:rFonts w:hint="eastAsia" w:ascii="宋体" w:hAnsi="宋体" w:cs="宋体"/>
          <w:b/>
          <w:color w:val="auto"/>
          <w:sz w:val="22"/>
          <w:szCs w:val="22"/>
          <w:highlight w:val="none"/>
          <w:lang w:eastAsia="zh-CN"/>
        </w:rPr>
        <w:t>一</w:t>
      </w:r>
      <w:r>
        <w:rPr>
          <w:rFonts w:hint="eastAsia" w:ascii="宋体" w:hAnsi="宋体" w:cs="宋体"/>
          <w:b/>
          <w:color w:val="auto"/>
          <w:sz w:val="22"/>
          <w:szCs w:val="22"/>
          <w:highlight w:val="none"/>
        </w:rPr>
        <w:t>.签订合同</w:t>
      </w:r>
    </w:p>
    <w:p w14:paraId="69425B26">
      <w:pPr>
        <w:keepNext w:val="0"/>
        <w:keepLines w:val="0"/>
        <w:pageBreakBefore w:val="0"/>
        <w:widowControl w:val="0"/>
        <w:kinsoku/>
        <w:wordWrap/>
        <w:overflowPunct/>
        <w:topLinePunct w:val="0"/>
        <w:autoSpaceDE/>
        <w:autoSpaceDN/>
        <w:bidi w:val="0"/>
        <w:adjustRightInd w:val="0"/>
        <w:snapToGrid w:val="0"/>
        <w:spacing w:line="360" w:lineRule="auto"/>
        <w:ind w:left="105" w:leftChars="50" w:firstLine="385" w:firstLineChars="175"/>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25</w:t>
      </w:r>
      <w:r>
        <w:rPr>
          <w:rFonts w:hint="eastAsia" w:ascii="宋体" w:hAnsi="宋体" w:cs="宋体"/>
          <w:color w:val="auto"/>
          <w:sz w:val="22"/>
          <w:szCs w:val="22"/>
          <w:highlight w:val="none"/>
        </w:rPr>
        <w:t>.1成交供应商自成交通知书发出之日起</w:t>
      </w:r>
      <w:r>
        <w:rPr>
          <w:rFonts w:hint="eastAsia" w:ascii="宋体" w:hAnsi="宋体" w:cs="宋体"/>
          <w:color w:val="auto"/>
          <w:sz w:val="22"/>
          <w:szCs w:val="22"/>
          <w:highlight w:val="none"/>
          <w:lang w:val="en-US" w:eastAsia="zh-CN"/>
        </w:rPr>
        <w:t>25个日历天</w:t>
      </w:r>
      <w:r>
        <w:rPr>
          <w:rFonts w:hint="eastAsia" w:ascii="宋体" w:hAnsi="宋体" w:cs="宋体"/>
          <w:color w:val="auto"/>
          <w:sz w:val="22"/>
          <w:szCs w:val="22"/>
          <w:highlight w:val="none"/>
        </w:rPr>
        <w:t>内与采购人签订政府采购合同。</w:t>
      </w:r>
    </w:p>
    <w:p w14:paraId="4E49145C">
      <w:pPr>
        <w:keepNext w:val="0"/>
        <w:keepLines w:val="0"/>
        <w:pageBreakBefore w:val="0"/>
        <w:widowControl w:val="0"/>
        <w:kinsoku/>
        <w:wordWrap/>
        <w:overflowPunct/>
        <w:topLinePunct w:val="0"/>
        <w:autoSpaceDE/>
        <w:autoSpaceDN/>
        <w:bidi w:val="0"/>
        <w:adjustRightInd w:val="0"/>
        <w:snapToGrid w:val="0"/>
        <w:spacing w:line="360" w:lineRule="auto"/>
        <w:ind w:firstLine="495" w:firstLineChars="225"/>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25</w:t>
      </w:r>
      <w:r>
        <w:rPr>
          <w:rFonts w:hint="eastAsia" w:ascii="宋体" w:hAnsi="宋体" w:cs="宋体"/>
          <w:color w:val="auto"/>
          <w:sz w:val="22"/>
          <w:szCs w:val="22"/>
          <w:highlight w:val="none"/>
        </w:rPr>
        <w:t>.2</w:t>
      </w:r>
      <w:r>
        <w:rPr>
          <w:rFonts w:hint="eastAsia" w:ascii="宋体" w:hAnsi="宋体" w:cs="宋体"/>
          <w:color w:val="auto"/>
          <w:kern w:val="0"/>
          <w:sz w:val="22"/>
          <w:szCs w:val="22"/>
          <w:highlight w:val="none"/>
        </w:rPr>
        <w:t>成交供应商拒绝签订政府采购合同的</w:t>
      </w:r>
      <w:r>
        <w:rPr>
          <w:rFonts w:hint="eastAsia" w:ascii="宋体" w:hAnsi="宋体" w:cs="宋体"/>
          <w:color w:val="auto"/>
          <w:sz w:val="22"/>
          <w:szCs w:val="22"/>
          <w:highlight w:val="none"/>
        </w:rPr>
        <w:t>，采购人可以根据谈判评审报告确定成交供应商之后排名第一的成交候选人</w:t>
      </w:r>
      <w:r>
        <w:rPr>
          <w:rFonts w:hint="eastAsia" w:ascii="宋体" w:hAnsi="宋体" w:cs="宋体"/>
          <w:color w:val="auto"/>
          <w:kern w:val="0"/>
          <w:sz w:val="22"/>
          <w:szCs w:val="22"/>
          <w:highlight w:val="none"/>
        </w:rPr>
        <w:t>作为</w:t>
      </w:r>
      <w:r>
        <w:rPr>
          <w:rFonts w:hint="eastAsia" w:ascii="宋体" w:hAnsi="宋体" w:cs="宋体"/>
          <w:color w:val="auto"/>
          <w:sz w:val="22"/>
          <w:szCs w:val="22"/>
          <w:highlight w:val="none"/>
        </w:rPr>
        <w:t>成交供应商</w:t>
      </w:r>
      <w:r>
        <w:rPr>
          <w:rFonts w:hint="eastAsia" w:ascii="宋体" w:hAnsi="宋体" w:cs="宋体"/>
          <w:color w:val="auto"/>
          <w:kern w:val="0"/>
          <w:sz w:val="22"/>
          <w:szCs w:val="22"/>
          <w:highlight w:val="none"/>
        </w:rPr>
        <w:t>并签订政府采购合同，也可以重新开展采购活动。拒绝签订政府采购合同的成交供应商不得参加该项目重新开展的采购活动。</w:t>
      </w:r>
    </w:p>
    <w:p w14:paraId="3ABF35C1">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cs="宋体"/>
          <w:color w:val="auto"/>
          <w:kern w:val="0"/>
          <w:sz w:val="22"/>
          <w:szCs w:val="22"/>
          <w:highlight w:val="none"/>
        </w:rPr>
      </w:pPr>
      <w:r>
        <w:rPr>
          <w:rFonts w:hint="eastAsia" w:ascii="宋体" w:hAnsi="宋体" w:cs="宋体"/>
          <w:b w:val="0"/>
          <w:bCs/>
          <w:color w:val="auto"/>
          <w:sz w:val="22"/>
          <w:szCs w:val="22"/>
          <w:highlight w:val="none"/>
          <w:lang w:val="en-US" w:eastAsia="zh-CN"/>
        </w:rPr>
        <w:t>25</w:t>
      </w:r>
      <w:r>
        <w:rPr>
          <w:rFonts w:hint="eastAsia" w:ascii="宋体" w:hAnsi="宋体" w:cs="宋体"/>
          <w:b w:val="0"/>
          <w:bCs/>
          <w:color w:val="auto"/>
          <w:sz w:val="22"/>
          <w:szCs w:val="22"/>
          <w:highlight w:val="none"/>
        </w:rPr>
        <w:t>.3</w:t>
      </w:r>
      <w:r>
        <w:rPr>
          <w:rFonts w:hint="eastAsia" w:ascii="宋体" w:hAnsi="宋体" w:cs="宋体"/>
          <w:color w:val="auto"/>
          <w:kern w:val="0"/>
          <w:sz w:val="22"/>
          <w:szCs w:val="22"/>
          <w:highlight w:val="none"/>
        </w:rPr>
        <w:t>成交供应商拒绝签订政府采购合同的，给采购人造成其损失的，还应当赔偿损失，并作为不良行为记录在案。</w:t>
      </w:r>
    </w:p>
    <w:p w14:paraId="7B56A32C">
      <w:pPr>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cs="宋体"/>
          <w:b/>
          <w:color w:val="auto"/>
          <w:sz w:val="22"/>
          <w:szCs w:val="22"/>
          <w:highlight w:val="none"/>
        </w:rPr>
      </w:pPr>
      <w:r>
        <w:rPr>
          <w:rFonts w:hint="eastAsia" w:ascii="宋体" w:hAnsi="宋体" w:cs="宋体"/>
          <w:b/>
          <w:color w:val="auto"/>
          <w:sz w:val="22"/>
          <w:szCs w:val="22"/>
          <w:highlight w:val="none"/>
        </w:rPr>
        <w:t>十</w:t>
      </w:r>
      <w:r>
        <w:rPr>
          <w:rFonts w:hint="eastAsia" w:ascii="宋体" w:hAnsi="宋体" w:cs="宋体"/>
          <w:b/>
          <w:color w:val="auto"/>
          <w:sz w:val="22"/>
          <w:szCs w:val="22"/>
          <w:highlight w:val="none"/>
          <w:lang w:eastAsia="zh-CN"/>
        </w:rPr>
        <w:t>二</w:t>
      </w:r>
      <w:r>
        <w:rPr>
          <w:rFonts w:hint="eastAsia" w:ascii="宋体" w:hAnsi="宋体" w:cs="宋体"/>
          <w:b/>
          <w:color w:val="auto"/>
          <w:sz w:val="22"/>
          <w:szCs w:val="22"/>
          <w:highlight w:val="none"/>
        </w:rPr>
        <w:t>、适用法律</w:t>
      </w:r>
    </w:p>
    <w:p w14:paraId="5F58F815">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26</w:t>
      </w:r>
      <w:r>
        <w:rPr>
          <w:rFonts w:hint="eastAsia" w:ascii="宋体" w:hAnsi="宋体" w:cs="宋体"/>
          <w:color w:val="auto"/>
          <w:sz w:val="22"/>
          <w:szCs w:val="22"/>
          <w:highlight w:val="none"/>
        </w:rPr>
        <w:t>.采购当事人的一切活动均适用于《中华人民共和国政府采购法》、《中华人民共和国政府采购法实施条例》和《政府采购非招标采购方式管理办法》等相关规定。最终谈判结束后，谈判小组不得再与谈判供应商进行任何形式的商谈。</w:t>
      </w:r>
    </w:p>
    <w:p w14:paraId="1C73D057">
      <w:pPr>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cs="宋体"/>
          <w:b/>
          <w:color w:val="auto"/>
          <w:sz w:val="22"/>
          <w:szCs w:val="22"/>
          <w:highlight w:val="none"/>
        </w:rPr>
      </w:pPr>
      <w:r>
        <w:rPr>
          <w:rFonts w:hint="eastAsia" w:ascii="宋体" w:hAnsi="宋体" w:cs="宋体"/>
          <w:b/>
          <w:color w:val="auto"/>
          <w:sz w:val="22"/>
          <w:szCs w:val="22"/>
          <w:highlight w:val="none"/>
        </w:rPr>
        <w:t>十</w:t>
      </w:r>
      <w:r>
        <w:rPr>
          <w:rFonts w:hint="eastAsia" w:ascii="宋体" w:hAnsi="宋体" w:cs="宋体"/>
          <w:b/>
          <w:color w:val="auto"/>
          <w:sz w:val="22"/>
          <w:szCs w:val="22"/>
          <w:highlight w:val="none"/>
          <w:lang w:eastAsia="zh-CN"/>
        </w:rPr>
        <w:t>三</w:t>
      </w:r>
      <w:r>
        <w:rPr>
          <w:rFonts w:hint="eastAsia" w:ascii="宋体" w:hAnsi="宋体" w:cs="宋体"/>
          <w:b/>
          <w:color w:val="auto"/>
          <w:sz w:val="22"/>
          <w:szCs w:val="22"/>
          <w:highlight w:val="none"/>
        </w:rPr>
        <w:t>、其他事项</w:t>
      </w:r>
    </w:p>
    <w:p w14:paraId="4125E6B7">
      <w:pPr>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cs="宋体"/>
          <w:b/>
          <w:color w:val="auto"/>
          <w:sz w:val="22"/>
          <w:szCs w:val="22"/>
          <w:highlight w:val="none"/>
        </w:rPr>
      </w:pPr>
      <w:r>
        <w:rPr>
          <w:rFonts w:hint="eastAsia" w:ascii="宋体" w:hAnsi="宋体" w:cs="宋体"/>
          <w:b/>
          <w:bCs/>
          <w:color w:val="auto"/>
          <w:sz w:val="22"/>
          <w:szCs w:val="22"/>
          <w:highlight w:val="none"/>
          <w:lang w:val="en-US" w:eastAsia="zh-CN"/>
        </w:rPr>
        <w:t>27</w:t>
      </w:r>
      <w:r>
        <w:rPr>
          <w:rFonts w:hint="eastAsia" w:ascii="宋体" w:hAnsi="宋体" w:cs="宋体"/>
          <w:b/>
          <w:bCs/>
          <w:color w:val="auto"/>
          <w:sz w:val="22"/>
          <w:szCs w:val="22"/>
          <w:highlight w:val="none"/>
        </w:rPr>
        <w:t>.1</w:t>
      </w:r>
      <w:r>
        <w:rPr>
          <w:rFonts w:hint="eastAsia" w:ascii="宋体" w:hAnsi="宋体" w:cs="宋体"/>
          <w:b/>
          <w:color w:val="auto"/>
          <w:sz w:val="22"/>
          <w:szCs w:val="22"/>
          <w:highlight w:val="none"/>
        </w:rPr>
        <w:t>采购代理服务费的收取</w:t>
      </w:r>
    </w:p>
    <w:p w14:paraId="0EC15535">
      <w:pPr>
        <w:pStyle w:val="10"/>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sz w:val="22"/>
          <w:szCs w:val="22"/>
          <w:highlight w:val="none"/>
        </w:rPr>
        <w:t>采购代理机构按规定向成交供应商收取</w:t>
      </w:r>
      <w:r>
        <w:rPr>
          <w:rFonts w:hint="eastAsia" w:hAnsi="宋体" w:cs="宋体"/>
          <w:color w:val="auto"/>
          <w:sz w:val="22"/>
          <w:szCs w:val="22"/>
          <w:highlight w:val="none"/>
          <w:lang w:eastAsia="zh-CN"/>
        </w:rPr>
        <w:t>采购</w:t>
      </w:r>
      <w:r>
        <w:rPr>
          <w:rFonts w:hint="eastAsia" w:ascii="宋体" w:hAnsi="宋体" w:cs="宋体"/>
          <w:color w:val="auto"/>
          <w:sz w:val="22"/>
          <w:szCs w:val="22"/>
          <w:highlight w:val="none"/>
        </w:rPr>
        <w:t>代理服务费。签订合同前，成交供应商应向采购代理机构一次性付清</w:t>
      </w:r>
      <w:r>
        <w:rPr>
          <w:rFonts w:hint="eastAsia" w:hAnsi="宋体" w:cs="宋体"/>
          <w:color w:val="auto"/>
          <w:sz w:val="22"/>
          <w:szCs w:val="22"/>
          <w:highlight w:val="none"/>
          <w:lang w:eastAsia="zh-CN"/>
        </w:rPr>
        <w:t>采购</w:t>
      </w:r>
      <w:r>
        <w:rPr>
          <w:rFonts w:hint="eastAsia" w:ascii="宋体" w:hAnsi="宋体" w:cs="宋体"/>
          <w:color w:val="auto"/>
          <w:sz w:val="22"/>
          <w:szCs w:val="22"/>
          <w:highlight w:val="none"/>
        </w:rPr>
        <w:t>代理服务费。代理服务收费标准，按照国家计价格[2002]1980号文招标代理服务收费标准</w:t>
      </w:r>
      <w:r>
        <w:rPr>
          <w:rFonts w:hint="eastAsia" w:ascii="宋体" w:hAnsi="宋体" w:cs="宋体"/>
          <w:color w:val="auto"/>
          <w:kern w:val="0"/>
          <w:sz w:val="22"/>
          <w:szCs w:val="22"/>
          <w:highlight w:val="none"/>
        </w:rPr>
        <w:t>货物类标准收费。</w:t>
      </w:r>
    </w:p>
    <w:p w14:paraId="6E24497F">
      <w:pPr>
        <w:pStyle w:val="10"/>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textAlignment w:val="auto"/>
        <w:rPr>
          <w:rFonts w:hint="eastAsia" w:hAnsi="宋体" w:cs="宋体"/>
          <w:bCs/>
          <w:color w:val="auto"/>
          <w:sz w:val="22"/>
          <w:szCs w:val="22"/>
          <w:highlight w:val="none"/>
        </w:rPr>
      </w:pPr>
      <w:r>
        <w:rPr>
          <w:rFonts w:hint="eastAsia" w:hAnsi="宋体" w:cs="宋体"/>
          <w:b/>
          <w:color w:val="auto"/>
          <w:sz w:val="22"/>
          <w:szCs w:val="22"/>
          <w:highlight w:val="none"/>
          <w:lang w:val="en-US" w:eastAsia="zh-CN"/>
        </w:rPr>
        <w:t>27</w:t>
      </w:r>
      <w:r>
        <w:rPr>
          <w:rFonts w:hint="eastAsia" w:hAnsi="宋体" w:cs="宋体"/>
          <w:b/>
          <w:color w:val="auto"/>
          <w:sz w:val="22"/>
          <w:szCs w:val="22"/>
          <w:highlight w:val="none"/>
        </w:rPr>
        <w:t>.2.解释权</w:t>
      </w:r>
    </w:p>
    <w:p w14:paraId="66E736A3">
      <w:pPr>
        <w:pStyle w:val="10"/>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hint="eastAsia" w:hAnsi="宋体" w:cs="宋体"/>
          <w:color w:val="auto"/>
          <w:spacing w:val="-4"/>
          <w:sz w:val="22"/>
          <w:szCs w:val="22"/>
          <w:highlight w:val="none"/>
        </w:rPr>
      </w:pPr>
      <w:r>
        <w:rPr>
          <w:rFonts w:hint="eastAsia" w:hAnsi="宋体" w:cs="宋体"/>
          <w:color w:val="auto"/>
          <w:spacing w:val="-4"/>
          <w:sz w:val="22"/>
          <w:szCs w:val="22"/>
          <w:highlight w:val="none"/>
        </w:rPr>
        <w:t>本</w:t>
      </w:r>
      <w:r>
        <w:rPr>
          <w:rFonts w:hint="eastAsia" w:hAnsi="宋体" w:cs="宋体"/>
          <w:color w:val="auto"/>
          <w:sz w:val="22"/>
          <w:szCs w:val="22"/>
          <w:highlight w:val="none"/>
        </w:rPr>
        <w:t>竞争性谈判文件解</w:t>
      </w:r>
      <w:r>
        <w:rPr>
          <w:rFonts w:hint="eastAsia" w:hAnsi="宋体" w:cs="宋体"/>
          <w:color w:val="auto"/>
          <w:spacing w:val="-4"/>
          <w:sz w:val="22"/>
          <w:szCs w:val="22"/>
          <w:highlight w:val="none"/>
        </w:rPr>
        <w:t>释权属采购代理机构。</w:t>
      </w:r>
    </w:p>
    <w:p w14:paraId="05330570">
      <w:pPr>
        <w:pStyle w:val="10"/>
        <w:keepNext w:val="0"/>
        <w:keepLines w:val="0"/>
        <w:pageBreakBefore w:val="0"/>
        <w:widowControl w:val="0"/>
        <w:kinsoku/>
        <w:wordWrap/>
        <w:overflowPunct/>
        <w:topLinePunct w:val="0"/>
        <w:autoSpaceDE/>
        <w:autoSpaceDN/>
        <w:bidi w:val="0"/>
        <w:adjustRightInd w:val="0"/>
        <w:snapToGrid w:val="0"/>
        <w:spacing w:line="360" w:lineRule="auto"/>
        <w:ind w:firstLine="433" w:firstLineChars="196"/>
        <w:textAlignment w:val="auto"/>
        <w:rPr>
          <w:rFonts w:hint="eastAsia" w:hAnsi="宋体" w:cs="宋体"/>
          <w:color w:val="auto"/>
          <w:sz w:val="22"/>
          <w:szCs w:val="22"/>
          <w:highlight w:val="none"/>
        </w:rPr>
      </w:pPr>
      <w:r>
        <w:rPr>
          <w:rFonts w:hint="eastAsia" w:hAnsi="宋体" w:cs="宋体"/>
          <w:b/>
          <w:color w:val="auto"/>
          <w:sz w:val="22"/>
          <w:szCs w:val="22"/>
          <w:highlight w:val="none"/>
          <w:lang w:val="en-US" w:eastAsia="zh-CN"/>
        </w:rPr>
        <w:t>27</w:t>
      </w:r>
      <w:r>
        <w:rPr>
          <w:rFonts w:hint="eastAsia" w:hAnsi="宋体" w:cs="宋体"/>
          <w:b/>
          <w:color w:val="auto"/>
          <w:sz w:val="22"/>
          <w:szCs w:val="22"/>
          <w:highlight w:val="none"/>
        </w:rPr>
        <w:t>.3.有关事宜</w:t>
      </w:r>
    </w:p>
    <w:p w14:paraId="701FA97A">
      <w:pPr>
        <w:pStyle w:val="10"/>
        <w:keepNext w:val="0"/>
        <w:keepLines w:val="0"/>
        <w:pageBreakBefore w:val="0"/>
        <w:widowControl w:val="0"/>
        <w:kinsoku/>
        <w:wordWrap/>
        <w:overflowPunct/>
        <w:topLinePunct w:val="0"/>
        <w:autoSpaceDE/>
        <w:autoSpaceDN/>
        <w:bidi w:val="0"/>
        <w:adjustRightInd w:val="0"/>
        <w:snapToGrid w:val="0"/>
        <w:spacing w:line="360" w:lineRule="auto"/>
        <w:ind w:firstLine="433" w:firstLineChars="197"/>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所有与本竞争性谈判文件有关的函件请按下列通讯地址联系：</w:t>
      </w:r>
    </w:p>
    <w:p w14:paraId="723DB410">
      <w:pPr>
        <w:pStyle w:val="10"/>
        <w:keepNext w:val="0"/>
        <w:keepLines w:val="0"/>
        <w:pageBreakBefore w:val="0"/>
        <w:widowControl w:val="0"/>
        <w:tabs>
          <w:tab w:val="left" w:pos="1990"/>
        </w:tabs>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hAnsi="宋体" w:eastAsia="宋体" w:cs="宋体"/>
          <w:color w:val="auto"/>
          <w:sz w:val="22"/>
          <w:szCs w:val="22"/>
          <w:highlight w:val="none"/>
          <w:lang w:eastAsia="zh-CN"/>
        </w:rPr>
        <w:t>代理公司：广西中之元工程管理有限公司</w:t>
      </w:r>
    </w:p>
    <w:p w14:paraId="4FC413FE">
      <w:pPr>
        <w:pStyle w:val="10"/>
        <w:keepNext w:val="0"/>
        <w:keepLines w:val="0"/>
        <w:pageBreakBefore w:val="0"/>
        <w:widowControl w:val="0"/>
        <w:tabs>
          <w:tab w:val="left" w:pos="1990"/>
        </w:tabs>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邮政编码：536</w:t>
      </w:r>
      <w:r>
        <w:rPr>
          <w:rFonts w:hint="eastAsia"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00</w:t>
      </w:r>
    </w:p>
    <w:p w14:paraId="1480BC2D">
      <w:pPr>
        <w:pStyle w:val="10"/>
        <w:keepNext w:val="0"/>
        <w:keepLines w:val="0"/>
        <w:pageBreakBefore w:val="0"/>
        <w:widowControl w:val="0"/>
        <w:tabs>
          <w:tab w:val="left" w:pos="1990"/>
        </w:tabs>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pacing w:val="-4"/>
          <w:sz w:val="22"/>
          <w:szCs w:val="22"/>
          <w:highlight w:val="none"/>
          <w:lang w:eastAsia="zh-CN"/>
        </w:rPr>
      </w:pPr>
      <w:r>
        <w:rPr>
          <w:rFonts w:hint="eastAsia" w:ascii="宋体" w:hAnsi="宋体" w:eastAsia="宋体" w:cs="宋体"/>
          <w:color w:val="auto"/>
          <w:sz w:val="22"/>
          <w:szCs w:val="22"/>
          <w:highlight w:val="none"/>
        </w:rPr>
        <w:t>通讯地址：</w:t>
      </w:r>
      <w:r>
        <w:rPr>
          <w:rFonts w:hint="eastAsia" w:hAnsi="宋体" w:eastAsia="宋体" w:cs="宋体"/>
          <w:color w:val="auto"/>
          <w:sz w:val="22"/>
          <w:szCs w:val="22"/>
          <w:highlight w:val="none"/>
          <w:lang w:eastAsia="zh-CN"/>
        </w:rPr>
        <w:t>北海市</w:t>
      </w:r>
      <w:r>
        <w:rPr>
          <w:rFonts w:hint="eastAsia" w:ascii="宋体" w:hAnsi="宋体" w:eastAsia="宋体" w:cs="宋体"/>
          <w:color w:val="auto"/>
          <w:sz w:val="22"/>
          <w:szCs w:val="22"/>
          <w:highlight w:val="none"/>
        </w:rPr>
        <w:t>合浦县</w:t>
      </w:r>
      <w:r>
        <w:rPr>
          <w:rFonts w:hint="eastAsia" w:hAnsi="宋体" w:eastAsia="宋体" w:cs="宋体"/>
          <w:color w:val="auto"/>
          <w:sz w:val="22"/>
          <w:szCs w:val="22"/>
          <w:highlight w:val="none"/>
          <w:lang w:eastAsia="zh-CN"/>
        </w:rPr>
        <w:t>廉州镇</w:t>
      </w:r>
      <w:r>
        <w:rPr>
          <w:rFonts w:hint="eastAsia" w:ascii="宋体" w:hAnsi="宋体" w:eastAsia="宋体" w:cs="宋体"/>
          <w:color w:val="auto"/>
          <w:sz w:val="22"/>
          <w:szCs w:val="22"/>
          <w:highlight w:val="none"/>
        </w:rPr>
        <w:t>文昌新城2栋9号楼</w:t>
      </w:r>
    </w:p>
    <w:p w14:paraId="202A0B07">
      <w:pPr>
        <w:pStyle w:val="2"/>
        <w:keepNext w:val="0"/>
        <w:keepLines w:val="0"/>
        <w:pageBreakBefore w:val="0"/>
        <w:widowControl w:val="0"/>
        <w:numPr>
          <w:ilvl w:val="0"/>
          <w:numId w:val="0"/>
        </w:numPr>
        <w:kinsoku/>
        <w:wordWrap/>
        <w:overflowPunct/>
        <w:topLinePunct w:val="0"/>
        <w:autoSpaceDE/>
        <w:autoSpaceDN/>
        <w:bidi w:val="0"/>
        <w:spacing w:line="360" w:lineRule="auto"/>
        <w:ind w:leftChars="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电话/传真：</w:t>
      </w:r>
      <w:r>
        <w:rPr>
          <w:rFonts w:hint="eastAsia" w:ascii="宋体" w:hAnsi="宋体" w:eastAsia="宋体" w:cs="宋体"/>
          <w:color w:val="auto"/>
          <w:sz w:val="22"/>
          <w:szCs w:val="22"/>
          <w:highlight w:val="none"/>
          <w:lang w:eastAsia="zh-CN"/>
        </w:rPr>
        <w:t>0779-7200788</w:t>
      </w:r>
      <w:r>
        <w:rPr>
          <w:rFonts w:hint="eastAsia" w:ascii="宋体" w:hAnsi="宋体" w:eastAsia="宋体" w:cs="宋体"/>
          <w:color w:val="auto"/>
          <w:sz w:val="22"/>
          <w:szCs w:val="22"/>
          <w:highlight w:val="none"/>
        </w:rPr>
        <w:t xml:space="preserve"> </w:t>
      </w:r>
    </w:p>
    <w:p w14:paraId="70038630">
      <w:pPr>
        <w:jc w:val="center"/>
        <w:rPr>
          <w:rFonts w:hint="eastAsia" w:ascii="宋体" w:hAnsi="宋体" w:cs="宋体"/>
          <w:color w:val="auto"/>
          <w:sz w:val="22"/>
          <w:szCs w:val="22"/>
          <w:highlight w:val="none"/>
        </w:rPr>
      </w:pPr>
      <w:r>
        <w:rPr>
          <w:rFonts w:hint="eastAsia" w:hAnsi="宋体" w:cs="宋体"/>
          <w:color w:val="auto"/>
          <w:sz w:val="22"/>
          <w:szCs w:val="22"/>
          <w:highlight w:val="none"/>
        </w:rPr>
        <w:br w:type="page"/>
      </w:r>
      <w:bookmarkStart w:id="40" w:name="_Toc19056"/>
      <w:r>
        <w:rPr>
          <w:rStyle w:val="26"/>
          <w:rFonts w:hint="eastAsia"/>
          <w:color w:val="auto"/>
          <w:highlight w:val="none"/>
          <w:lang w:val="en-US" w:eastAsia="zh-CN"/>
        </w:rPr>
        <w:t>第三章  采购项目需求</w:t>
      </w:r>
      <w:bookmarkEnd w:id="40"/>
    </w:p>
    <w:p w14:paraId="3F1A4AAE">
      <w:pPr>
        <w:tabs>
          <w:tab w:val="left" w:pos="180"/>
          <w:tab w:val="left" w:pos="1620"/>
        </w:tabs>
        <w:adjustRightInd w:val="0"/>
        <w:snapToGrid w:val="0"/>
        <w:spacing w:line="360" w:lineRule="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采购预算（人民币）：</w:t>
      </w:r>
      <w:r>
        <w:rPr>
          <w:rFonts w:hint="eastAsia" w:ascii="宋体" w:hAnsi="宋体" w:eastAsia="宋体" w:cs="宋体"/>
          <w:color w:val="auto"/>
          <w:sz w:val="22"/>
          <w:szCs w:val="22"/>
          <w:highlight w:val="none"/>
          <w:lang w:val="en-US" w:eastAsia="zh-CN"/>
        </w:rPr>
        <w:t>1100000.00</w:t>
      </w:r>
      <w:r>
        <w:rPr>
          <w:rFonts w:hint="eastAsia" w:ascii="宋体" w:hAnsi="宋体" w:cs="宋体"/>
          <w:color w:val="auto"/>
          <w:sz w:val="22"/>
          <w:szCs w:val="22"/>
          <w:highlight w:val="none"/>
          <w:lang w:eastAsia="zh-CN"/>
        </w:rPr>
        <w:t>元</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竞</w:t>
      </w:r>
      <w:r>
        <w:rPr>
          <w:rFonts w:hint="eastAsia" w:ascii="宋体" w:hAnsi="宋体" w:cs="宋体"/>
          <w:color w:val="auto"/>
          <w:sz w:val="22"/>
          <w:szCs w:val="22"/>
          <w:highlight w:val="none"/>
        </w:rPr>
        <w:t>标人的最终报价超过项目最高限价的，</w:t>
      </w:r>
      <w:r>
        <w:rPr>
          <w:rFonts w:hint="eastAsia" w:ascii="宋体" w:hAnsi="宋体" w:cs="宋体"/>
          <w:color w:val="auto"/>
          <w:sz w:val="22"/>
          <w:szCs w:val="22"/>
          <w:highlight w:val="none"/>
          <w:lang w:eastAsia="zh-CN"/>
        </w:rPr>
        <w:t>竞</w:t>
      </w:r>
      <w:r>
        <w:rPr>
          <w:rFonts w:hint="eastAsia" w:ascii="宋体" w:hAnsi="宋体" w:cs="宋体"/>
          <w:color w:val="auto"/>
          <w:sz w:val="22"/>
          <w:szCs w:val="22"/>
          <w:highlight w:val="none"/>
        </w:rPr>
        <w:t>标无效。</w:t>
      </w:r>
    </w:p>
    <w:p w14:paraId="48ED8863">
      <w:pPr>
        <w:tabs>
          <w:tab w:val="left" w:pos="180"/>
          <w:tab w:val="left" w:pos="1620"/>
        </w:tabs>
        <w:adjustRightInd w:val="0"/>
        <w:snapToGrid w:val="0"/>
        <w:spacing w:line="360" w:lineRule="auto"/>
        <w:rPr>
          <w:rFonts w:hint="eastAsia" w:ascii="宋体" w:hAnsi="宋体" w:cs="宋体"/>
          <w:color w:val="auto"/>
          <w:sz w:val="22"/>
          <w:szCs w:val="22"/>
          <w:highlight w:val="none"/>
          <w:u w:val="single"/>
        </w:rPr>
      </w:pP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项目类别：</w:t>
      </w:r>
      <w:r>
        <w:rPr>
          <w:rFonts w:hint="eastAsia" w:ascii="宋体" w:hAnsi="宋体" w:cs="宋体"/>
          <w:color w:val="auto"/>
          <w:sz w:val="22"/>
          <w:szCs w:val="22"/>
          <w:highlight w:val="none"/>
          <w:u w:val="single"/>
        </w:rPr>
        <w:t xml:space="preserve"> 货物类 </w:t>
      </w:r>
    </w:p>
    <w:p w14:paraId="0931E3B0">
      <w:pPr>
        <w:pStyle w:val="33"/>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、下表中的品牌型号、技术参数仅起参考作用，投标人可选用其他品牌型号替代，但这些替代的产品要实质上相当于或优于参考品牌型号及其技术参数性能（配置）要求。</w:t>
      </w:r>
    </w:p>
    <w:p w14:paraId="0DE2C930">
      <w:pPr>
        <w:pStyle w:val="33"/>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本一览表中参考品牌型号及技术参数性能（配置）不明确或有误的，或投标人选用其他品牌型号替代的，请以详细、正确的品牌型号、技术参数性能配置填写投标报价表和技术规格偏离表。投标人须根据技术参数及性能配置要求提供对应的技术响应偏离表。</w:t>
      </w:r>
    </w:p>
    <w:p w14:paraId="0939D700">
      <w:pP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根据《关于印发中小企业划型标准规定的通知》（工信部联企业[2011]300号）规定的划分标准，本</w:t>
      </w:r>
      <w:r>
        <w:rPr>
          <w:rFonts w:hint="eastAsia" w:ascii="宋体" w:hAnsi="宋体" w:eastAsia="宋体" w:cs="宋体"/>
          <w:b w:val="0"/>
          <w:bCs w:val="0"/>
          <w:color w:val="auto"/>
          <w:sz w:val="21"/>
          <w:szCs w:val="21"/>
          <w:highlight w:val="none"/>
          <w:lang w:val="en-US" w:eastAsia="zh-CN"/>
        </w:rPr>
        <w:t>项目所有采购标的对应的中小企业划分标准所属行业为</w:t>
      </w:r>
      <w:r>
        <w:rPr>
          <w:rFonts w:hint="eastAsia" w:ascii="宋体" w:hAnsi="宋体" w:eastAsia="宋体" w:cs="宋体"/>
          <w:b/>
          <w:bCs/>
          <w:color w:val="auto"/>
          <w:sz w:val="21"/>
          <w:szCs w:val="21"/>
          <w:highlight w:val="none"/>
          <w:u w:val="single"/>
          <w:lang w:val="en-US" w:eastAsia="zh-CN"/>
        </w:rPr>
        <w:t>工业</w:t>
      </w:r>
      <w:r>
        <w:rPr>
          <w:rFonts w:hint="eastAsia" w:ascii="宋体" w:hAnsi="宋体" w:eastAsia="宋体" w:cs="宋体"/>
          <w:b w:val="0"/>
          <w:bCs w:val="0"/>
          <w:color w:val="auto"/>
          <w:sz w:val="21"/>
          <w:szCs w:val="21"/>
          <w:highlight w:val="none"/>
          <w:lang w:val="en-US" w:eastAsia="zh-CN"/>
        </w:rPr>
        <w:t>。</w:t>
      </w:r>
    </w:p>
    <w:p w14:paraId="7A589708">
      <w:pP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6、产品参数带“★”的技术参数，必须满足否则谈判无效。</w:t>
      </w:r>
    </w:p>
    <w:p w14:paraId="5F3A4E43">
      <w:pPr>
        <w:rPr>
          <w:rFonts w:hint="eastAsia"/>
        </w:rPr>
      </w:pPr>
    </w:p>
    <w:tbl>
      <w:tblPr>
        <w:tblStyle w:val="16"/>
        <w:tblW w:w="91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9"/>
        <w:gridCol w:w="1096"/>
        <w:gridCol w:w="1292"/>
        <w:gridCol w:w="6030"/>
      </w:tblGrid>
      <w:tr w14:paraId="5F150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9" w:type="dxa"/>
            <w:vAlign w:val="center"/>
          </w:tcPr>
          <w:p w14:paraId="10BEDBFB">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right="0"/>
              <w:jc w:val="center"/>
              <w:rPr>
                <w:rFonts w:hint="eastAsia" w:ascii="宋体" w:hAnsi="宋体" w:eastAsia="宋体" w:cs="宋体"/>
                <w:color w:val="auto"/>
                <w:sz w:val="21"/>
                <w:szCs w:val="21"/>
                <w:highlight w:val="none"/>
              </w:rPr>
            </w:pPr>
            <w:bookmarkStart w:id="41" w:name="_Toc6559"/>
            <w:r>
              <w:rPr>
                <w:rFonts w:hint="eastAsia" w:ascii="宋体" w:hAnsi="宋体" w:eastAsia="宋体" w:cs="宋体"/>
                <w:color w:val="auto"/>
                <w:sz w:val="21"/>
                <w:szCs w:val="21"/>
                <w:highlight w:val="none"/>
              </w:rPr>
              <w:t>序号</w:t>
            </w:r>
          </w:p>
        </w:tc>
        <w:tc>
          <w:tcPr>
            <w:tcW w:w="1096" w:type="dxa"/>
            <w:vAlign w:val="center"/>
          </w:tcPr>
          <w:p w14:paraId="2372B990">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设备名称</w:t>
            </w:r>
          </w:p>
        </w:tc>
        <w:tc>
          <w:tcPr>
            <w:tcW w:w="1292" w:type="dxa"/>
            <w:vAlign w:val="center"/>
          </w:tcPr>
          <w:p w14:paraId="1B35FA56">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6030" w:type="dxa"/>
            <w:vAlign w:val="center"/>
          </w:tcPr>
          <w:p w14:paraId="4A9600A0">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w:t>
            </w:r>
          </w:p>
        </w:tc>
      </w:tr>
      <w:tr w14:paraId="52A3C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9" w:hRule="atLeast"/>
          <w:jc w:val="center"/>
        </w:trPr>
        <w:tc>
          <w:tcPr>
            <w:tcW w:w="689" w:type="dxa"/>
            <w:vAlign w:val="center"/>
          </w:tcPr>
          <w:p w14:paraId="23FEFA78">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96" w:type="dxa"/>
            <w:vAlign w:val="center"/>
          </w:tcPr>
          <w:p w14:paraId="64CF46E0">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二氧化碳激光治疗机</w:t>
            </w:r>
          </w:p>
        </w:tc>
        <w:tc>
          <w:tcPr>
            <w:tcW w:w="1292" w:type="dxa"/>
            <w:vAlign w:val="center"/>
          </w:tcPr>
          <w:p w14:paraId="392B3BFC">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台</w:t>
            </w:r>
          </w:p>
        </w:tc>
        <w:tc>
          <w:tcPr>
            <w:tcW w:w="6030" w:type="dxa"/>
            <w:vAlign w:val="top"/>
          </w:tcPr>
          <w:p w14:paraId="1177FA05">
            <w:pPr>
              <w:pStyle w:val="4"/>
              <w:keepNext/>
              <w:keepLines/>
              <w:pageBreakBefore w:val="0"/>
              <w:widowControl w:val="0"/>
              <w:kinsoku/>
              <w:wordWrap/>
              <w:overflowPunct/>
              <w:topLinePunct w:val="0"/>
              <w:autoSpaceDE/>
              <w:autoSpaceDN/>
              <w:bidi w:val="0"/>
              <w:adjustRightInd/>
              <w:snapToGrid/>
              <w:spacing w:line="240" w:lineRule="auto"/>
              <w:ind w:firstLine="211" w:firstLineChars="100"/>
              <w:textAlignment w:val="auto"/>
              <w:rPr>
                <w:rFonts w:hint="eastAsia" w:ascii="宋体" w:hAnsi="宋体" w:eastAsia="宋体" w:cs="宋体"/>
                <w:b w:val="0"/>
                <w:bCs/>
                <w:sz w:val="21"/>
                <w:szCs w:val="21"/>
                <w:highlight w:val="none"/>
              </w:rPr>
            </w:pPr>
            <w:r>
              <w:rPr>
                <w:rFonts w:hint="eastAsia" w:ascii="宋体" w:hAnsi="宋体" w:eastAsia="宋体" w:cs="宋体"/>
                <w:sz w:val="21"/>
                <w:szCs w:val="21"/>
              </w:rPr>
              <w:t>★</w:t>
            </w:r>
            <w:r>
              <w:rPr>
                <w:rFonts w:hint="eastAsia" w:ascii="宋体" w:hAnsi="宋体" w:eastAsia="宋体" w:cs="宋体"/>
                <w:b w:val="0"/>
                <w:bCs/>
                <w:sz w:val="21"/>
                <w:szCs w:val="21"/>
                <w:highlight w:val="none"/>
              </w:rPr>
              <w:t>1、激光器类型：金属封装射频CO2激光器；</w:t>
            </w:r>
          </w:p>
          <w:p w14:paraId="767A1534">
            <w:pPr>
              <w:pStyle w:val="4"/>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2、激光波长：10600nm；</w:t>
            </w:r>
          </w:p>
          <w:p w14:paraId="11507C55">
            <w:pPr>
              <w:pStyle w:val="4"/>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3、光斑直径：≤0.35mm；</w:t>
            </w:r>
          </w:p>
          <w:p w14:paraId="3026C6DE">
            <w:pPr>
              <w:pStyle w:val="4"/>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rPr>
              <w:t>4、最小脉冲宽度：≤40us</w:t>
            </w:r>
            <w:r>
              <w:rPr>
                <w:rFonts w:hint="eastAsia" w:ascii="宋体" w:hAnsi="宋体" w:eastAsia="宋体" w:cs="宋体"/>
                <w:b w:val="0"/>
                <w:bCs/>
                <w:sz w:val="21"/>
                <w:szCs w:val="21"/>
                <w:highlight w:val="none"/>
                <w:lang w:eastAsia="zh-CN"/>
              </w:rPr>
              <w:t>；</w:t>
            </w:r>
          </w:p>
          <w:p w14:paraId="7869B860">
            <w:pPr>
              <w:pStyle w:val="4"/>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5、传输方式：7关节平衡锤式导光臂</w:t>
            </w: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rPr>
              <w:t>配光学图形扫描器；</w:t>
            </w:r>
          </w:p>
          <w:p w14:paraId="39A710AB">
            <w:pPr>
              <w:pStyle w:val="4"/>
              <w:keepNext/>
              <w:keepLines/>
              <w:pageBreakBefore w:val="0"/>
              <w:widowControl w:val="0"/>
              <w:kinsoku/>
              <w:wordWrap/>
              <w:overflowPunct/>
              <w:topLinePunct w:val="0"/>
              <w:autoSpaceDE/>
              <w:autoSpaceDN/>
              <w:bidi w:val="0"/>
              <w:adjustRightInd/>
              <w:snapToGrid/>
              <w:spacing w:line="240" w:lineRule="auto"/>
              <w:ind w:firstLine="211" w:firstLineChars="100"/>
              <w:textAlignment w:val="auto"/>
              <w:rPr>
                <w:rFonts w:hint="eastAsia" w:ascii="宋体" w:hAnsi="宋体" w:eastAsia="宋体" w:cs="宋体"/>
                <w:b w:val="0"/>
                <w:bCs/>
                <w:sz w:val="21"/>
                <w:szCs w:val="21"/>
                <w:highlight w:val="none"/>
              </w:rPr>
            </w:pPr>
            <w:r>
              <w:rPr>
                <w:rFonts w:hint="eastAsia" w:ascii="宋体" w:hAnsi="宋体" w:eastAsia="宋体" w:cs="宋体"/>
                <w:sz w:val="21"/>
                <w:szCs w:val="21"/>
              </w:rPr>
              <w:t>★</w:t>
            </w:r>
            <w:r>
              <w:rPr>
                <w:rFonts w:hint="eastAsia" w:ascii="宋体" w:hAnsi="宋体" w:eastAsia="宋体" w:cs="宋体"/>
                <w:b w:val="0"/>
                <w:bCs/>
                <w:sz w:val="21"/>
                <w:szCs w:val="21"/>
                <w:highlight w:val="none"/>
              </w:rPr>
              <w:t>6、最大输出功率：≤30W；</w:t>
            </w:r>
          </w:p>
          <w:p w14:paraId="630C5997">
            <w:pPr>
              <w:pStyle w:val="4"/>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7、单光斑最大能量：≥150mJ；</w:t>
            </w:r>
          </w:p>
          <w:p w14:paraId="18C0014B">
            <w:pPr>
              <w:pStyle w:val="4"/>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8、图形尺寸：X轴≤1~20mm,Y轴≤1~10mm，X轴、Y轴可调；</w:t>
            </w:r>
          </w:p>
          <w:p w14:paraId="497A4C0A">
            <w:pPr>
              <w:pStyle w:val="4"/>
              <w:keepNext/>
              <w:keepLines/>
              <w:pageBreakBefore w:val="0"/>
              <w:widowControl w:val="0"/>
              <w:kinsoku/>
              <w:wordWrap/>
              <w:overflowPunct/>
              <w:topLinePunct w:val="0"/>
              <w:autoSpaceDE/>
              <w:autoSpaceDN/>
              <w:bidi w:val="0"/>
              <w:adjustRightInd/>
              <w:snapToGrid/>
              <w:spacing w:line="240" w:lineRule="auto"/>
              <w:ind w:firstLine="211" w:firstLineChars="100"/>
              <w:textAlignment w:val="auto"/>
              <w:rPr>
                <w:rFonts w:hint="eastAsia" w:ascii="宋体" w:hAnsi="宋体" w:eastAsia="宋体" w:cs="宋体"/>
                <w:b w:val="0"/>
                <w:bCs/>
                <w:sz w:val="21"/>
                <w:szCs w:val="21"/>
                <w:highlight w:val="none"/>
              </w:rPr>
            </w:pPr>
            <w:r>
              <w:rPr>
                <w:rFonts w:hint="eastAsia" w:ascii="宋体" w:hAnsi="宋体" w:eastAsia="宋体" w:cs="宋体"/>
                <w:sz w:val="21"/>
                <w:szCs w:val="21"/>
              </w:rPr>
              <w:t>★</w:t>
            </w:r>
            <w:r>
              <w:rPr>
                <w:rFonts w:hint="eastAsia" w:ascii="宋体" w:hAnsi="宋体" w:eastAsia="宋体" w:cs="宋体"/>
                <w:b w:val="0"/>
                <w:bCs/>
                <w:sz w:val="21"/>
                <w:szCs w:val="21"/>
                <w:highlight w:val="none"/>
              </w:rPr>
              <w:t>9、扫描图形：≥8种（图形大小、间距、扫描程度可调）；</w:t>
            </w:r>
          </w:p>
          <w:p w14:paraId="479E2DC4">
            <w:pPr>
              <w:pStyle w:val="4"/>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10、脉冲重复频率：≥2000Hz可调；</w:t>
            </w:r>
          </w:p>
          <w:p w14:paraId="100CAC5C">
            <w:pPr>
              <w:pStyle w:val="4"/>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11、激光模式：多模输出；</w:t>
            </w:r>
          </w:p>
          <w:p w14:paraId="5E7FE8CB">
            <w:pPr>
              <w:pStyle w:val="4"/>
              <w:keepNext/>
              <w:keepLines/>
              <w:pageBreakBefore w:val="0"/>
              <w:widowControl w:val="0"/>
              <w:kinsoku/>
              <w:wordWrap/>
              <w:overflowPunct/>
              <w:topLinePunct w:val="0"/>
              <w:autoSpaceDE/>
              <w:autoSpaceDN/>
              <w:bidi w:val="0"/>
              <w:adjustRightInd/>
              <w:snapToGrid/>
              <w:spacing w:line="240" w:lineRule="auto"/>
              <w:ind w:firstLine="211" w:firstLineChars="1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sz w:val="21"/>
                <w:szCs w:val="21"/>
              </w:rPr>
              <w:t>★</w:t>
            </w:r>
            <w:r>
              <w:rPr>
                <w:rFonts w:hint="eastAsia" w:ascii="宋体" w:hAnsi="宋体" w:eastAsia="宋体" w:cs="宋体"/>
                <w:b w:val="0"/>
                <w:bCs/>
                <w:sz w:val="21"/>
                <w:szCs w:val="21"/>
                <w:highlight w:val="none"/>
              </w:rPr>
              <w:t>12、光学图形扫描器需获国家食品药品监督管理局注册审批；</w:t>
            </w:r>
            <w:r>
              <w:rPr>
                <w:rFonts w:hint="eastAsia" w:ascii="宋体" w:hAnsi="宋体" w:eastAsia="宋体" w:cs="宋体"/>
                <w:b w:val="0"/>
                <w:bCs/>
                <w:sz w:val="21"/>
                <w:szCs w:val="21"/>
                <w:highlight w:val="none"/>
                <w:lang w:val="en-US" w:eastAsia="zh-CN"/>
              </w:rPr>
              <w:t>(需提供相关证明材料）</w:t>
            </w:r>
          </w:p>
          <w:p w14:paraId="040B84F6">
            <w:pPr>
              <w:pStyle w:val="4"/>
              <w:keepNext/>
              <w:keepLines/>
              <w:pageBreakBefore w:val="0"/>
              <w:widowControl w:val="0"/>
              <w:kinsoku/>
              <w:wordWrap/>
              <w:overflowPunct/>
              <w:topLinePunct w:val="0"/>
              <w:autoSpaceDE/>
              <w:autoSpaceDN/>
              <w:bidi w:val="0"/>
              <w:adjustRightInd/>
              <w:snapToGrid/>
              <w:spacing w:line="240" w:lineRule="auto"/>
              <w:ind w:firstLine="211" w:firstLineChars="100"/>
              <w:textAlignment w:val="auto"/>
              <w:rPr>
                <w:rFonts w:hint="eastAsia" w:ascii="宋体" w:hAnsi="宋体" w:eastAsia="宋体" w:cs="宋体"/>
                <w:b w:val="0"/>
                <w:bCs/>
                <w:sz w:val="21"/>
                <w:szCs w:val="21"/>
                <w:highlight w:val="none"/>
              </w:rPr>
            </w:pPr>
            <w:r>
              <w:rPr>
                <w:rFonts w:hint="eastAsia" w:ascii="宋体" w:hAnsi="宋体" w:eastAsia="宋体" w:cs="宋体"/>
                <w:sz w:val="21"/>
                <w:szCs w:val="21"/>
              </w:rPr>
              <w:t>★</w:t>
            </w:r>
            <w:r>
              <w:rPr>
                <w:rFonts w:hint="eastAsia" w:ascii="宋体" w:hAnsi="宋体" w:eastAsia="宋体" w:cs="宋体"/>
                <w:b w:val="0"/>
                <w:bCs/>
                <w:sz w:val="21"/>
                <w:szCs w:val="21"/>
                <w:highlight w:val="none"/>
              </w:rPr>
              <w:t>13、配切割通用手具≥2把，私密探头3把（私密探头分别用于内阴、外阴、宫颈病变治疗的妇科治疗手具及点阵扫描手具）；</w:t>
            </w:r>
          </w:p>
          <w:p w14:paraId="1D9ED1D5">
            <w:pPr>
              <w:pStyle w:val="4"/>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14、瞄准光系统：650nm波长红色半导体指示光，亮度强弱多档可调；</w:t>
            </w:r>
          </w:p>
          <w:p w14:paraId="6731124D">
            <w:pPr>
              <w:pStyle w:val="4"/>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15、冷却方式：风冷冷却系统，配有智能静音模式，根据激光器温度自动调整风扇转速；</w:t>
            </w:r>
          </w:p>
          <w:p w14:paraId="68327A48">
            <w:pPr>
              <w:pStyle w:val="4"/>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16、屏幕尺寸：≥9.5寸彩色触摸屏 ；</w:t>
            </w:r>
          </w:p>
          <w:p w14:paraId="75D73D09">
            <w:pPr>
              <w:pStyle w:val="4"/>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17、安全保护功能：激光器具有光闸保护功能；</w:t>
            </w:r>
          </w:p>
          <w:p w14:paraId="26679505">
            <w:pPr>
              <w:pStyle w:val="4"/>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highlight w:val="none"/>
              </w:rPr>
            </w:pPr>
            <w:r>
              <w:rPr>
                <w:rFonts w:hint="eastAsia" w:ascii="宋体" w:hAnsi="宋体" w:eastAsia="宋体" w:cs="宋体"/>
                <w:b w:val="0"/>
                <w:bCs/>
                <w:sz w:val="21"/>
                <w:szCs w:val="21"/>
                <w:highlight w:val="none"/>
              </w:rPr>
              <w:t>18、使用年限：≥8年</w:t>
            </w:r>
          </w:p>
        </w:tc>
      </w:tr>
      <w:tr w14:paraId="5816B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1" w:hRule="atLeast"/>
          <w:jc w:val="center"/>
        </w:trPr>
        <w:tc>
          <w:tcPr>
            <w:tcW w:w="689" w:type="dxa"/>
            <w:vAlign w:val="center"/>
          </w:tcPr>
          <w:p w14:paraId="1CDC9459">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096" w:type="dxa"/>
            <w:vAlign w:val="center"/>
          </w:tcPr>
          <w:p w14:paraId="27E029C0">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Q开关Nd：YAG激光治疗机</w:t>
            </w:r>
          </w:p>
        </w:tc>
        <w:tc>
          <w:tcPr>
            <w:tcW w:w="1292" w:type="dxa"/>
            <w:vAlign w:val="center"/>
          </w:tcPr>
          <w:p w14:paraId="5B38B139">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1台</w:t>
            </w:r>
          </w:p>
        </w:tc>
        <w:tc>
          <w:tcPr>
            <w:tcW w:w="6030" w:type="dxa"/>
            <w:vAlign w:val="top"/>
          </w:tcPr>
          <w:p w14:paraId="286A1FB3">
            <w:pPr>
              <w:pStyle w:val="4"/>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1、激光工作物质：掺钕钇铝石榴石；</w:t>
            </w:r>
          </w:p>
          <w:p w14:paraId="7BEB929F">
            <w:pPr>
              <w:pStyle w:val="4"/>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2、运转方式：光电Q开关晶体，倍频转换；</w:t>
            </w:r>
          </w:p>
          <w:p w14:paraId="22B7D643">
            <w:pPr>
              <w:pStyle w:val="4"/>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3、传输方式：7关节平衡锤式导光臂；</w:t>
            </w:r>
          </w:p>
          <w:p w14:paraId="52D5BCB2">
            <w:pPr>
              <w:pStyle w:val="4"/>
              <w:keepNext/>
              <w:keepLines/>
              <w:pageBreakBefore w:val="0"/>
              <w:widowControl w:val="0"/>
              <w:kinsoku/>
              <w:wordWrap/>
              <w:overflowPunct/>
              <w:topLinePunct w:val="0"/>
              <w:autoSpaceDE/>
              <w:autoSpaceDN/>
              <w:bidi w:val="0"/>
              <w:adjustRightInd/>
              <w:snapToGrid/>
              <w:spacing w:line="240" w:lineRule="auto"/>
              <w:ind w:firstLine="211" w:firstLineChars="1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sz w:val="21"/>
                <w:szCs w:val="21"/>
              </w:rPr>
              <w:t>★</w:t>
            </w:r>
            <w:r>
              <w:rPr>
                <w:rFonts w:hint="eastAsia" w:ascii="宋体" w:hAnsi="宋体" w:eastAsia="宋体" w:cs="宋体"/>
                <w:b w:val="0"/>
                <w:bCs/>
                <w:sz w:val="21"/>
                <w:szCs w:val="21"/>
                <w:highlight w:val="none"/>
                <w:lang w:val="en-US" w:eastAsia="zh-CN"/>
              </w:rPr>
              <w:t>4、手具:新型多功能变焦旋转式综合型手具，配有光斑直径调节、能量密度传感系统，调节与显示同步；</w:t>
            </w:r>
          </w:p>
          <w:p w14:paraId="719254F8">
            <w:pPr>
              <w:pStyle w:val="4"/>
              <w:keepNext/>
              <w:keepLines/>
              <w:pageBreakBefore w:val="0"/>
              <w:widowControl w:val="0"/>
              <w:kinsoku/>
              <w:wordWrap/>
              <w:overflowPunct/>
              <w:topLinePunct w:val="0"/>
              <w:autoSpaceDE/>
              <w:autoSpaceDN/>
              <w:bidi w:val="0"/>
              <w:adjustRightInd/>
              <w:snapToGrid/>
              <w:spacing w:line="240" w:lineRule="auto"/>
              <w:ind w:firstLine="211" w:firstLineChars="1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sz w:val="21"/>
                <w:szCs w:val="21"/>
              </w:rPr>
              <w:t>★</w:t>
            </w:r>
            <w:r>
              <w:rPr>
                <w:rFonts w:hint="eastAsia" w:ascii="宋体" w:hAnsi="宋体" w:eastAsia="宋体" w:cs="宋体"/>
                <w:b w:val="0"/>
                <w:bCs/>
                <w:sz w:val="21"/>
                <w:szCs w:val="21"/>
                <w:highlight w:val="none"/>
                <w:lang w:val="en-US" w:eastAsia="zh-CN"/>
              </w:rPr>
              <w:t>5、最大光斑直径 532nm:≥6mm,1064nm:≥7mm，任意可调；</w:t>
            </w:r>
          </w:p>
          <w:p w14:paraId="753661FA">
            <w:pPr>
              <w:pStyle w:val="4"/>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6、操作系统：彩色触摸屏显示 ；</w:t>
            </w:r>
          </w:p>
          <w:p w14:paraId="3C88CCE9">
            <w:pPr>
              <w:pStyle w:val="4"/>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7、激光波长： 1064nm / 532nm；</w:t>
            </w:r>
          </w:p>
          <w:p w14:paraId="214A427F">
            <w:pPr>
              <w:pStyle w:val="4"/>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8、最小脉宽：≤6ns；</w:t>
            </w:r>
          </w:p>
          <w:p w14:paraId="0DE771CE">
            <w:pPr>
              <w:pStyle w:val="4"/>
              <w:keepNext/>
              <w:keepLines/>
              <w:pageBreakBefore w:val="0"/>
              <w:widowControl w:val="0"/>
              <w:kinsoku/>
              <w:wordWrap/>
              <w:overflowPunct/>
              <w:topLinePunct w:val="0"/>
              <w:autoSpaceDE/>
              <w:autoSpaceDN/>
              <w:bidi w:val="0"/>
              <w:adjustRightInd/>
              <w:snapToGrid/>
              <w:spacing w:line="240" w:lineRule="auto"/>
              <w:ind w:firstLine="211" w:firstLineChars="1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sz w:val="21"/>
                <w:szCs w:val="21"/>
              </w:rPr>
              <w:t>★</w:t>
            </w:r>
            <w:r>
              <w:rPr>
                <w:rFonts w:hint="eastAsia" w:ascii="宋体" w:hAnsi="宋体" w:eastAsia="宋体" w:cs="宋体"/>
                <w:b w:val="0"/>
                <w:bCs/>
                <w:sz w:val="21"/>
                <w:szCs w:val="21"/>
                <w:highlight w:val="none"/>
                <w:lang w:val="en-US" w:eastAsia="zh-CN"/>
              </w:rPr>
              <w:t>9、终端最大输出激光能量1064nm≥1500 MJ，532nm≥380 MJ</w:t>
            </w:r>
          </w:p>
          <w:p w14:paraId="550A122A">
            <w:pPr>
              <w:pStyle w:val="4"/>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10、冷却方式：具有冷却系统，并且内置有过滤洁净装置。</w:t>
            </w:r>
          </w:p>
          <w:p w14:paraId="6DEE4CBA">
            <w:pPr>
              <w:pStyle w:val="4"/>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11、保护系统：具有断水、过载等多重安全保护；</w:t>
            </w:r>
          </w:p>
          <w:p w14:paraId="41AC709A">
            <w:pPr>
              <w:pStyle w:val="4"/>
              <w:keepNext/>
              <w:keepLines/>
              <w:pageBreakBefore w:val="0"/>
              <w:widowControl w:val="0"/>
              <w:kinsoku/>
              <w:wordWrap/>
              <w:overflowPunct/>
              <w:topLinePunct w:val="0"/>
              <w:autoSpaceDE/>
              <w:autoSpaceDN/>
              <w:bidi w:val="0"/>
              <w:adjustRightInd/>
              <w:snapToGrid/>
              <w:spacing w:line="240" w:lineRule="auto"/>
              <w:ind w:firstLine="211" w:firstLineChars="1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sz w:val="21"/>
                <w:szCs w:val="21"/>
              </w:rPr>
              <w:t>★</w:t>
            </w:r>
            <w:r>
              <w:rPr>
                <w:rFonts w:hint="eastAsia" w:ascii="宋体" w:hAnsi="宋体" w:eastAsia="宋体" w:cs="宋体"/>
                <w:b w:val="0"/>
                <w:bCs/>
                <w:sz w:val="21"/>
                <w:szCs w:val="21"/>
                <w:highlight w:val="none"/>
                <w:lang w:val="en-US" w:eastAsia="zh-CN"/>
              </w:rPr>
              <w:t>12、最大重复频率：≥10HZ、1HZ步进；</w:t>
            </w:r>
          </w:p>
          <w:p w14:paraId="5771642A">
            <w:pPr>
              <w:pStyle w:val="4"/>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13、瞄准光系统：650-670nm波长红色半导体指示光，亮度从弱到强可调；</w:t>
            </w:r>
          </w:p>
          <w:p w14:paraId="61361AFE">
            <w:pPr>
              <w:pStyle w:val="4"/>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14、工作电压：AC220V/10A / 50Hz。</w:t>
            </w:r>
          </w:p>
          <w:p w14:paraId="75ADF1ED">
            <w:pPr>
              <w:pStyle w:val="4"/>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highlight w:val="none"/>
              </w:rPr>
            </w:pPr>
            <w:r>
              <w:rPr>
                <w:rFonts w:hint="eastAsia" w:ascii="宋体" w:hAnsi="宋体" w:eastAsia="宋体" w:cs="宋体"/>
                <w:b w:val="0"/>
                <w:bCs/>
                <w:sz w:val="21"/>
                <w:szCs w:val="21"/>
                <w:highlight w:val="none"/>
                <w:lang w:val="en-US" w:eastAsia="zh-CN"/>
              </w:rPr>
              <w:t>15、使用年限≥8年</w:t>
            </w:r>
          </w:p>
        </w:tc>
      </w:tr>
      <w:tr w14:paraId="012C7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9" w:type="dxa"/>
            <w:vAlign w:val="center"/>
          </w:tcPr>
          <w:p w14:paraId="4551BA7B">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96" w:type="dxa"/>
            <w:vAlign w:val="center"/>
          </w:tcPr>
          <w:p w14:paraId="0099E673">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短波理疗仪</w:t>
            </w:r>
          </w:p>
        </w:tc>
        <w:tc>
          <w:tcPr>
            <w:tcW w:w="1292" w:type="dxa"/>
            <w:vAlign w:val="center"/>
          </w:tcPr>
          <w:p w14:paraId="2FCD37B2">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6030" w:type="dxa"/>
            <w:vAlign w:val="top"/>
          </w:tcPr>
          <w:p w14:paraId="0E7F3F00">
            <w:pPr>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1、设备名称</w:t>
            </w:r>
            <w:r>
              <w:rPr>
                <w:rFonts w:hint="eastAsia" w:ascii="宋体" w:hAnsi="宋体" w:eastAsia="宋体" w:cs="宋体"/>
                <w:b/>
                <w:bCs/>
                <w:sz w:val="21"/>
                <w:szCs w:val="21"/>
              </w:rPr>
              <w:t>：</w:t>
            </w:r>
            <w:r>
              <w:rPr>
                <w:rFonts w:hint="eastAsia" w:ascii="宋体" w:hAnsi="宋体" w:eastAsia="宋体" w:cs="宋体"/>
                <w:sz w:val="21"/>
                <w:szCs w:val="21"/>
              </w:rPr>
              <w:t>短波理疗仪</w:t>
            </w:r>
          </w:p>
          <w:p w14:paraId="21D23211">
            <w:pPr>
              <w:keepNext w:val="0"/>
              <w:keepLines w:val="0"/>
              <w:pageBreakBefore w:val="0"/>
              <w:kinsoku/>
              <w:wordWrap/>
              <w:overflowPunct/>
              <w:topLinePunct w:val="0"/>
              <w:bidi w:val="0"/>
              <w:spacing w:line="360" w:lineRule="auto"/>
              <w:ind w:left="0" w:leftChars="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2、功效</w:t>
            </w:r>
            <w:r>
              <w:rPr>
                <w:rFonts w:hint="eastAsia" w:ascii="宋体" w:hAnsi="宋体" w:eastAsia="宋体" w:cs="宋体"/>
                <w:b/>
                <w:bCs/>
                <w:sz w:val="21"/>
                <w:szCs w:val="21"/>
              </w:rPr>
              <w:t>：</w:t>
            </w:r>
            <w:r>
              <w:rPr>
                <w:rFonts w:hint="eastAsia" w:ascii="宋体" w:hAnsi="宋体" w:eastAsia="宋体" w:cs="宋体"/>
                <w:sz w:val="21"/>
                <w:szCs w:val="21"/>
              </w:rPr>
              <w:t>祛除中轻度皱纹，治疗敏感性皮肤、深层补水、深层祛皱、收紧皮肤、敏感修复</w:t>
            </w:r>
            <w:r>
              <w:rPr>
                <w:rFonts w:hint="eastAsia" w:ascii="宋体" w:hAnsi="宋体" w:eastAsia="宋体" w:cs="宋体"/>
                <w:sz w:val="21"/>
                <w:szCs w:val="21"/>
                <w:lang w:eastAsia="zh-CN"/>
              </w:rPr>
              <w:t>；</w:t>
            </w:r>
          </w:p>
          <w:p w14:paraId="589D0856">
            <w:pPr>
              <w:keepNext w:val="0"/>
              <w:keepLines w:val="0"/>
              <w:pageBreakBefore w:val="0"/>
              <w:kinsoku/>
              <w:wordWrap/>
              <w:overflowPunct/>
              <w:topLinePunct w:val="0"/>
              <w:bidi w:val="0"/>
              <w:spacing w:line="360" w:lineRule="auto"/>
              <w:ind w:left="0" w:leftChars="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★3、输出工作频率</w:t>
            </w:r>
            <w:r>
              <w:rPr>
                <w:rFonts w:hint="eastAsia" w:ascii="宋体" w:hAnsi="宋体" w:eastAsia="宋体" w:cs="宋体"/>
                <w:b/>
                <w:bCs/>
                <w:sz w:val="21"/>
                <w:szCs w:val="21"/>
              </w:rPr>
              <w:t>：</w:t>
            </w:r>
            <w:r>
              <w:rPr>
                <w:rFonts w:hint="eastAsia" w:ascii="宋体" w:hAnsi="宋体" w:eastAsia="宋体" w:cs="宋体"/>
                <w:sz w:val="21"/>
                <w:szCs w:val="21"/>
              </w:rPr>
              <w:t>27MHz±2.7MHz</w:t>
            </w:r>
            <w:r>
              <w:rPr>
                <w:rFonts w:hint="eastAsia" w:ascii="宋体" w:hAnsi="宋体" w:eastAsia="宋体" w:cs="宋体"/>
                <w:sz w:val="21"/>
                <w:szCs w:val="21"/>
                <w:lang w:eastAsia="zh-CN"/>
              </w:rPr>
              <w:t>；</w:t>
            </w:r>
          </w:p>
          <w:p w14:paraId="65463791">
            <w:pPr>
              <w:keepNext w:val="0"/>
              <w:keepLines w:val="0"/>
              <w:pageBreakBefore w:val="0"/>
              <w:kinsoku/>
              <w:wordWrap/>
              <w:overflowPunct/>
              <w:topLinePunct w:val="0"/>
              <w:bidi w:val="0"/>
              <w:snapToGrid w:val="0"/>
              <w:spacing w:line="360" w:lineRule="auto"/>
              <w:ind w:left="0" w:leftChars="0" w:firstLine="420" w:firstLineChars="20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rPr>
              <w:t>★4、输出治疗头</w:t>
            </w:r>
            <w:r>
              <w:rPr>
                <w:rFonts w:hint="eastAsia" w:ascii="宋体" w:hAnsi="宋体" w:eastAsia="宋体" w:cs="宋体"/>
                <w:b/>
                <w:bCs/>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材质：晶体治疗头，内置回路，接触皮肤非金属电极</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工作模式：电容电场，非直接射频电流</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治疗数量：3个</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治疗头的尺寸：</w:t>
            </w:r>
            <w:r>
              <w:rPr>
                <w:rFonts w:hint="eastAsia" w:ascii="宋体" w:hAnsi="宋体" w:eastAsia="宋体" w:cs="宋体"/>
                <w:sz w:val="21"/>
                <w:szCs w:val="21"/>
                <w:highlight w:val="none"/>
              </w:rPr>
              <w:t>¤10 ¤23 ¤32</w:t>
            </w:r>
            <w:r>
              <w:rPr>
                <w:rFonts w:hint="eastAsia" w:ascii="宋体" w:hAnsi="宋体" w:eastAsia="宋体" w:cs="宋体"/>
                <w:sz w:val="21"/>
                <w:szCs w:val="21"/>
                <w:highlight w:val="none"/>
                <w:lang w:eastAsia="zh-CN"/>
              </w:rPr>
              <w:t>。</w:t>
            </w:r>
          </w:p>
          <w:p w14:paraId="7C683766">
            <w:pPr>
              <w:keepNext w:val="0"/>
              <w:keepLines w:val="0"/>
              <w:pageBreakBefore w:val="0"/>
              <w:kinsoku/>
              <w:wordWrap/>
              <w:overflowPunct/>
              <w:topLinePunct w:val="0"/>
              <w:bidi w:val="0"/>
              <w:spacing w:line="360" w:lineRule="auto"/>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★5、制氧机</w:t>
            </w:r>
            <w:r>
              <w:rPr>
                <w:rFonts w:hint="eastAsia" w:ascii="宋体" w:hAnsi="宋体" w:eastAsia="宋体" w:cs="宋体"/>
                <w:b/>
                <w:bCs/>
                <w:sz w:val="21"/>
                <w:szCs w:val="21"/>
              </w:rPr>
              <w:t>：</w:t>
            </w:r>
            <w:r>
              <w:rPr>
                <w:rFonts w:hint="eastAsia" w:ascii="宋体" w:hAnsi="宋体" w:eastAsia="宋体" w:cs="宋体"/>
                <w:sz w:val="21"/>
                <w:szCs w:val="21"/>
              </w:rPr>
              <w:t>氧气浓度不低于90%（V/V），制氧机和主机不分离，共同安装于同一机箱内。</w:t>
            </w:r>
          </w:p>
          <w:p w14:paraId="179C45FB">
            <w:pPr>
              <w:keepNext w:val="0"/>
              <w:keepLines w:val="0"/>
              <w:pageBreakBefore w:val="0"/>
              <w:kinsoku/>
              <w:wordWrap/>
              <w:overflowPunct/>
              <w:topLinePunct w:val="0"/>
              <w:bidi w:val="0"/>
              <w:spacing w:line="360" w:lineRule="auto"/>
              <w:ind w:left="0" w:leftChars="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6、</w:t>
            </w:r>
            <w:r>
              <w:rPr>
                <w:rFonts w:hint="eastAsia" w:ascii="宋体" w:hAnsi="宋体" w:eastAsia="宋体" w:cs="宋体"/>
                <w:b/>
                <w:bCs/>
                <w:sz w:val="21"/>
                <w:szCs w:val="21"/>
              </w:rPr>
              <w:t>聚焦深度：</w:t>
            </w:r>
            <w:r>
              <w:rPr>
                <w:rFonts w:hint="eastAsia" w:ascii="宋体" w:hAnsi="宋体" w:eastAsia="宋体" w:cs="宋体"/>
                <w:sz w:val="21"/>
                <w:szCs w:val="21"/>
              </w:rPr>
              <w:t>2/3/4mm</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w:t>
            </w:r>
          </w:p>
          <w:p w14:paraId="403755C0">
            <w:pPr>
              <w:keepNext w:val="0"/>
              <w:keepLines w:val="0"/>
              <w:pageBreakBefore w:val="0"/>
              <w:kinsoku/>
              <w:wordWrap/>
              <w:overflowPunct/>
              <w:topLinePunct w:val="0"/>
              <w:bidi w:val="0"/>
              <w:spacing w:line="360" w:lineRule="auto"/>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★7、加热方式</w:t>
            </w:r>
            <w:r>
              <w:rPr>
                <w:rFonts w:hint="eastAsia" w:ascii="宋体" w:hAnsi="宋体" w:eastAsia="宋体" w:cs="宋体"/>
                <w:b/>
                <w:bCs/>
                <w:sz w:val="21"/>
                <w:szCs w:val="21"/>
              </w:rPr>
              <w:t>：</w:t>
            </w:r>
            <w:r>
              <w:rPr>
                <w:rFonts w:hint="eastAsia" w:ascii="宋体" w:hAnsi="宋体" w:eastAsia="宋体" w:cs="宋体"/>
                <w:sz w:val="21"/>
                <w:szCs w:val="21"/>
              </w:rPr>
              <w:t>电容电场和交变电场加热。</w:t>
            </w:r>
          </w:p>
          <w:p w14:paraId="743D9529">
            <w:pPr>
              <w:keepNext w:val="0"/>
              <w:keepLines w:val="0"/>
              <w:pageBreakBefore w:val="0"/>
              <w:numPr>
                <w:ilvl w:val="0"/>
                <w:numId w:val="2"/>
              </w:numPr>
              <w:kinsoku/>
              <w:wordWrap/>
              <w:overflowPunct/>
              <w:topLinePunct w:val="0"/>
              <w:bidi w:val="0"/>
              <w:spacing w:line="360" w:lineRule="auto"/>
              <w:ind w:left="0" w:leftChars="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治疗模式</w:t>
            </w:r>
            <w:r>
              <w:rPr>
                <w:rFonts w:hint="eastAsia" w:ascii="宋体" w:hAnsi="宋体" w:eastAsia="宋体" w:cs="宋体"/>
                <w:b/>
                <w:bCs/>
                <w:sz w:val="21"/>
                <w:szCs w:val="21"/>
              </w:rPr>
              <w:t>：</w:t>
            </w:r>
            <w:r>
              <w:rPr>
                <w:rFonts w:hint="eastAsia" w:ascii="宋体" w:hAnsi="宋体" w:eastAsia="宋体" w:cs="宋体"/>
                <w:sz w:val="21"/>
                <w:szCs w:val="21"/>
              </w:rPr>
              <w:t>分层聚焦、分层治疗</w:t>
            </w:r>
            <w:r>
              <w:rPr>
                <w:rFonts w:hint="eastAsia" w:ascii="宋体" w:hAnsi="宋体" w:eastAsia="宋体" w:cs="宋体"/>
                <w:sz w:val="21"/>
                <w:szCs w:val="21"/>
                <w:lang w:eastAsia="zh-CN"/>
              </w:rPr>
              <w:t>。</w:t>
            </w:r>
          </w:p>
          <w:p w14:paraId="34B12737">
            <w:pPr>
              <w:keepNext w:val="0"/>
              <w:keepLines w:val="0"/>
              <w:pageBreakBefore w:val="0"/>
              <w:kinsoku/>
              <w:wordWrap/>
              <w:overflowPunct/>
              <w:topLinePunct w:val="0"/>
              <w:bidi w:val="0"/>
              <w:spacing w:line="360" w:lineRule="auto"/>
              <w:ind w:left="0" w:leftChars="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9、输出功率</w:t>
            </w:r>
            <w:r>
              <w:rPr>
                <w:rFonts w:hint="eastAsia" w:ascii="宋体" w:hAnsi="宋体" w:eastAsia="宋体" w:cs="宋体"/>
                <w:b/>
                <w:bCs/>
                <w:sz w:val="21"/>
                <w:szCs w:val="21"/>
              </w:rPr>
              <w:t>：</w:t>
            </w:r>
            <w:r>
              <w:rPr>
                <w:rFonts w:hint="eastAsia" w:ascii="宋体" w:hAnsi="宋体" w:eastAsia="宋体" w:cs="宋体"/>
                <w:sz w:val="21"/>
                <w:szCs w:val="21"/>
              </w:rPr>
              <w:t>≤50VA</w:t>
            </w:r>
            <w:r>
              <w:rPr>
                <w:rFonts w:hint="eastAsia" w:ascii="宋体" w:hAnsi="宋体" w:eastAsia="宋体" w:cs="宋体"/>
                <w:sz w:val="21"/>
                <w:szCs w:val="21"/>
                <w:lang w:eastAsia="zh-CN"/>
              </w:rPr>
              <w:t>；</w:t>
            </w:r>
          </w:p>
          <w:p w14:paraId="0B093A8E">
            <w:pPr>
              <w:keepNext w:val="0"/>
              <w:keepLines w:val="0"/>
              <w:pageBreakBefore w:val="0"/>
              <w:kinsoku/>
              <w:wordWrap/>
              <w:overflowPunct/>
              <w:topLinePunct w:val="0"/>
              <w:bidi w:val="0"/>
              <w:spacing w:line="360" w:lineRule="auto"/>
              <w:ind w:left="0" w:leftChars="0" w:firstLine="420" w:firstLineChars="200"/>
              <w:jc w:val="left"/>
              <w:textAlignment w:val="auto"/>
              <w:rPr>
                <w:rFonts w:hint="eastAsia" w:ascii="宋体" w:hAnsi="宋体" w:eastAsia="宋体" w:cs="宋体"/>
                <w:b/>
                <w:bCs/>
                <w:sz w:val="21"/>
                <w:szCs w:val="21"/>
              </w:rPr>
            </w:pPr>
            <w:r>
              <w:rPr>
                <w:rFonts w:hint="eastAsia" w:ascii="宋体" w:hAnsi="宋体" w:eastAsia="宋体" w:cs="宋体"/>
                <w:sz w:val="21"/>
                <w:szCs w:val="21"/>
              </w:rPr>
              <w:t>10、操作界面</w:t>
            </w:r>
            <w:r>
              <w:rPr>
                <w:rFonts w:hint="eastAsia" w:ascii="宋体" w:hAnsi="宋体" w:eastAsia="宋体" w:cs="宋体"/>
                <w:b/>
                <w:bCs/>
                <w:sz w:val="21"/>
                <w:szCs w:val="21"/>
              </w:rPr>
              <w:t>：</w:t>
            </w:r>
            <w:r>
              <w:rPr>
                <w:rFonts w:hint="eastAsia" w:ascii="宋体" w:hAnsi="宋体" w:eastAsia="宋体" w:cs="宋体"/>
                <w:sz w:val="21"/>
                <w:szCs w:val="21"/>
              </w:rPr>
              <w:t>触摸式液晶屏、</w:t>
            </w:r>
          </w:p>
          <w:p w14:paraId="61731862">
            <w:pPr>
              <w:keepNext w:val="0"/>
              <w:keepLines w:val="0"/>
              <w:pageBreakBefore w:val="0"/>
              <w:kinsoku/>
              <w:wordWrap/>
              <w:overflowPunct/>
              <w:topLinePunct w:val="0"/>
              <w:bidi w:val="0"/>
              <w:spacing w:line="360" w:lineRule="auto"/>
              <w:ind w:left="0" w:leftChars="0" w:firstLine="420" w:firstLineChars="200"/>
              <w:jc w:val="left"/>
              <w:textAlignment w:val="auto"/>
              <w:rPr>
                <w:rFonts w:hint="eastAsia" w:ascii="宋体" w:hAnsi="宋体" w:eastAsia="宋体" w:cs="宋体"/>
                <w:b/>
                <w:bCs/>
                <w:sz w:val="21"/>
                <w:szCs w:val="21"/>
              </w:rPr>
            </w:pPr>
            <w:r>
              <w:rPr>
                <w:rFonts w:hint="eastAsia" w:ascii="宋体" w:hAnsi="宋体" w:eastAsia="宋体" w:cs="宋体"/>
                <w:sz w:val="21"/>
                <w:szCs w:val="21"/>
              </w:rPr>
              <w:t>11、相对湿度</w:t>
            </w:r>
            <w:r>
              <w:rPr>
                <w:rFonts w:hint="eastAsia" w:ascii="宋体" w:hAnsi="宋体" w:eastAsia="宋体" w:cs="宋体"/>
                <w:b/>
                <w:bCs/>
                <w:sz w:val="21"/>
                <w:szCs w:val="21"/>
              </w:rPr>
              <w:t>:</w:t>
            </w:r>
            <w:r>
              <w:rPr>
                <w:rFonts w:hint="eastAsia" w:ascii="宋体" w:hAnsi="宋体" w:eastAsia="宋体" w:cs="宋体"/>
                <w:sz w:val="21"/>
                <w:szCs w:val="21"/>
              </w:rPr>
              <w:t xml:space="preserve"> ≤80%</w:t>
            </w:r>
          </w:p>
          <w:p w14:paraId="071D9DB6">
            <w:pPr>
              <w:keepNext w:val="0"/>
              <w:keepLines w:val="0"/>
              <w:pageBreakBefore w:val="0"/>
              <w:kinsoku/>
              <w:wordWrap/>
              <w:overflowPunct/>
              <w:topLinePunct w:val="0"/>
              <w:bidi w:val="0"/>
              <w:spacing w:line="360" w:lineRule="auto"/>
              <w:ind w:left="0" w:leftChars="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12、使用电源</w:t>
            </w:r>
            <w:r>
              <w:rPr>
                <w:rFonts w:hint="eastAsia" w:ascii="宋体" w:hAnsi="宋体" w:eastAsia="宋体" w:cs="宋体"/>
                <w:b/>
                <w:bCs/>
                <w:sz w:val="21"/>
                <w:szCs w:val="21"/>
              </w:rPr>
              <w:t>:</w:t>
            </w:r>
            <w:r>
              <w:rPr>
                <w:rFonts w:hint="eastAsia" w:ascii="宋体" w:hAnsi="宋体" w:eastAsia="宋体" w:cs="宋体"/>
                <w:sz w:val="21"/>
                <w:szCs w:val="21"/>
              </w:rPr>
              <w:t xml:space="preserve"> AC220V±22V，50Hz±1Hz</w:t>
            </w:r>
            <w:r>
              <w:rPr>
                <w:rFonts w:hint="eastAsia" w:ascii="宋体" w:hAnsi="宋体" w:eastAsia="宋体" w:cs="宋体"/>
                <w:sz w:val="21"/>
                <w:szCs w:val="21"/>
                <w:lang w:eastAsia="zh-CN"/>
              </w:rPr>
              <w:t>；</w:t>
            </w:r>
          </w:p>
          <w:p w14:paraId="1BC6509F">
            <w:pPr>
              <w:keepNext w:val="0"/>
              <w:keepLines w:val="0"/>
              <w:pageBreakBefore w:val="0"/>
              <w:kinsoku/>
              <w:wordWrap/>
              <w:overflowPunct/>
              <w:topLinePunct w:val="0"/>
              <w:autoSpaceDE w:val="0"/>
              <w:autoSpaceDN w:val="0"/>
              <w:bidi w:val="0"/>
              <w:adjustRightInd w:val="0"/>
              <w:spacing w:line="360" w:lineRule="auto"/>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shd w:val="clear" w:color="auto" w:fill="FFFFFF"/>
              </w:rPr>
              <w:t>13</w:t>
            </w:r>
            <w:r>
              <w:rPr>
                <w:rFonts w:hint="eastAsia" w:ascii="宋体" w:hAnsi="宋体" w:eastAsia="宋体" w:cs="宋体"/>
                <w:sz w:val="21"/>
                <w:szCs w:val="21"/>
              </w:rPr>
              <w:t xml:space="preserve">、大气压力：860 </w:t>
            </w:r>
            <w:r>
              <w:rPr>
                <w:rFonts w:hint="eastAsia" w:ascii="宋体" w:hAnsi="宋体" w:eastAsia="宋体" w:cs="宋体"/>
                <w:sz w:val="21"/>
                <w:szCs w:val="21"/>
                <w:lang w:val="en-US" w:eastAsia="zh-CN"/>
              </w:rPr>
              <w:t>h</w:t>
            </w:r>
            <w:r>
              <w:rPr>
                <w:rFonts w:hint="eastAsia" w:ascii="宋体" w:hAnsi="宋体" w:eastAsia="宋体" w:cs="宋体"/>
                <w:sz w:val="21"/>
                <w:szCs w:val="21"/>
              </w:rPr>
              <w:t>Pa～1060</w:t>
            </w:r>
            <w:r>
              <w:rPr>
                <w:rFonts w:hint="eastAsia" w:ascii="宋体" w:hAnsi="宋体" w:eastAsia="宋体" w:cs="宋体"/>
                <w:sz w:val="21"/>
                <w:szCs w:val="21"/>
                <w:lang w:val="en-US" w:eastAsia="zh-CN"/>
              </w:rPr>
              <w:t xml:space="preserve"> hP</w:t>
            </w:r>
            <w:r>
              <w:rPr>
                <w:rFonts w:hint="eastAsia" w:ascii="宋体" w:hAnsi="宋体" w:eastAsia="宋体" w:cs="宋体"/>
                <w:sz w:val="21"/>
                <w:szCs w:val="21"/>
              </w:rPr>
              <w:t>a</w:t>
            </w:r>
          </w:p>
          <w:p w14:paraId="25F405F2">
            <w:pPr>
              <w:keepNext w:val="0"/>
              <w:keepLines w:val="0"/>
              <w:pageBreakBefore w:val="0"/>
              <w:kinsoku/>
              <w:wordWrap/>
              <w:overflowPunct/>
              <w:topLinePunct w:val="0"/>
              <w:autoSpaceDE w:val="0"/>
              <w:autoSpaceDN w:val="0"/>
              <w:bidi w:val="0"/>
              <w:adjustRightInd w:val="0"/>
              <w:spacing w:line="360" w:lineRule="auto"/>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14、安 全 性：过压、过载均自动保护，整机性能安全可靠</w:t>
            </w:r>
          </w:p>
          <w:p w14:paraId="252A3E5B">
            <w:pPr>
              <w:keepNext w:val="0"/>
              <w:keepLines w:val="0"/>
              <w:pageBreakBefore w:val="0"/>
              <w:kinsoku/>
              <w:wordWrap/>
              <w:overflowPunct/>
              <w:topLinePunct w:val="0"/>
              <w:autoSpaceDE w:val="0"/>
              <w:autoSpaceDN w:val="0"/>
              <w:bidi w:val="0"/>
              <w:adjustRightInd w:val="0"/>
              <w:spacing w:line="360" w:lineRule="auto"/>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15、操作提示：触摸式液晶屏，工作时有指示，治疗结束有蜂鸣声提醒</w:t>
            </w:r>
          </w:p>
          <w:p w14:paraId="11A74081">
            <w:pPr>
              <w:keepNext w:val="0"/>
              <w:keepLines w:val="0"/>
              <w:pageBreakBefore w:val="0"/>
              <w:widowControl/>
              <w:kinsoku/>
              <w:wordWrap/>
              <w:overflowPunct/>
              <w:topLinePunct w:val="0"/>
              <w:bidi w:val="0"/>
              <w:spacing w:line="360" w:lineRule="auto"/>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16、输出电压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1）最大负载输出峰值电压120V±20V</w:t>
            </w:r>
          </w:p>
          <w:p w14:paraId="3E68E9F4">
            <w:pPr>
              <w:keepNext w:val="0"/>
              <w:keepLines w:val="0"/>
              <w:pageBreakBefore w:val="0"/>
              <w:widowControl/>
              <w:kinsoku/>
              <w:wordWrap/>
              <w:overflowPunct/>
              <w:topLinePunct w:val="0"/>
              <w:bidi w:val="0"/>
              <w:spacing w:line="360" w:lineRule="auto"/>
              <w:ind w:left="0" w:leftChars="0" w:firstLine="420" w:firstLineChars="200"/>
              <w:jc w:val="left"/>
              <w:textAlignment w:val="auto"/>
              <w:rPr>
                <w:rFonts w:hint="eastAsia"/>
                <w:highlight w:val="none"/>
                <w:lang w:val="en-US" w:eastAsia="zh-CN"/>
              </w:rPr>
            </w:pPr>
            <w:r>
              <w:rPr>
                <w:rFonts w:hint="eastAsia" w:ascii="宋体" w:hAnsi="宋体" w:eastAsia="宋体" w:cs="宋体"/>
                <w:sz w:val="21"/>
                <w:szCs w:val="21"/>
              </w:rPr>
              <w:t>2）最大空载输出峰值电压不大于200V</w:t>
            </w:r>
          </w:p>
        </w:tc>
      </w:tr>
      <w:tr w14:paraId="1E686C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107" w:type="dxa"/>
            <w:gridSpan w:val="4"/>
            <w:tcBorders>
              <w:top w:val="single" w:color="auto" w:sz="4" w:space="0"/>
              <w:left w:val="single" w:color="auto" w:sz="4" w:space="0"/>
              <w:bottom w:val="single" w:color="auto" w:sz="4" w:space="0"/>
              <w:right w:val="single" w:color="auto" w:sz="4" w:space="0"/>
            </w:tcBorders>
          </w:tcPr>
          <w:p w14:paraId="04CAED9D">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商务要求</w:t>
            </w:r>
          </w:p>
        </w:tc>
      </w:tr>
      <w:tr w14:paraId="46B64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94" w:hRule="atLeast"/>
          <w:jc w:val="center"/>
        </w:trPr>
        <w:tc>
          <w:tcPr>
            <w:tcW w:w="9107" w:type="dxa"/>
            <w:gridSpan w:val="4"/>
            <w:tcBorders>
              <w:top w:val="single" w:color="auto" w:sz="4" w:space="0"/>
              <w:left w:val="single" w:color="auto" w:sz="4" w:space="0"/>
              <w:bottom w:val="single" w:color="auto" w:sz="4" w:space="0"/>
              <w:right w:val="single" w:color="auto" w:sz="4" w:space="0"/>
            </w:tcBorders>
            <w:vAlign w:val="center"/>
          </w:tcPr>
          <w:p w14:paraId="5E92121D">
            <w:pPr>
              <w:pStyle w:val="10"/>
              <w:snapToGrid w:val="0"/>
              <w:spacing w:line="400" w:lineRule="exact"/>
              <w:ind w:firstLine="420" w:firstLineChars="200"/>
              <w:rPr>
                <w:rFonts w:hint="eastAsia" w:ascii="宋体" w:hAnsi="宋体" w:eastAsia="宋体" w:cs="宋体"/>
                <w:color w:val="auto"/>
                <w:sz w:val="21"/>
                <w:szCs w:val="21"/>
                <w:highlight w:val="none"/>
              </w:rPr>
            </w:pPr>
            <w:r>
              <w:rPr>
                <w:rFonts w:hint="eastAsia" w:hAnsi="宋体" w:cs="宋体"/>
                <w:color w:val="auto"/>
                <w:highlight w:val="none"/>
              </w:rPr>
              <w:t>本项目实行总承包报价；包括货物采购、运输、保管、设计、施工、安装、调试、验收等各种费用和售后服务、税金及其它所有成本费用的总和。竞标人应充分考虑施工期间各类材料的市场价格变化和可能的国家政策性调整，确定风险系数，对本项目的所有内容范围的货物及服务进行总承包报价。为确保产品质量，本项目采购人不承诺和保证最低价中标。</w:t>
            </w:r>
          </w:p>
        </w:tc>
      </w:tr>
      <w:tr w14:paraId="0142E1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94" w:hRule="atLeast"/>
          <w:jc w:val="center"/>
        </w:trPr>
        <w:tc>
          <w:tcPr>
            <w:tcW w:w="9107" w:type="dxa"/>
            <w:gridSpan w:val="4"/>
            <w:tcBorders>
              <w:top w:val="single" w:color="auto" w:sz="4" w:space="0"/>
              <w:left w:val="single" w:color="auto" w:sz="4" w:space="0"/>
              <w:bottom w:val="single" w:color="auto" w:sz="4" w:space="0"/>
              <w:right w:val="single" w:color="auto" w:sz="4" w:space="0"/>
            </w:tcBorders>
            <w:vAlign w:val="center"/>
          </w:tcPr>
          <w:p w14:paraId="284032D4">
            <w:pPr>
              <w:pStyle w:val="10"/>
              <w:snapToGrid w:val="0"/>
              <w:spacing w:line="400" w:lineRule="exact"/>
              <w:ind w:firstLine="420" w:firstLineChars="200"/>
              <w:rPr>
                <w:rFonts w:hint="eastAsia" w:ascii="宋体" w:hAnsi="宋体" w:eastAsia="宋体" w:cs="宋体"/>
                <w:color w:val="auto"/>
                <w:sz w:val="21"/>
                <w:szCs w:val="21"/>
                <w:highlight w:val="none"/>
              </w:rPr>
            </w:pPr>
            <w:r>
              <w:rPr>
                <w:rFonts w:hint="eastAsia" w:hAnsi="宋体" w:cs="宋体"/>
                <w:color w:val="auto"/>
                <w:highlight w:val="none"/>
              </w:rPr>
              <w:t>质保期：</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2 </w:t>
            </w:r>
            <w:r>
              <w:rPr>
                <w:rFonts w:hint="eastAsia" w:hAnsi="宋体" w:cs="宋体"/>
                <w:color w:val="auto"/>
                <w:highlight w:val="none"/>
                <w:u w:val="single"/>
              </w:rPr>
              <w:t xml:space="preserve"> </w:t>
            </w:r>
            <w:r>
              <w:rPr>
                <w:rFonts w:hint="eastAsia" w:hAnsi="宋体" w:cs="宋体"/>
                <w:color w:val="auto"/>
                <w:highlight w:val="none"/>
              </w:rPr>
              <w:t>年。质保期内免费</w:t>
            </w:r>
            <w:r>
              <w:rPr>
                <w:rFonts w:hint="eastAsia" w:hAnsi="宋体" w:cs="宋体"/>
                <w:b/>
                <w:bCs/>
                <w:color w:val="auto"/>
                <w:highlight w:val="none"/>
              </w:rPr>
              <w:t>升级、</w:t>
            </w:r>
            <w:r>
              <w:rPr>
                <w:rFonts w:hint="eastAsia" w:hAnsi="宋体" w:cs="宋体"/>
                <w:color w:val="auto"/>
                <w:highlight w:val="none"/>
              </w:rPr>
              <w:t>维修、更换配件。质保期内如出现系统问题或设备故障的，免费提供相同规格型号的不低于原设备性能要求的替代品使用或者冗余服务。质保期内如出现无法修复系统问题或设备故障的，免费更换相同规格型号的设备。</w:t>
            </w:r>
          </w:p>
        </w:tc>
      </w:tr>
      <w:tr w14:paraId="7DDAED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94" w:hRule="atLeast"/>
          <w:jc w:val="center"/>
        </w:trPr>
        <w:tc>
          <w:tcPr>
            <w:tcW w:w="9107" w:type="dxa"/>
            <w:gridSpan w:val="4"/>
            <w:tcBorders>
              <w:top w:val="single" w:color="auto" w:sz="4" w:space="0"/>
              <w:left w:val="single" w:color="auto" w:sz="4" w:space="0"/>
              <w:bottom w:val="single" w:color="auto" w:sz="4" w:space="0"/>
              <w:right w:val="single" w:color="auto" w:sz="4" w:space="0"/>
            </w:tcBorders>
            <w:vAlign w:val="center"/>
          </w:tcPr>
          <w:p w14:paraId="0D77D81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1、交付使用期：</w:t>
            </w:r>
            <w:r>
              <w:rPr>
                <w:rFonts w:hint="eastAsia" w:ascii="宋体" w:hAnsi="宋体" w:cs="宋体"/>
                <w:color w:val="auto"/>
                <w:szCs w:val="21"/>
                <w:highlight w:val="none"/>
                <w:lang w:eastAsia="zh-CN"/>
              </w:rPr>
              <w:t>自</w:t>
            </w:r>
            <w:r>
              <w:rPr>
                <w:rFonts w:hint="eastAsia" w:ascii="宋体" w:hAnsi="宋体" w:cs="宋体"/>
                <w:color w:val="auto"/>
                <w:szCs w:val="21"/>
                <w:highlight w:val="none"/>
              </w:rPr>
              <w:t>合同签订之日起</w:t>
            </w:r>
            <w:r>
              <w:rPr>
                <w:rFonts w:hint="eastAsia" w:ascii="宋体" w:hAnsi="宋体" w:cs="宋体"/>
                <w:color w:val="auto"/>
                <w:szCs w:val="21"/>
                <w:highlight w:val="none"/>
                <w:u w:val="single"/>
                <w:lang w:val="en-US" w:eastAsia="zh-CN"/>
              </w:rPr>
              <w:t xml:space="preserve"> 30 </w:t>
            </w:r>
            <w:r>
              <w:rPr>
                <w:rFonts w:hint="eastAsia" w:ascii="宋体" w:hAnsi="宋体" w:cs="宋体"/>
                <w:color w:val="auto"/>
                <w:szCs w:val="21"/>
                <w:highlight w:val="none"/>
                <w:u w:val="none"/>
                <w:lang w:val="en-US" w:eastAsia="zh-CN"/>
              </w:rPr>
              <w:t>个日历天</w:t>
            </w:r>
            <w:r>
              <w:rPr>
                <w:rFonts w:hint="eastAsia" w:ascii="宋体" w:hAnsi="宋体" w:cs="宋体"/>
                <w:color w:val="auto"/>
                <w:szCs w:val="21"/>
                <w:highlight w:val="none"/>
                <w:u w:val="none"/>
              </w:rPr>
              <w:t>内</w:t>
            </w:r>
            <w:r>
              <w:rPr>
                <w:rFonts w:hint="eastAsia" w:ascii="宋体" w:hAnsi="宋体" w:cs="宋体"/>
                <w:color w:val="auto"/>
                <w:szCs w:val="21"/>
                <w:highlight w:val="none"/>
              </w:rPr>
              <w:t>完成。</w:t>
            </w:r>
          </w:p>
          <w:p w14:paraId="6176FCB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2、签订合同日期：自成交</w:t>
            </w:r>
            <w:r>
              <w:rPr>
                <w:rFonts w:hint="eastAsia" w:ascii="宋体" w:hAnsi="宋体" w:cs="宋体"/>
                <w:color w:val="auto"/>
                <w:szCs w:val="21"/>
                <w:highlight w:val="none"/>
                <w:lang w:eastAsia="zh-CN"/>
              </w:rPr>
              <w:t>通知书</w:t>
            </w:r>
            <w:r>
              <w:rPr>
                <w:rFonts w:hint="eastAsia" w:ascii="宋体" w:hAnsi="宋体" w:cs="宋体"/>
                <w:color w:val="auto"/>
                <w:szCs w:val="21"/>
                <w:highlight w:val="none"/>
              </w:rPr>
              <w:t>发出之日起</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个</w:t>
            </w:r>
            <w:r>
              <w:rPr>
                <w:rFonts w:hint="eastAsia" w:ascii="宋体" w:hAnsi="宋体" w:cs="宋体"/>
                <w:color w:val="auto"/>
                <w:szCs w:val="21"/>
                <w:highlight w:val="none"/>
                <w:lang w:eastAsia="zh-CN"/>
              </w:rPr>
              <w:t>日历天</w:t>
            </w:r>
            <w:r>
              <w:rPr>
                <w:rFonts w:hint="eastAsia" w:ascii="宋体" w:hAnsi="宋体" w:cs="宋体"/>
                <w:color w:val="auto"/>
                <w:szCs w:val="21"/>
                <w:highlight w:val="none"/>
              </w:rPr>
              <w:t>内</w:t>
            </w:r>
          </w:p>
          <w:p w14:paraId="1D45146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3、交货地点：采购方指定地点（不接受快递或物流），分别将货物送达指定的地点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完成设备安装、联网（含专用网络）、调试、培训等一体化服务</w:t>
            </w:r>
            <w:r>
              <w:rPr>
                <w:rFonts w:hint="eastAsia" w:ascii="宋体" w:hAnsi="宋体" w:cs="宋体"/>
                <w:color w:val="auto"/>
                <w:szCs w:val="21"/>
                <w:highlight w:val="none"/>
              </w:rPr>
              <w:t>。</w:t>
            </w:r>
          </w:p>
          <w:p w14:paraId="1318C664">
            <w:pPr>
              <w:spacing w:line="40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rPr>
              <w:t>4、支付方式：验收合格后一年内付清。</w:t>
            </w:r>
          </w:p>
        </w:tc>
      </w:tr>
      <w:tr w14:paraId="6D6F5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94" w:hRule="atLeast"/>
          <w:jc w:val="center"/>
        </w:trPr>
        <w:tc>
          <w:tcPr>
            <w:tcW w:w="9107" w:type="dxa"/>
            <w:gridSpan w:val="4"/>
            <w:tcBorders>
              <w:top w:val="single" w:color="auto" w:sz="4" w:space="0"/>
              <w:left w:val="single" w:color="auto" w:sz="4" w:space="0"/>
              <w:bottom w:val="single" w:color="auto" w:sz="4" w:space="0"/>
              <w:right w:val="single" w:color="auto" w:sz="4" w:space="0"/>
            </w:tcBorders>
            <w:vAlign w:val="center"/>
          </w:tcPr>
          <w:p w14:paraId="5D1654B6">
            <w:pPr>
              <w:spacing w:line="400" w:lineRule="exact"/>
              <w:rPr>
                <w:rFonts w:hint="eastAsia"/>
                <w:color w:val="auto"/>
                <w:highlight w:val="none"/>
                <w:lang w:eastAsia="zh-CN"/>
              </w:rPr>
            </w:pPr>
            <w:r>
              <w:rPr>
                <w:rFonts w:hint="eastAsia"/>
                <w:color w:val="auto"/>
                <w:highlight w:val="none"/>
                <w:lang w:eastAsia="zh-CN"/>
              </w:rPr>
              <w:t>技术要求：</w:t>
            </w:r>
          </w:p>
          <w:p w14:paraId="7025D6AE">
            <w:pPr>
              <w:spacing w:line="400" w:lineRule="exact"/>
              <w:rPr>
                <w:rFonts w:hint="eastAsia"/>
                <w:color w:val="auto"/>
                <w:highlight w:val="none"/>
                <w:lang w:eastAsia="zh-CN"/>
              </w:rPr>
            </w:pPr>
            <w:r>
              <w:rPr>
                <w:rFonts w:hint="eastAsia"/>
                <w:color w:val="auto"/>
                <w:highlight w:val="none"/>
                <w:lang w:val="en-US" w:eastAsia="zh-CN"/>
              </w:rPr>
              <w:t>1、产品要求：</w:t>
            </w:r>
            <w:r>
              <w:rPr>
                <w:rFonts w:hint="eastAsia"/>
                <w:color w:val="auto"/>
                <w:highlight w:val="none"/>
                <w:lang w:eastAsia="zh-CN"/>
              </w:rPr>
              <w:t>供应商所提供的货物型号、品牌、技术规格、技术参数等质量必须与本次采购要求和承诺相一致。供应商所提供货物是全新的、未使用过的，货物的配置为原厂原装，拒绝拼凑，完全符合合同规定的质量、规格和性能的要求。所供产品实质性满足采购方所要求的产品的所有参数要求，对于产品要求提供文件说明的相关文件、证书给予证明。对不能满足参数要求或无法提供相关文件说明的，或者无法正常交货影响采购方使用的视为虚假应标，采购方有权取消供应商的成交资格，并按相关规定报财政进行相应处理、处罚。</w:t>
            </w:r>
          </w:p>
          <w:p w14:paraId="45F46AC9">
            <w:pPr>
              <w:spacing w:line="400" w:lineRule="exact"/>
              <w:rPr>
                <w:rFonts w:hint="eastAsia"/>
                <w:color w:val="auto"/>
                <w:highlight w:val="none"/>
              </w:rPr>
            </w:pPr>
            <w:r>
              <w:rPr>
                <w:rFonts w:hint="eastAsia"/>
                <w:color w:val="auto"/>
                <w:highlight w:val="none"/>
              </w:rPr>
              <w:t>2、乙方交货前应对产品作出全面检查和对验收文件进行整理列出清单，作为甲方收货验收和使用的技术条件依据，检验的结果应随货物交甲方；</w:t>
            </w:r>
          </w:p>
          <w:p w14:paraId="6541436E">
            <w:pPr>
              <w:spacing w:line="400" w:lineRule="exact"/>
              <w:rPr>
                <w:rFonts w:hint="eastAsia"/>
                <w:color w:val="auto"/>
                <w:highlight w:val="none"/>
                <w:lang w:eastAsia="zh-CN"/>
              </w:rPr>
            </w:pPr>
            <w:r>
              <w:rPr>
                <w:rFonts w:hint="eastAsia"/>
                <w:color w:val="auto"/>
                <w:highlight w:val="none"/>
              </w:rPr>
              <w:t>3、甲方对乙方所交货物依照采购文件上的技术规格要求和国家有关标准进行现场验收，性能达到技术要求的，给予签收。验收不合格的不予签收，后果由乙方负责。中标人所供产品实质性满足</w:t>
            </w:r>
            <w:r>
              <w:rPr>
                <w:rFonts w:hint="eastAsia"/>
                <w:color w:val="auto"/>
                <w:highlight w:val="none"/>
                <w:lang w:eastAsia="zh-CN"/>
              </w:rPr>
              <w:t>采购方</w:t>
            </w:r>
            <w:r>
              <w:rPr>
                <w:rFonts w:hint="eastAsia"/>
                <w:color w:val="auto"/>
                <w:highlight w:val="none"/>
              </w:rPr>
              <w:t>所要求的产品的所有参数和商务要求</w:t>
            </w:r>
            <w:r>
              <w:rPr>
                <w:rFonts w:hint="eastAsia"/>
                <w:color w:val="auto"/>
                <w:highlight w:val="none"/>
                <w:lang w:eastAsia="zh-CN"/>
              </w:rPr>
              <w:t>采购方</w:t>
            </w:r>
            <w:r>
              <w:rPr>
                <w:rFonts w:hint="eastAsia"/>
                <w:color w:val="auto"/>
                <w:highlight w:val="none"/>
              </w:rPr>
              <w:t>才给予签收，否则不给予验收</w:t>
            </w:r>
            <w:r>
              <w:rPr>
                <w:rFonts w:hint="eastAsia"/>
                <w:color w:val="auto"/>
                <w:highlight w:val="none"/>
                <w:lang w:eastAsia="zh-CN"/>
              </w:rPr>
              <w:t>。</w:t>
            </w:r>
          </w:p>
          <w:p w14:paraId="1B38B092">
            <w:pPr>
              <w:spacing w:line="400" w:lineRule="exact"/>
              <w:rPr>
                <w:rFonts w:hint="eastAsia" w:ascii="宋体" w:hAnsi="宋体" w:eastAsia="宋体" w:cs="宋体"/>
                <w:color w:val="auto"/>
                <w:sz w:val="21"/>
                <w:szCs w:val="21"/>
                <w:highlight w:val="none"/>
              </w:rPr>
            </w:pPr>
            <w:r>
              <w:rPr>
                <w:rFonts w:hint="eastAsia"/>
                <w:color w:val="auto"/>
                <w:highlight w:val="none"/>
                <w:lang w:val="en-US" w:eastAsia="zh-CN"/>
              </w:rPr>
              <w:t xml:space="preserve">4、遇到需要对商品进行故障处理，在质保期内提供7x24小时提供免费维护服务。对于到达指定现场后如超过48小时仍无法解决，则向用户提出明确解决方案，并免费提供与中标产品同等质量、性能的备用设备/系统（由此产生的运输、人工等一切费用由中标人承担）直至故障排除，否则中标人应赔偿相应损失。货物需要培训的，应免费对采购方进行培训，以保证采购方能自主熟练操作。 </w:t>
            </w:r>
          </w:p>
        </w:tc>
      </w:tr>
    </w:tbl>
    <w:p w14:paraId="464284B2">
      <w:pPr>
        <w:pStyle w:val="23"/>
        <w:rPr>
          <w:rFonts w:hint="eastAsia" w:ascii="宋体" w:hAnsi="宋体" w:cs="宋体"/>
          <w:color w:val="auto"/>
          <w:sz w:val="22"/>
          <w:szCs w:val="22"/>
          <w:highlight w:val="none"/>
        </w:rPr>
      </w:pPr>
    </w:p>
    <w:p w14:paraId="1DDC98F7">
      <w:pPr>
        <w:pStyle w:val="23"/>
        <w:rPr>
          <w:rFonts w:hint="eastAsia"/>
          <w:color w:val="auto"/>
          <w:highlight w:val="none"/>
          <w:lang w:eastAsia="zh-CN"/>
        </w:rPr>
      </w:pPr>
    </w:p>
    <w:p w14:paraId="589CDA00">
      <w:pPr>
        <w:pStyle w:val="23"/>
        <w:rPr>
          <w:rFonts w:hint="eastAsia"/>
          <w:color w:val="auto"/>
          <w:highlight w:val="none"/>
          <w:lang w:eastAsia="zh-CN"/>
        </w:rPr>
      </w:pPr>
    </w:p>
    <w:p w14:paraId="4938082A">
      <w:pPr>
        <w:rPr>
          <w:rFonts w:hint="eastAsia"/>
          <w:color w:val="auto"/>
          <w:highlight w:val="none"/>
          <w:lang w:eastAsia="zh-CN"/>
        </w:rPr>
      </w:pPr>
      <w:r>
        <w:rPr>
          <w:rFonts w:hint="eastAsia"/>
          <w:color w:val="auto"/>
          <w:highlight w:val="none"/>
          <w:lang w:eastAsia="zh-CN"/>
        </w:rPr>
        <w:br w:type="page"/>
      </w:r>
    </w:p>
    <w:p w14:paraId="479903B4">
      <w:pPr>
        <w:spacing w:line="300" w:lineRule="exact"/>
        <w:rPr>
          <w:rFonts w:ascii="仿宋" w:hAnsi="仿宋" w:eastAsia="仿宋" w:cs="仿宋"/>
          <w:color w:val="auto"/>
          <w:sz w:val="15"/>
          <w:szCs w:val="15"/>
          <w:highlight w:val="none"/>
        </w:rPr>
      </w:pPr>
      <w:r>
        <w:rPr>
          <w:rFonts w:hint="eastAsia" w:ascii="仿宋" w:hAnsi="仿宋" w:eastAsia="仿宋" w:cs="仿宋"/>
          <w:color w:val="auto"/>
          <w:sz w:val="24"/>
          <w:highlight w:val="none"/>
        </w:rPr>
        <w:t>附件1：</w:t>
      </w:r>
    </w:p>
    <w:p w14:paraId="36018C8B">
      <w:pPr>
        <w:widowControl/>
        <w:spacing w:line="42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中小微企业划型标准</w:t>
      </w:r>
    </w:p>
    <w:p w14:paraId="515382C5">
      <w:pPr>
        <w:pStyle w:val="7"/>
        <w:rPr>
          <w:color w:val="auto"/>
          <w:highlight w:val="none"/>
        </w:rPr>
      </w:pPr>
    </w:p>
    <w:tbl>
      <w:tblPr>
        <w:tblStyle w:val="16"/>
        <w:tblW w:w="9825" w:type="dxa"/>
        <w:jc w:val="center"/>
        <w:tblLayout w:type="fixed"/>
        <w:tblCellMar>
          <w:top w:w="0" w:type="dxa"/>
          <w:left w:w="108" w:type="dxa"/>
          <w:bottom w:w="0" w:type="dxa"/>
          <w:right w:w="108" w:type="dxa"/>
        </w:tblCellMar>
      </w:tblPr>
      <w:tblGrid>
        <w:gridCol w:w="1845"/>
        <w:gridCol w:w="1664"/>
        <w:gridCol w:w="1227"/>
        <w:gridCol w:w="1950"/>
        <w:gridCol w:w="1883"/>
        <w:gridCol w:w="1256"/>
      </w:tblGrid>
      <w:tr w14:paraId="7DC4E5C2">
        <w:tblPrEx>
          <w:tblCellMar>
            <w:top w:w="0" w:type="dxa"/>
            <w:left w:w="108" w:type="dxa"/>
            <w:bottom w:w="0" w:type="dxa"/>
            <w:right w:w="108" w:type="dxa"/>
          </w:tblCellMar>
        </w:tblPrEx>
        <w:trPr>
          <w:trHeight w:val="482" w:hRule="atLeast"/>
          <w:jc w:val="center"/>
        </w:trPr>
        <w:tc>
          <w:tcPr>
            <w:tcW w:w="1845" w:type="dxa"/>
            <w:tcBorders>
              <w:top w:val="single" w:color="auto" w:sz="4" w:space="0"/>
              <w:left w:val="single" w:color="auto" w:sz="4" w:space="0"/>
              <w:bottom w:val="single" w:color="auto" w:sz="4" w:space="0"/>
              <w:right w:val="single" w:color="auto" w:sz="4" w:space="0"/>
            </w:tcBorders>
            <w:noWrap/>
            <w:vAlign w:val="center"/>
          </w:tcPr>
          <w:p w14:paraId="13EDC4EB">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行业名称</w:t>
            </w:r>
          </w:p>
        </w:tc>
        <w:tc>
          <w:tcPr>
            <w:tcW w:w="1664" w:type="dxa"/>
            <w:tcBorders>
              <w:top w:val="single" w:color="auto" w:sz="4" w:space="0"/>
              <w:left w:val="nil"/>
              <w:bottom w:val="single" w:color="auto" w:sz="4" w:space="0"/>
              <w:right w:val="single" w:color="auto" w:sz="4" w:space="0"/>
            </w:tcBorders>
            <w:noWrap/>
            <w:vAlign w:val="center"/>
          </w:tcPr>
          <w:p w14:paraId="23EBD802">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指标名称</w:t>
            </w:r>
          </w:p>
        </w:tc>
        <w:tc>
          <w:tcPr>
            <w:tcW w:w="1227" w:type="dxa"/>
            <w:tcBorders>
              <w:top w:val="single" w:color="auto" w:sz="4" w:space="0"/>
              <w:left w:val="nil"/>
              <w:bottom w:val="single" w:color="auto" w:sz="4" w:space="0"/>
              <w:right w:val="single" w:color="auto" w:sz="4" w:space="0"/>
            </w:tcBorders>
            <w:noWrap/>
            <w:vAlign w:val="center"/>
          </w:tcPr>
          <w:p w14:paraId="5CD77542">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计量单位</w:t>
            </w:r>
          </w:p>
        </w:tc>
        <w:tc>
          <w:tcPr>
            <w:tcW w:w="1950" w:type="dxa"/>
            <w:tcBorders>
              <w:top w:val="single" w:color="auto" w:sz="4" w:space="0"/>
              <w:left w:val="nil"/>
              <w:bottom w:val="single" w:color="auto" w:sz="4" w:space="0"/>
              <w:right w:val="single" w:color="auto" w:sz="4" w:space="0"/>
            </w:tcBorders>
            <w:noWrap/>
            <w:vAlign w:val="center"/>
          </w:tcPr>
          <w:p w14:paraId="2480613A">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中型</w:t>
            </w:r>
          </w:p>
        </w:tc>
        <w:tc>
          <w:tcPr>
            <w:tcW w:w="1883" w:type="dxa"/>
            <w:tcBorders>
              <w:top w:val="single" w:color="auto" w:sz="4" w:space="0"/>
              <w:left w:val="nil"/>
              <w:bottom w:val="single" w:color="auto" w:sz="4" w:space="0"/>
              <w:right w:val="single" w:color="auto" w:sz="4" w:space="0"/>
            </w:tcBorders>
            <w:noWrap/>
            <w:vAlign w:val="center"/>
          </w:tcPr>
          <w:p w14:paraId="395CB0C1">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小型</w:t>
            </w:r>
          </w:p>
        </w:tc>
        <w:tc>
          <w:tcPr>
            <w:tcW w:w="1256" w:type="dxa"/>
            <w:tcBorders>
              <w:top w:val="single" w:color="auto" w:sz="4" w:space="0"/>
              <w:left w:val="nil"/>
              <w:bottom w:val="single" w:color="auto" w:sz="4" w:space="0"/>
              <w:right w:val="single" w:color="auto" w:sz="4" w:space="0"/>
            </w:tcBorders>
            <w:noWrap/>
            <w:vAlign w:val="center"/>
          </w:tcPr>
          <w:p w14:paraId="6DB469C5">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微型</w:t>
            </w:r>
          </w:p>
        </w:tc>
      </w:tr>
      <w:tr w14:paraId="26D2AA23">
        <w:tblPrEx>
          <w:tblCellMar>
            <w:top w:w="0" w:type="dxa"/>
            <w:left w:w="108" w:type="dxa"/>
            <w:bottom w:w="0" w:type="dxa"/>
            <w:right w:w="108" w:type="dxa"/>
          </w:tblCellMar>
        </w:tblPrEx>
        <w:trPr>
          <w:trHeight w:val="439" w:hRule="atLeast"/>
          <w:jc w:val="center"/>
        </w:trPr>
        <w:tc>
          <w:tcPr>
            <w:tcW w:w="1845" w:type="dxa"/>
            <w:tcBorders>
              <w:top w:val="nil"/>
              <w:left w:val="single" w:color="auto" w:sz="4" w:space="0"/>
              <w:bottom w:val="single" w:color="auto" w:sz="4" w:space="0"/>
              <w:right w:val="single" w:color="auto" w:sz="4" w:space="0"/>
            </w:tcBorders>
            <w:noWrap/>
            <w:vAlign w:val="center"/>
          </w:tcPr>
          <w:p w14:paraId="7D742E9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农、林、牧、渔</w:t>
            </w:r>
          </w:p>
        </w:tc>
        <w:tc>
          <w:tcPr>
            <w:tcW w:w="1664" w:type="dxa"/>
            <w:tcBorders>
              <w:top w:val="nil"/>
              <w:left w:val="nil"/>
              <w:bottom w:val="single" w:color="auto" w:sz="4" w:space="0"/>
              <w:right w:val="single" w:color="auto" w:sz="4" w:space="0"/>
            </w:tcBorders>
            <w:noWrap/>
            <w:vAlign w:val="center"/>
          </w:tcPr>
          <w:p w14:paraId="3BBF25B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724D9E4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3E69F47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500≤Y＜20000</w:t>
            </w:r>
          </w:p>
        </w:tc>
        <w:tc>
          <w:tcPr>
            <w:tcW w:w="1883" w:type="dxa"/>
            <w:tcBorders>
              <w:top w:val="nil"/>
              <w:left w:val="nil"/>
              <w:bottom w:val="single" w:color="auto" w:sz="4" w:space="0"/>
              <w:right w:val="single" w:color="auto" w:sz="4" w:space="0"/>
            </w:tcBorders>
            <w:noWrap/>
            <w:vAlign w:val="center"/>
          </w:tcPr>
          <w:p w14:paraId="1B25914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50≤Y＜500</w:t>
            </w:r>
          </w:p>
        </w:tc>
        <w:tc>
          <w:tcPr>
            <w:tcW w:w="1256" w:type="dxa"/>
            <w:tcBorders>
              <w:top w:val="nil"/>
              <w:left w:val="nil"/>
              <w:bottom w:val="single" w:color="auto" w:sz="4" w:space="0"/>
              <w:right w:val="single" w:color="auto" w:sz="4" w:space="0"/>
            </w:tcBorders>
            <w:noWrap/>
            <w:vAlign w:val="center"/>
          </w:tcPr>
          <w:p w14:paraId="22FE728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Y＜50</w:t>
            </w:r>
          </w:p>
        </w:tc>
      </w:tr>
      <w:tr w14:paraId="7B292C58">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3AE7579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工业</w:t>
            </w:r>
          </w:p>
        </w:tc>
        <w:tc>
          <w:tcPr>
            <w:tcW w:w="1664" w:type="dxa"/>
            <w:tcBorders>
              <w:top w:val="nil"/>
              <w:left w:val="nil"/>
              <w:bottom w:val="single" w:color="auto" w:sz="4" w:space="0"/>
              <w:right w:val="single" w:color="auto" w:sz="4" w:space="0"/>
            </w:tcBorders>
            <w:noWrap/>
            <w:vAlign w:val="center"/>
          </w:tcPr>
          <w:p w14:paraId="42862572">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0DAAA1D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056244A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300≤X＜1000</w:t>
            </w:r>
          </w:p>
        </w:tc>
        <w:tc>
          <w:tcPr>
            <w:tcW w:w="1883" w:type="dxa"/>
            <w:tcBorders>
              <w:top w:val="nil"/>
              <w:left w:val="nil"/>
              <w:bottom w:val="single" w:color="auto" w:sz="4" w:space="0"/>
              <w:right w:val="single" w:color="auto" w:sz="4" w:space="0"/>
            </w:tcBorders>
            <w:noWrap/>
            <w:vAlign w:val="center"/>
          </w:tcPr>
          <w:p w14:paraId="0839ADC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20≤X＜300</w:t>
            </w:r>
          </w:p>
        </w:tc>
        <w:tc>
          <w:tcPr>
            <w:tcW w:w="1256" w:type="dxa"/>
            <w:tcBorders>
              <w:top w:val="nil"/>
              <w:left w:val="nil"/>
              <w:bottom w:val="single" w:color="auto" w:sz="4" w:space="0"/>
              <w:right w:val="single" w:color="auto" w:sz="4" w:space="0"/>
            </w:tcBorders>
            <w:noWrap/>
            <w:vAlign w:val="center"/>
          </w:tcPr>
          <w:p w14:paraId="745CCF82">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X＜20</w:t>
            </w:r>
          </w:p>
        </w:tc>
      </w:tr>
      <w:tr w14:paraId="21411202">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7648D420">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330D367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7FB2F2F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638B2AE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2000≤Y＜40000</w:t>
            </w:r>
          </w:p>
        </w:tc>
        <w:tc>
          <w:tcPr>
            <w:tcW w:w="1883" w:type="dxa"/>
            <w:tcBorders>
              <w:top w:val="nil"/>
              <w:left w:val="nil"/>
              <w:bottom w:val="single" w:color="auto" w:sz="4" w:space="0"/>
              <w:right w:val="single" w:color="auto" w:sz="4" w:space="0"/>
            </w:tcBorders>
            <w:noWrap/>
            <w:vAlign w:val="center"/>
          </w:tcPr>
          <w:p w14:paraId="2FD85D4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300≤Y＜2000</w:t>
            </w:r>
          </w:p>
        </w:tc>
        <w:tc>
          <w:tcPr>
            <w:tcW w:w="1256" w:type="dxa"/>
            <w:tcBorders>
              <w:top w:val="nil"/>
              <w:left w:val="nil"/>
              <w:bottom w:val="single" w:color="auto" w:sz="4" w:space="0"/>
              <w:right w:val="single" w:color="auto" w:sz="4" w:space="0"/>
            </w:tcBorders>
            <w:noWrap/>
            <w:vAlign w:val="center"/>
          </w:tcPr>
          <w:p w14:paraId="35EF416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Y＜300</w:t>
            </w:r>
          </w:p>
        </w:tc>
      </w:tr>
      <w:tr w14:paraId="1A3BED0F">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043663D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建筑业</w:t>
            </w:r>
          </w:p>
        </w:tc>
        <w:tc>
          <w:tcPr>
            <w:tcW w:w="1664" w:type="dxa"/>
            <w:tcBorders>
              <w:top w:val="nil"/>
              <w:left w:val="nil"/>
              <w:bottom w:val="single" w:color="auto" w:sz="4" w:space="0"/>
              <w:right w:val="single" w:color="auto" w:sz="4" w:space="0"/>
            </w:tcBorders>
            <w:noWrap/>
            <w:vAlign w:val="center"/>
          </w:tcPr>
          <w:p w14:paraId="18063FB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7852553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5D7C8F9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6000≤Y＜80000</w:t>
            </w:r>
          </w:p>
        </w:tc>
        <w:tc>
          <w:tcPr>
            <w:tcW w:w="1883" w:type="dxa"/>
            <w:tcBorders>
              <w:top w:val="nil"/>
              <w:left w:val="nil"/>
              <w:bottom w:val="single" w:color="auto" w:sz="4" w:space="0"/>
              <w:right w:val="single" w:color="auto" w:sz="4" w:space="0"/>
            </w:tcBorders>
            <w:noWrap/>
            <w:vAlign w:val="center"/>
          </w:tcPr>
          <w:p w14:paraId="24F90E6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300≤Y＜6000</w:t>
            </w:r>
          </w:p>
        </w:tc>
        <w:tc>
          <w:tcPr>
            <w:tcW w:w="1256" w:type="dxa"/>
            <w:tcBorders>
              <w:top w:val="nil"/>
              <w:left w:val="nil"/>
              <w:bottom w:val="single" w:color="auto" w:sz="4" w:space="0"/>
              <w:right w:val="single" w:color="auto" w:sz="4" w:space="0"/>
            </w:tcBorders>
            <w:noWrap/>
            <w:vAlign w:val="center"/>
          </w:tcPr>
          <w:p w14:paraId="69F97AF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Y＜300</w:t>
            </w:r>
          </w:p>
        </w:tc>
      </w:tr>
      <w:tr w14:paraId="3E4AFE67">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1CE06B28">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7C7D75F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资产总额（Z）</w:t>
            </w:r>
          </w:p>
        </w:tc>
        <w:tc>
          <w:tcPr>
            <w:tcW w:w="1227" w:type="dxa"/>
            <w:tcBorders>
              <w:top w:val="nil"/>
              <w:left w:val="nil"/>
              <w:bottom w:val="single" w:color="auto" w:sz="4" w:space="0"/>
              <w:right w:val="single" w:color="auto" w:sz="4" w:space="0"/>
            </w:tcBorders>
            <w:noWrap/>
            <w:vAlign w:val="center"/>
          </w:tcPr>
          <w:p w14:paraId="07F6B8A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611B00B8">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5000≤Z＜80000</w:t>
            </w:r>
          </w:p>
        </w:tc>
        <w:tc>
          <w:tcPr>
            <w:tcW w:w="1883" w:type="dxa"/>
            <w:tcBorders>
              <w:top w:val="nil"/>
              <w:left w:val="nil"/>
              <w:bottom w:val="single" w:color="auto" w:sz="4" w:space="0"/>
              <w:right w:val="single" w:color="auto" w:sz="4" w:space="0"/>
            </w:tcBorders>
            <w:noWrap/>
            <w:vAlign w:val="center"/>
          </w:tcPr>
          <w:p w14:paraId="1A36D06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300≤Z＜5000</w:t>
            </w:r>
          </w:p>
        </w:tc>
        <w:tc>
          <w:tcPr>
            <w:tcW w:w="1256" w:type="dxa"/>
            <w:tcBorders>
              <w:top w:val="nil"/>
              <w:left w:val="nil"/>
              <w:bottom w:val="single" w:color="auto" w:sz="4" w:space="0"/>
              <w:right w:val="single" w:color="auto" w:sz="4" w:space="0"/>
            </w:tcBorders>
            <w:noWrap/>
            <w:vAlign w:val="center"/>
          </w:tcPr>
          <w:p w14:paraId="5ED3C70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Z＜300</w:t>
            </w:r>
          </w:p>
        </w:tc>
      </w:tr>
      <w:tr w14:paraId="7E12416E">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43CBA58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批发业</w:t>
            </w:r>
          </w:p>
        </w:tc>
        <w:tc>
          <w:tcPr>
            <w:tcW w:w="1664" w:type="dxa"/>
            <w:tcBorders>
              <w:top w:val="nil"/>
              <w:left w:val="nil"/>
              <w:bottom w:val="single" w:color="auto" w:sz="4" w:space="0"/>
              <w:right w:val="single" w:color="auto" w:sz="4" w:space="0"/>
            </w:tcBorders>
            <w:noWrap/>
            <w:vAlign w:val="center"/>
          </w:tcPr>
          <w:p w14:paraId="34E4F48B">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3167554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655E7428">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20≤X＜200</w:t>
            </w:r>
          </w:p>
        </w:tc>
        <w:tc>
          <w:tcPr>
            <w:tcW w:w="1883" w:type="dxa"/>
            <w:tcBorders>
              <w:top w:val="nil"/>
              <w:left w:val="nil"/>
              <w:bottom w:val="single" w:color="auto" w:sz="4" w:space="0"/>
              <w:right w:val="single" w:color="auto" w:sz="4" w:space="0"/>
            </w:tcBorders>
            <w:noWrap/>
            <w:vAlign w:val="center"/>
          </w:tcPr>
          <w:p w14:paraId="3762F0E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5≤X＜20</w:t>
            </w:r>
          </w:p>
        </w:tc>
        <w:tc>
          <w:tcPr>
            <w:tcW w:w="1256" w:type="dxa"/>
            <w:tcBorders>
              <w:top w:val="nil"/>
              <w:left w:val="nil"/>
              <w:bottom w:val="single" w:color="auto" w:sz="4" w:space="0"/>
              <w:right w:val="single" w:color="auto" w:sz="4" w:space="0"/>
            </w:tcBorders>
            <w:noWrap/>
            <w:vAlign w:val="center"/>
          </w:tcPr>
          <w:p w14:paraId="7F2C43E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X＜5</w:t>
            </w:r>
          </w:p>
        </w:tc>
      </w:tr>
      <w:tr w14:paraId="1E211EFC">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3C0D38D0">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389331D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142D042B">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2468828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5000≤Y＜40000</w:t>
            </w:r>
          </w:p>
        </w:tc>
        <w:tc>
          <w:tcPr>
            <w:tcW w:w="1883" w:type="dxa"/>
            <w:tcBorders>
              <w:top w:val="nil"/>
              <w:left w:val="nil"/>
              <w:bottom w:val="single" w:color="auto" w:sz="4" w:space="0"/>
              <w:right w:val="single" w:color="auto" w:sz="4" w:space="0"/>
            </w:tcBorders>
            <w:noWrap/>
            <w:vAlign w:val="center"/>
          </w:tcPr>
          <w:p w14:paraId="3B886B2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1000≤Y＜5000</w:t>
            </w:r>
          </w:p>
        </w:tc>
        <w:tc>
          <w:tcPr>
            <w:tcW w:w="1256" w:type="dxa"/>
            <w:tcBorders>
              <w:top w:val="nil"/>
              <w:left w:val="nil"/>
              <w:bottom w:val="single" w:color="auto" w:sz="4" w:space="0"/>
              <w:right w:val="single" w:color="auto" w:sz="4" w:space="0"/>
            </w:tcBorders>
            <w:noWrap/>
            <w:vAlign w:val="center"/>
          </w:tcPr>
          <w:p w14:paraId="055A207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Y＜1000</w:t>
            </w:r>
          </w:p>
        </w:tc>
      </w:tr>
      <w:tr w14:paraId="341C0E84">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33B3B9C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零售业</w:t>
            </w:r>
          </w:p>
        </w:tc>
        <w:tc>
          <w:tcPr>
            <w:tcW w:w="1664" w:type="dxa"/>
            <w:tcBorders>
              <w:top w:val="nil"/>
              <w:left w:val="nil"/>
              <w:bottom w:val="single" w:color="auto" w:sz="4" w:space="0"/>
              <w:right w:val="single" w:color="auto" w:sz="4" w:space="0"/>
            </w:tcBorders>
            <w:noWrap/>
            <w:vAlign w:val="center"/>
          </w:tcPr>
          <w:p w14:paraId="240A97F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18C7C64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391F78C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50≤X＜300</w:t>
            </w:r>
          </w:p>
        </w:tc>
        <w:tc>
          <w:tcPr>
            <w:tcW w:w="1883" w:type="dxa"/>
            <w:tcBorders>
              <w:top w:val="nil"/>
              <w:left w:val="nil"/>
              <w:bottom w:val="single" w:color="auto" w:sz="4" w:space="0"/>
              <w:right w:val="single" w:color="auto" w:sz="4" w:space="0"/>
            </w:tcBorders>
            <w:noWrap/>
            <w:vAlign w:val="center"/>
          </w:tcPr>
          <w:p w14:paraId="08E04E5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10≤X＜50</w:t>
            </w:r>
          </w:p>
        </w:tc>
        <w:tc>
          <w:tcPr>
            <w:tcW w:w="1256" w:type="dxa"/>
            <w:tcBorders>
              <w:top w:val="nil"/>
              <w:left w:val="nil"/>
              <w:bottom w:val="single" w:color="auto" w:sz="4" w:space="0"/>
              <w:right w:val="single" w:color="auto" w:sz="4" w:space="0"/>
            </w:tcBorders>
            <w:noWrap/>
            <w:vAlign w:val="center"/>
          </w:tcPr>
          <w:p w14:paraId="6EF11B1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w:t>
            </w:r>
          </w:p>
        </w:tc>
      </w:tr>
      <w:tr w14:paraId="3FE9BE6B">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5940FF92">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756EAC5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3B08DED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315BC95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500≤Y＜20000</w:t>
            </w:r>
          </w:p>
        </w:tc>
        <w:tc>
          <w:tcPr>
            <w:tcW w:w="1883" w:type="dxa"/>
            <w:tcBorders>
              <w:top w:val="nil"/>
              <w:left w:val="nil"/>
              <w:bottom w:val="single" w:color="auto" w:sz="4" w:space="0"/>
              <w:right w:val="single" w:color="auto" w:sz="4" w:space="0"/>
            </w:tcBorders>
            <w:noWrap/>
            <w:vAlign w:val="center"/>
          </w:tcPr>
          <w:p w14:paraId="0C1A7F0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100≤Y＜500</w:t>
            </w:r>
          </w:p>
        </w:tc>
        <w:tc>
          <w:tcPr>
            <w:tcW w:w="1256" w:type="dxa"/>
            <w:tcBorders>
              <w:top w:val="nil"/>
              <w:left w:val="nil"/>
              <w:bottom w:val="single" w:color="auto" w:sz="4" w:space="0"/>
              <w:right w:val="single" w:color="auto" w:sz="4" w:space="0"/>
            </w:tcBorders>
            <w:noWrap/>
            <w:vAlign w:val="center"/>
          </w:tcPr>
          <w:p w14:paraId="184EEC8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Y＜100</w:t>
            </w:r>
          </w:p>
        </w:tc>
      </w:tr>
      <w:tr w14:paraId="3CF9EB55">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651C2A9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交通运输业</w:t>
            </w:r>
          </w:p>
        </w:tc>
        <w:tc>
          <w:tcPr>
            <w:tcW w:w="1664" w:type="dxa"/>
            <w:tcBorders>
              <w:top w:val="nil"/>
              <w:left w:val="nil"/>
              <w:bottom w:val="single" w:color="auto" w:sz="4" w:space="0"/>
              <w:right w:val="single" w:color="auto" w:sz="4" w:space="0"/>
            </w:tcBorders>
            <w:noWrap/>
            <w:vAlign w:val="center"/>
          </w:tcPr>
          <w:p w14:paraId="44C435B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46DBE71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4B5372B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300≤X＜1000</w:t>
            </w:r>
          </w:p>
        </w:tc>
        <w:tc>
          <w:tcPr>
            <w:tcW w:w="1883" w:type="dxa"/>
            <w:tcBorders>
              <w:top w:val="nil"/>
              <w:left w:val="nil"/>
              <w:bottom w:val="single" w:color="auto" w:sz="4" w:space="0"/>
              <w:right w:val="single" w:color="auto" w:sz="4" w:space="0"/>
            </w:tcBorders>
            <w:noWrap/>
            <w:vAlign w:val="center"/>
          </w:tcPr>
          <w:p w14:paraId="4E25C1B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20≤X＜300</w:t>
            </w:r>
          </w:p>
        </w:tc>
        <w:tc>
          <w:tcPr>
            <w:tcW w:w="1256" w:type="dxa"/>
            <w:tcBorders>
              <w:top w:val="nil"/>
              <w:left w:val="nil"/>
              <w:bottom w:val="single" w:color="auto" w:sz="4" w:space="0"/>
              <w:right w:val="single" w:color="auto" w:sz="4" w:space="0"/>
            </w:tcBorders>
            <w:noWrap/>
            <w:vAlign w:val="center"/>
          </w:tcPr>
          <w:p w14:paraId="60654A62">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X＜20</w:t>
            </w:r>
          </w:p>
        </w:tc>
      </w:tr>
      <w:tr w14:paraId="00B4596B">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08BA4C62">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679792F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5AEFB1D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18A282A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3000≤Y＜30000</w:t>
            </w:r>
          </w:p>
        </w:tc>
        <w:tc>
          <w:tcPr>
            <w:tcW w:w="1883" w:type="dxa"/>
            <w:tcBorders>
              <w:top w:val="nil"/>
              <w:left w:val="nil"/>
              <w:bottom w:val="single" w:color="auto" w:sz="4" w:space="0"/>
              <w:right w:val="single" w:color="auto" w:sz="4" w:space="0"/>
            </w:tcBorders>
            <w:noWrap/>
            <w:vAlign w:val="center"/>
          </w:tcPr>
          <w:p w14:paraId="59DE570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200≤Y＜3000</w:t>
            </w:r>
          </w:p>
        </w:tc>
        <w:tc>
          <w:tcPr>
            <w:tcW w:w="1256" w:type="dxa"/>
            <w:tcBorders>
              <w:top w:val="nil"/>
              <w:left w:val="nil"/>
              <w:bottom w:val="single" w:color="auto" w:sz="4" w:space="0"/>
              <w:right w:val="single" w:color="auto" w:sz="4" w:space="0"/>
            </w:tcBorders>
            <w:noWrap/>
            <w:vAlign w:val="center"/>
          </w:tcPr>
          <w:p w14:paraId="161FE56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Y＜200</w:t>
            </w:r>
          </w:p>
        </w:tc>
      </w:tr>
      <w:tr w14:paraId="13D40B9B">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5711BB0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仓储业</w:t>
            </w:r>
          </w:p>
        </w:tc>
        <w:tc>
          <w:tcPr>
            <w:tcW w:w="1664" w:type="dxa"/>
            <w:tcBorders>
              <w:top w:val="nil"/>
              <w:left w:val="nil"/>
              <w:bottom w:val="single" w:color="auto" w:sz="4" w:space="0"/>
              <w:right w:val="single" w:color="auto" w:sz="4" w:space="0"/>
            </w:tcBorders>
            <w:noWrap/>
            <w:vAlign w:val="center"/>
          </w:tcPr>
          <w:p w14:paraId="575754F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41B795F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3D0315E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100≤X＜200</w:t>
            </w:r>
          </w:p>
        </w:tc>
        <w:tc>
          <w:tcPr>
            <w:tcW w:w="1883" w:type="dxa"/>
            <w:tcBorders>
              <w:top w:val="nil"/>
              <w:left w:val="nil"/>
              <w:bottom w:val="single" w:color="auto" w:sz="4" w:space="0"/>
              <w:right w:val="single" w:color="auto" w:sz="4" w:space="0"/>
            </w:tcBorders>
            <w:noWrap/>
            <w:vAlign w:val="center"/>
          </w:tcPr>
          <w:p w14:paraId="2315D5A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20≤X＜100</w:t>
            </w:r>
          </w:p>
        </w:tc>
        <w:tc>
          <w:tcPr>
            <w:tcW w:w="1256" w:type="dxa"/>
            <w:tcBorders>
              <w:top w:val="nil"/>
              <w:left w:val="nil"/>
              <w:bottom w:val="single" w:color="auto" w:sz="4" w:space="0"/>
              <w:right w:val="single" w:color="auto" w:sz="4" w:space="0"/>
            </w:tcBorders>
            <w:noWrap/>
            <w:vAlign w:val="center"/>
          </w:tcPr>
          <w:p w14:paraId="6E8BC91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X＜20</w:t>
            </w:r>
          </w:p>
        </w:tc>
      </w:tr>
      <w:tr w14:paraId="7C22E75B">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557F9A21">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4FAD3CF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5F422E9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5B1130B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1000≤Y＜30000</w:t>
            </w:r>
          </w:p>
        </w:tc>
        <w:tc>
          <w:tcPr>
            <w:tcW w:w="1883" w:type="dxa"/>
            <w:tcBorders>
              <w:top w:val="nil"/>
              <w:left w:val="nil"/>
              <w:bottom w:val="single" w:color="auto" w:sz="4" w:space="0"/>
              <w:right w:val="single" w:color="auto" w:sz="4" w:space="0"/>
            </w:tcBorders>
            <w:noWrap/>
            <w:vAlign w:val="center"/>
          </w:tcPr>
          <w:p w14:paraId="6B31C9C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100≤Y＜1000</w:t>
            </w:r>
          </w:p>
        </w:tc>
        <w:tc>
          <w:tcPr>
            <w:tcW w:w="1256" w:type="dxa"/>
            <w:tcBorders>
              <w:top w:val="nil"/>
              <w:left w:val="nil"/>
              <w:bottom w:val="single" w:color="auto" w:sz="4" w:space="0"/>
              <w:right w:val="single" w:color="auto" w:sz="4" w:space="0"/>
            </w:tcBorders>
            <w:noWrap/>
            <w:vAlign w:val="center"/>
          </w:tcPr>
          <w:p w14:paraId="58653B6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Y＜100</w:t>
            </w:r>
          </w:p>
        </w:tc>
      </w:tr>
      <w:tr w14:paraId="763F5FB6">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171BC19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邮政业</w:t>
            </w:r>
          </w:p>
        </w:tc>
        <w:tc>
          <w:tcPr>
            <w:tcW w:w="1664" w:type="dxa"/>
            <w:tcBorders>
              <w:top w:val="nil"/>
              <w:left w:val="nil"/>
              <w:bottom w:val="single" w:color="auto" w:sz="4" w:space="0"/>
              <w:right w:val="single" w:color="auto" w:sz="4" w:space="0"/>
            </w:tcBorders>
            <w:noWrap/>
            <w:vAlign w:val="center"/>
          </w:tcPr>
          <w:p w14:paraId="107C0C8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039397F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2F7A545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300≤X＜1000</w:t>
            </w:r>
          </w:p>
        </w:tc>
        <w:tc>
          <w:tcPr>
            <w:tcW w:w="1883" w:type="dxa"/>
            <w:tcBorders>
              <w:top w:val="nil"/>
              <w:left w:val="nil"/>
              <w:bottom w:val="single" w:color="auto" w:sz="4" w:space="0"/>
              <w:right w:val="single" w:color="auto" w:sz="4" w:space="0"/>
            </w:tcBorders>
            <w:noWrap/>
            <w:vAlign w:val="center"/>
          </w:tcPr>
          <w:p w14:paraId="3D4AE7A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20≤X＜300</w:t>
            </w:r>
          </w:p>
        </w:tc>
        <w:tc>
          <w:tcPr>
            <w:tcW w:w="1256" w:type="dxa"/>
            <w:tcBorders>
              <w:top w:val="nil"/>
              <w:left w:val="nil"/>
              <w:bottom w:val="single" w:color="auto" w:sz="4" w:space="0"/>
              <w:right w:val="single" w:color="auto" w:sz="4" w:space="0"/>
            </w:tcBorders>
            <w:noWrap/>
            <w:vAlign w:val="center"/>
          </w:tcPr>
          <w:p w14:paraId="52639CF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X＜20</w:t>
            </w:r>
          </w:p>
        </w:tc>
      </w:tr>
      <w:tr w14:paraId="4A9E21D5">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03E32E02">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457E592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3AD06B2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783ADA5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2000≤Y＜30000</w:t>
            </w:r>
          </w:p>
        </w:tc>
        <w:tc>
          <w:tcPr>
            <w:tcW w:w="1883" w:type="dxa"/>
            <w:tcBorders>
              <w:top w:val="nil"/>
              <w:left w:val="nil"/>
              <w:bottom w:val="single" w:color="auto" w:sz="4" w:space="0"/>
              <w:right w:val="single" w:color="auto" w:sz="4" w:space="0"/>
            </w:tcBorders>
            <w:noWrap/>
            <w:vAlign w:val="center"/>
          </w:tcPr>
          <w:p w14:paraId="6212D78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100≤Y＜2000</w:t>
            </w:r>
          </w:p>
        </w:tc>
        <w:tc>
          <w:tcPr>
            <w:tcW w:w="1256" w:type="dxa"/>
            <w:tcBorders>
              <w:top w:val="nil"/>
              <w:left w:val="nil"/>
              <w:bottom w:val="single" w:color="auto" w:sz="4" w:space="0"/>
              <w:right w:val="single" w:color="auto" w:sz="4" w:space="0"/>
            </w:tcBorders>
            <w:noWrap/>
            <w:vAlign w:val="center"/>
          </w:tcPr>
          <w:p w14:paraId="280198C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Y＜100</w:t>
            </w:r>
          </w:p>
        </w:tc>
      </w:tr>
      <w:tr w14:paraId="03139498">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6B5E819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住宿业</w:t>
            </w:r>
          </w:p>
        </w:tc>
        <w:tc>
          <w:tcPr>
            <w:tcW w:w="1664" w:type="dxa"/>
            <w:tcBorders>
              <w:top w:val="nil"/>
              <w:left w:val="nil"/>
              <w:bottom w:val="single" w:color="auto" w:sz="4" w:space="0"/>
              <w:right w:val="single" w:color="auto" w:sz="4" w:space="0"/>
            </w:tcBorders>
            <w:noWrap/>
            <w:vAlign w:val="center"/>
          </w:tcPr>
          <w:p w14:paraId="4490031B">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5762570B">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1F384F5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100≤X＜300</w:t>
            </w:r>
          </w:p>
        </w:tc>
        <w:tc>
          <w:tcPr>
            <w:tcW w:w="1883" w:type="dxa"/>
            <w:tcBorders>
              <w:top w:val="nil"/>
              <w:left w:val="nil"/>
              <w:bottom w:val="single" w:color="auto" w:sz="4" w:space="0"/>
              <w:right w:val="single" w:color="auto" w:sz="4" w:space="0"/>
            </w:tcBorders>
            <w:noWrap/>
            <w:vAlign w:val="center"/>
          </w:tcPr>
          <w:p w14:paraId="4290871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10≤X＜100</w:t>
            </w:r>
          </w:p>
        </w:tc>
        <w:tc>
          <w:tcPr>
            <w:tcW w:w="1256" w:type="dxa"/>
            <w:tcBorders>
              <w:top w:val="nil"/>
              <w:left w:val="nil"/>
              <w:bottom w:val="single" w:color="auto" w:sz="4" w:space="0"/>
              <w:right w:val="single" w:color="auto" w:sz="4" w:space="0"/>
            </w:tcBorders>
            <w:noWrap/>
            <w:vAlign w:val="center"/>
          </w:tcPr>
          <w:p w14:paraId="0126DF5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w:t>
            </w:r>
          </w:p>
        </w:tc>
      </w:tr>
      <w:tr w14:paraId="65EBC940">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016E9F89">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51BACF0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51C143A2">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722B70F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2000≤Y＜10000</w:t>
            </w:r>
          </w:p>
        </w:tc>
        <w:tc>
          <w:tcPr>
            <w:tcW w:w="1883" w:type="dxa"/>
            <w:tcBorders>
              <w:top w:val="nil"/>
              <w:left w:val="nil"/>
              <w:bottom w:val="single" w:color="auto" w:sz="4" w:space="0"/>
              <w:right w:val="single" w:color="auto" w:sz="4" w:space="0"/>
            </w:tcBorders>
            <w:noWrap/>
            <w:vAlign w:val="center"/>
          </w:tcPr>
          <w:p w14:paraId="4B96E70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100≤Y＜2000</w:t>
            </w:r>
          </w:p>
        </w:tc>
        <w:tc>
          <w:tcPr>
            <w:tcW w:w="1256" w:type="dxa"/>
            <w:tcBorders>
              <w:top w:val="nil"/>
              <w:left w:val="nil"/>
              <w:bottom w:val="single" w:color="auto" w:sz="4" w:space="0"/>
              <w:right w:val="single" w:color="auto" w:sz="4" w:space="0"/>
            </w:tcBorders>
            <w:noWrap/>
            <w:vAlign w:val="center"/>
          </w:tcPr>
          <w:p w14:paraId="728D2838">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Y＜100</w:t>
            </w:r>
          </w:p>
        </w:tc>
      </w:tr>
      <w:tr w14:paraId="52C7E946">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5B3F32E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餐饮业</w:t>
            </w:r>
          </w:p>
        </w:tc>
        <w:tc>
          <w:tcPr>
            <w:tcW w:w="1664" w:type="dxa"/>
            <w:tcBorders>
              <w:top w:val="nil"/>
              <w:left w:val="nil"/>
              <w:bottom w:val="single" w:color="auto" w:sz="4" w:space="0"/>
              <w:right w:val="single" w:color="auto" w:sz="4" w:space="0"/>
            </w:tcBorders>
            <w:noWrap/>
            <w:vAlign w:val="center"/>
          </w:tcPr>
          <w:p w14:paraId="413FE1D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7DC4269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6239C3B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100≤X＜300</w:t>
            </w:r>
          </w:p>
        </w:tc>
        <w:tc>
          <w:tcPr>
            <w:tcW w:w="1883" w:type="dxa"/>
            <w:tcBorders>
              <w:top w:val="nil"/>
              <w:left w:val="nil"/>
              <w:bottom w:val="single" w:color="auto" w:sz="4" w:space="0"/>
              <w:right w:val="single" w:color="auto" w:sz="4" w:space="0"/>
            </w:tcBorders>
            <w:noWrap/>
            <w:vAlign w:val="center"/>
          </w:tcPr>
          <w:p w14:paraId="6F67C85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10≤X＜100</w:t>
            </w:r>
          </w:p>
        </w:tc>
        <w:tc>
          <w:tcPr>
            <w:tcW w:w="1256" w:type="dxa"/>
            <w:tcBorders>
              <w:top w:val="nil"/>
              <w:left w:val="nil"/>
              <w:bottom w:val="single" w:color="auto" w:sz="4" w:space="0"/>
              <w:right w:val="single" w:color="auto" w:sz="4" w:space="0"/>
            </w:tcBorders>
            <w:noWrap/>
            <w:vAlign w:val="center"/>
          </w:tcPr>
          <w:p w14:paraId="73D61BF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w:t>
            </w:r>
          </w:p>
        </w:tc>
      </w:tr>
      <w:tr w14:paraId="29B4992C">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265B3F1C">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3118592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3A5036C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740267B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2000≤Y＜10000</w:t>
            </w:r>
          </w:p>
        </w:tc>
        <w:tc>
          <w:tcPr>
            <w:tcW w:w="1883" w:type="dxa"/>
            <w:tcBorders>
              <w:top w:val="nil"/>
              <w:left w:val="nil"/>
              <w:bottom w:val="single" w:color="auto" w:sz="4" w:space="0"/>
              <w:right w:val="single" w:color="auto" w:sz="4" w:space="0"/>
            </w:tcBorders>
            <w:noWrap/>
            <w:vAlign w:val="center"/>
          </w:tcPr>
          <w:p w14:paraId="4F56EB0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100≤Y＜2000</w:t>
            </w:r>
          </w:p>
        </w:tc>
        <w:tc>
          <w:tcPr>
            <w:tcW w:w="1256" w:type="dxa"/>
            <w:tcBorders>
              <w:top w:val="nil"/>
              <w:left w:val="nil"/>
              <w:bottom w:val="single" w:color="auto" w:sz="4" w:space="0"/>
              <w:right w:val="single" w:color="auto" w:sz="4" w:space="0"/>
            </w:tcBorders>
            <w:noWrap/>
            <w:vAlign w:val="center"/>
          </w:tcPr>
          <w:p w14:paraId="0913991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Y＜100</w:t>
            </w:r>
          </w:p>
        </w:tc>
      </w:tr>
      <w:tr w14:paraId="67B25DE9">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2A67E07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信息传输业</w:t>
            </w:r>
          </w:p>
        </w:tc>
        <w:tc>
          <w:tcPr>
            <w:tcW w:w="1664" w:type="dxa"/>
            <w:tcBorders>
              <w:top w:val="nil"/>
              <w:left w:val="nil"/>
              <w:bottom w:val="single" w:color="auto" w:sz="4" w:space="0"/>
              <w:right w:val="single" w:color="auto" w:sz="4" w:space="0"/>
            </w:tcBorders>
            <w:noWrap/>
            <w:vAlign w:val="center"/>
          </w:tcPr>
          <w:p w14:paraId="65888BE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794A342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2C621C2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100≤X＜2000</w:t>
            </w:r>
          </w:p>
        </w:tc>
        <w:tc>
          <w:tcPr>
            <w:tcW w:w="1883" w:type="dxa"/>
            <w:tcBorders>
              <w:top w:val="nil"/>
              <w:left w:val="nil"/>
              <w:bottom w:val="single" w:color="auto" w:sz="4" w:space="0"/>
              <w:right w:val="single" w:color="auto" w:sz="4" w:space="0"/>
            </w:tcBorders>
            <w:noWrap/>
            <w:vAlign w:val="center"/>
          </w:tcPr>
          <w:p w14:paraId="19A9674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10≤X＜100</w:t>
            </w:r>
          </w:p>
        </w:tc>
        <w:tc>
          <w:tcPr>
            <w:tcW w:w="1256" w:type="dxa"/>
            <w:tcBorders>
              <w:top w:val="nil"/>
              <w:left w:val="nil"/>
              <w:bottom w:val="single" w:color="auto" w:sz="4" w:space="0"/>
              <w:right w:val="single" w:color="auto" w:sz="4" w:space="0"/>
            </w:tcBorders>
            <w:noWrap/>
            <w:vAlign w:val="center"/>
          </w:tcPr>
          <w:p w14:paraId="1F6A866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w:t>
            </w:r>
          </w:p>
        </w:tc>
      </w:tr>
      <w:tr w14:paraId="59A9FE53">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7C166045">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0D6A2198">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2ED58FB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0448CE8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1000≤Y＜100000</w:t>
            </w:r>
          </w:p>
        </w:tc>
        <w:tc>
          <w:tcPr>
            <w:tcW w:w="1883" w:type="dxa"/>
            <w:tcBorders>
              <w:top w:val="nil"/>
              <w:left w:val="nil"/>
              <w:bottom w:val="single" w:color="auto" w:sz="4" w:space="0"/>
              <w:right w:val="single" w:color="auto" w:sz="4" w:space="0"/>
            </w:tcBorders>
            <w:noWrap/>
            <w:vAlign w:val="center"/>
          </w:tcPr>
          <w:p w14:paraId="349FE532">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100≤Y＜1000</w:t>
            </w:r>
          </w:p>
        </w:tc>
        <w:tc>
          <w:tcPr>
            <w:tcW w:w="1256" w:type="dxa"/>
            <w:tcBorders>
              <w:top w:val="nil"/>
              <w:left w:val="nil"/>
              <w:bottom w:val="single" w:color="auto" w:sz="4" w:space="0"/>
              <w:right w:val="single" w:color="auto" w:sz="4" w:space="0"/>
            </w:tcBorders>
            <w:noWrap/>
            <w:vAlign w:val="center"/>
          </w:tcPr>
          <w:p w14:paraId="659482E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Y＜100</w:t>
            </w:r>
          </w:p>
        </w:tc>
      </w:tr>
      <w:tr w14:paraId="6CD4BBC0">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28BB52D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软件和信息技术服务业</w:t>
            </w:r>
          </w:p>
        </w:tc>
        <w:tc>
          <w:tcPr>
            <w:tcW w:w="1664" w:type="dxa"/>
            <w:tcBorders>
              <w:top w:val="nil"/>
              <w:left w:val="nil"/>
              <w:bottom w:val="single" w:color="auto" w:sz="4" w:space="0"/>
              <w:right w:val="single" w:color="auto" w:sz="4" w:space="0"/>
            </w:tcBorders>
            <w:noWrap/>
            <w:vAlign w:val="center"/>
          </w:tcPr>
          <w:p w14:paraId="36A9686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36A8892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6006B882">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100≤X＜300</w:t>
            </w:r>
          </w:p>
        </w:tc>
        <w:tc>
          <w:tcPr>
            <w:tcW w:w="1883" w:type="dxa"/>
            <w:tcBorders>
              <w:top w:val="nil"/>
              <w:left w:val="nil"/>
              <w:bottom w:val="single" w:color="auto" w:sz="4" w:space="0"/>
              <w:right w:val="single" w:color="auto" w:sz="4" w:space="0"/>
            </w:tcBorders>
            <w:noWrap/>
            <w:vAlign w:val="center"/>
          </w:tcPr>
          <w:p w14:paraId="70E9481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10≤X＜100</w:t>
            </w:r>
          </w:p>
        </w:tc>
        <w:tc>
          <w:tcPr>
            <w:tcW w:w="1256" w:type="dxa"/>
            <w:tcBorders>
              <w:top w:val="nil"/>
              <w:left w:val="nil"/>
              <w:bottom w:val="single" w:color="auto" w:sz="4" w:space="0"/>
              <w:right w:val="single" w:color="auto" w:sz="4" w:space="0"/>
            </w:tcBorders>
            <w:noWrap/>
            <w:vAlign w:val="center"/>
          </w:tcPr>
          <w:p w14:paraId="14F012E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w:t>
            </w:r>
          </w:p>
        </w:tc>
      </w:tr>
      <w:tr w14:paraId="236ED9D4">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649F2B75">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329D07B8">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7BEB971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07BDBE0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1000≤Y＜10000</w:t>
            </w:r>
          </w:p>
        </w:tc>
        <w:tc>
          <w:tcPr>
            <w:tcW w:w="1883" w:type="dxa"/>
            <w:tcBorders>
              <w:top w:val="nil"/>
              <w:left w:val="nil"/>
              <w:bottom w:val="single" w:color="auto" w:sz="4" w:space="0"/>
              <w:right w:val="single" w:color="auto" w:sz="4" w:space="0"/>
            </w:tcBorders>
            <w:noWrap/>
            <w:vAlign w:val="center"/>
          </w:tcPr>
          <w:p w14:paraId="46C5FEE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50≤Y＜1000</w:t>
            </w:r>
          </w:p>
        </w:tc>
        <w:tc>
          <w:tcPr>
            <w:tcW w:w="1256" w:type="dxa"/>
            <w:tcBorders>
              <w:top w:val="nil"/>
              <w:left w:val="nil"/>
              <w:bottom w:val="single" w:color="auto" w:sz="4" w:space="0"/>
              <w:right w:val="single" w:color="auto" w:sz="4" w:space="0"/>
            </w:tcBorders>
            <w:noWrap/>
            <w:vAlign w:val="center"/>
          </w:tcPr>
          <w:p w14:paraId="565C602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Y＜50</w:t>
            </w:r>
          </w:p>
        </w:tc>
      </w:tr>
      <w:tr w14:paraId="42CF813F">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3003CB4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房地产开发经营</w:t>
            </w:r>
          </w:p>
        </w:tc>
        <w:tc>
          <w:tcPr>
            <w:tcW w:w="1664" w:type="dxa"/>
            <w:tcBorders>
              <w:top w:val="nil"/>
              <w:left w:val="nil"/>
              <w:bottom w:val="single" w:color="auto" w:sz="4" w:space="0"/>
              <w:right w:val="single" w:color="auto" w:sz="4" w:space="0"/>
            </w:tcBorders>
            <w:noWrap/>
            <w:vAlign w:val="center"/>
          </w:tcPr>
          <w:p w14:paraId="517CD0B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31FF5B4B">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421A4F3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1000≤Y＜200000</w:t>
            </w:r>
          </w:p>
        </w:tc>
        <w:tc>
          <w:tcPr>
            <w:tcW w:w="1883" w:type="dxa"/>
            <w:tcBorders>
              <w:top w:val="nil"/>
              <w:left w:val="nil"/>
              <w:bottom w:val="single" w:color="auto" w:sz="4" w:space="0"/>
              <w:right w:val="single" w:color="auto" w:sz="4" w:space="0"/>
            </w:tcBorders>
            <w:noWrap/>
            <w:vAlign w:val="center"/>
          </w:tcPr>
          <w:p w14:paraId="766FD4E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100≤X＜1000</w:t>
            </w:r>
          </w:p>
        </w:tc>
        <w:tc>
          <w:tcPr>
            <w:tcW w:w="1256" w:type="dxa"/>
            <w:tcBorders>
              <w:top w:val="nil"/>
              <w:left w:val="nil"/>
              <w:bottom w:val="single" w:color="auto" w:sz="4" w:space="0"/>
              <w:right w:val="single" w:color="auto" w:sz="4" w:space="0"/>
            </w:tcBorders>
            <w:noWrap/>
            <w:vAlign w:val="center"/>
          </w:tcPr>
          <w:p w14:paraId="464A9B5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X＜100</w:t>
            </w:r>
          </w:p>
        </w:tc>
      </w:tr>
      <w:tr w14:paraId="20390B79">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49AD77B0">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7333DCF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资产总额（Z）</w:t>
            </w:r>
          </w:p>
        </w:tc>
        <w:tc>
          <w:tcPr>
            <w:tcW w:w="1227" w:type="dxa"/>
            <w:tcBorders>
              <w:top w:val="nil"/>
              <w:left w:val="nil"/>
              <w:bottom w:val="single" w:color="auto" w:sz="4" w:space="0"/>
              <w:right w:val="single" w:color="auto" w:sz="4" w:space="0"/>
            </w:tcBorders>
            <w:noWrap/>
            <w:vAlign w:val="center"/>
          </w:tcPr>
          <w:p w14:paraId="2C2C9B5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59C0632B">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5000≤Z＜10000</w:t>
            </w:r>
          </w:p>
        </w:tc>
        <w:tc>
          <w:tcPr>
            <w:tcW w:w="1883" w:type="dxa"/>
            <w:tcBorders>
              <w:top w:val="nil"/>
              <w:left w:val="nil"/>
              <w:bottom w:val="single" w:color="auto" w:sz="4" w:space="0"/>
              <w:right w:val="single" w:color="auto" w:sz="4" w:space="0"/>
            </w:tcBorders>
            <w:noWrap/>
            <w:vAlign w:val="center"/>
          </w:tcPr>
          <w:p w14:paraId="1593270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2000≤Y＜5000</w:t>
            </w:r>
          </w:p>
        </w:tc>
        <w:tc>
          <w:tcPr>
            <w:tcW w:w="1256" w:type="dxa"/>
            <w:tcBorders>
              <w:top w:val="nil"/>
              <w:left w:val="nil"/>
              <w:bottom w:val="single" w:color="auto" w:sz="4" w:space="0"/>
              <w:right w:val="single" w:color="auto" w:sz="4" w:space="0"/>
            </w:tcBorders>
            <w:noWrap/>
            <w:vAlign w:val="center"/>
          </w:tcPr>
          <w:p w14:paraId="1FDF85F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Y＜2000</w:t>
            </w:r>
          </w:p>
        </w:tc>
      </w:tr>
      <w:tr w14:paraId="7A57C687">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28A9DFF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物业管理</w:t>
            </w:r>
          </w:p>
        </w:tc>
        <w:tc>
          <w:tcPr>
            <w:tcW w:w="1664" w:type="dxa"/>
            <w:tcBorders>
              <w:top w:val="nil"/>
              <w:left w:val="nil"/>
              <w:bottom w:val="single" w:color="auto" w:sz="4" w:space="0"/>
              <w:right w:val="single" w:color="auto" w:sz="4" w:space="0"/>
            </w:tcBorders>
            <w:noWrap/>
            <w:vAlign w:val="center"/>
          </w:tcPr>
          <w:p w14:paraId="4ED3E63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06DD74F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56587F08">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300≤X＜1000</w:t>
            </w:r>
          </w:p>
        </w:tc>
        <w:tc>
          <w:tcPr>
            <w:tcW w:w="1883" w:type="dxa"/>
            <w:tcBorders>
              <w:top w:val="nil"/>
              <w:left w:val="nil"/>
              <w:bottom w:val="single" w:color="auto" w:sz="4" w:space="0"/>
              <w:right w:val="single" w:color="auto" w:sz="4" w:space="0"/>
            </w:tcBorders>
            <w:noWrap/>
            <w:vAlign w:val="center"/>
          </w:tcPr>
          <w:p w14:paraId="785687A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100≤X＜300</w:t>
            </w:r>
          </w:p>
        </w:tc>
        <w:tc>
          <w:tcPr>
            <w:tcW w:w="1256" w:type="dxa"/>
            <w:tcBorders>
              <w:top w:val="nil"/>
              <w:left w:val="nil"/>
              <w:bottom w:val="single" w:color="auto" w:sz="4" w:space="0"/>
              <w:right w:val="single" w:color="auto" w:sz="4" w:space="0"/>
            </w:tcBorders>
            <w:noWrap/>
            <w:vAlign w:val="center"/>
          </w:tcPr>
          <w:p w14:paraId="6DA5C66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X＜100</w:t>
            </w:r>
          </w:p>
        </w:tc>
      </w:tr>
      <w:tr w14:paraId="5FBE4371">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7A0034F4">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2400A8D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18F7B62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4EC8DCC8">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1000≤Y＜5000</w:t>
            </w:r>
          </w:p>
        </w:tc>
        <w:tc>
          <w:tcPr>
            <w:tcW w:w="1883" w:type="dxa"/>
            <w:tcBorders>
              <w:top w:val="nil"/>
              <w:left w:val="nil"/>
              <w:bottom w:val="single" w:color="auto" w:sz="4" w:space="0"/>
              <w:right w:val="single" w:color="auto" w:sz="4" w:space="0"/>
            </w:tcBorders>
            <w:noWrap/>
            <w:vAlign w:val="center"/>
          </w:tcPr>
          <w:p w14:paraId="7C64481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500≤Y＜1000</w:t>
            </w:r>
          </w:p>
        </w:tc>
        <w:tc>
          <w:tcPr>
            <w:tcW w:w="1256" w:type="dxa"/>
            <w:tcBorders>
              <w:top w:val="nil"/>
              <w:left w:val="nil"/>
              <w:bottom w:val="single" w:color="auto" w:sz="4" w:space="0"/>
              <w:right w:val="single" w:color="auto" w:sz="4" w:space="0"/>
            </w:tcBorders>
            <w:noWrap/>
            <w:vAlign w:val="center"/>
          </w:tcPr>
          <w:p w14:paraId="1312B95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Y＜500</w:t>
            </w:r>
          </w:p>
        </w:tc>
      </w:tr>
      <w:tr w14:paraId="7362ED4B">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2ED6450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租赁和商务服务业</w:t>
            </w:r>
          </w:p>
        </w:tc>
        <w:tc>
          <w:tcPr>
            <w:tcW w:w="1664" w:type="dxa"/>
            <w:tcBorders>
              <w:top w:val="nil"/>
              <w:left w:val="nil"/>
              <w:bottom w:val="single" w:color="auto" w:sz="4" w:space="0"/>
              <w:right w:val="single" w:color="auto" w:sz="4" w:space="0"/>
            </w:tcBorders>
            <w:noWrap/>
            <w:vAlign w:val="center"/>
          </w:tcPr>
          <w:p w14:paraId="334625F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6701B78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1DDA4E6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100≤X＜300</w:t>
            </w:r>
          </w:p>
        </w:tc>
        <w:tc>
          <w:tcPr>
            <w:tcW w:w="1883" w:type="dxa"/>
            <w:tcBorders>
              <w:top w:val="nil"/>
              <w:left w:val="nil"/>
              <w:bottom w:val="single" w:color="auto" w:sz="4" w:space="0"/>
              <w:right w:val="single" w:color="auto" w:sz="4" w:space="0"/>
            </w:tcBorders>
            <w:noWrap/>
            <w:vAlign w:val="center"/>
          </w:tcPr>
          <w:p w14:paraId="627B59D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10≤X＜100</w:t>
            </w:r>
          </w:p>
        </w:tc>
        <w:tc>
          <w:tcPr>
            <w:tcW w:w="1256" w:type="dxa"/>
            <w:tcBorders>
              <w:top w:val="nil"/>
              <w:left w:val="nil"/>
              <w:bottom w:val="single" w:color="auto" w:sz="4" w:space="0"/>
              <w:right w:val="single" w:color="auto" w:sz="4" w:space="0"/>
            </w:tcBorders>
            <w:noWrap/>
            <w:vAlign w:val="center"/>
          </w:tcPr>
          <w:p w14:paraId="592B25F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w:t>
            </w:r>
          </w:p>
        </w:tc>
      </w:tr>
      <w:tr w14:paraId="79813A9D">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6EBA0AE1">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2C557D1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资产总额（Z）</w:t>
            </w:r>
          </w:p>
        </w:tc>
        <w:tc>
          <w:tcPr>
            <w:tcW w:w="1227" w:type="dxa"/>
            <w:tcBorders>
              <w:top w:val="nil"/>
              <w:left w:val="nil"/>
              <w:bottom w:val="single" w:color="auto" w:sz="4" w:space="0"/>
              <w:right w:val="single" w:color="auto" w:sz="4" w:space="0"/>
            </w:tcBorders>
            <w:noWrap/>
            <w:vAlign w:val="center"/>
          </w:tcPr>
          <w:p w14:paraId="3FA7FB4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7692D5B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8000≤Z＜120000</w:t>
            </w:r>
          </w:p>
        </w:tc>
        <w:tc>
          <w:tcPr>
            <w:tcW w:w="1883" w:type="dxa"/>
            <w:tcBorders>
              <w:top w:val="nil"/>
              <w:left w:val="nil"/>
              <w:bottom w:val="single" w:color="auto" w:sz="4" w:space="0"/>
              <w:right w:val="single" w:color="auto" w:sz="4" w:space="0"/>
            </w:tcBorders>
            <w:noWrap/>
            <w:vAlign w:val="center"/>
          </w:tcPr>
          <w:p w14:paraId="1AB4149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100≤Z＜8000</w:t>
            </w:r>
          </w:p>
        </w:tc>
        <w:tc>
          <w:tcPr>
            <w:tcW w:w="1256" w:type="dxa"/>
            <w:tcBorders>
              <w:top w:val="nil"/>
              <w:left w:val="nil"/>
              <w:bottom w:val="single" w:color="auto" w:sz="4" w:space="0"/>
              <w:right w:val="single" w:color="auto" w:sz="4" w:space="0"/>
            </w:tcBorders>
            <w:noWrap/>
            <w:vAlign w:val="center"/>
          </w:tcPr>
          <w:p w14:paraId="327F5DA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Y＜100</w:t>
            </w:r>
          </w:p>
        </w:tc>
      </w:tr>
      <w:tr w14:paraId="28CD343B">
        <w:tblPrEx>
          <w:tblCellMar>
            <w:top w:w="0" w:type="dxa"/>
            <w:left w:w="108" w:type="dxa"/>
            <w:bottom w:w="0" w:type="dxa"/>
            <w:right w:w="108" w:type="dxa"/>
          </w:tblCellMar>
        </w:tblPrEx>
        <w:trPr>
          <w:trHeight w:val="505" w:hRule="atLeast"/>
          <w:jc w:val="center"/>
        </w:trPr>
        <w:tc>
          <w:tcPr>
            <w:tcW w:w="1845" w:type="dxa"/>
            <w:tcBorders>
              <w:top w:val="nil"/>
              <w:left w:val="single" w:color="auto" w:sz="4" w:space="0"/>
              <w:bottom w:val="single" w:color="auto" w:sz="4" w:space="0"/>
              <w:right w:val="single" w:color="auto" w:sz="4" w:space="0"/>
            </w:tcBorders>
            <w:noWrap/>
            <w:vAlign w:val="center"/>
          </w:tcPr>
          <w:p w14:paraId="6498B16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其他未列明行业</w:t>
            </w:r>
          </w:p>
        </w:tc>
        <w:tc>
          <w:tcPr>
            <w:tcW w:w="1664" w:type="dxa"/>
            <w:tcBorders>
              <w:top w:val="nil"/>
              <w:left w:val="nil"/>
              <w:bottom w:val="single" w:color="auto" w:sz="4" w:space="0"/>
              <w:right w:val="single" w:color="auto" w:sz="4" w:space="0"/>
            </w:tcBorders>
            <w:noWrap/>
            <w:vAlign w:val="center"/>
          </w:tcPr>
          <w:p w14:paraId="7D7859F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419A46B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29A3D462">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100≤X＜300</w:t>
            </w:r>
          </w:p>
        </w:tc>
        <w:tc>
          <w:tcPr>
            <w:tcW w:w="1883" w:type="dxa"/>
            <w:tcBorders>
              <w:top w:val="nil"/>
              <w:left w:val="nil"/>
              <w:bottom w:val="single" w:color="auto" w:sz="4" w:space="0"/>
              <w:right w:val="single" w:color="auto" w:sz="4" w:space="0"/>
            </w:tcBorders>
            <w:noWrap/>
            <w:vAlign w:val="center"/>
          </w:tcPr>
          <w:p w14:paraId="75E569A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10≤X＜100</w:t>
            </w:r>
          </w:p>
        </w:tc>
        <w:tc>
          <w:tcPr>
            <w:tcW w:w="1256" w:type="dxa"/>
            <w:tcBorders>
              <w:top w:val="nil"/>
              <w:left w:val="nil"/>
              <w:bottom w:val="single" w:color="auto" w:sz="4" w:space="0"/>
              <w:right w:val="single" w:color="auto" w:sz="4" w:space="0"/>
            </w:tcBorders>
            <w:noWrap/>
            <w:vAlign w:val="center"/>
          </w:tcPr>
          <w:p w14:paraId="5F2C319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w:t>
            </w:r>
          </w:p>
        </w:tc>
      </w:tr>
    </w:tbl>
    <w:p w14:paraId="4CE6B168">
      <w:pPr>
        <w:spacing w:line="410" w:lineRule="exact"/>
        <w:ind w:firstLine="210" w:firstLineChars="100"/>
        <w:rPr>
          <w:rFonts w:ascii="仿宋" w:hAnsi="仿宋" w:eastAsia="仿宋" w:cs="仿宋"/>
          <w:color w:val="auto"/>
          <w:highlight w:val="none"/>
        </w:rPr>
        <w:sectPr>
          <w:footerReference r:id="rId5" w:type="first"/>
          <w:footerReference r:id="rId4" w:type="default"/>
          <w:pgSz w:w="11906" w:h="16838"/>
          <w:pgMar w:top="1134" w:right="1417" w:bottom="1134" w:left="1417" w:header="794" w:footer="794" w:gutter="0"/>
          <w:pgNumType w:start="1"/>
          <w:cols w:space="720" w:num="1"/>
          <w:docGrid w:type="lines" w:linePitch="318" w:charSpace="0"/>
        </w:sectPr>
      </w:pPr>
      <w:r>
        <w:rPr>
          <w:rFonts w:hint="eastAsia" w:ascii="仿宋" w:hAnsi="仿宋" w:eastAsia="仿宋" w:cs="仿宋"/>
          <w:color w:val="auto"/>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357869A">
      <w:pPr>
        <w:pStyle w:val="3"/>
        <w:bidi w:val="0"/>
        <w:rPr>
          <w:rFonts w:hint="eastAsia"/>
          <w:color w:val="auto"/>
          <w:highlight w:val="none"/>
        </w:rPr>
      </w:pPr>
      <w:r>
        <w:rPr>
          <w:rFonts w:hint="eastAsia"/>
          <w:color w:val="auto"/>
          <w:highlight w:val="none"/>
          <w:lang w:eastAsia="zh-CN"/>
        </w:rPr>
        <w:t>第四章</w:t>
      </w:r>
      <w:r>
        <w:rPr>
          <w:rFonts w:hint="eastAsia"/>
          <w:color w:val="auto"/>
          <w:highlight w:val="none"/>
          <w:lang w:val="en-US" w:eastAsia="zh-CN"/>
        </w:rPr>
        <w:t xml:space="preserve">  </w:t>
      </w:r>
      <w:r>
        <w:rPr>
          <w:rFonts w:hint="eastAsia"/>
          <w:color w:val="auto"/>
          <w:highlight w:val="none"/>
          <w:lang w:eastAsia="zh-CN"/>
        </w:rPr>
        <w:t>竞争性谈判响应文件格式</w:t>
      </w:r>
      <w:bookmarkEnd w:id="41"/>
    </w:p>
    <w:p w14:paraId="1BDC88B4">
      <w:pPr>
        <w:keepNext w:val="0"/>
        <w:keepLines w:val="0"/>
        <w:pageBreakBefore w:val="0"/>
        <w:widowControl w:val="0"/>
        <w:kinsoku/>
        <w:wordWrap/>
        <w:overflowPunct/>
        <w:topLinePunct w:val="0"/>
        <w:autoSpaceDE/>
        <w:autoSpaceDN/>
        <w:bidi w:val="0"/>
        <w:adjustRightInd/>
        <w:snapToGrid w:val="0"/>
        <w:spacing w:before="156" w:beforeLines="50" w:after="50" w:line="360" w:lineRule="exact"/>
        <w:ind w:firstLine="325" w:firstLineChars="147"/>
        <w:textAlignment w:val="auto"/>
        <w:outlineLvl w:val="9"/>
        <w:rPr>
          <w:rFonts w:hint="eastAsia" w:ascii="宋体" w:hAnsi="宋体" w:cs="宋体"/>
          <w:b/>
          <w:bCs/>
          <w:color w:val="auto"/>
          <w:sz w:val="22"/>
          <w:szCs w:val="22"/>
          <w:highlight w:val="none"/>
        </w:rPr>
      </w:pPr>
      <w:bookmarkStart w:id="42" w:name="_Toc25837"/>
    </w:p>
    <w:bookmarkEnd w:id="42"/>
    <w:p w14:paraId="616D252B">
      <w:pPr>
        <w:keepNext w:val="0"/>
        <w:keepLines w:val="0"/>
        <w:pageBreakBefore w:val="0"/>
        <w:widowControl w:val="0"/>
        <w:kinsoku/>
        <w:wordWrap/>
        <w:overflowPunct/>
        <w:topLinePunct w:val="0"/>
        <w:autoSpaceDE/>
        <w:autoSpaceDN/>
        <w:bidi w:val="0"/>
        <w:adjustRightInd/>
        <w:snapToGrid w:val="0"/>
        <w:spacing w:before="156" w:beforeLines="50" w:after="50" w:line="360" w:lineRule="exact"/>
        <w:ind w:firstLine="413" w:firstLineChars="147"/>
        <w:textAlignment w:val="auto"/>
        <w:outlineLvl w:val="9"/>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 xml:space="preserve">一、 </w:t>
      </w:r>
      <w:r>
        <w:rPr>
          <w:rFonts w:hint="eastAsia" w:ascii="宋体" w:hAnsi="宋体" w:cs="宋体"/>
          <w:b/>
          <w:color w:val="auto"/>
          <w:sz w:val="28"/>
          <w:szCs w:val="28"/>
          <w:highlight w:val="none"/>
        </w:rPr>
        <w:t>竞争性谈判响应文件封面</w:t>
      </w:r>
      <w:r>
        <w:rPr>
          <w:rFonts w:hint="eastAsia" w:ascii="宋体" w:hAnsi="宋体" w:cs="宋体"/>
          <w:b/>
          <w:bCs/>
          <w:color w:val="auto"/>
          <w:sz w:val="28"/>
          <w:szCs w:val="28"/>
          <w:highlight w:val="none"/>
        </w:rPr>
        <w:t>格式</w:t>
      </w:r>
    </w:p>
    <w:p w14:paraId="0D7E01AC">
      <w:pPr>
        <w:snapToGrid w:val="0"/>
        <w:spacing w:before="156" w:beforeLines="50" w:after="50" w:line="360" w:lineRule="exact"/>
        <w:rPr>
          <w:rFonts w:hint="eastAsia" w:ascii="宋体" w:hAnsi="宋体" w:cs="宋体"/>
          <w:b/>
          <w:color w:val="auto"/>
          <w:sz w:val="28"/>
          <w:szCs w:val="28"/>
          <w:highlight w:val="none"/>
        </w:rPr>
      </w:pPr>
    </w:p>
    <w:p w14:paraId="6F7F0B0D">
      <w:pPr>
        <w:snapToGrid w:val="0"/>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竞争性谈判响应文件</w:t>
      </w:r>
    </w:p>
    <w:p w14:paraId="5CEDD959">
      <w:pPr>
        <w:snapToGrid w:val="0"/>
        <w:spacing w:line="360" w:lineRule="auto"/>
        <w:rPr>
          <w:rFonts w:hint="eastAsia" w:ascii="宋体" w:hAnsi="宋体" w:eastAsia="宋体" w:cs="宋体"/>
          <w:bCs/>
          <w:color w:val="auto"/>
          <w:sz w:val="28"/>
          <w:szCs w:val="28"/>
          <w:highlight w:val="none"/>
        </w:rPr>
      </w:pPr>
    </w:p>
    <w:p w14:paraId="067641E5">
      <w:pPr>
        <w:snapToGrid w:val="0"/>
        <w:spacing w:line="360" w:lineRule="auto"/>
        <w:rPr>
          <w:rFonts w:hint="eastAsia" w:ascii="宋体" w:hAnsi="宋体" w:eastAsia="宋体" w:cs="宋体"/>
          <w:bCs/>
          <w:color w:val="auto"/>
          <w:sz w:val="28"/>
          <w:szCs w:val="28"/>
          <w:highlight w:val="none"/>
        </w:rPr>
      </w:pPr>
    </w:p>
    <w:p w14:paraId="7D38789D">
      <w:pPr>
        <w:snapToGrid w:val="0"/>
        <w:spacing w:line="360" w:lineRule="auto"/>
        <w:rPr>
          <w:rFonts w:hint="eastAsia" w:ascii="宋体" w:hAnsi="宋体" w:eastAsia="宋体" w:cs="宋体"/>
          <w:bCs/>
          <w:color w:val="auto"/>
          <w:sz w:val="28"/>
          <w:szCs w:val="28"/>
          <w:highlight w:val="none"/>
        </w:rPr>
      </w:pPr>
    </w:p>
    <w:p w14:paraId="22892D47">
      <w:pPr>
        <w:snapToGrid w:val="0"/>
        <w:spacing w:line="360" w:lineRule="auto"/>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项目名称：</w:t>
      </w:r>
    </w:p>
    <w:p w14:paraId="09FD52B2">
      <w:pPr>
        <w:snapToGrid w:val="0"/>
        <w:spacing w:line="360" w:lineRule="auto"/>
        <w:ind w:firstLine="420" w:firstLineChars="150"/>
        <w:rPr>
          <w:rFonts w:hint="eastAsia" w:ascii="宋体" w:hAnsi="宋体" w:eastAsia="宋体" w:cs="宋体"/>
          <w:bCs/>
          <w:color w:val="auto"/>
          <w:sz w:val="28"/>
          <w:szCs w:val="28"/>
          <w:highlight w:val="none"/>
        </w:rPr>
      </w:pPr>
    </w:p>
    <w:p w14:paraId="051573F6">
      <w:pPr>
        <w:snapToGrid w:val="0"/>
        <w:spacing w:line="360" w:lineRule="auto"/>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项目编号：</w:t>
      </w:r>
    </w:p>
    <w:p w14:paraId="6984A457">
      <w:pPr>
        <w:snapToGrid w:val="0"/>
        <w:spacing w:line="360" w:lineRule="auto"/>
        <w:ind w:firstLine="420" w:firstLineChars="150"/>
        <w:rPr>
          <w:rFonts w:hint="eastAsia" w:ascii="宋体" w:hAnsi="宋体" w:eastAsia="宋体" w:cs="宋体"/>
          <w:bCs/>
          <w:color w:val="auto"/>
          <w:sz w:val="28"/>
          <w:szCs w:val="28"/>
          <w:highlight w:val="none"/>
        </w:rPr>
      </w:pPr>
    </w:p>
    <w:p w14:paraId="6BA86370">
      <w:pPr>
        <w:snapToGrid w:val="0"/>
        <w:spacing w:line="360" w:lineRule="auto"/>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所竞分标（如有则填写，无分标时填写“无”或者留空）：</w:t>
      </w:r>
    </w:p>
    <w:p w14:paraId="4755143D">
      <w:pPr>
        <w:snapToGrid w:val="0"/>
        <w:spacing w:line="360" w:lineRule="auto"/>
        <w:rPr>
          <w:rFonts w:hint="eastAsia" w:ascii="宋体" w:hAnsi="宋体" w:eastAsia="宋体" w:cs="宋体"/>
          <w:bCs/>
          <w:color w:val="auto"/>
          <w:sz w:val="28"/>
          <w:szCs w:val="28"/>
          <w:highlight w:val="none"/>
        </w:rPr>
      </w:pPr>
    </w:p>
    <w:p w14:paraId="4CFA4898">
      <w:pPr>
        <w:snapToGrid w:val="0"/>
        <w:spacing w:line="360" w:lineRule="auto"/>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供应商名称：</w:t>
      </w:r>
    </w:p>
    <w:p w14:paraId="2BA39315">
      <w:pPr>
        <w:snapToGrid w:val="0"/>
        <w:spacing w:line="360" w:lineRule="auto"/>
        <w:rPr>
          <w:rFonts w:hint="eastAsia" w:ascii="宋体" w:hAnsi="宋体" w:eastAsia="宋体" w:cs="宋体"/>
          <w:bCs/>
          <w:color w:val="auto"/>
          <w:sz w:val="28"/>
          <w:szCs w:val="28"/>
          <w:highlight w:val="none"/>
        </w:rPr>
      </w:pPr>
    </w:p>
    <w:p w14:paraId="18FA9A67">
      <w:pPr>
        <w:snapToGrid w:val="0"/>
        <w:spacing w:line="360" w:lineRule="auto"/>
        <w:ind w:firstLine="420" w:firstLineChars="15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响应文件提交截止时间前不得解密</w:t>
      </w:r>
    </w:p>
    <w:p w14:paraId="3FB0FF97">
      <w:pPr>
        <w:snapToGrid w:val="0"/>
        <w:spacing w:line="360" w:lineRule="auto"/>
        <w:ind w:firstLine="4760" w:firstLineChars="1700"/>
        <w:jc w:val="center"/>
        <w:rPr>
          <w:rFonts w:hint="eastAsia" w:ascii="宋体" w:hAnsi="宋体" w:eastAsia="宋体" w:cs="宋体"/>
          <w:bCs/>
          <w:color w:val="auto"/>
          <w:sz w:val="28"/>
          <w:szCs w:val="28"/>
          <w:highlight w:val="none"/>
        </w:rPr>
      </w:pPr>
    </w:p>
    <w:p w14:paraId="2F1C3747">
      <w:pPr>
        <w:keepNext w:val="0"/>
        <w:keepLines w:val="0"/>
        <w:pageBreakBefore w:val="0"/>
        <w:widowControl w:val="0"/>
        <w:kinsoku/>
        <w:wordWrap/>
        <w:overflowPunct/>
        <w:topLinePunct w:val="0"/>
        <w:autoSpaceDE/>
        <w:autoSpaceDN/>
        <w:bidi w:val="0"/>
        <w:adjustRightInd/>
        <w:snapToGrid w:val="0"/>
        <w:spacing w:before="156" w:beforeLines="50" w:after="50" w:line="360" w:lineRule="exact"/>
        <w:jc w:val="center"/>
        <w:textAlignment w:val="auto"/>
        <w:outlineLvl w:val="9"/>
        <w:rPr>
          <w:rFonts w:hint="eastAsia" w:ascii="宋体" w:hAnsi="宋体" w:cs="宋体"/>
          <w:color w:val="auto"/>
          <w:sz w:val="22"/>
          <w:szCs w:val="22"/>
          <w:highlight w:val="none"/>
        </w:rPr>
      </w:pPr>
      <w:r>
        <w:rPr>
          <w:rFonts w:hint="eastAsia" w:ascii="宋体" w:hAnsi="宋体" w:eastAsia="宋体" w:cs="宋体"/>
          <w:bCs/>
          <w:color w:val="auto"/>
          <w:sz w:val="28"/>
          <w:szCs w:val="28"/>
          <w:highlight w:val="none"/>
        </w:rPr>
        <w:t>年    月    日</w:t>
      </w:r>
    </w:p>
    <w:p w14:paraId="4E3FCBB1">
      <w:pPr>
        <w:spacing w:line="520" w:lineRule="exact"/>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044E93D0">
      <w:pPr>
        <w:spacing w:line="520" w:lineRule="exact"/>
        <w:rPr>
          <w:rFonts w:hint="eastAsia" w:ascii="宋体" w:hAnsi="宋体" w:cs="宋体"/>
          <w:b/>
          <w:color w:val="auto"/>
          <w:sz w:val="28"/>
          <w:szCs w:val="28"/>
          <w:highlight w:val="none"/>
        </w:rPr>
      </w:pPr>
    </w:p>
    <w:p w14:paraId="7B676A19">
      <w:pPr>
        <w:spacing w:line="520" w:lineRule="exact"/>
        <w:rPr>
          <w:rFonts w:hint="eastAsia" w:ascii="宋体" w:hAnsi="宋体" w:cs="宋体"/>
          <w:b/>
          <w:color w:val="auto"/>
          <w:szCs w:val="21"/>
          <w:highlight w:val="none"/>
        </w:rPr>
      </w:pPr>
      <w:r>
        <w:rPr>
          <w:rFonts w:hint="eastAsia" w:ascii="宋体" w:hAnsi="宋体" w:cs="宋体"/>
          <w:b/>
          <w:color w:val="auto"/>
          <w:szCs w:val="21"/>
          <w:highlight w:val="none"/>
        </w:rPr>
        <w:t>二、附  件</w:t>
      </w:r>
    </w:p>
    <w:p w14:paraId="0CC09889">
      <w:pPr>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附件1 </w:t>
      </w:r>
    </w:p>
    <w:p w14:paraId="348EFD76">
      <w:pPr>
        <w:spacing w:line="520" w:lineRule="exact"/>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报价表（一般货物类）</w:t>
      </w:r>
    </w:p>
    <w:p w14:paraId="1B4C7E7C">
      <w:pPr>
        <w:spacing w:before="156" w:beforeLines="50" w:after="156" w:afterLines="50" w:line="360" w:lineRule="exact"/>
        <w:rPr>
          <w:rFonts w:hint="eastAsia" w:ascii="宋体" w:hAnsi="宋体" w:cs="宋体"/>
          <w:color w:val="auto"/>
          <w:szCs w:val="21"/>
          <w:highlight w:val="none"/>
        </w:rPr>
      </w:pPr>
    </w:p>
    <w:p w14:paraId="081AAB28">
      <w:pPr>
        <w:spacing w:before="156" w:beforeLines="50" w:after="156" w:afterLines="50" w:line="360" w:lineRule="exact"/>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u w:val="single"/>
        </w:rPr>
        <w:t xml:space="preserve">                 </w:t>
      </w:r>
    </w:p>
    <w:p w14:paraId="12AACCD8">
      <w:pPr>
        <w:spacing w:before="156" w:beforeLines="50" w:after="156" w:afterLines="50"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tbl>
      <w:tblPr>
        <w:tblStyle w:val="16"/>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917"/>
        <w:gridCol w:w="1141"/>
        <w:gridCol w:w="655"/>
        <w:gridCol w:w="819"/>
        <w:gridCol w:w="1818"/>
        <w:gridCol w:w="927"/>
        <w:gridCol w:w="1457"/>
        <w:gridCol w:w="1032"/>
      </w:tblGrid>
      <w:tr w14:paraId="4520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419" w:type="dxa"/>
            <w:tcBorders>
              <w:bottom w:val="single" w:color="auto" w:sz="4" w:space="0"/>
            </w:tcBorders>
            <w:noWrap w:val="0"/>
            <w:vAlign w:val="center"/>
          </w:tcPr>
          <w:p w14:paraId="5FECB7C9">
            <w:pPr>
              <w:pStyle w:val="10"/>
              <w:spacing w:line="360" w:lineRule="exact"/>
              <w:jc w:val="center"/>
              <w:rPr>
                <w:rFonts w:hint="eastAsia" w:hAnsi="宋体" w:cs="宋体"/>
                <w:color w:val="auto"/>
                <w:spacing w:val="-20"/>
                <w:sz w:val="22"/>
                <w:szCs w:val="22"/>
                <w:highlight w:val="none"/>
              </w:rPr>
            </w:pPr>
            <w:r>
              <w:rPr>
                <w:rFonts w:hint="eastAsia" w:hAnsi="宋体" w:cs="宋体"/>
                <w:color w:val="auto"/>
                <w:spacing w:val="-20"/>
                <w:sz w:val="22"/>
                <w:szCs w:val="22"/>
                <w:highlight w:val="none"/>
              </w:rPr>
              <w:t>序号</w:t>
            </w:r>
          </w:p>
        </w:tc>
        <w:tc>
          <w:tcPr>
            <w:tcW w:w="917" w:type="dxa"/>
            <w:tcBorders>
              <w:bottom w:val="single" w:color="auto" w:sz="4" w:space="0"/>
            </w:tcBorders>
            <w:noWrap w:val="0"/>
            <w:vAlign w:val="center"/>
          </w:tcPr>
          <w:p w14:paraId="2232E7D7">
            <w:pPr>
              <w:tabs>
                <w:tab w:val="left" w:pos="180"/>
                <w:tab w:val="left" w:pos="1620"/>
              </w:tabs>
              <w:spacing w:line="360" w:lineRule="exact"/>
              <w:jc w:val="center"/>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lang w:eastAsia="zh-CN"/>
              </w:rPr>
              <w:t>设备</w:t>
            </w:r>
          </w:p>
          <w:p w14:paraId="59DB58DC">
            <w:pPr>
              <w:tabs>
                <w:tab w:val="left" w:pos="180"/>
                <w:tab w:val="left" w:pos="1620"/>
              </w:tabs>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名称</w:t>
            </w:r>
          </w:p>
        </w:tc>
        <w:tc>
          <w:tcPr>
            <w:tcW w:w="1141" w:type="dxa"/>
            <w:tcBorders>
              <w:bottom w:val="single" w:color="auto" w:sz="4" w:space="0"/>
            </w:tcBorders>
            <w:noWrap w:val="0"/>
            <w:vAlign w:val="center"/>
          </w:tcPr>
          <w:p w14:paraId="63810A44">
            <w:pPr>
              <w:tabs>
                <w:tab w:val="left" w:pos="180"/>
                <w:tab w:val="left" w:pos="1620"/>
              </w:tabs>
              <w:spacing w:line="360" w:lineRule="exact"/>
              <w:jc w:val="center"/>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rPr>
              <w:t>品牌、型号规格、生产厂家</w:t>
            </w:r>
            <w:r>
              <w:rPr>
                <w:rFonts w:hint="eastAsia" w:ascii="宋体" w:hAnsi="宋体" w:cs="宋体"/>
                <w:color w:val="auto"/>
                <w:sz w:val="22"/>
                <w:szCs w:val="22"/>
                <w:highlight w:val="none"/>
                <w:lang w:eastAsia="zh-CN"/>
              </w:rPr>
              <w:t>（如有）</w:t>
            </w:r>
          </w:p>
        </w:tc>
        <w:tc>
          <w:tcPr>
            <w:tcW w:w="655" w:type="dxa"/>
            <w:tcBorders>
              <w:bottom w:val="single" w:color="auto" w:sz="4" w:space="0"/>
            </w:tcBorders>
            <w:noWrap w:val="0"/>
            <w:vAlign w:val="center"/>
          </w:tcPr>
          <w:p w14:paraId="1B16103F">
            <w:pPr>
              <w:tabs>
                <w:tab w:val="left" w:pos="180"/>
                <w:tab w:val="left" w:pos="1620"/>
              </w:tabs>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数量①</w:t>
            </w:r>
          </w:p>
        </w:tc>
        <w:tc>
          <w:tcPr>
            <w:tcW w:w="819" w:type="dxa"/>
            <w:tcBorders>
              <w:bottom w:val="single" w:color="auto" w:sz="4" w:space="0"/>
            </w:tcBorders>
            <w:noWrap w:val="0"/>
            <w:vAlign w:val="center"/>
          </w:tcPr>
          <w:p w14:paraId="4B0B964E">
            <w:pPr>
              <w:tabs>
                <w:tab w:val="left" w:pos="180"/>
                <w:tab w:val="left" w:pos="1620"/>
              </w:tabs>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单位</w:t>
            </w:r>
          </w:p>
        </w:tc>
        <w:tc>
          <w:tcPr>
            <w:tcW w:w="1818" w:type="dxa"/>
            <w:tcBorders>
              <w:bottom w:val="single" w:color="auto" w:sz="4" w:space="0"/>
            </w:tcBorders>
            <w:noWrap w:val="0"/>
            <w:vAlign w:val="center"/>
          </w:tcPr>
          <w:p w14:paraId="2858F6CD">
            <w:pPr>
              <w:tabs>
                <w:tab w:val="left" w:pos="180"/>
                <w:tab w:val="left" w:pos="1620"/>
              </w:tabs>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技术参数及性能配置要求</w:t>
            </w:r>
          </w:p>
        </w:tc>
        <w:tc>
          <w:tcPr>
            <w:tcW w:w="927" w:type="dxa"/>
            <w:tcBorders>
              <w:bottom w:val="single" w:color="auto" w:sz="4" w:space="0"/>
            </w:tcBorders>
            <w:noWrap w:val="0"/>
            <w:vAlign w:val="center"/>
          </w:tcPr>
          <w:p w14:paraId="38A964CA">
            <w:pPr>
              <w:tabs>
                <w:tab w:val="left" w:pos="180"/>
                <w:tab w:val="left" w:pos="1620"/>
              </w:tabs>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单价②</w:t>
            </w:r>
          </w:p>
          <w:p w14:paraId="53755359">
            <w:pPr>
              <w:tabs>
                <w:tab w:val="left" w:pos="180"/>
                <w:tab w:val="left" w:pos="1620"/>
              </w:tabs>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（元）</w:t>
            </w:r>
          </w:p>
        </w:tc>
        <w:tc>
          <w:tcPr>
            <w:tcW w:w="1457" w:type="dxa"/>
            <w:tcBorders>
              <w:bottom w:val="single" w:color="auto" w:sz="4" w:space="0"/>
            </w:tcBorders>
            <w:noWrap w:val="0"/>
            <w:vAlign w:val="center"/>
          </w:tcPr>
          <w:p w14:paraId="2769EE15">
            <w:pPr>
              <w:pStyle w:val="10"/>
              <w:spacing w:line="360" w:lineRule="exact"/>
              <w:jc w:val="center"/>
              <w:rPr>
                <w:rFonts w:hint="eastAsia" w:hAnsi="宋体" w:cs="宋体"/>
                <w:color w:val="auto"/>
                <w:sz w:val="22"/>
                <w:szCs w:val="22"/>
                <w:highlight w:val="none"/>
              </w:rPr>
            </w:pPr>
            <w:r>
              <w:rPr>
                <w:rFonts w:hint="eastAsia" w:hAnsi="宋体" w:cs="宋体"/>
                <w:color w:val="auto"/>
                <w:sz w:val="22"/>
                <w:szCs w:val="22"/>
                <w:highlight w:val="none"/>
              </w:rPr>
              <w:t>单项合价</w:t>
            </w:r>
          </w:p>
          <w:p w14:paraId="7612EE40">
            <w:pPr>
              <w:pStyle w:val="10"/>
              <w:spacing w:line="360" w:lineRule="exact"/>
              <w:jc w:val="center"/>
              <w:rPr>
                <w:rFonts w:hint="eastAsia" w:hAnsi="宋体" w:cs="宋体"/>
                <w:color w:val="auto"/>
                <w:sz w:val="22"/>
                <w:szCs w:val="22"/>
                <w:highlight w:val="none"/>
              </w:rPr>
            </w:pPr>
            <w:r>
              <w:rPr>
                <w:rFonts w:hint="eastAsia" w:hAnsi="宋体" w:cs="宋体"/>
                <w:color w:val="auto"/>
                <w:sz w:val="22"/>
                <w:szCs w:val="22"/>
                <w:highlight w:val="none"/>
              </w:rPr>
              <w:t>（元）</w:t>
            </w:r>
          </w:p>
          <w:p w14:paraId="56FF15ED">
            <w:pPr>
              <w:pStyle w:val="10"/>
              <w:spacing w:line="360" w:lineRule="exact"/>
              <w:jc w:val="center"/>
              <w:rPr>
                <w:rFonts w:hint="eastAsia" w:hAnsi="宋体" w:cs="宋体"/>
                <w:color w:val="auto"/>
                <w:sz w:val="22"/>
                <w:szCs w:val="22"/>
                <w:highlight w:val="none"/>
              </w:rPr>
            </w:pPr>
            <w:r>
              <w:rPr>
                <w:rFonts w:hint="eastAsia" w:hAnsi="宋体" w:cs="宋体"/>
                <w:color w:val="auto"/>
                <w:sz w:val="22"/>
                <w:szCs w:val="22"/>
                <w:highlight w:val="none"/>
              </w:rPr>
              <w:t>③=①×②</w:t>
            </w:r>
          </w:p>
        </w:tc>
        <w:tc>
          <w:tcPr>
            <w:tcW w:w="1032" w:type="dxa"/>
            <w:tcBorders>
              <w:bottom w:val="single" w:color="auto" w:sz="4" w:space="0"/>
            </w:tcBorders>
            <w:noWrap w:val="0"/>
            <w:vAlign w:val="center"/>
          </w:tcPr>
          <w:p w14:paraId="3A8821AD">
            <w:pPr>
              <w:pStyle w:val="10"/>
              <w:spacing w:line="360" w:lineRule="exact"/>
              <w:jc w:val="center"/>
              <w:rPr>
                <w:rFonts w:hint="eastAsia" w:hAnsi="宋体" w:cs="宋体"/>
                <w:color w:val="auto"/>
                <w:sz w:val="22"/>
                <w:szCs w:val="22"/>
                <w:highlight w:val="none"/>
              </w:rPr>
            </w:pPr>
            <w:r>
              <w:rPr>
                <w:rFonts w:hint="eastAsia" w:hAnsi="宋体" w:cs="宋体"/>
                <w:color w:val="auto"/>
                <w:sz w:val="22"/>
                <w:szCs w:val="22"/>
                <w:highlight w:val="none"/>
              </w:rPr>
              <w:t>备注</w:t>
            </w:r>
          </w:p>
        </w:tc>
      </w:tr>
      <w:tr w14:paraId="58FC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19" w:type="dxa"/>
            <w:noWrap w:val="0"/>
            <w:vAlign w:val="center"/>
          </w:tcPr>
          <w:p w14:paraId="0DC0F3F5">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917" w:type="dxa"/>
            <w:noWrap w:val="0"/>
            <w:vAlign w:val="center"/>
          </w:tcPr>
          <w:p w14:paraId="208B89C4">
            <w:pPr>
              <w:jc w:val="center"/>
              <w:rPr>
                <w:rFonts w:hint="eastAsia" w:ascii="宋体" w:hAnsi="宋体" w:cs="宋体"/>
                <w:color w:val="auto"/>
                <w:sz w:val="22"/>
                <w:szCs w:val="22"/>
                <w:highlight w:val="none"/>
              </w:rPr>
            </w:pPr>
          </w:p>
        </w:tc>
        <w:tc>
          <w:tcPr>
            <w:tcW w:w="1141" w:type="dxa"/>
            <w:noWrap w:val="0"/>
            <w:vAlign w:val="center"/>
          </w:tcPr>
          <w:p w14:paraId="2E3ECF20">
            <w:pPr>
              <w:jc w:val="center"/>
              <w:rPr>
                <w:rFonts w:hint="eastAsia" w:ascii="宋体" w:hAnsi="宋体" w:cs="宋体"/>
                <w:color w:val="auto"/>
                <w:sz w:val="22"/>
                <w:szCs w:val="22"/>
                <w:highlight w:val="none"/>
              </w:rPr>
            </w:pPr>
          </w:p>
        </w:tc>
        <w:tc>
          <w:tcPr>
            <w:tcW w:w="655" w:type="dxa"/>
            <w:noWrap w:val="0"/>
            <w:vAlign w:val="center"/>
          </w:tcPr>
          <w:p w14:paraId="4F1B63B1">
            <w:pPr>
              <w:pStyle w:val="10"/>
              <w:rPr>
                <w:rFonts w:hint="eastAsia" w:hAnsi="宋体" w:cs="宋体"/>
                <w:color w:val="auto"/>
                <w:sz w:val="22"/>
                <w:szCs w:val="22"/>
                <w:highlight w:val="none"/>
              </w:rPr>
            </w:pPr>
          </w:p>
        </w:tc>
        <w:tc>
          <w:tcPr>
            <w:tcW w:w="819" w:type="dxa"/>
            <w:noWrap w:val="0"/>
            <w:vAlign w:val="center"/>
          </w:tcPr>
          <w:p w14:paraId="0939E3BF">
            <w:pPr>
              <w:pStyle w:val="10"/>
              <w:rPr>
                <w:rFonts w:hint="eastAsia" w:hAnsi="宋体" w:cs="宋体"/>
                <w:color w:val="auto"/>
                <w:sz w:val="22"/>
                <w:szCs w:val="22"/>
                <w:highlight w:val="none"/>
              </w:rPr>
            </w:pPr>
          </w:p>
        </w:tc>
        <w:tc>
          <w:tcPr>
            <w:tcW w:w="1818" w:type="dxa"/>
            <w:noWrap w:val="0"/>
            <w:vAlign w:val="center"/>
          </w:tcPr>
          <w:p w14:paraId="3524DDA6">
            <w:pPr>
              <w:pStyle w:val="10"/>
              <w:rPr>
                <w:rFonts w:hint="eastAsia" w:hAnsi="宋体" w:cs="宋体"/>
                <w:color w:val="auto"/>
                <w:sz w:val="22"/>
                <w:szCs w:val="22"/>
                <w:highlight w:val="none"/>
              </w:rPr>
            </w:pPr>
          </w:p>
        </w:tc>
        <w:tc>
          <w:tcPr>
            <w:tcW w:w="927" w:type="dxa"/>
            <w:noWrap w:val="0"/>
            <w:vAlign w:val="center"/>
          </w:tcPr>
          <w:p w14:paraId="32E43083">
            <w:pPr>
              <w:pStyle w:val="10"/>
              <w:rPr>
                <w:rFonts w:hint="eastAsia" w:hAnsi="宋体" w:cs="宋体"/>
                <w:color w:val="auto"/>
                <w:sz w:val="22"/>
                <w:szCs w:val="22"/>
                <w:highlight w:val="none"/>
              </w:rPr>
            </w:pPr>
          </w:p>
        </w:tc>
        <w:tc>
          <w:tcPr>
            <w:tcW w:w="1457" w:type="dxa"/>
            <w:noWrap w:val="0"/>
            <w:vAlign w:val="center"/>
          </w:tcPr>
          <w:p w14:paraId="5A65BB52">
            <w:pPr>
              <w:pStyle w:val="10"/>
              <w:rPr>
                <w:rFonts w:hint="eastAsia" w:hAnsi="宋体" w:cs="宋体"/>
                <w:color w:val="auto"/>
                <w:sz w:val="22"/>
                <w:szCs w:val="22"/>
                <w:highlight w:val="none"/>
              </w:rPr>
            </w:pPr>
          </w:p>
        </w:tc>
        <w:tc>
          <w:tcPr>
            <w:tcW w:w="1032" w:type="dxa"/>
            <w:noWrap w:val="0"/>
            <w:vAlign w:val="center"/>
          </w:tcPr>
          <w:p w14:paraId="55696A01">
            <w:pPr>
              <w:pStyle w:val="10"/>
              <w:rPr>
                <w:rFonts w:hint="eastAsia" w:hAnsi="宋体" w:cs="宋体"/>
                <w:color w:val="auto"/>
                <w:spacing w:val="-6"/>
                <w:sz w:val="22"/>
                <w:szCs w:val="22"/>
                <w:highlight w:val="none"/>
              </w:rPr>
            </w:pPr>
          </w:p>
        </w:tc>
      </w:tr>
      <w:tr w14:paraId="76FA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19" w:type="dxa"/>
            <w:noWrap w:val="0"/>
            <w:vAlign w:val="center"/>
          </w:tcPr>
          <w:p w14:paraId="0AE13F2A">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w:t>
            </w:r>
          </w:p>
        </w:tc>
        <w:tc>
          <w:tcPr>
            <w:tcW w:w="917" w:type="dxa"/>
            <w:noWrap w:val="0"/>
            <w:vAlign w:val="center"/>
          </w:tcPr>
          <w:p w14:paraId="6B42866A">
            <w:pPr>
              <w:jc w:val="center"/>
              <w:rPr>
                <w:rFonts w:hint="eastAsia" w:ascii="宋体" w:hAnsi="宋体" w:cs="宋体"/>
                <w:color w:val="auto"/>
                <w:sz w:val="22"/>
                <w:szCs w:val="22"/>
                <w:highlight w:val="none"/>
              </w:rPr>
            </w:pPr>
          </w:p>
        </w:tc>
        <w:tc>
          <w:tcPr>
            <w:tcW w:w="1141" w:type="dxa"/>
            <w:noWrap w:val="0"/>
            <w:vAlign w:val="center"/>
          </w:tcPr>
          <w:p w14:paraId="4088E01B">
            <w:pPr>
              <w:jc w:val="center"/>
              <w:rPr>
                <w:rFonts w:hint="eastAsia" w:ascii="宋体" w:hAnsi="宋体" w:cs="宋体"/>
                <w:color w:val="auto"/>
                <w:sz w:val="22"/>
                <w:szCs w:val="22"/>
                <w:highlight w:val="none"/>
              </w:rPr>
            </w:pPr>
          </w:p>
        </w:tc>
        <w:tc>
          <w:tcPr>
            <w:tcW w:w="655" w:type="dxa"/>
            <w:noWrap w:val="0"/>
            <w:vAlign w:val="center"/>
          </w:tcPr>
          <w:p w14:paraId="5AA12027">
            <w:pPr>
              <w:pStyle w:val="10"/>
              <w:rPr>
                <w:rFonts w:hint="eastAsia" w:hAnsi="宋体" w:cs="宋体"/>
                <w:color w:val="auto"/>
                <w:sz w:val="22"/>
                <w:szCs w:val="22"/>
                <w:highlight w:val="none"/>
              </w:rPr>
            </w:pPr>
          </w:p>
        </w:tc>
        <w:tc>
          <w:tcPr>
            <w:tcW w:w="819" w:type="dxa"/>
            <w:noWrap w:val="0"/>
            <w:vAlign w:val="center"/>
          </w:tcPr>
          <w:p w14:paraId="5CDB2EC8">
            <w:pPr>
              <w:pStyle w:val="10"/>
              <w:rPr>
                <w:rFonts w:hint="eastAsia" w:hAnsi="宋体" w:cs="宋体"/>
                <w:color w:val="auto"/>
                <w:sz w:val="22"/>
                <w:szCs w:val="22"/>
                <w:highlight w:val="none"/>
              </w:rPr>
            </w:pPr>
          </w:p>
        </w:tc>
        <w:tc>
          <w:tcPr>
            <w:tcW w:w="1818" w:type="dxa"/>
            <w:noWrap w:val="0"/>
            <w:vAlign w:val="center"/>
          </w:tcPr>
          <w:p w14:paraId="416D4CFF">
            <w:pPr>
              <w:pStyle w:val="10"/>
              <w:rPr>
                <w:rFonts w:hint="eastAsia" w:hAnsi="宋体" w:cs="宋体"/>
                <w:color w:val="auto"/>
                <w:sz w:val="22"/>
                <w:szCs w:val="22"/>
                <w:highlight w:val="none"/>
              </w:rPr>
            </w:pPr>
          </w:p>
        </w:tc>
        <w:tc>
          <w:tcPr>
            <w:tcW w:w="927" w:type="dxa"/>
            <w:noWrap w:val="0"/>
            <w:vAlign w:val="center"/>
          </w:tcPr>
          <w:p w14:paraId="47FF638E">
            <w:pPr>
              <w:pStyle w:val="10"/>
              <w:rPr>
                <w:rFonts w:hint="eastAsia" w:hAnsi="宋体" w:cs="宋体"/>
                <w:color w:val="auto"/>
                <w:sz w:val="22"/>
                <w:szCs w:val="22"/>
                <w:highlight w:val="none"/>
              </w:rPr>
            </w:pPr>
          </w:p>
        </w:tc>
        <w:tc>
          <w:tcPr>
            <w:tcW w:w="1457" w:type="dxa"/>
            <w:noWrap w:val="0"/>
            <w:vAlign w:val="center"/>
          </w:tcPr>
          <w:p w14:paraId="4FDF08CF">
            <w:pPr>
              <w:pStyle w:val="10"/>
              <w:rPr>
                <w:rFonts w:hint="eastAsia" w:hAnsi="宋体" w:cs="宋体"/>
                <w:color w:val="auto"/>
                <w:sz w:val="22"/>
                <w:szCs w:val="22"/>
                <w:highlight w:val="none"/>
              </w:rPr>
            </w:pPr>
          </w:p>
        </w:tc>
        <w:tc>
          <w:tcPr>
            <w:tcW w:w="1032" w:type="dxa"/>
            <w:noWrap w:val="0"/>
            <w:vAlign w:val="center"/>
          </w:tcPr>
          <w:p w14:paraId="6D8DFA9E">
            <w:pPr>
              <w:pStyle w:val="10"/>
              <w:rPr>
                <w:rFonts w:hint="eastAsia" w:hAnsi="宋体" w:cs="宋体"/>
                <w:color w:val="auto"/>
                <w:spacing w:val="-6"/>
                <w:sz w:val="22"/>
                <w:szCs w:val="22"/>
                <w:highlight w:val="none"/>
              </w:rPr>
            </w:pPr>
          </w:p>
        </w:tc>
      </w:tr>
      <w:tr w14:paraId="700A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19" w:type="dxa"/>
            <w:noWrap w:val="0"/>
            <w:vAlign w:val="center"/>
          </w:tcPr>
          <w:p w14:paraId="690C2F2B">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N</w:t>
            </w:r>
          </w:p>
        </w:tc>
        <w:tc>
          <w:tcPr>
            <w:tcW w:w="917" w:type="dxa"/>
            <w:noWrap w:val="0"/>
            <w:vAlign w:val="center"/>
          </w:tcPr>
          <w:p w14:paraId="41E0EAE3">
            <w:pPr>
              <w:jc w:val="center"/>
              <w:rPr>
                <w:rFonts w:hint="eastAsia" w:ascii="宋体" w:hAnsi="宋体" w:cs="宋体"/>
                <w:color w:val="auto"/>
                <w:sz w:val="22"/>
                <w:szCs w:val="22"/>
                <w:highlight w:val="none"/>
              </w:rPr>
            </w:pPr>
          </w:p>
        </w:tc>
        <w:tc>
          <w:tcPr>
            <w:tcW w:w="1141" w:type="dxa"/>
            <w:noWrap w:val="0"/>
            <w:vAlign w:val="center"/>
          </w:tcPr>
          <w:p w14:paraId="585E2EB3">
            <w:pPr>
              <w:jc w:val="center"/>
              <w:rPr>
                <w:rFonts w:hint="eastAsia" w:ascii="宋体" w:hAnsi="宋体" w:cs="宋体"/>
                <w:color w:val="auto"/>
                <w:sz w:val="22"/>
                <w:szCs w:val="22"/>
                <w:highlight w:val="none"/>
              </w:rPr>
            </w:pPr>
          </w:p>
        </w:tc>
        <w:tc>
          <w:tcPr>
            <w:tcW w:w="655" w:type="dxa"/>
            <w:noWrap w:val="0"/>
            <w:vAlign w:val="center"/>
          </w:tcPr>
          <w:p w14:paraId="47C9F535">
            <w:pPr>
              <w:pStyle w:val="10"/>
              <w:rPr>
                <w:rFonts w:hint="eastAsia" w:hAnsi="宋体" w:cs="宋体"/>
                <w:color w:val="auto"/>
                <w:sz w:val="22"/>
                <w:szCs w:val="22"/>
                <w:highlight w:val="none"/>
              </w:rPr>
            </w:pPr>
          </w:p>
        </w:tc>
        <w:tc>
          <w:tcPr>
            <w:tcW w:w="819" w:type="dxa"/>
            <w:noWrap w:val="0"/>
            <w:vAlign w:val="center"/>
          </w:tcPr>
          <w:p w14:paraId="1D7E0531">
            <w:pPr>
              <w:pStyle w:val="10"/>
              <w:rPr>
                <w:rFonts w:hint="eastAsia" w:hAnsi="宋体" w:cs="宋体"/>
                <w:color w:val="auto"/>
                <w:sz w:val="22"/>
                <w:szCs w:val="22"/>
                <w:highlight w:val="none"/>
              </w:rPr>
            </w:pPr>
          </w:p>
        </w:tc>
        <w:tc>
          <w:tcPr>
            <w:tcW w:w="1818" w:type="dxa"/>
            <w:noWrap w:val="0"/>
            <w:vAlign w:val="center"/>
          </w:tcPr>
          <w:p w14:paraId="239F5274">
            <w:pPr>
              <w:pStyle w:val="10"/>
              <w:rPr>
                <w:rFonts w:hint="eastAsia" w:hAnsi="宋体" w:cs="宋体"/>
                <w:color w:val="auto"/>
                <w:sz w:val="22"/>
                <w:szCs w:val="22"/>
                <w:highlight w:val="none"/>
              </w:rPr>
            </w:pPr>
          </w:p>
        </w:tc>
        <w:tc>
          <w:tcPr>
            <w:tcW w:w="927" w:type="dxa"/>
            <w:noWrap w:val="0"/>
            <w:vAlign w:val="center"/>
          </w:tcPr>
          <w:p w14:paraId="7FC77A26">
            <w:pPr>
              <w:pStyle w:val="10"/>
              <w:rPr>
                <w:rFonts w:hint="eastAsia" w:hAnsi="宋体" w:cs="宋体"/>
                <w:color w:val="auto"/>
                <w:sz w:val="22"/>
                <w:szCs w:val="22"/>
                <w:highlight w:val="none"/>
              </w:rPr>
            </w:pPr>
          </w:p>
        </w:tc>
        <w:tc>
          <w:tcPr>
            <w:tcW w:w="1457" w:type="dxa"/>
            <w:noWrap w:val="0"/>
            <w:vAlign w:val="center"/>
          </w:tcPr>
          <w:p w14:paraId="57FF80FB">
            <w:pPr>
              <w:pStyle w:val="10"/>
              <w:rPr>
                <w:rFonts w:hint="eastAsia" w:hAnsi="宋体" w:cs="宋体"/>
                <w:color w:val="auto"/>
                <w:sz w:val="22"/>
                <w:szCs w:val="22"/>
                <w:highlight w:val="none"/>
              </w:rPr>
            </w:pPr>
          </w:p>
        </w:tc>
        <w:tc>
          <w:tcPr>
            <w:tcW w:w="1032" w:type="dxa"/>
            <w:noWrap w:val="0"/>
            <w:vAlign w:val="center"/>
          </w:tcPr>
          <w:p w14:paraId="0A570396">
            <w:pPr>
              <w:pStyle w:val="10"/>
              <w:rPr>
                <w:rFonts w:hint="eastAsia" w:hAnsi="宋体" w:cs="宋体"/>
                <w:color w:val="auto"/>
                <w:spacing w:val="-6"/>
                <w:sz w:val="22"/>
                <w:szCs w:val="22"/>
                <w:highlight w:val="none"/>
              </w:rPr>
            </w:pPr>
          </w:p>
        </w:tc>
      </w:tr>
      <w:tr w14:paraId="713F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185" w:type="dxa"/>
            <w:gridSpan w:val="9"/>
            <w:noWrap w:val="0"/>
            <w:vAlign w:val="center"/>
          </w:tcPr>
          <w:p w14:paraId="6FB227FF">
            <w:pPr>
              <w:pStyle w:val="10"/>
              <w:rPr>
                <w:rFonts w:hint="eastAsia" w:hAnsi="宋体" w:cs="宋体"/>
                <w:color w:val="auto"/>
                <w:spacing w:val="-6"/>
                <w:sz w:val="22"/>
                <w:szCs w:val="22"/>
                <w:highlight w:val="none"/>
              </w:rPr>
            </w:pPr>
            <w:r>
              <w:rPr>
                <w:rFonts w:hint="eastAsia" w:hAnsi="宋体" w:cs="宋体"/>
                <w:color w:val="auto"/>
                <w:spacing w:val="-6"/>
                <w:sz w:val="22"/>
                <w:szCs w:val="22"/>
                <w:highlight w:val="none"/>
              </w:rPr>
              <w:t>总报价（人民币大写）：                                           （</w:t>
            </w:r>
            <w:r>
              <w:rPr>
                <w:rFonts w:hint="eastAsia" w:hAnsi="宋体" w:cs="宋体"/>
                <w:color w:val="auto"/>
                <w:spacing w:val="-6"/>
                <w:sz w:val="22"/>
                <w:szCs w:val="22"/>
                <w:highlight w:val="none"/>
                <w:lang w:val="en-US" w:eastAsia="zh-CN"/>
              </w:rPr>
              <w:t>¥</w:t>
            </w:r>
            <w:r>
              <w:rPr>
                <w:rFonts w:hint="eastAsia" w:hAnsi="宋体" w:cs="宋体"/>
                <w:color w:val="auto"/>
                <w:spacing w:val="-6"/>
                <w:sz w:val="22"/>
                <w:szCs w:val="22"/>
                <w:highlight w:val="none"/>
              </w:rPr>
              <w:t xml:space="preserve">             元）</w:t>
            </w:r>
          </w:p>
        </w:tc>
      </w:tr>
      <w:tr w14:paraId="2DDE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185" w:type="dxa"/>
            <w:gridSpan w:val="9"/>
            <w:noWrap w:val="0"/>
            <w:vAlign w:val="center"/>
          </w:tcPr>
          <w:p w14:paraId="2EB2B416">
            <w:pPr>
              <w:pStyle w:val="10"/>
              <w:rPr>
                <w:rFonts w:hint="eastAsia" w:hAnsi="宋体" w:cs="宋体"/>
                <w:color w:val="auto"/>
                <w:spacing w:val="-6"/>
                <w:sz w:val="22"/>
                <w:szCs w:val="22"/>
                <w:highlight w:val="none"/>
              </w:rPr>
            </w:pPr>
            <w:r>
              <w:rPr>
                <w:rFonts w:hint="eastAsia" w:hAnsi="宋体" w:cs="宋体"/>
                <w:color w:val="auto"/>
                <w:spacing w:val="-6"/>
                <w:sz w:val="22"/>
                <w:szCs w:val="22"/>
                <w:highlight w:val="none"/>
              </w:rPr>
              <w:t>交货</w:t>
            </w:r>
            <w:r>
              <w:rPr>
                <w:rFonts w:hint="eastAsia" w:hAnsi="宋体" w:cs="宋体"/>
                <w:color w:val="auto"/>
                <w:spacing w:val="-6"/>
                <w:sz w:val="22"/>
                <w:szCs w:val="22"/>
                <w:highlight w:val="none"/>
                <w:lang w:eastAsia="zh-CN"/>
              </w:rPr>
              <w:t>期</w:t>
            </w:r>
            <w:r>
              <w:rPr>
                <w:rFonts w:hint="eastAsia" w:hAnsi="宋体" w:cs="宋体"/>
                <w:color w:val="auto"/>
                <w:spacing w:val="-6"/>
                <w:sz w:val="22"/>
                <w:szCs w:val="22"/>
                <w:highlight w:val="none"/>
              </w:rPr>
              <w:t>：</w:t>
            </w:r>
          </w:p>
        </w:tc>
      </w:tr>
      <w:tr w14:paraId="2D1F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185" w:type="dxa"/>
            <w:gridSpan w:val="9"/>
            <w:noWrap w:val="0"/>
            <w:vAlign w:val="center"/>
          </w:tcPr>
          <w:p w14:paraId="70D95D27">
            <w:pPr>
              <w:pStyle w:val="10"/>
              <w:rPr>
                <w:rFonts w:hint="eastAsia" w:hAnsi="宋体" w:cs="宋体"/>
                <w:color w:val="auto"/>
                <w:spacing w:val="-6"/>
                <w:sz w:val="22"/>
                <w:szCs w:val="22"/>
                <w:highlight w:val="none"/>
              </w:rPr>
            </w:pPr>
            <w:r>
              <w:rPr>
                <w:rFonts w:hint="eastAsia" w:hAnsi="宋体" w:cs="宋体"/>
                <w:color w:val="auto"/>
                <w:spacing w:val="-6"/>
                <w:sz w:val="22"/>
                <w:szCs w:val="22"/>
                <w:highlight w:val="none"/>
              </w:rPr>
              <w:t>交货地点：</w:t>
            </w:r>
          </w:p>
        </w:tc>
      </w:tr>
    </w:tbl>
    <w:p w14:paraId="71A6B420">
      <w:pPr>
        <w:numPr>
          <w:ilvl w:val="0"/>
          <w:numId w:val="0"/>
        </w:numPr>
        <w:spacing w:line="50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注：</w:t>
      </w:r>
    </w:p>
    <w:p w14:paraId="3D5F0488">
      <w:pPr>
        <w:spacing w:line="5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1、所有价格均用人民币表示，单位为元，精确到</w:t>
      </w:r>
      <w:r>
        <w:rPr>
          <w:rFonts w:hint="eastAsia" w:ascii="宋体" w:hAnsi="宋体" w:cs="宋体"/>
          <w:color w:val="auto"/>
          <w:sz w:val="22"/>
          <w:szCs w:val="22"/>
          <w:highlight w:val="none"/>
          <w:lang w:eastAsia="zh-CN"/>
        </w:rPr>
        <w:t>小</w:t>
      </w:r>
      <w:r>
        <w:rPr>
          <w:rFonts w:hint="eastAsia" w:ascii="宋体" w:hAnsi="宋体" w:cs="宋体"/>
          <w:color w:val="auto"/>
          <w:sz w:val="22"/>
          <w:szCs w:val="22"/>
          <w:highlight w:val="none"/>
        </w:rPr>
        <w:t>数</w:t>
      </w:r>
      <w:r>
        <w:rPr>
          <w:rFonts w:hint="eastAsia" w:ascii="宋体" w:hAnsi="宋体" w:cs="宋体"/>
          <w:color w:val="auto"/>
          <w:sz w:val="22"/>
          <w:szCs w:val="22"/>
          <w:highlight w:val="none"/>
          <w:lang w:eastAsia="zh-CN"/>
        </w:rPr>
        <w:t>点后两位</w:t>
      </w:r>
      <w:r>
        <w:rPr>
          <w:rFonts w:hint="eastAsia" w:ascii="宋体" w:hAnsi="宋体" w:cs="宋体"/>
          <w:color w:val="auto"/>
          <w:sz w:val="22"/>
          <w:szCs w:val="22"/>
          <w:highlight w:val="none"/>
        </w:rPr>
        <w:t>。</w:t>
      </w:r>
    </w:p>
    <w:p w14:paraId="727CE5D1">
      <w:pPr>
        <w:spacing w:line="500" w:lineRule="exact"/>
        <w:ind w:firstLine="431" w:firstLineChars="196"/>
        <w:rPr>
          <w:rFonts w:hint="eastAsia" w:ascii="宋体" w:hAnsi="宋体" w:cs="宋体"/>
          <w:color w:val="auto"/>
          <w:sz w:val="22"/>
          <w:szCs w:val="22"/>
          <w:highlight w:val="none"/>
        </w:rPr>
      </w:pPr>
      <w:r>
        <w:rPr>
          <w:rFonts w:hint="eastAsia" w:ascii="宋体" w:hAnsi="宋体" w:cs="宋体"/>
          <w:bCs/>
          <w:color w:val="auto"/>
          <w:sz w:val="22"/>
          <w:szCs w:val="22"/>
          <w:highlight w:val="none"/>
        </w:rPr>
        <w:t>2、报价指货物、服务、随配附件、备品备件、工具、货物运抵指定交货地点、安装、调试的各种费用和售后服务、税金及其它所有成本、费用的总和</w:t>
      </w:r>
      <w:r>
        <w:rPr>
          <w:rFonts w:hint="eastAsia" w:ascii="宋体" w:hAnsi="宋体" w:cs="宋体"/>
          <w:color w:val="auto"/>
          <w:sz w:val="22"/>
          <w:szCs w:val="22"/>
          <w:highlight w:val="none"/>
        </w:rPr>
        <w:t>。</w:t>
      </w:r>
    </w:p>
    <w:p w14:paraId="729DD955">
      <w:pPr>
        <w:pStyle w:val="10"/>
        <w:spacing w:line="500" w:lineRule="exact"/>
        <w:ind w:firstLine="440" w:firstLineChars="200"/>
        <w:rPr>
          <w:rFonts w:hint="eastAsia" w:hAnsi="宋体" w:cs="宋体"/>
          <w:color w:val="auto"/>
          <w:sz w:val="22"/>
          <w:szCs w:val="22"/>
          <w:highlight w:val="none"/>
          <w:u w:val="single"/>
        </w:rPr>
      </w:pPr>
      <w:r>
        <w:rPr>
          <w:rFonts w:hint="eastAsia" w:hAnsi="宋体" w:cs="宋体"/>
          <w:color w:val="auto"/>
          <w:sz w:val="22"/>
          <w:szCs w:val="22"/>
          <w:highlight w:val="none"/>
        </w:rPr>
        <w:t>法定代表人或委托代理人（签字）:</w:t>
      </w:r>
      <w:r>
        <w:rPr>
          <w:rFonts w:hint="eastAsia" w:hAnsi="宋体" w:cs="宋体"/>
          <w:color w:val="auto"/>
          <w:sz w:val="22"/>
          <w:szCs w:val="22"/>
          <w:highlight w:val="none"/>
          <w:u w:val="single"/>
        </w:rPr>
        <w:t xml:space="preserve">              </w:t>
      </w:r>
    </w:p>
    <w:p w14:paraId="022B90B6">
      <w:pPr>
        <w:pStyle w:val="10"/>
        <w:spacing w:line="500" w:lineRule="exact"/>
        <w:ind w:firstLine="440" w:firstLineChars="200"/>
        <w:rPr>
          <w:rFonts w:hint="eastAsia" w:hAnsi="宋体" w:cs="宋体"/>
          <w:color w:val="auto"/>
          <w:sz w:val="22"/>
          <w:szCs w:val="22"/>
          <w:highlight w:val="none"/>
          <w:u w:val="single"/>
        </w:rPr>
      </w:pPr>
      <w:r>
        <w:rPr>
          <w:rFonts w:hint="eastAsia" w:hAnsi="宋体" w:cs="宋体"/>
          <w:color w:val="auto"/>
          <w:sz w:val="22"/>
          <w:szCs w:val="22"/>
          <w:highlight w:val="none"/>
        </w:rPr>
        <w:t>谈判供应商名称（盖章）：</w:t>
      </w:r>
      <w:r>
        <w:rPr>
          <w:rFonts w:hint="eastAsia" w:hAnsi="宋体" w:cs="宋体"/>
          <w:color w:val="auto"/>
          <w:sz w:val="22"/>
          <w:szCs w:val="22"/>
          <w:highlight w:val="none"/>
          <w:u w:val="single"/>
        </w:rPr>
        <w:t xml:space="preserve">       </w:t>
      </w:r>
    </w:p>
    <w:p w14:paraId="6A35559D">
      <w:pPr>
        <w:spacing w:line="5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报价时间：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日</w:t>
      </w:r>
    </w:p>
    <w:p w14:paraId="188BCDA2">
      <w:pPr>
        <w:spacing w:line="520" w:lineRule="exact"/>
        <w:rPr>
          <w:rFonts w:hint="eastAsia" w:ascii="宋体" w:hAnsi="宋体" w:cs="宋体"/>
          <w:b/>
          <w:color w:val="auto"/>
          <w:szCs w:val="21"/>
          <w:highlight w:val="none"/>
        </w:rPr>
      </w:pPr>
    </w:p>
    <w:p w14:paraId="28D58A7F">
      <w:pPr>
        <w:spacing w:line="500" w:lineRule="exact"/>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7C63B004">
      <w:pPr>
        <w:spacing w:line="600" w:lineRule="exact"/>
        <w:rPr>
          <w:rFonts w:hint="eastAsia" w:ascii="方正宋黑简体" w:hAnsi="宋体" w:eastAsia="方正宋黑简体"/>
          <w:b/>
          <w:color w:val="auto"/>
          <w:szCs w:val="21"/>
          <w:highlight w:val="none"/>
          <w:lang w:eastAsia="zh-CN"/>
        </w:rPr>
      </w:pPr>
      <w:r>
        <w:rPr>
          <w:rFonts w:hint="eastAsia" w:ascii="方正宋黑简体" w:hAnsi="宋体" w:eastAsia="方正宋黑简体"/>
          <w:b/>
          <w:color w:val="auto"/>
          <w:szCs w:val="21"/>
          <w:highlight w:val="none"/>
        </w:rPr>
        <w:t>附件</w:t>
      </w:r>
      <w:r>
        <w:rPr>
          <w:rFonts w:hint="eastAsia" w:ascii="方正宋黑简体" w:hAnsi="宋体" w:eastAsia="方正宋黑简体"/>
          <w:b/>
          <w:color w:val="auto"/>
          <w:szCs w:val="21"/>
          <w:highlight w:val="none"/>
          <w:lang w:val="en-US" w:eastAsia="zh-CN"/>
        </w:rPr>
        <w:t>2</w:t>
      </w:r>
    </w:p>
    <w:p w14:paraId="4D9CDED4">
      <w:pPr>
        <w:spacing w:line="600" w:lineRule="exact"/>
        <w:ind w:left="420" w:hanging="420"/>
        <w:jc w:val="center"/>
        <w:rPr>
          <w:rFonts w:hint="eastAsia" w:ascii="方正小标宋简体" w:hAnsi="宋体" w:eastAsia="方正小标宋简体"/>
          <w:color w:val="auto"/>
          <w:kern w:val="0"/>
          <w:sz w:val="36"/>
          <w:szCs w:val="36"/>
          <w:highlight w:val="none"/>
        </w:rPr>
      </w:pPr>
      <w:r>
        <w:rPr>
          <w:rFonts w:hint="eastAsia" w:ascii="方正小标宋简体" w:hAnsi="宋体" w:eastAsia="方正小标宋简体"/>
          <w:color w:val="auto"/>
          <w:kern w:val="0"/>
          <w:sz w:val="36"/>
          <w:szCs w:val="36"/>
          <w:highlight w:val="none"/>
        </w:rPr>
        <w:t>中小企业声明函</w:t>
      </w:r>
    </w:p>
    <w:p w14:paraId="01303495">
      <w:pPr>
        <w:pStyle w:val="15"/>
        <w:widowControl w:val="0"/>
        <w:adjustRightInd w:val="0"/>
        <w:snapToGrid w:val="0"/>
        <w:spacing w:before="0" w:beforeAutospacing="0" w:after="0" w:afterAutospacing="0"/>
        <w:jc w:val="center"/>
        <w:rPr>
          <w:rFonts w:hint="eastAsia"/>
          <w:color w:val="auto"/>
          <w:kern w:val="2"/>
          <w:sz w:val="21"/>
          <w:szCs w:val="21"/>
          <w:highlight w:val="none"/>
        </w:rPr>
      </w:pPr>
    </w:p>
    <w:p w14:paraId="0EC839C4">
      <w:pPr>
        <w:pStyle w:val="15"/>
        <w:widowControl w:val="0"/>
        <w:adjustRightInd w:val="0"/>
        <w:snapToGrid w:val="0"/>
        <w:spacing w:before="0" w:beforeAutospacing="0" w:after="0" w:afterAutospacing="0" w:line="360" w:lineRule="exact"/>
        <w:rPr>
          <w:rFonts w:hint="eastAsia"/>
          <w:color w:val="auto"/>
          <w:kern w:val="2"/>
          <w:sz w:val="21"/>
          <w:szCs w:val="21"/>
          <w:highlight w:val="none"/>
        </w:rPr>
      </w:pPr>
    </w:p>
    <w:p w14:paraId="54C69004">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color w:val="auto"/>
          <w:kern w:val="2"/>
          <w:sz w:val="22"/>
          <w:szCs w:val="22"/>
          <w:highlight w:val="none"/>
        </w:rPr>
      </w:pPr>
      <w:r>
        <w:rPr>
          <w:rFonts w:hint="eastAsia"/>
          <w:color w:val="auto"/>
          <w:kern w:val="2"/>
          <w:sz w:val="21"/>
          <w:szCs w:val="21"/>
          <w:highlight w:val="none"/>
        </w:rPr>
        <w:t>　　</w:t>
      </w:r>
      <w:r>
        <w:rPr>
          <w:rFonts w:hint="eastAsia" w:ascii="宋体" w:hAnsi="宋体" w:eastAsia="宋体" w:cs="宋体"/>
          <w:color w:val="auto"/>
          <w:kern w:val="2"/>
          <w:sz w:val="22"/>
          <w:szCs w:val="22"/>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09D167A3">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w:t>
      </w:r>
      <w:r>
        <w:rPr>
          <w:rFonts w:hint="eastAsia" w:ascii="宋体" w:hAnsi="宋体" w:eastAsia="宋体" w:cs="宋体"/>
          <w:color w:val="auto"/>
          <w:kern w:val="2"/>
          <w:sz w:val="22"/>
          <w:szCs w:val="22"/>
          <w:highlight w:val="none"/>
          <w:u w:val="single"/>
        </w:rPr>
        <w:t>（标的名称）</w:t>
      </w:r>
      <w:r>
        <w:rPr>
          <w:rFonts w:hint="eastAsia" w:ascii="宋体" w:hAnsi="宋体" w:eastAsia="宋体" w:cs="宋体"/>
          <w:color w:val="auto"/>
          <w:kern w:val="2"/>
          <w:sz w:val="22"/>
          <w:szCs w:val="22"/>
          <w:highlight w:val="none"/>
        </w:rPr>
        <w:t>，属于</w:t>
      </w:r>
      <w:r>
        <w:rPr>
          <w:rFonts w:hint="eastAsia" w:ascii="宋体" w:hAnsi="宋体" w:eastAsia="宋体" w:cs="宋体"/>
          <w:color w:val="auto"/>
          <w:kern w:val="2"/>
          <w:sz w:val="22"/>
          <w:szCs w:val="22"/>
          <w:highlight w:val="none"/>
          <w:u w:val="single"/>
        </w:rPr>
        <w:t>（采购文件中明确的所属行业）</w:t>
      </w:r>
      <w:r>
        <w:rPr>
          <w:rFonts w:hint="eastAsia" w:ascii="宋体" w:hAnsi="宋体" w:eastAsia="宋体" w:cs="宋体"/>
          <w:color w:val="auto"/>
          <w:kern w:val="2"/>
          <w:sz w:val="22"/>
          <w:szCs w:val="22"/>
          <w:highlight w:val="none"/>
        </w:rPr>
        <w:t>行业；制造商为</w:t>
      </w:r>
      <w:r>
        <w:rPr>
          <w:rFonts w:hint="eastAsia" w:ascii="宋体" w:hAnsi="宋体" w:eastAsia="宋体" w:cs="宋体"/>
          <w:color w:val="auto"/>
          <w:kern w:val="2"/>
          <w:sz w:val="22"/>
          <w:szCs w:val="22"/>
          <w:highlight w:val="none"/>
          <w:u w:val="single"/>
        </w:rPr>
        <w:t>（企业名称）</w:t>
      </w:r>
      <w:r>
        <w:rPr>
          <w:rFonts w:hint="eastAsia" w:ascii="宋体" w:hAnsi="宋体" w:eastAsia="宋体" w:cs="宋体"/>
          <w:color w:val="auto"/>
          <w:kern w:val="2"/>
          <w:sz w:val="22"/>
          <w:szCs w:val="22"/>
          <w:highlight w:val="none"/>
        </w:rPr>
        <w:t>，从业人员________人，营业收入为_________万元，资产总额为________万元，属于</w:t>
      </w:r>
      <w:r>
        <w:rPr>
          <w:rFonts w:hint="eastAsia" w:ascii="宋体" w:hAnsi="宋体" w:eastAsia="宋体" w:cs="宋体"/>
          <w:color w:val="auto"/>
          <w:kern w:val="2"/>
          <w:sz w:val="22"/>
          <w:szCs w:val="22"/>
          <w:highlight w:val="none"/>
          <w:u w:val="single"/>
        </w:rPr>
        <w:t>(中型企业、小型企业、微型企业)</w:t>
      </w:r>
      <w:r>
        <w:rPr>
          <w:rFonts w:hint="eastAsia" w:ascii="宋体" w:hAnsi="宋体" w:eastAsia="宋体" w:cs="宋体"/>
          <w:color w:val="auto"/>
          <w:kern w:val="2"/>
          <w:sz w:val="22"/>
          <w:szCs w:val="22"/>
          <w:highlight w:val="none"/>
        </w:rPr>
        <w:t>；</w:t>
      </w:r>
    </w:p>
    <w:p w14:paraId="3ED4D2AF">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w:t>
      </w:r>
      <w:r>
        <w:rPr>
          <w:rFonts w:hint="eastAsia" w:ascii="宋体" w:hAnsi="宋体" w:eastAsia="宋体" w:cs="宋体"/>
          <w:color w:val="auto"/>
          <w:kern w:val="2"/>
          <w:sz w:val="22"/>
          <w:szCs w:val="22"/>
          <w:highlight w:val="none"/>
          <w:u w:val="single"/>
        </w:rPr>
        <w:t>（标的名称）</w:t>
      </w:r>
      <w:r>
        <w:rPr>
          <w:rFonts w:hint="eastAsia" w:ascii="宋体" w:hAnsi="宋体" w:eastAsia="宋体" w:cs="宋体"/>
          <w:color w:val="auto"/>
          <w:kern w:val="2"/>
          <w:sz w:val="22"/>
          <w:szCs w:val="22"/>
          <w:highlight w:val="none"/>
        </w:rPr>
        <w:t>，属于</w:t>
      </w:r>
      <w:r>
        <w:rPr>
          <w:rFonts w:hint="eastAsia" w:ascii="宋体" w:hAnsi="宋体" w:eastAsia="宋体" w:cs="宋体"/>
          <w:color w:val="auto"/>
          <w:kern w:val="2"/>
          <w:sz w:val="22"/>
          <w:szCs w:val="22"/>
          <w:highlight w:val="none"/>
          <w:u w:val="single"/>
        </w:rPr>
        <w:t>（采购文件中明确的所属行业）</w:t>
      </w:r>
      <w:r>
        <w:rPr>
          <w:rFonts w:hint="eastAsia" w:ascii="宋体" w:hAnsi="宋体" w:eastAsia="宋体" w:cs="宋体"/>
          <w:color w:val="auto"/>
          <w:kern w:val="2"/>
          <w:sz w:val="22"/>
          <w:szCs w:val="22"/>
          <w:highlight w:val="none"/>
        </w:rPr>
        <w:t>行业；制造商为</w:t>
      </w:r>
      <w:r>
        <w:rPr>
          <w:rFonts w:hint="eastAsia" w:ascii="宋体" w:hAnsi="宋体" w:eastAsia="宋体" w:cs="宋体"/>
          <w:color w:val="auto"/>
          <w:kern w:val="2"/>
          <w:sz w:val="22"/>
          <w:szCs w:val="22"/>
          <w:highlight w:val="none"/>
          <w:u w:val="single"/>
        </w:rPr>
        <w:t>（企业名称）</w:t>
      </w:r>
      <w:r>
        <w:rPr>
          <w:rFonts w:hint="eastAsia" w:ascii="宋体" w:hAnsi="宋体" w:eastAsia="宋体" w:cs="宋体"/>
          <w:color w:val="auto"/>
          <w:kern w:val="2"/>
          <w:sz w:val="22"/>
          <w:szCs w:val="22"/>
          <w:highlight w:val="none"/>
        </w:rPr>
        <w:t>，从业人员________人，营业收入为_________万元，资产总额为________万元，属于</w:t>
      </w:r>
      <w:r>
        <w:rPr>
          <w:rFonts w:hint="eastAsia" w:ascii="宋体" w:hAnsi="宋体" w:eastAsia="宋体" w:cs="宋体"/>
          <w:color w:val="auto"/>
          <w:kern w:val="2"/>
          <w:sz w:val="22"/>
          <w:szCs w:val="22"/>
          <w:highlight w:val="none"/>
          <w:u w:val="single"/>
        </w:rPr>
        <w:t>(中型企业、小型企业、微型企业)</w:t>
      </w:r>
      <w:r>
        <w:rPr>
          <w:rFonts w:hint="eastAsia" w:ascii="宋体" w:hAnsi="宋体" w:eastAsia="宋体" w:cs="宋体"/>
          <w:color w:val="auto"/>
          <w:kern w:val="2"/>
          <w:sz w:val="22"/>
          <w:szCs w:val="22"/>
          <w:highlight w:val="none"/>
        </w:rPr>
        <w:t>；</w:t>
      </w:r>
    </w:p>
    <w:p w14:paraId="25BB1AE3">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p w14:paraId="0D379A6F">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以上企业，不属于大企业的分支机构，不存在控股股东为大企业的情形，也不存在与大企业的负责人为同一人的情形。</w:t>
      </w:r>
    </w:p>
    <w:p w14:paraId="1527B0EC">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本企业对上述声明内容的真实性负责。如有虚假，将依法承担相应责任。　　</w:t>
      </w:r>
    </w:p>
    <w:p w14:paraId="46466960">
      <w:pPr>
        <w:pStyle w:val="15"/>
        <w:widowControl w:val="0"/>
        <w:adjustRightInd w:val="0"/>
        <w:snapToGrid w:val="0"/>
        <w:spacing w:before="0" w:beforeAutospacing="0" w:after="0" w:afterAutospacing="0" w:line="360" w:lineRule="exact"/>
        <w:ind w:right="420"/>
        <w:jc w:val="center"/>
        <w:rPr>
          <w:rFonts w:hint="eastAsia" w:ascii="宋体" w:hAnsi="宋体" w:eastAsia="宋体" w:cs="宋体"/>
          <w:color w:val="auto"/>
          <w:kern w:val="2"/>
          <w:sz w:val="22"/>
          <w:szCs w:val="22"/>
          <w:highlight w:val="none"/>
        </w:rPr>
      </w:pPr>
    </w:p>
    <w:p w14:paraId="2BE28069">
      <w:pPr>
        <w:pStyle w:val="15"/>
        <w:widowControl w:val="0"/>
        <w:adjustRightInd w:val="0"/>
        <w:snapToGrid w:val="0"/>
        <w:spacing w:before="0" w:beforeAutospacing="0" w:after="0" w:afterAutospacing="0" w:line="360" w:lineRule="exact"/>
        <w:ind w:right="420" w:firstLine="5632" w:firstLineChars="2560"/>
        <w:rPr>
          <w:rFonts w:hint="eastAsia" w:ascii="宋体" w:hAnsi="宋体" w:eastAsia="宋体" w:cs="宋体"/>
          <w:color w:val="auto"/>
          <w:kern w:val="2"/>
          <w:sz w:val="22"/>
          <w:szCs w:val="22"/>
          <w:highlight w:val="none"/>
        </w:rPr>
      </w:pPr>
    </w:p>
    <w:p w14:paraId="27F10827">
      <w:pPr>
        <w:pStyle w:val="15"/>
        <w:widowControl w:val="0"/>
        <w:adjustRightInd w:val="0"/>
        <w:snapToGrid w:val="0"/>
        <w:spacing w:before="0" w:beforeAutospacing="0" w:after="0" w:afterAutospacing="0" w:line="360" w:lineRule="exact"/>
        <w:ind w:right="420" w:firstLine="5632" w:firstLineChars="256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企业名称（盖章）：　</w:t>
      </w:r>
    </w:p>
    <w:p w14:paraId="7407371B">
      <w:pPr>
        <w:pStyle w:val="2"/>
        <w:adjustRightInd w:val="0"/>
        <w:snapToGrid w:val="0"/>
        <w:spacing w:line="360" w:lineRule="exact"/>
        <w:ind w:left="1413" w:leftChars="673" w:firstLine="6182" w:firstLineChars="281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年    月    日</w:t>
      </w:r>
    </w:p>
    <w:p w14:paraId="770910F5">
      <w:pPr>
        <w:pStyle w:val="15"/>
        <w:widowControl w:val="0"/>
        <w:adjustRightInd w:val="0"/>
        <w:snapToGrid w:val="0"/>
        <w:spacing w:before="0" w:beforeAutospacing="0" w:after="0" w:afterAutospacing="0" w:line="360" w:lineRule="exact"/>
        <w:ind w:right="420"/>
        <w:rPr>
          <w:rFonts w:hint="eastAsia" w:ascii="宋体" w:hAnsi="宋体" w:eastAsia="宋体" w:cs="宋体"/>
          <w:color w:val="auto"/>
          <w:kern w:val="2"/>
          <w:sz w:val="22"/>
          <w:szCs w:val="22"/>
          <w:highlight w:val="none"/>
        </w:rPr>
      </w:pPr>
    </w:p>
    <w:p w14:paraId="337EED41">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right="420" w:firstLine="440" w:firstLineChars="200"/>
        <w:textAlignment w:val="auto"/>
        <w:rPr>
          <w:rFonts w:hint="eastAsia" w:ascii="宋体" w:hAnsi="宋体" w:eastAsia="宋体" w:cs="宋体"/>
          <w:color w:val="auto"/>
          <w:kern w:val="2"/>
          <w:sz w:val="22"/>
          <w:szCs w:val="22"/>
          <w:highlight w:val="none"/>
        </w:rPr>
      </w:pPr>
    </w:p>
    <w:p w14:paraId="11BC5A58">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right="420"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填写注意事项：</w:t>
      </w:r>
    </w:p>
    <w:p w14:paraId="046B5815">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right="420"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（1）从业人员、营业收入、资产总额填报上一年度数据，无上一年度数据的新成立企业可不填报。</w:t>
      </w:r>
    </w:p>
    <w:p w14:paraId="336C981E">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right="420"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（2）供应商按照本办法规定提供声明函内容不实的，属于提供虚假材料谋取中标、成交，依照《中华人民共和国政府采购法》等国家有关规定追究相应责任。</w:t>
      </w:r>
    </w:p>
    <w:p w14:paraId="6120B087">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right="420"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（3）政府采购监督检查、投诉处理及政府采购行政处罚中对中小企业的认定，由货物制造商或者工程、服务供应商注册登记所在地的县级以上人民政府中小企业主管部门负责。</w:t>
      </w:r>
    </w:p>
    <w:p w14:paraId="2D249005">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right="420"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（4）提供的货物有多项的，应将每项标的的企业具体情况均列明。多项货物由同一企业生产的，可以合并填写在一条情况说明中。</w:t>
      </w:r>
    </w:p>
    <w:p w14:paraId="19675D9A">
      <w:pPr>
        <w:pStyle w:val="2"/>
        <w:rPr>
          <w:rFonts w:hint="eastAsia" w:ascii="宋体" w:hAnsi="宋体" w:cs="宋体"/>
          <w:b/>
          <w:color w:val="auto"/>
          <w:szCs w:val="21"/>
          <w:highlight w:val="none"/>
        </w:rPr>
      </w:pPr>
    </w:p>
    <w:p w14:paraId="3704BF73">
      <w:pPr>
        <w:pStyle w:val="2"/>
        <w:rPr>
          <w:rFonts w:hint="eastAsia" w:ascii="宋体" w:hAnsi="宋体" w:cs="宋体"/>
          <w:b/>
          <w:color w:val="auto"/>
          <w:szCs w:val="21"/>
          <w:highlight w:val="none"/>
        </w:rPr>
      </w:pPr>
    </w:p>
    <w:p w14:paraId="285947AA">
      <w:pPr>
        <w:pStyle w:val="2"/>
        <w:rPr>
          <w:rFonts w:hint="eastAsia" w:ascii="宋体" w:hAnsi="宋体" w:cs="宋体"/>
          <w:b/>
          <w:color w:val="auto"/>
          <w:szCs w:val="21"/>
          <w:highlight w:val="none"/>
        </w:rPr>
      </w:pPr>
    </w:p>
    <w:p w14:paraId="11CB4820">
      <w:pPr>
        <w:pStyle w:val="15"/>
        <w:widowControl w:val="0"/>
        <w:adjustRightInd w:val="0"/>
        <w:snapToGrid w:val="0"/>
        <w:spacing w:before="0" w:beforeAutospacing="0" w:after="0" w:afterAutospacing="0" w:line="600" w:lineRule="exact"/>
        <w:ind w:firstLine="562"/>
        <w:jc w:val="center"/>
        <w:rPr>
          <w:rFonts w:hint="eastAsia" w:cs="宋体"/>
          <w:b/>
          <w:bCs/>
          <w:color w:val="auto"/>
          <w:kern w:val="2"/>
          <w:sz w:val="28"/>
          <w:szCs w:val="28"/>
          <w:highlight w:val="none"/>
        </w:rPr>
      </w:pPr>
      <w:r>
        <w:rPr>
          <w:rFonts w:hint="eastAsia" w:cs="宋体"/>
          <w:b/>
          <w:bCs/>
          <w:color w:val="auto"/>
          <w:kern w:val="2"/>
          <w:sz w:val="28"/>
          <w:szCs w:val="28"/>
          <w:highlight w:val="none"/>
        </w:rPr>
        <w:t>残疾人福利性单位声明函</w:t>
      </w:r>
    </w:p>
    <w:p w14:paraId="641735B9">
      <w:pPr>
        <w:spacing w:line="588" w:lineRule="exact"/>
        <w:rPr>
          <w:rFonts w:ascii="宋体" w:cs="宋体"/>
          <w:b/>
          <w:bCs/>
          <w:color w:val="auto"/>
          <w:spacing w:val="6"/>
          <w:highlight w:val="none"/>
        </w:rPr>
      </w:pPr>
    </w:p>
    <w:p w14:paraId="73D466B3">
      <w:pPr>
        <w:spacing w:line="588" w:lineRule="exact"/>
        <w:ind w:firstLine="464" w:firstLineChars="200"/>
        <w:rPr>
          <w:rFonts w:ascii="宋体" w:cs="宋体"/>
          <w:color w:val="auto"/>
          <w:spacing w:val="6"/>
          <w:sz w:val="22"/>
          <w:szCs w:val="22"/>
          <w:highlight w:val="none"/>
        </w:rPr>
      </w:pPr>
      <w:r>
        <w:rPr>
          <w:rFonts w:hint="eastAsia" w:ascii="宋体" w:hAnsi="宋体" w:cs="宋体"/>
          <w:color w:val="auto"/>
          <w:spacing w:val="6"/>
          <w:sz w:val="22"/>
          <w:szCs w:val="22"/>
          <w:highlight w:val="none"/>
        </w:rPr>
        <w:t>本单位郑重声明，根据《财政部</w:t>
      </w:r>
      <w:r>
        <w:rPr>
          <w:rFonts w:ascii="宋体" w:hAnsi="宋体" w:cs="宋体"/>
          <w:color w:val="auto"/>
          <w:spacing w:val="6"/>
          <w:sz w:val="22"/>
          <w:szCs w:val="22"/>
          <w:highlight w:val="none"/>
        </w:rPr>
        <w:t xml:space="preserve"> </w:t>
      </w:r>
      <w:r>
        <w:rPr>
          <w:rFonts w:hint="eastAsia" w:ascii="宋体" w:hAnsi="宋体" w:cs="宋体"/>
          <w:color w:val="auto"/>
          <w:spacing w:val="6"/>
          <w:sz w:val="22"/>
          <w:szCs w:val="22"/>
          <w:highlight w:val="none"/>
        </w:rPr>
        <w:t>民政部</w:t>
      </w:r>
      <w:r>
        <w:rPr>
          <w:rFonts w:ascii="宋体" w:hAnsi="宋体" w:cs="宋体"/>
          <w:color w:val="auto"/>
          <w:spacing w:val="6"/>
          <w:sz w:val="22"/>
          <w:szCs w:val="22"/>
          <w:highlight w:val="none"/>
        </w:rPr>
        <w:t xml:space="preserve"> </w:t>
      </w:r>
      <w:r>
        <w:rPr>
          <w:rFonts w:hint="eastAsia" w:ascii="宋体" w:hAnsi="宋体" w:cs="宋体"/>
          <w:color w:val="auto"/>
          <w:spacing w:val="6"/>
          <w:sz w:val="22"/>
          <w:szCs w:val="22"/>
          <w:highlight w:val="none"/>
        </w:rPr>
        <w:t>中国残疾人联合会关于促进残疾人就业政府采购政策的通知》（财库</w:t>
      </w:r>
      <w:r>
        <w:rPr>
          <w:rFonts w:hint="eastAsia" w:ascii="宋体" w:hAnsi="宋体" w:cs="宋体"/>
          <w:color w:val="auto"/>
          <w:sz w:val="22"/>
          <w:szCs w:val="22"/>
          <w:highlight w:val="none"/>
        </w:rPr>
        <w:t>〔</w:t>
      </w:r>
      <w:r>
        <w:rPr>
          <w:rFonts w:ascii="宋体" w:hAnsi="宋体" w:cs="宋体"/>
          <w:color w:val="auto"/>
          <w:sz w:val="22"/>
          <w:szCs w:val="22"/>
          <w:highlight w:val="none"/>
        </w:rPr>
        <w:t>2017</w:t>
      </w:r>
      <w:r>
        <w:rPr>
          <w:rFonts w:hint="eastAsia" w:ascii="宋体" w:hAnsi="宋体" w:cs="宋体"/>
          <w:color w:val="auto"/>
          <w:sz w:val="22"/>
          <w:szCs w:val="22"/>
          <w:highlight w:val="none"/>
        </w:rPr>
        <w:t>〕</w:t>
      </w:r>
      <w:r>
        <w:rPr>
          <w:rFonts w:ascii="宋体" w:hAnsi="宋体" w:cs="宋体"/>
          <w:color w:val="auto"/>
          <w:sz w:val="22"/>
          <w:szCs w:val="22"/>
          <w:highlight w:val="none"/>
        </w:rPr>
        <w:t xml:space="preserve"> 141</w:t>
      </w:r>
      <w:r>
        <w:rPr>
          <w:rFonts w:hint="eastAsia" w:ascii="宋体" w:hAnsi="宋体" w:cs="宋体"/>
          <w:color w:val="auto"/>
          <w:spacing w:val="6"/>
          <w:sz w:val="22"/>
          <w:szCs w:val="22"/>
          <w:highlight w:val="none"/>
        </w:rPr>
        <w:t>号）的规定，本单位为符合条件的残疾人福利性单位，且本单位参加</w:t>
      </w:r>
      <w:r>
        <w:rPr>
          <w:rFonts w:ascii="宋体" w:hAnsi="宋体" w:cs="宋体"/>
          <w:color w:val="auto"/>
          <w:spacing w:val="6"/>
          <w:sz w:val="22"/>
          <w:szCs w:val="22"/>
          <w:highlight w:val="none"/>
        </w:rPr>
        <w:t>______</w:t>
      </w:r>
      <w:r>
        <w:rPr>
          <w:rFonts w:hint="eastAsia" w:ascii="宋体" w:hAnsi="宋体" w:cs="宋体"/>
          <w:color w:val="auto"/>
          <w:spacing w:val="6"/>
          <w:sz w:val="22"/>
          <w:szCs w:val="22"/>
          <w:highlight w:val="none"/>
        </w:rPr>
        <w:t>单位的</w:t>
      </w:r>
      <w:r>
        <w:rPr>
          <w:rFonts w:ascii="宋体" w:hAnsi="宋体" w:cs="宋体"/>
          <w:color w:val="auto"/>
          <w:spacing w:val="6"/>
          <w:sz w:val="22"/>
          <w:szCs w:val="22"/>
          <w:highlight w:val="none"/>
        </w:rPr>
        <w:t>______</w:t>
      </w:r>
      <w:r>
        <w:rPr>
          <w:rFonts w:hint="eastAsia" w:ascii="宋体" w:hAnsi="宋体" w:cs="宋体"/>
          <w:color w:val="auto"/>
          <w:spacing w:val="6"/>
          <w:sz w:val="22"/>
          <w:szCs w:val="22"/>
          <w:highlight w:val="none"/>
        </w:rPr>
        <w:t>项目采购活动提供本单位制造的货物（由本单位承担工程</w:t>
      </w:r>
      <w:r>
        <w:rPr>
          <w:rFonts w:ascii="宋体" w:hAnsi="宋体" w:cs="宋体"/>
          <w:color w:val="auto"/>
          <w:spacing w:val="6"/>
          <w:sz w:val="22"/>
          <w:szCs w:val="22"/>
          <w:highlight w:val="none"/>
        </w:rPr>
        <w:t>/</w:t>
      </w:r>
      <w:r>
        <w:rPr>
          <w:rFonts w:hint="eastAsia" w:ascii="宋体" w:hAnsi="宋体" w:cs="宋体"/>
          <w:color w:val="auto"/>
          <w:spacing w:val="6"/>
          <w:sz w:val="22"/>
          <w:szCs w:val="22"/>
          <w:highlight w:val="none"/>
        </w:rPr>
        <w:t>提供服务），或者提供其他残疾人福利性单位制造的货物（不包括使用非残疾人福利性单位注册商标的货物）。</w:t>
      </w:r>
    </w:p>
    <w:p w14:paraId="6B51833B">
      <w:pPr>
        <w:spacing w:line="588" w:lineRule="exact"/>
        <w:ind w:firstLine="464" w:firstLineChars="200"/>
        <w:rPr>
          <w:rFonts w:ascii="宋体" w:cs="宋体"/>
          <w:color w:val="auto"/>
          <w:spacing w:val="6"/>
          <w:sz w:val="22"/>
          <w:szCs w:val="22"/>
          <w:highlight w:val="none"/>
        </w:rPr>
      </w:pPr>
      <w:r>
        <w:rPr>
          <w:rFonts w:hint="eastAsia" w:ascii="宋体" w:hAnsi="宋体" w:cs="宋体"/>
          <w:color w:val="auto"/>
          <w:spacing w:val="6"/>
          <w:sz w:val="22"/>
          <w:szCs w:val="22"/>
          <w:highlight w:val="none"/>
        </w:rPr>
        <w:t>本单位对上述声明的真实性负责。如有虚假，将依法承担相应责任。</w:t>
      </w:r>
    </w:p>
    <w:p w14:paraId="5C26A796">
      <w:pPr>
        <w:spacing w:line="588" w:lineRule="exact"/>
        <w:rPr>
          <w:rFonts w:ascii="宋体" w:cs="宋体"/>
          <w:color w:val="auto"/>
          <w:spacing w:val="6"/>
          <w:sz w:val="22"/>
          <w:szCs w:val="22"/>
          <w:highlight w:val="none"/>
        </w:rPr>
      </w:pPr>
    </w:p>
    <w:p w14:paraId="21F73240">
      <w:pPr>
        <w:tabs>
          <w:tab w:val="left" w:pos="4860"/>
        </w:tabs>
        <w:spacing w:line="588" w:lineRule="exact"/>
        <w:ind w:right="1560" w:firstLine="464" w:firstLineChars="200"/>
        <w:jc w:val="center"/>
        <w:rPr>
          <w:rFonts w:ascii="宋体" w:cs="宋体"/>
          <w:color w:val="auto"/>
          <w:spacing w:val="6"/>
          <w:sz w:val="22"/>
          <w:szCs w:val="22"/>
          <w:highlight w:val="none"/>
        </w:rPr>
      </w:pPr>
      <w:r>
        <w:rPr>
          <w:rFonts w:ascii="宋体" w:hAnsi="宋体" w:cs="宋体"/>
          <w:color w:val="auto"/>
          <w:spacing w:val="6"/>
          <w:sz w:val="22"/>
          <w:szCs w:val="22"/>
          <w:highlight w:val="none"/>
        </w:rPr>
        <w:t xml:space="preserve">               </w:t>
      </w:r>
      <w:r>
        <w:rPr>
          <w:rFonts w:hint="eastAsia" w:ascii="宋体" w:hAnsi="宋体" w:cs="宋体"/>
          <w:color w:val="auto"/>
          <w:spacing w:val="6"/>
          <w:sz w:val="22"/>
          <w:szCs w:val="22"/>
          <w:highlight w:val="none"/>
          <w:lang w:val="en-US" w:eastAsia="zh-CN"/>
        </w:rPr>
        <w:t xml:space="preserve">                      </w:t>
      </w:r>
      <w:r>
        <w:rPr>
          <w:rFonts w:hint="eastAsia" w:ascii="宋体" w:hAnsi="宋体" w:cs="宋体"/>
          <w:color w:val="auto"/>
          <w:spacing w:val="6"/>
          <w:sz w:val="22"/>
          <w:szCs w:val="22"/>
          <w:highlight w:val="none"/>
        </w:rPr>
        <w:t>单位名称（盖章）：</w:t>
      </w:r>
    </w:p>
    <w:p w14:paraId="19B7371D">
      <w:pPr>
        <w:tabs>
          <w:tab w:val="left" w:pos="4860"/>
        </w:tabs>
        <w:spacing w:line="588" w:lineRule="exact"/>
        <w:ind w:right="1560" w:firstLine="464" w:firstLineChars="200"/>
        <w:jc w:val="center"/>
        <w:rPr>
          <w:rFonts w:ascii="宋体" w:cs="宋体"/>
          <w:color w:val="auto"/>
          <w:spacing w:val="6"/>
          <w:sz w:val="22"/>
          <w:szCs w:val="22"/>
          <w:highlight w:val="none"/>
        </w:rPr>
      </w:pPr>
      <w:r>
        <w:rPr>
          <w:rFonts w:ascii="宋体" w:hAnsi="宋体" w:cs="宋体"/>
          <w:color w:val="auto"/>
          <w:spacing w:val="6"/>
          <w:sz w:val="22"/>
          <w:szCs w:val="22"/>
          <w:highlight w:val="none"/>
        </w:rPr>
        <w:t xml:space="preserve">      </w:t>
      </w:r>
      <w:r>
        <w:rPr>
          <w:rFonts w:hint="eastAsia" w:ascii="宋体" w:hAnsi="宋体" w:cs="宋体"/>
          <w:color w:val="auto"/>
          <w:spacing w:val="6"/>
          <w:sz w:val="22"/>
          <w:szCs w:val="22"/>
          <w:highlight w:val="none"/>
          <w:lang w:val="en-US" w:eastAsia="zh-CN"/>
        </w:rPr>
        <w:t xml:space="preserve">                     </w:t>
      </w:r>
      <w:r>
        <w:rPr>
          <w:rFonts w:ascii="宋体" w:hAnsi="宋体" w:cs="宋体"/>
          <w:color w:val="auto"/>
          <w:spacing w:val="6"/>
          <w:sz w:val="22"/>
          <w:szCs w:val="22"/>
          <w:highlight w:val="none"/>
        </w:rPr>
        <w:t xml:space="preserve"> </w:t>
      </w:r>
      <w:r>
        <w:rPr>
          <w:rFonts w:hint="eastAsia" w:ascii="宋体" w:hAnsi="宋体" w:cs="宋体"/>
          <w:color w:val="auto"/>
          <w:spacing w:val="6"/>
          <w:sz w:val="22"/>
          <w:szCs w:val="22"/>
          <w:highlight w:val="none"/>
        </w:rPr>
        <w:t>日</w:t>
      </w:r>
      <w:r>
        <w:rPr>
          <w:rFonts w:ascii="宋体" w:hAnsi="宋体" w:cs="宋体"/>
          <w:color w:val="auto"/>
          <w:spacing w:val="6"/>
          <w:sz w:val="22"/>
          <w:szCs w:val="22"/>
          <w:highlight w:val="none"/>
        </w:rPr>
        <w:t xml:space="preserve">  </w:t>
      </w:r>
      <w:r>
        <w:rPr>
          <w:rFonts w:hint="eastAsia" w:ascii="宋体" w:hAnsi="宋体" w:cs="宋体"/>
          <w:color w:val="auto"/>
          <w:spacing w:val="6"/>
          <w:sz w:val="22"/>
          <w:szCs w:val="22"/>
          <w:highlight w:val="none"/>
        </w:rPr>
        <w:t>期：</w:t>
      </w:r>
    </w:p>
    <w:p w14:paraId="211207AB">
      <w:pPr>
        <w:adjustRightInd w:val="0"/>
        <w:snapToGrid w:val="0"/>
        <w:spacing w:line="360" w:lineRule="exact"/>
        <w:ind w:firstLine="440" w:firstLineChars="200"/>
        <w:jc w:val="left"/>
        <w:rPr>
          <w:rFonts w:ascii="宋体" w:hAnsi="宋体"/>
          <w:color w:val="auto"/>
          <w:sz w:val="22"/>
          <w:szCs w:val="22"/>
          <w:highlight w:val="none"/>
        </w:rPr>
      </w:pPr>
    </w:p>
    <w:p w14:paraId="3E609DED">
      <w:pPr>
        <w:adjustRightInd w:val="0"/>
        <w:snapToGrid w:val="0"/>
        <w:spacing w:line="360" w:lineRule="exact"/>
        <w:ind w:firstLine="440" w:firstLineChars="200"/>
        <w:jc w:val="left"/>
        <w:rPr>
          <w:rFonts w:ascii="宋体" w:hAnsi="宋体"/>
          <w:color w:val="auto"/>
          <w:sz w:val="22"/>
          <w:szCs w:val="22"/>
          <w:highlight w:val="none"/>
        </w:rPr>
      </w:pPr>
    </w:p>
    <w:p w14:paraId="766E3519">
      <w:pPr>
        <w:adjustRightInd w:val="0"/>
        <w:snapToGrid w:val="0"/>
        <w:spacing w:line="360" w:lineRule="exact"/>
        <w:ind w:firstLine="440" w:firstLineChars="200"/>
        <w:jc w:val="left"/>
        <w:rPr>
          <w:rFonts w:ascii="宋体" w:hAnsi="宋体"/>
          <w:color w:val="auto"/>
          <w:sz w:val="22"/>
          <w:szCs w:val="22"/>
          <w:highlight w:val="none"/>
        </w:rPr>
      </w:pPr>
      <w:r>
        <w:rPr>
          <w:rFonts w:ascii="宋体" w:hAnsi="宋体"/>
          <w:color w:val="auto"/>
          <w:sz w:val="22"/>
          <w:szCs w:val="22"/>
          <w:highlight w:val="none"/>
        </w:rPr>
        <w:t>享受政府采购支持政策的残疾人福利性单位应当同时满足以下条件：</w:t>
      </w:r>
    </w:p>
    <w:p w14:paraId="076A0443">
      <w:pPr>
        <w:adjustRightInd w:val="0"/>
        <w:snapToGrid w:val="0"/>
        <w:spacing w:line="360" w:lineRule="exact"/>
        <w:ind w:firstLine="440" w:firstLineChars="200"/>
        <w:jc w:val="left"/>
        <w:rPr>
          <w:rFonts w:ascii="宋体" w:hAnsi="宋体"/>
          <w:color w:val="auto"/>
          <w:sz w:val="22"/>
          <w:szCs w:val="22"/>
          <w:highlight w:val="none"/>
        </w:rPr>
      </w:pPr>
      <w:r>
        <w:rPr>
          <w:rFonts w:hint="eastAsia" w:ascii="宋体" w:hAnsi="宋体"/>
          <w:color w:val="auto"/>
          <w:sz w:val="22"/>
          <w:szCs w:val="22"/>
          <w:highlight w:val="none"/>
        </w:rPr>
        <w:t>①</w:t>
      </w:r>
      <w:r>
        <w:rPr>
          <w:rFonts w:ascii="宋体" w:hAnsi="宋体"/>
          <w:color w:val="auto"/>
          <w:sz w:val="22"/>
          <w:szCs w:val="22"/>
          <w:highlight w:val="none"/>
        </w:rPr>
        <w:t>安置的残疾人占本单位在职职工人数的比例不低于25%（含25%），并且安置的残疾人人数不少于10人（含10人）；</w:t>
      </w:r>
    </w:p>
    <w:p w14:paraId="49C8BBA7">
      <w:pPr>
        <w:adjustRightInd w:val="0"/>
        <w:snapToGrid w:val="0"/>
        <w:spacing w:line="360" w:lineRule="exact"/>
        <w:ind w:firstLine="440" w:firstLineChars="200"/>
        <w:jc w:val="left"/>
        <w:rPr>
          <w:rFonts w:ascii="宋体" w:hAnsi="宋体"/>
          <w:color w:val="auto"/>
          <w:sz w:val="22"/>
          <w:szCs w:val="22"/>
          <w:highlight w:val="none"/>
        </w:rPr>
      </w:pPr>
      <w:r>
        <w:rPr>
          <w:rFonts w:hint="eastAsia" w:ascii="宋体" w:hAnsi="宋体"/>
          <w:color w:val="auto"/>
          <w:sz w:val="22"/>
          <w:szCs w:val="22"/>
          <w:highlight w:val="none"/>
        </w:rPr>
        <w:t>②</w:t>
      </w:r>
      <w:r>
        <w:rPr>
          <w:rFonts w:ascii="宋体" w:hAnsi="宋体"/>
          <w:color w:val="auto"/>
          <w:sz w:val="22"/>
          <w:szCs w:val="22"/>
          <w:highlight w:val="none"/>
        </w:rPr>
        <w:t>依法与安置的每位残疾人签订了一年以上（含一年）的劳动合同或服务协议；</w:t>
      </w:r>
    </w:p>
    <w:p w14:paraId="2DDFC453">
      <w:pPr>
        <w:adjustRightInd w:val="0"/>
        <w:snapToGrid w:val="0"/>
        <w:spacing w:line="360" w:lineRule="exact"/>
        <w:ind w:firstLine="440" w:firstLineChars="200"/>
        <w:jc w:val="left"/>
        <w:rPr>
          <w:rFonts w:ascii="宋体" w:hAnsi="宋体"/>
          <w:color w:val="auto"/>
          <w:sz w:val="22"/>
          <w:szCs w:val="22"/>
          <w:highlight w:val="none"/>
        </w:rPr>
      </w:pPr>
      <w:r>
        <w:rPr>
          <w:rFonts w:hint="eastAsia" w:ascii="宋体" w:hAnsi="宋体"/>
          <w:color w:val="auto"/>
          <w:sz w:val="22"/>
          <w:szCs w:val="22"/>
          <w:highlight w:val="none"/>
        </w:rPr>
        <w:t>③</w:t>
      </w:r>
      <w:r>
        <w:rPr>
          <w:rFonts w:ascii="宋体" w:hAnsi="宋体"/>
          <w:color w:val="auto"/>
          <w:sz w:val="22"/>
          <w:szCs w:val="22"/>
          <w:highlight w:val="none"/>
        </w:rPr>
        <w:t>为安置的每位残疾人按月足额缴纳了基本养老保险、基本医疗保险、失业保险、工伤保险和生育保险等社会保险费；</w:t>
      </w:r>
    </w:p>
    <w:p w14:paraId="36EF2DCF">
      <w:pPr>
        <w:adjustRightInd w:val="0"/>
        <w:snapToGrid w:val="0"/>
        <w:spacing w:line="360" w:lineRule="exact"/>
        <w:ind w:firstLine="440" w:firstLineChars="200"/>
        <w:jc w:val="left"/>
        <w:rPr>
          <w:rFonts w:ascii="宋体" w:hAnsi="宋体"/>
          <w:color w:val="auto"/>
          <w:sz w:val="22"/>
          <w:szCs w:val="22"/>
          <w:highlight w:val="none"/>
        </w:rPr>
      </w:pPr>
      <w:r>
        <w:rPr>
          <w:rFonts w:hint="eastAsia" w:ascii="宋体" w:hAnsi="宋体"/>
          <w:color w:val="auto"/>
          <w:sz w:val="22"/>
          <w:szCs w:val="22"/>
          <w:highlight w:val="none"/>
        </w:rPr>
        <w:t>④</w:t>
      </w:r>
      <w:r>
        <w:rPr>
          <w:rFonts w:ascii="宋体" w:hAnsi="宋体"/>
          <w:color w:val="auto"/>
          <w:sz w:val="22"/>
          <w:szCs w:val="22"/>
          <w:highlight w:val="none"/>
        </w:rPr>
        <w:t>通过银行等金融机构向安置的每位残疾人，按月支付了不低于单位所在区县适用的经省级人民政府批准的月最低工资标准的工资；</w:t>
      </w:r>
    </w:p>
    <w:p w14:paraId="3E9DE99F">
      <w:pPr>
        <w:adjustRightInd w:val="0"/>
        <w:snapToGrid w:val="0"/>
        <w:spacing w:line="360" w:lineRule="exact"/>
        <w:ind w:firstLine="440" w:firstLineChars="200"/>
        <w:jc w:val="left"/>
        <w:rPr>
          <w:rFonts w:ascii="宋体" w:hAnsi="宋体"/>
          <w:color w:val="auto"/>
          <w:sz w:val="22"/>
          <w:szCs w:val="22"/>
          <w:highlight w:val="none"/>
        </w:rPr>
      </w:pPr>
      <w:r>
        <w:rPr>
          <w:rFonts w:hint="eastAsia" w:ascii="宋体" w:hAnsi="宋体"/>
          <w:color w:val="auto"/>
          <w:sz w:val="22"/>
          <w:szCs w:val="22"/>
          <w:highlight w:val="none"/>
        </w:rPr>
        <w:t>⑤</w:t>
      </w:r>
      <w:r>
        <w:rPr>
          <w:rFonts w:ascii="宋体" w:hAnsi="宋体"/>
          <w:color w:val="auto"/>
          <w:sz w:val="22"/>
          <w:szCs w:val="22"/>
          <w:highlight w:val="none"/>
        </w:rPr>
        <w:t>提供本单位制造的货物、承担的工程或者服务（以下简称产品），或者提供其他残疾人福利性单位制造的货物（不包括使用非残疾人福利性单位注册商标的货物）。</w:t>
      </w:r>
    </w:p>
    <w:p w14:paraId="38EA803D">
      <w:pPr>
        <w:adjustRightInd w:val="0"/>
        <w:snapToGrid w:val="0"/>
        <w:spacing w:line="360" w:lineRule="exact"/>
        <w:ind w:firstLine="440" w:firstLineChars="200"/>
        <w:jc w:val="left"/>
        <w:rPr>
          <w:rFonts w:ascii="宋体" w:hAnsi="宋体"/>
          <w:color w:val="auto"/>
          <w:sz w:val="22"/>
          <w:szCs w:val="22"/>
          <w:highlight w:val="none"/>
        </w:rPr>
      </w:pPr>
      <w:r>
        <w:rPr>
          <w:rFonts w:ascii="宋体" w:hAnsi="宋体"/>
          <w:color w:val="auto"/>
          <w:sz w:val="22"/>
          <w:szCs w:val="22"/>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CFF3993">
      <w:pPr>
        <w:pStyle w:val="10"/>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hAnsi="宋体"/>
          <w:color w:val="auto"/>
          <w:highlight w:val="none"/>
        </w:rPr>
      </w:pPr>
      <w:r>
        <w:rPr>
          <w:rFonts w:hAnsi="宋体"/>
          <w:color w:val="auto"/>
          <w:sz w:val="22"/>
          <w:szCs w:val="22"/>
          <w:highlight w:val="none"/>
        </w:rPr>
        <w:t>符合条件的残疾人福利性单位在参加政府采购活动时，应当提供本通知规定的《残疾人福利性单位声明函》</w:t>
      </w:r>
      <w:r>
        <w:rPr>
          <w:rFonts w:hint="eastAsia" w:hAnsi="宋体"/>
          <w:color w:val="auto"/>
          <w:sz w:val="22"/>
          <w:szCs w:val="22"/>
          <w:highlight w:val="none"/>
        </w:rPr>
        <w:t>。</w:t>
      </w:r>
    </w:p>
    <w:p w14:paraId="1834FA05">
      <w:pPr>
        <w:rPr>
          <w:rFonts w:hint="eastAsia" w:ascii="宋体" w:hAnsi="宋体" w:cs="宋体"/>
          <w:b/>
          <w:color w:val="auto"/>
          <w:sz w:val="22"/>
          <w:szCs w:val="22"/>
          <w:highlight w:val="none"/>
        </w:rPr>
      </w:pPr>
      <w:r>
        <w:rPr>
          <w:rFonts w:hint="eastAsia" w:ascii="宋体" w:hAnsi="宋体" w:cs="宋体"/>
          <w:b/>
          <w:color w:val="auto"/>
          <w:sz w:val="22"/>
          <w:szCs w:val="22"/>
          <w:highlight w:val="none"/>
        </w:rPr>
        <w:br w:type="page"/>
      </w:r>
    </w:p>
    <w:p w14:paraId="6A744F75">
      <w:pPr>
        <w:spacing w:line="500" w:lineRule="exact"/>
        <w:rPr>
          <w:rFonts w:hint="eastAsia"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 xml:space="preserve">             </w:t>
      </w:r>
    </w:p>
    <w:p w14:paraId="58393028">
      <w:pPr>
        <w:spacing w:line="500" w:lineRule="exact"/>
        <w:rPr>
          <w:rFonts w:hint="eastAsia" w:ascii="宋体" w:hAnsi="宋体" w:cs="宋体"/>
          <w:color w:val="auto"/>
          <w:szCs w:val="21"/>
          <w:highlight w:val="none"/>
        </w:rPr>
      </w:pPr>
    </w:p>
    <w:p w14:paraId="2E340899">
      <w:pPr>
        <w:spacing w:line="520" w:lineRule="exact"/>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谈 判 书</w:t>
      </w:r>
    </w:p>
    <w:p w14:paraId="31C8DE43">
      <w:pPr>
        <w:spacing w:line="520" w:lineRule="exact"/>
        <w:jc w:val="center"/>
        <w:rPr>
          <w:rFonts w:hint="eastAsia" w:ascii="宋体" w:hAnsi="宋体" w:cs="宋体"/>
          <w:b/>
          <w:color w:val="auto"/>
          <w:szCs w:val="21"/>
          <w:highlight w:val="none"/>
        </w:rPr>
      </w:pPr>
    </w:p>
    <w:p w14:paraId="5BC5B73C">
      <w:pPr>
        <w:pStyle w:val="10"/>
        <w:spacing w:line="520" w:lineRule="exact"/>
        <w:rPr>
          <w:rFonts w:hint="eastAsia" w:hAnsi="宋体" w:cs="宋体"/>
          <w:color w:val="auto"/>
          <w:sz w:val="22"/>
          <w:szCs w:val="22"/>
          <w:highlight w:val="none"/>
        </w:rPr>
      </w:pPr>
      <w:r>
        <w:rPr>
          <w:rFonts w:hint="eastAsia" w:hAnsi="宋体" w:cs="宋体"/>
          <w:color w:val="auto"/>
          <w:sz w:val="22"/>
          <w:szCs w:val="22"/>
          <w:highlight w:val="none"/>
          <w:u w:val="single"/>
        </w:rPr>
        <w:t>采购代理机构名称</w:t>
      </w:r>
      <w:r>
        <w:rPr>
          <w:rFonts w:hint="eastAsia" w:hAnsi="宋体" w:cs="宋体"/>
          <w:color w:val="auto"/>
          <w:sz w:val="22"/>
          <w:szCs w:val="22"/>
          <w:highlight w:val="none"/>
        </w:rPr>
        <w:t>：</w:t>
      </w:r>
    </w:p>
    <w:p w14:paraId="37D5E6E8">
      <w:pPr>
        <w:pStyle w:val="10"/>
        <w:spacing w:line="520" w:lineRule="exact"/>
        <w:ind w:firstLine="480"/>
        <w:rPr>
          <w:rFonts w:hint="eastAsia" w:hAnsi="宋体" w:cs="宋体"/>
          <w:color w:val="auto"/>
          <w:sz w:val="22"/>
          <w:szCs w:val="22"/>
          <w:highlight w:val="none"/>
        </w:rPr>
      </w:pPr>
      <w:r>
        <w:rPr>
          <w:rFonts w:hint="eastAsia" w:hAnsi="宋体" w:cs="宋体"/>
          <w:color w:val="auto"/>
          <w:sz w:val="22"/>
          <w:szCs w:val="22"/>
          <w:highlight w:val="none"/>
        </w:rPr>
        <w:t>依据贵方</w:t>
      </w:r>
      <w:r>
        <w:rPr>
          <w:rFonts w:hint="eastAsia" w:hAnsi="宋体" w:cs="宋体"/>
          <w:color w:val="auto"/>
          <w:sz w:val="22"/>
          <w:szCs w:val="22"/>
          <w:highlight w:val="none"/>
          <w:u w:val="single"/>
        </w:rPr>
        <w:t>（项目名称/项目编号）</w:t>
      </w:r>
      <w:r>
        <w:rPr>
          <w:rFonts w:hint="eastAsia" w:hAnsi="宋体" w:cs="宋体"/>
          <w:color w:val="auto"/>
          <w:sz w:val="22"/>
          <w:szCs w:val="22"/>
          <w:highlight w:val="none"/>
        </w:rPr>
        <w:t>项目政府采购的谈判邀请，我方</w:t>
      </w:r>
      <w:r>
        <w:rPr>
          <w:rFonts w:hint="eastAsia" w:hAnsi="宋体" w:cs="宋体"/>
          <w:color w:val="auto"/>
          <w:sz w:val="22"/>
          <w:szCs w:val="22"/>
          <w:highlight w:val="none"/>
          <w:u w:val="single"/>
        </w:rPr>
        <w:t>（姓名和职务）</w:t>
      </w:r>
      <w:r>
        <w:rPr>
          <w:rFonts w:hint="eastAsia" w:hAnsi="宋体" w:cs="宋体"/>
          <w:color w:val="auto"/>
          <w:sz w:val="22"/>
          <w:szCs w:val="22"/>
          <w:highlight w:val="none"/>
        </w:rPr>
        <w:t>经正式授权并代表本单位</w:t>
      </w:r>
      <w:r>
        <w:rPr>
          <w:rFonts w:hint="eastAsia" w:hAnsi="宋体" w:cs="宋体"/>
          <w:color w:val="auto"/>
          <w:sz w:val="22"/>
          <w:szCs w:val="22"/>
          <w:highlight w:val="none"/>
          <w:u w:val="single"/>
        </w:rPr>
        <w:t>（谈判供应商名称、地址）</w:t>
      </w:r>
      <w:r>
        <w:rPr>
          <w:rFonts w:hint="eastAsia" w:hAnsi="宋体" w:cs="宋体"/>
          <w:color w:val="auto"/>
          <w:sz w:val="22"/>
          <w:szCs w:val="22"/>
          <w:highlight w:val="none"/>
        </w:rPr>
        <w:t>提交下述竞争性谈判响应文件</w:t>
      </w:r>
      <w:r>
        <w:rPr>
          <w:rFonts w:hint="eastAsia" w:hAnsi="宋体" w:cs="宋体"/>
          <w:b/>
          <w:color w:val="auto"/>
          <w:sz w:val="22"/>
          <w:szCs w:val="22"/>
          <w:highlight w:val="none"/>
        </w:rPr>
        <w:t>（价格文件、商务技术文件）</w:t>
      </w:r>
      <w:r>
        <w:rPr>
          <w:rFonts w:hint="eastAsia" w:hAnsi="宋体" w:cs="宋体"/>
          <w:color w:val="auto"/>
          <w:sz w:val="22"/>
          <w:szCs w:val="22"/>
          <w:highlight w:val="none"/>
        </w:rPr>
        <w:t>。</w:t>
      </w:r>
    </w:p>
    <w:p w14:paraId="7877DE6F">
      <w:pPr>
        <w:pStyle w:val="10"/>
        <w:spacing w:line="520" w:lineRule="exact"/>
        <w:ind w:firstLine="480"/>
        <w:rPr>
          <w:rFonts w:hint="eastAsia" w:hAnsi="宋体" w:cs="宋体"/>
          <w:color w:val="auto"/>
          <w:sz w:val="22"/>
          <w:szCs w:val="22"/>
          <w:highlight w:val="none"/>
        </w:rPr>
      </w:pPr>
      <w:r>
        <w:rPr>
          <w:rFonts w:hint="eastAsia" w:hAnsi="宋体" w:cs="宋体"/>
          <w:color w:val="auto"/>
          <w:sz w:val="22"/>
          <w:szCs w:val="22"/>
          <w:highlight w:val="none"/>
        </w:rPr>
        <w:t>1. 报价表；</w:t>
      </w:r>
    </w:p>
    <w:p w14:paraId="6D2CF334">
      <w:pPr>
        <w:pStyle w:val="10"/>
        <w:spacing w:line="520" w:lineRule="exact"/>
        <w:ind w:firstLine="480"/>
        <w:rPr>
          <w:rFonts w:hint="eastAsia" w:hAnsi="宋体" w:cs="宋体"/>
          <w:color w:val="auto"/>
          <w:sz w:val="22"/>
          <w:szCs w:val="22"/>
          <w:highlight w:val="none"/>
        </w:rPr>
      </w:pPr>
      <w:r>
        <w:rPr>
          <w:rFonts w:hint="eastAsia" w:hAnsi="宋体" w:cs="宋体"/>
          <w:color w:val="auto"/>
          <w:sz w:val="22"/>
          <w:szCs w:val="22"/>
          <w:highlight w:val="none"/>
        </w:rPr>
        <w:t>2. 商务、技术响应、偏离情况说明表；</w:t>
      </w:r>
    </w:p>
    <w:p w14:paraId="40D9348A">
      <w:pPr>
        <w:pStyle w:val="10"/>
        <w:spacing w:line="520" w:lineRule="exact"/>
        <w:ind w:firstLine="480"/>
        <w:rPr>
          <w:rFonts w:hint="eastAsia" w:hAnsi="宋体" w:cs="宋体"/>
          <w:color w:val="auto"/>
          <w:sz w:val="22"/>
          <w:szCs w:val="22"/>
          <w:highlight w:val="none"/>
        </w:rPr>
      </w:pPr>
      <w:r>
        <w:rPr>
          <w:rFonts w:hint="eastAsia" w:hAnsi="宋体" w:cs="宋体"/>
          <w:color w:val="auto"/>
          <w:sz w:val="22"/>
          <w:szCs w:val="22"/>
          <w:highlight w:val="none"/>
        </w:rPr>
        <w:t>3. 资格证明文件；</w:t>
      </w:r>
    </w:p>
    <w:p w14:paraId="371E4722">
      <w:pPr>
        <w:pStyle w:val="10"/>
        <w:spacing w:line="520" w:lineRule="exact"/>
        <w:ind w:firstLine="480"/>
        <w:rPr>
          <w:rFonts w:hint="eastAsia" w:hAnsi="宋体" w:cs="宋体"/>
          <w:color w:val="auto"/>
          <w:sz w:val="22"/>
          <w:szCs w:val="22"/>
          <w:highlight w:val="none"/>
        </w:rPr>
      </w:pPr>
      <w:r>
        <w:rPr>
          <w:rFonts w:hint="eastAsia" w:hAnsi="宋体" w:cs="宋体"/>
          <w:color w:val="auto"/>
          <w:sz w:val="22"/>
          <w:szCs w:val="22"/>
          <w:highlight w:val="none"/>
        </w:rPr>
        <w:t>4. 按竞争性谈判文件谈判供应商须知和采购需求提供的有关文件；</w:t>
      </w:r>
    </w:p>
    <w:p w14:paraId="0A36ACC4">
      <w:pPr>
        <w:pStyle w:val="10"/>
        <w:spacing w:line="520" w:lineRule="exact"/>
        <w:ind w:firstLine="330" w:firstLineChars="150"/>
        <w:rPr>
          <w:rFonts w:hint="eastAsia" w:hAnsi="宋体" w:cs="宋体"/>
          <w:color w:val="auto"/>
          <w:sz w:val="22"/>
          <w:szCs w:val="22"/>
          <w:highlight w:val="none"/>
        </w:rPr>
      </w:pPr>
      <w:r>
        <w:rPr>
          <w:rFonts w:hint="eastAsia" w:hAnsi="宋体" w:cs="宋体"/>
          <w:color w:val="auto"/>
          <w:sz w:val="22"/>
          <w:szCs w:val="22"/>
          <w:highlight w:val="none"/>
        </w:rPr>
        <w:t>在此，授权代表宣布同意如下：</w:t>
      </w:r>
    </w:p>
    <w:p w14:paraId="5E017DD3">
      <w:pPr>
        <w:pStyle w:val="10"/>
        <w:spacing w:line="520" w:lineRule="exact"/>
        <w:ind w:firstLine="550" w:firstLineChars="250"/>
        <w:rPr>
          <w:rFonts w:hint="eastAsia" w:hAnsi="宋体" w:cs="宋体"/>
          <w:color w:val="auto"/>
          <w:sz w:val="22"/>
          <w:szCs w:val="22"/>
          <w:highlight w:val="none"/>
        </w:rPr>
      </w:pPr>
      <w:r>
        <w:rPr>
          <w:rFonts w:hint="eastAsia" w:hAnsi="宋体" w:cs="宋体"/>
          <w:color w:val="auto"/>
          <w:sz w:val="22"/>
          <w:szCs w:val="22"/>
          <w:highlight w:val="none"/>
        </w:rPr>
        <w:t>1. 将按竞争性谈判文件的约定履行合同责任和义务；</w:t>
      </w:r>
    </w:p>
    <w:p w14:paraId="46DF92AA">
      <w:pPr>
        <w:pStyle w:val="10"/>
        <w:spacing w:line="520" w:lineRule="exact"/>
        <w:ind w:firstLine="565" w:firstLineChars="257"/>
        <w:rPr>
          <w:rFonts w:hint="eastAsia" w:hAnsi="宋体" w:cs="宋体"/>
          <w:color w:val="auto"/>
          <w:sz w:val="22"/>
          <w:szCs w:val="22"/>
          <w:highlight w:val="none"/>
        </w:rPr>
      </w:pPr>
      <w:r>
        <w:rPr>
          <w:rFonts w:hint="eastAsia" w:hAnsi="宋体" w:cs="宋体"/>
          <w:color w:val="auto"/>
          <w:sz w:val="22"/>
          <w:szCs w:val="22"/>
          <w:highlight w:val="none"/>
        </w:rPr>
        <w:t>2. 已详细审查全部竞争性谈判文件，包括</w:t>
      </w:r>
      <w:r>
        <w:rPr>
          <w:rFonts w:hint="eastAsia" w:hAnsi="宋体" w:cs="宋体"/>
          <w:color w:val="auto"/>
          <w:sz w:val="22"/>
          <w:szCs w:val="22"/>
          <w:highlight w:val="none"/>
          <w:u w:val="single"/>
        </w:rPr>
        <w:t>（补遗文件）（如果有的话）</w:t>
      </w:r>
      <w:r>
        <w:rPr>
          <w:rFonts w:hint="eastAsia" w:hAnsi="宋体" w:cs="宋体"/>
          <w:color w:val="auto"/>
          <w:sz w:val="22"/>
          <w:szCs w:val="22"/>
          <w:highlight w:val="none"/>
        </w:rPr>
        <w:t>；</w:t>
      </w:r>
    </w:p>
    <w:p w14:paraId="444F3BFE">
      <w:pPr>
        <w:pStyle w:val="10"/>
        <w:spacing w:line="520" w:lineRule="exact"/>
        <w:ind w:left="2" w:firstLine="563" w:firstLineChars="256"/>
        <w:rPr>
          <w:rFonts w:hint="eastAsia" w:hAnsi="宋体" w:cs="宋体"/>
          <w:color w:val="auto"/>
          <w:sz w:val="22"/>
          <w:szCs w:val="22"/>
          <w:highlight w:val="none"/>
        </w:rPr>
      </w:pPr>
      <w:r>
        <w:rPr>
          <w:rFonts w:hint="eastAsia" w:hAnsi="宋体" w:cs="宋体"/>
          <w:color w:val="auto"/>
          <w:sz w:val="22"/>
          <w:szCs w:val="22"/>
          <w:highlight w:val="none"/>
        </w:rPr>
        <w:t>3. 同意提供按照贵方可能要求的与其谈判有关的一切数据或资料；</w:t>
      </w:r>
    </w:p>
    <w:p w14:paraId="4D3172F6">
      <w:pPr>
        <w:pStyle w:val="10"/>
        <w:spacing w:line="520" w:lineRule="exact"/>
        <w:ind w:firstLine="594" w:firstLineChars="270"/>
        <w:rPr>
          <w:rFonts w:hint="eastAsia" w:hAnsi="宋体" w:cs="宋体"/>
          <w:color w:val="auto"/>
          <w:sz w:val="22"/>
          <w:szCs w:val="22"/>
          <w:highlight w:val="none"/>
          <w:u w:val="single"/>
        </w:rPr>
      </w:pPr>
      <w:r>
        <w:rPr>
          <w:rFonts w:hint="eastAsia" w:hAnsi="宋体" w:cs="宋体"/>
          <w:color w:val="auto"/>
          <w:sz w:val="22"/>
          <w:szCs w:val="22"/>
          <w:highlight w:val="none"/>
        </w:rPr>
        <w:t>4. 与本谈判有关的一切正式往来信函请寄：</w:t>
      </w:r>
      <w:r>
        <w:rPr>
          <w:rFonts w:hint="eastAsia" w:hAnsi="宋体" w:cs="宋体"/>
          <w:color w:val="auto"/>
          <w:sz w:val="22"/>
          <w:szCs w:val="22"/>
          <w:highlight w:val="none"/>
          <w:u w:val="single"/>
        </w:rPr>
        <w:t xml:space="preserve">                       </w:t>
      </w:r>
    </w:p>
    <w:p w14:paraId="5AE805C6">
      <w:pPr>
        <w:pStyle w:val="10"/>
        <w:spacing w:line="520" w:lineRule="exact"/>
        <w:ind w:firstLine="840"/>
        <w:rPr>
          <w:rFonts w:hint="eastAsia" w:hAnsi="宋体" w:cs="宋体"/>
          <w:color w:val="auto"/>
          <w:sz w:val="22"/>
          <w:szCs w:val="22"/>
          <w:highlight w:val="none"/>
          <w:u w:val="single"/>
        </w:rPr>
      </w:pPr>
      <w:r>
        <w:rPr>
          <w:rFonts w:hint="eastAsia" w:hAnsi="宋体" w:cs="宋体"/>
          <w:color w:val="auto"/>
          <w:sz w:val="22"/>
          <w:szCs w:val="22"/>
          <w:highlight w:val="none"/>
        </w:rPr>
        <w:t>开户银行：</w:t>
      </w:r>
      <w:r>
        <w:rPr>
          <w:rFonts w:hint="eastAsia" w:hAnsi="宋体" w:cs="宋体"/>
          <w:color w:val="auto"/>
          <w:sz w:val="22"/>
          <w:szCs w:val="22"/>
          <w:highlight w:val="none"/>
          <w:u w:val="single"/>
        </w:rPr>
        <w:t xml:space="preserve">                         </w:t>
      </w:r>
      <w:r>
        <w:rPr>
          <w:rFonts w:hint="eastAsia" w:hAnsi="宋体" w:cs="宋体"/>
          <w:color w:val="auto"/>
          <w:sz w:val="22"/>
          <w:szCs w:val="22"/>
          <w:highlight w:val="none"/>
        </w:rPr>
        <w:t xml:space="preserve">  帐号/行号：</w:t>
      </w:r>
      <w:r>
        <w:rPr>
          <w:rFonts w:hint="eastAsia" w:hAnsi="宋体" w:cs="宋体"/>
          <w:color w:val="auto"/>
          <w:sz w:val="22"/>
          <w:szCs w:val="22"/>
          <w:highlight w:val="none"/>
          <w:u w:val="single"/>
        </w:rPr>
        <w:t xml:space="preserve">        </w:t>
      </w:r>
      <w:r>
        <w:rPr>
          <w:rFonts w:hint="eastAsia" w:hAnsi="宋体" w:cs="宋体"/>
          <w:color w:val="auto"/>
          <w:sz w:val="22"/>
          <w:szCs w:val="22"/>
          <w:highlight w:val="none"/>
          <w:u w:val="single"/>
          <w:lang w:val="en-US" w:eastAsia="zh-CN"/>
        </w:rPr>
        <w:t xml:space="preserve">  </w:t>
      </w:r>
      <w:r>
        <w:rPr>
          <w:rFonts w:hint="eastAsia" w:hAnsi="宋体" w:cs="宋体"/>
          <w:color w:val="auto"/>
          <w:sz w:val="22"/>
          <w:szCs w:val="22"/>
          <w:highlight w:val="none"/>
          <w:u w:val="single"/>
        </w:rPr>
        <w:t xml:space="preserve">  </w:t>
      </w:r>
    </w:p>
    <w:p w14:paraId="062F1F78">
      <w:pPr>
        <w:pStyle w:val="10"/>
        <w:spacing w:line="520" w:lineRule="exact"/>
        <w:ind w:firstLine="840"/>
        <w:rPr>
          <w:rFonts w:hint="eastAsia" w:hAnsi="宋体" w:cs="宋体"/>
          <w:color w:val="auto"/>
          <w:sz w:val="22"/>
          <w:szCs w:val="22"/>
          <w:highlight w:val="none"/>
        </w:rPr>
      </w:pPr>
      <w:r>
        <w:rPr>
          <w:rFonts w:hint="eastAsia" w:hAnsi="宋体" w:cs="宋体"/>
          <w:color w:val="auto"/>
          <w:sz w:val="22"/>
          <w:szCs w:val="22"/>
          <w:highlight w:val="none"/>
        </w:rPr>
        <w:t>电话/传真：</w:t>
      </w:r>
      <w:r>
        <w:rPr>
          <w:rFonts w:hint="eastAsia" w:hAnsi="宋体" w:cs="宋体"/>
          <w:color w:val="auto"/>
          <w:sz w:val="22"/>
          <w:szCs w:val="22"/>
          <w:highlight w:val="none"/>
          <w:u w:val="single"/>
        </w:rPr>
        <w:t xml:space="preserve">                        </w:t>
      </w:r>
      <w:r>
        <w:rPr>
          <w:rFonts w:hint="eastAsia" w:hAnsi="宋体" w:cs="宋体"/>
          <w:color w:val="auto"/>
          <w:sz w:val="22"/>
          <w:szCs w:val="22"/>
          <w:highlight w:val="none"/>
        </w:rPr>
        <w:t xml:space="preserve"> </w:t>
      </w:r>
      <w:r>
        <w:rPr>
          <w:rFonts w:hint="eastAsia" w:hAnsi="宋体" w:cs="宋体"/>
          <w:color w:val="auto"/>
          <w:sz w:val="22"/>
          <w:szCs w:val="22"/>
          <w:highlight w:val="none"/>
          <w:lang w:val="en-US" w:eastAsia="zh-CN"/>
        </w:rPr>
        <w:t xml:space="preserve"> </w:t>
      </w:r>
      <w:r>
        <w:rPr>
          <w:rFonts w:hint="eastAsia" w:hAnsi="宋体" w:cs="宋体"/>
          <w:color w:val="auto"/>
          <w:sz w:val="22"/>
          <w:szCs w:val="22"/>
          <w:highlight w:val="none"/>
        </w:rPr>
        <w:t>电子函件：</w:t>
      </w:r>
      <w:r>
        <w:rPr>
          <w:rFonts w:hint="eastAsia" w:hAnsi="宋体" w:cs="宋体"/>
          <w:color w:val="auto"/>
          <w:sz w:val="22"/>
          <w:szCs w:val="22"/>
          <w:highlight w:val="none"/>
          <w:u w:val="single"/>
        </w:rPr>
        <w:t xml:space="preserve">             </w:t>
      </w:r>
      <w:r>
        <w:rPr>
          <w:rFonts w:hint="eastAsia" w:hAnsi="宋体" w:cs="宋体"/>
          <w:color w:val="auto"/>
          <w:sz w:val="22"/>
          <w:szCs w:val="22"/>
          <w:highlight w:val="none"/>
        </w:rPr>
        <w:t xml:space="preserve">              </w:t>
      </w:r>
    </w:p>
    <w:p w14:paraId="27017791">
      <w:pPr>
        <w:pStyle w:val="10"/>
        <w:spacing w:line="520" w:lineRule="exact"/>
        <w:ind w:firstLine="840"/>
        <w:rPr>
          <w:rFonts w:hint="eastAsia" w:hAnsi="宋体" w:cs="宋体"/>
          <w:color w:val="auto"/>
          <w:sz w:val="22"/>
          <w:szCs w:val="22"/>
          <w:highlight w:val="none"/>
          <w:u w:val="single"/>
        </w:rPr>
      </w:pPr>
      <w:r>
        <w:rPr>
          <w:rFonts w:hint="eastAsia" w:hAnsi="宋体" w:cs="宋体"/>
          <w:color w:val="auto"/>
          <w:sz w:val="22"/>
          <w:szCs w:val="22"/>
          <w:highlight w:val="none"/>
        </w:rPr>
        <w:t>日期：</w:t>
      </w:r>
      <w:r>
        <w:rPr>
          <w:rFonts w:hint="eastAsia" w:hAnsi="宋体" w:cs="宋体"/>
          <w:color w:val="auto"/>
          <w:sz w:val="22"/>
          <w:szCs w:val="22"/>
          <w:highlight w:val="none"/>
          <w:u w:val="single"/>
        </w:rPr>
        <w:t xml:space="preserve">      </w:t>
      </w:r>
      <w:r>
        <w:rPr>
          <w:rFonts w:hint="eastAsia" w:hAnsi="宋体" w:cs="宋体"/>
          <w:color w:val="auto"/>
          <w:sz w:val="22"/>
          <w:szCs w:val="22"/>
          <w:highlight w:val="none"/>
        </w:rPr>
        <w:t>年</w:t>
      </w:r>
      <w:r>
        <w:rPr>
          <w:rFonts w:hint="eastAsia" w:hAnsi="宋体" w:cs="宋体"/>
          <w:color w:val="auto"/>
          <w:sz w:val="22"/>
          <w:szCs w:val="22"/>
          <w:highlight w:val="none"/>
          <w:u w:val="single"/>
        </w:rPr>
        <w:t xml:space="preserve"> </w:t>
      </w:r>
      <w:r>
        <w:rPr>
          <w:rFonts w:hint="eastAsia" w:hAnsi="宋体" w:cs="宋体"/>
          <w:color w:val="auto"/>
          <w:sz w:val="22"/>
          <w:szCs w:val="22"/>
          <w:highlight w:val="none"/>
          <w:u w:val="single"/>
          <w:lang w:val="en-US" w:eastAsia="zh-CN"/>
        </w:rPr>
        <w:t xml:space="preserve"> </w:t>
      </w:r>
      <w:r>
        <w:rPr>
          <w:rFonts w:hint="eastAsia" w:hAnsi="宋体" w:cs="宋体"/>
          <w:color w:val="auto"/>
          <w:sz w:val="22"/>
          <w:szCs w:val="22"/>
          <w:highlight w:val="none"/>
          <w:u w:val="single"/>
        </w:rPr>
        <w:t xml:space="preserve">  </w:t>
      </w:r>
      <w:r>
        <w:rPr>
          <w:rFonts w:hint="eastAsia" w:hAnsi="宋体" w:cs="宋体"/>
          <w:color w:val="auto"/>
          <w:sz w:val="22"/>
          <w:szCs w:val="22"/>
          <w:highlight w:val="none"/>
        </w:rPr>
        <w:t>月</w:t>
      </w:r>
      <w:r>
        <w:rPr>
          <w:rFonts w:hint="eastAsia" w:hAnsi="宋体" w:cs="宋体"/>
          <w:color w:val="auto"/>
          <w:sz w:val="22"/>
          <w:szCs w:val="22"/>
          <w:highlight w:val="none"/>
          <w:u w:val="single"/>
        </w:rPr>
        <w:t xml:space="preserve">    </w:t>
      </w:r>
      <w:r>
        <w:rPr>
          <w:rFonts w:hint="eastAsia" w:hAnsi="宋体" w:cs="宋体"/>
          <w:color w:val="auto"/>
          <w:sz w:val="22"/>
          <w:szCs w:val="22"/>
          <w:highlight w:val="none"/>
        </w:rPr>
        <w:t>日</w:t>
      </w:r>
    </w:p>
    <w:p w14:paraId="6DAFDDC5">
      <w:pPr>
        <w:pStyle w:val="10"/>
        <w:spacing w:line="520" w:lineRule="exact"/>
        <w:ind w:firstLine="840"/>
        <w:rPr>
          <w:rFonts w:hint="eastAsia" w:hAnsi="宋体" w:cs="宋体"/>
          <w:color w:val="auto"/>
          <w:sz w:val="22"/>
          <w:szCs w:val="22"/>
          <w:highlight w:val="none"/>
          <w:u w:val="single"/>
        </w:rPr>
      </w:pPr>
      <w:r>
        <w:rPr>
          <w:rFonts w:hint="eastAsia" w:hAnsi="宋体" w:cs="宋体"/>
          <w:color w:val="auto"/>
          <w:sz w:val="22"/>
          <w:szCs w:val="22"/>
          <w:highlight w:val="none"/>
        </w:rPr>
        <w:t>法定代表人或委托代理人（被授权人）签字：</w:t>
      </w:r>
      <w:r>
        <w:rPr>
          <w:rFonts w:hint="eastAsia" w:hAnsi="宋体" w:cs="宋体"/>
          <w:color w:val="auto"/>
          <w:sz w:val="22"/>
          <w:szCs w:val="22"/>
          <w:highlight w:val="none"/>
          <w:u w:val="single"/>
        </w:rPr>
        <w:t xml:space="preserve">                    </w:t>
      </w:r>
    </w:p>
    <w:p w14:paraId="4F66C8C2">
      <w:pPr>
        <w:pStyle w:val="10"/>
        <w:spacing w:line="520" w:lineRule="exact"/>
        <w:ind w:firstLine="840"/>
        <w:rPr>
          <w:rFonts w:hint="eastAsia" w:hAnsi="宋体" w:cs="宋体"/>
          <w:color w:val="auto"/>
          <w:sz w:val="22"/>
          <w:szCs w:val="22"/>
          <w:highlight w:val="none"/>
        </w:rPr>
      </w:pPr>
      <w:r>
        <w:rPr>
          <w:rFonts w:hint="eastAsia" w:hAnsi="宋体" w:cs="宋体"/>
          <w:color w:val="auto"/>
          <w:sz w:val="22"/>
          <w:szCs w:val="22"/>
          <w:highlight w:val="none"/>
        </w:rPr>
        <w:t>谈判供应商名称（盖章）：</w:t>
      </w:r>
      <w:r>
        <w:rPr>
          <w:rFonts w:hint="eastAsia" w:hAnsi="宋体" w:cs="宋体"/>
          <w:color w:val="auto"/>
          <w:sz w:val="22"/>
          <w:szCs w:val="22"/>
          <w:highlight w:val="none"/>
          <w:u w:val="single"/>
        </w:rPr>
        <w:t xml:space="preserve">                                    </w:t>
      </w:r>
      <w:r>
        <w:rPr>
          <w:rFonts w:hint="eastAsia" w:hAnsi="宋体" w:cs="宋体"/>
          <w:color w:val="auto"/>
          <w:sz w:val="22"/>
          <w:szCs w:val="22"/>
          <w:highlight w:val="none"/>
        </w:rPr>
        <w:t xml:space="preserve">                           </w:t>
      </w:r>
    </w:p>
    <w:p w14:paraId="1FB4EE50">
      <w:pPr>
        <w:pStyle w:val="10"/>
        <w:spacing w:line="520" w:lineRule="exact"/>
        <w:ind w:firstLine="840"/>
        <w:rPr>
          <w:rFonts w:hint="eastAsia" w:hAnsi="宋体" w:cs="宋体"/>
          <w:color w:val="auto"/>
          <w:sz w:val="22"/>
          <w:szCs w:val="22"/>
          <w:highlight w:val="none"/>
        </w:rPr>
      </w:pPr>
      <w:r>
        <w:rPr>
          <w:rFonts w:hint="eastAsia" w:hAnsi="宋体" w:cs="宋体"/>
          <w:color w:val="auto"/>
          <w:sz w:val="22"/>
          <w:szCs w:val="22"/>
          <w:highlight w:val="none"/>
        </w:rPr>
        <w:t xml:space="preserve">                     </w:t>
      </w:r>
    </w:p>
    <w:p w14:paraId="277B8EB7">
      <w:pPr>
        <w:adjustRightInd w:val="0"/>
        <w:snapToGrid w:val="0"/>
        <w:spacing w:line="300" w:lineRule="auto"/>
        <w:rPr>
          <w:rFonts w:hint="eastAsia" w:ascii="宋体" w:hAnsi="宋体" w:cs="宋体"/>
          <w:color w:val="auto"/>
          <w:szCs w:val="21"/>
          <w:highlight w:val="none"/>
        </w:rPr>
      </w:pPr>
      <w:r>
        <w:rPr>
          <w:rFonts w:hint="eastAsia" w:ascii="宋体" w:hAnsi="宋体" w:cs="宋体"/>
          <w:color w:val="auto"/>
          <w:szCs w:val="21"/>
          <w:highlight w:val="none"/>
        </w:rPr>
        <w:br w:type="page"/>
      </w:r>
    </w:p>
    <w:p w14:paraId="40798969">
      <w:pPr>
        <w:adjustRightInd w:val="0"/>
        <w:snapToGrid w:val="0"/>
        <w:spacing w:line="300" w:lineRule="auto"/>
        <w:rPr>
          <w:rFonts w:hint="eastAsia"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 xml:space="preserve">  </w:t>
      </w:r>
    </w:p>
    <w:p w14:paraId="5204BF4F">
      <w:pPr>
        <w:spacing w:line="300" w:lineRule="auto"/>
        <w:rPr>
          <w:rFonts w:hint="eastAsia" w:ascii="宋体" w:hAnsi="宋体" w:cs="宋体"/>
          <w:b/>
          <w:color w:val="auto"/>
          <w:szCs w:val="21"/>
          <w:highlight w:val="none"/>
        </w:rPr>
      </w:pPr>
    </w:p>
    <w:p w14:paraId="52998B9F">
      <w:pPr>
        <w:spacing w:line="300" w:lineRule="auto"/>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商务、技术响应、偏离情况说明表</w:t>
      </w:r>
    </w:p>
    <w:p w14:paraId="222476C8">
      <w:pPr>
        <w:spacing w:line="300" w:lineRule="auto"/>
        <w:rPr>
          <w:rFonts w:hint="eastAsia" w:ascii="宋体" w:hAnsi="宋体" w:cs="宋体"/>
          <w:color w:val="auto"/>
          <w:szCs w:val="21"/>
          <w:highlight w:val="none"/>
        </w:rPr>
      </w:pPr>
    </w:p>
    <w:p w14:paraId="783C05F6">
      <w:pPr>
        <w:spacing w:before="156" w:beforeLines="50" w:after="156" w:afterLines="50" w:line="360" w:lineRule="exact"/>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u w:val="single"/>
        </w:rPr>
        <w:t xml:space="preserve">                 </w:t>
      </w:r>
    </w:p>
    <w:p w14:paraId="48F6A33B">
      <w:pPr>
        <w:spacing w:before="156" w:beforeLines="50" w:after="156" w:afterLines="50"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tbl>
      <w:tblPr>
        <w:tblStyle w:val="16"/>
        <w:tblW w:w="918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5EE009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678" w:hRule="atLeast"/>
          <w:jc w:val="center"/>
        </w:trPr>
        <w:tc>
          <w:tcPr>
            <w:tcW w:w="606" w:type="dxa"/>
            <w:noWrap w:val="0"/>
            <w:vAlign w:val="center"/>
          </w:tcPr>
          <w:p w14:paraId="1F714B8E">
            <w:pPr>
              <w:jc w:val="center"/>
              <w:rPr>
                <w:rFonts w:hint="eastAsia" w:ascii="宋体" w:hAnsi="宋体" w:eastAsia="宋体" w:cs="宋体"/>
                <w:color w:val="auto"/>
                <w:sz w:val="22"/>
                <w:szCs w:val="22"/>
                <w:highlight w:val="none"/>
              </w:rPr>
            </w:pPr>
            <w:bookmarkStart w:id="43" w:name="_Toc173066401"/>
            <w:bookmarkStart w:id="44" w:name="_Toc254970588"/>
            <w:bookmarkStart w:id="45" w:name="_Toc19444"/>
            <w:bookmarkStart w:id="46" w:name="_Toc254970729"/>
            <w:bookmarkStart w:id="47" w:name="_Toc405905876"/>
            <w:bookmarkStart w:id="48" w:name="_Toc173211900"/>
            <w:r>
              <w:rPr>
                <w:rFonts w:hint="eastAsia" w:ascii="宋体" w:hAnsi="宋体" w:eastAsia="宋体" w:cs="宋体"/>
                <w:color w:val="auto"/>
                <w:sz w:val="22"/>
                <w:szCs w:val="22"/>
                <w:highlight w:val="none"/>
              </w:rPr>
              <w:t>序号</w:t>
            </w:r>
            <w:bookmarkEnd w:id="43"/>
            <w:bookmarkEnd w:id="44"/>
            <w:bookmarkEnd w:id="45"/>
            <w:bookmarkEnd w:id="46"/>
            <w:bookmarkEnd w:id="47"/>
            <w:bookmarkEnd w:id="48"/>
          </w:p>
        </w:tc>
        <w:tc>
          <w:tcPr>
            <w:tcW w:w="2809" w:type="dxa"/>
            <w:noWrap w:val="0"/>
            <w:vAlign w:val="center"/>
          </w:tcPr>
          <w:p w14:paraId="1D8C9D3E">
            <w:pPr>
              <w:jc w:val="center"/>
              <w:rPr>
                <w:rFonts w:hint="eastAsia" w:ascii="宋体" w:hAnsi="宋体" w:eastAsia="宋体" w:cs="宋体"/>
                <w:color w:val="auto"/>
                <w:sz w:val="22"/>
                <w:szCs w:val="22"/>
                <w:highlight w:val="none"/>
              </w:rPr>
            </w:pPr>
            <w:bookmarkStart w:id="49" w:name="_Toc405905877"/>
            <w:bookmarkStart w:id="50" w:name="_Toc173211901"/>
            <w:bookmarkStart w:id="51" w:name="_Toc1063"/>
            <w:bookmarkStart w:id="52" w:name="_Toc173066402"/>
            <w:bookmarkStart w:id="53" w:name="_Toc254970730"/>
            <w:bookmarkStart w:id="54" w:name="_Toc254970589"/>
            <w:r>
              <w:rPr>
                <w:rFonts w:hint="eastAsia" w:ascii="宋体" w:hAnsi="宋体" w:eastAsia="宋体" w:cs="宋体"/>
                <w:color w:val="auto"/>
                <w:sz w:val="22"/>
                <w:szCs w:val="22"/>
                <w:highlight w:val="none"/>
              </w:rPr>
              <w:t>竞争性谈判文件要求</w:t>
            </w:r>
            <w:bookmarkEnd w:id="49"/>
            <w:bookmarkEnd w:id="50"/>
            <w:bookmarkEnd w:id="51"/>
            <w:bookmarkEnd w:id="52"/>
            <w:bookmarkEnd w:id="53"/>
            <w:bookmarkEnd w:id="54"/>
          </w:p>
        </w:tc>
        <w:tc>
          <w:tcPr>
            <w:tcW w:w="2945" w:type="dxa"/>
            <w:noWrap w:val="0"/>
            <w:vAlign w:val="center"/>
          </w:tcPr>
          <w:p w14:paraId="0BA0648A">
            <w:pPr>
              <w:jc w:val="center"/>
              <w:rPr>
                <w:rFonts w:hint="eastAsia" w:ascii="宋体" w:hAnsi="宋体" w:eastAsia="宋体" w:cs="宋体"/>
                <w:color w:val="auto"/>
                <w:sz w:val="22"/>
                <w:szCs w:val="22"/>
                <w:highlight w:val="none"/>
              </w:rPr>
            </w:pPr>
            <w:bookmarkStart w:id="55" w:name="_Toc27805"/>
            <w:bookmarkStart w:id="56" w:name="_Toc405905878"/>
            <w:bookmarkStart w:id="57" w:name="_Toc173066403"/>
            <w:bookmarkStart w:id="58" w:name="_Toc254970731"/>
            <w:bookmarkStart w:id="59" w:name="_Toc254970590"/>
            <w:bookmarkStart w:id="60" w:name="_Toc173211902"/>
            <w:r>
              <w:rPr>
                <w:rFonts w:hint="eastAsia" w:ascii="宋体" w:hAnsi="宋体" w:eastAsia="宋体" w:cs="宋体"/>
                <w:color w:val="auto"/>
                <w:sz w:val="22"/>
                <w:szCs w:val="22"/>
                <w:highlight w:val="none"/>
              </w:rPr>
              <w:t>竞争性谈判响应文件具体响应</w:t>
            </w:r>
            <w:bookmarkEnd w:id="55"/>
            <w:bookmarkEnd w:id="56"/>
            <w:bookmarkEnd w:id="57"/>
            <w:bookmarkEnd w:id="58"/>
            <w:bookmarkEnd w:id="59"/>
            <w:bookmarkEnd w:id="60"/>
          </w:p>
        </w:tc>
        <w:tc>
          <w:tcPr>
            <w:tcW w:w="1464" w:type="dxa"/>
            <w:noWrap w:val="0"/>
            <w:vAlign w:val="center"/>
          </w:tcPr>
          <w:p w14:paraId="74D42830">
            <w:pPr>
              <w:jc w:val="center"/>
              <w:rPr>
                <w:rFonts w:hint="eastAsia" w:ascii="宋体" w:hAnsi="宋体" w:eastAsia="宋体" w:cs="宋体"/>
                <w:color w:val="auto"/>
                <w:sz w:val="22"/>
                <w:szCs w:val="22"/>
                <w:highlight w:val="none"/>
              </w:rPr>
            </w:pPr>
            <w:bookmarkStart w:id="61" w:name="_Toc173066404"/>
            <w:bookmarkStart w:id="62" w:name="_Toc25083"/>
            <w:bookmarkStart w:id="63" w:name="_Toc405905879"/>
            <w:bookmarkStart w:id="64" w:name="_Toc254970732"/>
            <w:bookmarkStart w:id="65" w:name="_Toc254970591"/>
            <w:bookmarkStart w:id="66" w:name="_Toc173211903"/>
            <w:r>
              <w:rPr>
                <w:rFonts w:hint="eastAsia" w:ascii="宋体" w:hAnsi="宋体" w:eastAsia="宋体" w:cs="宋体"/>
                <w:color w:val="auto"/>
                <w:sz w:val="22"/>
                <w:szCs w:val="22"/>
                <w:highlight w:val="none"/>
              </w:rPr>
              <w:t>响应/偏离</w:t>
            </w:r>
            <w:bookmarkEnd w:id="61"/>
            <w:bookmarkEnd w:id="62"/>
            <w:bookmarkEnd w:id="63"/>
            <w:bookmarkEnd w:id="64"/>
            <w:bookmarkEnd w:id="65"/>
            <w:bookmarkEnd w:id="66"/>
          </w:p>
        </w:tc>
        <w:tc>
          <w:tcPr>
            <w:tcW w:w="1361" w:type="dxa"/>
            <w:noWrap w:val="0"/>
            <w:vAlign w:val="center"/>
          </w:tcPr>
          <w:p w14:paraId="0DA5B30A">
            <w:pPr>
              <w:jc w:val="center"/>
              <w:rPr>
                <w:rFonts w:hint="eastAsia" w:ascii="宋体" w:hAnsi="宋体" w:eastAsia="宋体" w:cs="宋体"/>
                <w:color w:val="auto"/>
                <w:sz w:val="22"/>
                <w:szCs w:val="22"/>
                <w:highlight w:val="none"/>
              </w:rPr>
            </w:pPr>
            <w:bookmarkStart w:id="67" w:name="_Toc173066405"/>
            <w:bookmarkStart w:id="68" w:name="_Toc4047"/>
            <w:bookmarkStart w:id="69" w:name="_Toc173211904"/>
            <w:bookmarkStart w:id="70" w:name="_Toc254970733"/>
            <w:bookmarkStart w:id="71" w:name="_Toc254970592"/>
            <w:bookmarkStart w:id="72" w:name="_Toc405905880"/>
            <w:r>
              <w:rPr>
                <w:rFonts w:hint="eastAsia" w:ascii="宋体" w:hAnsi="宋体" w:eastAsia="宋体" w:cs="宋体"/>
                <w:color w:val="auto"/>
                <w:sz w:val="22"/>
                <w:szCs w:val="22"/>
                <w:highlight w:val="none"/>
              </w:rPr>
              <w:t>说明</w:t>
            </w:r>
            <w:bookmarkEnd w:id="67"/>
            <w:bookmarkEnd w:id="68"/>
            <w:bookmarkEnd w:id="69"/>
            <w:bookmarkEnd w:id="70"/>
            <w:bookmarkEnd w:id="71"/>
            <w:bookmarkEnd w:id="72"/>
          </w:p>
        </w:tc>
      </w:tr>
      <w:tr w14:paraId="1479B1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9185" w:type="dxa"/>
            <w:gridSpan w:val="5"/>
            <w:noWrap w:val="0"/>
            <w:vAlign w:val="center"/>
          </w:tcPr>
          <w:p w14:paraId="309A727B">
            <w:pPr>
              <w:jc w:val="center"/>
              <w:rPr>
                <w:rFonts w:hint="eastAsia" w:ascii="宋体" w:hAnsi="宋体" w:eastAsia="宋体" w:cs="宋体"/>
                <w:color w:val="auto"/>
                <w:sz w:val="22"/>
                <w:szCs w:val="22"/>
                <w:highlight w:val="none"/>
              </w:rPr>
            </w:pPr>
            <w:bookmarkStart w:id="73" w:name="_Toc19963"/>
            <w:bookmarkStart w:id="74" w:name="_Toc405905881"/>
            <w:r>
              <w:rPr>
                <w:rFonts w:hint="eastAsia" w:ascii="宋体" w:hAnsi="宋体" w:eastAsia="宋体" w:cs="宋体"/>
                <w:color w:val="auto"/>
                <w:sz w:val="22"/>
                <w:szCs w:val="22"/>
                <w:highlight w:val="none"/>
              </w:rPr>
              <w:t>商务部分</w:t>
            </w:r>
            <w:bookmarkEnd w:id="73"/>
            <w:bookmarkEnd w:id="74"/>
          </w:p>
        </w:tc>
      </w:tr>
      <w:tr w14:paraId="45E53B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14:paraId="026D8446">
            <w:pPr>
              <w:jc w:val="center"/>
              <w:rPr>
                <w:rFonts w:hint="eastAsia" w:ascii="宋体" w:hAnsi="宋体" w:eastAsia="宋体" w:cs="宋体"/>
                <w:color w:val="auto"/>
                <w:sz w:val="22"/>
                <w:szCs w:val="22"/>
                <w:highlight w:val="none"/>
              </w:rPr>
            </w:pPr>
            <w:bookmarkStart w:id="75" w:name="_Toc10288"/>
            <w:bookmarkStart w:id="76" w:name="_Toc405905882"/>
            <w:bookmarkStart w:id="77" w:name="_Toc173066406"/>
            <w:bookmarkStart w:id="78" w:name="_Toc173211905"/>
            <w:bookmarkStart w:id="79" w:name="_Toc254970593"/>
            <w:bookmarkStart w:id="80" w:name="_Toc254970734"/>
            <w:r>
              <w:rPr>
                <w:rFonts w:hint="eastAsia" w:ascii="宋体" w:hAnsi="宋体" w:eastAsia="宋体" w:cs="宋体"/>
                <w:color w:val="auto"/>
                <w:sz w:val="22"/>
                <w:szCs w:val="22"/>
                <w:highlight w:val="none"/>
              </w:rPr>
              <w:t>1</w:t>
            </w:r>
            <w:bookmarkEnd w:id="75"/>
            <w:bookmarkEnd w:id="76"/>
            <w:bookmarkEnd w:id="77"/>
            <w:bookmarkEnd w:id="78"/>
            <w:bookmarkEnd w:id="79"/>
            <w:bookmarkEnd w:id="80"/>
          </w:p>
        </w:tc>
        <w:tc>
          <w:tcPr>
            <w:tcW w:w="2809" w:type="dxa"/>
            <w:noWrap w:val="0"/>
            <w:vAlign w:val="center"/>
          </w:tcPr>
          <w:p w14:paraId="04000A6A">
            <w:pPr>
              <w:jc w:val="center"/>
              <w:rPr>
                <w:rFonts w:hint="eastAsia" w:ascii="宋体" w:hAnsi="宋体" w:eastAsia="宋体" w:cs="宋体"/>
                <w:color w:val="auto"/>
                <w:sz w:val="22"/>
                <w:szCs w:val="22"/>
                <w:highlight w:val="none"/>
              </w:rPr>
            </w:pPr>
          </w:p>
        </w:tc>
        <w:tc>
          <w:tcPr>
            <w:tcW w:w="2945" w:type="dxa"/>
            <w:noWrap w:val="0"/>
            <w:vAlign w:val="center"/>
          </w:tcPr>
          <w:p w14:paraId="014138C1">
            <w:pPr>
              <w:jc w:val="center"/>
              <w:rPr>
                <w:rFonts w:hint="eastAsia" w:ascii="宋体" w:hAnsi="宋体" w:eastAsia="宋体" w:cs="宋体"/>
                <w:color w:val="auto"/>
                <w:sz w:val="22"/>
                <w:szCs w:val="22"/>
                <w:highlight w:val="none"/>
              </w:rPr>
            </w:pPr>
          </w:p>
        </w:tc>
        <w:tc>
          <w:tcPr>
            <w:tcW w:w="1464" w:type="dxa"/>
            <w:noWrap w:val="0"/>
            <w:vAlign w:val="center"/>
          </w:tcPr>
          <w:p w14:paraId="2AEE9AF2">
            <w:pPr>
              <w:jc w:val="center"/>
              <w:rPr>
                <w:rFonts w:hint="eastAsia" w:ascii="宋体" w:hAnsi="宋体" w:eastAsia="宋体" w:cs="宋体"/>
                <w:color w:val="auto"/>
                <w:sz w:val="22"/>
                <w:szCs w:val="22"/>
                <w:highlight w:val="none"/>
              </w:rPr>
            </w:pPr>
          </w:p>
        </w:tc>
        <w:tc>
          <w:tcPr>
            <w:tcW w:w="1361" w:type="dxa"/>
            <w:noWrap w:val="0"/>
            <w:vAlign w:val="center"/>
          </w:tcPr>
          <w:p w14:paraId="1AC2B917">
            <w:pPr>
              <w:jc w:val="center"/>
              <w:rPr>
                <w:rFonts w:hint="eastAsia" w:ascii="宋体" w:hAnsi="宋体" w:eastAsia="宋体" w:cs="宋体"/>
                <w:color w:val="auto"/>
                <w:sz w:val="22"/>
                <w:szCs w:val="22"/>
                <w:highlight w:val="none"/>
              </w:rPr>
            </w:pPr>
          </w:p>
        </w:tc>
      </w:tr>
      <w:tr w14:paraId="3FE241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14:paraId="597A017A">
            <w:pPr>
              <w:jc w:val="center"/>
              <w:rPr>
                <w:rFonts w:hint="eastAsia" w:ascii="宋体" w:hAnsi="宋体" w:eastAsia="宋体" w:cs="宋体"/>
                <w:color w:val="auto"/>
                <w:sz w:val="22"/>
                <w:szCs w:val="22"/>
                <w:highlight w:val="none"/>
              </w:rPr>
            </w:pPr>
            <w:bookmarkStart w:id="81" w:name="_Toc173211906"/>
            <w:bookmarkStart w:id="82" w:name="_Toc254970735"/>
            <w:bookmarkStart w:id="83" w:name="_Toc405905883"/>
            <w:bookmarkStart w:id="84" w:name="_Toc254970594"/>
            <w:bookmarkStart w:id="85" w:name="_Toc173066407"/>
            <w:bookmarkStart w:id="86" w:name="_Toc22610"/>
            <w:r>
              <w:rPr>
                <w:rFonts w:hint="eastAsia" w:ascii="宋体" w:hAnsi="宋体" w:eastAsia="宋体" w:cs="宋体"/>
                <w:color w:val="auto"/>
                <w:sz w:val="22"/>
                <w:szCs w:val="22"/>
                <w:highlight w:val="none"/>
              </w:rPr>
              <w:t>2</w:t>
            </w:r>
            <w:bookmarkEnd w:id="81"/>
            <w:bookmarkEnd w:id="82"/>
            <w:bookmarkEnd w:id="83"/>
            <w:bookmarkEnd w:id="84"/>
            <w:bookmarkEnd w:id="85"/>
            <w:bookmarkEnd w:id="86"/>
          </w:p>
        </w:tc>
        <w:tc>
          <w:tcPr>
            <w:tcW w:w="2809" w:type="dxa"/>
            <w:noWrap w:val="0"/>
            <w:vAlign w:val="center"/>
          </w:tcPr>
          <w:p w14:paraId="7C2E94EF">
            <w:pPr>
              <w:jc w:val="center"/>
              <w:rPr>
                <w:rFonts w:hint="eastAsia" w:ascii="宋体" w:hAnsi="宋体" w:eastAsia="宋体" w:cs="宋体"/>
                <w:color w:val="auto"/>
                <w:sz w:val="22"/>
                <w:szCs w:val="22"/>
                <w:highlight w:val="none"/>
              </w:rPr>
            </w:pPr>
          </w:p>
        </w:tc>
        <w:tc>
          <w:tcPr>
            <w:tcW w:w="2945" w:type="dxa"/>
            <w:noWrap w:val="0"/>
            <w:vAlign w:val="center"/>
          </w:tcPr>
          <w:p w14:paraId="12C4C9FB">
            <w:pPr>
              <w:jc w:val="center"/>
              <w:rPr>
                <w:rFonts w:hint="eastAsia" w:ascii="宋体" w:hAnsi="宋体" w:eastAsia="宋体" w:cs="宋体"/>
                <w:color w:val="auto"/>
                <w:sz w:val="22"/>
                <w:szCs w:val="22"/>
                <w:highlight w:val="none"/>
              </w:rPr>
            </w:pPr>
          </w:p>
        </w:tc>
        <w:tc>
          <w:tcPr>
            <w:tcW w:w="1464" w:type="dxa"/>
            <w:noWrap w:val="0"/>
            <w:vAlign w:val="center"/>
          </w:tcPr>
          <w:p w14:paraId="11FABA1B">
            <w:pPr>
              <w:jc w:val="center"/>
              <w:rPr>
                <w:rFonts w:hint="eastAsia" w:ascii="宋体" w:hAnsi="宋体" w:eastAsia="宋体" w:cs="宋体"/>
                <w:color w:val="auto"/>
                <w:sz w:val="22"/>
                <w:szCs w:val="22"/>
                <w:highlight w:val="none"/>
              </w:rPr>
            </w:pPr>
          </w:p>
        </w:tc>
        <w:tc>
          <w:tcPr>
            <w:tcW w:w="1361" w:type="dxa"/>
            <w:noWrap w:val="0"/>
            <w:vAlign w:val="center"/>
          </w:tcPr>
          <w:p w14:paraId="4C3422A7">
            <w:pPr>
              <w:jc w:val="center"/>
              <w:rPr>
                <w:rFonts w:hint="eastAsia" w:ascii="宋体" w:hAnsi="宋体" w:eastAsia="宋体" w:cs="宋体"/>
                <w:color w:val="auto"/>
                <w:sz w:val="22"/>
                <w:szCs w:val="22"/>
                <w:highlight w:val="none"/>
              </w:rPr>
            </w:pPr>
          </w:p>
        </w:tc>
      </w:tr>
      <w:tr w14:paraId="2121D5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14:paraId="7EBD655B">
            <w:pPr>
              <w:jc w:val="center"/>
              <w:rPr>
                <w:rFonts w:hint="eastAsia" w:ascii="宋体" w:hAnsi="宋体" w:eastAsia="宋体" w:cs="宋体"/>
                <w:color w:val="auto"/>
                <w:sz w:val="22"/>
                <w:szCs w:val="22"/>
                <w:highlight w:val="none"/>
              </w:rPr>
            </w:pPr>
            <w:bookmarkStart w:id="87" w:name="_Toc173211907"/>
            <w:bookmarkStart w:id="88" w:name="_Toc254970736"/>
            <w:bookmarkStart w:id="89" w:name="_Toc173066408"/>
            <w:bookmarkStart w:id="90" w:name="_Toc254970595"/>
            <w:bookmarkStart w:id="91" w:name="_Toc405905884"/>
            <w:bookmarkStart w:id="92" w:name="_Toc21722"/>
            <w:r>
              <w:rPr>
                <w:rFonts w:hint="eastAsia" w:ascii="宋体" w:hAnsi="宋体" w:eastAsia="宋体" w:cs="宋体"/>
                <w:color w:val="auto"/>
                <w:sz w:val="22"/>
                <w:szCs w:val="22"/>
                <w:highlight w:val="none"/>
              </w:rPr>
              <w:t>3</w:t>
            </w:r>
            <w:bookmarkEnd w:id="87"/>
            <w:bookmarkEnd w:id="88"/>
            <w:bookmarkEnd w:id="89"/>
            <w:bookmarkEnd w:id="90"/>
            <w:bookmarkEnd w:id="91"/>
            <w:bookmarkEnd w:id="92"/>
          </w:p>
        </w:tc>
        <w:tc>
          <w:tcPr>
            <w:tcW w:w="2809" w:type="dxa"/>
            <w:noWrap w:val="0"/>
            <w:vAlign w:val="center"/>
          </w:tcPr>
          <w:p w14:paraId="28811EA3">
            <w:pPr>
              <w:jc w:val="center"/>
              <w:rPr>
                <w:rFonts w:hint="eastAsia" w:ascii="宋体" w:hAnsi="宋体" w:eastAsia="宋体" w:cs="宋体"/>
                <w:color w:val="auto"/>
                <w:sz w:val="22"/>
                <w:szCs w:val="22"/>
                <w:highlight w:val="none"/>
              </w:rPr>
            </w:pPr>
          </w:p>
        </w:tc>
        <w:tc>
          <w:tcPr>
            <w:tcW w:w="2945" w:type="dxa"/>
            <w:noWrap w:val="0"/>
            <w:vAlign w:val="center"/>
          </w:tcPr>
          <w:p w14:paraId="1B599FBA">
            <w:pPr>
              <w:jc w:val="center"/>
              <w:rPr>
                <w:rFonts w:hint="eastAsia" w:ascii="宋体" w:hAnsi="宋体" w:eastAsia="宋体" w:cs="宋体"/>
                <w:color w:val="auto"/>
                <w:sz w:val="22"/>
                <w:szCs w:val="22"/>
                <w:highlight w:val="none"/>
              </w:rPr>
            </w:pPr>
          </w:p>
        </w:tc>
        <w:tc>
          <w:tcPr>
            <w:tcW w:w="1464" w:type="dxa"/>
            <w:noWrap w:val="0"/>
            <w:vAlign w:val="center"/>
          </w:tcPr>
          <w:p w14:paraId="11F1ABD0">
            <w:pPr>
              <w:jc w:val="center"/>
              <w:rPr>
                <w:rFonts w:hint="eastAsia" w:ascii="宋体" w:hAnsi="宋体" w:eastAsia="宋体" w:cs="宋体"/>
                <w:color w:val="auto"/>
                <w:sz w:val="22"/>
                <w:szCs w:val="22"/>
                <w:highlight w:val="none"/>
              </w:rPr>
            </w:pPr>
          </w:p>
        </w:tc>
        <w:tc>
          <w:tcPr>
            <w:tcW w:w="1361" w:type="dxa"/>
            <w:noWrap w:val="0"/>
            <w:vAlign w:val="center"/>
          </w:tcPr>
          <w:p w14:paraId="3861EBA5">
            <w:pPr>
              <w:jc w:val="center"/>
              <w:rPr>
                <w:rFonts w:hint="eastAsia" w:ascii="宋体" w:hAnsi="宋体" w:eastAsia="宋体" w:cs="宋体"/>
                <w:color w:val="auto"/>
                <w:sz w:val="22"/>
                <w:szCs w:val="22"/>
                <w:highlight w:val="none"/>
              </w:rPr>
            </w:pPr>
          </w:p>
        </w:tc>
      </w:tr>
      <w:tr w14:paraId="639C52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14:paraId="4A103CD4">
            <w:pPr>
              <w:jc w:val="center"/>
              <w:rPr>
                <w:rFonts w:hint="eastAsia" w:ascii="宋体" w:hAnsi="宋体" w:eastAsia="宋体" w:cs="宋体"/>
                <w:color w:val="auto"/>
                <w:sz w:val="22"/>
                <w:szCs w:val="22"/>
                <w:highlight w:val="none"/>
              </w:rPr>
            </w:pPr>
            <w:bookmarkStart w:id="93" w:name="_Toc405905885"/>
            <w:bookmarkStart w:id="94" w:name="_Toc7400"/>
            <w:r>
              <w:rPr>
                <w:rFonts w:hint="eastAsia" w:ascii="宋体" w:hAnsi="宋体" w:eastAsia="宋体" w:cs="宋体"/>
                <w:color w:val="auto"/>
                <w:sz w:val="22"/>
                <w:szCs w:val="22"/>
                <w:highlight w:val="none"/>
              </w:rPr>
              <w:t>…</w:t>
            </w:r>
            <w:bookmarkEnd w:id="93"/>
            <w:bookmarkEnd w:id="94"/>
          </w:p>
        </w:tc>
        <w:tc>
          <w:tcPr>
            <w:tcW w:w="2809" w:type="dxa"/>
            <w:noWrap w:val="0"/>
            <w:vAlign w:val="center"/>
          </w:tcPr>
          <w:p w14:paraId="47B259B5">
            <w:pPr>
              <w:jc w:val="center"/>
              <w:rPr>
                <w:rFonts w:hint="eastAsia" w:ascii="宋体" w:hAnsi="宋体" w:eastAsia="宋体" w:cs="宋体"/>
                <w:color w:val="auto"/>
                <w:sz w:val="22"/>
                <w:szCs w:val="22"/>
                <w:highlight w:val="none"/>
              </w:rPr>
            </w:pPr>
          </w:p>
        </w:tc>
        <w:tc>
          <w:tcPr>
            <w:tcW w:w="2945" w:type="dxa"/>
            <w:noWrap w:val="0"/>
            <w:vAlign w:val="center"/>
          </w:tcPr>
          <w:p w14:paraId="31901739">
            <w:pPr>
              <w:jc w:val="center"/>
              <w:rPr>
                <w:rFonts w:hint="eastAsia" w:ascii="宋体" w:hAnsi="宋体" w:eastAsia="宋体" w:cs="宋体"/>
                <w:color w:val="auto"/>
                <w:sz w:val="22"/>
                <w:szCs w:val="22"/>
                <w:highlight w:val="none"/>
              </w:rPr>
            </w:pPr>
          </w:p>
        </w:tc>
        <w:tc>
          <w:tcPr>
            <w:tcW w:w="1464" w:type="dxa"/>
            <w:noWrap w:val="0"/>
            <w:vAlign w:val="center"/>
          </w:tcPr>
          <w:p w14:paraId="704E89E7">
            <w:pPr>
              <w:jc w:val="center"/>
              <w:rPr>
                <w:rFonts w:hint="eastAsia" w:ascii="宋体" w:hAnsi="宋体" w:eastAsia="宋体" w:cs="宋体"/>
                <w:color w:val="auto"/>
                <w:sz w:val="22"/>
                <w:szCs w:val="22"/>
                <w:highlight w:val="none"/>
              </w:rPr>
            </w:pPr>
          </w:p>
        </w:tc>
        <w:tc>
          <w:tcPr>
            <w:tcW w:w="1361" w:type="dxa"/>
            <w:noWrap w:val="0"/>
            <w:vAlign w:val="center"/>
          </w:tcPr>
          <w:p w14:paraId="5B06E47F">
            <w:pPr>
              <w:jc w:val="center"/>
              <w:rPr>
                <w:rFonts w:hint="eastAsia" w:ascii="宋体" w:hAnsi="宋体" w:eastAsia="宋体" w:cs="宋体"/>
                <w:color w:val="auto"/>
                <w:sz w:val="22"/>
                <w:szCs w:val="22"/>
                <w:highlight w:val="none"/>
              </w:rPr>
            </w:pPr>
          </w:p>
        </w:tc>
      </w:tr>
      <w:tr w14:paraId="046D1B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9185" w:type="dxa"/>
            <w:gridSpan w:val="5"/>
            <w:noWrap w:val="0"/>
            <w:vAlign w:val="center"/>
          </w:tcPr>
          <w:p w14:paraId="4143644E">
            <w:pPr>
              <w:jc w:val="center"/>
              <w:rPr>
                <w:rFonts w:hint="eastAsia" w:ascii="宋体" w:hAnsi="宋体" w:eastAsia="宋体" w:cs="宋体"/>
                <w:color w:val="auto"/>
                <w:sz w:val="22"/>
                <w:szCs w:val="22"/>
                <w:highlight w:val="none"/>
              </w:rPr>
            </w:pPr>
            <w:bookmarkStart w:id="95" w:name="_Toc405905886"/>
            <w:bookmarkStart w:id="96" w:name="_Toc7806"/>
            <w:r>
              <w:rPr>
                <w:rFonts w:hint="eastAsia" w:ascii="宋体" w:hAnsi="宋体" w:eastAsia="宋体" w:cs="宋体"/>
                <w:color w:val="auto"/>
                <w:sz w:val="22"/>
                <w:szCs w:val="22"/>
                <w:highlight w:val="none"/>
              </w:rPr>
              <w:t>技术部分</w:t>
            </w:r>
            <w:bookmarkEnd w:id="95"/>
            <w:bookmarkEnd w:id="96"/>
          </w:p>
        </w:tc>
      </w:tr>
      <w:tr w14:paraId="590CF2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14:paraId="296808C8">
            <w:pPr>
              <w:jc w:val="center"/>
              <w:rPr>
                <w:rFonts w:hint="eastAsia" w:ascii="宋体" w:hAnsi="宋体" w:eastAsia="宋体" w:cs="宋体"/>
                <w:color w:val="auto"/>
                <w:sz w:val="22"/>
                <w:szCs w:val="22"/>
                <w:highlight w:val="none"/>
              </w:rPr>
            </w:pPr>
            <w:bookmarkStart w:id="97" w:name="_Toc405905887"/>
            <w:bookmarkStart w:id="98" w:name="_Toc5226"/>
            <w:r>
              <w:rPr>
                <w:rFonts w:hint="eastAsia" w:ascii="宋体" w:hAnsi="宋体" w:eastAsia="宋体" w:cs="宋体"/>
                <w:color w:val="auto"/>
                <w:sz w:val="22"/>
                <w:szCs w:val="22"/>
                <w:highlight w:val="none"/>
              </w:rPr>
              <w:t>1</w:t>
            </w:r>
            <w:bookmarkEnd w:id="97"/>
            <w:bookmarkEnd w:id="98"/>
          </w:p>
        </w:tc>
        <w:tc>
          <w:tcPr>
            <w:tcW w:w="2809" w:type="dxa"/>
            <w:noWrap w:val="0"/>
            <w:vAlign w:val="center"/>
          </w:tcPr>
          <w:p w14:paraId="2DAD8534">
            <w:pPr>
              <w:jc w:val="center"/>
              <w:rPr>
                <w:rFonts w:hint="eastAsia" w:ascii="宋体" w:hAnsi="宋体" w:eastAsia="宋体" w:cs="宋体"/>
                <w:color w:val="auto"/>
                <w:sz w:val="22"/>
                <w:szCs w:val="22"/>
                <w:highlight w:val="none"/>
              </w:rPr>
            </w:pPr>
          </w:p>
        </w:tc>
        <w:tc>
          <w:tcPr>
            <w:tcW w:w="2945" w:type="dxa"/>
            <w:noWrap w:val="0"/>
            <w:vAlign w:val="center"/>
          </w:tcPr>
          <w:p w14:paraId="2E562D96">
            <w:pPr>
              <w:jc w:val="center"/>
              <w:rPr>
                <w:rFonts w:hint="eastAsia" w:ascii="宋体" w:hAnsi="宋体" w:eastAsia="宋体" w:cs="宋体"/>
                <w:color w:val="auto"/>
                <w:sz w:val="22"/>
                <w:szCs w:val="22"/>
                <w:highlight w:val="none"/>
              </w:rPr>
            </w:pPr>
          </w:p>
        </w:tc>
        <w:tc>
          <w:tcPr>
            <w:tcW w:w="1464" w:type="dxa"/>
            <w:noWrap w:val="0"/>
            <w:vAlign w:val="center"/>
          </w:tcPr>
          <w:p w14:paraId="21524A51">
            <w:pPr>
              <w:jc w:val="center"/>
              <w:rPr>
                <w:rFonts w:hint="eastAsia" w:ascii="宋体" w:hAnsi="宋体" w:eastAsia="宋体" w:cs="宋体"/>
                <w:color w:val="auto"/>
                <w:sz w:val="22"/>
                <w:szCs w:val="22"/>
                <w:highlight w:val="none"/>
              </w:rPr>
            </w:pPr>
          </w:p>
        </w:tc>
        <w:tc>
          <w:tcPr>
            <w:tcW w:w="1361" w:type="dxa"/>
            <w:noWrap w:val="0"/>
            <w:vAlign w:val="center"/>
          </w:tcPr>
          <w:p w14:paraId="604666C1">
            <w:pPr>
              <w:jc w:val="center"/>
              <w:rPr>
                <w:rFonts w:hint="eastAsia" w:ascii="宋体" w:hAnsi="宋体" w:eastAsia="宋体" w:cs="宋体"/>
                <w:color w:val="auto"/>
                <w:sz w:val="22"/>
                <w:szCs w:val="22"/>
                <w:highlight w:val="none"/>
              </w:rPr>
            </w:pPr>
          </w:p>
        </w:tc>
      </w:tr>
      <w:tr w14:paraId="5B6362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14:paraId="5DB13FCD">
            <w:pPr>
              <w:jc w:val="center"/>
              <w:rPr>
                <w:rFonts w:hint="eastAsia" w:ascii="宋体" w:hAnsi="宋体" w:eastAsia="宋体" w:cs="宋体"/>
                <w:color w:val="auto"/>
                <w:sz w:val="22"/>
                <w:szCs w:val="22"/>
                <w:highlight w:val="none"/>
              </w:rPr>
            </w:pPr>
            <w:bookmarkStart w:id="99" w:name="_Toc27344"/>
            <w:bookmarkStart w:id="100" w:name="_Toc405905888"/>
            <w:r>
              <w:rPr>
                <w:rFonts w:hint="eastAsia" w:ascii="宋体" w:hAnsi="宋体" w:eastAsia="宋体" w:cs="宋体"/>
                <w:color w:val="auto"/>
                <w:sz w:val="22"/>
                <w:szCs w:val="22"/>
                <w:highlight w:val="none"/>
              </w:rPr>
              <w:t>2</w:t>
            </w:r>
            <w:bookmarkEnd w:id="99"/>
            <w:bookmarkEnd w:id="100"/>
          </w:p>
        </w:tc>
        <w:tc>
          <w:tcPr>
            <w:tcW w:w="2809" w:type="dxa"/>
            <w:noWrap w:val="0"/>
            <w:vAlign w:val="center"/>
          </w:tcPr>
          <w:p w14:paraId="20B0BDCD">
            <w:pPr>
              <w:jc w:val="center"/>
              <w:rPr>
                <w:rFonts w:hint="eastAsia" w:ascii="宋体" w:hAnsi="宋体" w:eastAsia="宋体" w:cs="宋体"/>
                <w:color w:val="auto"/>
                <w:sz w:val="22"/>
                <w:szCs w:val="22"/>
                <w:highlight w:val="none"/>
              </w:rPr>
            </w:pPr>
          </w:p>
        </w:tc>
        <w:tc>
          <w:tcPr>
            <w:tcW w:w="2945" w:type="dxa"/>
            <w:noWrap w:val="0"/>
            <w:vAlign w:val="center"/>
          </w:tcPr>
          <w:p w14:paraId="194FF6FB">
            <w:pPr>
              <w:jc w:val="center"/>
              <w:rPr>
                <w:rFonts w:hint="eastAsia" w:ascii="宋体" w:hAnsi="宋体" w:eastAsia="宋体" w:cs="宋体"/>
                <w:color w:val="auto"/>
                <w:sz w:val="22"/>
                <w:szCs w:val="22"/>
                <w:highlight w:val="none"/>
              </w:rPr>
            </w:pPr>
          </w:p>
        </w:tc>
        <w:tc>
          <w:tcPr>
            <w:tcW w:w="1464" w:type="dxa"/>
            <w:noWrap w:val="0"/>
            <w:vAlign w:val="center"/>
          </w:tcPr>
          <w:p w14:paraId="667F4FD6">
            <w:pPr>
              <w:jc w:val="center"/>
              <w:rPr>
                <w:rFonts w:hint="eastAsia" w:ascii="宋体" w:hAnsi="宋体" w:eastAsia="宋体" w:cs="宋体"/>
                <w:color w:val="auto"/>
                <w:sz w:val="22"/>
                <w:szCs w:val="22"/>
                <w:highlight w:val="none"/>
              </w:rPr>
            </w:pPr>
          </w:p>
        </w:tc>
        <w:tc>
          <w:tcPr>
            <w:tcW w:w="1361" w:type="dxa"/>
            <w:noWrap w:val="0"/>
            <w:vAlign w:val="center"/>
          </w:tcPr>
          <w:p w14:paraId="5836C5B5">
            <w:pPr>
              <w:jc w:val="center"/>
              <w:rPr>
                <w:rFonts w:hint="eastAsia" w:ascii="宋体" w:hAnsi="宋体" w:eastAsia="宋体" w:cs="宋体"/>
                <w:color w:val="auto"/>
                <w:sz w:val="22"/>
                <w:szCs w:val="22"/>
                <w:highlight w:val="none"/>
              </w:rPr>
            </w:pPr>
          </w:p>
        </w:tc>
      </w:tr>
      <w:tr w14:paraId="4265ED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14:paraId="21C12B37">
            <w:pPr>
              <w:jc w:val="center"/>
              <w:rPr>
                <w:rFonts w:hint="eastAsia" w:ascii="宋体" w:hAnsi="宋体" w:eastAsia="宋体" w:cs="宋体"/>
                <w:color w:val="auto"/>
                <w:sz w:val="22"/>
                <w:szCs w:val="22"/>
                <w:highlight w:val="none"/>
              </w:rPr>
            </w:pPr>
            <w:bookmarkStart w:id="101" w:name="_Toc1677"/>
            <w:bookmarkStart w:id="102" w:name="_Toc405905889"/>
            <w:r>
              <w:rPr>
                <w:rFonts w:hint="eastAsia" w:ascii="宋体" w:hAnsi="宋体" w:eastAsia="宋体" w:cs="宋体"/>
                <w:color w:val="auto"/>
                <w:sz w:val="22"/>
                <w:szCs w:val="22"/>
                <w:highlight w:val="none"/>
              </w:rPr>
              <w:t>3</w:t>
            </w:r>
            <w:bookmarkEnd w:id="101"/>
            <w:bookmarkEnd w:id="102"/>
          </w:p>
        </w:tc>
        <w:tc>
          <w:tcPr>
            <w:tcW w:w="2809" w:type="dxa"/>
            <w:noWrap w:val="0"/>
            <w:vAlign w:val="center"/>
          </w:tcPr>
          <w:p w14:paraId="62B04299">
            <w:pPr>
              <w:jc w:val="center"/>
              <w:rPr>
                <w:rFonts w:hint="eastAsia" w:ascii="宋体" w:hAnsi="宋体" w:eastAsia="宋体" w:cs="宋体"/>
                <w:color w:val="auto"/>
                <w:sz w:val="22"/>
                <w:szCs w:val="22"/>
                <w:highlight w:val="none"/>
              </w:rPr>
            </w:pPr>
          </w:p>
        </w:tc>
        <w:tc>
          <w:tcPr>
            <w:tcW w:w="2945" w:type="dxa"/>
            <w:noWrap w:val="0"/>
            <w:vAlign w:val="center"/>
          </w:tcPr>
          <w:p w14:paraId="0AC25509">
            <w:pPr>
              <w:jc w:val="center"/>
              <w:rPr>
                <w:rFonts w:hint="eastAsia" w:ascii="宋体" w:hAnsi="宋体" w:eastAsia="宋体" w:cs="宋体"/>
                <w:color w:val="auto"/>
                <w:sz w:val="22"/>
                <w:szCs w:val="22"/>
                <w:highlight w:val="none"/>
              </w:rPr>
            </w:pPr>
          </w:p>
        </w:tc>
        <w:tc>
          <w:tcPr>
            <w:tcW w:w="1464" w:type="dxa"/>
            <w:noWrap w:val="0"/>
            <w:vAlign w:val="center"/>
          </w:tcPr>
          <w:p w14:paraId="4241FA2C">
            <w:pPr>
              <w:jc w:val="center"/>
              <w:rPr>
                <w:rFonts w:hint="eastAsia" w:ascii="宋体" w:hAnsi="宋体" w:eastAsia="宋体" w:cs="宋体"/>
                <w:color w:val="auto"/>
                <w:sz w:val="22"/>
                <w:szCs w:val="22"/>
                <w:highlight w:val="none"/>
              </w:rPr>
            </w:pPr>
          </w:p>
        </w:tc>
        <w:tc>
          <w:tcPr>
            <w:tcW w:w="1361" w:type="dxa"/>
            <w:noWrap w:val="0"/>
            <w:vAlign w:val="center"/>
          </w:tcPr>
          <w:p w14:paraId="0005C4DD">
            <w:pPr>
              <w:jc w:val="center"/>
              <w:rPr>
                <w:rFonts w:hint="eastAsia" w:ascii="宋体" w:hAnsi="宋体" w:eastAsia="宋体" w:cs="宋体"/>
                <w:color w:val="auto"/>
                <w:sz w:val="22"/>
                <w:szCs w:val="22"/>
                <w:highlight w:val="none"/>
              </w:rPr>
            </w:pPr>
          </w:p>
        </w:tc>
      </w:tr>
      <w:tr w14:paraId="2CA920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14:paraId="63BCB246">
            <w:pPr>
              <w:jc w:val="center"/>
              <w:rPr>
                <w:rFonts w:hint="eastAsia" w:ascii="宋体" w:hAnsi="宋体" w:eastAsia="宋体" w:cs="宋体"/>
                <w:color w:val="auto"/>
                <w:sz w:val="22"/>
                <w:szCs w:val="22"/>
                <w:highlight w:val="none"/>
              </w:rPr>
            </w:pPr>
            <w:bookmarkStart w:id="103" w:name="_Toc16441"/>
            <w:bookmarkStart w:id="104" w:name="_Toc405905890"/>
            <w:r>
              <w:rPr>
                <w:rFonts w:hint="eastAsia" w:ascii="宋体" w:hAnsi="宋体" w:eastAsia="宋体" w:cs="宋体"/>
                <w:color w:val="auto"/>
                <w:sz w:val="22"/>
                <w:szCs w:val="22"/>
                <w:highlight w:val="none"/>
              </w:rPr>
              <w:t>…</w:t>
            </w:r>
            <w:bookmarkEnd w:id="103"/>
            <w:bookmarkEnd w:id="104"/>
          </w:p>
        </w:tc>
        <w:tc>
          <w:tcPr>
            <w:tcW w:w="2809" w:type="dxa"/>
            <w:noWrap w:val="0"/>
            <w:vAlign w:val="center"/>
          </w:tcPr>
          <w:p w14:paraId="151CCE74">
            <w:pPr>
              <w:jc w:val="center"/>
              <w:rPr>
                <w:rFonts w:hint="eastAsia" w:ascii="宋体" w:hAnsi="宋体" w:eastAsia="宋体" w:cs="宋体"/>
                <w:color w:val="auto"/>
                <w:sz w:val="22"/>
                <w:szCs w:val="22"/>
                <w:highlight w:val="none"/>
              </w:rPr>
            </w:pPr>
          </w:p>
        </w:tc>
        <w:tc>
          <w:tcPr>
            <w:tcW w:w="2945" w:type="dxa"/>
            <w:noWrap w:val="0"/>
            <w:vAlign w:val="center"/>
          </w:tcPr>
          <w:p w14:paraId="4F1A389F">
            <w:pPr>
              <w:jc w:val="center"/>
              <w:rPr>
                <w:rFonts w:hint="eastAsia" w:ascii="宋体" w:hAnsi="宋体" w:eastAsia="宋体" w:cs="宋体"/>
                <w:color w:val="auto"/>
                <w:sz w:val="22"/>
                <w:szCs w:val="22"/>
                <w:highlight w:val="none"/>
              </w:rPr>
            </w:pPr>
          </w:p>
        </w:tc>
        <w:tc>
          <w:tcPr>
            <w:tcW w:w="1464" w:type="dxa"/>
            <w:tcBorders>
              <w:right w:val="single" w:color="auto" w:sz="4" w:space="0"/>
            </w:tcBorders>
            <w:noWrap w:val="0"/>
            <w:vAlign w:val="center"/>
          </w:tcPr>
          <w:p w14:paraId="7AA1B8A9">
            <w:pPr>
              <w:jc w:val="center"/>
              <w:rPr>
                <w:rFonts w:hint="eastAsia" w:ascii="宋体" w:hAnsi="宋体" w:eastAsia="宋体" w:cs="宋体"/>
                <w:color w:val="auto"/>
                <w:sz w:val="22"/>
                <w:szCs w:val="22"/>
                <w:highlight w:val="none"/>
              </w:rPr>
            </w:pPr>
          </w:p>
        </w:tc>
        <w:tc>
          <w:tcPr>
            <w:tcW w:w="1361" w:type="dxa"/>
            <w:tcBorders>
              <w:left w:val="single" w:color="auto" w:sz="4" w:space="0"/>
            </w:tcBorders>
            <w:noWrap w:val="0"/>
            <w:vAlign w:val="center"/>
          </w:tcPr>
          <w:p w14:paraId="0ECD2A66">
            <w:pPr>
              <w:jc w:val="center"/>
              <w:rPr>
                <w:rFonts w:hint="eastAsia" w:ascii="宋体" w:hAnsi="宋体" w:eastAsia="宋体" w:cs="宋体"/>
                <w:color w:val="auto"/>
                <w:sz w:val="22"/>
                <w:szCs w:val="22"/>
                <w:highlight w:val="none"/>
              </w:rPr>
            </w:pPr>
          </w:p>
        </w:tc>
      </w:tr>
    </w:tbl>
    <w:p w14:paraId="461BA534">
      <w:pPr>
        <w:adjustRightInd w:val="0"/>
        <w:snapToGrid w:val="0"/>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说明：1.应写明竞争性谈判响应文件对商务与技术要求的响应和偏离情况</w:t>
      </w:r>
      <w:r>
        <w:rPr>
          <w:rFonts w:hint="eastAsia" w:ascii="宋体" w:hAnsi="宋体" w:cs="宋体"/>
          <w:bCs/>
          <w:color w:val="auto"/>
          <w:sz w:val="22"/>
          <w:szCs w:val="22"/>
          <w:highlight w:val="none"/>
        </w:rPr>
        <w:t>；</w:t>
      </w:r>
    </w:p>
    <w:p w14:paraId="4EB74854">
      <w:pPr>
        <w:pStyle w:val="9"/>
        <w:spacing w:line="360" w:lineRule="exact"/>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2.应对照竞争性谈判文件“第三章  采购项目技术规格、参数及要求”，逐条说明所提供货物和服务已对竞争性谈判文件的商务、技术做出了实质性的响应，并申明商务、技术条文的响应和偏离。特别对有具体商务、技术参数要求的，谈判供应商必须提供对应的详细应答。如果仅注明“符合”、“满足”或简单复制竞争性谈判文件要求，将导致谈判被拒绝。</w:t>
      </w:r>
    </w:p>
    <w:p w14:paraId="0A6513C7">
      <w:pPr>
        <w:pStyle w:val="10"/>
        <w:spacing w:line="360" w:lineRule="exact"/>
        <w:rPr>
          <w:rFonts w:hint="eastAsia" w:hAnsi="宋体" w:cs="宋体"/>
          <w:color w:val="auto"/>
          <w:sz w:val="22"/>
          <w:szCs w:val="22"/>
          <w:highlight w:val="none"/>
        </w:rPr>
      </w:pPr>
    </w:p>
    <w:p w14:paraId="01B005AB">
      <w:pPr>
        <w:pStyle w:val="10"/>
        <w:spacing w:line="360" w:lineRule="exact"/>
        <w:ind w:firstLine="4730" w:firstLineChars="2150"/>
        <w:rPr>
          <w:rFonts w:hint="eastAsia" w:hAnsi="宋体" w:cs="宋体"/>
          <w:color w:val="auto"/>
          <w:sz w:val="22"/>
          <w:szCs w:val="22"/>
          <w:highlight w:val="none"/>
        </w:rPr>
      </w:pPr>
      <w:r>
        <w:rPr>
          <w:rFonts w:hint="eastAsia" w:hAnsi="宋体" w:cs="宋体"/>
          <w:color w:val="auto"/>
          <w:sz w:val="22"/>
          <w:szCs w:val="22"/>
          <w:highlight w:val="none"/>
        </w:rPr>
        <w:t>法定代表人或委托代理人签字:</w:t>
      </w:r>
      <w:r>
        <w:rPr>
          <w:rFonts w:hint="eastAsia" w:hAnsi="宋体" w:cs="宋体"/>
          <w:color w:val="auto"/>
          <w:sz w:val="22"/>
          <w:szCs w:val="22"/>
          <w:highlight w:val="none"/>
          <w:u w:val="single"/>
        </w:rPr>
        <w:t xml:space="preserve">                </w:t>
      </w:r>
      <w:r>
        <w:rPr>
          <w:rFonts w:hint="eastAsia" w:hAnsi="宋体" w:cs="宋体"/>
          <w:color w:val="auto"/>
          <w:sz w:val="22"/>
          <w:szCs w:val="22"/>
          <w:highlight w:val="none"/>
        </w:rPr>
        <w:t xml:space="preserve">  </w:t>
      </w:r>
    </w:p>
    <w:p w14:paraId="46FC843C">
      <w:pPr>
        <w:pStyle w:val="10"/>
        <w:spacing w:line="360" w:lineRule="exact"/>
        <w:ind w:firstLine="1540" w:firstLineChars="700"/>
        <w:rPr>
          <w:rFonts w:hint="eastAsia" w:hAnsi="宋体" w:cs="宋体"/>
          <w:color w:val="auto"/>
          <w:sz w:val="22"/>
          <w:szCs w:val="22"/>
          <w:highlight w:val="none"/>
        </w:rPr>
      </w:pPr>
    </w:p>
    <w:p w14:paraId="09E6D279">
      <w:pPr>
        <w:pStyle w:val="10"/>
        <w:spacing w:line="360" w:lineRule="exact"/>
        <w:ind w:firstLine="5940" w:firstLineChars="2700"/>
        <w:rPr>
          <w:rFonts w:hint="eastAsia" w:hAnsi="宋体" w:cs="宋体"/>
          <w:color w:val="auto"/>
          <w:sz w:val="22"/>
          <w:szCs w:val="22"/>
          <w:highlight w:val="none"/>
          <w:u w:val="single"/>
        </w:rPr>
      </w:pPr>
      <w:r>
        <w:rPr>
          <w:rFonts w:hint="eastAsia" w:hAnsi="宋体" w:cs="宋体"/>
          <w:color w:val="auto"/>
          <w:sz w:val="22"/>
          <w:szCs w:val="22"/>
          <w:highlight w:val="none"/>
          <w:u w:val="single"/>
        </w:rPr>
        <w:t xml:space="preserve">        </w:t>
      </w:r>
      <w:r>
        <w:rPr>
          <w:rFonts w:hint="eastAsia" w:hAnsi="宋体" w:cs="宋体"/>
          <w:color w:val="auto"/>
          <w:sz w:val="22"/>
          <w:szCs w:val="22"/>
          <w:highlight w:val="none"/>
        </w:rPr>
        <w:t>年</w:t>
      </w:r>
      <w:r>
        <w:rPr>
          <w:rFonts w:hint="eastAsia" w:hAnsi="宋体" w:cs="宋体"/>
          <w:color w:val="auto"/>
          <w:sz w:val="22"/>
          <w:szCs w:val="22"/>
          <w:highlight w:val="none"/>
          <w:u w:val="single"/>
        </w:rPr>
        <w:t xml:space="preserve">     </w:t>
      </w:r>
      <w:r>
        <w:rPr>
          <w:rFonts w:hint="eastAsia" w:hAnsi="宋体" w:cs="宋体"/>
          <w:color w:val="auto"/>
          <w:sz w:val="22"/>
          <w:szCs w:val="22"/>
          <w:highlight w:val="none"/>
        </w:rPr>
        <w:t>月</w:t>
      </w:r>
      <w:r>
        <w:rPr>
          <w:rFonts w:hint="eastAsia" w:hAnsi="宋体" w:cs="宋体"/>
          <w:color w:val="auto"/>
          <w:sz w:val="22"/>
          <w:szCs w:val="22"/>
          <w:highlight w:val="none"/>
          <w:u w:val="single"/>
        </w:rPr>
        <w:t xml:space="preserve">     </w:t>
      </w:r>
      <w:r>
        <w:rPr>
          <w:rFonts w:hint="eastAsia" w:hAnsi="宋体" w:cs="宋体"/>
          <w:color w:val="auto"/>
          <w:sz w:val="22"/>
          <w:szCs w:val="22"/>
          <w:highlight w:val="none"/>
        </w:rPr>
        <w:t>日</w:t>
      </w:r>
    </w:p>
    <w:p w14:paraId="6620D00E">
      <w:pPr>
        <w:spacing w:line="300" w:lineRule="auto"/>
        <w:rPr>
          <w:rFonts w:hint="eastAsia" w:ascii="宋体" w:hAnsi="宋体" w:cs="宋体"/>
          <w:color w:val="auto"/>
          <w:sz w:val="22"/>
          <w:szCs w:val="22"/>
          <w:highlight w:val="none"/>
        </w:rPr>
      </w:pPr>
    </w:p>
    <w:p w14:paraId="0D7869E2">
      <w:pPr>
        <w:spacing w:line="300" w:lineRule="auto"/>
        <w:rPr>
          <w:rFonts w:hint="eastAsia" w:ascii="宋体" w:hAnsi="宋体" w:cs="宋体"/>
          <w:color w:val="auto"/>
          <w:szCs w:val="21"/>
          <w:highlight w:val="none"/>
        </w:rPr>
      </w:pPr>
    </w:p>
    <w:p w14:paraId="2F85FCDE">
      <w:pPr>
        <w:spacing w:line="600" w:lineRule="exact"/>
        <w:rPr>
          <w:rFonts w:hint="eastAsia" w:ascii="宋体" w:hAnsi="宋体" w:cs="宋体" w:eastAsiaTheme="minorEastAsia"/>
          <w:b/>
          <w:color w:val="auto"/>
          <w:szCs w:val="21"/>
          <w:highlight w:val="none"/>
          <w:lang w:eastAsia="zh-CN"/>
        </w:rPr>
      </w:pPr>
      <w:r>
        <w:rPr>
          <w:rFonts w:hint="eastAsia" w:ascii="宋体" w:hAnsi="宋体" w:cs="宋体"/>
          <w:b/>
          <w:color w:val="auto"/>
          <w:szCs w:val="21"/>
          <w:highlight w:val="none"/>
        </w:rPr>
        <w:br w:type="page"/>
      </w: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5</w:t>
      </w:r>
    </w:p>
    <w:p w14:paraId="1E8D3378">
      <w:pPr>
        <w:adjustRightInd w:val="0"/>
        <w:snapToGrid w:val="0"/>
        <w:spacing w:line="600" w:lineRule="exact"/>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法定代表人授权委托书</w:t>
      </w:r>
    </w:p>
    <w:p w14:paraId="13937965">
      <w:pPr>
        <w:adjustRightInd w:val="0"/>
        <w:snapToGrid w:val="0"/>
        <w:spacing w:line="520" w:lineRule="exact"/>
        <w:rPr>
          <w:rFonts w:hint="eastAsia" w:ascii="宋体" w:hAnsi="宋体" w:cs="宋体"/>
          <w:color w:val="auto"/>
          <w:szCs w:val="21"/>
          <w:highlight w:val="none"/>
        </w:rPr>
      </w:pPr>
    </w:p>
    <w:p w14:paraId="7B58DA62">
      <w:pPr>
        <w:spacing w:line="520" w:lineRule="exact"/>
        <w:rPr>
          <w:rFonts w:hint="eastAsia" w:ascii="宋体" w:hAnsi="宋体" w:cs="宋体"/>
          <w:color w:val="auto"/>
          <w:sz w:val="22"/>
          <w:szCs w:val="22"/>
          <w:highlight w:val="none"/>
        </w:rPr>
      </w:pPr>
      <w:r>
        <w:rPr>
          <w:rFonts w:hint="eastAsia" w:ascii="宋体" w:hAnsi="宋体" w:cs="宋体"/>
          <w:color w:val="auto"/>
          <w:sz w:val="22"/>
          <w:szCs w:val="22"/>
          <w:highlight w:val="none"/>
          <w:u w:val="single"/>
        </w:rPr>
        <w:t>采购代理机构名称</w:t>
      </w:r>
      <w:r>
        <w:rPr>
          <w:rFonts w:hint="eastAsia" w:ascii="宋体" w:hAnsi="宋体" w:cs="宋体"/>
          <w:color w:val="auto"/>
          <w:sz w:val="22"/>
          <w:szCs w:val="22"/>
          <w:highlight w:val="none"/>
        </w:rPr>
        <w:t>：</w:t>
      </w:r>
    </w:p>
    <w:p w14:paraId="4D8EBDC3">
      <w:pPr>
        <w:spacing w:line="5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兹授权</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同志为我公司参加贵单位组织的</w:t>
      </w:r>
      <w:r>
        <w:rPr>
          <w:rFonts w:hint="eastAsia" w:ascii="宋体" w:hAnsi="宋体" w:cs="宋体"/>
          <w:color w:val="auto"/>
          <w:sz w:val="22"/>
          <w:szCs w:val="22"/>
          <w:highlight w:val="none"/>
          <w:u w:val="single"/>
        </w:rPr>
        <w:t>（项目名称、项目编号）竞争性谈判</w:t>
      </w:r>
      <w:r>
        <w:rPr>
          <w:rFonts w:hint="eastAsia" w:ascii="宋体" w:hAnsi="宋体" w:cs="宋体"/>
          <w:color w:val="auto"/>
          <w:sz w:val="22"/>
          <w:szCs w:val="22"/>
          <w:highlight w:val="none"/>
        </w:rPr>
        <w:t>采购活动的委托代理人，</w:t>
      </w:r>
      <w:r>
        <w:rPr>
          <w:rFonts w:hint="eastAsia" w:ascii="宋体" w:hAnsi="宋体" w:cs="宋体"/>
          <w:color w:val="auto"/>
          <w:sz w:val="22"/>
          <w:szCs w:val="22"/>
          <w:highlight w:val="none"/>
          <w:u w:val="single"/>
          <w:lang w:val="en-US" w:eastAsia="zh-CN"/>
        </w:rPr>
        <w:t xml:space="preserve">         ( 代理权限）                    </w:t>
      </w:r>
      <w:r>
        <w:rPr>
          <w:rFonts w:hint="eastAsia" w:ascii="宋体" w:hAnsi="宋体" w:cs="宋体"/>
          <w:color w:val="auto"/>
          <w:sz w:val="22"/>
          <w:szCs w:val="22"/>
          <w:highlight w:val="none"/>
        </w:rPr>
        <w:t>。代理期限从</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日起至</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日止。 </w:t>
      </w:r>
    </w:p>
    <w:p w14:paraId="7C58576E">
      <w:pPr>
        <w:spacing w:line="520" w:lineRule="exact"/>
        <w:rPr>
          <w:rFonts w:hint="eastAsia" w:ascii="宋体" w:hAnsi="宋体" w:cs="宋体"/>
          <w:color w:val="auto"/>
          <w:sz w:val="22"/>
          <w:szCs w:val="22"/>
          <w:highlight w:val="none"/>
        </w:rPr>
      </w:pPr>
    </w:p>
    <w:p w14:paraId="31C6350A">
      <w:pPr>
        <w:spacing w:line="5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谈判供应商（盖章）：</w:t>
      </w:r>
      <w:r>
        <w:rPr>
          <w:rFonts w:hint="eastAsia" w:ascii="宋体" w:hAnsi="宋体" w:cs="宋体"/>
          <w:color w:val="auto"/>
          <w:sz w:val="22"/>
          <w:szCs w:val="22"/>
          <w:highlight w:val="none"/>
          <w:u w:val="single"/>
        </w:rPr>
        <w:t xml:space="preserve">               </w:t>
      </w:r>
    </w:p>
    <w:p w14:paraId="2AC94B01">
      <w:pPr>
        <w:spacing w:line="5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法定代表人(负责人)（签字或盖章）：</w:t>
      </w:r>
      <w:r>
        <w:rPr>
          <w:rFonts w:hint="eastAsia" w:ascii="宋体" w:hAnsi="宋体" w:cs="宋体"/>
          <w:color w:val="auto"/>
          <w:sz w:val="22"/>
          <w:szCs w:val="22"/>
          <w:highlight w:val="none"/>
          <w:u w:val="single"/>
        </w:rPr>
        <w:t xml:space="preserve">       </w:t>
      </w:r>
    </w:p>
    <w:p w14:paraId="4891E86A">
      <w:pPr>
        <w:spacing w:line="5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签发日期：</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日</w:t>
      </w:r>
    </w:p>
    <w:p w14:paraId="319FF8BA">
      <w:pPr>
        <w:spacing w:line="520" w:lineRule="exact"/>
        <w:rPr>
          <w:rFonts w:hint="eastAsia" w:ascii="宋体" w:hAnsi="宋体" w:cs="宋体"/>
          <w:color w:val="auto"/>
          <w:sz w:val="22"/>
          <w:szCs w:val="22"/>
          <w:highlight w:val="none"/>
        </w:rPr>
      </w:pPr>
    </w:p>
    <w:p w14:paraId="7CF838D4">
      <w:pPr>
        <w:spacing w:line="5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附：委托代理人工作单位</w:t>
      </w:r>
      <w:r>
        <w:rPr>
          <w:rFonts w:hint="eastAsia" w:ascii="宋体" w:hAnsi="宋体" w:cs="宋体"/>
          <w:color w:val="auto"/>
          <w:sz w:val="22"/>
          <w:szCs w:val="22"/>
          <w:highlight w:val="none"/>
          <w:u w:val="single"/>
        </w:rPr>
        <w:t xml:space="preserve">               </w:t>
      </w:r>
    </w:p>
    <w:p w14:paraId="3478C565">
      <w:pPr>
        <w:spacing w:line="5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职务：</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性别：</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rPr>
        <w:t xml:space="preserve">  </w:t>
      </w:r>
    </w:p>
    <w:p w14:paraId="762906F0">
      <w:pPr>
        <w:adjustRightInd w:val="0"/>
        <w:snapToGrid w:val="0"/>
        <w:spacing w:line="52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身份证号码：</w:t>
      </w:r>
      <w:r>
        <w:rPr>
          <w:rFonts w:hint="eastAsia" w:ascii="宋体" w:hAnsi="宋体" w:cs="宋体"/>
          <w:color w:val="auto"/>
          <w:sz w:val="22"/>
          <w:szCs w:val="22"/>
          <w:highlight w:val="none"/>
          <w:u w:val="single"/>
        </w:rPr>
        <w:t xml:space="preserve">                              </w:t>
      </w:r>
    </w:p>
    <w:tbl>
      <w:tblPr>
        <w:tblStyle w:val="16"/>
        <w:tblW w:w="8555"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5"/>
      </w:tblGrid>
      <w:tr w14:paraId="06BB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7" w:hRule="atLeast"/>
        </w:trPr>
        <w:tc>
          <w:tcPr>
            <w:tcW w:w="8555" w:type="dxa"/>
            <w:noWrap w:val="0"/>
            <w:vAlign w:val="top"/>
          </w:tcPr>
          <w:p w14:paraId="0EE485BE">
            <w:pPr>
              <w:spacing w:line="30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粘贴委托代理人的正面及反面身份证复印件</w:t>
            </w:r>
          </w:p>
        </w:tc>
      </w:tr>
    </w:tbl>
    <w:p w14:paraId="4F3396E2">
      <w:pPr>
        <w:autoSpaceDE w:val="0"/>
        <w:autoSpaceDN w:val="0"/>
        <w:spacing w:line="300" w:lineRule="auto"/>
        <w:ind w:left="480" w:hanging="480"/>
        <w:rPr>
          <w:rFonts w:hint="eastAsia" w:ascii="宋体" w:hAnsi="宋体" w:cs="宋体"/>
          <w:color w:val="auto"/>
          <w:szCs w:val="21"/>
          <w:highlight w:val="none"/>
        </w:rPr>
      </w:pPr>
    </w:p>
    <w:p w14:paraId="1A2459C7">
      <w:pPr>
        <w:jc w:val="center"/>
        <w:rPr>
          <w:rFonts w:hint="eastAsia" w:ascii="宋体" w:hAnsi="宋体" w:cs="宋体"/>
          <w:color w:val="auto"/>
          <w:sz w:val="36"/>
          <w:szCs w:val="36"/>
          <w:highlight w:val="none"/>
        </w:rPr>
      </w:pPr>
    </w:p>
    <w:p w14:paraId="578C62C8">
      <w:pPr>
        <w:jc w:val="center"/>
        <w:rPr>
          <w:rFonts w:hint="eastAsia" w:ascii="宋体" w:hAnsi="宋体" w:cs="宋体"/>
          <w:color w:val="auto"/>
          <w:sz w:val="36"/>
          <w:szCs w:val="36"/>
          <w:highlight w:val="none"/>
        </w:rPr>
      </w:pPr>
    </w:p>
    <w:p w14:paraId="3899CF44">
      <w:pPr>
        <w:jc w:val="center"/>
        <w:rPr>
          <w:rFonts w:hint="eastAsia" w:ascii="宋体" w:hAnsi="宋体" w:cs="宋体"/>
          <w:color w:val="auto"/>
          <w:sz w:val="36"/>
          <w:szCs w:val="36"/>
          <w:highlight w:val="none"/>
        </w:rPr>
      </w:pPr>
    </w:p>
    <w:p w14:paraId="14337D71">
      <w:pPr>
        <w:pStyle w:val="2"/>
        <w:overflowPunct w:val="0"/>
        <w:spacing w:line="360" w:lineRule="exact"/>
        <w:ind w:firstLine="0"/>
        <w:rPr>
          <w:rFonts w:hint="eastAsia" w:ascii="宋体" w:hAnsi="宋体" w:cs="宋体"/>
          <w:b/>
          <w:color w:val="auto"/>
          <w:szCs w:val="21"/>
          <w:highlight w:val="none"/>
        </w:rPr>
      </w:pPr>
    </w:p>
    <w:p w14:paraId="1C064936">
      <w:pPr>
        <w:pStyle w:val="2"/>
        <w:overflowPunct w:val="0"/>
        <w:spacing w:line="560" w:lineRule="exact"/>
        <w:ind w:firstLine="0"/>
        <w:rPr>
          <w:rFonts w:hint="eastAsia" w:ascii="宋体" w:hAnsi="宋体" w:cs="宋体" w:eastAsiaTheme="minorEastAsia"/>
          <w:b/>
          <w:color w:val="auto"/>
          <w:szCs w:val="21"/>
          <w:highlight w:val="none"/>
          <w:lang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6</w:t>
      </w:r>
    </w:p>
    <w:p w14:paraId="5EF8FB8D">
      <w:pPr>
        <w:pStyle w:val="2"/>
        <w:overflowPunct w:val="0"/>
        <w:spacing w:line="560" w:lineRule="exact"/>
        <w:ind w:firstLine="0"/>
        <w:rPr>
          <w:rFonts w:hint="eastAsia" w:ascii="宋体" w:hAnsi="宋体" w:cs="宋体"/>
          <w:b/>
          <w:color w:val="auto"/>
          <w:szCs w:val="21"/>
          <w:highlight w:val="none"/>
        </w:rPr>
      </w:pPr>
    </w:p>
    <w:p w14:paraId="590185F4">
      <w:pPr>
        <w:adjustRightInd w:val="0"/>
        <w:snapToGrid w:val="0"/>
        <w:spacing w:line="276"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北海市政府采购供应商信用承诺函（格式）</w:t>
      </w:r>
    </w:p>
    <w:p w14:paraId="5C9C920E">
      <w:pPr>
        <w:widowControl/>
        <w:ind w:firstLine="420" w:firstLineChars="200"/>
        <w:jc w:val="left"/>
        <w:rPr>
          <w:rFonts w:hint="eastAsia" w:ascii="宋体" w:hAnsi="宋体" w:cs="宋体"/>
          <w:color w:val="auto"/>
          <w:kern w:val="0"/>
          <w:szCs w:val="21"/>
          <w:highlight w:val="none"/>
        </w:rPr>
      </w:pPr>
    </w:p>
    <w:p w14:paraId="6B45A22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lang w:eastAsia="zh-CN"/>
        </w:rPr>
        <w:t>广西中之元工程管理有限公司</w:t>
      </w:r>
      <w:r>
        <w:rPr>
          <w:rFonts w:hint="eastAsia" w:ascii="宋体" w:hAnsi="宋体" w:cs="宋体"/>
          <w:color w:val="auto"/>
          <w:kern w:val="0"/>
          <w:szCs w:val="21"/>
          <w:highlight w:val="none"/>
        </w:rPr>
        <w:t>：</w:t>
      </w:r>
    </w:p>
    <w:p w14:paraId="7FB21549">
      <w:pPr>
        <w:widowControl/>
        <w:ind w:firstLine="420" w:firstLineChars="200"/>
        <w:jc w:val="left"/>
        <w:rPr>
          <w:rFonts w:hint="eastAsia" w:ascii="宋体" w:hAnsi="宋体" w:cs="宋体"/>
          <w:color w:val="auto"/>
          <w:kern w:val="0"/>
          <w:szCs w:val="21"/>
          <w:highlight w:val="none"/>
        </w:rPr>
      </w:pPr>
    </w:p>
    <w:p w14:paraId="2FC78FD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w:t>
      </w:r>
    </w:p>
    <w:p w14:paraId="46010A3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统一社会信用代码：</w:t>
      </w:r>
    </w:p>
    <w:p w14:paraId="5E1276B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供应商地址：</w:t>
      </w:r>
    </w:p>
    <w:p w14:paraId="50CCFD1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193D65B">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1.我单位具有符合采购文件资格要求独立承担民事责任的能力。</w:t>
      </w:r>
    </w:p>
    <w:p w14:paraId="32982DE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2.我单位具有符合采购文件资格要求的财务状况报告。</w:t>
      </w:r>
    </w:p>
    <w:p w14:paraId="743DDCE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3.我单位具有符合采购文件资格要求的依法缴纳税收和社会保障记录的良好记录。</w:t>
      </w:r>
    </w:p>
    <w:p w14:paraId="5F75092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4.我单位具有符合采购文件资格要求履行合同所必需的设备和专业技术能力。</w:t>
      </w:r>
    </w:p>
    <w:p w14:paraId="2F00B49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5.参加政府采购活动前三年内，在经营活动中没有重大违法记录。</w:t>
      </w:r>
    </w:p>
    <w:p w14:paraId="1D29075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若我单位承诺不实，自愿承担提供虚假材料谋取中标、成交的法律责任。</w:t>
      </w:r>
    </w:p>
    <w:p w14:paraId="7245EFF0">
      <w:pPr>
        <w:widowControl/>
        <w:ind w:firstLine="420" w:firstLineChars="200"/>
        <w:jc w:val="left"/>
        <w:rPr>
          <w:rFonts w:hint="eastAsia" w:ascii="宋体" w:hAnsi="宋体" w:cs="宋体"/>
          <w:color w:val="auto"/>
          <w:kern w:val="0"/>
          <w:szCs w:val="21"/>
          <w:highlight w:val="none"/>
        </w:rPr>
      </w:pPr>
    </w:p>
    <w:p w14:paraId="6D41D1E5">
      <w:pPr>
        <w:widowControl/>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供应商名称（公章）：</w:t>
      </w:r>
    </w:p>
    <w:p w14:paraId="29177C71">
      <w:pPr>
        <w:widowControl/>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法定代表人或授权代表(签名)：</w:t>
      </w:r>
    </w:p>
    <w:p w14:paraId="738503E5">
      <w:pPr>
        <w:widowControl/>
        <w:ind w:firstLine="420" w:firstLineChars="200"/>
        <w:jc w:val="left"/>
        <w:rPr>
          <w:rFonts w:hint="eastAsia" w:ascii="宋体" w:hAnsi="宋体" w:cs="宋体"/>
          <w:color w:val="auto"/>
          <w:kern w:val="0"/>
          <w:szCs w:val="21"/>
          <w:highlight w:val="none"/>
        </w:rPr>
      </w:pPr>
    </w:p>
    <w:p w14:paraId="15FB6152">
      <w:pPr>
        <w:widowControl/>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日</w:t>
      </w:r>
    </w:p>
    <w:p w14:paraId="299A9B99">
      <w:pPr>
        <w:widowControl/>
        <w:ind w:firstLine="420" w:firstLineChars="200"/>
        <w:jc w:val="left"/>
        <w:rPr>
          <w:rFonts w:hint="eastAsia" w:ascii="宋体" w:hAnsi="宋体" w:cs="宋体"/>
          <w:color w:val="auto"/>
          <w:kern w:val="0"/>
          <w:szCs w:val="21"/>
          <w:highlight w:val="none"/>
        </w:rPr>
      </w:pPr>
    </w:p>
    <w:p w14:paraId="403007E5">
      <w:pPr>
        <w:widowControl/>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注：1.供应商须在谈判响应文件中按此模板提供承诺函，未提供视为未实质性响应谈判文件要求，按无效谈判响应处理。</w:t>
      </w:r>
    </w:p>
    <w:p w14:paraId="6DA14356">
      <w:pPr>
        <w:widowControl/>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2.供应商的法定代表人（其他组织的为负责人）或者授权代表的签名或盖章应真实、有效，如由授权代表签名或盖章的，应提供“法定代表人授权书”。</w:t>
      </w:r>
    </w:p>
    <w:p w14:paraId="150E5BA3">
      <w:pPr>
        <w:pStyle w:val="2"/>
        <w:overflowPunct w:val="0"/>
        <w:adjustRightInd w:val="0"/>
        <w:snapToGrid w:val="0"/>
        <w:spacing w:line="360" w:lineRule="exact"/>
        <w:ind w:firstLine="0"/>
        <w:rPr>
          <w:rFonts w:hint="eastAsia" w:ascii="宋体" w:hAnsi="宋体" w:cs="宋体"/>
          <w:b/>
          <w:color w:val="auto"/>
          <w:sz w:val="22"/>
          <w:szCs w:val="22"/>
          <w:highlight w:val="none"/>
        </w:rPr>
      </w:pPr>
    </w:p>
    <w:p w14:paraId="77C923B0">
      <w:pPr>
        <w:pStyle w:val="2"/>
        <w:overflowPunct w:val="0"/>
        <w:adjustRightInd w:val="0"/>
        <w:snapToGrid w:val="0"/>
        <w:spacing w:line="360" w:lineRule="exact"/>
        <w:ind w:firstLine="0"/>
        <w:rPr>
          <w:rFonts w:hint="eastAsia" w:ascii="宋体" w:hAnsi="宋体" w:cs="宋体"/>
          <w:b/>
          <w:color w:val="auto"/>
          <w:sz w:val="22"/>
          <w:szCs w:val="22"/>
          <w:highlight w:val="none"/>
        </w:rPr>
      </w:pPr>
    </w:p>
    <w:p w14:paraId="4E6E5E4A">
      <w:pPr>
        <w:pStyle w:val="2"/>
        <w:overflowPunct w:val="0"/>
        <w:adjustRightInd w:val="0"/>
        <w:snapToGrid w:val="0"/>
        <w:spacing w:line="360" w:lineRule="exact"/>
        <w:ind w:firstLine="0"/>
        <w:rPr>
          <w:rFonts w:hint="eastAsia" w:ascii="宋体" w:hAnsi="宋体" w:cs="宋体"/>
          <w:b/>
          <w:color w:val="auto"/>
          <w:sz w:val="22"/>
          <w:szCs w:val="22"/>
          <w:highlight w:val="none"/>
        </w:rPr>
      </w:pPr>
    </w:p>
    <w:p w14:paraId="009561C1">
      <w:pPr>
        <w:pStyle w:val="2"/>
        <w:overflowPunct w:val="0"/>
        <w:adjustRightInd w:val="0"/>
        <w:snapToGrid w:val="0"/>
        <w:spacing w:line="360" w:lineRule="exact"/>
        <w:ind w:firstLine="0"/>
        <w:rPr>
          <w:rFonts w:hint="eastAsia" w:ascii="宋体" w:hAnsi="宋体" w:cs="宋体"/>
          <w:b/>
          <w:color w:val="auto"/>
          <w:sz w:val="22"/>
          <w:szCs w:val="22"/>
          <w:highlight w:val="none"/>
        </w:rPr>
      </w:pPr>
    </w:p>
    <w:p w14:paraId="23223D47">
      <w:pPr>
        <w:pStyle w:val="2"/>
        <w:overflowPunct w:val="0"/>
        <w:adjustRightInd w:val="0"/>
        <w:snapToGrid w:val="0"/>
        <w:spacing w:line="360" w:lineRule="exact"/>
        <w:ind w:firstLine="0"/>
        <w:rPr>
          <w:rFonts w:hint="eastAsia" w:ascii="宋体" w:hAnsi="宋体" w:cs="宋体"/>
          <w:b/>
          <w:color w:val="auto"/>
          <w:sz w:val="22"/>
          <w:szCs w:val="22"/>
          <w:highlight w:val="none"/>
        </w:rPr>
      </w:pPr>
    </w:p>
    <w:p w14:paraId="153CC069">
      <w:pPr>
        <w:pStyle w:val="2"/>
        <w:overflowPunct w:val="0"/>
        <w:spacing w:line="600" w:lineRule="exact"/>
        <w:ind w:firstLine="0"/>
        <w:rPr>
          <w:rFonts w:hint="eastAsia" w:ascii="宋体" w:hAnsi="宋体" w:cs="宋体"/>
          <w:b/>
          <w:color w:val="auto"/>
          <w:sz w:val="22"/>
          <w:szCs w:val="22"/>
          <w:highlight w:val="none"/>
        </w:rPr>
      </w:pPr>
    </w:p>
    <w:p w14:paraId="493C38F9">
      <w:pPr>
        <w:pStyle w:val="2"/>
        <w:overflowPunct w:val="0"/>
        <w:spacing w:line="600" w:lineRule="exact"/>
        <w:ind w:firstLine="0"/>
        <w:rPr>
          <w:rFonts w:hint="eastAsia" w:ascii="宋体" w:hAnsi="宋体" w:cs="宋体"/>
          <w:b/>
          <w:color w:val="auto"/>
          <w:szCs w:val="21"/>
          <w:highlight w:val="none"/>
        </w:rPr>
      </w:pPr>
    </w:p>
    <w:p w14:paraId="6B9050DC">
      <w:pPr>
        <w:spacing w:line="300" w:lineRule="auto"/>
        <w:rPr>
          <w:rFonts w:hint="eastAsia" w:ascii="宋体" w:hAnsi="宋体" w:cs="宋体"/>
          <w:color w:val="auto"/>
          <w:sz w:val="22"/>
          <w:szCs w:val="22"/>
          <w:highlight w:val="none"/>
        </w:rPr>
      </w:pPr>
      <w:r>
        <w:rPr>
          <w:rFonts w:hint="eastAsia" w:ascii="宋体" w:hAnsi="宋体" w:cs="宋体"/>
          <w:b/>
          <w:color w:val="auto"/>
          <w:szCs w:val="21"/>
          <w:highlight w:val="none"/>
        </w:rPr>
        <w:br w:type="page"/>
      </w:r>
    </w:p>
    <w:p w14:paraId="376B17E2">
      <w:pPr>
        <w:spacing w:line="600" w:lineRule="exac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7</w:t>
      </w:r>
    </w:p>
    <w:p w14:paraId="528F0A44">
      <w:pPr>
        <w:pStyle w:val="10"/>
        <w:adjustRightInd w:val="0"/>
        <w:snapToGrid w:val="0"/>
        <w:spacing w:line="600" w:lineRule="exact"/>
        <w:jc w:val="center"/>
        <w:rPr>
          <w:rFonts w:hint="eastAsia" w:hAnsi="宋体" w:cs="宋体"/>
          <w:color w:val="auto"/>
          <w:sz w:val="30"/>
          <w:szCs w:val="30"/>
          <w:highlight w:val="none"/>
        </w:rPr>
      </w:pPr>
      <w:r>
        <w:rPr>
          <w:rFonts w:hint="eastAsia" w:hAnsi="宋体" w:cs="宋体"/>
          <w:color w:val="auto"/>
          <w:sz w:val="30"/>
          <w:szCs w:val="30"/>
          <w:highlight w:val="none"/>
        </w:rPr>
        <w:t>售后服务承诺书</w:t>
      </w:r>
    </w:p>
    <w:p w14:paraId="7A8398EB">
      <w:pPr>
        <w:spacing w:line="360" w:lineRule="exact"/>
        <w:rPr>
          <w:rFonts w:hint="eastAsia" w:ascii="宋体" w:hAnsi="宋体" w:cs="宋体"/>
          <w:color w:val="auto"/>
          <w:sz w:val="22"/>
          <w:szCs w:val="22"/>
          <w:highlight w:val="none"/>
        </w:rPr>
      </w:pPr>
    </w:p>
    <w:p w14:paraId="328D8D17">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cs="宋体"/>
          <w:b/>
          <w:color w:val="auto"/>
          <w:kern w:val="0"/>
          <w:sz w:val="22"/>
          <w:szCs w:val="22"/>
          <w:highlight w:val="none"/>
        </w:rPr>
      </w:pPr>
      <w:r>
        <w:rPr>
          <w:rFonts w:hint="eastAsia" w:ascii="宋体" w:hAnsi="宋体" w:cs="宋体"/>
          <w:color w:val="auto"/>
          <w:sz w:val="22"/>
          <w:szCs w:val="22"/>
          <w:highlight w:val="none"/>
        </w:rPr>
        <w:t>【由谈判供应商按《项目需求》售后服务要求自行填写，提供的切实可行的售后服务和优惠承诺，保证交货期的措施（必要时提供生产计划周期表）】</w:t>
      </w:r>
    </w:p>
    <w:p w14:paraId="6F8BFADA">
      <w:pPr>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11DE89ED">
      <w:pPr>
        <w:spacing w:line="600" w:lineRule="exac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8</w:t>
      </w:r>
    </w:p>
    <w:p w14:paraId="5B3F8588">
      <w:pPr>
        <w:spacing w:line="600" w:lineRule="exact"/>
        <w:ind w:left="420" w:hanging="420"/>
        <w:jc w:val="center"/>
        <w:rPr>
          <w:rFonts w:hint="eastAsia" w:ascii="宋体" w:hAnsi="宋体" w:cs="宋体"/>
          <w:color w:val="auto"/>
          <w:kern w:val="0"/>
          <w:sz w:val="30"/>
          <w:szCs w:val="30"/>
          <w:highlight w:val="none"/>
        </w:rPr>
      </w:pPr>
      <w:r>
        <w:rPr>
          <w:rFonts w:hint="eastAsia" w:ascii="宋体" w:hAnsi="宋体" w:cs="宋体"/>
          <w:color w:val="auto"/>
          <w:kern w:val="0"/>
          <w:sz w:val="30"/>
          <w:szCs w:val="30"/>
          <w:highlight w:val="none"/>
        </w:rPr>
        <w:t>产品质量保证书</w:t>
      </w:r>
    </w:p>
    <w:p w14:paraId="23334CDC">
      <w:pPr>
        <w:spacing w:line="360" w:lineRule="exact"/>
        <w:ind w:left="420" w:hanging="420"/>
        <w:jc w:val="center"/>
        <w:rPr>
          <w:rFonts w:hint="eastAsia" w:ascii="宋体" w:hAnsi="宋体" w:cs="宋体"/>
          <w:b/>
          <w:color w:val="auto"/>
          <w:kern w:val="0"/>
          <w:sz w:val="24"/>
          <w:highlight w:val="none"/>
        </w:rPr>
      </w:pPr>
    </w:p>
    <w:p w14:paraId="573A520E">
      <w:pPr>
        <w:keepNext w:val="0"/>
        <w:keepLines w:val="0"/>
        <w:pageBreakBefore w:val="0"/>
        <w:widowControl w:val="0"/>
        <w:kinsoku/>
        <w:wordWrap/>
        <w:overflowPunct/>
        <w:topLinePunct w:val="0"/>
        <w:autoSpaceDE/>
        <w:autoSpaceDN/>
        <w:bidi w:val="0"/>
        <w:adjustRightInd/>
        <w:snapToGrid/>
        <w:spacing w:line="400" w:lineRule="exact"/>
        <w:ind w:left="420" w:hanging="420"/>
        <w:textAlignment w:val="auto"/>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u w:val="single"/>
        </w:rPr>
        <w:t xml:space="preserve">致              </w:t>
      </w:r>
      <w:r>
        <w:rPr>
          <w:rFonts w:hint="eastAsia" w:ascii="宋体" w:hAnsi="宋体" w:cs="宋体"/>
          <w:color w:val="auto"/>
          <w:kern w:val="0"/>
          <w:sz w:val="22"/>
          <w:szCs w:val="22"/>
          <w:highlight w:val="none"/>
        </w:rPr>
        <w:t xml:space="preserve"> ：</w:t>
      </w:r>
    </w:p>
    <w:p w14:paraId="11E99E36">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我公司在此向贵方承诺：</w:t>
      </w:r>
    </w:p>
    <w:p w14:paraId="02890C45">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我方参与谈判的</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项目（编号</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），一旦成交，我方保证按照谈判文件和谈判响应文件的要求提供合格的产品，如出现弄虚作假，包括掺杂、掺假、以假充真、以次充好、以不合格产品冒充合格产品的，我方愿按《政府采购法》、《</w:t>
      </w:r>
      <w:r>
        <w:rPr>
          <w:rFonts w:hint="eastAsia" w:ascii="宋体" w:hAnsi="宋体" w:cs="宋体"/>
          <w:color w:val="auto"/>
          <w:kern w:val="0"/>
          <w:sz w:val="22"/>
          <w:szCs w:val="22"/>
          <w:highlight w:val="none"/>
          <w:lang w:eastAsia="zh-CN"/>
        </w:rPr>
        <w:t>民法典</w:t>
      </w:r>
      <w:r>
        <w:rPr>
          <w:rFonts w:hint="eastAsia" w:ascii="宋体" w:hAnsi="宋体" w:cs="宋体"/>
          <w:color w:val="auto"/>
          <w:kern w:val="0"/>
          <w:sz w:val="22"/>
          <w:szCs w:val="22"/>
          <w:highlight w:val="none"/>
        </w:rPr>
        <w:t>》、《产品质量法》、《消费者权益保护法》等法律法规规定，承担相应的经济责任和法律责任。</w:t>
      </w:r>
    </w:p>
    <w:p w14:paraId="5DBE35C9">
      <w:pPr>
        <w:spacing w:line="300" w:lineRule="auto"/>
        <w:rPr>
          <w:rFonts w:hint="eastAsia" w:ascii="宋体" w:hAnsi="宋体" w:cs="宋体"/>
          <w:color w:val="auto"/>
          <w:kern w:val="0"/>
          <w:sz w:val="28"/>
          <w:szCs w:val="28"/>
          <w:highlight w:val="none"/>
        </w:rPr>
      </w:pPr>
    </w:p>
    <w:p w14:paraId="27A978D1">
      <w:pPr>
        <w:spacing w:line="300" w:lineRule="auto"/>
        <w:ind w:hanging="420"/>
        <w:rPr>
          <w:rFonts w:hint="eastAsia" w:ascii="宋体" w:hAnsi="宋体" w:cs="宋体"/>
          <w:color w:val="auto"/>
          <w:kern w:val="0"/>
          <w:sz w:val="28"/>
          <w:szCs w:val="28"/>
          <w:highlight w:val="none"/>
        </w:rPr>
      </w:pPr>
    </w:p>
    <w:p w14:paraId="397656F0">
      <w:pPr>
        <w:spacing w:line="300" w:lineRule="auto"/>
        <w:ind w:left="420" w:hanging="420"/>
        <w:jc w:val="center"/>
        <w:rPr>
          <w:rFonts w:hint="eastAsia" w:ascii="宋体" w:hAnsi="宋体" w:cs="宋体"/>
          <w:b/>
          <w:color w:val="auto"/>
          <w:kern w:val="0"/>
          <w:sz w:val="32"/>
          <w:szCs w:val="32"/>
          <w:highlight w:val="none"/>
        </w:rPr>
      </w:pPr>
    </w:p>
    <w:p w14:paraId="7A2F3976">
      <w:pPr>
        <w:spacing w:line="300" w:lineRule="auto"/>
        <w:ind w:left="420" w:hanging="420"/>
        <w:jc w:val="center"/>
        <w:rPr>
          <w:rFonts w:hint="eastAsia" w:ascii="宋体" w:hAnsi="宋体" w:cs="宋体"/>
          <w:b/>
          <w:color w:val="auto"/>
          <w:kern w:val="0"/>
          <w:sz w:val="32"/>
          <w:szCs w:val="32"/>
          <w:highlight w:val="none"/>
        </w:rPr>
      </w:pPr>
    </w:p>
    <w:p w14:paraId="5098DE39">
      <w:pPr>
        <w:spacing w:line="300" w:lineRule="auto"/>
        <w:ind w:left="420" w:hanging="420"/>
        <w:jc w:val="center"/>
        <w:rPr>
          <w:rFonts w:hint="eastAsia" w:ascii="宋体" w:hAnsi="宋体" w:cs="宋体"/>
          <w:b/>
          <w:color w:val="auto"/>
          <w:kern w:val="0"/>
          <w:sz w:val="32"/>
          <w:szCs w:val="32"/>
          <w:highlight w:val="none"/>
        </w:rPr>
      </w:pPr>
    </w:p>
    <w:p w14:paraId="70E0E188">
      <w:pPr>
        <w:spacing w:line="300" w:lineRule="auto"/>
        <w:ind w:left="420" w:hanging="420"/>
        <w:jc w:val="center"/>
        <w:rPr>
          <w:rFonts w:hint="eastAsia" w:ascii="宋体" w:hAnsi="宋体" w:cs="宋体"/>
          <w:b/>
          <w:color w:val="auto"/>
          <w:kern w:val="0"/>
          <w:sz w:val="32"/>
          <w:szCs w:val="32"/>
          <w:highlight w:val="none"/>
        </w:rPr>
      </w:pPr>
    </w:p>
    <w:p w14:paraId="228000D2">
      <w:pPr>
        <w:spacing w:line="300" w:lineRule="auto"/>
        <w:ind w:left="420" w:hanging="420"/>
        <w:jc w:val="center"/>
        <w:rPr>
          <w:rFonts w:hint="eastAsia" w:ascii="宋体" w:hAnsi="宋体" w:cs="宋体"/>
          <w:b/>
          <w:color w:val="auto"/>
          <w:kern w:val="0"/>
          <w:sz w:val="32"/>
          <w:szCs w:val="32"/>
          <w:highlight w:val="none"/>
        </w:rPr>
      </w:pPr>
    </w:p>
    <w:p w14:paraId="562BDC71">
      <w:pPr>
        <w:spacing w:line="300" w:lineRule="auto"/>
        <w:jc w:val="both"/>
        <w:rPr>
          <w:rFonts w:hint="eastAsia" w:ascii="宋体" w:hAnsi="宋体" w:cs="宋体"/>
          <w:b/>
          <w:color w:val="auto"/>
          <w:kern w:val="0"/>
          <w:sz w:val="32"/>
          <w:szCs w:val="32"/>
          <w:highlight w:val="none"/>
        </w:rPr>
      </w:pPr>
    </w:p>
    <w:p w14:paraId="49A2A159">
      <w:pPr>
        <w:spacing w:line="300" w:lineRule="auto"/>
        <w:jc w:val="both"/>
        <w:rPr>
          <w:rFonts w:hint="eastAsia" w:ascii="宋体" w:hAnsi="宋体" w:cs="宋体"/>
          <w:b/>
          <w:color w:val="auto"/>
          <w:kern w:val="0"/>
          <w:sz w:val="32"/>
          <w:szCs w:val="32"/>
          <w:highlight w:val="none"/>
        </w:rPr>
      </w:pPr>
    </w:p>
    <w:p w14:paraId="72B12410">
      <w:pPr>
        <w:spacing w:line="300" w:lineRule="auto"/>
        <w:rPr>
          <w:rFonts w:hint="eastAsia" w:ascii="宋体" w:hAnsi="宋体" w:cs="宋体"/>
          <w:b/>
          <w:color w:val="auto"/>
          <w:kern w:val="0"/>
          <w:sz w:val="32"/>
          <w:szCs w:val="32"/>
          <w:highlight w:val="none"/>
        </w:rPr>
      </w:pPr>
    </w:p>
    <w:p w14:paraId="43A9D4A2">
      <w:pPr>
        <w:pStyle w:val="10"/>
        <w:adjustRightInd w:val="0"/>
        <w:snapToGrid w:val="0"/>
        <w:ind w:firstLine="442" w:firstLineChars="201"/>
        <w:rPr>
          <w:rFonts w:hint="eastAsia" w:hAnsi="宋体" w:cs="宋体"/>
          <w:color w:val="auto"/>
          <w:sz w:val="22"/>
          <w:szCs w:val="22"/>
          <w:highlight w:val="none"/>
        </w:rPr>
      </w:pPr>
      <w:r>
        <w:rPr>
          <w:rFonts w:hint="eastAsia" w:hAnsi="宋体" w:cs="宋体"/>
          <w:color w:val="auto"/>
          <w:sz w:val="22"/>
          <w:szCs w:val="22"/>
          <w:highlight w:val="none"/>
        </w:rPr>
        <w:t>谈判供应商（章）：</w:t>
      </w:r>
      <w:r>
        <w:rPr>
          <w:rFonts w:hint="eastAsia" w:hAnsi="宋体" w:cs="宋体"/>
          <w:color w:val="auto"/>
          <w:sz w:val="22"/>
          <w:szCs w:val="22"/>
          <w:highlight w:val="none"/>
          <w:u w:val="single"/>
        </w:rPr>
        <w:t xml:space="preserve">                                        </w:t>
      </w:r>
    </w:p>
    <w:p w14:paraId="4E2CC731">
      <w:pPr>
        <w:pStyle w:val="10"/>
        <w:adjustRightInd w:val="0"/>
        <w:snapToGrid w:val="0"/>
        <w:ind w:firstLine="442" w:firstLineChars="201"/>
        <w:rPr>
          <w:rFonts w:hint="eastAsia" w:hAnsi="宋体" w:cs="宋体"/>
          <w:color w:val="auto"/>
          <w:sz w:val="22"/>
          <w:szCs w:val="22"/>
          <w:highlight w:val="none"/>
        </w:rPr>
      </w:pPr>
    </w:p>
    <w:p w14:paraId="4FFB5C26">
      <w:pPr>
        <w:pStyle w:val="10"/>
        <w:adjustRightInd w:val="0"/>
        <w:snapToGrid w:val="0"/>
        <w:ind w:firstLine="442" w:firstLineChars="201"/>
        <w:rPr>
          <w:rFonts w:hint="eastAsia" w:hAnsi="宋体" w:cs="宋体"/>
          <w:color w:val="auto"/>
          <w:sz w:val="22"/>
          <w:szCs w:val="22"/>
          <w:highlight w:val="none"/>
          <w:u w:val="single"/>
        </w:rPr>
      </w:pPr>
      <w:r>
        <w:rPr>
          <w:rFonts w:hint="eastAsia" w:hAnsi="宋体" w:cs="宋体"/>
          <w:color w:val="auto"/>
          <w:sz w:val="22"/>
          <w:szCs w:val="22"/>
          <w:highlight w:val="none"/>
        </w:rPr>
        <w:t>法定代表人或委托代理人（签字）：</w:t>
      </w:r>
      <w:r>
        <w:rPr>
          <w:rFonts w:hint="eastAsia" w:hAnsi="宋体" w:cs="宋体"/>
          <w:color w:val="auto"/>
          <w:sz w:val="22"/>
          <w:szCs w:val="22"/>
          <w:highlight w:val="none"/>
          <w:u w:val="single"/>
        </w:rPr>
        <w:t xml:space="preserve">                           </w:t>
      </w:r>
    </w:p>
    <w:p w14:paraId="221E6CFC">
      <w:pPr>
        <w:pStyle w:val="10"/>
        <w:adjustRightInd w:val="0"/>
        <w:snapToGrid w:val="0"/>
        <w:ind w:firstLine="444" w:firstLineChars="201"/>
        <w:rPr>
          <w:rFonts w:hint="eastAsia" w:hAnsi="宋体" w:cs="宋体"/>
          <w:b/>
          <w:color w:val="auto"/>
          <w:sz w:val="22"/>
          <w:szCs w:val="22"/>
          <w:highlight w:val="none"/>
        </w:rPr>
      </w:pPr>
    </w:p>
    <w:p w14:paraId="52BF2603">
      <w:pPr>
        <w:pStyle w:val="10"/>
        <w:adjustRightInd w:val="0"/>
        <w:snapToGrid w:val="0"/>
        <w:ind w:firstLine="442" w:firstLineChars="201"/>
        <w:rPr>
          <w:rFonts w:hint="eastAsia" w:hAnsi="宋体" w:cs="宋体"/>
          <w:color w:val="auto"/>
          <w:sz w:val="22"/>
          <w:szCs w:val="22"/>
          <w:highlight w:val="none"/>
          <w:u w:val="single"/>
        </w:rPr>
      </w:pPr>
      <w:r>
        <w:rPr>
          <w:rFonts w:hint="eastAsia" w:hAnsi="宋体" w:cs="宋体"/>
          <w:color w:val="auto"/>
          <w:sz w:val="22"/>
          <w:szCs w:val="22"/>
          <w:highlight w:val="none"/>
        </w:rPr>
        <w:t>日期</w:t>
      </w:r>
      <w:r>
        <w:rPr>
          <w:rFonts w:hint="eastAsia" w:hAnsi="宋体" w:cs="宋体"/>
          <w:color w:val="auto"/>
          <w:sz w:val="22"/>
          <w:szCs w:val="22"/>
          <w:highlight w:val="none"/>
          <w:u w:val="single"/>
        </w:rPr>
        <w:t xml:space="preserve">                                                      </w:t>
      </w:r>
    </w:p>
    <w:p w14:paraId="5E6020FD">
      <w:pPr>
        <w:rPr>
          <w:rFonts w:hint="eastAsia" w:ascii="宋体" w:hAnsi="宋体" w:cs="宋体"/>
          <w:color w:val="auto"/>
          <w:highlight w:val="none"/>
        </w:rPr>
      </w:pPr>
    </w:p>
    <w:p w14:paraId="6415714A">
      <w:pPr>
        <w:spacing w:line="600" w:lineRule="exact"/>
        <w:rPr>
          <w:rFonts w:hint="eastAsia" w:ascii="宋体" w:hAnsi="宋体" w:eastAsia="宋体" w:cs="宋体"/>
          <w:b/>
          <w:color w:val="auto"/>
          <w:szCs w:val="21"/>
          <w:highlight w:val="none"/>
          <w:lang w:eastAsia="zh-CN"/>
        </w:rPr>
      </w:pPr>
      <w:r>
        <w:rPr>
          <w:rFonts w:hint="eastAsia" w:ascii="宋体" w:hAnsi="宋体" w:cs="宋体"/>
          <w:color w:val="auto"/>
          <w:highlight w:val="none"/>
        </w:rPr>
        <w:br w:type="page"/>
      </w:r>
    </w:p>
    <w:p w14:paraId="1BBE66C2">
      <w:pPr>
        <w:spacing w:line="300" w:lineRule="auto"/>
        <w:rPr>
          <w:rFonts w:hint="eastAsia" w:ascii="宋体" w:hAnsi="宋体" w:cs="宋体" w:eastAsiaTheme="minorEastAsia"/>
          <w:b/>
          <w:color w:val="auto"/>
          <w:kern w:val="0"/>
          <w:szCs w:val="21"/>
          <w:highlight w:val="none"/>
          <w:lang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9</w:t>
      </w:r>
    </w:p>
    <w:p w14:paraId="4B918F44">
      <w:pPr>
        <w:snapToGrid w:val="0"/>
        <w:spacing w:before="156" w:beforeLines="50" w:after="50"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承诺函</w:t>
      </w:r>
    </w:p>
    <w:p w14:paraId="2E310142">
      <w:pPr>
        <w:pStyle w:val="10"/>
        <w:spacing w:line="400" w:lineRule="exact"/>
        <w:ind w:firstLine="420" w:firstLineChars="200"/>
        <w:rPr>
          <w:rFonts w:hint="eastAsia" w:hAnsi="宋体" w:cs="宋体"/>
          <w:color w:val="auto"/>
          <w:highlight w:val="none"/>
        </w:rPr>
      </w:pPr>
      <w:r>
        <w:rPr>
          <w:rFonts w:hint="eastAsia" w:hAnsi="宋体" w:cs="宋体"/>
          <w:color w:val="auto"/>
          <w:highlight w:val="none"/>
          <w:u w:val="single"/>
          <w:lang w:eastAsia="zh-CN"/>
        </w:rPr>
        <w:t>广西中之元工程管理有限公司</w:t>
      </w:r>
      <w:r>
        <w:rPr>
          <w:rFonts w:hint="eastAsia" w:hAnsi="宋体" w:cs="宋体"/>
          <w:color w:val="auto"/>
          <w:highlight w:val="none"/>
        </w:rPr>
        <w:t>：</w:t>
      </w:r>
    </w:p>
    <w:p w14:paraId="4B42FD93">
      <w:pPr>
        <w:pStyle w:val="10"/>
        <w:spacing w:line="400" w:lineRule="exact"/>
        <w:ind w:firstLine="420" w:firstLineChars="200"/>
        <w:rPr>
          <w:rFonts w:hint="eastAsia" w:hAnsi="宋体" w:cs="宋体"/>
          <w:color w:val="auto"/>
          <w:highlight w:val="none"/>
        </w:rPr>
      </w:pPr>
      <w:r>
        <w:rPr>
          <w:rFonts w:hint="eastAsia" w:hAnsi="宋体" w:cs="宋体"/>
          <w:color w:val="auto"/>
          <w:highlight w:val="none"/>
        </w:rPr>
        <w:t>我方作为本次采购项目的谈判供应商，根据谈判文件要求，现郑重承诺如下：</w:t>
      </w:r>
    </w:p>
    <w:p w14:paraId="5BAEFAD3">
      <w:pPr>
        <w:pStyle w:val="10"/>
        <w:spacing w:line="400" w:lineRule="exact"/>
        <w:ind w:firstLine="420" w:firstLineChars="200"/>
        <w:rPr>
          <w:rFonts w:hint="eastAsia" w:hAnsi="宋体" w:cs="宋体"/>
          <w:color w:val="auto"/>
          <w:highlight w:val="none"/>
        </w:rPr>
      </w:pPr>
      <w:r>
        <w:rPr>
          <w:rFonts w:hint="eastAsia" w:hAnsi="宋体" w:cs="宋体"/>
          <w:color w:val="auto"/>
          <w:highlight w:val="none"/>
        </w:rPr>
        <w:t>一、我方已认真阅读并接受本项目谈判文件第二章的全部实质性要求，如对谈判文件有异议，已依法进行维权救济，不存在对谈判文件有异议的同时又参加谈判以求侥幸成交或者为实现其他非法目的的行为。</w:t>
      </w:r>
    </w:p>
    <w:p w14:paraId="0FA41443">
      <w:pPr>
        <w:pStyle w:val="10"/>
        <w:spacing w:line="400" w:lineRule="exact"/>
        <w:ind w:firstLine="420" w:firstLineChars="200"/>
        <w:rPr>
          <w:rFonts w:hint="eastAsia" w:hAnsi="宋体" w:cs="宋体"/>
          <w:color w:val="auto"/>
          <w:highlight w:val="none"/>
        </w:rPr>
      </w:pPr>
      <w:r>
        <w:rPr>
          <w:rFonts w:hint="eastAsia" w:hAnsi="宋体" w:cs="宋体"/>
          <w:color w:val="auto"/>
          <w:highlight w:val="none"/>
        </w:rPr>
        <w:t>二、参加本次谈判采购活动，不存在与单位负责人为同一人或者存在直接控股、管理关系的其他供应商参与同一合同项下的政府采购活动的行为。</w:t>
      </w:r>
    </w:p>
    <w:p w14:paraId="1144C792">
      <w:pPr>
        <w:pStyle w:val="10"/>
        <w:spacing w:line="400" w:lineRule="exact"/>
        <w:ind w:firstLine="420" w:firstLineChars="200"/>
        <w:rPr>
          <w:rFonts w:hint="eastAsia" w:hAnsi="宋体" w:cs="宋体"/>
          <w:color w:val="auto"/>
          <w:highlight w:val="none"/>
        </w:rPr>
      </w:pPr>
      <w:r>
        <w:rPr>
          <w:rFonts w:hint="eastAsia" w:hAnsi="宋体" w:cs="宋体"/>
          <w:color w:val="auto"/>
          <w:highlight w:val="none"/>
        </w:rPr>
        <w:t>三、为采购项目提供整体设计、规范编制或者项目管理、监理、检测等服务的供应商，不得再参加该采购项目的其他采购活动，我方承诺不属于此类禁止参加本项目的供应商。</w:t>
      </w:r>
    </w:p>
    <w:p w14:paraId="2B592D73">
      <w:pPr>
        <w:pStyle w:val="10"/>
        <w:spacing w:line="400" w:lineRule="exact"/>
        <w:ind w:firstLine="420" w:firstLineChars="200"/>
        <w:rPr>
          <w:rFonts w:hint="eastAsia" w:hAnsi="宋体" w:cs="宋体"/>
          <w:color w:val="auto"/>
          <w:highlight w:val="none"/>
        </w:rPr>
      </w:pPr>
      <w:r>
        <w:rPr>
          <w:rFonts w:hint="eastAsia" w:hAnsi="宋体" w:cs="宋体"/>
          <w:color w:val="auto"/>
          <w:highlight w:val="none"/>
        </w:rPr>
        <w:t>四、参加本次谈判采购活动，不存在和其他供应商在同一合同项下的采购项目中，同时委托同一个自然人、同一家庭的人员、同一单位的人员作为代理人的行为。</w:t>
      </w:r>
    </w:p>
    <w:p w14:paraId="5392EF1F">
      <w:pPr>
        <w:pStyle w:val="10"/>
        <w:spacing w:line="400" w:lineRule="exact"/>
        <w:ind w:firstLine="420" w:firstLineChars="200"/>
        <w:rPr>
          <w:rFonts w:hint="eastAsia" w:hAnsi="宋体" w:cs="宋体"/>
          <w:color w:val="auto"/>
          <w:highlight w:val="none"/>
        </w:rPr>
      </w:pPr>
      <w:r>
        <w:rPr>
          <w:rFonts w:hint="eastAsia" w:hAnsi="宋体" w:cs="宋体"/>
          <w:color w:val="auto"/>
          <w:highlight w:val="none"/>
        </w:rPr>
        <w:t>五、谈判响应文件中提供的能够给予我方带来优惠、好处的任何材料资料和技术、服务、商务、响应产品等响应承诺情况都是真实的、有效的、合法的。</w:t>
      </w:r>
    </w:p>
    <w:p w14:paraId="2CB9F706">
      <w:pPr>
        <w:pStyle w:val="10"/>
        <w:spacing w:line="400" w:lineRule="exact"/>
        <w:ind w:firstLine="420" w:firstLineChars="200"/>
        <w:rPr>
          <w:rFonts w:hint="eastAsia" w:hAnsi="宋体" w:cs="宋体"/>
          <w:color w:val="auto"/>
          <w:highlight w:val="none"/>
        </w:rPr>
      </w:pPr>
      <w:r>
        <w:rPr>
          <w:rFonts w:hint="eastAsia" w:hAnsi="宋体" w:cs="宋体"/>
          <w:color w:val="auto"/>
          <w:highlight w:val="none"/>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14:paraId="2EAFAFB3">
      <w:pPr>
        <w:pStyle w:val="10"/>
        <w:spacing w:line="400" w:lineRule="exact"/>
        <w:ind w:firstLine="420" w:firstLineChars="200"/>
        <w:rPr>
          <w:rFonts w:hint="eastAsia" w:hAnsi="宋体" w:cs="宋体"/>
          <w:color w:val="auto"/>
          <w:highlight w:val="none"/>
        </w:rPr>
      </w:pPr>
      <w:r>
        <w:rPr>
          <w:rFonts w:hint="eastAsia" w:hAnsi="宋体" w:cs="宋体"/>
          <w:color w:val="auto"/>
          <w:highlight w:val="none"/>
        </w:rPr>
        <w:t>七、国家或行业主管部门对采购产品的技术标准、质量标准和资格资质条件等有强制性规定的，我方承诺符合其要求。</w:t>
      </w:r>
    </w:p>
    <w:p w14:paraId="7860AF88">
      <w:pPr>
        <w:pStyle w:val="10"/>
        <w:spacing w:line="400" w:lineRule="exact"/>
        <w:ind w:firstLine="420" w:firstLineChars="200"/>
        <w:rPr>
          <w:rFonts w:hint="eastAsia" w:hAnsi="宋体" w:cs="宋体"/>
          <w:color w:val="auto"/>
          <w:highlight w:val="none"/>
        </w:rPr>
      </w:pPr>
      <w:r>
        <w:rPr>
          <w:rFonts w:hint="eastAsia" w:hAnsi="宋体" w:cs="宋体"/>
          <w:color w:val="auto"/>
          <w:highlight w:val="none"/>
        </w:rPr>
        <w:t>八、参加本次谈判采购活动，我方完全同意谈判文件第二章关于“谈判费用”、“质量（履约）保证金”等实质性要求，并承诺严格按照谈判文件要求履行。</w:t>
      </w:r>
    </w:p>
    <w:p w14:paraId="47D5E28B">
      <w:pPr>
        <w:pStyle w:val="10"/>
        <w:spacing w:line="400" w:lineRule="exact"/>
        <w:ind w:firstLine="420" w:firstLineChars="200"/>
        <w:rPr>
          <w:rFonts w:hint="eastAsia" w:hAnsi="宋体" w:cs="宋体"/>
          <w:color w:val="auto"/>
          <w:highlight w:val="none"/>
        </w:rPr>
      </w:pPr>
      <w:r>
        <w:rPr>
          <w:rFonts w:hint="eastAsia" w:hAnsi="宋体" w:cs="宋体"/>
          <w:color w:val="auto"/>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谈判报价中已包括合法获取该知识产权的相关费用。</w:t>
      </w:r>
    </w:p>
    <w:p w14:paraId="4ABD8872">
      <w:pPr>
        <w:pStyle w:val="10"/>
        <w:spacing w:line="400" w:lineRule="exact"/>
        <w:ind w:firstLine="420" w:firstLineChars="200"/>
        <w:rPr>
          <w:rFonts w:hint="eastAsia" w:hAnsi="宋体" w:cs="宋体"/>
          <w:color w:val="auto"/>
          <w:highlight w:val="none"/>
        </w:rPr>
      </w:pPr>
      <w:r>
        <w:rPr>
          <w:rFonts w:hint="eastAsia" w:hAnsi="宋体" w:cs="宋体"/>
          <w:color w:val="auto"/>
          <w:highlight w:val="none"/>
        </w:rPr>
        <w:t>我方对上述承诺的内容事项真实性负责。如经查实上述承诺的内容事项存在虚假，我方愿意接受以提供虚假材料谋取成交追究法律责任。</w:t>
      </w:r>
    </w:p>
    <w:p w14:paraId="5B155777">
      <w:pPr>
        <w:pStyle w:val="10"/>
        <w:spacing w:line="400" w:lineRule="exact"/>
        <w:ind w:firstLine="420" w:firstLineChars="200"/>
        <w:rPr>
          <w:rFonts w:hint="eastAsia" w:hAnsi="宋体" w:cs="宋体"/>
          <w:color w:val="auto"/>
          <w:highlight w:val="none"/>
        </w:rPr>
      </w:pPr>
      <w:r>
        <w:rPr>
          <w:rFonts w:hint="eastAsia" w:hAnsi="宋体" w:cs="宋体"/>
          <w:color w:val="auto"/>
          <w:highlight w:val="none"/>
        </w:rPr>
        <w:t>谈判供应商（公章）：</w:t>
      </w:r>
    </w:p>
    <w:p w14:paraId="0C397F94">
      <w:pPr>
        <w:pStyle w:val="10"/>
        <w:spacing w:line="400" w:lineRule="exact"/>
        <w:ind w:firstLine="420" w:firstLineChars="200"/>
        <w:rPr>
          <w:rFonts w:hint="eastAsia" w:hAnsi="宋体" w:cs="宋体"/>
          <w:color w:val="auto"/>
          <w:highlight w:val="none"/>
        </w:rPr>
      </w:pPr>
      <w:r>
        <w:rPr>
          <w:rFonts w:hint="eastAsia" w:hAnsi="宋体" w:cs="宋体"/>
          <w:color w:val="auto"/>
          <w:highlight w:val="none"/>
        </w:rPr>
        <w:t>法定代表人（负责人）或委托代理人签名：</w:t>
      </w:r>
    </w:p>
    <w:p w14:paraId="5CB7198F">
      <w:pPr>
        <w:pStyle w:val="10"/>
        <w:spacing w:line="400" w:lineRule="exact"/>
        <w:ind w:firstLine="420" w:firstLineChars="200"/>
        <w:rPr>
          <w:rFonts w:hint="eastAsia" w:hAnsi="宋体" w:cs="宋体"/>
          <w:b/>
          <w:color w:val="auto"/>
          <w:kern w:val="0"/>
          <w:highlight w:val="none"/>
        </w:rPr>
      </w:pPr>
      <w:r>
        <w:rPr>
          <w:rFonts w:hint="eastAsia" w:hAnsi="宋体" w:cs="宋体"/>
          <w:color w:val="auto"/>
          <w:highlight w:val="none"/>
        </w:rPr>
        <w:t>日期：</w:t>
      </w:r>
    </w:p>
    <w:p w14:paraId="5AF228AA">
      <w:pPr>
        <w:spacing w:line="600" w:lineRule="exact"/>
        <w:jc w:val="center"/>
        <w:rPr>
          <w:rFonts w:hint="eastAsia" w:ascii="宋体" w:hAnsi="宋体" w:cs="宋体"/>
          <w:color w:val="auto"/>
          <w:kern w:val="0"/>
          <w:sz w:val="30"/>
          <w:szCs w:val="30"/>
          <w:highlight w:val="none"/>
        </w:rPr>
      </w:pPr>
    </w:p>
    <w:p w14:paraId="59840A0B">
      <w:pPr>
        <w:spacing w:line="600" w:lineRule="exact"/>
        <w:jc w:val="center"/>
        <w:rPr>
          <w:rFonts w:hint="eastAsia" w:ascii="宋体" w:hAnsi="宋体" w:cs="宋体"/>
          <w:color w:val="auto"/>
          <w:kern w:val="0"/>
          <w:sz w:val="30"/>
          <w:szCs w:val="30"/>
          <w:highlight w:val="none"/>
        </w:rPr>
      </w:pPr>
      <w:r>
        <w:rPr>
          <w:rFonts w:hint="eastAsia" w:ascii="宋体" w:hAnsi="宋体" w:cs="宋体"/>
          <w:color w:val="auto"/>
          <w:kern w:val="0"/>
          <w:sz w:val="30"/>
          <w:szCs w:val="30"/>
          <w:highlight w:val="none"/>
        </w:rPr>
        <w:t>谈判供应商的资格证明文件</w:t>
      </w:r>
    </w:p>
    <w:p w14:paraId="59E2ABEB">
      <w:pPr>
        <w:keepNext w:val="0"/>
        <w:keepLines w:val="0"/>
        <w:pageBreakBefore w:val="0"/>
        <w:widowControl w:val="0"/>
        <w:kinsoku/>
        <w:wordWrap/>
        <w:overflowPunct/>
        <w:topLinePunct w:val="0"/>
        <w:autoSpaceDE/>
        <w:autoSpaceDN/>
        <w:bidi w:val="0"/>
        <w:adjustRightInd/>
        <w:snapToGrid/>
        <w:spacing w:before="0" w:after="0" w:line="360" w:lineRule="exact"/>
        <w:textAlignment w:val="auto"/>
        <w:outlineLvl w:val="9"/>
        <w:rPr>
          <w:rFonts w:hint="eastAsia" w:ascii="宋体" w:hAnsi="宋体" w:cs="宋体"/>
          <w:b w:val="0"/>
          <w:color w:val="auto"/>
          <w:kern w:val="2"/>
          <w:sz w:val="21"/>
          <w:szCs w:val="21"/>
          <w:highlight w:val="none"/>
        </w:rPr>
      </w:pPr>
    </w:p>
    <w:p w14:paraId="45E04A55">
      <w:pPr>
        <w:jc w:val="center"/>
        <w:rPr>
          <w:rFonts w:hint="eastAsia" w:ascii="宋体" w:hAnsi="宋体" w:eastAsia="宋体" w:cs="宋体"/>
          <w:color w:val="auto"/>
          <w:sz w:val="22"/>
          <w:szCs w:val="22"/>
          <w:highlight w:val="none"/>
        </w:rPr>
      </w:pPr>
      <w:bookmarkStart w:id="105" w:name="_Toc28539"/>
      <w:r>
        <w:rPr>
          <w:rFonts w:hint="eastAsia" w:ascii="宋体" w:hAnsi="宋体" w:eastAsia="宋体" w:cs="宋体"/>
          <w:color w:val="auto"/>
          <w:sz w:val="22"/>
          <w:szCs w:val="22"/>
          <w:highlight w:val="none"/>
        </w:rPr>
        <w:t>（注：按照谈判供应商须知5.6商务技术文件要求提供，其中必须提供的资料，谈判供应商必须全部提供，否则谈判无效）。</w:t>
      </w:r>
      <w:bookmarkEnd w:id="105"/>
    </w:p>
    <w:p w14:paraId="19C738E9">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right="420" w:firstLine="482" w:firstLineChars="200"/>
        <w:textAlignment w:val="auto"/>
        <w:rPr>
          <w:rFonts w:hint="eastAsia" w:ascii="宋体" w:hAnsi="宋体" w:eastAsia="宋体" w:cs="宋体"/>
          <w:color w:val="auto"/>
          <w:kern w:val="2"/>
          <w:sz w:val="22"/>
          <w:szCs w:val="22"/>
          <w:highlight w:val="none"/>
        </w:rPr>
      </w:pPr>
      <w:r>
        <w:rPr>
          <w:rFonts w:hint="eastAsia" w:ascii="宋体" w:hAnsi="宋体" w:cs="宋体"/>
          <w:b/>
          <w:color w:val="auto"/>
          <w:szCs w:val="21"/>
          <w:highlight w:val="none"/>
        </w:rPr>
        <w:br w:type="page"/>
      </w:r>
    </w:p>
    <w:p w14:paraId="2846D463">
      <w:pPr>
        <w:pStyle w:val="3"/>
        <w:bidi w:val="0"/>
        <w:rPr>
          <w:rFonts w:hint="eastAsia"/>
          <w:color w:val="auto"/>
          <w:highlight w:val="none"/>
        </w:rPr>
      </w:pPr>
      <w:bookmarkStart w:id="106" w:name="_Toc1048"/>
      <w:bookmarkStart w:id="107" w:name="_Toc3262"/>
      <w:r>
        <w:rPr>
          <w:rFonts w:hint="eastAsia"/>
          <w:color w:val="auto"/>
          <w:highlight w:val="none"/>
        </w:rPr>
        <w:t>第五章  合同主要条款</w:t>
      </w:r>
      <w:bookmarkEnd w:id="106"/>
      <w:bookmarkEnd w:id="107"/>
    </w:p>
    <w:p w14:paraId="3CF94657">
      <w:pPr>
        <w:keepNext w:val="0"/>
        <w:keepLines w:val="0"/>
        <w:pageBreakBefore w:val="0"/>
        <w:widowControl w:val="0"/>
        <w:kinsoku/>
        <w:wordWrap/>
        <w:overflowPunct/>
        <w:topLinePunct w:val="0"/>
        <w:autoSpaceDE/>
        <w:autoSpaceDN/>
        <w:bidi w:val="0"/>
        <w:adjustRightInd/>
        <w:snapToGrid/>
        <w:spacing w:before="0" w:after="0" w:line="600" w:lineRule="exact"/>
        <w:textAlignment w:val="auto"/>
        <w:outlineLvl w:val="9"/>
        <w:rPr>
          <w:rFonts w:hint="eastAsia" w:ascii="宋体" w:hAnsi="宋体" w:cs="宋体"/>
          <w:b w:val="0"/>
          <w:color w:val="auto"/>
          <w:kern w:val="0"/>
          <w:sz w:val="36"/>
          <w:szCs w:val="36"/>
          <w:highlight w:val="none"/>
        </w:rPr>
      </w:pPr>
      <w:bookmarkStart w:id="108" w:name="_Toc31109"/>
    </w:p>
    <w:p w14:paraId="72C6A38D">
      <w:pPr>
        <w:keepNext w:val="0"/>
        <w:keepLines w:val="0"/>
        <w:pageBreakBefore w:val="0"/>
        <w:widowControl w:val="0"/>
        <w:kinsoku/>
        <w:wordWrap/>
        <w:overflowPunct/>
        <w:topLinePunct w:val="0"/>
        <w:autoSpaceDE/>
        <w:autoSpaceDN/>
        <w:bidi w:val="0"/>
        <w:adjustRightInd/>
        <w:snapToGrid/>
        <w:spacing w:before="0" w:after="0" w:line="600" w:lineRule="exact"/>
        <w:textAlignment w:val="auto"/>
        <w:outlineLvl w:val="9"/>
        <w:rPr>
          <w:rFonts w:hint="eastAsia" w:ascii="宋体" w:hAnsi="宋体" w:cs="宋体"/>
          <w:b w:val="0"/>
          <w:color w:val="auto"/>
          <w:kern w:val="0"/>
          <w:sz w:val="36"/>
          <w:szCs w:val="36"/>
          <w:highlight w:val="none"/>
        </w:rPr>
      </w:pPr>
    </w:p>
    <w:p w14:paraId="26E3C50E">
      <w:pPr>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北海市政府采购合同</w:t>
      </w:r>
      <w:bookmarkEnd w:id="108"/>
    </w:p>
    <w:p w14:paraId="07BA4FD0">
      <w:pPr>
        <w:pStyle w:val="10"/>
        <w:spacing w:line="600" w:lineRule="exact"/>
        <w:rPr>
          <w:rFonts w:hint="eastAsia" w:hAnsi="宋体" w:cs="宋体"/>
          <w:color w:val="auto"/>
          <w:highlight w:val="none"/>
        </w:rPr>
      </w:pPr>
    </w:p>
    <w:p w14:paraId="60418DDC">
      <w:pPr>
        <w:pStyle w:val="10"/>
        <w:spacing w:line="600" w:lineRule="exact"/>
        <w:rPr>
          <w:rFonts w:hint="eastAsia" w:hAnsi="宋体" w:cs="宋体"/>
          <w:color w:val="auto"/>
          <w:highlight w:val="none"/>
        </w:rPr>
      </w:pPr>
    </w:p>
    <w:p w14:paraId="58289E71">
      <w:pPr>
        <w:pStyle w:val="10"/>
        <w:spacing w:line="600" w:lineRule="exact"/>
        <w:rPr>
          <w:rFonts w:hint="eastAsia" w:hAnsi="宋体" w:cs="宋体"/>
          <w:color w:val="auto"/>
          <w:highlight w:val="none"/>
        </w:rPr>
      </w:pPr>
    </w:p>
    <w:p w14:paraId="7EA78D04">
      <w:pPr>
        <w:pStyle w:val="10"/>
        <w:spacing w:line="600" w:lineRule="exact"/>
        <w:rPr>
          <w:rFonts w:hint="eastAsia" w:hAnsi="宋体" w:cs="宋体"/>
          <w:color w:val="auto"/>
          <w:highlight w:val="none"/>
        </w:rPr>
      </w:pPr>
    </w:p>
    <w:p w14:paraId="19648162">
      <w:pPr>
        <w:pStyle w:val="10"/>
        <w:spacing w:line="600" w:lineRule="exact"/>
        <w:rPr>
          <w:rFonts w:hint="eastAsia" w:hAnsi="宋体" w:cs="宋体"/>
          <w:color w:val="auto"/>
          <w:highlight w:val="none"/>
        </w:rPr>
      </w:pPr>
    </w:p>
    <w:p w14:paraId="7CFFE595">
      <w:pPr>
        <w:pStyle w:val="10"/>
        <w:spacing w:line="700" w:lineRule="exact"/>
        <w:ind w:firstLine="1799" w:firstLineChars="640"/>
        <w:rPr>
          <w:rFonts w:hint="eastAsia" w:hAnsi="宋体" w:cs="宋体"/>
          <w:b/>
          <w:color w:val="auto"/>
          <w:sz w:val="28"/>
          <w:szCs w:val="28"/>
          <w:highlight w:val="none"/>
          <w:u w:val="single"/>
        </w:rPr>
      </w:pPr>
      <w:r>
        <w:rPr>
          <w:rFonts w:hint="eastAsia" w:hAnsi="宋体" w:cs="宋体"/>
          <w:b/>
          <w:color w:val="auto"/>
          <w:sz w:val="28"/>
          <w:szCs w:val="28"/>
          <w:highlight w:val="none"/>
        </w:rPr>
        <w:t>合同名称：</w:t>
      </w:r>
      <w:r>
        <w:rPr>
          <w:rFonts w:hint="eastAsia" w:hAnsi="宋体" w:cs="宋体"/>
          <w:b/>
          <w:color w:val="auto"/>
          <w:sz w:val="28"/>
          <w:szCs w:val="28"/>
          <w:highlight w:val="none"/>
          <w:u w:val="single"/>
        </w:rPr>
        <w:t xml:space="preserve">                          </w:t>
      </w:r>
    </w:p>
    <w:p w14:paraId="02A26C7A">
      <w:pPr>
        <w:pStyle w:val="10"/>
        <w:spacing w:line="700" w:lineRule="exact"/>
        <w:ind w:firstLine="1799" w:firstLineChars="640"/>
        <w:rPr>
          <w:rFonts w:hint="eastAsia" w:hAnsi="宋体" w:cs="宋体"/>
          <w:b/>
          <w:color w:val="auto"/>
          <w:sz w:val="28"/>
          <w:szCs w:val="28"/>
          <w:highlight w:val="none"/>
          <w:u w:val="single"/>
        </w:rPr>
      </w:pPr>
      <w:r>
        <w:rPr>
          <w:rFonts w:hint="eastAsia" w:hAnsi="宋体" w:cs="宋体"/>
          <w:b/>
          <w:color w:val="auto"/>
          <w:sz w:val="28"/>
          <w:szCs w:val="28"/>
          <w:highlight w:val="none"/>
        </w:rPr>
        <w:t>合同编号：</w:t>
      </w:r>
      <w:r>
        <w:rPr>
          <w:rFonts w:hint="eastAsia" w:hAnsi="宋体" w:cs="宋体"/>
          <w:b/>
          <w:color w:val="auto"/>
          <w:sz w:val="28"/>
          <w:szCs w:val="28"/>
          <w:highlight w:val="none"/>
          <w:u w:val="single"/>
        </w:rPr>
        <w:t xml:space="preserve">                          </w:t>
      </w:r>
    </w:p>
    <w:p w14:paraId="2410838D">
      <w:pPr>
        <w:pStyle w:val="10"/>
        <w:spacing w:line="700" w:lineRule="exact"/>
        <w:ind w:firstLine="1799" w:firstLineChars="640"/>
        <w:rPr>
          <w:rFonts w:hint="eastAsia" w:hAnsi="宋体" w:cs="宋体"/>
          <w:b/>
          <w:color w:val="auto"/>
          <w:sz w:val="28"/>
          <w:szCs w:val="28"/>
          <w:highlight w:val="none"/>
        </w:rPr>
      </w:pPr>
    </w:p>
    <w:p w14:paraId="4419D863">
      <w:pPr>
        <w:pStyle w:val="10"/>
        <w:spacing w:line="700" w:lineRule="exact"/>
        <w:ind w:firstLine="1799" w:firstLineChars="640"/>
        <w:rPr>
          <w:rFonts w:hint="eastAsia" w:hAnsi="宋体" w:cs="宋体"/>
          <w:b/>
          <w:color w:val="auto"/>
          <w:sz w:val="28"/>
          <w:szCs w:val="28"/>
          <w:highlight w:val="none"/>
        </w:rPr>
      </w:pPr>
      <w:r>
        <w:rPr>
          <w:rFonts w:hint="eastAsia" w:hAnsi="宋体" w:cs="宋体"/>
          <w:b/>
          <w:color w:val="auto"/>
          <w:sz w:val="28"/>
          <w:szCs w:val="28"/>
          <w:highlight w:val="none"/>
        </w:rPr>
        <w:t>采购人（甲方）</w:t>
      </w:r>
      <w:r>
        <w:rPr>
          <w:rFonts w:hint="eastAsia" w:hAnsi="宋体" w:cs="宋体"/>
          <w:b/>
          <w:color w:val="auto"/>
          <w:sz w:val="28"/>
          <w:szCs w:val="28"/>
          <w:highlight w:val="none"/>
          <w:u w:val="single"/>
        </w:rPr>
        <w:t xml:space="preserve">                      </w:t>
      </w:r>
    </w:p>
    <w:p w14:paraId="0350B815">
      <w:pPr>
        <w:pStyle w:val="10"/>
        <w:spacing w:line="700" w:lineRule="exact"/>
        <w:ind w:firstLine="1799" w:firstLineChars="640"/>
        <w:rPr>
          <w:rFonts w:hint="eastAsia" w:hAnsi="宋体" w:cs="宋体"/>
          <w:b/>
          <w:color w:val="auto"/>
          <w:sz w:val="28"/>
          <w:szCs w:val="28"/>
          <w:highlight w:val="none"/>
        </w:rPr>
      </w:pPr>
      <w:r>
        <w:rPr>
          <w:rFonts w:hint="eastAsia" w:hAnsi="宋体" w:cs="宋体"/>
          <w:b/>
          <w:color w:val="auto"/>
          <w:sz w:val="28"/>
          <w:szCs w:val="28"/>
          <w:highlight w:val="none"/>
        </w:rPr>
        <w:t>供 应 商（乙方）</w:t>
      </w:r>
      <w:r>
        <w:rPr>
          <w:rFonts w:hint="eastAsia" w:hAnsi="宋体" w:cs="宋体"/>
          <w:b/>
          <w:color w:val="auto"/>
          <w:sz w:val="28"/>
          <w:szCs w:val="28"/>
          <w:highlight w:val="none"/>
          <w:u w:val="single"/>
        </w:rPr>
        <w:t xml:space="preserve">                    </w:t>
      </w:r>
    </w:p>
    <w:p w14:paraId="56502985">
      <w:pPr>
        <w:pStyle w:val="10"/>
        <w:spacing w:line="700" w:lineRule="exact"/>
        <w:ind w:firstLine="1799" w:firstLineChars="640"/>
        <w:rPr>
          <w:rFonts w:hint="eastAsia" w:hAnsi="宋体" w:cs="宋体"/>
          <w:b/>
          <w:color w:val="auto"/>
          <w:sz w:val="28"/>
          <w:szCs w:val="28"/>
          <w:highlight w:val="none"/>
        </w:rPr>
      </w:pPr>
    </w:p>
    <w:p w14:paraId="3BCBEB8C">
      <w:pPr>
        <w:pStyle w:val="10"/>
        <w:spacing w:line="700" w:lineRule="exact"/>
        <w:ind w:firstLine="1799" w:firstLineChars="640"/>
        <w:rPr>
          <w:rFonts w:hint="eastAsia" w:hAnsi="宋体" w:cs="宋体"/>
          <w:b/>
          <w:color w:val="auto"/>
          <w:sz w:val="28"/>
          <w:szCs w:val="28"/>
          <w:highlight w:val="none"/>
          <w:u w:val="single"/>
        </w:rPr>
      </w:pPr>
      <w:r>
        <w:rPr>
          <w:rFonts w:hint="eastAsia" w:hAnsi="宋体" w:cs="宋体"/>
          <w:b/>
          <w:color w:val="auto"/>
          <w:sz w:val="28"/>
          <w:szCs w:val="28"/>
          <w:highlight w:val="none"/>
        </w:rPr>
        <w:t>签订合同地点：</w:t>
      </w:r>
      <w:r>
        <w:rPr>
          <w:rFonts w:hint="eastAsia" w:hAnsi="宋体" w:cs="宋体"/>
          <w:b/>
          <w:color w:val="auto"/>
          <w:sz w:val="28"/>
          <w:szCs w:val="28"/>
          <w:highlight w:val="none"/>
          <w:u w:val="single"/>
        </w:rPr>
        <w:t xml:space="preserve">                      </w:t>
      </w:r>
    </w:p>
    <w:p w14:paraId="0945C244">
      <w:pPr>
        <w:pStyle w:val="10"/>
        <w:spacing w:line="700" w:lineRule="exact"/>
        <w:ind w:firstLine="1799" w:firstLineChars="640"/>
        <w:rPr>
          <w:rFonts w:hint="eastAsia" w:hAnsi="宋体" w:cs="宋体"/>
          <w:b/>
          <w:color w:val="auto"/>
          <w:sz w:val="28"/>
          <w:szCs w:val="28"/>
          <w:highlight w:val="none"/>
        </w:rPr>
      </w:pPr>
      <w:r>
        <w:rPr>
          <w:rFonts w:hint="eastAsia" w:hAnsi="宋体" w:cs="宋体"/>
          <w:b/>
          <w:color w:val="auto"/>
          <w:sz w:val="28"/>
          <w:szCs w:val="28"/>
          <w:highlight w:val="none"/>
        </w:rPr>
        <w:t>签订合同时间：</w:t>
      </w:r>
      <w:r>
        <w:rPr>
          <w:rFonts w:hint="eastAsia" w:hAnsi="宋体" w:cs="宋体"/>
          <w:b/>
          <w:color w:val="auto"/>
          <w:sz w:val="28"/>
          <w:szCs w:val="28"/>
          <w:highlight w:val="none"/>
          <w:u w:val="single"/>
        </w:rPr>
        <w:t xml:space="preserve">                      </w:t>
      </w:r>
    </w:p>
    <w:p w14:paraId="5E9D1A69">
      <w:pPr>
        <w:pStyle w:val="10"/>
        <w:jc w:val="center"/>
        <w:rPr>
          <w:rFonts w:hint="eastAsia" w:hAnsi="宋体" w:cs="宋体"/>
          <w:color w:val="auto"/>
          <w:highlight w:val="none"/>
        </w:rPr>
      </w:pPr>
      <w:r>
        <w:rPr>
          <w:rFonts w:hint="eastAsia" w:hAnsi="宋体" w:cs="宋体"/>
          <w:color w:val="auto"/>
          <w:highlight w:val="none"/>
        </w:rPr>
        <w:t xml:space="preserve"> </w:t>
      </w:r>
    </w:p>
    <w:p w14:paraId="2576E9C0">
      <w:pPr>
        <w:pStyle w:val="10"/>
        <w:rPr>
          <w:rFonts w:hint="eastAsia" w:hAnsi="宋体" w:cs="宋体"/>
          <w:color w:val="auto"/>
          <w:highlight w:val="none"/>
        </w:rPr>
      </w:pPr>
    </w:p>
    <w:p w14:paraId="1E24874D">
      <w:pPr>
        <w:pStyle w:val="10"/>
        <w:spacing w:line="360" w:lineRule="exact"/>
        <w:ind w:firstLine="420" w:firstLineChars="200"/>
        <w:rPr>
          <w:rFonts w:hint="eastAsia" w:hAnsi="宋体" w:cs="宋体"/>
          <w:color w:val="auto"/>
          <w:highlight w:val="none"/>
        </w:rPr>
      </w:pPr>
    </w:p>
    <w:p w14:paraId="5FA4A7F6">
      <w:pPr>
        <w:spacing w:line="600" w:lineRule="exact"/>
        <w:jc w:val="both"/>
        <w:rPr>
          <w:rFonts w:hint="eastAsia" w:ascii="宋体" w:hAnsi="宋体" w:cs="宋体"/>
          <w:color w:val="auto"/>
          <w:kern w:val="0"/>
          <w:sz w:val="36"/>
          <w:szCs w:val="36"/>
          <w:highlight w:val="none"/>
        </w:rPr>
      </w:pPr>
    </w:p>
    <w:p w14:paraId="18E8B4D7">
      <w:pPr>
        <w:spacing w:line="600" w:lineRule="exact"/>
        <w:jc w:val="both"/>
        <w:rPr>
          <w:rFonts w:hint="eastAsia" w:ascii="宋体" w:hAnsi="宋体" w:cs="宋体"/>
          <w:color w:val="auto"/>
          <w:kern w:val="0"/>
          <w:sz w:val="36"/>
          <w:szCs w:val="36"/>
          <w:highlight w:val="none"/>
        </w:rPr>
      </w:pPr>
    </w:p>
    <w:p w14:paraId="2C8168F8">
      <w:pPr>
        <w:rPr>
          <w:rFonts w:hint="eastAsia" w:ascii="宋体" w:hAnsi="宋体" w:cs="宋体"/>
          <w:color w:val="auto"/>
          <w:kern w:val="0"/>
          <w:sz w:val="36"/>
          <w:szCs w:val="36"/>
          <w:highlight w:val="none"/>
        </w:rPr>
      </w:pPr>
      <w:r>
        <w:rPr>
          <w:rFonts w:hint="eastAsia" w:ascii="宋体" w:hAnsi="宋体" w:cs="宋体"/>
          <w:color w:val="auto"/>
          <w:kern w:val="0"/>
          <w:sz w:val="36"/>
          <w:szCs w:val="36"/>
          <w:highlight w:val="none"/>
        </w:rPr>
        <w:br w:type="page"/>
      </w:r>
    </w:p>
    <w:p w14:paraId="153D7CF2">
      <w:pPr>
        <w:spacing w:line="600" w:lineRule="exact"/>
        <w:jc w:val="center"/>
        <w:rPr>
          <w:rFonts w:hint="eastAsia" w:ascii="宋体" w:hAnsi="宋体" w:cs="宋体"/>
          <w:color w:val="auto"/>
          <w:kern w:val="0"/>
          <w:sz w:val="36"/>
          <w:szCs w:val="36"/>
          <w:highlight w:val="none"/>
        </w:rPr>
      </w:pPr>
      <w:r>
        <w:rPr>
          <w:rFonts w:hint="eastAsia" w:ascii="宋体" w:hAnsi="宋体" w:cs="宋体"/>
          <w:color w:val="auto"/>
          <w:kern w:val="0"/>
          <w:sz w:val="36"/>
          <w:szCs w:val="36"/>
          <w:highlight w:val="none"/>
        </w:rPr>
        <w:t>采购合同文本</w:t>
      </w:r>
    </w:p>
    <w:p w14:paraId="41EC2028">
      <w:pPr>
        <w:snapToGrid w:val="0"/>
        <w:spacing w:before="156" w:beforeLines="50" w:after="156" w:afterLines="50" w:line="600" w:lineRule="exact"/>
        <w:jc w:val="center"/>
        <w:rPr>
          <w:rFonts w:hint="eastAsia" w:ascii="宋体" w:hAnsi="宋体" w:cs="宋体"/>
          <w:color w:val="auto"/>
          <w:szCs w:val="21"/>
          <w:highlight w:val="none"/>
        </w:rPr>
      </w:pPr>
      <w:r>
        <w:rPr>
          <w:rFonts w:hint="eastAsia" w:ascii="宋体" w:hAnsi="宋体" w:cs="宋体"/>
          <w:b/>
          <w:bCs/>
          <w:color w:val="auto"/>
          <w:sz w:val="32"/>
          <w:szCs w:val="32"/>
          <w:highlight w:val="none"/>
        </w:rPr>
        <w:t>北海市政府采购合同</w:t>
      </w:r>
    </w:p>
    <w:p w14:paraId="434D1629">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bCs/>
          <w:color w:val="auto"/>
          <w:sz w:val="22"/>
          <w:szCs w:val="22"/>
          <w:highlight w:val="none"/>
          <w:u w:val="single"/>
        </w:rPr>
      </w:pPr>
      <w:r>
        <w:rPr>
          <w:rFonts w:hint="eastAsia" w:ascii="宋体" w:hAnsi="宋体" w:cs="宋体"/>
          <w:bCs/>
          <w:color w:val="auto"/>
          <w:sz w:val="22"/>
          <w:szCs w:val="22"/>
          <w:highlight w:val="none"/>
        </w:rPr>
        <w:t>合同编号：</w:t>
      </w:r>
      <w:r>
        <w:rPr>
          <w:rFonts w:hint="eastAsia" w:ascii="宋体" w:hAnsi="宋体" w:cs="宋体"/>
          <w:bCs/>
          <w:color w:val="auto"/>
          <w:sz w:val="22"/>
          <w:szCs w:val="22"/>
          <w:highlight w:val="none"/>
          <w:u w:val="single"/>
        </w:rPr>
        <w:t xml:space="preserve">                  </w:t>
      </w:r>
      <w:r>
        <w:rPr>
          <w:rFonts w:hint="eastAsia" w:ascii="宋体" w:hAnsi="宋体" w:eastAsia="宋体" w:cs="宋体"/>
          <w:bCs/>
          <w:color w:val="auto"/>
          <w:sz w:val="22"/>
          <w:szCs w:val="22"/>
          <w:highlight w:val="none"/>
          <w:lang w:val="en-US" w:eastAsia="zh-CN"/>
        </w:rPr>
        <w:t xml:space="preserve">                       采购计划编号：</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14:paraId="484136EC">
      <w:pPr>
        <w:keepNext w:val="0"/>
        <w:keepLines w:val="0"/>
        <w:pageBreakBefore w:val="0"/>
        <w:widowControl w:val="0"/>
        <w:kinsoku/>
        <w:wordWrap/>
        <w:overflowPunct/>
        <w:topLinePunct w:val="0"/>
        <w:autoSpaceDE/>
        <w:autoSpaceDN/>
        <w:bidi w:val="0"/>
        <w:snapToGrid w:val="0"/>
        <w:spacing w:line="360" w:lineRule="exact"/>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 xml:space="preserve">采购人（甲方）：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14:paraId="03CCDABC">
      <w:pPr>
        <w:keepNext w:val="0"/>
        <w:keepLines w:val="0"/>
        <w:pageBreakBefore w:val="0"/>
        <w:widowControl w:val="0"/>
        <w:kinsoku/>
        <w:wordWrap/>
        <w:overflowPunct/>
        <w:topLinePunct w:val="0"/>
        <w:autoSpaceDE/>
        <w:autoSpaceDN/>
        <w:bidi w:val="0"/>
        <w:snapToGrid w:val="0"/>
        <w:spacing w:line="360" w:lineRule="exac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供应商（乙方）</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14:paraId="687E6CF1">
      <w:pPr>
        <w:keepNext w:val="0"/>
        <w:keepLines w:val="0"/>
        <w:pageBreakBefore w:val="0"/>
        <w:widowControl w:val="0"/>
        <w:kinsoku/>
        <w:wordWrap/>
        <w:overflowPunct/>
        <w:topLinePunct w:val="0"/>
        <w:autoSpaceDE/>
        <w:autoSpaceDN/>
        <w:bidi w:val="0"/>
        <w:snapToGrid w:val="0"/>
        <w:spacing w:line="360" w:lineRule="exact"/>
        <w:textAlignment w:val="auto"/>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14:paraId="25C3AC43">
      <w:pPr>
        <w:keepNext w:val="0"/>
        <w:keepLines w:val="0"/>
        <w:pageBreakBefore w:val="0"/>
        <w:widowControl w:val="0"/>
        <w:kinsoku/>
        <w:wordWrap/>
        <w:overflowPunct/>
        <w:topLinePunct w:val="0"/>
        <w:autoSpaceDE/>
        <w:autoSpaceDN/>
        <w:bidi w:val="0"/>
        <w:snapToGrid w:val="0"/>
        <w:spacing w:line="360" w:lineRule="exact"/>
        <w:textAlignment w:val="auto"/>
        <w:rPr>
          <w:rFonts w:hint="eastAsia" w:ascii="宋体" w:hAnsi="宋体" w:cs="宋体"/>
          <w:color w:val="auto"/>
          <w:sz w:val="22"/>
          <w:szCs w:val="22"/>
          <w:highlight w:val="none"/>
          <w:u w:val="single"/>
        </w:rPr>
      </w:pPr>
      <w:r>
        <w:rPr>
          <w:rFonts w:hint="eastAsia" w:ascii="宋体" w:hAnsi="宋体" w:cs="宋体"/>
          <w:color w:val="auto"/>
          <w:spacing w:val="-20"/>
          <w:sz w:val="22"/>
          <w:szCs w:val="22"/>
          <w:highlight w:val="none"/>
        </w:rPr>
        <w:t>项 目 编 号</w:t>
      </w: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rPr>
        <w:t xml:space="preserve">  </w:t>
      </w:r>
    </w:p>
    <w:p w14:paraId="69C2CD5D">
      <w:pPr>
        <w:keepNext w:val="0"/>
        <w:keepLines w:val="0"/>
        <w:pageBreakBefore w:val="0"/>
        <w:widowControl w:val="0"/>
        <w:kinsoku/>
        <w:wordWrap/>
        <w:overflowPunct/>
        <w:topLinePunct w:val="0"/>
        <w:autoSpaceDE/>
        <w:autoSpaceDN/>
        <w:bidi w:val="0"/>
        <w:snapToGrid w:val="0"/>
        <w:spacing w:line="360" w:lineRule="exac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签订地点 ：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14:paraId="417AAC65">
      <w:pPr>
        <w:keepNext w:val="0"/>
        <w:keepLines w:val="0"/>
        <w:pageBreakBefore w:val="0"/>
        <w:widowControl w:val="0"/>
        <w:kinsoku/>
        <w:wordWrap/>
        <w:overflowPunct/>
        <w:topLinePunct w:val="0"/>
        <w:autoSpaceDE/>
        <w:autoSpaceDN/>
        <w:bidi w:val="0"/>
        <w:snapToGrid w:val="0"/>
        <w:spacing w:line="360" w:lineRule="exact"/>
        <w:textAlignment w:val="auto"/>
        <w:rPr>
          <w:rFonts w:hint="default" w:ascii="宋体" w:hAnsi="宋体" w:cs="宋体" w:eastAsiaTheme="minorEastAsia"/>
          <w:color w:val="auto"/>
          <w:sz w:val="22"/>
          <w:szCs w:val="22"/>
          <w:highlight w:val="none"/>
          <w:u w:val="single"/>
          <w:lang w:val="en-US" w:eastAsia="zh-CN"/>
        </w:rPr>
      </w:pPr>
      <w:r>
        <w:rPr>
          <w:rFonts w:hint="eastAsia" w:ascii="宋体" w:hAnsi="宋体" w:cs="宋体"/>
          <w:color w:val="auto"/>
          <w:sz w:val="22"/>
          <w:szCs w:val="22"/>
          <w:highlight w:val="none"/>
        </w:rPr>
        <w:t xml:space="preserve">签订时间：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p>
    <w:p w14:paraId="5B8E672A">
      <w:pPr>
        <w:snapToGrid w:val="0"/>
        <w:spacing w:line="360" w:lineRule="exact"/>
        <w:rPr>
          <w:rFonts w:hint="eastAsia" w:ascii="宋体" w:hAnsi="宋体" w:cs="宋体"/>
          <w:color w:val="auto"/>
          <w:sz w:val="22"/>
          <w:szCs w:val="22"/>
          <w:highlight w:val="none"/>
        </w:rPr>
      </w:pPr>
    </w:p>
    <w:p w14:paraId="273A052B">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根据《中华人民共和国政府采购法》、《中华人民共和国</w:t>
      </w:r>
      <w:r>
        <w:rPr>
          <w:rFonts w:hint="eastAsia" w:ascii="宋体" w:hAnsi="宋体" w:cs="宋体"/>
          <w:color w:val="auto"/>
          <w:sz w:val="22"/>
          <w:szCs w:val="22"/>
          <w:highlight w:val="none"/>
          <w:lang w:eastAsia="zh-CN"/>
        </w:rPr>
        <w:t>民法典</w:t>
      </w:r>
      <w:r>
        <w:rPr>
          <w:rFonts w:hint="eastAsia" w:ascii="宋体" w:hAnsi="宋体" w:cs="宋体"/>
          <w:color w:val="auto"/>
          <w:sz w:val="22"/>
          <w:szCs w:val="22"/>
          <w:highlight w:val="none"/>
        </w:rPr>
        <w:t>》等法律、法规规定，按照竞争性谈判文件（以下简称“谈判文件”）规定条款和成交供应商竞争性谈判响应文件（以下简称“响应文件”）及其承诺，甲乙双方签订本合同。</w:t>
      </w:r>
    </w:p>
    <w:p w14:paraId="110FC08B">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hint="eastAsia" w:ascii="宋体" w:hAnsi="宋体" w:cs="宋体"/>
          <w:b/>
          <w:color w:val="auto"/>
          <w:sz w:val="22"/>
          <w:szCs w:val="22"/>
          <w:highlight w:val="none"/>
        </w:rPr>
      </w:pPr>
      <w:r>
        <w:rPr>
          <w:rFonts w:hint="eastAsia" w:ascii="宋体" w:hAnsi="宋体" w:cs="宋体"/>
          <w:b/>
          <w:color w:val="auto"/>
          <w:sz w:val="22"/>
          <w:szCs w:val="22"/>
          <w:highlight w:val="none"/>
        </w:rPr>
        <w:t>第一条　合同标的</w:t>
      </w:r>
    </w:p>
    <w:p w14:paraId="135E2EC6">
      <w:pPr>
        <w:keepNext w:val="0"/>
        <w:keepLines w:val="0"/>
        <w:pageBreakBefore w:val="0"/>
        <w:widowControl w:val="0"/>
        <w:kinsoku/>
        <w:wordWrap/>
        <w:overflowPunct/>
        <w:topLinePunct w:val="0"/>
        <w:autoSpaceDE/>
        <w:autoSpaceDN/>
        <w:bidi w:val="0"/>
        <w:adjustRightInd w:val="0"/>
        <w:snapToGrid w:val="0"/>
        <w:spacing w:after="156" w:afterLines="50"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1.供货一览表</w:t>
      </w:r>
    </w:p>
    <w:tbl>
      <w:tblPr>
        <w:tblStyle w:val="16"/>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252"/>
        <w:gridCol w:w="1042"/>
        <w:gridCol w:w="1148"/>
        <w:gridCol w:w="1147"/>
        <w:gridCol w:w="657"/>
        <w:gridCol w:w="1041"/>
        <w:gridCol w:w="1066"/>
        <w:gridCol w:w="1405"/>
      </w:tblGrid>
      <w:tr w14:paraId="48D8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27" w:type="dxa"/>
            <w:noWrap w:val="0"/>
            <w:vAlign w:val="center"/>
          </w:tcPr>
          <w:p w14:paraId="33BA2F4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序号</w:t>
            </w:r>
          </w:p>
        </w:tc>
        <w:tc>
          <w:tcPr>
            <w:tcW w:w="1252" w:type="dxa"/>
            <w:noWrap w:val="0"/>
            <w:vAlign w:val="center"/>
          </w:tcPr>
          <w:p w14:paraId="51F6975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lang w:eastAsia="zh-CN"/>
              </w:rPr>
              <w:t>设备</w:t>
            </w:r>
          </w:p>
          <w:p w14:paraId="2E61AA9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名称</w:t>
            </w:r>
          </w:p>
        </w:tc>
        <w:tc>
          <w:tcPr>
            <w:tcW w:w="1042" w:type="dxa"/>
            <w:noWrap w:val="0"/>
            <w:vAlign w:val="center"/>
          </w:tcPr>
          <w:p w14:paraId="72563E3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商标</w:t>
            </w:r>
          </w:p>
          <w:p w14:paraId="1FE0067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品牌</w:t>
            </w:r>
          </w:p>
        </w:tc>
        <w:tc>
          <w:tcPr>
            <w:tcW w:w="1148" w:type="dxa"/>
            <w:noWrap w:val="0"/>
            <w:vAlign w:val="center"/>
          </w:tcPr>
          <w:p w14:paraId="1AAC7D6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规格</w:t>
            </w:r>
          </w:p>
          <w:p w14:paraId="21C7B28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型号</w:t>
            </w:r>
          </w:p>
        </w:tc>
        <w:tc>
          <w:tcPr>
            <w:tcW w:w="1147" w:type="dxa"/>
            <w:noWrap w:val="0"/>
            <w:vAlign w:val="center"/>
          </w:tcPr>
          <w:p w14:paraId="0E4E12F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生产</w:t>
            </w:r>
          </w:p>
          <w:p w14:paraId="53334F5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厂家</w:t>
            </w:r>
          </w:p>
        </w:tc>
        <w:tc>
          <w:tcPr>
            <w:tcW w:w="657" w:type="dxa"/>
            <w:noWrap w:val="0"/>
            <w:vAlign w:val="center"/>
          </w:tcPr>
          <w:p w14:paraId="2F1A33F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数  量</w:t>
            </w:r>
          </w:p>
        </w:tc>
        <w:tc>
          <w:tcPr>
            <w:tcW w:w="1041" w:type="dxa"/>
            <w:noWrap w:val="0"/>
            <w:vAlign w:val="center"/>
          </w:tcPr>
          <w:p w14:paraId="0459DED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单位</w:t>
            </w:r>
          </w:p>
        </w:tc>
        <w:tc>
          <w:tcPr>
            <w:tcW w:w="1066" w:type="dxa"/>
            <w:noWrap w:val="0"/>
            <w:vAlign w:val="center"/>
          </w:tcPr>
          <w:p w14:paraId="36A89C2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单  价</w:t>
            </w:r>
          </w:p>
          <w:p w14:paraId="5C633EA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（元）</w:t>
            </w:r>
          </w:p>
        </w:tc>
        <w:tc>
          <w:tcPr>
            <w:tcW w:w="1405" w:type="dxa"/>
            <w:noWrap w:val="0"/>
            <w:vAlign w:val="center"/>
          </w:tcPr>
          <w:p w14:paraId="2960F7D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金  额</w:t>
            </w:r>
          </w:p>
          <w:p w14:paraId="3348A49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（元）</w:t>
            </w:r>
          </w:p>
        </w:tc>
      </w:tr>
      <w:tr w14:paraId="07BC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185" w:type="dxa"/>
            <w:gridSpan w:val="9"/>
            <w:noWrap w:val="0"/>
            <w:vAlign w:val="center"/>
          </w:tcPr>
          <w:p w14:paraId="56CB6E2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详细内容见报价表附件</w:t>
            </w:r>
          </w:p>
        </w:tc>
      </w:tr>
      <w:tr w14:paraId="7601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185" w:type="dxa"/>
            <w:gridSpan w:val="9"/>
            <w:noWrap w:val="0"/>
            <w:vAlign w:val="center"/>
          </w:tcPr>
          <w:p w14:paraId="402EFD46">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人民币合计金额（大写）                          （小写）                 </w:t>
            </w:r>
          </w:p>
        </w:tc>
      </w:tr>
    </w:tbl>
    <w:p w14:paraId="3E90FF3D">
      <w:pPr>
        <w:keepNext w:val="0"/>
        <w:keepLines w:val="0"/>
        <w:pageBreakBefore w:val="0"/>
        <w:widowControl w:val="0"/>
        <w:kinsoku/>
        <w:wordWrap/>
        <w:overflowPunct/>
        <w:topLinePunct w:val="0"/>
        <w:autoSpaceDE/>
        <w:autoSpaceDN/>
        <w:bidi w:val="0"/>
        <w:adjustRightInd w:val="0"/>
        <w:snapToGrid w:val="0"/>
        <w:spacing w:line="360" w:lineRule="exact"/>
        <w:ind w:right="420"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2.合同合计金额包括货物价款，备件、专用工具、安装、调试、检验、技术培训及技术资料和包装、运输等全部费用。如谈判文件、响应文件对其另有规定的，从其规定。</w:t>
      </w:r>
    </w:p>
    <w:p w14:paraId="7FE5E5E0">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hint="eastAsia" w:ascii="宋体" w:hAnsi="宋体" w:cs="宋体"/>
          <w:color w:val="auto"/>
          <w:sz w:val="22"/>
          <w:szCs w:val="22"/>
          <w:highlight w:val="none"/>
        </w:rPr>
      </w:pPr>
      <w:r>
        <w:rPr>
          <w:rFonts w:hint="eastAsia" w:ascii="宋体" w:hAnsi="宋体" w:cs="宋体"/>
          <w:b/>
          <w:color w:val="auto"/>
          <w:sz w:val="22"/>
          <w:szCs w:val="22"/>
          <w:highlight w:val="none"/>
        </w:rPr>
        <w:t>第二条　质量保证</w:t>
      </w:r>
    </w:p>
    <w:p w14:paraId="1E7FAD95">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1.乙方所提供的货物型号、技术规格、技术参数等质量必须与谈判文件、响应文件和承诺相一致。乙方提供的节能和环保产品必须是列入政府采购清单的产品。</w:t>
      </w:r>
    </w:p>
    <w:p w14:paraId="75D34F34">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2.乙方所提供的货物必须是全新、未经使用的原装产品，且在正常安装、使用和保养条件下，其使用寿命期内各项指标均达到质量要求。</w:t>
      </w:r>
    </w:p>
    <w:p w14:paraId="15357EDA">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hint="eastAsia" w:ascii="宋体" w:hAnsi="宋体" w:cs="宋体"/>
          <w:color w:val="auto"/>
          <w:sz w:val="22"/>
          <w:szCs w:val="22"/>
          <w:highlight w:val="none"/>
        </w:rPr>
      </w:pPr>
      <w:r>
        <w:rPr>
          <w:rFonts w:hint="eastAsia" w:ascii="宋体" w:hAnsi="宋体" w:cs="宋体"/>
          <w:b/>
          <w:color w:val="auto"/>
          <w:sz w:val="22"/>
          <w:szCs w:val="22"/>
          <w:highlight w:val="none"/>
        </w:rPr>
        <w:t>第三条　权力保证</w:t>
      </w:r>
    </w:p>
    <w:p w14:paraId="03A4A2B5">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乙方应保证所提供货物在使用时不会侵犯任何第三方的专利权、商标权、工业设计权或其他权利。</w:t>
      </w:r>
    </w:p>
    <w:p w14:paraId="6F884131">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乙方应按谈判文件规定的时间或响应文件承诺的时间向甲方提供使用货物的有关技术资料。</w:t>
      </w:r>
    </w:p>
    <w:p w14:paraId="29BE95E4">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32D75A2">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宋体"/>
          <w:b/>
          <w:color w:val="auto"/>
          <w:sz w:val="22"/>
          <w:szCs w:val="22"/>
          <w:highlight w:val="none"/>
        </w:rPr>
      </w:pP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乙方保证所交付的货物的所有权完全属于乙方且无任何抵押、质押、查封等产权瑕疵。</w:t>
      </w:r>
    </w:p>
    <w:p w14:paraId="66765EB3">
      <w:pPr>
        <w:adjustRightInd w:val="0"/>
        <w:snapToGrid w:val="0"/>
        <w:spacing w:line="38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第四条　包装和运输</w:t>
      </w:r>
    </w:p>
    <w:p w14:paraId="6C2834C6">
      <w:pPr>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1.乙方提供的货物均应按谈判文件、响应文件要求的包装材料、包装标准、包装方式进行包装，每一包装单元内应附详细的装箱单和质量合格证。</w:t>
      </w:r>
    </w:p>
    <w:p w14:paraId="46D576ED">
      <w:pPr>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2.货物的运输方式：</w:t>
      </w:r>
      <w:r>
        <w:rPr>
          <w:rFonts w:hint="eastAsia" w:ascii="宋体" w:hAnsi="宋体" w:cs="宋体"/>
          <w:color w:val="auto"/>
          <w:sz w:val="22"/>
          <w:szCs w:val="22"/>
          <w:highlight w:val="none"/>
          <w:u w:val="single"/>
        </w:rPr>
        <w:t xml:space="preserve">             。</w:t>
      </w:r>
    </w:p>
    <w:p w14:paraId="333367B1">
      <w:pPr>
        <w:adjustRightInd w:val="0"/>
        <w:snapToGrid w:val="0"/>
        <w:spacing w:line="36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3.乙方负责货物运输，货物运输合理损耗及计算方法：</w:t>
      </w:r>
      <w:r>
        <w:rPr>
          <w:rFonts w:hint="eastAsia" w:ascii="宋体" w:hAnsi="宋体" w:cs="宋体"/>
          <w:color w:val="auto"/>
          <w:sz w:val="22"/>
          <w:szCs w:val="22"/>
          <w:highlight w:val="none"/>
          <w:u w:val="single"/>
        </w:rPr>
        <w:t xml:space="preserve">                 。</w:t>
      </w:r>
    </w:p>
    <w:p w14:paraId="5DD7ADD8">
      <w:pPr>
        <w:adjustRightInd w:val="0"/>
        <w:snapToGrid w:val="0"/>
        <w:spacing w:line="360" w:lineRule="exact"/>
        <w:ind w:firstLine="442" w:firstLineChars="200"/>
        <w:rPr>
          <w:rFonts w:hint="eastAsia" w:ascii="宋体" w:hAnsi="宋体" w:cs="宋体"/>
          <w:color w:val="auto"/>
          <w:sz w:val="22"/>
          <w:szCs w:val="22"/>
          <w:highlight w:val="none"/>
        </w:rPr>
      </w:pPr>
      <w:r>
        <w:rPr>
          <w:rFonts w:hint="eastAsia" w:ascii="宋体" w:hAnsi="宋体" w:cs="宋体"/>
          <w:b/>
          <w:color w:val="auto"/>
          <w:sz w:val="22"/>
          <w:szCs w:val="22"/>
          <w:highlight w:val="none"/>
        </w:rPr>
        <w:t>第五条　交付和验收</w:t>
      </w:r>
    </w:p>
    <w:p w14:paraId="2B1DC7CB">
      <w:pPr>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1.交</w:t>
      </w:r>
      <w:r>
        <w:rPr>
          <w:rFonts w:hint="eastAsia" w:ascii="宋体" w:hAnsi="宋体" w:cs="宋体"/>
          <w:color w:val="auto"/>
          <w:sz w:val="22"/>
          <w:szCs w:val="22"/>
          <w:highlight w:val="none"/>
          <w:lang w:eastAsia="zh-CN"/>
        </w:rPr>
        <w:t>货期</w:t>
      </w:r>
      <w:r>
        <w:rPr>
          <w:rFonts w:hint="eastAsia" w:ascii="宋体" w:hAnsi="宋体" w:cs="宋体"/>
          <w:color w:val="auto"/>
          <w:sz w:val="22"/>
          <w:szCs w:val="22"/>
          <w:highlight w:val="none"/>
        </w:rPr>
        <w:t>：</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交货</w:t>
      </w:r>
      <w:r>
        <w:rPr>
          <w:rFonts w:hint="eastAsia" w:ascii="宋体" w:hAnsi="宋体" w:cs="宋体"/>
          <w:color w:val="auto"/>
          <w:sz w:val="22"/>
          <w:szCs w:val="22"/>
          <w:highlight w:val="none"/>
        </w:rPr>
        <w:t>地点：</w:t>
      </w:r>
      <w:r>
        <w:rPr>
          <w:rFonts w:hint="eastAsia" w:ascii="宋体" w:hAnsi="宋体" w:cs="宋体"/>
          <w:color w:val="auto"/>
          <w:sz w:val="22"/>
          <w:szCs w:val="22"/>
          <w:highlight w:val="none"/>
          <w:u w:val="single"/>
        </w:rPr>
        <w:t xml:space="preserve">                         。</w:t>
      </w:r>
    </w:p>
    <w:p w14:paraId="23227B39">
      <w:pPr>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eastAsia="zh-CN"/>
        </w:rPr>
        <w:t>乙方</w:t>
      </w:r>
      <w:r>
        <w:rPr>
          <w:rFonts w:hint="eastAsia" w:ascii="宋体" w:hAnsi="宋体" w:cs="宋体"/>
          <w:color w:val="auto"/>
          <w:sz w:val="22"/>
          <w:szCs w:val="22"/>
          <w:highlight w:val="none"/>
        </w:rPr>
        <w:t>提供不符合谈判文件、响应文件和本合同规定的货物，</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有权拒绝接受。</w:t>
      </w:r>
    </w:p>
    <w:p w14:paraId="68D33D8D">
      <w:pPr>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eastAsia="zh-CN"/>
        </w:rPr>
        <w:t>乙方</w:t>
      </w:r>
      <w:r>
        <w:rPr>
          <w:rFonts w:hint="eastAsia" w:ascii="宋体" w:hAnsi="宋体" w:cs="宋体"/>
          <w:color w:val="auto"/>
          <w:sz w:val="22"/>
          <w:szCs w:val="22"/>
          <w:highlight w:val="none"/>
        </w:rPr>
        <w:t>应将所提供货物的装箱清单、用户手册、原厂保修卡、随机资料、工具和备品、备件等交付给</w:t>
      </w:r>
      <w:r>
        <w:rPr>
          <w:rFonts w:hint="eastAsia" w:ascii="宋体" w:hAnsi="宋体" w:cs="宋体"/>
          <w:color w:val="auto"/>
          <w:sz w:val="22"/>
          <w:szCs w:val="22"/>
          <w:highlight w:val="none"/>
          <w:lang w:eastAsia="zh-CN"/>
        </w:rPr>
        <w:t>采购方</w:t>
      </w:r>
      <w:r>
        <w:rPr>
          <w:rFonts w:hint="eastAsia" w:ascii="宋体" w:hAnsi="宋体" w:cs="宋体"/>
          <w:color w:val="auto"/>
          <w:sz w:val="22"/>
          <w:szCs w:val="22"/>
          <w:highlight w:val="none"/>
        </w:rPr>
        <w:t>，如有缺失应及时补齐，否则视为逾期交货。</w:t>
      </w:r>
    </w:p>
    <w:p w14:paraId="542F541A">
      <w:pPr>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w:t>
      </w:r>
      <w:r>
        <w:rPr>
          <w:rFonts w:hint="eastAsia" w:ascii="宋体" w:hAnsi="宋体" w:cs="宋体"/>
          <w:color w:val="auto"/>
          <w:sz w:val="22"/>
          <w:szCs w:val="22"/>
          <w:highlight w:val="none"/>
          <w:lang w:eastAsia="zh-CN"/>
        </w:rPr>
        <w:t>甲方</w:t>
      </w:r>
      <w:r>
        <w:rPr>
          <w:rFonts w:hint="eastAsia" w:ascii="宋体" w:hAnsi="宋体" w:cs="宋体"/>
          <w:color w:val="auto"/>
          <w:sz w:val="22"/>
          <w:szCs w:val="22"/>
          <w:highlight w:val="none"/>
        </w:rPr>
        <w:t>在到货</w:t>
      </w:r>
      <w:r>
        <w:rPr>
          <w:rFonts w:hint="eastAsia" w:ascii="宋体" w:hAnsi="宋体" w:cs="宋体"/>
          <w:color w:val="auto"/>
          <w:sz w:val="22"/>
          <w:szCs w:val="22"/>
          <w:highlight w:val="none"/>
          <w:lang w:eastAsia="zh-CN"/>
        </w:rPr>
        <w:t>时进行初步验收，货物使用</w:t>
      </w:r>
      <w:r>
        <w:rPr>
          <w:rFonts w:hint="eastAsia" w:ascii="宋体" w:hAnsi="宋体" w:cs="宋体"/>
          <w:color w:val="auto"/>
          <w:sz w:val="22"/>
          <w:szCs w:val="22"/>
          <w:highlight w:val="none"/>
        </w:rPr>
        <w:t>后七个工作日内进行</w:t>
      </w:r>
      <w:r>
        <w:rPr>
          <w:rFonts w:hint="eastAsia" w:ascii="宋体" w:hAnsi="宋体" w:cs="宋体"/>
          <w:color w:val="auto"/>
          <w:sz w:val="22"/>
          <w:szCs w:val="22"/>
          <w:highlight w:val="none"/>
          <w:lang w:eastAsia="zh-CN"/>
        </w:rPr>
        <w:t>最终</w:t>
      </w:r>
      <w:r>
        <w:rPr>
          <w:rFonts w:hint="eastAsia" w:ascii="宋体" w:hAnsi="宋体" w:cs="宋体"/>
          <w:color w:val="auto"/>
          <w:sz w:val="22"/>
          <w:szCs w:val="22"/>
          <w:highlight w:val="none"/>
        </w:rPr>
        <w:t>验收。验收合格后由甲乙双方签署货物验收单并加盖采购人公章，甲乙双方各执一份。</w:t>
      </w:r>
    </w:p>
    <w:p w14:paraId="0BD738CA">
      <w:pPr>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w:t>
      </w:r>
      <w:r>
        <w:rPr>
          <w:rFonts w:hint="eastAsia" w:ascii="宋体" w:hAnsi="宋体" w:cs="宋体"/>
          <w:color w:val="auto"/>
          <w:sz w:val="22"/>
          <w:szCs w:val="22"/>
          <w:highlight w:val="none"/>
          <w:lang w:eastAsia="zh-CN"/>
        </w:rPr>
        <w:t>甲方</w:t>
      </w:r>
      <w:r>
        <w:rPr>
          <w:rFonts w:hint="eastAsia" w:ascii="宋体" w:hAnsi="宋体" w:cs="宋体"/>
          <w:color w:val="auto"/>
          <w:sz w:val="22"/>
          <w:szCs w:val="22"/>
          <w:highlight w:val="none"/>
        </w:rPr>
        <w:t>委托采购代理机构组织验收</w:t>
      </w:r>
      <w:r>
        <w:rPr>
          <w:rFonts w:hint="eastAsia" w:ascii="宋体" w:hAnsi="宋体" w:cs="宋体"/>
          <w:color w:val="auto"/>
          <w:sz w:val="22"/>
          <w:szCs w:val="22"/>
          <w:highlight w:val="none"/>
          <w:lang w:eastAsia="zh-CN"/>
        </w:rPr>
        <w:t>的</w:t>
      </w:r>
      <w:r>
        <w:rPr>
          <w:rFonts w:hint="eastAsia" w:ascii="宋体" w:hAnsi="宋体" w:cs="宋体"/>
          <w:color w:val="auto"/>
          <w:sz w:val="22"/>
          <w:szCs w:val="22"/>
          <w:highlight w:val="none"/>
        </w:rPr>
        <w:t>项目，其验收时间以该项目验收方案确定的验收时间为准，验收结果以该项目验收报告结论为准。在验收过程中发现</w:t>
      </w:r>
      <w:r>
        <w:rPr>
          <w:rFonts w:hint="eastAsia" w:ascii="宋体" w:hAnsi="宋体" w:cs="宋体"/>
          <w:color w:val="auto"/>
          <w:sz w:val="22"/>
          <w:szCs w:val="22"/>
          <w:highlight w:val="none"/>
          <w:lang w:eastAsia="zh-CN"/>
        </w:rPr>
        <w:t>乙方</w:t>
      </w:r>
      <w:r>
        <w:rPr>
          <w:rFonts w:hint="eastAsia" w:ascii="宋体" w:hAnsi="宋体" w:cs="宋体"/>
          <w:color w:val="auto"/>
          <w:sz w:val="22"/>
          <w:szCs w:val="22"/>
          <w:highlight w:val="none"/>
        </w:rPr>
        <w:t>有违约问题，可暂缓资金结算，待违约问题解决后，方可办理资金结算事宜。</w:t>
      </w:r>
    </w:p>
    <w:p w14:paraId="0AC83CCF">
      <w:pPr>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6.甲方对验收有异议的，在验收后五个工作日内以书面形式向乙方提出，乙方应自收到甲方书面异议后</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日内及时予以解决。</w:t>
      </w:r>
    </w:p>
    <w:p w14:paraId="4F4D1821">
      <w:pPr>
        <w:adjustRightInd w:val="0"/>
        <w:snapToGrid w:val="0"/>
        <w:spacing w:line="36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第六条　安装和培训</w:t>
      </w:r>
    </w:p>
    <w:p w14:paraId="42C935E4">
      <w:pPr>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1.甲方应提供必要安装条件（如场地、电源、水源等）。</w:t>
      </w:r>
    </w:p>
    <w:p w14:paraId="3F567B1A">
      <w:pPr>
        <w:adjustRightInd w:val="0"/>
        <w:snapToGrid w:val="0"/>
        <w:spacing w:line="36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2.乙方负责甲方有关人员的培训。培训时间、地点：</w:t>
      </w:r>
      <w:r>
        <w:rPr>
          <w:rFonts w:hint="eastAsia" w:ascii="宋体" w:hAnsi="宋体" w:cs="宋体"/>
          <w:color w:val="auto"/>
          <w:sz w:val="22"/>
          <w:szCs w:val="22"/>
          <w:highlight w:val="none"/>
          <w:u w:val="single"/>
        </w:rPr>
        <w:t xml:space="preserve">                   。</w:t>
      </w:r>
    </w:p>
    <w:p w14:paraId="7D558103">
      <w:pPr>
        <w:adjustRightInd w:val="0"/>
        <w:snapToGrid w:val="0"/>
        <w:spacing w:line="36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第七条  售后服务、保修期</w:t>
      </w:r>
    </w:p>
    <w:p w14:paraId="2DA194CA">
      <w:pPr>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1.乙方应按照国家有关法律法规和“三包”规定以及谈判文件、响应文件和本合同所附的《服务承诺》，为甲方提供售后服务。</w:t>
      </w:r>
    </w:p>
    <w:p w14:paraId="609FDAE4">
      <w:pPr>
        <w:adjustRightInd w:val="0"/>
        <w:snapToGrid w:val="0"/>
        <w:spacing w:line="36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2.货物保修期；</w:t>
      </w:r>
      <w:r>
        <w:rPr>
          <w:rFonts w:hint="eastAsia" w:ascii="宋体" w:hAnsi="宋体" w:cs="宋体"/>
          <w:color w:val="auto"/>
          <w:sz w:val="22"/>
          <w:szCs w:val="22"/>
          <w:highlight w:val="none"/>
          <w:u w:val="single"/>
        </w:rPr>
        <w:t xml:space="preserve">                                          。</w:t>
      </w:r>
    </w:p>
    <w:p w14:paraId="11C64F85">
      <w:pPr>
        <w:adjustRightInd w:val="0"/>
        <w:snapToGrid w:val="0"/>
        <w:spacing w:line="36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3.乙方提供的服务承诺和售后服务及保修期责任等其它具体约定事项。（见合同附件）</w:t>
      </w:r>
    </w:p>
    <w:p w14:paraId="733F17E0">
      <w:pPr>
        <w:adjustRightInd w:val="0"/>
        <w:snapToGrid w:val="0"/>
        <w:spacing w:line="360" w:lineRule="exact"/>
        <w:ind w:firstLine="442" w:firstLineChars="200"/>
        <w:rPr>
          <w:rFonts w:hint="eastAsia" w:ascii="宋体" w:hAnsi="宋体" w:cs="宋体"/>
          <w:color w:val="auto"/>
          <w:sz w:val="22"/>
          <w:szCs w:val="22"/>
          <w:highlight w:val="none"/>
        </w:rPr>
      </w:pPr>
      <w:r>
        <w:rPr>
          <w:rFonts w:hint="eastAsia" w:ascii="宋体" w:hAnsi="宋体" w:cs="宋体"/>
          <w:b/>
          <w:color w:val="auto"/>
          <w:sz w:val="22"/>
          <w:szCs w:val="22"/>
          <w:highlight w:val="none"/>
        </w:rPr>
        <w:t>第八条　付款方式</w:t>
      </w:r>
    </w:p>
    <w:p w14:paraId="1988979E">
      <w:pPr>
        <w:pStyle w:val="10"/>
        <w:adjustRightInd w:val="0"/>
        <w:snapToGrid w:val="0"/>
        <w:spacing w:line="360" w:lineRule="exact"/>
        <w:ind w:firstLine="376" w:firstLineChars="171"/>
        <w:rPr>
          <w:rFonts w:hint="eastAsia" w:hAnsi="宋体" w:cs="宋体"/>
          <w:color w:val="auto"/>
          <w:sz w:val="22"/>
          <w:szCs w:val="22"/>
          <w:highlight w:val="none"/>
        </w:rPr>
      </w:pPr>
      <w:r>
        <w:rPr>
          <w:rFonts w:hint="eastAsia" w:hAnsi="宋体" w:cs="宋体"/>
          <w:bCs/>
          <w:color w:val="auto"/>
          <w:sz w:val="22"/>
          <w:szCs w:val="22"/>
          <w:highlight w:val="none"/>
        </w:rPr>
        <w:t>1.</w:t>
      </w:r>
      <w:r>
        <w:rPr>
          <w:rFonts w:hint="eastAsia" w:hAnsi="宋体" w:cs="宋体"/>
          <w:color w:val="auto"/>
          <w:sz w:val="22"/>
          <w:szCs w:val="22"/>
          <w:highlight w:val="none"/>
        </w:rPr>
        <w:t>当采购数量与实际使用数量不一致时，乙方应根据实际使用量供货，合同的最终结算金额按实际使用量乘以成交单价进行计算。</w:t>
      </w:r>
    </w:p>
    <w:p w14:paraId="50887448">
      <w:pPr>
        <w:adjustRightInd w:val="0"/>
        <w:snapToGrid w:val="0"/>
        <w:spacing w:line="36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2.资金性质：</w:t>
      </w:r>
      <w:r>
        <w:rPr>
          <w:rFonts w:hint="eastAsia" w:ascii="宋体" w:hAnsi="宋体" w:cs="宋体"/>
          <w:color w:val="auto"/>
          <w:sz w:val="22"/>
          <w:szCs w:val="22"/>
          <w:highlight w:val="none"/>
          <w:u w:val="single"/>
        </w:rPr>
        <w:t xml:space="preserve">              。</w:t>
      </w:r>
    </w:p>
    <w:p w14:paraId="210EF71E">
      <w:pPr>
        <w:spacing w:line="360" w:lineRule="atLeas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rPr>
        <w:t>3.付款方式：</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eastAsia="zh-CN"/>
        </w:rPr>
        <w:t>。</w:t>
      </w:r>
    </w:p>
    <w:p w14:paraId="765179C6">
      <w:pPr>
        <w:snapToGrid w:val="0"/>
        <w:spacing w:line="360" w:lineRule="exact"/>
        <w:ind w:left="-61" w:leftChars="-29" w:firstLine="442" w:firstLineChars="200"/>
        <w:rPr>
          <w:rFonts w:hint="eastAsia" w:ascii="宋体" w:hAnsi="宋体" w:cs="宋体"/>
          <w:b/>
          <w:color w:val="auto"/>
          <w:spacing w:val="4"/>
          <w:sz w:val="22"/>
          <w:szCs w:val="22"/>
          <w:highlight w:val="none"/>
        </w:rPr>
      </w:pPr>
      <w:r>
        <w:rPr>
          <w:rFonts w:hint="eastAsia" w:ascii="宋体" w:hAnsi="宋体" w:cs="宋体"/>
          <w:b/>
          <w:color w:val="auto"/>
          <w:sz w:val="22"/>
          <w:szCs w:val="22"/>
          <w:highlight w:val="none"/>
        </w:rPr>
        <w:t>第九条　</w:t>
      </w:r>
      <w:r>
        <w:rPr>
          <w:rFonts w:hint="eastAsia" w:ascii="宋体" w:hAnsi="宋体" w:cs="宋体"/>
          <w:b/>
          <w:color w:val="auto"/>
          <w:spacing w:val="4"/>
          <w:sz w:val="22"/>
          <w:szCs w:val="22"/>
          <w:highlight w:val="none"/>
        </w:rPr>
        <w:t>质量保证金</w:t>
      </w:r>
    </w:p>
    <w:p w14:paraId="53365F80">
      <w:pPr>
        <w:adjustRightInd w:val="0"/>
        <w:snapToGrid w:val="0"/>
        <w:spacing w:line="360" w:lineRule="exact"/>
        <w:ind w:firstLine="440" w:firstLineChars="200"/>
        <w:rPr>
          <w:rFonts w:hint="eastAsia" w:ascii="宋体" w:hAnsi="宋体" w:cs="宋体"/>
          <w:bCs/>
          <w:color w:val="auto"/>
          <w:sz w:val="22"/>
          <w:szCs w:val="22"/>
          <w:highlight w:val="none"/>
          <w:lang w:eastAsia="zh-CN"/>
        </w:rPr>
      </w:pPr>
      <w:r>
        <w:rPr>
          <w:rFonts w:hint="eastAsia" w:ascii="宋体" w:hAnsi="宋体" w:cs="宋体"/>
          <w:bCs/>
          <w:color w:val="auto"/>
          <w:sz w:val="22"/>
          <w:szCs w:val="22"/>
          <w:highlight w:val="none"/>
          <w:lang w:eastAsia="zh-CN"/>
        </w:rPr>
        <w:t>本项目不收取质量保证金。</w:t>
      </w:r>
    </w:p>
    <w:p w14:paraId="5694C141">
      <w:pPr>
        <w:adjustRightInd w:val="0"/>
        <w:snapToGrid w:val="0"/>
        <w:spacing w:line="36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第十条、税费</w:t>
      </w:r>
    </w:p>
    <w:p w14:paraId="7987E850">
      <w:pPr>
        <w:adjustRightInd w:val="0"/>
        <w:snapToGrid w:val="0"/>
        <w:spacing w:line="360" w:lineRule="exact"/>
        <w:ind w:firstLine="440" w:firstLineChars="200"/>
        <w:rPr>
          <w:rFonts w:hint="eastAsia" w:ascii="宋体" w:hAnsi="宋体" w:cs="宋体"/>
          <w:b w:val="0"/>
          <w:bCs/>
          <w:color w:val="auto"/>
          <w:sz w:val="22"/>
          <w:szCs w:val="22"/>
          <w:highlight w:val="none"/>
        </w:rPr>
      </w:pPr>
      <w:r>
        <w:rPr>
          <w:rFonts w:hint="eastAsia" w:ascii="宋体" w:hAnsi="宋体" w:cs="宋体"/>
          <w:b w:val="0"/>
          <w:bCs/>
          <w:color w:val="auto"/>
          <w:sz w:val="22"/>
          <w:szCs w:val="22"/>
          <w:highlight w:val="none"/>
        </w:rPr>
        <w:t>本合同执行中相关的一切税费均由乙方负担。</w:t>
      </w:r>
    </w:p>
    <w:p w14:paraId="000E83B5">
      <w:pPr>
        <w:adjustRightInd w:val="0"/>
        <w:snapToGrid w:val="0"/>
        <w:spacing w:line="36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第十一条、质量保证及售后服务</w:t>
      </w:r>
    </w:p>
    <w:p w14:paraId="0DC6394B">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乙方应按谈判文件规定及响应文件承诺的货物性能、技术要求、质量标准向甲方提供未经使用的全新产品。乙方提供货物的质量保证期按交货验收合格之日起计（期限见《采购需求》中各分标的要求）。在保证期内因货物本身的质量问题发生故障，乙方应负责免费修理和更换零部件。对达不到技术要求者，根据实际情况，经双方协商，可按以下办法处理：</w:t>
      </w:r>
    </w:p>
    <w:p w14:paraId="07C4C231">
      <w:pPr>
        <w:pStyle w:val="10"/>
        <w:keepNext w:val="0"/>
        <w:keepLines w:val="0"/>
        <w:pageBreakBefore w:val="0"/>
        <w:widowControl w:val="0"/>
        <w:kinsoku/>
        <w:wordWrap/>
        <w:overflowPunct/>
        <w:topLinePunct w:val="0"/>
        <w:autoSpaceDE/>
        <w:autoSpaceDN/>
        <w:bidi w:val="0"/>
        <w:adjustRightInd w:val="0"/>
        <w:snapToGrid w:val="0"/>
        <w:spacing w:line="360" w:lineRule="exact"/>
        <w:ind w:firstLine="550" w:firstLineChars="250"/>
        <w:textAlignment w:val="auto"/>
        <w:rPr>
          <w:rFonts w:hint="eastAsia" w:hAnsi="宋体" w:cs="宋体"/>
          <w:color w:val="auto"/>
          <w:sz w:val="22"/>
          <w:szCs w:val="22"/>
          <w:highlight w:val="none"/>
        </w:rPr>
      </w:pPr>
      <w:r>
        <w:rPr>
          <w:rFonts w:hint="eastAsia" w:hAnsi="宋体" w:cs="宋体"/>
          <w:color w:val="auto"/>
          <w:sz w:val="22"/>
          <w:szCs w:val="22"/>
          <w:highlight w:val="none"/>
          <w:lang w:eastAsia="zh-CN"/>
        </w:rPr>
        <w:t>（</w:t>
      </w:r>
      <w:r>
        <w:rPr>
          <w:rFonts w:hint="eastAsia" w:hAnsi="宋体" w:cs="宋体"/>
          <w:color w:val="auto"/>
          <w:sz w:val="22"/>
          <w:szCs w:val="22"/>
          <w:highlight w:val="none"/>
          <w:lang w:val="en-US" w:eastAsia="zh-CN"/>
        </w:rPr>
        <w:t>1</w:t>
      </w:r>
      <w:r>
        <w:rPr>
          <w:rFonts w:hint="eastAsia" w:hAnsi="宋体" w:cs="宋体"/>
          <w:color w:val="auto"/>
          <w:sz w:val="22"/>
          <w:szCs w:val="22"/>
          <w:highlight w:val="none"/>
          <w:lang w:eastAsia="zh-CN"/>
        </w:rPr>
        <w:t>）</w:t>
      </w:r>
      <w:r>
        <w:rPr>
          <w:rFonts w:hint="eastAsia" w:hAnsi="宋体" w:cs="宋体"/>
          <w:color w:val="auto"/>
          <w:sz w:val="22"/>
          <w:szCs w:val="22"/>
          <w:highlight w:val="none"/>
        </w:rPr>
        <w:t>更换：由乙方承担所发生的全部费用。</w:t>
      </w:r>
    </w:p>
    <w:p w14:paraId="38CE56E9">
      <w:pPr>
        <w:pStyle w:val="10"/>
        <w:keepNext w:val="0"/>
        <w:keepLines w:val="0"/>
        <w:pageBreakBefore w:val="0"/>
        <w:widowControl w:val="0"/>
        <w:kinsoku/>
        <w:wordWrap/>
        <w:overflowPunct/>
        <w:topLinePunct w:val="0"/>
        <w:autoSpaceDE/>
        <w:autoSpaceDN/>
        <w:bidi w:val="0"/>
        <w:adjustRightInd w:val="0"/>
        <w:snapToGrid w:val="0"/>
        <w:spacing w:line="360" w:lineRule="exact"/>
        <w:ind w:firstLine="550" w:firstLineChars="250"/>
        <w:textAlignment w:val="auto"/>
        <w:rPr>
          <w:rFonts w:hint="eastAsia" w:hAnsi="宋体" w:cs="宋体"/>
          <w:color w:val="auto"/>
          <w:sz w:val="22"/>
          <w:szCs w:val="22"/>
          <w:highlight w:val="none"/>
        </w:rPr>
      </w:pPr>
      <w:r>
        <w:rPr>
          <w:rFonts w:hint="eastAsia" w:hAnsi="宋体" w:cs="宋体"/>
          <w:color w:val="auto"/>
          <w:sz w:val="22"/>
          <w:szCs w:val="22"/>
          <w:highlight w:val="none"/>
          <w:lang w:eastAsia="zh-CN"/>
        </w:rPr>
        <w:t>（</w:t>
      </w:r>
      <w:r>
        <w:rPr>
          <w:rFonts w:hint="eastAsia" w:hAnsi="宋体" w:cs="宋体"/>
          <w:color w:val="auto"/>
          <w:sz w:val="22"/>
          <w:szCs w:val="22"/>
          <w:highlight w:val="none"/>
          <w:lang w:val="en-US" w:eastAsia="zh-CN"/>
        </w:rPr>
        <w:t>2</w:t>
      </w:r>
      <w:r>
        <w:rPr>
          <w:rFonts w:hint="eastAsia" w:hAnsi="宋体" w:cs="宋体"/>
          <w:color w:val="auto"/>
          <w:sz w:val="22"/>
          <w:szCs w:val="22"/>
          <w:highlight w:val="none"/>
          <w:lang w:eastAsia="zh-CN"/>
        </w:rPr>
        <w:t>）</w:t>
      </w:r>
      <w:r>
        <w:rPr>
          <w:rFonts w:hint="eastAsia" w:hAnsi="宋体" w:cs="宋体"/>
          <w:color w:val="auto"/>
          <w:sz w:val="22"/>
          <w:szCs w:val="22"/>
          <w:highlight w:val="none"/>
        </w:rPr>
        <w:t>贬值处理：由甲乙双方合议定价。</w:t>
      </w:r>
    </w:p>
    <w:p w14:paraId="76F4A0C8">
      <w:pPr>
        <w:pStyle w:val="10"/>
        <w:keepNext w:val="0"/>
        <w:keepLines w:val="0"/>
        <w:pageBreakBefore w:val="0"/>
        <w:widowControl w:val="0"/>
        <w:kinsoku/>
        <w:wordWrap/>
        <w:overflowPunct/>
        <w:topLinePunct w:val="0"/>
        <w:autoSpaceDE/>
        <w:autoSpaceDN/>
        <w:bidi w:val="0"/>
        <w:adjustRightInd w:val="0"/>
        <w:snapToGrid w:val="0"/>
        <w:spacing w:line="360" w:lineRule="exact"/>
        <w:ind w:left="420" w:leftChars="200" w:firstLine="110" w:firstLineChars="50"/>
        <w:textAlignment w:val="auto"/>
        <w:rPr>
          <w:rFonts w:hint="eastAsia" w:hAnsi="宋体" w:cs="宋体"/>
          <w:color w:val="auto"/>
          <w:sz w:val="22"/>
          <w:szCs w:val="22"/>
          <w:highlight w:val="none"/>
        </w:rPr>
      </w:pPr>
      <w:r>
        <w:rPr>
          <w:rFonts w:hint="eastAsia" w:hAnsi="宋体" w:cs="宋体"/>
          <w:color w:val="auto"/>
          <w:sz w:val="22"/>
          <w:szCs w:val="22"/>
          <w:highlight w:val="none"/>
          <w:lang w:eastAsia="zh-CN"/>
        </w:rPr>
        <w:t>（</w:t>
      </w:r>
      <w:r>
        <w:rPr>
          <w:rFonts w:hint="eastAsia" w:hAnsi="宋体" w:cs="宋体"/>
          <w:color w:val="auto"/>
          <w:sz w:val="22"/>
          <w:szCs w:val="22"/>
          <w:highlight w:val="none"/>
          <w:lang w:val="en-US" w:eastAsia="zh-CN"/>
        </w:rPr>
        <w:t>3</w:t>
      </w:r>
      <w:r>
        <w:rPr>
          <w:rFonts w:hint="eastAsia" w:hAnsi="宋体" w:cs="宋体"/>
          <w:color w:val="auto"/>
          <w:sz w:val="22"/>
          <w:szCs w:val="22"/>
          <w:highlight w:val="none"/>
          <w:lang w:eastAsia="zh-CN"/>
        </w:rPr>
        <w:t>）</w:t>
      </w:r>
      <w:r>
        <w:rPr>
          <w:rFonts w:hint="eastAsia" w:hAnsi="宋体" w:cs="宋体"/>
          <w:color w:val="auto"/>
          <w:sz w:val="22"/>
          <w:szCs w:val="22"/>
          <w:highlight w:val="none"/>
        </w:rPr>
        <w:t>退货处理：乙方应退还甲方支付的合同款，同时应承担该货物的直接费用（运输、保险、检验、货款利息及银行手续费等）。</w:t>
      </w:r>
    </w:p>
    <w:p w14:paraId="01B8B998">
      <w:pPr>
        <w:pStyle w:val="1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hAnsi="宋体" w:cs="宋体"/>
          <w:color w:val="auto"/>
          <w:sz w:val="22"/>
          <w:szCs w:val="22"/>
          <w:highlight w:val="none"/>
        </w:rPr>
      </w:pPr>
      <w:r>
        <w:rPr>
          <w:rFonts w:hint="eastAsia" w:hAnsi="宋体" w:cs="宋体"/>
          <w:color w:val="auto"/>
          <w:sz w:val="22"/>
          <w:szCs w:val="22"/>
          <w:highlight w:val="none"/>
        </w:rPr>
        <w:t>2.如在使用过程中发生质量问题，乙方在接到甲方通知后在</w:t>
      </w:r>
      <w:r>
        <w:rPr>
          <w:rFonts w:hint="eastAsia" w:hAnsi="宋体" w:cs="宋体"/>
          <w:color w:val="auto"/>
          <w:sz w:val="22"/>
          <w:szCs w:val="22"/>
          <w:highlight w:val="none"/>
          <w:u w:val="single"/>
        </w:rPr>
        <w:t xml:space="preserve">    </w:t>
      </w:r>
      <w:r>
        <w:rPr>
          <w:rFonts w:hint="eastAsia" w:hAnsi="宋体" w:cs="宋体"/>
          <w:color w:val="auto"/>
          <w:sz w:val="22"/>
          <w:szCs w:val="22"/>
          <w:highlight w:val="none"/>
        </w:rPr>
        <w:t>小时内到达甲方现场。</w:t>
      </w:r>
    </w:p>
    <w:p w14:paraId="7C545A4D">
      <w:pPr>
        <w:pStyle w:val="1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hAnsi="宋体" w:cs="宋体"/>
          <w:color w:val="auto"/>
          <w:sz w:val="22"/>
          <w:szCs w:val="22"/>
          <w:highlight w:val="none"/>
        </w:rPr>
      </w:pPr>
      <w:r>
        <w:rPr>
          <w:rFonts w:hint="eastAsia" w:hAnsi="宋体" w:cs="宋体"/>
          <w:color w:val="auto"/>
          <w:sz w:val="22"/>
          <w:szCs w:val="22"/>
          <w:highlight w:val="none"/>
        </w:rPr>
        <w:t>3.在质保期内，乙方应对货物出现的质量及安全问题负责处理解决并承担一切费用。</w:t>
      </w:r>
    </w:p>
    <w:p w14:paraId="47441490">
      <w:pPr>
        <w:pStyle w:val="1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hAnsi="宋体" w:cs="宋体"/>
          <w:color w:val="auto"/>
          <w:sz w:val="22"/>
          <w:szCs w:val="22"/>
          <w:highlight w:val="none"/>
        </w:rPr>
      </w:pPr>
      <w:r>
        <w:rPr>
          <w:rFonts w:hint="eastAsia" w:hAnsi="宋体" w:cs="宋体"/>
          <w:color w:val="auto"/>
          <w:sz w:val="22"/>
          <w:szCs w:val="22"/>
          <w:highlight w:val="none"/>
        </w:rPr>
        <w:t>4.上述的货物免费保修期为</w:t>
      </w:r>
      <w:r>
        <w:rPr>
          <w:rFonts w:hint="eastAsia" w:hAnsi="宋体" w:cs="宋体"/>
          <w:color w:val="auto"/>
          <w:sz w:val="22"/>
          <w:szCs w:val="22"/>
          <w:highlight w:val="none"/>
          <w:u w:val="single"/>
        </w:rPr>
        <w:t xml:space="preserve">     </w:t>
      </w:r>
      <w:r>
        <w:rPr>
          <w:rFonts w:hint="eastAsia" w:hAnsi="宋体" w:cs="宋体"/>
          <w:color w:val="auto"/>
          <w:sz w:val="22"/>
          <w:szCs w:val="22"/>
          <w:highlight w:val="none"/>
        </w:rPr>
        <w:t>年，因人为因素出现的故障不在免费保修范围内。超过保修期的机器设备，终生维修，维修时只收部件成本费。</w:t>
      </w:r>
    </w:p>
    <w:p w14:paraId="62C7307E">
      <w:pPr>
        <w:pStyle w:val="10"/>
        <w:keepNext w:val="0"/>
        <w:keepLines w:val="0"/>
        <w:pageBreakBefore w:val="0"/>
        <w:widowControl w:val="0"/>
        <w:kinsoku/>
        <w:wordWrap/>
        <w:overflowPunct/>
        <w:topLinePunct w:val="0"/>
        <w:autoSpaceDE/>
        <w:autoSpaceDN/>
        <w:bidi w:val="0"/>
        <w:adjustRightInd w:val="0"/>
        <w:snapToGrid w:val="0"/>
        <w:spacing w:line="360" w:lineRule="exact"/>
        <w:ind w:firstLine="433" w:firstLineChars="196"/>
        <w:textAlignment w:val="auto"/>
        <w:rPr>
          <w:rFonts w:hint="eastAsia" w:hAnsi="宋体" w:cs="宋体"/>
          <w:b/>
          <w:color w:val="auto"/>
          <w:sz w:val="22"/>
          <w:szCs w:val="22"/>
          <w:highlight w:val="none"/>
        </w:rPr>
      </w:pPr>
      <w:r>
        <w:rPr>
          <w:rFonts w:hint="eastAsia" w:hAnsi="宋体" w:cs="宋体"/>
          <w:b/>
          <w:color w:val="auto"/>
          <w:sz w:val="22"/>
          <w:szCs w:val="22"/>
          <w:highlight w:val="none"/>
        </w:rPr>
        <w:t>第十</w:t>
      </w:r>
      <w:r>
        <w:rPr>
          <w:rFonts w:hint="eastAsia" w:hAnsi="宋体" w:cs="宋体"/>
          <w:b/>
          <w:color w:val="auto"/>
          <w:sz w:val="22"/>
          <w:szCs w:val="22"/>
          <w:highlight w:val="none"/>
          <w:lang w:eastAsia="zh-CN"/>
        </w:rPr>
        <w:t>二</w:t>
      </w:r>
      <w:r>
        <w:rPr>
          <w:rFonts w:hint="eastAsia" w:hAnsi="宋体" w:cs="宋体"/>
          <w:b/>
          <w:color w:val="auto"/>
          <w:sz w:val="22"/>
          <w:szCs w:val="22"/>
          <w:highlight w:val="none"/>
        </w:rPr>
        <w:t>条、货物包装、发运及运输</w:t>
      </w:r>
    </w:p>
    <w:p w14:paraId="5D56D143">
      <w:pPr>
        <w:pStyle w:val="10"/>
        <w:keepNext w:val="0"/>
        <w:keepLines w:val="0"/>
        <w:pageBreakBefore w:val="0"/>
        <w:widowControl w:val="0"/>
        <w:kinsoku/>
        <w:wordWrap/>
        <w:overflowPunct/>
        <w:topLinePunct w:val="0"/>
        <w:autoSpaceDE/>
        <w:autoSpaceDN/>
        <w:bidi w:val="0"/>
        <w:adjustRightInd w:val="0"/>
        <w:snapToGrid w:val="0"/>
        <w:spacing w:line="360" w:lineRule="exact"/>
        <w:ind w:firstLine="376" w:firstLineChars="171"/>
        <w:textAlignment w:val="auto"/>
        <w:rPr>
          <w:rFonts w:hint="eastAsia" w:hAnsi="宋体" w:cs="宋体"/>
          <w:color w:val="auto"/>
          <w:sz w:val="22"/>
          <w:szCs w:val="22"/>
          <w:highlight w:val="none"/>
        </w:rPr>
      </w:pPr>
      <w:r>
        <w:rPr>
          <w:rFonts w:hint="eastAsia" w:hAnsi="宋体" w:cs="宋体"/>
          <w:color w:val="auto"/>
          <w:sz w:val="22"/>
          <w:szCs w:val="22"/>
          <w:highlight w:val="none"/>
        </w:rPr>
        <w:t>1.乙方应在货物发运前对其进行满足运输距离、防潮、防震、防锈和防破损装卸等要求包装，以保证货物安全运达甲方指定地点。</w:t>
      </w:r>
    </w:p>
    <w:p w14:paraId="3BE31299">
      <w:pPr>
        <w:pStyle w:val="10"/>
        <w:keepNext w:val="0"/>
        <w:keepLines w:val="0"/>
        <w:pageBreakBefore w:val="0"/>
        <w:widowControl w:val="0"/>
        <w:kinsoku/>
        <w:wordWrap/>
        <w:overflowPunct/>
        <w:topLinePunct w:val="0"/>
        <w:autoSpaceDE/>
        <w:autoSpaceDN/>
        <w:bidi w:val="0"/>
        <w:adjustRightInd w:val="0"/>
        <w:snapToGrid w:val="0"/>
        <w:spacing w:line="360" w:lineRule="exact"/>
        <w:ind w:firstLine="376" w:firstLineChars="171"/>
        <w:textAlignment w:val="auto"/>
        <w:rPr>
          <w:rFonts w:hint="eastAsia" w:hAnsi="宋体" w:cs="宋体"/>
          <w:color w:val="auto"/>
          <w:sz w:val="22"/>
          <w:szCs w:val="22"/>
          <w:highlight w:val="none"/>
        </w:rPr>
      </w:pPr>
      <w:r>
        <w:rPr>
          <w:rFonts w:hint="eastAsia" w:hAnsi="宋体" w:cs="宋体"/>
          <w:color w:val="auto"/>
          <w:sz w:val="22"/>
          <w:szCs w:val="22"/>
          <w:highlight w:val="none"/>
        </w:rPr>
        <w:t>2.使用说明书、质量检验证明书、随配附件和工具以及清单一并附于货物内。</w:t>
      </w:r>
    </w:p>
    <w:p w14:paraId="6F3FCC72">
      <w:pPr>
        <w:pStyle w:val="10"/>
        <w:keepNext w:val="0"/>
        <w:keepLines w:val="0"/>
        <w:pageBreakBefore w:val="0"/>
        <w:widowControl w:val="0"/>
        <w:kinsoku/>
        <w:wordWrap/>
        <w:overflowPunct/>
        <w:topLinePunct w:val="0"/>
        <w:autoSpaceDE/>
        <w:autoSpaceDN/>
        <w:bidi w:val="0"/>
        <w:adjustRightInd w:val="0"/>
        <w:snapToGrid w:val="0"/>
        <w:spacing w:line="360" w:lineRule="exact"/>
        <w:ind w:firstLine="376" w:firstLineChars="171"/>
        <w:textAlignment w:val="auto"/>
        <w:rPr>
          <w:rFonts w:hint="eastAsia" w:hAnsi="宋体" w:cs="宋体"/>
          <w:color w:val="auto"/>
          <w:sz w:val="22"/>
          <w:szCs w:val="22"/>
          <w:highlight w:val="none"/>
        </w:rPr>
      </w:pPr>
      <w:r>
        <w:rPr>
          <w:rFonts w:hint="eastAsia" w:hAnsi="宋体" w:cs="宋体"/>
          <w:color w:val="auto"/>
          <w:sz w:val="22"/>
          <w:szCs w:val="22"/>
          <w:highlight w:val="none"/>
        </w:rPr>
        <w:t>3.乙方在货物发运手续办理完毕后二十四小时内或货到甲方四十八小时前通知甲方，以准备接货。</w:t>
      </w:r>
    </w:p>
    <w:p w14:paraId="4C22AD1B">
      <w:pPr>
        <w:pStyle w:val="10"/>
        <w:keepNext w:val="0"/>
        <w:keepLines w:val="0"/>
        <w:pageBreakBefore w:val="0"/>
        <w:widowControl w:val="0"/>
        <w:kinsoku/>
        <w:wordWrap/>
        <w:overflowPunct/>
        <w:topLinePunct w:val="0"/>
        <w:autoSpaceDE/>
        <w:autoSpaceDN/>
        <w:bidi w:val="0"/>
        <w:adjustRightInd w:val="0"/>
        <w:snapToGrid w:val="0"/>
        <w:spacing w:line="360" w:lineRule="exact"/>
        <w:ind w:firstLine="376" w:firstLineChars="171"/>
        <w:textAlignment w:val="auto"/>
        <w:rPr>
          <w:rFonts w:hint="eastAsia" w:hAnsi="宋体" w:cs="宋体"/>
          <w:color w:val="auto"/>
          <w:sz w:val="22"/>
          <w:szCs w:val="22"/>
          <w:highlight w:val="none"/>
        </w:rPr>
      </w:pPr>
      <w:r>
        <w:rPr>
          <w:rFonts w:hint="eastAsia" w:hAnsi="宋体" w:cs="宋体"/>
          <w:color w:val="auto"/>
          <w:sz w:val="22"/>
          <w:szCs w:val="22"/>
          <w:highlight w:val="none"/>
        </w:rPr>
        <w:t>4.货物在交付甲方前发生的风险均由乙方负责。</w:t>
      </w:r>
    </w:p>
    <w:p w14:paraId="026FE89E">
      <w:pPr>
        <w:pStyle w:val="10"/>
        <w:keepNext w:val="0"/>
        <w:keepLines w:val="0"/>
        <w:pageBreakBefore w:val="0"/>
        <w:widowControl w:val="0"/>
        <w:kinsoku/>
        <w:wordWrap/>
        <w:overflowPunct/>
        <w:topLinePunct w:val="0"/>
        <w:autoSpaceDE/>
        <w:autoSpaceDN/>
        <w:bidi w:val="0"/>
        <w:adjustRightInd w:val="0"/>
        <w:snapToGrid w:val="0"/>
        <w:spacing w:line="360" w:lineRule="exact"/>
        <w:ind w:right="26" w:firstLine="376" w:firstLineChars="171"/>
        <w:textAlignment w:val="auto"/>
        <w:rPr>
          <w:rFonts w:hint="eastAsia" w:hAnsi="宋体" w:cs="宋体"/>
          <w:color w:val="auto"/>
          <w:spacing w:val="-8"/>
          <w:sz w:val="22"/>
          <w:szCs w:val="22"/>
          <w:highlight w:val="none"/>
        </w:rPr>
      </w:pPr>
      <w:r>
        <w:rPr>
          <w:rFonts w:hint="eastAsia" w:hAnsi="宋体" w:cs="宋体"/>
          <w:color w:val="auto"/>
          <w:sz w:val="22"/>
          <w:szCs w:val="22"/>
          <w:highlight w:val="none"/>
        </w:rPr>
        <w:t>5.货</w:t>
      </w:r>
      <w:r>
        <w:rPr>
          <w:rFonts w:hint="eastAsia" w:hAnsi="宋体" w:cs="宋体"/>
          <w:color w:val="auto"/>
          <w:spacing w:val="-8"/>
          <w:sz w:val="22"/>
          <w:szCs w:val="22"/>
          <w:highlight w:val="none"/>
        </w:rPr>
        <w:t>物在规定的交付期限内由乙方送达甲方指定的地点视为交付，乙方同时需通知甲方货物已送达。</w:t>
      </w:r>
    </w:p>
    <w:p w14:paraId="7664F739">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hint="eastAsia" w:ascii="宋体" w:hAnsi="宋体" w:cs="宋体"/>
          <w:b/>
          <w:color w:val="auto"/>
          <w:sz w:val="22"/>
          <w:szCs w:val="22"/>
          <w:highlight w:val="none"/>
        </w:rPr>
      </w:pPr>
      <w:r>
        <w:rPr>
          <w:rFonts w:hint="eastAsia" w:ascii="宋体" w:hAnsi="宋体" w:cs="宋体"/>
          <w:b/>
          <w:color w:val="auto"/>
          <w:sz w:val="22"/>
          <w:szCs w:val="22"/>
          <w:highlight w:val="none"/>
        </w:rPr>
        <w:t>第十</w:t>
      </w:r>
      <w:r>
        <w:rPr>
          <w:rFonts w:hint="eastAsia" w:ascii="宋体" w:hAnsi="宋体" w:cs="宋体"/>
          <w:b/>
          <w:color w:val="auto"/>
          <w:sz w:val="22"/>
          <w:szCs w:val="22"/>
          <w:highlight w:val="none"/>
          <w:lang w:eastAsia="zh-CN"/>
        </w:rPr>
        <w:t>三</w:t>
      </w:r>
      <w:r>
        <w:rPr>
          <w:rFonts w:hint="eastAsia" w:ascii="宋体" w:hAnsi="宋体" w:cs="宋体"/>
          <w:b/>
          <w:color w:val="auto"/>
          <w:sz w:val="22"/>
          <w:szCs w:val="22"/>
          <w:highlight w:val="none"/>
        </w:rPr>
        <w:t>条　违约责任</w:t>
      </w:r>
    </w:p>
    <w:p w14:paraId="60AEA855">
      <w:pPr>
        <w:keepNext w:val="0"/>
        <w:keepLines w:val="0"/>
        <w:pageBreakBefore w:val="0"/>
        <w:widowControl w:val="0"/>
        <w:kinsoku/>
        <w:wordWrap/>
        <w:overflowPunct/>
        <w:topLinePunct w:val="0"/>
        <w:autoSpaceDE/>
        <w:autoSpaceDN/>
        <w:bidi w:val="0"/>
        <w:adjustRightInd w:val="0"/>
        <w:snapToGrid w:val="0"/>
        <w:spacing w:line="360" w:lineRule="exact"/>
        <w:ind w:firstLine="484" w:firstLineChars="22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7A4EE4E6">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2.乙方提供的货物如侵犯了第三方合法权益而引发的任何纠纷或诉讼，均由乙方负责交涉并承担全部责任。</w:t>
      </w:r>
    </w:p>
    <w:p w14:paraId="70BBB481">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3.因包装、运输引起的货物损坏，按质量不合格处罚。</w:t>
      </w:r>
    </w:p>
    <w:p w14:paraId="648C8691">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4.甲方无故延期接收货物、乙方逾期交货的，每天向对方偿付违约货款额3‰违约金，但违约金累计不得超过违约货款额</w:t>
      </w:r>
      <w:r>
        <w:rPr>
          <w:rFonts w:hint="eastAsia" w:ascii="宋体" w:hAnsi="宋体" w:cs="宋体"/>
          <w:color w:val="auto"/>
          <w:sz w:val="22"/>
          <w:szCs w:val="22"/>
          <w:highlight w:val="none"/>
          <w:u w:val="single"/>
        </w:rPr>
        <w:t>5%</w:t>
      </w:r>
      <w:r>
        <w:rPr>
          <w:rFonts w:hint="eastAsia" w:ascii="宋体" w:hAnsi="宋体" w:cs="宋体"/>
          <w:color w:val="auto"/>
          <w:sz w:val="22"/>
          <w:szCs w:val="22"/>
          <w:highlight w:val="none"/>
        </w:rPr>
        <w:t>，超过</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天对方有权解除合同，违约方承担因此给对方造成经济损失；甲方延期付货款的，每天向乙方偿付延期货款额</w:t>
      </w:r>
      <w:r>
        <w:rPr>
          <w:rFonts w:hint="eastAsia" w:ascii="宋体" w:hAnsi="宋体" w:cs="宋体"/>
          <w:color w:val="auto"/>
          <w:sz w:val="22"/>
          <w:szCs w:val="22"/>
          <w:highlight w:val="none"/>
          <w:u w:val="single"/>
        </w:rPr>
        <w:t xml:space="preserve">3‰ </w:t>
      </w:r>
      <w:r>
        <w:rPr>
          <w:rFonts w:hint="eastAsia" w:ascii="宋体" w:hAnsi="宋体" w:cs="宋体"/>
          <w:color w:val="auto"/>
          <w:sz w:val="22"/>
          <w:szCs w:val="22"/>
          <w:highlight w:val="none"/>
        </w:rPr>
        <w:t>滞纳金，但滞纳金累计不得超过延期货款额</w:t>
      </w:r>
      <w:r>
        <w:rPr>
          <w:rFonts w:hint="eastAsia" w:ascii="宋体" w:hAnsi="宋体" w:cs="宋体"/>
          <w:color w:val="auto"/>
          <w:sz w:val="22"/>
          <w:szCs w:val="22"/>
          <w:highlight w:val="none"/>
          <w:u w:val="single"/>
        </w:rPr>
        <w:t>5%</w:t>
      </w:r>
      <w:r>
        <w:rPr>
          <w:rFonts w:hint="eastAsia" w:ascii="宋体" w:hAnsi="宋体" w:cs="宋体"/>
          <w:color w:val="auto"/>
          <w:sz w:val="22"/>
          <w:szCs w:val="22"/>
          <w:highlight w:val="none"/>
        </w:rPr>
        <w:t>。</w:t>
      </w:r>
    </w:p>
    <w:p w14:paraId="4BF8E317">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5.乙方未按本合同和响应文件中规定的服务承诺提供售后服务的，乙方应按本合同合计金额</w:t>
      </w:r>
      <w:r>
        <w:rPr>
          <w:rFonts w:hint="eastAsia" w:ascii="宋体" w:hAnsi="宋体" w:cs="宋体"/>
          <w:color w:val="auto"/>
          <w:sz w:val="22"/>
          <w:szCs w:val="22"/>
          <w:highlight w:val="none"/>
          <w:u w:val="single"/>
        </w:rPr>
        <w:t xml:space="preserve"> 5%</w:t>
      </w:r>
      <w:r>
        <w:rPr>
          <w:rFonts w:hint="eastAsia" w:ascii="宋体" w:hAnsi="宋体" w:cs="宋体"/>
          <w:color w:val="auto"/>
          <w:sz w:val="22"/>
          <w:szCs w:val="22"/>
          <w:highlight w:val="none"/>
        </w:rPr>
        <w:t>向甲方支付违约金。</w:t>
      </w:r>
    </w:p>
    <w:p w14:paraId="79DFD0B0">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6.乙方提供的货物在质量保证期内，因设计、工艺或材料的缺陷和其它质量原因造成的问题，由乙方负责，费用从质量保证金中扣除，不足另补。</w:t>
      </w:r>
    </w:p>
    <w:p w14:paraId="41AD3134">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7.其它违约行为按违约货款额5%收取违约金并赔偿经济损失。</w:t>
      </w:r>
    </w:p>
    <w:p w14:paraId="1C460CE5">
      <w:pPr>
        <w:pStyle w:val="10"/>
        <w:keepNext w:val="0"/>
        <w:keepLines w:val="0"/>
        <w:pageBreakBefore w:val="0"/>
        <w:widowControl w:val="0"/>
        <w:kinsoku/>
        <w:wordWrap/>
        <w:overflowPunct/>
        <w:topLinePunct w:val="0"/>
        <w:autoSpaceDE/>
        <w:autoSpaceDN/>
        <w:bidi w:val="0"/>
        <w:adjustRightInd w:val="0"/>
        <w:snapToGrid w:val="0"/>
        <w:spacing w:line="360" w:lineRule="exact"/>
        <w:ind w:firstLine="433" w:firstLineChars="196"/>
        <w:textAlignment w:val="auto"/>
        <w:rPr>
          <w:rFonts w:hint="eastAsia" w:hAnsi="宋体" w:cs="宋体"/>
          <w:b/>
          <w:color w:val="auto"/>
          <w:sz w:val="22"/>
          <w:szCs w:val="22"/>
          <w:highlight w:val="none"/>
        </w:rPr>
      </w:pPr>
      <w:r>
        <w:rPr>
          <w:rFonts w:hint="eastAsia" w:hAnsi="宋体" w:cs="宋体"/>
          <w:b/>
          <w:color w:val="auto"/>
          <w:sz w:val="22"/>
          <w:szCs w:val="22"/>
          <w:highlight w:val="none"/>
        </w:rPr>
        <w:t>第十</w:t>
      </w:r>
      <w:r>
        <w:rPr>
          <w:rFonts w:hint="eastAsia" w:hAnsi="宋体" w:cs="宋体"/>
          <w:b/>
          <w:color w:val="auto"/>
          <w:sz w:val="22"/>
          <w:szCs w:val="22"/>
          <w:highlight w:val="none"/>
          <w:lang w:eastAsia="zh-CN"/>
        </w:rPr>
        <w:t>四</w:t>
      </w:r>
      <w:r>
        <w:rPr>
          <w:rFonts w:hint="eastAsia" w:hAnsi="宋体" w:cs="宋体"/>
          <w:b/>
          <w:color w:val="auto"/>
          <w:sz w:val="22"/>
          <w:szCs w:val="22"/>
          <w:highlight w:val="none"/>
        </w:rPr>
        <w:t>条、不可抗力事件处理</w:t>
      </w:r>
    </w:p>
    <w:p w14:paraId="35FDF652">
      <w:pPr>
        <w:pStyle w:val="1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hAnsi="宋体" w:cs="宋体"/>
          <w:color w:val="auto"/>
          <w:sz w:val="22"/>
          <w:szCs w:val="22"/>
          <w:highlight w:val="none"/>
        </w:rPr>
      </w:pPr>
      <w:r>
        <w:rPr>
          <w:rFonts w:hint="eastAsia" w:hAnsi="宋体" w:cs="宋体"/>
          <w:color w:val="auto"/>
          <w:sz w:val="22"/>
          <w:szCs w:val="22"/>
          <w:highlight w:val="none"/>
        </w:rPr>
        <w:t>1.在合同有效期内，任何一方因不可抗力事件导致不能履行合同，则合同履行期可延长，其延长期与不可抗力影响期相同。</w:t>
      </w:r>
    </w:p>
    <w:p w14:paraId="36550949">
      <w:pPr>
        <w:pStyle w:val="1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hAnsi="宋体" w:cs="宋体"/>
          <w:color w:val="auto"/>
          <w:sz w:val="22"/>
          <w:szCs w:val="22"/>
          <w:highlight w:val="none"/>
        </w:rPr>
      </w:pPr>
      <w:r>
        <w:rPr>
          <w:rFonts w:hint="eastAsia" w:hAnsi="宋体" w:cs="宋体"/>
          <w:color w:val="auto"/>
          <w:sz w:val="22"/>
          <w:szCs w:val="22"/>
          <w:highlight w:val="none"/>
        </w:rPr>
        <w:t>2.不可抗力事件发生后，应立即通知对方，并寄送有关权威机构出具的证明。</w:t>
      </w:r>
    </w:p>
    <w:p w14:paraId="22921A14">
      <w:pPr>
        <w:pStyle w:val="1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hAnsi="宋体" w:cs="宋体"/>
          <w:color w:val="auto"/>
          <w:sz w:val="22"/>
          <w:szCs w:val="22"/>
          <w:highlight w:val="none"/>
        </w:rPr>
      </w:pPr>
      <w:r>
        <w:rPr>
          <w:rFonts w:hint="eastAsia" w:hAnsi="宋体" w:cs="宋体"/>
          <w:color w:val="auto"/>
          <w:sz w:val="22"/>
          <w:szCs w:val="22"/>
          <w:highlight w:val="none"/>
        </w:rPr>
        <w:t>3.不可抗力事件延续一百二十天以上，双方应通过友好协商，确定是否继续履行合同。</w:t>
      </w:r>
    </w:p>
    <w:p w14:paraId="41BD6AD4">
      <w:pPr>
        <w:adjustRightInd w:val="0"/>
        <w:snapToGrid w:val="0"/>
        <w:spacing w:line="360" w:lineRule="exact"/>
        <w:ind w:firstLine="442" w:firstLineChars="200"/>
        <w:rPr>
          <w:rFonts w:hint="eastAsia" w:ascii="宋体" w:hAnsi="宋体" w:cs="宋体"/>
          <w:color w:val="auto"/>
          <w:sz w:val="22"/>
          <w:szCs w:val="22"/>
          <w:highlight w:val="none"/>
        </w:rPr>
      </w:pPr>
      <w:r>
        <w:rPr>
          <w:rFonts w:hint="eastAsia" w:ascii="宋体" w:hAnsi="宋体" w:cs="宋体"/>
          <w:b/>
          <w:color w:val="auto"/>
          <w:sz w:val="22"/>
          <w:szCs w:val="22"/>
          <w:highlight w:val="none"/>
        </w:rPr>
        <w:t>第十</w:t>
      </w:r>
      <w:r>
        <w:rPr>
          <w:rFonts w:hint="eastAsia" w:ascii="宋体" w:hAnsi="宋体" w:cs="宋体"/>
          <w:b/>
          <w:color w:val="auto"/>
          <w:sz w:val="22"/>
          <w:szCs w:val="22"/>
          <w:highlight w:val="none"/>
          <w:lang w:eastAsia="zh-CN"/>
        </w:rPr>
        <w:t>五</w:t>
      </w:r>
      <w:r>
        <w:rPr>
          <w:rFonts w:hint="eastAsia" w:ascii="宋体" w:hAnsi="宋体" w:cs="宋体"/>
          <w:b/>
          <w:color w:val="auto"/>
          <w:sz w:val="22"/>
          <w:szCs w:val="22"/>
          <w:highlight w:val="none"/>
        </w:rPr>
        <w:t>条  合同争议解决</w:t>
      </w:r>
    </w:p>
    <w:p w14:paraId="0B8FECB6">
      <w:pPr>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1.因货物质量问题发生争议的，应邀请国家认可的质量检测机构对货物质量进行鉴定。货物符合标准的，鉴定费由甲方承担；货物不符合标准的，鉴定费由乙方承担。</w:t>
      </w:r>
    </w:p>
    <w:p w14:paraId="0FE741D6">
      <w:pPr>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2.因履行本合同引起的或与本合同有关的争议，甲乙双方应首先通过友好协商解决，如果协商不能解决，可向甲方所在地的</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r>
        <w:rPr>
          <w:rFonts w:hint="eastAsia" w:ascii="宋体" w:hAnsi="宋体" w:cs="宋体"/>
          <w:b/>
          <w:color w:val="auto"/>
          <w:sz w:val="22"/>
          <w:szCs w:val="22"/>
          <w:highlight w:val="none"/>
        </w:rPr>
        <w:t>（注：由甲乙双方约定选择向仲裁委员会申请仲裁或者向人民法院提起诉讼的其中一种方式处理合同争议）</w:t>
      </w:r>
    </w:p>
    <w:p w14:paraId="128D8493">
      <w:pPr>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3.仲裁或诉讼期间，本合同继续履行。</w:t>
      </w:r>
    </w:p>
    <w:p w14:paraId="48A4A623">
      <w:pPr>
        <w:pStyle w:val="10"/>
        <w:adjustRightInd w:val="0"/>
        <w:snapToGrid w:val="0"/>
        <w:spacing w:line="360" w:lineRule="exact"/>
        <w:ind w:firstLine="433" w:firstLineChars="196"/>
        <w:rPr>
          <w:rFonts w:hint="eastAsia" w:hAnsi="宋体" w:cs="宋体"/>
          <w:b/>
          <w:color w:val="auto"/>
          <w:sz w:val="22"/>
          <w:szCs w:val="22"/>
          <w:highlight w:val="none"/>
        </w:rPr>
      </w:pPr>
      <w:r>
        <w:rPr>
          <w:rFonts w:hint="eastAsia" w:hAnsi="宋体" w:cs="宋体"/>
          <w:b/>
          <w:color w:val="auto"/>
          <w:sz w:val="22"/>
          <w:szCs w:val="22"/>
          <w:highlight w:val="none"/>
        </w:rPr>
        <w:t>第十</w:t>
      </w:r>
      <w:r>
        <w:rPr>
          <w:rFonts w:hint="eastAsia" w:hAnsi="宋体" w:cs="宋体"/>
          <w:b/>
          <w:color w:val="auto"/>
          <w:sz w:val="22"/>
          <w:szCs w:val="22"/>
          <w:highlight w:val="none"/>
          <w:lang w:eastAsia="zh-CN"/>
        </w:rPr>
        <w:t>六</w:t>
      </w:r>
      <w:r>
        <w:rPr>
          <w:rFonts w:hint="eastAsia" w:hAnsi="宋体" w:cs="宋体"/>
          <w:b/>
          <w:color w:val="auto"/>
          <w:sz w:val="22"/>
          <w:szCs w:val="22"/>
          <w:highlight w:val="none"/>
        </w:rPr>
        <w:t>条、诉讼</w:t>
      </w:r>
    </w:p>
    <w:p w14:paraId="5EB91508">
      <w:pPr>
        <w:pStyle w:val="10"/>
        <w:adjustRightInd w:val="0"/>
        <w:snapToGrid w:val="0"/>
        <w:spacing w:line="360" w:lineRule="exact"/>
        <w:ind w:firstLine="376" w:firstLineChars="171"/>
        <w:rPr>
          <w:rFonts w:hint="eastAsia" w:hAnsi="宋体" w:cs="宋体"/>
          <w:color w:val="auto"/>
          <w:sz w:val="22"/>
          <w:szCs w:val="22"/>
          <w:highlight w:val="none"/>
        </w:rPr>
      </w:pPr>
      <w:r>
        <w:rPr>
          <w:rFonts w:hint="eastAsia" w:hAnsi="宋体" w:cs="宋体"/>
          <w:color w:val="auto"/>
          <w:sz w:val="22"/>
          <w:szCs w:val="22"/>
          <w:highlight w:val="none"/>
        </w:rPr>
        <w:t>双方在执行合同中所发生的一切争议，应通过协商解决。如果协商不能解决，可向仲裁委员会申请仲裁或向人民法院提起诉讼。</w:t>
      </w:r>
    </w:p>
    <w:p w14:paraId="33A723A7">
      <w:pPr>
        <w:adjustRightInd w:val="0"/>
        <w:snapToGrid w:val="0"/>
        <w:spacing w:line="36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第十</w:t>
      </w:r>
      <w:r>
        <w:rPr>
          <w:rFonts w:hint="eastAsia" w:ascii="宋体" w:hAnsi="宋体" w:cs="宋体"/>
          <w:b/>
          <w:color w:val="auto"/>
          <w:sz w:val="22"/>
          <w:szCs w:val="22"/>
          <w:highlight w:val="none"/>
          <w:lang w:eastAsia="zh-CN"/>
        </w:rPr>
        <w:t>七</w:t>
      </w:r>
      <w:r>
        <w:rPr>
          <w:rFonts w:hint="eastAsia" w:ascii="宋体" w:hAnsi="宋体" w:cs="宋体"/>
          <w:b/>
          <w:color w:val="auto"/>
          <w:sz w:val="22"/>
          <w:szCs w:val="22"/>
          <w:highlight w:val="none"/>
        </w:rPr>
        <w:t>条、合同生效及其它</w:t>
      </w:r>
    </w:p>
    <w:p w14:paraId="1E1E7C5E">
      <w:pPr>
        <w:adjustRightInd w:val="0"/>
        <w:snapToGrid w:val="0"/>
        <w:spacing w:line="36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1.合同经双方法定代表人或授权代表（委托代理人）签字并加盖单位公章后生效。</w:t>
      </w:r>
    </w:p>
    <w:p w14:paraId="3B262536">
      <w:pPr>
        <w:adjustRightInd w:val="0"/>
        <w:snapToGrid w:val="0"/>
        <w:spacing w:line="36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2.合同执行中涉及采购资金和采购内容修改或补充的，签书面补充协议方可作为主合同不可分割的一部分。</w:t>
      </w:r>
    </w:p>
    <w:p w14:paraId="6D2F5AA1">
      <w:pPr>
        <w:adjustRightInd w:val="0"/>
        <w:snapToGrid w:val="0"/>
        <w:spacing w:line="36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3.本合同未尽事宜，遵照《</w:t>
      </w:r>
      <w:r>
        <w:rPr>
          <w:rFonts w:hint="eastAsia" w:ascii="宋体" w:hAnsi="宋体" w:cs="宋体"/>
          <w:b/>
          <w:color w:val="auto"/>
          <w:sz w:val="22"/>
          <w:szCs w:val="22"/>
          <w:highlight w:val="none"/>
          <w:lang w:eastAsia="zh-CN"/>
        </w:rPr>
        <w:t>民法典</w:t>
      </w:r>
      <w:r>
        <w:rPr>
          <w:rFonts w:hint="eastAsia" w:ascii="宋体" w:hAnsi="宋体" w:cs="宋体"/>
          <w:b/>
          <w:color w:val="auto"/>
          <w:sz w:val="22"/>
          <w:szCs w:val="22"/>
          <w:highlight w:val="none"/>
        </w:rPr>
        <w:t>》有关条文执行。</w:t>
      </w:r>
    </w:p>
    <w:p w14:paraId="0221F942">
      <w:pPr>
        <w:adjustRightInd w:val="0"/>
        <w:snapToGrid w:val="0"/>
        <w:spacing w:line="36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第十</w:t>
      </w:r>
      <w:r>
        <w:rPr>
          <w:rFonts w:hint="eastAsia" w:ascii="宋体" w:hAnsi="宋体" w:cs="宋体"/>
          <w:b/>
          <w:color w:val="auto"/>
          <w:sz w:val="22"/>
          <w:szCs w:val="22"/>
          <w:highlight w:val="none"/>
          <w:lang w:eastAsia="zh-CN"/>
        </w:rPr>
        <w:t>八</w:t>
      </w:r>
      <w:r>
        <w:rPr>
          <w:rFonts w:hint="eastAsia" w:ascii="宋体" w:hAnsi="宋体" w:cs="宋体"/>
          <w:b/>
          <w:color w:val="auto"/>
          <w:sz w:val="22"/>
          <w:szCs w:val="22"/>
          <w:highlight w:val="none"/>
        </w:rPr>
        <w:t>条　合同的变更、终止与转让</w:t>
      </w:r>
    </w:p>
    <w:p w14:paraId="20FDA5B0">
      <w:pPr>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1.除《中华人民共和国政府采购法》第五十条规定的情形外，本合同一经签订，甲乙双方不得擅自变更、中止或终止。</w:t>
      </w:r>
    </w:p>
    <w:p w14:paraId="1E61A377">
      <w:pPr>
        <w:pStyle w:val="10"/>
        <w:adjustRightInd w:val="0"/>
        <w:snapToGrid w:val="0"/>
        <w:spacing w:line="360" w:lineRule="exact"/>
        <w:ind w:firstLine="431" w:firstLineChars="196"/>
        <w:rPr>
          <w:rFonts w:hint="eastAsia" w:hAnsi="宋体" w:cs="宋体"/>
          <w:b/>
          <w:color w:val="auto"/>
          <w:sz w:val="22"/>
          <w:szCs w:val="22"/>
          <w:highlight w:val="none"/>
        </w:rPr>
      </w:pPr>
      <w:r>
        <w:rPr>
          <w:rFonts w:hint="eastAsia" w:hAnsi="宋体" w:cs="宋体"/>
          <w:color w:val="auto"/>
          <w:sz w:val="22"/>
          <w:szCs w:val="22"/>
          <w:highlight w:val="none"/>
        </w:rPr>
        <w:t>2.乙方不得擅自转让（无进口资格的供应商委托进口货物除外）其应履行的合同义务。</w:t>
      </w:r>
    </w:p>
    <w:p w14:paraId="7F147A62">
      <w:pPr>
        <w:adjustRightInd w:val="0"/>
        <w:snapToGrid w:val="0"/>
        <w:spacing w:line="36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第</w:t>
      </w:r>
      <w:r>
        <w:rPr>
          <w:rFonts w:hint="eastAsia" w:ascii="宋体" w:hAnsi="宋体" w:cs="宋体"/>
          <w:b/>
          <w:color w:val="auto"/>
          <w:sz w:val="22"/>
          <w:szCs w:val="22"/>
          <w:highlight w:val="none"/>
          <w:lang w:eastAsia="zh-CN"/>
        </w:rPr>
        <w:t>十九</w:t>
      </w:r>
      <w:r>
        <w:rPr>
          <w:rFonts w:hint="eastAsia" w:ascii="宋体" w:hAnsi="宋体" w:cs="宋体"/>
          <w:b/>
          <w:color w:val="auto"/>
          <w:sz w:val="22"/>
          <w:szCs w:val="22"/>
          <w:highlight w:val="none"/>
        </w:rPr>
        <w:t>条　签订本合同依据</w:t>
      </w:r>
    </w:p>
    <w:p w14:paraId="07FCA8B5">
      <w:pPr>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1.谈判文件；</w:t>
      </w:r>
    </w:p>
    <w:p w14:paraId="3E2A9E71">
      <w:pPr>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2.乙方提供的响应文件；</w:t>
      </w:r>
    </w:p>
    <w:p w14:paraId="3C5E7408">
      <w:pPr>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3.谈判</w:t>
      </w:r>
      <w:r>
        <w:rPr>
          <w:rFonts w:hint="eastAsia" w:ascii="宋体" w:hAnsi="宋体" w:eastAsia="宋体" w:cs="宋体"/>
          <w:color w:val="auto"/>
          <w:sz w:val="22"/>
          <w:szCs w:val="22"/>
          <w:highlight w:val="none"/>
        </w:rPr>
        <w:t>记录</w:t>
      </w:r>
      <w:r>
        <w:rPr>
          <w:rFonts w:hint="eastAsia" w:ascii="宋体" w:hAnsi="宋体" w:cs="宋体"/>
          <w:color w:val="auto"/>
          <w:sz w:val="22"/>
          <w:szCs w:val="22"/>
          <w:highlight w:val="none"/>
        </w:rPr>
        <w:t xml:space="preserve">； </w:t>
      </w:r>
    </w:p>
    <w:p w14:paraId="71883BCE">
      <w:pPr>
        <w:adjustRightInd w:val="0"/>
        <w:snapToGrid w:val="0"/>
        <w:spacing w:line="36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4.成交通知书。</w:t>
      </w:r>
    </w:p>
    <w:p w14:paraId="3E9B7610">
      <w:pPr>
        <w:adjustRightInd w:val="0"/>
        <w:snapToGrid w:val="0"/>
        <w:spacing w:line="360" w:lineRule="exact"/>
        <w:ind w:firstLine="442" w:firstLineChars="200"/>
        <w:rPr>
          <w:rFonts w:hint="eastAsia" w:ascii="宋体" w:hAnsi="宋体" w:cs="宋体"/>
          <w:color w:val="auto"/>
          <w:sz w:val="22"/>
          <w:szCs w:val="22"/>
          <w:highlight w:val="none"/>
        </w:rPr>
      </w:pPr>
      <w:r>
        <w:rPr>
          <w:rFonts w:hint="eastAsia" w:ascii="宋体" w:hAnsi="宋体" w:cs="宋体"/>
          <w:b/>
          <w:bCs/>
          <w:color w:val="auto"/>
          <w:sz w:val="22"/>
          <w:szCs w:val="22"/>
          <w:highlight w:val="none"/>
        </w:rPr>
        <w:t>第二十条</w:t>
      </w:r>
      <w:r>
        <w:rPr>
          <w:rFonts w:hint="eastAsia" w:ascii="宋体" w:hAnsi="宋体" w:cs="宋体"/>
          <w:color w:val="auto"/>
          <w:sz w:val="22"/>
          <w:szCs w:val="22"/>
          <w:highlight w:val="none"/>
        </w:rPr>
        <w:t>　本合同一式</w:t>
      </w:r>
      <w:r>
        <w:rPr>
          <w:rFonts w:hint="eastAsia" w:ascii="宋体" w:hAnsi="宋体" w:cs="宋体"/>
          <w:color w:val="auto"/>
          <w:sz w:val="22"/>
          <w:szCs w:val="22"/>
          <w:highlight w:val="none"/>
          <w:u w:val="single"/>
          <w:lang w:eastAsia="zh-CN"/>
        </w:rPr>
        <w:t>四</w:t>
      </w:r>
      <w:r>
        <w:rPr>
          <w:rFonts w:hint="eastAsia" w:ascii="宋体" w:hAnsi="宋体" w:cs="宋体"/>
          <w:color w:val="auto"/>
          <w:sz w:val="22"/>
          <w:szCs w:val="22"/>
          <w:highlight w:val="none"/>
        </w:rPr>
        <w:t>份，具有同等法律效力，甲</w:t>
      </w:r>
      <w:r>
        <w:rPr>
          <w:rFonts w:hint="eastAsia" w:ascii="宋体" w:hAnsi="宋体" w:cs="宋体"/>
          <w:color w:val="auto"/>
          <w:sz w:val="22"/>
          <w:szCs w:val="22"/>
          <w:highlight w:val="none"/>
          <w:lang w:eastAsia="zh-CN"/>
        </w:rPr>
        <w:t>方两份、</w:t>
      </w:r>
      <w:r>
        <w:rPr>
          <w:rFonts w:hint="eastAsia" w:ascii="宋体" w:hAnsi="宋体" w:cs="宋体"/>
          <w:color w:val="auto"/>
          <w:sz w:val="22"/>
          <w:szCs w:val="22"/>
          <w:highlight w:val="none"/>
        </w:rPr>
        <w:t>乙方一份</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采购代理机构一份（可根据需要另增加）。</w:t>
      </w:r>
    </w:p>
    <w:p w14:paraId="6DC42B99">
      <w:pPr>
        <w:pStyle w:val="2"/>
        <w:rPr>
          <w:rFonts w:hint="eastAsia"/>
          <w:color w:val="auto"/>
          <w:highlight w:val="none"/>
        </w:rPr>
      </w:pPr>
    </w:p>
    <w:tbl>
      <w:tblPr>
        <w:tblStyle w:val="16"/>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1878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4516" w:type="dxa"/>
            <w:noWrap w:val="0"/>
            <w:vAlign w:val="center"/>
          </w:tcPr>
          <w:p w14:paraId="0685FDD3">
            <w:pPr>
              <w:snapToGrid w:val="0"/>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甲方（章）           </w:t>
            </w:r>
          </w:p>
          <w:p w14:paraId="176F8E9C">
            <w:pPr>
              <w:snapToGrid w:val="0"/>
              <w:spacing w:line="400" w:lineRule="exact"/>
              <w:ind w:firstLine="990" w:firstLineChars="450"/>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年   月   日</w:t>
            </w:r>
          </w:p>
        </w:tc>
        <w:tc>
          <w:tcPr>
            <w:tcW w:w="4517" w:type="dxa"/>
            <w:noWrap w:val="0"/>
            <w:vAlign w:val="center"/>
          </w:tcPr>
          <w:p w14:paraId="2BDCF281">
            <w:pPr>
              <w:snapToGrid w:val="0"/>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乙方（章）              </w:t>
            </w:r>
          </w:p>
          <w:p w14:paraId="1B222A34">
            <w:pPr>
              <w:snapToGrid w:val="0"/>
              <w:spacing w:line="400" w:lineRule="exact"/>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年   月   日</w:t>
            </w:r>
          </w:p>
        </w:tc>
      </w:tr>
      <w:tr w14:paraId="16EC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noWrap w:val="0"/>
            <w:vAlign w:val="center"/>
          </w:tcPr>
          <w:p w14:paraId="0101E67F">
            <w:pPr>
              <w:snapToGrid w:val="0"/>
              <w:spacing w:line="3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单位地址：</w:t>
            </w:r>
          </w:p>
        </w:tc>
        <w:tc>
          <w:tcPr>
            <w:tcW w:w="4517" w:type="dxa"/>
            <w:noWrap w:val="0"/>
            <w:vAlign w:val="center"/>
          </w:tcPr>
          <w:p w14:paraId="1F37E008">
            <w:pPr>
              <w:snapToGrid w:val="0"/>
              <w:spacing w:line="3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单位地址：</w:t>
            </w:r>
          </w:p>
        </w:tc>
      </w:tr>
      <w:tr w14:paraId="4162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4516" w:type="dxa"/>
            <w:noWrap w:val="0"/>
            <w:vAlign w:val="center"/>
          </w:tcPr>
          <w:p w14:paraId="5D74B104">
            <w:pPr>
              <w:snapToGrid w:val="0"/>
              <w:spacing w:line="3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w:t>
            </w:r>
          </w:p>
        </w:tc>
        <w:tc>
          <w:tcPr>
            <w:tcW w:w="4517" w:type="dxa"/>
            <w:noWrap w:val="0"/>
            <w:vAlign w:val="center"/>
          </w:tcPr>
          <w:p w14:paraId="7971760A">
            <w:pPr>
              <w:snapToGrid w:val="0"/>
              <w:spacing w:line="3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w:t>
            </w:r>
          </w:p>
        </w:tc>
      </w:tr>
      <w:tr w14:paraId="54C5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4516" w:type="dxa"/>
            <w:noWrap w:val="0"/>
            <w:vAlign w:val="center"/>
          </w:tcPr>
          <w:p w14:paraId="3ABB874B">
            <w:pPr>
              <w:snapToGrid w:val="0"/>
              <w:spacing w:line="3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委托代理人：</w:t>
            </w:r>
          </w:p>
        </w:tc>
        <w:tc>
          <w:tcPr>
            <w:tcW w:w="4517" w:type="dxa"/>
            <w:noWrap w:val="0"/>
            <w:vAlign w:val="center"/>
          </w:tcPr>
          <w:p w14:paraId="42E00C41">
            <w:pPr>
              <w:snapToGrid w:val="0"/>
              <w:spacing w:line="3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委托代理人</w:t>
            </w:r>
          </w:p>
        </w:tc>
      </w:tr>
      <w:tr w14:paraId="2358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516" w:type="dxa"/>
            <w:noWrap w:val="0"/>
            <w:vAlign w:val="center"/>
          </w:tcPr>
          <w:p w14:paraId="263BD07B">
            <w:pPr>
              <w:snapToGrid w:val="0"/>
              <w:spacing w:line="3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电话：</w:t>
            </w:r>
          </w:p>
        </w:tc>
        <w:tc>
          <w:tcPr>
            <w:tcW w:w="4517" w:type="dxa"/>
            <w:noWrap w:val="0"/>
            <w:vAlign w:val="center"/>
          </w:tcPr>
          <w:p w14:paraId="2B9A1779">
            <w:pPr>
              <w:snapToGrid w:val="0"/>
              <w:spacing w:line="3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电话：</w:t>
            </w:r>
          </w:p>
        </w:tc>
      </w:tr>
      <w:tr w14:paraId="0580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6782F4B6">
            <w:pPr>
              <w:snapToGrid w:val="0"/>
              <w:spacing w:line="3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电子邮箱：</w:t>
            </w:r>
          </w:p>
        </w:tc>
        <w:tc>
          <w:tcPr>
            <w:tcW w:w="4517" w:type="dxa"/>
            <w:noWrap w:val="0"/>
            <w:vAlign w:val="center"/>
          </w:tcPr>
          <w:p w14:paraId="0E65839F">
            <w:pPr>
              <w:snapToGrid w:val="0"/>
              <w:spacing w:line="3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电子邮箱：</w:t>
            </w:r>
          </w:p>
        </w:tc>
      </w:tr>
      <w:tr w14:paraId="5C23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4516" w:type="dxa"/>
            <w:noWrap w:val="0"/>
            <w:vAlign w:val="center"/>
          </w:tcPr>
          <w:p w14:paraId="3EA60128">
            <w:pPr>
              <w:snapToGrid w:val="0"/>
              <w:spacing w:line="3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开户银行：</w:t>
            </w:r>
          </w:p>
        </w:tc>
        <w:tc>
          <w:tcPr>
            <w:tcW w:w="4517" w:type="dxa"/>
            <w:noWrap w:val="0"/>
            <w:vAlign w:val="center"/>
          </w:tcPr>
          <w:p w14:paraId="68E09327">
            <w:pPr>
              <w:snapToGrid w:val="0"/>
              <w:spacing w:line="3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开户银行：</w:t>
            </w:r>
          </w:p>
        </w:tc>
      </w:tr>
      <w:tr w14:paraId="0891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noWrap w:val="0"/>
            <w:vAlign w:val="center"/>
          </w:tcPr>
          <w:p w14:paraId="457FD777">
            <w:pPr>
              <w:snapToGrid w:val="0"/>
              <w:spacing w:line="3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账号：</w:t>
            </w:r>
          </w:p>
        </w:tc>
        <w:tc>
          <w:tcPr>
            <w:tcW w:w="4517" w:type="dxa"/>
            <w:noWrap w:val="0"/>
            <w:vAlign w:val="center"/>
          </w:tcPr>
          <w:p w14:paraId="0AAFE977">
            <w:pPr>
              <w:snapToGrid w:val="0"/>
              <w:spacing w:line="3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账号：</w:t>
            </w:r>
          </w:p>
        </w:tc>
      </w:tr>
      <w:tr w14:paraId="5D89B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0"/>
            <w:vAlign w:val="center"/>
          </w:tcPr>
          <w:p w14:paraId="38BF605C">
            <w:pPr>
              <w:snapToGrid w:val="0"/>
              <w:spacing w:line="3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邮政编码：</w:t>
            </w:r>
          </w:p>
        </w:tc>
        <w:tc>
          <w:tcPr>
            <w:tcW w:w="4517" w:type="dxa"/>
            <w:noWrap w:val="0"/>
            <w:vAlign w:val="center"/>
          </w:tcPr>
          <w:p w14:paraId="75A2BD7B">
            <w:pPr>
              <w:snapToGrid w:val="0"/>
              <w:spacing w:line="3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邮政编码：</w:t>
            </w:r>
          </w:p>
        </w:tc>
      </w:tr>
      <w:tr w14:paraId="4F6F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033" w:type="dxa"/>
            <w:gridSpan w:val="2"/>
            <w:noWrap w:val="0"/>
            <w:vAlign w:val="top"/>
          </w:tcPr>
          <w:p w14:paraId="665D6D9F">
            <w:pPr>
              <w:snapToGrid w:val="0"/>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经办人：</w:t>
            </w:r>
          </w:p>
          <w:p w14:paraId="0A423EB3">
            <w:pPr>
              <w:snapToGrid w:val="0"/>
              <w:spacing w:line="400" w:lineRule="exact"/>
              <w:ind w:firstLine="660" w:firstLineChars="300"/>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年    月    日</w:t>
            </w:r>
          </w:p>
        </w:tc>
      </w:tr>
    </w:tbl>
    <w:p w14:paraId="3FB649BE">
      <w:pPr>
        <w:snapToGrid w:val="0"/>
        <w:spacing w:line="600" w:lineRule="exact"/>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br w:type="page"/>
      </w:r>
      <w:r>
        <w:rPr>
          <w:rFonts w:hint="eastAsia" w:ascii="宋体" w:hAnsi="宋体" w:cs="宋体"/>
          <w:color w:val="auto"/>
          <w:sz w:val="36"/>
          <w:szCs w:val="36"/>
          <w:highlight w:val="none"/>
        </w:rPr>
        <w:t>合 同 附 件</w:t>
      </w:r>
    </w:p>
    <w:p w14:paraId="1AA26F00">
      <w:pPr>
        <w:snapToGrid w:val="0"/>
        <w:spacing w:after="156" w:afterLines="50"/>
        <w:rPr>
          <w:rFonts w:hint="eastAsia" w:ascii="宋体" w:hAnsi="宋体" w:cs="宋体"/>
          <w:b/>
          <w:color w:val="auto"/>
          <w:szCs w:val="21"/>
          <w:highlight w:val="none"/>
        </w:rPr>
      </w:pPr>
      <w:r>
        <w:rPr>
          <w:rFonts w:hint="eastAsia" w:ascii="宋体" w:hAnsi="宋体" w:cs="宋体"/>
          <w:b/>
          <w:color w:val="auto"/>
          <w:szCs w:val="21"/>
          <w:highlight w:val="none"/>
        </w:rPr>
        <w:t>一般货物类</w:t>
      </w:r>
    </w:p>
    <w:tbl>
      <w:tblPr>
        <w:tblStyle w:val="16"/>
        <w:tblW w:w="9185" w:type="dxa"/>
        <w:jc w:val="center"/>
        <w:tblLayout w:type="fixed"/>
        <w:tblCellMar>
          <w:top w:w="0" w:type="dxa"/>
          <w:left w:w="108" w:type="dxa"/>
          <w:bottom w:w="0" w:type="dxa"/>
          <w:right w:w="108" w:type="dxa"/>
        </w:tblCellMar>
      </w:tblPr>
      <w:tblGrid>
        <w:gridCol w:w="4370"/>
        <w:gridCol w:w="4815"/>
      </w:tblGrid>
      <w:tr w14:paraId="536C98FC">
        <w:tblPrEx>
          <w:tblCellMar>
            <w:top w:w="0" w:type="dxa"/>
            <w:left w:w="108" w:type="dxa"/>
            <w:bottom w:w="0" w:type="dxa"/>
            <w:right w:w="108" w:type="dxa"/>
          </w:tblCellMar>
        </w:tblPrEx>
        <w:trPr>
          <w:trHeight w:val="2260" w:hRule="atLeast"/>
          <w:jc w:val="center"/>
        </w:trPr>
        <w:tc>
          <w:tcPr>
            <w:tcW w:w="9185" w:type="dxa"/>
            <w:gridSpan w:val="2"/>
            <w:tcBorders>
              <w:top w:val="single" w:color="auto" w:sz="4" w:space="0"/>
              <w:left w:val="single" w:color="auto" w:sz="4" w:space="0"/>
              <w:right w:val="single" w:color="auto" w:sz="4" w:space="0"/>
            </w:tcBorders>
            <w:noWrap w:val="0"/>
            <w:vAlign w:val="top"/>
          </w:tcPr>
          <w:p w14:paraId="7158A81D">
            <w:pPr>
              <w:snapToGrid w:val="0"/>
              <w:spacing w:before="156" w:beforeLines="50"/>
              <w:rPr>
                <w:rFonts w:hint="eastAsia" w:ascii="宋体" w:hAnsi="宋体" w:cs="宋体"/>
                <w:color w:val="auto"/>
                <w:sz w:val="22"/>
                <w:szCs w:val="22"/>
                <w:highlight w:val="none"/>
              </w:rPr>
            </w:pPr>
            <w:r>
              <w:rPr>
                <w:rFonts w:hint="eastAsia" w:ascii="宋体" w:hAnsi="宋体" w:cs="宋体"/>
                <w:color w:val="auto"/>
                <w:sz w:val="22"/>
                <w:szCs w:val="22"/>
                <w:highlight w:val="none"/>
              </w:rPr>
              <w:t>1.供应商承诺具体事项：</w:t>
            </w:r>
          </w:p>
        </w:tc>
      </w:tr>
      <w:tr w14:paraId="054C50E9">
        <w:tblPrEx>
          <w:tblCellMar>
            <w:top w:w="0" w:type="dxa"/>
            <w:left w:w="108" w:type="dxa"/>
            <w:bottom w:w="0" w:type="dxa"/>
            <w:right w:w="108" w:type="dxa"/>
          </w:tblCellMar>
        </w:tblPrEx>
        <w:trPr>
          <w:trHeight w:val="2260" w:hRule="atLeast"/>
          <w:jc w:val="center"/>
        </w:trPr>
        <w:tc>
          <w:tcPr>
            <w:tcW w:w="9185" w:type="dxa"/>
            <w:gridSpan w:val="2"/>
            <w:tcBorders>
              <w:top w:val="single" w:color="auto" w:sz="4" w:space="0"/>
              <w:left w:val="single" w:color="auto" w:sz="4" w:space="0"/>
              <w:right w:val="single" w:color="auto" w:sz="4" w:space="0"/>
            </w:tcBorders>
            <w:noWrap w:val="0"/>
            <w:vAlign w:val="top"/>
          </w:tcPr>
          <w:p w14:paraId="2BC1FF6C">
            <w:pPr>
              <w:snapToGrid w:val="0"/>
              <w:spacing w:before="156" w:beforeLines="50"/>
              <w:rPr>
                <w:rFonts w:hint="eastAsia" w:ascii="宋体" w:hAnsi="宋体" w:cs="宋体"/>
                <w:color w:val="auto"/>
                <w:sz w:val="22"/>
                <w:szCs w:val="22"/>
                <w:highlight w:val="none"/>
              </w:rPr>
            </w:pPr>
            <w:r>
              <w:rPr>
                <w:rFonts w:hint="eastAsia" w:ascii="宋体" w:hAnsi="宋体" w:cs="宋体"/>
                <w:color w:val="auto"/>
                <w:sz w:val="22"/>
                <w:szCs w:val="22"/>
                <w:highlight w:val="none"/>
              </w:rPr>
              <w:t>2.售后服务具体事项：</w:t>
            </w:r>
          </w:p>
        </w:tc>
      </w:tr>
      <w:tr w14:paraId="4EB2E39A">
        <w:tblPrEx>
          <w:tblCellMar>
            <w:top w:w="0" w:type="dxa"/>
            <w:left w:w="108" w:type="dxa"/>
            <w:bottom w:w="0" w:type="dxa"/>
            <w:right w:w="108" w:type="dxa"/>
          </w:tblCellMar>
        </w:tblPrEx>
        <w:trPr>
          <w:trHeight w:val="2710" w:hRule="atLeast"/>
          <w:jc w:val="center"/>
        </w:trPr>
        <w:tc>
          <w:tcPr>
            <w:tcW w:w="9185" w:type="dxa"/>
            <w:gridSpan w:val="2"/>
            <w:tcBorders>
              <w:top w:val="single" w:color="auto" w:sz="4" w:space="0"/>
              <w:left w:val="single" w:color="auto" w:sz="4" w:space="0"/>
              <w:right w:val="single" w:color="auto" w:sz="4" w:space="0"/>
            </w:tcBorders>
            <w:noWrap w:val="0"/>
            <w:vAlign w:val="top"/>
          </w:tcPr>
          <w:p w14:paraId="5248762F">
            <w:pPr>
              <w:snapToGrid w:val="0"/>
              <w:spacing w:before="156" w:beforeLines="50"/>
              <w:rPr>
                <w:rFonts w:hint="eastAsia" w:ascii="宋体" w:hAnsi="宋体" w:cs="宋体"/>
                <w:color w:val="auto"/>
                <w:sz w:val="22"/>
                <w:szCs w:val="22"/>
                <w:highlight w:val="none"/>
              </w:rPr>
            </w:pPr>
            <w:r>
              <w:rPr>
                <w:rFonts w:hint="eastAsia" w:ascii="宋体" w:hAnsi="宋体" w:cs="宋体"/>
                <w:color w:val="auto"/>
                <w:sz w:val="22"/>
                <w:szCs w:val="22"/>
                <w:highlight w:val="none"/>
              </w:rPr>
              <w:t>3.保修期责任：</w:t>
            </w:r>
          </w:p>
        </w:tc>
      </w:tr>
      <w:tr w14:paraId="6C126480">
        <w:tblPrEx>
          <w:tblCellMar>
            <w:top w:w="0" w:type="dxa"/>
            <w:left w:w="108" w:type="dxa"/>
            <w:bottom w:w="0" w:type="dxa"/>
            <w:right w:w="108" w:type="dxa"/>
          </w:tblCellMar>
        </w:tblPrEx>
        <w:trPr>
          <w:trHeight w:val="1810" w:hRule="atLeast"/>
          <w:jc w:val="center"/>
        </w:trPr>
        <w:tc>
          <w:tcPr>
            <w:tcW w:w="9185" w:type="dxa"/>
            <w:gridSpan w:val="2"/>
            <w:tcBorders>
              <w:top w:val="single" w:color="auto" w:sz="4" w:space="0"/>
              <w:left w:val="single" w:color="auto" w:sz="4" w:space="0"/>
              <w:right w:val="single" w:color="auto" w:sz="4" w:space="0"/>
            </w:tcBorders>
            <w:noWrap w:val="0"/>
            <w:vAlign w:val="top"/>
          </w:tcPr>
          <w:p w14:paraId="44661D2C">
            <w:pPr>
              <w:snapToGrid w:val="0"/>
              <w:spacing w:before="156" w:beforeLines="50"/>
              <w:rPr>
                <w:rFonts w:hint="eastAsia" w:ascii="宋体" w:hAnsi="宋体" w:cs="宋体"/>
                <w:color w:val="auto"/>
                <w:sz w:val="22"/>
                <w:szCs w:val="22"/>
                <w:highlight w:val="none"/>
              </w:rPr>
            </w:pPr>
            <w:r>
              <w:rPr>
                <w:rFonts w:hint="eastAsia" w:ascii="宋体" w:hAnsi="宋体" w:cs="宋体"/>
                <w:color w:val="auto"/>
                <w:sz w:val="22"/>
                <w:szCs w:val="22"/>
                <w:highlight w:val="none"/>
              </w:rPr>
              <w:t>4.其他具体事项：</w:t>
            </w:r>
          </w:p>
        </w:tc>
      </w:tr>
      <w:tr w14:paraId="69C0077D">
        <w:tblPrEx>
          <w:tblCellMar>
            <w:top w:w="0" w:type="dxa"/>
            <w:left w:w="108" w:type="dxa"/>
            <w:bottom w:w="0" w:type="dxa"/>
            <w:right w:w="108" w:type="dxa"/>
          </w:tblCellMar>
        </w:tblPrEx>
        <w:trPr>
          <w:trHeight w:val="2577" w:hRule="atLeast"/>
          <w:jc w:val="center"/>
        </w:trPr>
        <w:tc>
          <w:tcPr>
            <w:tcW w:w="4370" w:type="dxa"/>
            <w:tcBorders>
              <w:top w:val="single" w:color="auto" w:sz="4" w:space="0"/>
              <w:left w:val="single" w:color="auto" w:sz="4" w:space="0"/>
              <w:bottom w:val="single" w:color="auto" w:sz="4" w:space="0"/>
              <w:right w:val="single" w:color="auto" w:sz="4" w:space="0"/>
            </w:tcBorders>
            <w:noWrap w:val="0"/>
            <w:vAlign w:val="center"/>
          </w:tcPr>
          <w:p w14:paraId="409E3AFF">
            <w:pPr>
              <w:snapToGrid w:val="0"/>
              <w:ind w:firstLine="422"/>
              <w:rPr>
                <w:rFonts w:hint="eastAsia" w:ascii="宋体" w:hAnsi="宋体" w:cs="宋体"/>
                <w:color w:val="auto"/>
                <w:sz w:val="22"/>
                <w:szCs w:val="22"/>
                <w:highlight w:val="none"/>
              </w:rPr>
            </w:pPr>
            <w:r>
              <w:rPr>
                <w:rFonts w:hint="eastAsia" w:ascii="宋体" w:hAnsi="宋体" w:cs="宋体"/>
                <w:color w:val="auto"/>
                <w:sz w:val="22"/>
                <w:szCs w:val="22"/>
                <w:highlight w:val="none"/>
              </w:rPr>
              <w:t>甲方（章）</w:t>
            </w:r>
          </w:p>
          <w:p w14:paraId="0CAB927E">
            <w:pPr>
              <w:snapToGrid w:val="0"/>
              <w:ind w:firstLine="422"/>
              <w:rPr>
                <w:rFonts w:hint="eastAsia" w:ascii="宋体" w:hAnsi="宋体" w:cs="宋体"/>
                <w:color w:val="auto"/>
                <w:sz w:val="22"/>
                <w:szCs w:val="22"/>
                <w:highlight w:val="none"/>
              </w:rPr>
            </w:pPr>
          </w:p>
          <w:p w14:paraId="7C45147B">
            <w:pPr>
              <w:snapToGrid w:val="0"/>
              <w:ind w:firstLine="422"/>
              <w:rPr>
                <w:rFonts w:hint="eastAsia" w:ascii="宋体" w:hAnsi="宋体" w:cs="宋体"/>
                <w:color w:val="auto"/>
                <w:sz w:val="22"/>
                <w:szCs w:val="22"/>
                <w:highlight w:val="none"/>
              </w:rPr>
            </w:pPr>
          </w:p>
          <w:p w14:paraId="35C87829">
            <w:pPr>
              <w:snapToGrid w:val="0"/>
              <w:ind w:firstLine="422"/>
              <w:rPr>
                <w:rFonts w:hint="eastAsia" w:ascii="宋体" w:hAnsi="宋体" w:cs="宋体"/>
                <w:color w:val="auto"/>
                <w:sz w:val="22"/>
                <w:szCs w:val="22"/>
                <w:highlight w:val="none"/>
              </w:rPr>
            </w:pPr>
          </w:p>
          <w:p w14:paraId="26673D47">
            <w:pPr>
              <w:snapToGrid w:val="0"/>
              <w:ind w:firstLine="422"/>
              <w:rPr>
                <w:rFonts w:hint="eastAsia" w:ascii="宋体" w:hAnsi="宋体" w:cs="宋体"/>
                <w:color w:val="auto"/>
                <w:sz w:val="22"/>
                <w:szCs w:val="22"/>
                <w:highlight w:val="none"/>
              </w:rPr>
            </w:pPr>
          </w:p>
          <w:p w14:paraId="5CB6194A">
            <w:pPr>
              <w:snapToGrid w:val="0"/>
              <w:ind w:firstLine="422"/>
              <w:rPr>
                <w:rFonts w:hint="eastAsia" w:ascii="宋体" w:hAnsi="宋体" w:cs="宋体"/>
                <w:color w:val="auto"/>
                <w:sz w:val="22"/>
                <w:szCs w:val="22"/>
                <w:highlight w:val="none"/>
              </w:rPr>
            </w:pPr>
          </w:p>
          <w:p w14:paraId="411B9161">
            <w:pPr>
              <w:snapToGrid w:val="0"/>
              <w:ind w:firstLine="422"/>
              <w:rPr>
                <w:rFonts w:hint="eastAsia" w:ascii="宋体" w:hAnsi="宋体" w:cs="宋体"/>
                <w:color w:val="auto"/>
                <w:sz w:val="22"/>
                <w:szCs w:val="22"/>
                <w:highlight w:val="none"/>
              </w:rPr>
            </w:pPr>
          </w:p>
          <w:p w14:paraId="02D1B4B4">
            <w:pPr>
              <w:snapToGrid w:val="0"/>
              <w:ind w:firstLine="422"/>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年   月   日 </w:t>
            </w:r>
          </w:p>
        </w:tc>
        <w:tc>
          <w:tcPr>
            <w:tcW w:w="4815" w:type="dxa"/>
            <w:tcBorders>
              <w:top w:val="single" w:color="auto" w:sz="4" w:space="0"/>
              <w:left w:val="single" w:color="auto" w:sz="4" w:space="0"/>
              <w:bottom w:val="single" w:color="auto" w:sz="4" w:space="0"/>
              <w:right w:val="single" w:color="auto" w:sz="4" w:space="0"/>
            </w:tcBorders>
            <w:noWrap w:val="0"/>
            <w:vAlign w:val="center"/>
          </w:tcPr>
          <w:p w14:paraId="2ABBA4D1">
            <w:pPr>
              <w:snapToGrid w:val="0"/>
              <w:ind w:firstLine="422"/>
              <w:rPr>
                <w:rFonts w:hint="eastAsia" w:ascii="宋体" w:hAnsi="宋体" w:cs="宋体"/>
                <w:color w:val="auto"/>
                <w:sz w:val="22"/>
                <w:szCs w:val="22"/>
                <w:highlight w:val="none"/>
              </w:rPr>
            </w:pPr>
            <w:r>
              <w:rPr>
                <w:rFonts w:hint="eastAsia" w:ascii="宋体" w:hAnsi="宋体" w:cs="宋体"/>
                <w:color w:val="auto"/>
                <w:sz w:val="22"/>
                <w:szCs w:val="22"/>
                <w:highlight w:val="none"/>
              </w:rPr>
              <w:t>乙方（章）</w:t>
            </w:r>
          </w:p>
          <w:p w14:paraId="05A2B7F3">
            <w:pPr>
              <w:snapToGrid w:val="0"/>
              <w:ind w:firstLine="422"/>
              <w:rPr>
                <w:rFonts w:hint="eastAsia" w:ascii="宋体" w:hAnsi="宋体" w:cs="宋体"/>
                <w:color w:val="auto"/>
                <w:sz w:val="22"/>
                <w:szCs w:val="22"/>
                <w:highlight w:val="none"/>
              </w:rPr>
            </w:pPr>
          </w:p>
          <w:p w14:paraId="2606FA49">
            <w:pPr>
              <w:snapToGrid w:val="0"/>
              <w:ind w:firstLine="422"/>
              <w:rPr>
                <w:rFonts w:hint="eastAsia" w:ascii="宋体" w:hAnsi="宋体" w:cs="宋体"/>
                <w:color w:val="auto"/>
                <w:sz w:val="22"/>
                <w:szCs w:val="22"/>
                <w:highlight w:val="none"/>
              </w:rPr>
            </w:pPr>
          </w:p>
          <w:p w14:paraId="72ED0DB1">
            <w:pPr>
              <w:snapToGrid w:val="0"/>
              <w:ind w:firstLine="422"/>
              <w:rPr>
                <w:rFonts w:hint="eastAsia" w:ascii="宋体" w:hAnsi="宋体" w:cs="宋体"/>
                <w:color w:val="auto"/>
                <w:sz w:val="22"/>
                <w:szCs w:val="22"/>
                <w:highlight w:val="none"/>
              </w:rPr>
            </w:pPr>
          </w:p>
          <w:p w14:paraId="03338DF6">
            <w:pPr>
              <w:snapToGrid w:val="0"/>
              <w:ind w:firstLine="422"/>
              <w:rPr>
                <w:rFonts w:hint="eastAsia" w:ascii="宋体" w:hAnsi="宋体" w:cs="宋体"/>
                <w:color w:val="auto"/>
                <w:sz w:val="22"/>
                <w:szCs w:val="22"/>
                <w:highlight w:val="none"/>
              </w:rPr>
            </w:pPr>
          </w:p>
          <w:p w14:paraId="67363F76">
            <w:pPr>
              <w:snapToGrid w:val="0"/>
              <w:ind w:firstLine="422"/>
              <w:rPr>
                <w:rFonts w:hint="eastAsia" w:ascii="宋体" w:hAnsi="宋体" w:cs="宋体"/>
                <w:color w:val="auto"/>
                <w:sz w:val="22"/>
                <w:szCs w:val="22"/>
                <w:highlight w:val="none"/>
              </w:rPr>
            </w:pPr>
          </w:p>
          <w:p w14:paraId="540EA262">
            <w:pPr>
              <w:snapToGrid w:val="0"/>
              <w:ind w:firstLine="422"/>
              <w:rPr>
                <w:rFonts w:hint="eastAsia" w:ascii="宋体" w:hAnsi="宋体" w:cs="宋体"/>
                <w:color w:val="auto"/>
                <w:sz w:val="22"/>
                <w:szCs w:val="22"/>
                <w:highlight w:val="none"/>
              </w:rPr>
            </w:pPr>
          </w:p>
          <w:p w14:paraId="35CF78EE">
            <w:pPr>
              <w:snapToGrid w:val="0"/>
              <w:ind w:firstLine="422"/>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年   月   日</w:t>
            </w:r>
          </w:p>
        </w:tc>
      </w:tr>
    </w:tbl>
    <w:p w14:paraId="1212B756">
      <w:pPr>
        <w:snapToGrid w:val="0"/>
        <w:spacing w:before="156" w:beforeLines="5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注：售后服务事项填不下时可另加附页</w:t>
      </w:r>
    </w:p>
    <w:p w14:paraId="4C97E558">
      <w:pPr>
        <w:rPr>
          <w:rFonts w:hint="default" w:ascii="宋体" w:hAnsi="宋体" w:cs="宋体"/>
          <w:b/>
          <w:color w:val="auto"/>
          <w:sz w:val="22"/>
          <w:szCs w:val="22"/>
          <w:highlight w:val="none"/>
          <w:lang w:val="en-US" w:eastAsia="zh-CN"/>
        </w:rPr>
      </w:pPr>
      <w:r>
        <w:rPr>
          <w:rFonts w:hint="default" w:ascii="宋体" w:hAnsi="宋体" w:cs="宋体"/>
          <w:b/>
          <w:color w:val="auto"/>
          <w:sz w:val="22"/>
          <w:szCs w:val="22"/>
          <w:highlight w:val="none"/>
          <w:lang w:val="en-US" w:eastAsia="zh-CN"/>
        </w:rPr>
        <w:br w:type="page"/>
      </w:r>
    </w:p>
    <w:p w14:paraId="412EC587">
      <w:pPr>
        <w:pStyle w:val="3"/>
        <w:bidi w:val="0"/>
        <w:rPr>
          <w:rFonts w:hint="default"/>
          <w:color w:val="auto"/>
          <w:highlight w:val="none"/>
          <w:lang w:val="en-US" w:eastAsia="zh-CN"/>
        </w:rPr>
      </w:pPr>
      <w:bookmarkStart w:id="109" w:name="_Toc26122"/>
      <w:r>
        <w:rPr>
          <w:rFonts w:hint="eastAsia"/>
          <w:color w:val="auto"/>
          <w:highlight w:val="none"/>
          <w:lang w:eastAsia="zh-CN"/>
        </w:rPr>
        <w:t>第六章</w:t>
      </w:r>
      <w:r>
        <w:rPr>
          <w:rFonts w:hint="eastAsia"/>
          <w:color w:val="auto"/>
          <w:highlight w:val="none"/>
          <w:lang w:val="en-US" w:eastAsia="zh-CN"/>
        </w:rPr>
        <w:t xml:space="preserve">  评定标准</w:t>
      </w:r>
      <w:bookmarkEnd w:id="109"/>
    </w:p>
    <w:p w14:paraId="70441E4A">
      <w:pPr>
        <w:pStyle w:val="10"/>
        <w:keepNext w:val="0"/>
        <w:keepLines w:val="0"/>
        <w:pageBreakBefore w:val="0"/>
        <w:widowControl w:val="0"/>
        <w:kinsoku/>
        <w:wordWrap/>
        <w:overflowPunct/>
        <w:topLinePunct w:val="0"/>
        <w:autoSpaceDE/>
        <w:autoSpaceDN/>
        <w:bidi w:val="0"/>
        <w:spacing w:line="360" w:lineRule="exact"/>
        <w:ind w:firstLine="433" w:firstLineChars="196"/>
        <w:textAlignment w:val="auto"/>
        <w:rPr>
          <w:rFonts w:hint="eastAsia" w:ascii="黑体" w:hAnsi="宋体" w:eastAsia="黑体"/>
          <w:color w:val="auto"/>
          <w:sz w:val="22"/>
          <w:szCs w:val="22"/>
          <w:highlight w:val="none"/>
        </w:rPr>
      </w:pPr>
      <w:r>
        <w:rPr>
          <w:rFonts w:hint="eastAsia" w:ascii="黑体" w:hAnsi="宋体" w:eastAsia="黑体"/>
          <w:b/>
          <w:color w:val="auto"/>
          <w:sz w:val="22"/>
          <w:szCs w:val="22"/>
          <w:highlight w:val="none"/>
        </w:rPr>
        <w:t>一、评审原则</w:t>
      </w:r>
    </w:p>
    <w:p w14:paraId="1423B943">
      <w:pPr>
        <w:pStyle w:val="10"/>
        <w:keepNext w:val="0"/>
        <w:keepLines w:val="0"/>
        <w:pageBreakBefore w:val="0"/>
        <w:widowControl w:val="0"/>
        <w:kinsoku/>
        <w:wordWrap/>
        <w:overflowPunct/>
        <w:topLinePunct w:val="0"/>
        <w:autoSpaceDE/>
        <w:autoSpaceDN/>
        <w:bidi w:val="0"/>
        <w:spacing w:line="360" w:lineRule="exact"/>
        <w:ind w:firstLine="440" w:firstLineChars="200"/>
        <w:textAlignment w:val="auto"/>
        <w:rPr>
          <w:rFonts w:hint="eastAsia" w:hAnsi="宋体" w:cs="宋体"/>
          <w:color w:val="auto"/>
          <w:kern w:val="0"/>
          <w:sz w:val="22"/>
          <w:szCs w:val="22"/>
          <w:highlight w:val="none"/>
        </w:rPr>
      </w:pPr>
      <w:r>
        <w:rPr>
          <w:rFonts w:hint="eastAsia" w:hAnsi="宋体" w:cs="宋体"/>
          <w:color w:val="auto"/>
          <w:kern w:val="0"/>
          <w:sz w:val="22"/>
          <w:szCs w:val="22"/>
          <w:highlight w:val="none"/>
        </w:rPr>
        <w:t>1.</w:t>
      </w:r>
      <w:r>
        <w:rPr>
          <w:rFonts w:hint="eastAsia" w:ascii="Times New Roman" w:hAnsi="Times New Roman" w:cs="Times New Roman"/>
          <w:bCs/>
          <w:color w:val="auto"/>
          <w:sz w:val="22"/>
          <w:szCs w:val="22"/>
          <w:highlight w:val="none"/>
        </w:rPr>
        <w:t>谈判小组</w:t>
      </w:r>
      <w:r>
        <w:rPr>
          <w:rFonts w:hint="eastAsia" w:ascii="Times New Roman" w:hAnsi="Times New Roman" w:cs="Times New Roman"/>
          <w:color w:val="auto"/>
          <w:sz w:val="22"/>
          <w:szCs w:val="22"/>
          <w:highlight w:val="none"/>
        </w:rPr>
        <w:t>成员</w:t>
      </w:r>
      <w:r>
        <w:rPr>
          <w:rFonts w:hint="eastAsia" w:ascii="Times New Roman" w:hAnsi="Times New Roman" w:cs="Times New Roman"/>
          <w:bCs/>
          <w:color w:val="auto"/>
          <w:sz w:val="22"/>
          <w:szCs w:val="22"/>
          <w:highlight w:val="none"/>
        </w:rPr>
        <w:t>组成：本竞争性谈判采购项目的</w:t>
      </w:r>
      <w:r>
        <w:rPr>
          <w:rFonts w:hint="eastAsia" w:ascii="Times New Roman" w:hAnsi="Times New Roman" w:cs="Times New Roman"/>
          <w:color w:val="auto"/>
          <w:sz w:val="22"/>
          <w:szCs w:val="22"/>
          <w:highlight w:val="none"/>
        </w:rPr>
        <w:t>谈判小组由采购人代表和评审专家共三人以上的单数组成，其中评审专家的人数不得少于谈判小组成员</w:t>
      </w:r>
      <w:r>
        <w:rPr>
          <w:rFonts w:hint="eastAsia" w:hAnsi="宋体" w:cs="宋体"/>
          <w:color w:val="auto"/>
          <w:kern w:val="0"/>
          <w:sz w:val="22"/>
          <w:szCs w:val="22"/>
          <w:highlight w:val="none"/>
        </w:rPr>
        <w:t>总数的三分之二。</w:t>
      </w:r>
    </w:p>
    <w:p w14:paraId="78855EE6">
      <w:pPr>
        <w:pStyle w:val="10"/>
        <w:keepNext w:val="0"/>
        <w:keepLines w:val="0"/>
        <w:pageBreakBefore w:val="0"/>
        <w:widowControl w:val="0"/>
        <w:kinsoku/>
        <w:wordWrap/>
        <w:overflowPunct/>
        <w:topLinePunct w:val="0"/>
        <w:autoSpaceDE/>
        <w:autoSpaceDN/>
        <w:bidi w:val="0"/>
        <w:spacing w:line="360" w:lineRule="exact"/>
        <w:ind w:firstLine="440" w:firstLineChars="200"/>
        <w:textAlignment w:val="auto"/>
        <w:rPr>
          <w:rFonts w:hint="eastAsia" w:hAnsi="宋体"/>
          <w:bCs/>
          <w:color w:val="auto"/>
          <w:sz w:val="22"/>
          <w:szCs w:val="22"/>
          <w:highlight w:val="none"/>
        </w:rPr>
      </w:pPr>
      <w:r>
        <w:rPr>
          <w:rFonts w:hint="eastAsia" w:hAnsi="宋体" w:cs="宋体"/>
          <w:color w:val="auto"/>
          <w:kern w:val="0"/>
          <w:sz w:val="22"/>
          <w:szCs w:val="22"/>
          <w:highlight w:val="none"/>
        </w:rPr>
        <w:t>2.评审依据：以竞争性谈判文</w:t>
      </w:r>
      <w:r>
        <w:rPr>
          <w:rFonts w:hint="eastAsia" w:ascii="Times New Roman" w:hAnsi="Times New Roman" w:cs="Times New Roman"/>
          <w:bCs/>
          <w:color w:val="auto"/>
          <w:sz w:val="22"/>
          <w:szCs w:val="22"/>
          <w:highlight w:val="none"/>
        </w:rPr>
        <w:t>件和竞争性谈判响应文件为依据</w:t>
      </w:r>
      <w:r>
        <w:rPr>
          <w:rFonts w:hint="eastAsia"/>
          <w:bCs/>
          <w:color w:val="auto"/>
          <w:sz w:val="22"/>
          <w:szCs w:val="22"/>
          <w:highlight w:val="none"/>
        </w:rPr>
        <w:t>。</w:t>
      </w:r>
    </w:p>
    <w:p w14:paraId="734A1081">
      <w:pPr>
        <w:pStyle w:val="10"/>
        <w:keepNext w:val="0"/>
        <w:keepLines w:val="0"/>
        <w:pageBreakBefore w:val="0"/>
        <w:widowControl w:val="0"/>
        <w:kinsoku/>
        <w:wordWrap/>
        <w:overflowPunct/>
        <w:topLinePunct w:val="0"/>
        <w:autoSpaceDE/>
        <w:autoSpaceDN/>
        <w:bidi w:val="0"/>
        <w:spacing w:line="360" w:lineRule="exact"/>
        <w:ind w:firstLine="433" w:firstLineChars="196"/>
        <w:textAlignment w:val="auto"/>
        <w:rPr>
          <w:rFonts w:hint="eastAsia" w:ascii="黑体" w:hAnsi="宋体" w:eastAsia="黑体"/>
          <w:b/>
          <w:color w:val="auto"/>
          <w:sz w:val="22"/>
          <w:szCs w:val="22"/>
          <w:highlight w:val="none"/>
        </w:rPr>
      </w:pPr>
      <w:r>
        <w:rPr>
          <w:rFonts w:hint="eastAsia" w:ascii="黑体" w:hAnsi="宋体" w:eastAsia="黑体"/>
          <w:b/>
          <w:color w:val="auto"/>
          <w:sz w:val="22"/>
          <w:szCs w:val="22"/>
          <w:highlight w:val="none"/>
        </w:rPr>
        <w:t>二、评标方法</w:t>
      </w:r>
    </w:p>
    <w:p w14:paraId="781D785E">
      <w:pPr>
        <w:pStyle w:val="10"/>
        <w:keepNext w:val="0"/>
        <w:keepLines w:val="0"/>
        <w:pageBreakBefore w:val="0"/>
        <w:widowControl w:val="0"/>
        <w:kinsoku/>
        <w:wordWrap/>
        <w:overflowPunct/>
        <w:topLinePunct w:val="0"/>
        <w:autoSpaceDE/>
        <w:autoSpaceDN/>
        <w:bidi w:val="0"/>
        <w:spacing w:line="360" w:lineRule="exact"/>
        <w:ind w:firstLine="440" w:firstLineChars="200"/>
        <w:textAlignment w:val="auto"/>
        <w:rPr>
          <w:rFonts w:hint="eastAsia"/>
          <w:color w:val="auto"/>
          <w:kern w:val="0"/>
          <w:sz w:val="22"/>
          <w:szCs w:val="22"/>
          <w:highlight w:val="none"/>
        </w:rPr>
      </w:pPr>
      <w:r>
        <w:rPr>
          <w:rFonts w:hint="eastAsia"/>
          <w:color w:val="auto"/>
          <w:kern w:val="0"/>
          <w:sz w:val="22"/>
          <w:szCs w:val="22"/>
          <w:highlight w:val="none"/>
        </w:rPr>
        <w:t>谈判小组将以竞争性谈判文件为依据，对资格性和符合性检查合格的竞争性谈判响应文件进行评审，在质量和服务均能满足竞争性谈判文件实质性响应要求的供应商中，按下列程序确定成交供应商：</w:t>
      </w:r>
    </w:p>
    <w:p w14:paraId="4B95BC23">
      <w:pPr>
        <w:pStyle w:val="10"/>
        <w:keepNext w:val="0"/>
        <w:keepLines w:val="0"/>
        <w:pageBreakBefore w:val="0"/>
        <w:widowControl w:val="0"/>
        <w:kinsoku/>
        <w:wordWrap/>
        <w:overflowPunct/>
        <w:topLinePunct w:val="0"/>
        <w:autoSpaceDE/>
        <w:autoSpaceDN/>
        <w:bidi w:val="0"/>
        <w:spacing w:line="360" w:lineRule="exact"/>
        <w:ind w:firstLine="440" w:firstLineChars="200"/>
        <w:textAlignment w:val="auto"/>
        <w:rPr>
          <w:rFonts w:hint="eastAsia" w:hAnsi="宋体" w:eastAsiaTheme="minorEastAsia"/>
          <w:color w:val="auto"/>
          <w:sz w:val="22"/>
          <w:szCs w:val="22"/>
          <w:highlight w:val="none"/>
          <w:lang w:eastAsia="zh-CN"/>
        </w:rPr>
      </w:pPr>
      <w:r>
        <w:rPr>
          <w:rFonts w:hint="eastAsia" w:hAnsi="宋体" w:cs="宋体"/>
          <w:color w:val="auto"/>
          <w:kern w:val="0"/>
          <w:sz w:val="22"/>
          <w:szCs w:val="22"/>
          <w:highlight w:val="none"/>
        </w:rPr>
        <w:t>1.</w:t>
      </w:r>
      <w:r>
        <w:rPr>
          <w:rFonts w:hint="eastAsia" w:hAnsi="宋体"/>
          <w:color w:val="auto"/>
          <w:sz w:val="22"/>
          <w:szCs w:val="22"/>
          <w:highlight w:val="none"/>
        </w:rPr>
        <w:t xml:space="preserve"> 竞争性谈判的主要产品按《政府采购促进中小企业发展管理办法》（财库〔2020〕46号）认定为小型和微型企业产品的（提供《中小企业声明函》），对最后报价给予</w:t>
      </w:r>
      <w:r>
        <w:rPr>
          <w:rFonts w:hint="eastAsia" w:hAnsi="宋体"/>
          <w:color w:val="auto"/>
          <w:sz w:val="22"/>
          <w:szCs w:val="22"/>
          <w:highlight w:val="none"/>
          <w:lang w:val="en-US" w:eastAsia="zh-CN"/>
        </w:rPr>
        <w:t>20</w:t>
      </w:r>
      <w:r>
        <w:rPr>
          <w:rFonts w:hint="eastAsia" w:hAnsi="宋体"/>
          <w:color w:val="auto"/>
          <w:sz w:val="22"/>
          <w:szCs w:val="22"/>
          <w:highlight w:val="none"/>
        </w:rPr>
        <w:t>%的扣除，扣除后的价格为评标价，即评标价=最后报价×（1-</w:t>
      </w:r>
      <w:r>
        <w:rPr>
          <w:rFonts w:hint="eastAsia" w:hAnsi="宋体"/>
          <w:color w:val="auto"/>
          <w:sz w:val="22"/>
          <w:szCs w:val="22"/>
          <w:highlight w:val="none"/>
          <w:lang w:val="en-US" w:eastAsia="zh-CN"/>
        </w:rPr>
        <w:t>20</w:t>
      </w:r>
      <w:r>
        <w:rPr>
          <w:rFonts w:hint="eastAsia" w:hAnsi="宋体"/>
          <w:color w:val="auto"/>
          <w:sz w:val="22"/>
          <w:szCs w:val="22"/>
          <w:highlight w:val="none"/>
        </w:rPr>
        <w:t>%）；大中型企业与小型、微型企业组成联合体参与竞争性谈判，其中小型、微型企业的协议合同金额占到联合体协议合同总金额30%以上的，联合体最后价给予</w:t>
      </w:r>
      <w:r>
        <w:rPr>
          <w:rFonts w:hint="eastAsia" w:hAnsi="宋体"/>
          <w:color w:val="auto"/>
          <w:sz w:val="22"/>
          <w:szCs w:val="22"/>
          <w:highlight w:val="none"/>
          <w:lang w:val="en-US" w:eastAsia="zh-CN"/>
        </w:rPr>
        <w:t>6</w:t>
      </w:r>
      <w:r>
        <w:rPr>
          <w:rFonts w:hint="eastAsia" w:hAnsi="宋体"/>
          <w:color w:val="auto"/>
          <w:sz w:val="22"/>
          <w:szCs w:val="22"/>
          <w:highlight w:val="none"/>
        </w:rPr>
        <w:t>%的扣除，扣除后的价格为评标价，即评标价=最后报价×（1-</w:t>
      </w:r>
      <w:r>
        <w:rPr>
          <w:rFonts w:hint="eastAsia" w:hAnsi="宋体"/>
          <w:color w:val="auto"/>
          <w:sz w:val="22"/>
          <w:szCs w:val="22"/>
          <w:highlight w:val="none"/>
          <w:lang w:val="en-US" w:eastAsia="zh-CN"/>
        </w:rPr>
        <w:t>6</w:t>
      </w:r>
      <w:r>
        <w:rPr>
          <w:rFonts w:hint="eastAsia" w:hAnsi="宋体"/>
          <w:color w:val="auto"/>
          <w:sz w:val="22"/>
          <w:szCs w:val="22"/>
          <w:highlight w:val="none"/>
        </w:rPr>
        <w:t>%）；除上述情况外，评标价=最后报价</w:t>
      </w:r>
      <w:r>
        <w:rPr>
          <w:rFonts w:hint="eastAsia" w:hAnsi="宋体"/>
          <w:color w:val="auto"/>
          <w:sz w:val="22"/>
          <w:szCs w:val="22"/>
          <w:highlight w:val="none"/>
          <w:lang w:eastAsia="zh-CN"/>
        </w:rPr>
        <w:t>。</w:t>
      </w:r>
    </w:p>
    <w:p w14:paraId="141C82E4">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left"/>
        <w:textAlignment w:val="auto"/>
        <w:rPr>
          <w:rFonts w:hint="eastAsia"/>
          <w:color w:val="auto"/>
          <w:sz w:val="22"/>
          <w:szCs w:val="22"/>
          <w:highlight w:val="none"/>
        </w:rPr>
      </w:pPr>
      <w:r>
        <w:rPr>
          <w:rFonts w:hint="eastAsia"/>
          <w:color w:val="auto"/>
          <w:sz w:val="22"/>
          <w:szCs w:val="22"/>
          <w:highlight w:val="none"/>
        </w:rPr>
        <w:t>竞争性谈判的主要产品提供企业按《关于政府采购支持监狱企业发展有关问题的通知》</w:t>
      </w:r>
      <w:r>
        <w:rPr>
          <w:color w:val="auto"/>
          <w:sz w:val="22"/>
          <w:szCs w:val="22"/>
          <w:highlight w:val="none"/>
        </w:rPr>
        <w:t>(</w:t>
      </w:r>
      <w:r>
        <w:rPr>
          <w:rFonts w:hint="eastAsia"/>
          <w:color w:val="auto"/>
          <w:sz w:val="22"/>
          <w:szCs w:val="22"/>
          <w:highlight w:val="none"/>
        </w:rPr>
        <w:t>财库</w:t>
      </w:r>
      <w:r>
        <w:rPr>
          <w:color w:val="auto"/>
          <w:sz w:val="22"/>
          <w:szCs w:val="22"/>
          <w:highlight w:val="none"/>
        </w:rPr>
        <w:t>[2014]68</w:t>
      </w:r>
      <w:r>
        <w:rPr>
          <w:rFonts w:hint="eastAsia"/>
          <w:color w:val="auto"/>
          <w:sz w:val="22"/>
          <w:szCs w:val="22"/>
          <w:highlight w:val="none"/>
        </w:rPr>
        <w:t>号</w:t>
      </w:r>
      <w:r>
        <w:rPr>
          <w:color w:val="auto"/>
          <w:sz w:val="22"/>
          <w:szCs w:val="22"/>
          <w:highlight w:val="none"/>
        </w:rPr>
        <w:t>)</w:t>
      </w:r>
      <w:r>
        <w:rPr>
          <w:rFonts w:hint="eastAsia"/>
          <w:color w:val="auto"/>
          <w:sz w:val="22"/>
          <w:szCs w:val="22"/>
          <w:highlight w:val="none"/>
        </w:rPr>
        <w:t>认定为监狱企业的，在政府采购活动中，监狱企业视同小型、微型企业。监狱企业参加政府采购活动时，应当提供由省级以上监狱管理局、戒毒管理局</w:t>
      </w:r>
      <w:r>
        <w:rPr>
          <w:color w:val="auto"/>
          <w:sz w:val="22"/>
          <w:szCs w:val="22"/>
          <w:highlight w:val="none"/>
        </w:rPr>
        <w:t>(</w:t>
      </w:r>
      <w:r>
        <w:rPr>
          <w:rFonts w:hint="eastAsia"/>
          <w:color w:val="auto"/>
          <w:sz w:val="22"/>
          <w:szCs w:val="22"/>
          <w:highlight w:val="none"/>
        </w:rPr>
        <w:t>含新疆生产建设兵团</w:t>
      </w:r>
      <w:r>
        <w:rPr>
          <w:color w:val="auto"/>
          <w:sz w:val="22"/>
          <w:szCs w:val="22"/>
          <w:highlight w:val="none"/>
        </w:rPr>
        <w:t>)</w:t>
      </w:r>
      <w:r>
        <w:rPr>
          <w:rFonts w:hint="eastAsia"/>
          <w:color w:val="auto"/>
          <w:sz w:val="22"/>
          <w:szCs w:val="22"/>
          <w:highlight w:val="none"/>
        </w:rPr>
        <w:t>出具的属于监狱企业的证明文件。</w:t>
      </w:r>
    </w:p>
    <w:p w14:paraId="278B0C09">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left"/>
        <w:textAlignment w:val="auto"/>
        <w:rPr>
          <w:rFonts w:hint="eastAsia" w:ascii="宋体" w:hAnsi="宋体"/>
          <w:color w:val="auto"/>
          <w:sz w:val="22"/>
          <w:szCs w:val="22"/>
          <w:highlight w:val="none"/>
        </w:rPr>
      </w:pPr>
      <w:r>
        <w:rPr>
          <w:rFonts w:ascii="宋体" w:hAnsi="宋体"/>
          <w:color w:val="auto"/>
          <w:sz w:val="22"/>
          <w:szCs w:val="22"/>
          <w:highlight w:val="none"/>
        </w:rPr>
        <w:t>在政府采购活动中，残疾人福利性单位视同小型、微型企业，享受预留份额、评审中价格扣除等促进中小企业发展的政府采购政策。残疾人福利性单位属于小型、微型企业的，不重复享受政策。</w:t>
      </w:r>
    </w:p>
    <w:p w14:paraId="2EFCBCC4">
      <w:pPr>
        <w:pStyle w:val="10"/>
        <w:keepNext w:val="0"/>
        <w:keepLines w:val="0"/>
        <w:pageBreakBefore w:val="0"/>
        <w:widowControl w:val="0"/>
        <w:numPr>
          <w:ilvl w:val="0"/>
          <w:numId w:val="3"/>
        </w:numPr>
        <w:kinsoku/>
        <w:wordWrap/>
        <w:overflowPunct/>
        <w:topLinePunct w:val="0"/>
        <w:autoSpaceDE/>
        <w:autoSpaceDN/>
        <w:bidi w:val="0"/>
        <w:spacing w:line="360" w:lineRule="exact"/>
        <w:ind w:firstLine="440" w:firstLineChars="200"/>
        <w:textAlignment w:val="auto"/>
        <w:rPr>
          <w:rFonts w:hint="eastAsia"/>
          <w:color w:val="auto"/>
          <w:kern w:val="0"/>
          <w:sz w:val="22"/>
          <w:szCs w:val="22"/>
          <w:highlight w:val="none"/>
        </w:rPr>
      </w:pPr>
      <w:r>
        <w:rPr>
          <w:rFonts w:hint="eastAsia"/>
          <w:color w:val="auto"/>
          <w:kern w:val="0"/>
          <w:sz w:val="22"/>
          <w:szCs w:val="22"/>
          <w:highlight w:val="none"/>
        </w:rPr>
        <w:t>谈判小组将以谈判文件、谈判响应文件为评审依据，在谈判响应文件满足谈判文件全部实质性要求且评标价最低的供应商为中标候选人。</w:t>
      </w:r>
    </w:p>
    <w:p w14:paraId="61DB8C24">
      <w:pPr>
        <w:pStyle w:val="6"/>
        <w:numPr>
          <w:ilvl w:val="0"/>
          <w:numId w:val="0"/>
        </w:numPr>
        <w:ind w:leftChars="0"/>
        <w:rPr>
          <w:rFonts w:hint="default" w:eastAsia="黑体"/>
          <w:highlight w:val="none"/>
          <w:lang w:val="en-US" w:eastAsia="zh-CN"/>
        </w:rPr>
      </w:pPr>
      <w:r>
        <w:rPr>
          <w:rFonts w:hint="eastAsia"/>
          <w:lang w:val="en-US" w:eastAsia="zh-CN"/>
        </w:rPr>
        <w:t xml:space="preserve">  </w:t>
      </w:r>
      <w:r>
        <w:rPr>
          <w:rFonts w:hint="eastAsia"/>
          <w:highlight w:val="none"/>
          <w:lang w:val="en-US" w:eastAsia="zh-CN"/>
        </w:rPr>
        <w:t xml:space="preserve"> 注：专门面向中小企业项目不再执行此优惠政策。</w:t>
      </w:r>
    </w:p>
    <w:p w14:paraId="20A5C7A1">
      <w:pPr>
        <w:pStyle w:val="10"/>
        <w:keepNext w:val="0"/>
        <w:keepLines w:val="0"/>
        <w:pageBreakBefore w:val="0"/>
        <w:widowControl w:val="0"/>
        <w:numPr>
          <w:ilvl w:val="0"/>
          <w:numId w:val="0"/>
        </w:numPr>
        <w:kinsoku/>
        <w:wordWrap/>
        <w:overflowPunct/>
        <w:topLinePunct w:val="0"/>
        <w:autoSpaceDE/>
        <w:autoSpaceDN/>
        <w:bidi w:val="0"/>
        <w:spacing w:line="360" w:lineRule="exact"/>
        <w:ind w:firstLine="440" w:firstLineChars="200"/>
        <w:textAlignment w:val="auto"/>
        <w:rPr>
          <w:rFonts w:hint="eastAsia"/>
          <w:color w:val="auto"/>
          <w:kern w:val="0"/>
          <w:sz w:val="22"/>
          <w:szCs w:val="22"/>
          <w:highlight w:val="none"/>
          <w:lang w:val="en-US" w:eastAsia="zh-CN"/>
        </w:rPr>
      </w:pPr>
      <w:r>
        <w:rPr>
          <w:rFonts w:hint="eastAsia"/>
          <w:color w:val="auto"/>
          <w:kern w:val="0"/>
          <w:sz w:val="22"/>
          <w:szCs w:val="22"/>
          <w:highlight w:val="none"/>
          <w:lang w:val="en-US" w:eastAsia="zh-CN"/>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BBC0E06">
      <w:pPr>
        <w:pStyle w:val="10"/>
        <w:keepNext w:val="0"/>
        <w:keepLines w:val="0"/>
        <w:pageBreakBefore w:val="0"/>
        <w:widowControl w:val="0"/>
        <w:numPr>
          <w:ilvl w:val="0"/>
          <w:numId w:val="0"/>
        </w:numPr>
        <w:kinsoku/>
        <w:wordWrap/>
        <w:overflowPunct/>
        <w:topLinePunct w:val="0"/>
        <w:autoSpaceDE/>
        <w:autoSpaceDN/>
        <w:bidi w:val="0"/>
        <w:spacing w:line="360" w:lineRule="exact"/>
        <w:ind w:firstLine="440" w:firstLineChars="200"/>
        <w:textAlignment w:val="auto"/>
        <w:rPr>
          <w:rFonts w:hint="eastAsia"/>
          <w:color w:val="auto"/>
          <w:kern w:val="0"/>
          <w:sz w:val="22"/>
          <w:szCs w:val="22"/>
          <w:highlight w:val="none"/>
          <w:lang w:val="en-US" w:eastAsia="zh-CN"/>
        </w:rPr>
      </w:pPr>
      <w:r>
        <w:rPr>
          <w:rFonts w:hint="eastAsia"/>
          <w:color w:val="auto"/>
          <w:kern w:val="0"/>
          <w:sz w:val="22"/>
          <w:szCs w:val="22"/>
          <w:highlight w:val="none"/>
          <w:lang w:val="en-US" w:eastAsia="zh-CN"/>
        </w:rPr>
        <w:t>根据《北海市财政局关于开展推动解决政府采购异常低价问题试点工作的通知》北财采〔2025〕25 号要求，政府采购评审中出现下列情形之一的，评审委员会应当启动异常低价投标（响应）审查程序:</w:t>
      </w:r>
    </w:p>
    <w:p w14:paraId="327931E8">
      <w:pPr>
        <w:pStyle w:val="10"/>
        <w:keepNext w:val="0"/>
        <w:keepLines w:val="0"/>
        <w:pageBreakBefore w:val="0"/>
        <w:widowControl w:val="0"/>
        <w:numPr>
          <w:ilvl w:val="0"/>
          <w:numId w:val="0"/>
        </w:numPr>
        <w:kinsoku/>
        <w:wordWrap/>
        <w:overflowPunct/>
        <w:topLinePunct w:val="0"/>
        <w:autoSpaceDE/>
        <w:autoSpaceDN/>
        <w:bidi w:val="0"/>
        <w:spacing w:line="360" w:lineRule="exact"/>
        <w:ind w:firstLine="440" w:firstLineChars="200"/>
        <w:textAlignment w:val="auto"/>
        <w:rPr>
          <w:rFonts w:hint="eastAsia"/>
          <w:color w:val="auto"/>
          <w:kern w:val="0"/>
          <w:sz w:val="22"/>
          <w:szCs w:val="22"/>
          <w:highlight w:val="none"/>
          <w:lang w:val="en-US" w:eastAsia="zh-CN"/>
        </w:rPr>
      </w:pPr>
      <w:r>
        <w:rPr>
          <w:rFonts w:hint="eastAsia"/>
          <w:color w:val="auto"/>
          <w:kern w:val="0"/>
          <w:sz w:val="22"/>
          <w:szCs w:val="22"/>
          <w:highlight w:val="none"/>
          <w:lang w:val="en-US" w:eastAsia="zh-CN"/>
        </w:rPr>
        <w:t>（1）投标（响应）报价低于全部通过符合性审查供应商投标（响应）报价平均值 50%的，即投标（响应）报价&lt;全部通过符合性审查供应商投标（响应）报价平均值×50%；</w:t>
      </w:r>
    </w:p>
    <w:p w14:paraId="3637CFE4">
      <w:pPr>
        <w:pStyle w:val="10"/>
        <w:keepNext w:val="0"/>
        <w:keepLines w:val="0"/>
        <w:pageBreakBefore w:val="0"/>
        <w:widowControl w:val="0"/>
        <w:numPr>
          <w:ilvl w:val="0"/>
          <w:numId w:val="0"/>
        </w:numPr>
        <w:kinsoku/>
        <w:wordWrap/>
        <w:overflowPunct/>
        <w:topLinePunct w:val="0"/>
        <w:autoSpaceDE/>
        <w:autoSpaceDN/>
        <w:bidi w:val="0"/>
        <w:spacing w:line="360" w:lineRule="exact"/>
        <w:ind w:firstLine="440" w:firstLineChars="200"/>
        <w:textAlignment w:val="auto"/>
        <w:rPr>
          <w:rFonts w:hint="eastAsia"/>
          <w:color w:val="auto"/>
          <w:kern w:val="0"/>
          <w:sz w:val="22"/>
          <w:szCs w:val="22"/>
          <w:highlight w:val="none"/>
          <w:lang w:val="en-US" w:eastAsia="zh-CN"/>
        </w:rPr>
      </w:pPr>
      <w:r>
        <w:rPr>
          <w:rFonts w:hint="eastAsia"/>
          <w:color w:val="auto"/>
          <w:kern w:val="0"/>
          <w:sz w:val="22"/>
          <w:szCs w:val="22"/>
          <w:highlight w:val="none"/>
          <w:lang w:val="en-US" w:eastAsia="zh-CN"/>
        </w:rPr>
        <w:t>（2）投标（响应）报价低于通过符合性审查且报价次低供应商投标（响应）报价 50%的，即投标（响应）报价&lt;通过符合性审查且报价次低供应商投标（响应）报价×50%；</w:t>
      </w:r>
    </w:p>
    <w:p w14:paraId="6D9C99BF">
      <w:pPr>
        <w:pStyle w:val="10"/>
        <w:keepNext w:val="0"/>
        <w:keepLines w:val="0"/>
        <w:pageBreakBefore w:val="0"/>
        <w:widowControl w:val="0"/>
        <w:numPr>
          <w:ilvl w:val="0"/>
          <w:numId w:val="0"/>
        </w:numPr>
        <w:kinsoku/>
        <w:wordWrap/>
        <w:overflowPunct/>
        <w:topLinePunct w:val="0"/>
        <w:autoSpaceDE/>
        <w:autoSpaceDN/>
        <w:bidi w:val="0"/>
        <w:spacing w:line="360" w:lineRule="exact"/>
        <w:ind w:firstLine="440" w:firstLineChars="200"/>
        <w:textAlignment w:val="auto"/>
        <w:rPr>
          <w:rFonts w:hint="eastAsia"/>
          <w:color w:val="auto"/>
          <w:kern w:val="0"/>
          <w:sz w:val="22"/>
          <w:szCs w:val="22"/>
          <w:highlight w:val="none"/>
          <w:lang w:val="en-US" w:eastAsia="zh-CN"/>
        </w:rPr>
      </w:pPr>
      <w:r>
        <w:rPr>
          <w:rFonts w:hint="eastAsia"/>
          <w:color w:val="auto"/>
          <w:kern w:val="0"/>
          <w:sz w:val="22"/>
          <w:szCs w:val="22"/>
          <w:highlight w:val="none"/>
          <w:lang w:val="en-US" w:eastAsia="zh-CN"/>
        </w:rPr>
        <w:t xml:space="preserve">（3）投标（响应）报价低于采购项目最高限价 45%的，即投标（响应）报价&lt;采购项目最高限价×45%； </w:t>
      </w:r>
    </w:p>
    <w:p w14:paraId="5E60E49C">
      <w:pPr>
        <w:pStyle w:val="10"/>
        <w:keepNext w:val="0"/>
        <w:keepLines w:val="0"/>
        <w:pageBreakBefore w:val="0"/>
        <w:widowControl w:val="0"/>
        <w:numPr>
          <w:ilvl w:val="0"/>
          <w:numId w:val="0"/>
        </w:numPr>
        <w:kinsoku/>
        <w:wordWrap/>
        <w:overflowPunct/>
        <w:topLinePunct w:val="0"/>
        <w:autoSpaceDE/>
        <w:autoSpaceDN/>
        <w:bidi w:val="0"/>
        <w:spacing w:line="360" w:lineRule="exact"/>
        <w:ind w:firstLine="440" w:firstLineChars="200"/>
        <w:textAlignment w:val="auto"/>
        <w:rPr>
          <w:rFonts w:hint="default"/>
          <w:color w:val="auto"/>
          <w:kern w:val="0"/>
          <w:sz w:val="22"/>
          <w:szCs w:val="22"/>
          <w:highlight w:val="none"/>
          <w:lang w:val="en-US" w:eastAsia="zh-CN"/>
        </w:rPr>
      </w:pPr>
      <w:r>
        <w:rPr>
          <w:rFonts w:hint="eastAsia"/>
          <w:color w:val="auto"/>
          <w:kern w:val="0"/>
          <w:sz w:val="22"/>
          <w:szCs w:val="22"/>
          <w:highlight w:val="none"/>
          <w:lang w:val="en-US" w:eastAsia="zh-CN"/>
        </w:rPr>
        <w:t>（4）其他评审委员会认为供应商报价过低，有可能影响产品质量或者不能诚信履约的情形。</w:t>
      </w:r>
    </w:p>
    <w:p w14:paraId="08A11333">
      <w:pPr>
        <w:pStyle w:val="10"/>
        <w:keepNext w:val="0"/>
        <w:keepLines w:val="0"/>
        <w:pageBreakBefore w:val="0"/>
        <w:widowControl w:val="0"/>
        <w:kinsoku/>
        <w:wordWrap/>
        <w:overflowPunct/>
        <w:topLinePunct w:val="0"/>
        <w:autoSpaceDE/>
        <w:autoSpaceDN/>
        <w:bidi w:val="0"/>
        <w:spacing w:line="360" w:lineRule="exact"/>
        <w:ind w:firstLine="433" w:firstLineChars="196"/>
        <w:textAlignment w:val="auto"/>
        <w:rPr>
          <w:rFonts w:hint="eastAsia" w:ascii="黑体" w:eastAsia="黑体"/>
          <w:b/>
          <w:color w:val="auto"/>
          <w:sz w:val="22"/>
          <w:szCs w:val="22"/>
          <w:highlight w:val="none"/>
        </w:rPr>
      </w:pPr>
      <w:r>
        <w:rPr>
          <w:rFonts w:hint="eastAsia" w:ascii="黑体" w:eastAsia="黑体"/>
          <w:b/>
          <w:color w:val="auto"/>
          <w:sz w:val="22"/>
          <w:szCs w:val="22"/>
          <w:highlight w:val="none"/>
        </w:rPr>
        <w:t>三、成交候选人推荐原则</w:t>
      </w:r>
    </w:p>
    <w:p w14:paraId="4E71B7B6">
      <w:pPr>
        <w:pStyle w:val="10"/>
        <w:keepNext w:val="0"/>
        <w:keepLines w:val="0"/>
        <w:pageBreakBefore w:val="0"/>
        <w:widowControl w:val="0"/>
        <w:kinsoku/>
        <w:wordWrap/>
        <w:overflowPunct/>
        <w:topLinePunct w:val="0"/>
        <w:autoSpaceDE/>
        <w:autoSpaceDN/>
        <w:bidi w:val="0"/>
        <w:spacing w:line="360" w:lineRule="exact"/>
        <w:ind w:firstLine="484" w:firstLineChars="220"/>
        <w:textAlignment w:val="auto"/>
        <w:rPr>
          <w:rFonts w:ascii="Times New Roman" w:hAnsi="Times New Roman" w:cs="Times New Roman"/>
          <w:color w:val="auto"/>
          <w:sz w:val="22"/>
          <w:szCs w:val="22"/>
          <w:highlight w:val="none"/>
        </w:rPr>
      </w:pPr>
      <w:r>
        <w:rPr>
          <w:rFonts w:hint="eastAsia" w:hAnsi="宋体" w:cs="宋体"/>
          <w:color w:val="auto"/>
          <w:kern w:val="0"/>
          <w:sz w:val="22"/>
          <w:szCs w:val="22"/>
          <w:highlight w:val="none"/>
        </w:rPr>
        <w:t>1.</w:t>
      </w:r>
      <w:r>
        <w:rPr>
          <w:rFonts w:hint="eastAsia" w:ascii="Times New Roman" w:hAnsi="Times New Roman" w:cs="Times New Roman"/>
          <w:color w:val="auto"/>
          <w:sz w:val="22"/>
          <w:szCs w:val="22"/>
          <w:highlight w:val="none"/>
        </w:rPr>
        <w:t>竞争性谈判响应文件</w:t>
      </w:r>
      <w:r>
        <w:rPr>
          <w:rFonts w:hint="eastAsia"/>
          <w:color w:val="auto"/>
          <w:sz w:val="22"/>
          <w:szCs w:val="22"/>
          <w:highlight w:val="none"/>
        </w:rPr>
        <w:t>在</w:t>
      </w:r>
      <w:r>
        <w:rPr>
          <w:rFonts w:hint="eastAsia" w:hAnsi="宋体" w:cs="宋体"/>
          <w:color w:val="auto"/>
          <w:kern w:val="0"/>
          <w:sz w:val="22"/>
          <w:szCs w:val="22"/>
          <w:highlight w:val="none"/>
        </w:rPr>
        <w:t>质量和服务均</w:t>
      </w:r>
      <w:r>
        <w:rPr>
          <w:rFonts w:hint="eastAsia" w:ascii="Times New Roman" w:hAnsi="Times New Roman" w:cs="Times New Roman"/>
          <w:color w:val="auto"/>
          <w:sz w:val="22"/>
          <w:szCs w:val="22"/>
          <w:highlight w:val="none"/>
        </w:rPr>
        <w:t>能满足竞争性谈判文件实质性响应要求时，谈判小组将按最后报价由低到高顺序推荐3名以上成交候选人（最后报价相同时，由谈判小组根据响应文件中技术、服务、合同条款情况集体讨论确定排序，并按确定排序由低到高的原则推荐成交候选人）。</w:t>
      </w:r>
    </w:p>
    <w:p w14:paraId="6627E59F">
      <w:pPr>
        <w:pStyle w:val="10"/>
        <w:keepNext w:val="0"/>
        <w:keepLines w:val="0"/>
        <w:pageBreakBefore w:val="0"/>
        <w:widowControl w:val="0"/>
        <w:kinsoku/>
        <w:wordWrap/>
        <w:overflowPunct/>
        <w:topLinePunct w:val="0"/>
        <w:autoSpaceDE/>
        <w:autoSpaceDN/>
        <w:bidi w:val="0"/>
        <w:spacing w:line="360" w:lineRule="exact"/>
        <w:ind w:firstLine="484" w:firstLineChars="220"/>
        <w:textAlignment w:val="auto"/>
        <w:rPr>
          <w:rFonts w:hint="eastAsia"/>
          <w:color w:val="auto"/>
          <w:sz w:val="22"/>
          <w:szCs w:val="22"/>
          <w:highlight w:val="none"/>
        </w:rPr>
      </w:pPr>
      <w:r>
        <w:rPr>
          <w:rFonts w:hint="eastAsia" w:hAnsi="宋体" w:cs="宋体"/>
          <w:color w:val="auto"/>
          <w:kern w:val="0"/>
          <w:sz w:val="22"/>
          <w:szCs w:val="22"/>
          <w:highlight w:val="none"/>
        </w:rPr>
        <w:t>2.谈</w:t>
      </w:r>
      <w:r>
        <w:rPr>
          <w:rFonts w:hint="eastAsia" w:ascii="Times New Roman" w:hAnsi="Times New Roman" w:cs="Times New Roman"/>
          <w:color w:val="auto"/>
          <w:sz w:val="22"/>
          <w:szCs w:val="22"/>
          <w:highlight w:val="none"/>
        </w:rPr>
        <w:t>判小组认为，某谈判供应商的有效报价或者某些分项报价明显不合理或者低于成本，有可能</w:t>
      </w:r>
      <w:r>
        <w:rPr>
          <w:rFonts w:hint="eastAsia"/>
          <w:color w:val="auto"/>
          <w:sz w:val="22"/>
          <w:szCs w:val="22"/>
          <w:highlight w:val="none"/>
        </w:rPr>
        <w:t>影响商品质量和不能诚信履约的，应要求其在规定的期限内提供书面文件予以解释说明，并提交相关证明材料，否则，谈判小组可以取消该谈判供应商的成交候选人资格，按顺序由排在后面的成交</w:t>
      </w:r>
      <w:r>
        <w:rPr>
          <w:rFonts w:hint="eastAsia" w:ascii="Times New Roman" w:hAnsi="Times New Roman" w:cs="Times New Roman"/>
          <w:bCs/>
          <w:color w:val="auto"/>
          <w:sz w:val="22"/>
          <w:szCs w:val="22"/>
          <w:highlight w:val="none"/>
        </w:rPr>
        <w:t>候选人递补，以此类推</w:t>
      </w:r>
      <w:r>
        <w:rPr>
          <w:rFonts w:hint="eastAsia"/>
          <w:color w:val="auto"/>
          <w:sz w:val="22"/>
          <w:szCs w:val="22"/>
          <w:highlight w:val="none"/>
        </w:rPr>
        <w:t>。</w:t>
      </w:r>
    </w:p>
    <w:p w14:paraId="07451DFA">
      <w:pPr>
        <w:pStyle w:val="10"/>
        <w:keepNext w:val="0"/>
        <w:keepLines w:val="0"/>
        <w:pageBreakBefore w:val="0"/>
        <w:widowControl w:val="0"/>
        <w:kinsoku/>
        <w:wordWrap/>
        <w:overflowPunct/>
        <w:topLinePunct w:val="0"/>
        <w:autoSpaceDE/>
        <w:autoSpaceDN/>
        <w:bidi w:val="0"/>
        <w:spacing w:line="360" w:lineRule="exact"/>
        <w:ind w:firstLine="484" w:firstLineChars="220"/>
        <w:textAlignment w:val="auto"/>
        <w:rPr>
          <w:rFonts w:hint="eastAsia"/>
          <w:color w:val="auto"/>
          <w:szCs w:val="21"/>
          <w:highlight w:val="none"/>
        </w:rPr>
      </w:pPr>
      <w:r>
        <w:rPr>
          <w:rFonts w:hint="eastAsia"/>
          <w:color w:val="auto"/>
          <w:sz w:val="22"/>
          <w:szCs w:val="22"/>
          <w:highlight w:val="none"/>
        </w:rPr>
        <w:t>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w:t>
      </w:r>
      <w:r>
        <w:rPr>
          <w:rFonts w:hint="eastAsia"/>
          <w:color w:val="auto"/>
          <w:szCs w:val="21"/>
          <w:highlight w:val="none"/>
        </w:rPr>
        <w:t>采购人也可以决定重新采购。</w:t>
      </w:r>
    </w:p>
    <w:p w14:paraId="694B70F8">
      <w:pPr>
        <w:pStyle w:val="2"/>
        <w:keepNext w:val="0"/>
        <w:keepLines w:val="0"/>
        <w:pageBreakBefore w:val="0"/>
        <w:widowControl w:val="0"/>
        <w:numPr>
          <w:ilvl w:val="0"/>
          <w:numId w:val="0"/>
        </w:numPr>
        <w:kinsoku/>
        <w:wordWrap/>
        <w:overflowPunct/>
        <w:topLinePunct w:val="0"/>
        <w:autoSpaceDE/>
        <w:autoSpaceDN/>
        <w:bidi w:val="0"/>
        <w:spacing w:line="360" w:lineRule="exact"/>
        <w:jc w:val="both"/>
        <w:textAlignment w:val="auto"/>
        <w:rPr>
          <w:rFonts w:hint="default" w:ascii="宋体" w:hAnsi="宋体" w:cs="宋体"/>
          <w:b/>
          <w:color w:val="auto"/>
          <w:sz w:val="22"/>
          <w:szCs w:val="22"/>
          <w:highlight w:val="none"/>
          <w:lang w:val="en-US" w:eastAsia="zh-CN"/>
        </w:rPr>
      </w:pPr>
    </w:p>
    <w:sectPr>
      <w:footerReference r:id="rId6" w:type="default"/>
      <w:pgSz w:w="11906" w:h="16838"/>
      <w:pgMar w:top="1247" w:right="1247" w:bottom="1247" w:left="124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07003">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28492">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6128492">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BE3BB">
    <w:pPr>
      <w:pStyle w:val="12"/>
      <w:tabs>
        <w:tab w:val="center" w:pos="4439"/>
        <w:tab w:val="clear" w:pos="4153"/>
      </w:tabs>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D1B342">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FD1B342">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FC3E4">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3837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5C3837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B7775">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18B53F">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18B53F">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B3C9ED"/>
    <w:multiLevelType w:val="singleLevel"/>
    <w:tmpl w:val="25B3C9ED"/>
    <w:lvl w:ilvl="0" w:tentative="0">
      <w:start w:val="8"/>
      <w:numFmt w:val="decimal"/>
      <w:suff w:val="nothing"/>
      <w:lvlText w:val="%1、"/>
      <w:lvlJc w:val="left"/>
    </w:lvl>
  </w:abstractNum>
  <w:abstractNum w:abstractNumId="1">
    <w:nsid w:val="45AC9B7E"/>
    <w:multiLevelType w:val="singleLevel"/>
    <w:tmpl w:val="45AC9B7E"/>
    <w:lvl w:ilvl="0" w:tentative="0">
      <w:start w:val="1"/>
      <w:numFmt w:val="decimal"/>
      <w:suff w:val="nothing"/>
      <w:lvlText w:val="（%1）"/>
      <w:lvlJc w:val="left"/>
    </w:lvl>
  </w:abstractNum>
  <w:abstractNum w:abstractNumId="2">
    <w:nsid w:val="6DFD7BE6"/>
    <w:multiLevelType w:val="singleLevel"/>
    <w:tmpl w:val="6DFD7BE6"/>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3NzJiNzFiOWY2ZTZhYjIyZTI0ODJlMmUyMGZjNGEifQ=="/>
  </w:docVars>
  <w:rsids>
    <w:rsidRoot w:val="058C2B5E"/>
    <w:rsid w:val="00645955"/>
    <w:rsid w:val="008058AF"/>
    <w:rsid w:val="00CA124E"/>
    <w:rsid w:val="00F46786"/>
    <w:rsid w:val="01255120"/>
    <w:rsid w:val="01D9177E"/>
    <w:rsid w:val="01E90844"/>
    <w:rsid w:val="024A7E7C"/>
    <w:rsid w:val="02777DF1"/>
    <w:rsid w:val="02CC1092"/>
    <w:rsid w:val="036D52AE"/>
    <w:rsid w:val="03721677"/>
    <w:rsid w:val="03A1165E"/>
    <w:rsid w:val="041219A0"/>
    <w:rsid w:val="042A6F66"/>
    <w:rsid w:val="04D06438"/>
    <w:rsid w:val="04E02D43"/>
    <w:rsid w:val="0547504D"/>
    <w:rsid w:val="058C2B5E"/>
    <w:rsid w:val="05EF3AED"/>
    <w:rsid w:val="073C7E17"/>
    <w:rsid w:val="0859642A"/>
    <w:rsid w:val="090F0276"/>
    <w:rsid w:val="095E7151"/>
    <w:rsid w:val="0991174A"/>
    <w:rsid w:val="0A040A14"/>
    <w:rsid w:val="0AC45A73"/>
    <w:rsid w:val="0AEF6146"/>
    <w:rsid w:val="0AF53711"/>
    <w:rsid w:val="0B242988"/>
    <w:rsid w:val="0B7A789D"/>
    <w:rsid w:val="0B8E283C"/>
    <w:rsid w:val="0C3663C0"/>
    <w:rsid w:val="0CD33D9A"/>
    <w:rsid w:val="0D23200E"/>
    <w:rsid w:val="0DA51B0C"/>
    <w:rsid w:val="0E096610"/>
    <w:rsid w:val="0E261ECB"/>
    <w:rsid w:val="0EF672A2"/>
    <w:rsid w:val="0F0A5E84"/>
    <w:rsid w:val="0F190883"/>
    <w:rsid w:val="0F411472"/>
    <w:rsid w:val="0FDC6095"/>
    <w:rsid w:val="103D6EA1"/>
    <w:rsid w:val="10AE52F1"/>
    <w:rsid w:val="10F76636"/>
    <w:rsid w:val="12490861"/>
    <w:rsid w:val="124B4A43"/>
    <w:rsid w:val="124C420B"/>
    <w:rsid w:val="12CB331A"/>
    <w:rsid w:val="12FE7EC7"/>
    <w:rsid w:val="13C27F9A"/>
    <w:rsid w:val="14302665"/>
    <w:rsid w:val="14467430"/>
    <w:rsid w:val="14B51F18"/>
    <w:rsid w:val="15230237"/>
    <w:rsid w:val="15554578"/>
    <w:rsid w:val="15571102"/>
    <w:rsid w:val="167D79B6"/>
    <w:rsid w:val="16C41DC0"/>
    <w:rsid w:val="171C72AE"/>
    <w:rsid w:val="17A20A2C"/>
    <w:rsid w:val="17D647E0"/>
    <w:rsid w:val="17F4382E"/>
    <w:rsid w:val="184042EC"/>
    <w:rsid w:val="18413610"/>
    <w:rsid w:val="18957A04"/>
    <w:rsid w:val="191C16B2"/>
    <w:rsid w:val="198E7FD5"/>
    <w:rsid w:val="1D162ACA"/>
    <w:rsid w:val="1E1F3055"/>
    <w:rsid w:val="1E8E71DF"/>
    <w:rsid w:val="1EC7760B"/>
    <w:rsid w:val="1F1610DD"/>
    <w:rsid w:val="1FB25B28"/>
    <w:rsid w:val="1FD553E3"/>
    <w:rsid w:val="20826E45"/>
    <w:rsid w:val="218D64E8"/>
    <w:rsid w:val="21CA5C17"/>
    <w:rsid w:val="22A532DD"/>
    <w:rsid w:val="22CC3B83"/>
    <w:rsid w:val="23773E4B"/>
    <w:rsid w:val="23CD36CA"/>
    <w:rsid w:val="24002B60"/>
    <w:rsid w:val="241106E4"/>
    <w:rsid w:val="242E5895"/>
    <w:rsid w:val="243458B7"/>
    <w:rsid w:val="245440C6"/>
    <w:rsid w:val="24564D5C"/>
    <w:rsid w:val="248112F9"/>
    <w:rsid w:val="267B7AC6"/>
    <w:rsid w:val="26926BCE"/>
    <w:rsid w:val="27503BFF"/>
    <w:rsid w:val="27932534"/>
    <w:rsid w:val="280E4EE9"/>
    <w:rsid w:val="283B6AA9"/>
    <w:rsid w:val="284D4281"/>
    <w:rsid w:val="29444BAF"/>
    <w:rsid w:val="299F78B6"/>
    <w:rsid w:val="29CA29F3"/>
    <w:rsid w:val="29E17FEA"/>
    <w:rsid w:val="2A2C0343"/>
    <w:rsid w:val="2A970265"/>
    <w:rsid w:val="2ACB6603"/>
    <w:rsid w:val="2B0502BB"/>
    <w:rsid w:val="2B285328"/>
    <w:rsid w:val="2BDD375E"/>
    <w:rsid w:val="2C0A36B8"/>
    <w:rsid w:val="2C7C75F4"/>
    <w:rsid w:val="2C85521E"/>
    <w:rsid w:val="2CDB1BE0"/>
    <w:rsid w:val="2CE87AF9"/>
    <w:rsid w:val="2D7C5B5D"/>
    <w:rsid w:val="2E7D0FFB"/>
    <w:rsid w:val="2E92776E"/>
    <w:rsid w:val="2F336255"/>
    <w:rsid w:val="2F6D2828"/>
    <w:rsid w:val="3030043F"/>
    <w:rsid w:val="304B5141"/>
    <w:rsid w:val="30C74640"/>
    <w:rsid w:val="30CF1948"/>
    <w:rsid w:val="31845EF8"/>
    <w:rsid w:val="31A60A8C"/>
    <w:rsid w:val="31CC22C4"/>
    <w:rsid w:val="322F35CA"/>
    <w:rsid w:val="328A12BC"/>
    <w:rsid w:val="33254BDE"/>
    <w:rsid w:val="337F5561"/>
    <w:rsid w:val="33883010"/>
    <w:rsid w:val="34075F4E"/>
    <w:rsid w:val="346516FC"/>
    <w:rsid w:val="346F2C6A"/>
    <w:rsid w:val="34B824AB"/>
    <w:rsid w:val="3522482F"/>
    <w:rsid w:val="3550228E"/>
    <w:rsid w:val="355135A9"/>
    <w:rsid w:val="35D85B0F"/>
    <w:rsid w:val="37606423"/>
    <w:rsid w:val="37825243"/>
    <w:rsid w:val="37C012A6"/>
    <w:rsid w:val="37F0752F"/>
    <w:rsid w:val="38282957"/>
    <w:rsid w:val="382D0783"/>
    <w:rsid w:val="38472697"/>
    <w:rsid w:val="38A12468"/>
    <w:rsid w:val="39D457DC"/>
    <w:rsid w:val="3A147FA3"/>
    <w:rsid w:val="3A384364"/>
    <w:rsid w:val="3A3868CD"/>
    <w:rsid w:val="3A4E33C4"/>
    <w:rsid w:val="3A5B4550"/>
    <w:rsid w:val="3A765069"/>
    <w:rsid w:val="3A7C0D59"/>
    <w:rsid w:val="3AAB74D8"/>
    <w:rsid w:val="3AC11808"/>
    <w:rsid w:val="3B2E6A3A"/>
    <w:rsid w:val="3B434E54"/>
    <w:rsid w:val="3C5613A0"/>
    <w:rsid w:val="3CDB6745"/>
    <w:rsid w:val="3CF71DC3"/>
    <w:rsid w:val="3D0306B3"/>
    <w:rsid w:val="3D541E18"/>
    <w:rsid w:val="3DB75946"/>
    <w:rsid w:val="3DC7417A"/>
    <w:rsid w:val="3DEE4EB5"/>
    <w:rsid w:val="3E116551"/>
    <w:rsid w:val="3E4905DE"/>
    <w:rsid w:val="3E663E64"/>
    <w:rsid w:val="3FA41149"/>
    <w:rsid w:val="3FEF5AE6"/>
    <w:rsid w:val="4044666A"/>
    <w:rsid w:val="405F16F6"/>
    <w:rsid w:val="4108118A"/>
    <w:rsid w:val="41264F3F"/>
    <w:rsid w:val="419D4D02"/>
    <w:rsid w:val="41F84114"/>
    <w:rsid w:val="42164315"/>
    <w:rsid w:val="42447421"/>
    <w:rsid w:val="4308172C"/>
    <w:rsid w:val="436E09D6"/>
    <w:rsid w:val="437850BB"/>
    <w:rsid w:val="43A82D66"/>
    <w:rsid w:val="43EF6D4A"/>
    <w:rsid w:val="440C5A83"/>
    <w:rsid w:val="4419589A"/>
    <w:rsid w:val="446300F9"/>
    <w:rsid w:val="44A51B54"/>
    <w:rsid w:val="44BD0864"/>
    <w:rsid w:val="456579AC"/>
    <w:rsid w:val="45C02957"/>
    <w:rsid w:val="46103F2E"/>
    <w:rsid w:val="466358AD"/>
    <w:rsid w:val="466E39D4"/>
    <w:rsid w:val="46A0755A"/>
    <w:rsid w:val="46A52568"/>
    <w:rsid w:val="4751609E"/>
    <w:rsid w:val="47824475"/>
    <w:rsid w:val="47D27314"/>
    <w:rsid w:val="48860895"/>
    <w:rsid w:val="4891777A"/>
    <w:rsid w:val="49022761"/>
    <w:rsid w:val="498D4C11"/>
    <w:rsid w:val="49D273BC"/>
    <w:rsid w:val="4A716A31"/>
    <w:rsid w:val="4ACF6CD7"/>
    <w:rsid w:val="4AD802B7"/>
    <w:rsid w:val="4B3F1B8B"/>
    <w:rsid w:val="4C3B2B6E"/>
    <w:rsid w:val="4C9500E8"/>
    <w:rsid w:val="4DD10343"/>
    <w:rsid w:val="4DF81BDA"/>
    <w:rsid w:val="4E4A7541"/>
    <w:rsid w:val="4E544DCE"/>
    <w:rsid w:val="4F22478E"/>
    <w:rsid w:val="508D5595"/>
    <w:rsid w:val="51265015"/>
    <w:rsid w:val="512D5BFB"/>
    <w:rsid w:val="51314441"/>
    <w:rsid w:val="51D0762A"/>
    <w:rsid w:val="51F66760"/>
    <w:rsid w:val="536E4B0D"/>
    <w:rsid w:val="537E0A57"/>
    <w:rsid w:val="53AA70AE"/>
    <w:rsid w:val="53F132A6"/>
    <w:rsid w:val="54B45FB7"/>
    <w:rsid w:val="55581913"/>
    <w:rsid w:val="5581018E"/>
    <w:rsid w:val="55BC6DD5"/>
    <w:rsid w:val="563044E6"/>
    <w:rsid w:val="565379FA"/>
    <w:rsid w:val="56C0547B"/>
    <w:rsid w:val="57C05123"/>
    <w:rsid w:val="58BD7B84"/>
    <w:rsid w:val="58DB76A2"/>
    <w:rsid w:val="5931110A"/>
    <w:rsid w:val="59692394"/>
    <w:rsid w:val="596A50D9"/>
    <w:rsid w:val="59B82600"/>
    <w:rsid w:val="5C534816"/>
    <w:rsid w:val="5E1A6A60"/>
    <w:rsid w:val="5E415CB8"/>
    <w:rsid w:val="5E8E1128"/>
    <w:rsid w:val="5F481247"/>
    <w:rsid w:val="5F565CA6"/>
    <w:rsid w:val="5F901529"/>
    <w:rsid w:val="5FBD22BB"/>
    <w:rsid w:val="5FDE116C"/>
    <w:rsid w:val="602F289F"/>
    <w:rsid w:val="60FA11AF"/>
    <w:rsid w:val="61276975"/>
    <w:rsid w:val="613F480D"/>
    <w:rsid w:val="614B4945"/>
    <w:rsid w:val="61555261"/>
    <w:rsid w:val="620C5400"/>
    <w:rsid w:val="62206ADF"/>
    <w:rsid w:val="624634F8"/>
    <w:rsid w:val="62624E2C"/>
    <w:rsid w:val="627E4714"/>
    <w:rsid w:val="62F34312"/>
    <w:rsid w:val="64802C8D"/>
    <w:rsid w:val="64F25C3F"/>
    <w:rsid w:val="64F97B1F"/>
    <w:rsid w:val="652F0715"/>
    <w:rsid w:val="65484D40"/>
    <w:rsid w:val="67474E81"/>
    <w:rsid w:val="678B6828"/>
    <w:rsid w:val="682F4180"/>
    <w:rsid w:val="6A7A6FA8"/>
    <w:rsid w:val="6AA116F1"/>
    <w:rsid w:val="6B15251A"/>
    <w:rsid w:val="6B2A62D8"/>
    <w:rsid w:val="6B6F6C95"/>
    <w:rsid w:val="6B9F6CC6"/>
    <w:rsid w:val="6C44108D"/>
    <w:rsid w:val="6CB75B9A"/>
    <w:rsid w:val="6CBE03DF"/>
    <w:rsid w:val="6CC677D3"/>
    <w:rsid w:val="6D0D5C3F"/>
    <w:rsid w:val="6DB74D3D"/>
    <w:rsid w:val="6EFE1F56"/>
    <w:rsid w:val="6F2B38CF"/>
    <w:rsid w:val="70763BE6"/>
    <w:rsid w:val="70BE7899"/>
    <w:rsid w:val="70D52779"/>
    <w:rsid w:val="71052004"/>
    <w:rsid w:val="71520337"/>
    <w:rsid w:val="71734EDB"/>
    <w:rsid w:val="719F2232"/>
    <w:rsid w:val="71C368DE"/>
    <w:rsid w:val="723074B9"/>
    <w:rsid w:val="728054C0"/>
    <w:rsid w:val="72A5678F"/>
    <w:rsid w:val="72FB5F96"/>
    <w:rsid w:val="74000401"/>
    <w:rsid w:val="741C4E92"/>
    <w:rsid w:val="749A0AE9"/>
    <w:rsid w:val="7508065D"/>
    <w:rsid w:val="751D08B6"/>
    <w:rsid w:val="755E7C28"/>
    <w:rsid w:val="76D54574"/>
    <w:rsid w:val="76DA0250"/>
    <w:rsid w:val="77196140"/>
    <w:rsid w:val="77635240"/>
    <w:rsid w:val="77D349A8"/>
    <w:rsid w:val="77D83ED1"/>
    <w:rsid w:val="78304A0D"/>
    <w:rsid w:val="78A5394A"/>
    <w:rsid w:val="79233FC4"/>
    <w:rsid w:val="797366E6"/>
    <w:rsid w:val="79C213A7"/>
    <w:rsid w:val="7A234AD9"/>
    <w:rsid w:val="7ACF1CFB"/>
    <w:rsid w:val="7BB76E7B"/>
    <w:rsid w:val="7C63789C"/>
    <w:rsid w:val="7D50287E"/>
    <w:rsid w:val="7D6C1975"/>
    <w:rsid w:val="7DAD7090"/>
    <w:rsid w:val="7DF927CB"/>
    <w:rsid w:val="7E080898"/>
    <w:rsid w:val="7EAE6D06"/>
    <w:rsid w:val="7F7D6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6"/>
    <w:qFormat/>
    <w:uiPriority w:val="0"/>
    <w:pPr>
      <w:keepNext/>
      <w:keepLines/>
      <w:spacing w:before="220" w:beforeLines="0" w:beforeAutospacing="0" w:after="210" w:afterLines="0" w:afterAutospacing="0" w:line="576" w:lineRule="auto"/>
      <w:jc w:val="center"/>
      <w:outlineLvl w:val="0"/>
    </w:pPr>
    <w:rPr>
      <w:rFonts w:eastAsia="宋体" w:asciiTheme="minorAscii" w:hAnsiTheme="minorAscii"/>
      <w:b/>
      <w:kern w:val="44"/>
      <w:sz w:val="44"/>
    </w:rPr>
  </w:style>
  <w:style w:type="paragraph" w:styleId="4">
    <w:name w:val="heading 2"/>
    <w:basedOn w:val="1"/>
    <w:next w:val="1"/>
    <w:link w:val="27"/>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28"/>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120" w:beforeLines="50" w:after="120" w:afterLines="50"/>
      <w:ind w:left="864" w:hanging="864"/>
      <w:jc w:val="left"/>
      <w:outlineLvl w:val="3"/>
    </w:pPr>
    <w:rPr>
      <w:rFonts w:ascii="黑体" w:hAnsi="黑体" w:eastAsia="黑体"/>
      <w:b/>
      <w:bCs/>
      <w:sz w:val="24"/>
    </w:rPr>
  </w:style>
  <w:style w:type="character" w:default="1" w:styleId="18">
    <w:name w:val="Default Paragraph Font"/>
    <w:link w:val="19"/>
    <w:semiHidden/>
    <w:qFormat/>
    <w:uiPriority w:val="0"/>
    <w:rPr>
      <w:rFonts w:ascii="Arial" w:hAnsi="Arial"/>
    </w:rPr>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7">
    <w:name w:val="toa heading"/>
    <w:basedOn w:val="1"/>
    <w:next w:val="1"/>
    <w:qFormat/>
    <w:uiPriority w:val="0"/>
    <w:rPr>
      <w:rFonts w:ascii="Arial" w:hAnsi="Arial"/>
      <w:sz w:val="24"/>
    </w:rPr>
  </w:style>
  <w:style w:type="paragraph" w:styleId="8">
    <w:name w:val="Body Text"/>
    <w:basedOn w:val="1"/>
    <w:next w:val="1"/>
    <w:qFormat/>
    <w:uiPriority w:val="0"/>
    <w:pPr>
      <w:spacing w:line="380" w:lineRule="exact"/>
    </w:pPr>
    <w:rPr>
      <w:sz w:val="24"/>
    </w:rPr>
  </w:style>
  <w:style w:type="paragraph" w:styleId="9">
    <w:name w:val="Body Text Indent"/>
    <w:basedOn w:val="1"/>
    <w:qFormat/>
    <w:uiPriority w:val="0"/>
    <w:pPr>
      <w:ind w:firstLine="830" w:firstLineChars="352"/>
    </w:pPr>
    <w:rPr>
      <w:rFonts w:ascii="仿宋_GB2312" w:eastAsia="仿宋_GB2312"/>
      <w:sz w:val="32"/>
      <w:szCs w:val="20"/>
    </w:rPr>
  </w:style>
  <w:style w:type="paragraph" w:styleId="10">
    <w:name w:val="Plain Text"/>
    <w:basedOn w:val="1"/>
    <w:next w:val="6"/>
    <w:qFormat/>
    <w:uiPriority w:val="0"/>
    <w:rPr>
      <w:rFonts w:ascii="宋体" w:hAnsi="Courier New" w:cs="Courier New"/>
      <w:szCs w:val="21"/>
    </w:rPr>
  </w:style>
  <w:style w:type="paragraph" w:styleId="11">
    <w:name w:val="Date"/>
    <w:basedOn w:val="1"/>
    <w:next w:val="1"/>
    <w:qFormat/>
    <w:uiPriority w:val="0"/>
    <w:rPr>
      <w:szCs w:val="20"/>
    </w:rPr>
  </w:style>
  <w:style w:type="paragraph" w:styleId="12">
    <w:name w:val="footer"/>
    <w:basedOn w:val="1"/>
    <w:next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Normal (Web)"/>
    <w:basedOn w:val="1"/>
    <w:qFormat/>
    <w:uiPriority w:val="0"/>
    <w:pPr>
      <w:widowControl/>
      <w:spacing w:before="100" w:beforeAutospacing="1" w:after="100" w:afterAutospacing="1"/>
      <w:jc w:val="left"/>
    </w:pPr>
    <w:rPr>
      <w:rFonts w:ascii="宋体" w:hAnsi="宋体"/>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_Style 5"/>
    <w:basedOn w:val="1"/>
    <w:link w:val="18"/>
    <w:qFormat/>
    <w:uiPriority w:val="0"/>
    <w:pPr>
      <w:spacing w:after="78" w:afterLines="25"/>
    </w:pPr>
    <w:rPr>
      <w:rFonts w:ascii="Arial" w:hAnsi="Arial"/>
    </w:rPr>
  </w:style>
  <w:style w:type="character" w:styleId="20">
    <w:name w:val="Strong"/>
    <w:basedOn w:val="18"/>
    <w:qFormat/>
    <w:uiPriority w:val="0"/>
    <w:rPr>
      <w:b/>
      <w:bCs/>
    </w:rPr>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paragraph" w:customStyle="1" w:styleId="2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4">
    <w:name w:val="正文段"/>
    <w:basedOn w:val="1"/>
    <w:qFormat/>
    <w:uiPriority w:val="0"/>
    <w:pPr>
      <w:widowControl/>
      <w:snapToGrid w:val="0"/>
      <w:spacing w:after="50" w:afterLines="50"/>
      <w:ind w:firstLine="200" w:firstLineChars="200"/>
    </w:pPr>
    <w:rPr>
      <w:kern w:val="0"/>
      <w:sz w:val="24"/>
      <w:szCs w:val="20"/>
    </w:rPr>
  </w:style>
  <w:style w:type="paragraph" w:customStyle="1" w:styleId="25">
    <w:name w:val="表格文字115"/>
    <w:basedOn w:val="1"/>
    <w:qFormat/>
    <w:uiPriority w:val="0"/>
    <w:pPr>
      <w:spacing w:before="25" w:beforeLines="0" w:after="25" w:afterLines="0" w:line="240" w:lineRule="auto"/>
      <w:ind w:firstLine="0"/>
      <w:jc w:val="left"/>
    </w:pPr>
    <w:rPr>
      <w:bCs/>
      <w:spacing w:val="10"/>
      <w:kern w:val="0"/>
      <w:sz w:val="24"/>
    </w:rPr>
  </w:style>
  <w:style w:type="character" w:customStyle="1" w:styleId="26">
    <w:name w:val="标题 1 Char"/>
    <w:link w:val="3"/>
    <w:qFormat/>
    <w:uiPriority w:val="0"/>
    <w:rPr>
      <w:rFonts w:eastAsia="宋体" w:asciiTheme="minorAscii" w:hAnsiTheme="minorAscii"/>
      <w:b/>
      <w:kern w:val="44"/>
      <w:sz w:val="44"/>
    </w:rPr>
  </w:style>
  <w:style w:type="character" w:customStyle="1" w:styleId="27">
    <w:name w:val="标题 2 Char"/>
    <w:link w:val="4"/>
    <w:qFormat/>
    <w:uiPriority w:val="0"/>
    <w:rPr>
      <w:rFonts w:ascii="Arial" w:hAnsi="Arial" w:eastAsia="黑体"/>
      <w:b/>
      <w:sz w:val="32"/>
    </w:rPr>
  </w:style>
  <w:style w:type="character" w:customStyle="1" w:styleId="28">
    <w:name w:val="标题 3 Char"/>
    <w:link w:val="5"/>
    <w:qFormat/>
    <w:uiPriority w:val="0"/>
    <w:rPr>
      <w:b/>
      <w:sz w:val="32"/>
    </w:rPr>
  </w:style>
  <w:style w:type="paragraph" w:styleId="29">
    <w:name w:val="List Paragraph"/>
    <w:basedOn w:val="1"/>
    <w:qFormat/>
    <w:uiPriority w:val="34"/>
    <w:pPr>
      <w:ind w:firstLine="420" w:firstLineChars="200"/>
    </w:pPr>
  </w:style>
  <w:style w:type="paragraph" w:customStyle="1" w:styleId="30">
    <w:name w:val="msolistparagraph"/>
    <w:basedOn w:val="1"/>
    <w:qFormat/>
    <w:uiPriority w:val="0"/>
    <w:pPr>
      <w:spacing w:line="360" w:lineRule="auto"/>
      <w:ind w:firstLine="420" w:firstLineChars="200"/>
    </w:pPr>
    <w:rPr>
      <w:sz w:val="28"/>
    </w:rPr>
  </w:style>
  <w:style w:type="paragraph" w:customStyle="1" w:styleId="31">
    <w:name w:val="列出段落1"/>
    <w:basedOn w:val="1"/>
    <w:qFormat/>
    <w:uiPriority w:val="0"/>
    <w:pPr>
      <w:ind w:firstLine="420" w:firstLineChars="200"/>
    </w:pPr>
    <w:rPr>
      <w:rFonts w:asciiTheme="minorHAnsi" w:hAnsiTheme="minorHAnsi" w:eastAsiaTheme="minorEastAsia" w:cstheme="minorBidi"/>
      <w:szCs w:val="24"/>
    </w:rPr>
  </w:style>
  <w:style w:type="paragraph" w:customStyle="1" w:styleId="32">
    <w:name w:val="列出段落11"/>
    <w:basedOn w:val="1"/>
    <w:qFormat/>
    <w:uiPriority w:val="0"/>
    <w:pPr>
      <w:ind w:firstLine="420" w:firstLineChars="200"/>
    </w:pPr>
    <w:rPr>
      <w:rFonts w:ascii="Calibri" w:hAnsi="Calibri" w:cs="Calibri" w:eastAsiaTheme="minorEastAsia"/>
      <w:szCs w:val="21"/>
    </w:rPr>
  </w:style>
  <w:style w:type="paragraph" w:customStyle="1" w:styleId="3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表格文字"/>
    <w:basedOn w:val="1"/>
    <w:next w:val="8"/>
    <w:qFormat/>
    <w:uiPriority w:val="99"/>
    <w:pPr>
      <w:adjustRightInd w:val="0"/>
      <w:spacing w:line="420" w:lineRule="atLeast"/>
      <w:jc w:val="left"/>
      <w:textAlignment w:val="baseline"/>
    </w:pPr>
    <w:rPr>
      <w:kern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16715</Words>
  <Characters>18439</Characters>
  <Lines>0</Lines>
  <Paragraphs>0</Paragraphs>
  <TotalTime>4</TotalTime>
  <ScaleCrop>false</ScaleCrop>
  <LinksUpToDate>false</LinksUpToDate>
  <CharactersWithSpaces>18858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2020-09-02T01:40:00Z</dcterms:created>
  <dc:creator>Administrator</dc:creator>
  <cp:lastModifiedBy>Administrator</cp:lastModifiedBy>
  <cp:lastPrinted>2025-11-27T00:55:00Z</cp:lastPrinted>
  <dcterms:modified xsi:type="dcterms:W3CDTF">2025-12-19T00:22:02Z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98E503EB35594A279C3C05AD87A0B0A9</vt:lpwstr>
  </property>
  <property fmtid="{D5CDD505-2E9C-101B-9397-08002B2CF9AE}" pid="4" name="KSOTemplateDocerSaveRecord">
    <vt:lpwstr>eyJoZGlkIjoiYTc3NzJiNzFiOWY2ZTZhYjIyZTI0ODJlMmUyMGZjNGEiLCJ1c2VySWQiOiI0MjkyMDA5NjQifQ==</vt:lpwstr>
  </property>
</Properties>
</file>