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合浦县星岛湖镇上洋小学义务教育教师周转房项目</w:t>
      </w:r>
    </w:p>
    <w:p>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r>
        <w:rPr>
          <w:rFonts w:hint="eastAsia" w:ascii="宋体" w:hAnsi="宋体" w:cs="仿宋_GB2312"/>
          <w:color w:val="auto"/>
          <w:sz w:val="30"/>
          <w:szCs w:val="30"/>
          <w:highlight w:val="none"/>
        </w:rPr>
        <w:t>项目编号:BHZC2025-J2-210230-ZZYG</w:t>
      </w:r>
    </w:p>
    <w:p>
      <w:pPr>
        <w:spacing w:line="360" w:lineRule="auto"/>
        <w:rPr>
          <w:rFonts w:ascii="宋体" w:hAnsi="宋体" w:cs="仿宋_GB2312"/>
          <w:color w:val="000000" w:themeColor="text1"/>
          <w:sz w:val="28"/>
          <w:szCs w:val="20"/>
          <w:highlight w:val="none"/>
          <w14:textFill>
            <w14:solidFill>
              <w14:schemeClr w14:val="tx1"/>
            </w14:solidFill>
          </w14:textFill>
        </w:rPr>
      </w:pPr>
    </w:p>
    <w:p>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采购人：合浦县星岛湖镇中心小学</w:t>
      </w:r>
    </w:p>
    <w:p>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：广西中之元工程管理有限公司</w:t>
      </w:r>
    </w:p>
    <w:p>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2025</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12</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23</w:t>
      </w:r>
      <w:r>
        <w:rPr>
          <w:rFonts w:hint="eastAsia" w:ascii="宋体" w:hAnsi="宋体" w:cs="仿宋_GB2312"/>
          <w:bCs/>
          <w:color w:val="auto"/>
          <w:sz w:val="32"/>
          <w:szCs w:val="32"/>
          <w:highlight w:val="none"/>
        </w:rPr>
        <w:t>日</w:t>
      </w:r>
    </w:p>
    <w:p>
      <w:pPr>
        <w:pStyle w:val="22"/>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pPr>
        <w:pStyle w:val="22"/>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pPr>
        <w:pStyle w:val="22"/>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bookmarkStart w:id="91" w:name="_GoBack"/>
      <w:bookmarkEnd w:id="91"/>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34</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70</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pPr>
        <w:pStyle w:val="4"/>
        <w:rPr>
          <w:color w:val="000000" w:themeColor="text1"/>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176429411"/>
      <w:bookmarkStart w:id="1" w:name="_Toc28647"/>
      <w:bookmarkStart w:id="2" w:name="_Toc3994503"/>
      <w:bookmarkStart w:id="3" w:name="_Toc23639"/>
      <w:bookmarkStart w:id="4" w:name="_Toc28625"/>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rPr>
          <w:rFonts w:ascii="黑体" w:hAnsi="宋体" w:eastAsia="黑体"/>
          <w:b/>
          <w:color w:val="000000" w:themeColor="text1"/>
          <w:sz w:val="32"/>
          <w:szCs w:val="32"/>
          <w:highlight w:val="none"/>
          <w14:textFill>
            <w14:solidFill>
              <w14:schemeClr w14:val="tx1"/>
            </w14:solidFill>
          </w14:textFill>
        </w:rPr>
      </w:pPr>
    </w:p>
    <w:p>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pPr>
        <w:rPr>
          <w:rFonts w:hAnsi="宋体" w:cs="宋体"/>
          <w:color w:val="000000" w:themeColor="text1"/>
          <w:szCs w:val="21"/>
          <w:highlight w:val="none"/>
          <w14:textFill>
            <w14:solidFill>
              <w14:schemeClr w14:val="tx1"/>
            </w14:solidFill>
          </w14:textFill>
        </w:rPr>
      </w:pPr>
    </w:p>
    <w:p>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pPr>
        <w:rPr>
          <w:rFonts w:hAnsi="宋体" w:cs="宋体"/>
          <w:color w:val="000000" w:themeColor="text1"/>
          <w:szCs w:val="21"/>
          <w:highlight w:val="none"/>
          <w14:textFill>
            <w14:solidFill>
              <w14:schemeClr w14:val="tx1"/>
            </w14:solidFill>
          </w14:textFill>
        </w:rPr>
      </w:pPr>
    </w:p>
    <w:p>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广西中之元工程管理有限公司关于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合浦县星岛湖镇上洋小学义务教育教师周转房项目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的竞争性谈判采购公告（远程异地评标）</w:t>
      </w:r>
    </w:p>
    <w:p>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合浦县星岛湖镇上洋小学义务教育教师周转房项目</w:t>
      </w:r>
      <w:r>
        <w:rPr>
          <w:rFonts w:hint="eastAsia" w:ascii="宋体" w:hAnsi="宋体"/>
          <w:color w:val="000000" w:themeColor="text1"/>
          <w:sz w:val="24"/>
          <w:highlight w:val="none"/>
          <w14:textFill>
            <w14:solidFill>
              <w14:schemeClr w14:val="tx1"/>
            </w14:solidFill>
          </w14:textFill>
        </w:rPr>
        <w:t>采购项目的潜在供应商应在</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宋体" w:hAnsi="宋体"/>
          <w:color w:val="000000" w:themeColor="text1"/>
          <w:sz w:val="24"/>
          <w:highlight w:val="none"/>
          <w14:textFill>
            <w14:solidFill>
              <w14:schemeClr w14:val="tx1"/>
            </w14:solidFill>
          </w14:textFill>
        </w:rPr>
        <w:t>获取采购文件，并于</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12</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29</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（北京时间）前提交响应文件</w:t>
      </w:r>
      <w:r>
        <w:rPr>
          <w:rFonts w:hint="eastAsia" w:ascii="宋体" w:hAnsi="宋体"/>
          <w:color w:val="000000" w:themeColor="text1"/>
          <w:sz w:val="24"/>
          <w:highlight w:val="none"/>
          <w14:textFill>
            <w14:solidFill>
              <w14:schemeClr w14:val="tx1"/>
            </w14:solidFill>
          </w14:textFill>
        </w:rPr>
        <w:t>。</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5" w:name="_Toc35393629"/>
      <w:bookmarkStart w:id="6" w:name="_Toc35393798"/>
      <w:bookmarkStart w:id="7" w:name="_Toc28359089"/>
      <w:bookmarkStart w:id="8" w:name="_Toc28359012"/>
      <w:r>
        <w:rPr>
          <w:rFonts w:hint="eastAsia" w:ascii="宋体" w:hAnsi="宋体"/>
          <w:b/>
          <w:color w:val="000000" w:themeColor="text1"/>
          <w:kern w:val="0"/>
          <w:sz w:val="24"/>
          <w:szCs w:val="20"/>
          <w:highlight w:val="none"/>
          <w14:textFill>
            <w14:solidFill>
              <w14:schemeClr w14:val="tx1"/>
            </w14:solidFill>
          </w14:textFill>
        </w:rPr>
        <w:t>一、项目基本情况</w:t>
      </w:r>
      <w:bookmarkEnd w:id="5"/>
      <w:bookmarkEnd w:id="6"/>
      <w:bookmarkEnd w:id="7"/>
      <w:bookmarkEnd w:id="8"/>
    </w:p>
    <w:p>
      <w:pPr>
        <w:adjustRightInd w:val="0"/>
        <w:spacing w:line="360" w:lineRule="auto"/>
        <w:ind w:firstLine="480" w:firstLineChars="200"/>
        <w:rPr>
          <w:rFonts w:hint="eastAsia" w:ascii="宋体" w:hAnsi="宋体" w:cs="宋体"/>
          <w:sz w:val="24"/>
          <w:szCs w:val="24"/>
          <w:lang w:eastAsia="zh-CN"/>
        </w:rPr>
      </w:pP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s="宋体"/>
          <w:sz w:val="24"/>
          <w:szCs w:val="24"/>
          <w:lang w:eastAsia="zh-CN"/>
        </w:rPr>
        <w:t>BHZC2025-J2-210230-ZZYG</w:t>
      </w:r>
    </w:p>
    <w:p>
      <w:pPr>
        <w:adjustRightInd w:val="0"/>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s="宋体"/>
          <w:sz w:val="24"/>
          <w:szCs w:val="24"/>
          <w:lang w:eastAsia="zh-CN"/>
        </w:rPr>
        <w:t>合浦县星岛湖镇上洋小学义务教育教师周转房项目</w:t>
      </w:r>
    </w:p>
    <w:p>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采购方式：竞争性谈判</w:t>
      </w:r>
    </w:p>
    <w:p>
      <w:pPr>
        <w:adjustRightInd w:val="0"/>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预算金额（元）：</w:t>
      </w:r>
      <w:r>
        <w:rPr>
          <w:rFonts w:hint="eastAsia" w:ascii="宋体" w:hAnsi="宋体"/>
          <w:color w:val="000000" w:themeColor="text1"/>
          <w:sz w:val="24"/>
          <w:highlight w:val="none"/>
          <w:lang w:eastAsia="zh-CN"/>
          <w14:textFill>
            <w14:solidFill>
              <w14:schemeClr w14:val="tx1"/>
            </w14:solidFill>
          </w14:textFill>
        </w:rPr>
        <w:t>1552093.94</w:t>
      </w:r>
    </w:p>
    <w:p>
      <w:pPr>
        <w:adjustRightInd w:val="0"/>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最高限价（元）：</w:t>
      </w:r>
      <w:r>
        <w:rPr>
          <w:rFonts w:hint="eastAsia" w:ascii="宋体" w:hAnsi="宋体"/>
          <w:color w:val="000000" w:themeColor="text1"/>
          <w:sz w:val="24"/>
          <w:highlight w:val="none"/>
          <w:lang w:eastAsia="zh-CN"/>
          <w14:textFill>
            <w14:solidFill>
              <w14:schemeClr w14:val="tx1"/>
            </w14:solidFill>
          </w14:textFill>
        </w:rPr>
        <w:t>1552093.94</w:t>
      </w:r>
    </w:p>
    <w:p>
      <w:pPr>
        <w:adjustRightInd w:val="0"/>
        <w:spacing w:line="360" w:lineRule="auto"/>
        <w:ind w:firstLine="480" w:firstLineChars="200"/>
        <w:rPr>
          <w:rFonts w:ascii="宋体" w:hAnsi="宋体"/>
          <w:color w:val="auto"/>
          <w:sz w:val="24"/>
          <w:highlight w:val="none"/>
        </w:rPr>
      </w:pPr>
      <w:r>
        <w:rPr>
          <w:rFonts w:hint="eastAsia" w:ascii="宋体" w:hAnsi="宋体"/>
          <w:color w:val="000000" w:themeColor="text1"/>
          <w:sz w:val="24"/>
          <w:highlight w:val="none"/>
          <w14:textFill>
            <w14:solidFill>
              <w14:schemeClr w14:val="tx1"/>
            </w14:solidFill>
          </w14:textFill>
        </w:rPr>
        <w:t>采购需求：</w:t>
      </w:r>
      <w:r>
        <w:rPr>
          <w:rFonts w:hint="eastAsia" w:ascii="宋体" w:hAnsi="宋体"/>
          <w:color w:val="000000" w:themeColor="text1"/>
          <w:sz w:val="24"/>
          <w:highlight w:val="none"/>
          <w:lang w:eastAsia="zh-CN"/>
          <w14:textFill>
            <w14:solidFill>
              <w14:schemeClr w14:val="tx1"/>
            </w14:solidFill>
          </w14:textFill>
        </w:rPr>
        <w:t>合浦县星岛湖镇上洋小学义务教育教师周转房项目</w:t>
      </w:r>
      <w:r>
        <w:rPr>
          <w:rFonts w:hint="eastAsia" w:hAnsi="宋体" w:cs="宋体"/>
          <w:bCs/>
          <w:color w:val="000000" w:themeColor="text1"/>
          <w:sz w:val="24"/>
          <w:highlight w:val="none"/>
          <w14:textFill>
            <w14:solidFill>
              <w14:schemeClr w14:val="tx1"/>
            </w14:solidFill>
          </w14:textFill>
        </w:rPr>
        <w:t>主要内容：</w:t>
      </w:r>
      <w:r>
        <w:rPr>
          <w:rFonts w:hint="eastAsia" w:ascii="宋体" w:hAnsi="宋体" w:cs="宋体"/>
          <w:sz w:val="24"/>
          <w:szCs w:val="24"/>
          <w:lang w:eastAsia="zh-CN"/>
        </w:rPr>
        <w:t>合浦县星岛湖镇上洋小学义务教育教师周转房项目</w:t>
      </w:r>
      <w:r>
        <w:rPr>
          <w:rFonts w:hint="eastAsia" w:ascii="宋体" w:hAnsi="宋体" w:cs="宋体"/>
          <w:color w:val="auto"/>
          <w:sz w:val="24"/>
          <w:szCs w:val="24"/>
          <w:lang w:eastAsia="zh-CN"/>
        </w:rPr>
        <w:t>一项</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180</w:t>
      </w:r>
      <w:r>
        <w:rPr>
          <w:rFonts w:hint="eastAsia" w:ascii="宋体" w:hAnsi="宋体"/>
          <w:color w:val="auto"/>
          <w:sz w:val="24"/>
          <w:highlight w:val="none"/>
          <w:lang w:eastAsia="zh-CN"/>
        </w:rPr>
        <w:t>日历天</w:t>
      </w:r>
    </w:p>
    <w:p>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28359013"/>
      <w:bookmarkStart w:id="10" w:name="_Toc28359090"/>
      <w:bookmarkStart w:id="11" w:name="_Toc35393630"/>
      <w:bookmarkStart w:id="12" w:name="_Toc35393799"/>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.落实政府采购政策需满足的资格要求：分标1：本项目专门面向中小企业采购（供应商应为中小微企业或监狱企业或残疾人福利性单位) ；</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35393800"/>
      <w:bookmarkStart w:id="14" w:name="_Toc28359014"/>
      <w:bookmarkStart w:id="15" w:name="_Toc28359091"/>
      <w:bookmarkStart w:id="16" w:name="_Toc35393631"/>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pPr>
        <w:adjustRightInd w:val="0"/>
        <w:spacing w:line="360" w:lineRule="auto"/>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26</w:t>
      </w:r>
      <w:r>
        <w:rPr>
          <w:rFonts w:hint="eastAsia" w:ascii="宋体" w:hAnsi="宋体" w:cs="宋体"/>
          <w:color w:val="000000" w:themeColor="text1"/>
          <w:sz w:val="24"/>
          <w:highlight w:val="none"/>
          <w14:textFill>
            <w14:solidFill>
              <w14:schemeClr w14:val="tx1"/>
            </w14:solidFill>
          </w14:textFill>
        </w:rPr>
        <w:t>日，每天上午</w:t>
      </w:r>
      <w:r>
        <w:rPr>
          <w:rFonts w:hint="eastAsia" w:ascii="宋体" w:hAnsi="宋体"/>
          <w:color w:val="000000" w:themeColor="text1"/>
          <w:sz w:val="24"/>
          <w:highlight w:val="none"/>
          <w14:textFill>
            <w14:solidFill>
              <w14:schemeClr w14:val="tx1"/>
            </w14:solidFill>
          </w14:textFill>
        </w:rPr>
        <w:t>00:00至12:00 ，下午12:00至23:59</w:t>
      </w:r>
      <w:r>
        <w:rPr>
          <w:rFonts w:hint="eastAsia" w:ascii="宋体" w:hAnsi="宋体" w:cs="宋体"/>
          <w:color w:val="000000" w:themeColor="text1"/>
          <w:sz w:val="24"/>
          <w:highlight w:val="none"/>
          <w14:textFill>
            <w14:solidFill>
              <w14:schemeClr w14:val="tx1"/>
            </w14:solidFill>
          </w14:textFill>
        </w:rPr>
        <w:t>（北京时间，法定节假日除外）；</w:t>
      </w:r>
    </w:p>
    <w:p>
      <w:pPr>
        <w:adjustRightInd w:val="0"/>
        <w:spacing w:line="360" w:lineRule="auto"/>
        <w:ind w:firstLine="54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pPr>
        <w:adjustRightInd w:val="0"/>
        <w:spacing w:line="360" w:lineRule="auto"/>
        <w:ind w:firstLine="54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pPr>
        <w:adjustRightInd w:val="0"/>
        <w:spacing w:line="360" w:lineRule="auto"/>
        <w:ind w:firstLine="54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w:t>
      </w:r>
      <w:r>
        <w:rPr>
          <w:rFonts w:hint="eastAsia" w:ascii="宋体" w:hAnsi="宋体" w:cs="仿宋_GB2312"/>
          <w:color w:val="000000" w:themeColor="text1"/>
          <w:sz w:val="24"/>
          <w:highlight w:val="none"/>
          <w14:textFill>
            <w14:solidFill>
              <w14:schemeClr w14:val="tx1"/>
            </w14:solidFill>
          </w14:textFill>
        </w:rPr>
        <w:t>0。</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7" w:name="_Toc28359015"/>
      <w:bookmarkStart w:id="18" w:name="_Toc28359092"/>
      <w:bookmarkStart w:id="19" w:name="_Toc35393632"/>
      <w:bookmarkStart w:id="20" w:name="_Toc35393801"/>
      <w:r>
        <w:rPr>
          <w:rFonts w:hint="eastAsia" w:ascii="宋体" w:hAnsi="宋体"/>
          <w:b/>
          <w:color w:val="000000" w:themeColor="text1"/>
          <w:kern w:val="0"/>
          <w:sz w:val="24"/>
          <w:szCs w:val="20"/>
          <w:highlight w:val="none"/>
          <w14:textFill>
            <w14:solidFill>
              <w14:schemeClr w14:val="tx1"/>
            </w14:solidFill>
          </w14:textFill>
        </w:rPr>
        <w:t>四、响应文件提交</w:t>
      </w:r>
      <w:bookmarkEnd w:id="17"/>
      <w:bookmarkEnd w:id="18"/>
      <w:bookmarkEnd w:id="19"/>
      <w:bookmarkEnd w:id="20"/>
      <w:r>
        <w:rPr>
          <w:rFonts w:hint="eastAsia" w:ascii="宋体" w:hAnsi="宋体"/>
          <w:b/>
          <w:color w:val="000000" w:themeColor="text1"/>
          <w:kern w:val="0"/>
          <w:sz w:val="24"/>
          <w:szCs w:val="20"/>
          <w:highlight w:val="none"/>
          <w14:textFill>
            <w14:solidFill>
              <w14:schemeClr w14:val="tx1"/>
            </w14:solidFill>
          </w14:textFill>
        </w:rPr>
        <w:t>（上传）</w:t>
      </w:r>
    </w:p>
    <w:p>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截止时间：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bCs/>
          <w:color w:val="000000" w:themeColor="text1"/>
          <w:sz w:val="24"/>
          <w:highlight w:val="none"/>
          <w:u w:val="single"/>
          <w14:textFill>
            <w14:solidFill>
              <w14:schemeClr w14:val="tx1"/>
            </w14:solidFill>
          </w14:textFill>
        </w:rPr>
        <w:t>年</w:t>
      </w:r>
      <w:r>
        <w:rPr>
          <w:rFonts w:hint="eastAsia" w:ascii="宋体" w:hAnsi="宋体"/>
          <w:bCs/>
          <w:color w:val="000000" w:themeColor="text1"/>
          <w:sz w:val="24"/>
          <w:highlight w:val="none"/>
          <w:u w:val="single"/>
          <w:lang w:val="en-US" w:eastAsia="zh-CN"/>
          <w14:textFill>
            <w14:solidFill>
              <w14:schemeClr w14:val="tx1"/>
            </w14:solidFill>
          </w14:textFill>
        </w:rPr>
        <w:t>12</w:t>
      </w:r>
      <w:r>
        <w:rPr>
          <w:rFonts w:hint="eastAsia" w:ascii="宋体" w:hAnsi="宋体"/>
          <w:bCs/>
          <w:color w:val="000000" w:themeColor="text1"/>
          <w:sz w:val="24"/>
          <w:highlight w:val="none"/>
          <w:u w:val="single"/>
          <w14:textFill>
            <w14:solidFill>
              <w14:schemeClr w14:val="tx1"/>
            </w14:solidFill>
          </w14:textFill>
        </w:rPr>
        <w:t>月</w:t>
      </w:r>
      <w:r>
        <w:rPr>
          <w:rFonts w:hint="eastAsia" w:ascii="宋体" w:hAnsi="宋体"/>
          <w:bCs/>
          <w:color w:val="000000" w:themeColor="text1"/>
          <w:sz w:val="24"/>
          <w:highlight w:val="none"/>
          <w:u w:val="single"/>
          <w:lang w:val="en-US" w:eastAsia="zh-CN"/>
          <w14:textFill>
            <w14:solidFill>
              <w14:schemeClr w14:val="tx1"/>
            </w14:solidFill>
          </w14:textFill>
        </w:rPr>
        <w:t>29</w:t>
      </w:r>
      <w:r>
        <w:rPr>
          <w:rFonts w:hint="eastAsia" w:ascii="宋体" w:hAnsi="宋体"/>
          <w:bCs/>
          <w:color w:val="000000" w:themeColor="text1"/>
          <w:sz w:val="24"/>
          <w:highlight w:val="none"/>
          <w:u w:val="singl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 xml:space="preserve">09 </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w:t>
      </w:r>
    </w:p>
    <w:p>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宋体" w:hAnsi="宋体" w:cs="仿宋_GB2312"/>
          <w:b w:val="0"/>
          <w:bCs/>
          <w:color w:val="auto"/>
          <w:sz w:val="24"/>
          <w:highlight w:val="none"/>
        </w:rPr>
        <w:t>。</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1" w:name="_Toc35393633"/>
      <w:bookmarkStart w:id="22" w:name="_Toc28359016"/>
      <w:bookmarkStart w:id="23" w:name="_Toc35393802"/>
      <w:bookmarkStart w:id="24" w:name="_Toc28359093"/>
      <w:r>
        <w:rPr>
          <w:rFonts w:hint="eastAsia" w:ascii="宋体" w:hAnsi="宋体"/>
          <w:b/>
          <w:color w:val="000000" w:themeColor="text1"/>
          <w:kern w:val="0"/>
          <w:sz w:val="24"/>
          <w:szCs w:val="20"/>
          <w:highlight w:val="none"/>
          <w14:textFill>
            <w14:solidFill>
              <w14:schemeClr w14:val="tx1"/>
            </w14:solidFill>
          </w14:textFill>
        </w:rPr>
        <w:t>五、响应文件开启</w:t>
      </w:r>
      <w:bookmarkEnd w:id="21"/>
      <w:bookmarkEnd w:id="22"/>
      <w:bookmarkEnd w:id="23"/>
      <w:bookmarkEnd w:id="24"/>
    </w:p>
    <w:p>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bCs/>
          <w:color w:val="000000" w:themeColor="text1"/>
          <w:sz w:val="24"/>
          <w:highlight w:val="none"/>
          <w:u w:val="single"/>
          <w14:textFill>
            <w14:solidFill>
              <w14:schemeClr w14:val="tx1"/>
            </w14:solidFill>
          </w14:textFill>
        </w:rPr>
        <w:t>年</w:t>
      </w:r>
      <w:r>
        <w:rPr>
          <w:rFonts w:hint="eastAsia" w:ascii="宋体" w:hAnsi="宋体"/>
          <w:bCs/>
          <w:color w:val="000000" w:themeColor="text1"/>
          <w:sz w:val="24"/>
          <w:highlight w:val="none"/>
          <w:u w:val="single"/>
          <w:lang w:val="en-US" w:eastAsia="zh-CN"/>
          <w14:textFill>
            <w14:solidFill>
              <w14:schemeClr w14:val="tx1"/>
            </w14:solidFill>
          </w14:textFill>
        </w:rPr>
        <w:t>12</w:t>
      </w:r>
      <w:r>
        <w:rPr>
          <w:rFonts w:hint="eastAsia" w:ascii="宋体" w:hAnsi="宋体"/>
          <w:bCs/>
          <w:color w:val="000000" w:themeColor="text1"/>
          <w:sz w:val="24"/>
          <w:highlight w:val="none"/>
          <w:u w:val="single"/>
          <w14:textFill>
            <w14:solidFill>
              <w14:schemeClr w14:val="tx1"/>
            </w14:solidFill>
          </w14:textFill>
        </w:rPr>
        <w:t>月</w:t>
      </w:r>
      <w:r>
        <w:rPr>
          <w:rFonts w:hint="eastAsia" w:ascii="宋体" w:hAnsi="宋体"/>
          <w:bCs/>
          <w:color w:val="000000" w:themeColor="text1"/>
          <w:sz w:val="24"/>
          <w:highlight w:val="none"/>
          <w:u w:val="single"/>
          <w:lang w:val="en-US" w:eastAsia="zh-CN"/>
          <w14:textFill>
            <w14:solidFill>
              <w14:schemeClr w14:val="tx1"/>
            </w14:solidFill>
          </w14:textFill>
        </w:rPr>
        <w:t>29</w:t>
      </w:r>
      <w:r>
        <w:rPr>
          <w:rFonts w:hint="eastAsia" w:ascii="宋体" w:hAnsi="宋体"/>
          <w:bCs/>
          <w:color w:val="000000" w:themeColor="text1"/>
          <w:sz w:val="24"/>
          <w:highlight w:val="none"/>
          <w:u w:val="singl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09</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w:t>
      </w:r>
    </w:p>
    <w:p>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28359017"/>
      <w:bookmarkStart w:id="26" w:name="_Toc35393803"/>
      <w:bookmarkStart w:id="27" w:name="_Toc28359094"/>
      <w:bookmarkStart w:id="28" w:name="_Toc35393634"/>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635"/>
      <w:bookmarkStart w:id="30"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5）支持创新发展：优先采购被认定为首台套产品和“制造精品”的自主创新产品。（6）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35393636"/>
      <w:bookmarkStart w:id="32" w:name="_Toc28359018"/>
      <w:bookmarkStart w:id="33" w:name="_Toc28359095"/>
      <w:bookmarkStart w:id="34" w:name="_Toc35393805"/>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35393637"/>
      <w:bookmarkStart w:id="36" w:name="_Toc28359096"/>
      <w:bookmarkStart w:id="37" w:name="_Toc28359019"/>
      <w:bookmarkStart w:id="38" w:name="_Toc35393806"/>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称：合浦县星岛湖镇中心小学</w:t>
      </w:r>
    </w:p>
    <w:p>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合浦县星岛湖镇</w:t>
      </w:r>
    </w:p>
    <w:p>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陈</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项目联系方式：0779-72</w:t>
      </w:r>
      <w:r>
        <w:rPr>
          <w:rFonts w:hint="eastAsia" w:ascii="宋体" w:hAnsi="宋体" w:cs="Times New Roman"/>
          <w:color w:val="auto"/>
          <w:sz w:val="24"/>
          <w:highlight w:val="none"/>
          <w:lang w:val="en-US" w:eastAsia="zh-CN"/>
        </w:rPr>
        <w:t>90096</w:t>
      </w:r>
      <w:r>
        <w:rPr>
          <w:rFonts w:hint="eastAsia" w:ascii="宋体" w:hAnsi="宋体" w:eastAsia="宋体" w:cs="Times New Roman"/>
          <w:color w:val="auto"/>
          <w:sz w:val="24"/>
          <w:highlight w:val="none"/>
        </w:rPr>
        <w:t xml:space="preserve">  </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28359097"/>
      <w:bookmarkStart w:id="40" w:name="_Toc35393807"/>
      <w:bookmarkStart w:id="41" w:name="_Toc35393638"/>
      <w:bookmarkStart w:id="42" w:name="_Toc28359020"/>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名    称：广西中之元工程管理有限公司             </w:t>
      </w:r>
    </w:p>
    <w:p>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址：北海市合浦县文昌新城二幢9号楼 </w:t>
      </w:r>
      <w:r>
        <w:rPr>
          <w:rFonts w:ascii="宋体" w:hAnsi="宋体"/>
          <w:color w:val="000000" w:themeColor="text1"/>
          <w:sz w:val="24"/>
          <w:highlight w:val="none"/>
          <w14:textFill>
            <w14:solidFill>
              <w14:schemeClr w14:val="tx1"/>
            </w14:solidFill>
          </w14:textFill>
        </w:rPr>
        <w:t xml:space="preserve"> </w:t>
      </w:r>
    </w:p>
    <w:p>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庞工</w:t>
      </w:r>
    </w:p>
    <w:p>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0779-7200788</w:t>
      </w:r>
      <w:r>
        <w:rPr>
          <w:rFonts w:hint="eastAsia" w:ascii="宋体" w:hAnsi="宋体"/>
          <w:color w:val="000000" w:themeColor="text1"/>
          <w:sz w:val="24"/>
          <w:highlight w:val="none"/>
          <w14:textFill>
            <w14:solidFill>
              <w14:schemeClr w14:val="tx1"/>
            </w14:solidFill>
          </w14:textFill>
        </w:rPr>
        <w:t xml:space="preserve"> </w:t>
      </w:r>
    </w:p>
    <w:p>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合浦县星岛湖镇中心小学                            广西中之元工程管理有限公司                          </w:t>
      </w:r>
    </w:p>
    <w:p>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日                                  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日</w:t>
      </w: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29793"/>
      <w:bookmarkStart w:id="44" w:name="_Toc176429412"/>
      <w:bookmarkStart w:id="45" w:name="_Toc6942"/>
      <w:bookmarkStart w:id="46" w:name="_Toc3943"/>
      <w:bookmarkStart w:id="47" w:name="_Toc3994504"/>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8"/>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合浦县星岛湖镇上洋小学义务教育教师周转房项目</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pacing w:val="2"/>
                <w:sz w:val="24"/>
                <w:highlight w:val="none"/>
              </w:rPr>
              <w:t xml:space="preserve">项目编号：BHZC2025-J2-210230-ZZYG </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合浦县星岛湖镇上洋小学</w:t>
            </w:r>
          </w:p>
          <w:p>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180</w:t>
            </w:r>
            <w:r>
              <w:rPr>
                <w:rFonts w:hint="eastAsia" w:ascii="宋体" w:hAnsi="宋体" w:cs="宋体"/>
                <w:color w:val="auto"/>
                <w:spacing w:val="2"/>
                <w:sz w:val="24"/>
                <w:highlight w:val="none"/>
                <w:lang w:eastAsia="zh-CN"/>
              </w:rPr>
              <w:t>日历天</w:t>
            </w:r>
          </w:p>
          <w:p>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pacing w:val="2"/>
                <w:sz w:val="24"/>
                <w:szCs w:val="24"/>
                <w:highlight w:val="none"/>
                <w:lang w:eastAsia="zh-CN"/>
              </w:rPr>
              <w:t>1552093.94</w:t>
            </w:r>
            <w:r>
              <w:rPr>
                <w:rFonts w:hint="eastAsia" w:hAnsi="宋体" w:cs="宋体"/>
                <w:color w:val="auto"/>
                <w:spacing w:val="2"/>
                <w:sz w:val="24"/>
                <w:szCs w:val="24"/>
                <w:highlight w:val="none"/>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合浦县星岛湖镇上洋小学义务教育教师周转房项目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pPr>
              <w:pStyle w:val="90"/>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12</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29</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pPr>
              <w:pStyle w:val="22"/>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pPr>
              <w:pStyle w:val="22"/>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广西中之元工程管理有限公司招标部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0779-7200788</w:t>
            </w:r>
            <w:r>
              <w:rPr>
                <w:rFonts w:hint="eastAsia" w:hAnsi="宋体"/>
                <w:bCs/>
                <w:color w:val="000000" w:themeColor="text1"/>
                <w:sz w:val="24"/>
                <w:szCs w:val="24"/>
                <w:highlight w:val="none"/>
                <w14:textFill>
                  <w14:solidFill>
                    <w14:schemeClr w14:val="tx1"/>
                  </w14:solidFill>
                </w14:textFill>
              </w:rPr>
              <w:t xml:space="preserve">                </w:t>
            </w:r>
          </w:p>
          <w:p>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pPr>
        <w:spacing w:line="400" w:lineRule="exact"/>
        <w:rPr>
          <w:rFonts w:eastAsia="仿宋_GB2312"/>
          <w:color w:val="000000" w:themeColor="text1"/>
          <w:szCs w:val="21"/>
          <w:highlight w:val="none"/>
          <w14:textFill>
            <w14:solidFill>
              <w14:schemeClr w14:val="tx1"/>
            </w14:solidFill>
          </w14:textFill>
        </w:rPr>
      </w:pP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527"/>
      <w:bookmarkStart w:id="49" w:name="_Toc254970668"/>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528"/>
      <w:bookmarkStart w:id="51" w:name="_Toc254970669"/>
      <w:r>
        <w:rPr>
          <w:rFonts w:hint="eastAsia" w:ascii="宋体" w:hAnsi="宋体" w:cs="宋体"/>
          <w:b/>
          <w:color w:val="000000" w:themeColor="text1"/>
          <w:sz w:val="24"/>
          <w:highlight w:val="none"/>
          <w14:textFill>
            <w14:solidFill>
              <w14:schemeClr w14:val="tx1"/>
            </w14:solidFill>
          </w14:textFill>
        </w:rPr>
        <w:t>2.定义</w:t>
      </w:r>
      <w:bookmarkEnd w:id="50"/>
      <w:bookmarkEnd w:id="51"/>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pPr>
        <w:pStyle w:val="22"/>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4.5</w:t>
      </w:r>
      <w:r>
        <w:rPr>
          <w:rFonts w:hint="eastAsia" w:ascii="宋体" w:hAnsi="宋体" w:cs="宋体"/>
          <w:b/>
          <w:bCs/>
          <w:color w:val="000000" w:themeColor="text1"/>
          <w:sz w:val="24"/>
          <w:highlight w:val="none"/>
          <w14:textFill>
            <w14:solidFill>
              <w14:schemeClr w14:val="tx1"/>
            </w14:solidFill>
          </w14:textFill>
        </w:rPr>
        <w:t>支持创新发展</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4.5.1 采购人优先采购被认定为首台套产品和“制造精品”的自主创新产品。</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4.6平等对待内外资企业</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4.7</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pPr>
        <w:pStyle w:val="22"/>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pPr>
        <w:pStyle w:val="22"/>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w:t>
      </w:r>
      <w:r>
        <w:rPr>
          <w:rFonts w:hint="eastAsia" w:ascii="宋体" w:hAnsi="宋体" w:cs="宋体"/>
          <w:color w:val="000000" w:themeColor="text1"/>
          <w:sz w:val="24"/>
          <w:highlight w:val="none"/>
          <w14:textFill>
            <w14:solidFill>
              <w14:schemeClr w14:val="tx1"/>
            </w14:solidFill>
          </w14:textFill>
        </w:rPr>
        <w:t>工程施工承包企业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（3）供应商拟派的项目经理须具备建筑工程专业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2025年3月至谈判截止时间前任意一个月）（从取得营业执照时间起到投标截止时间为止不足要求月数的只需提供从取得营业执照起的证明材料）在现任职单位依法缴纳社会保险证明材料。</w:t>
      </w:r>
    </w:p>
    <w:p>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pPr>
        <w:pStyle w:val="22"/>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pPr>
        <w:pStyle w:val="22"/>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pPr>
        <w:pStyle w:val="22"/>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pPr>
        <w:pStyle w:val="22"/>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pPr>
        <w:pStyle w:val="22"/>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0779-7200788</w:t>
      </w:r>
      <w:r>
        <w:rPr>
          <w:rFonts w:hint="eastAsia"/>
          <w:color w:val="000000" w:themeColor="text1"/>
          <w:highlight w:val="none"/>
          <w14:textFill>
            <w14:solidFill>
              <w14:schemeClr w14:val="tx1"/>
            </w14:solidFill>
          </w14:textFill>
        </w:rPr>
        <w:t xml:space="preserve">   </w:t>
      </w:r>
    </w:p>
    <w:p>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庞工</w:t>
      </w:r>
      <w:r>
        <w:rPr>
          <w:rFonts w:hint="eastAsia"/>
          <w:color w:val="000000" w:themeColor="text1"/>
          <w:highlight w:val="none"/>
          <w14:textFill>
            <w14:solidFill>
              <w14:schemeClr w14:val="tx1"/>
            </w14:solidFill>
          </w14:textFill>
        </w:rPr>
        <w:t xml:space="preserve">  地址：北海市合浦县文昌新城二幢9号楼 </w:t>
      </w:r>
    </w:p>
    <w:p>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0779-7200788</w:t>
      </w:r>
      <w:r>
        <w:rPr>
          <w:rFonts w:hint="eastAsia"/>
          <w:color w:val="000000" w:themeColor="text1"/>
          <w:highlight w:val="none"/>
          <w14:textFill>
            <w14:solidFill>
              <w14:schemeClr w14:val="tx1"/>
            </w14:solidFill>
          </w14:textFill>
        </w:rPr>
        <w:t xml:space="preserve">   </w:t>
      </w:r>
    </w:p>
    <w:p>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庞工</w:t>
      </w:r>
      <w:r>
        <w:rPr>
          <w:rFonts w:hint="eastAsia"/>
          <w:color w:val="000000" w:themeColor="text1"/>
          <w:highlight w:val="none"/>
          <w14:textFill>
            <w14:solidFill>
              <w14:schemeClr w14:val="tx1"/>
            </w14:solidFill>
          </w14:textFill>
        </w:rPr>
        <w:t xml:space="preserve">  地址：北海市合浦县文昌新城二幢9号楼 </w:t>
      </w:r>
    </w:p>
    <w:p>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茅股长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ascii="宋体" w:hAnsi="宋体" w:cs="Arial"/>
          <w:kern w:val="2"/>
          <w:sz w:val="24"/>
          <w:szCs w:val="24"/>
          <w:lang w:val="en-US" w:eastAsia="zh-CN" w:bidi="ar-SA"/>
        </w:rPr>
        <w:t>广西中之元工程管理有限公司</w:t>
      </w:r>
      <w:r>
        <w:rPr>
          <w:rFonts w:hint="eastAsia" w:ascii="宋体" w:hAnsi="宋体" w:cs="宋体"/>
          <w:color w:val="000000" w:themeColor="text1"/>
          <w:sz w:val="24"/>
          <w:highlight w:val="none"/>
          <w14:textFill>
            <w14:solidFill>
              <w14:schemeClr w14:val="tx1"/>
            </w14:solidFill>
          </w14:textFill>
        </w:rPr>
        <w:t xml:space="preserve">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Arial"/>
          <w:kern w:val="2"/>
          <w:sz w:val="24"/>
          <w:szCs w:val="24"/>
          <w:lang w:val="en-US" w:eastAsia="zh-CN" w:bidi="ar-SA"/>
        </w:rPr>
        <w:t>中国建设银行股份有限公司广西自贸试验区南宁片区五象支行</w:t>
      </w:r>
      <w:r>
        <w:rPr>
          <w:rFonts w:hint="eastAsia" w:ascii="宋体" w:hAnsi="宋体" w:cs="宋体"/>
          <w:color w:val="000000" w:themeColor="text1"/>
          <w:sz w:val="24"/>
          <w:highlight w:val="none"/>
          <w14:textFill>
            <w14:solidFill>
              <w14:schemeClr w14:val="tx1"/>
            </w14:solidFill>
          </w14:textFill>
        </w:rPr>
        <w:t xml:space="preserve">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Arial"/>
          <w:color w:val="auto"/>
          <w:kern w:val="2"/>
          <w:sz w:val="24"/>
          <w:szCs w:val="24"/>
          <w:lang w:val="en-US" w:eastAsia="zh-CN" w:bidi="ar-SA"/>
        </w:rPr>
        <w:t>45050160500100000543</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pPr>
        <w:pStyle w:val="22"/>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本竞争性磋商文件解释权属采购人及本代理机构。</w:t>
      </w:r>
    </w:p>
    <w:p>
      <w:pPr>
        <w:pStyle w:val="22"/>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pPr>
        <w:pStyle w:val="22"/>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14:textFill>
            <w14:solidFill>
              <w14:schemeClr w14:val="tx1"/>
            </w14:solidFill>
          </w14:textFill>
        </w:rPr>
        <w:t>磋商</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pPr>
        <w:pStyle w:val="22"/>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广西中之元工程管理有限公司</w:t>
      </w:r>
    </w:p>
    <w:p>
      <w:pPr>
        <w:pStyle w:val="22"/>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pPr>
        <w:pStyle w:val="4"/>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0779-7200788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：庞工</w:t>
      </w:r>
    </w:p>
    <w:p>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pPr>
        <w:rPr>
          <w:b/>
          <w:bCs/>
          <w:color w:val="000000" w:themeColor="text1"/>
          <w:highlight w:val="none"/>
          <w14:textFill>
            <w14:solidFill>
              <w14:schemeClr w14:val="tx1"/>
            </w14:solidFill>
          </w14:textFill>
        </w:rPr>
      </w:pPr>
    </w:p>
    <w:p>
      <w:pPr>
        <w:rPr>
          <w:b/>
          <w:bCs/>
          <w:color w:val="000000" w:themeColor="text1"/>
          <w:highlight w:val="none"/>
          <w14:textFill>
            <w14:solidFill>
              <w14:schemeClr w14:val="tx1"/>
            </w14:solidFill>
          </w14:textFill>
        </w:rPr>
      </w:pPr>
    </w:p>
    <w:p>
      <w:pPr>
        <w:spacing w:line="620" w:lineRule="exact"/>
        <w:rPr>
          <w:rFonts w:ascii="宋体" w:hAnsi="宋体"/>
          <w:b/>
          <w:color w:val="000000" w:themeColor="text1"/>
          <w:sz w:val="44"/>
          <w:szCs w:val="44"/>
          <w:highlight w:val="none"/>
          <w14:textFill>
            <w14:solidFill>
              <w14:schemeClr w14:val="tx1"/>
            </w14:solidFill>
          </w14:textFill>
        </w:rPr>
      </w:pPr>
      <w:bookmarkStart w:id="52" w:name="_Toc3994506"/>
    </w:p>
    <w:p>
      <w:pPr>
        <w:spacing w:line="620" w:lineRule="exact"/>
        <w:rPr>
          <w:rFonts w:ascii="宋体" w:hAnsi="宋体"/>
          <w:b/>
          <w:color w:val="000000" w:themeColor="text1"/>
          <w:sz w:val="44"/>
          <w:szCs w:val="44"/>
          <w:highlight w:val="none"/>
          <w14:textFill>
            <w14:solidFill>
              <w14:schemeClr w14:val="tx1"/>
            </w14:solidFill>
          </w14:textFill>
        </w:rPr>
      </w:pPr>
    </w:p>
    <w:p>
      <w:pPr>
        <w:spacing w:line="620" w:lineRule="exact"/>
        <w:rPr>
          <w:rFonts w:ascii="宋体" w:hAnsi="宋体"/>
          <w:b/>
          <w:color w:val="000000" w:themeColor="text1"/>
          <w:sz w:val="44"/>
          <w:szCs w:val="44"/>
          <w:highlight w:val="none"/>
          <w14:textFill>
            <w14:solidFill>
              <w14:schemeClr w14:val="tx1"/>
            </w14:solidFill>
          </w14:textFill>
        </w:rPr>
      </w:pPr>
    </w:p>
    <w:p>
      <w:pPr>
        <w:spacing w:line="620" w:lineRule="exact"/>
        <w:rPr>
          <w:rFonts w:ascii="宋体" w:hAnsi="宋体"/>
          <w:b/>
          <w:color w:val="000000" w:themeColor="text1"/>
          <w:sz w:val="44"/>
          <w:szCs w:val="44"/>
          <w:highlight w:val="none"/>
          <w14:textFill>
            <w14:solidFill>
              <w14:schemeClr w14:val="tx1"/>
            </w14:solidFill>
          </w14:textFill>
        </w:rPr>
      </w:pPr>
      <w:bookmarkStart w:id="53" w:name="_Toc23819"/>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Pr>
        <w:rPr>
          <w:rFonts w:ascii="宋体" w:hAnsi="宋体"/>
          <w:b/>
          <w:color w:val="000000" w:themeColor="text1"/>
          <w:sz w:val="44"/>
          <w:szCs w:val="44"/>
          <w:highlight w:val="none"/>
          <w14:textFill>
            <w14:solidFill>
              <w14:schemeClr w14:val="tx1"/>
            </w14:solidFill>
          </w14:textFill>
        </w:rPr>
      </w:pPr>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Pr>
        <w:rPr>
          <w:rFonts w:ascii="宋体" w:hAnsi="宋体"/>
          <w:b/>
          <w:color w:val="000000" w:themeColor="text1"/>
          <w:sz w:val="44"/>
          <w:szCs w:val="44"/>
          <w:highlight w:val="none"/>
          <w14:textFill>
            <w14:solidFill>
              <w14:schemeClr w14:val="tx1"/>
            </w14:solidFill>
          </w14:textFill>
        </w:rPr>
      </w:pPr>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Pr>
        <w:rPr>
          <w:rFonts w:ascii="宋体" w:hAnsi="宋体"/>
          <w:b/>
          <w:color w:val="000000" w:themeColor="text1"/>
          <w:sz w:val="44"/>
          <w:szCs w:val="44"/>
          <w:highlight w:val="none"/>
          <w14:textFill>
            <w14:solidFill>
              <w14:schemeClr w14:val="tx1"/>
            </w14:solidFill>
          </w14:textFill>
        </w:rPr>
      </w:pPr>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Pr>
        <w:rPr>
          <w:rFonts w:ascii="宋体" w:hAnsi="宋体"/>
          <w:b/>
          <w:color w:val="000000" w:themeColor="text1"/>
          <w:sz w:val="44"/>
          <w:szCs w:val="44"/>
          <w:highlight w:val="none"/>
          <w14:textFill>
            <w14:solidFill>
              <w14:schemeClr w14:val="tx1"/>
            </w14:solidFill>
          </w14:textFill>
        </w:rPr>
      </w:pPr>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Pr>
        <w:rPr>
          <w:rFonts w:ascii="宋体" w:hAnsi="宋体"/>
          <w:b/>
          <w:color w:val="000000" w:themeColor="text1"/>
          <w:sz w:val="44"/>
          <w:szCs w:val="44"/>
          <w:highlight w:val="none"/>
          <w14:textFill>
            <w14:solidFill>
              <w14:schemeClr w14:val="tx1"/>
            </w14:solidFill>
          </w14:textFill>
        </w:rPr>
      </w:pPr>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spacing w:line="620" w:lineRule="exact"/>
        <w:rPr>
          <w:rFonts w:ascii="宋体" w:hAnsi="宋体"/>
          <w:b/>
          <w:color w:val="000000" w:themeColor="text1"/>
          <w:sz w:val="44"/>
          <w:szCs w:val="44"/>
          <w:highlight w:val="none"/>
          <w14:textFill>
            <w14:solidFill>
              <w14:schemeClr w14:val="tx1"/>
            </w14:solidFill>
          </w14:textFill>
        </w:rPr>
      </w:pPr>
    </w:p>
    <w:p>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4" w:name="_Toc25912"/>
      <w:bookmarkStart w:id="55" w:name="_Toc176429413"/>
      <w:bookmarkStart w:id="56" w:name="_Toc23123"/>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pPr>
        <w:snapToGrid w:val="0"/>
        <w:spacing w:before="120" w:beforeLines="50" w:after="50" w:line="360" w:lineRule="exact"/>
        <w:rPr>
          <w:rFonts w:ascii="宋体"/>
          <w:b/>
          <w:color w:val="000000" w:themeColor="text1"/>
          <w:szCs w:val="21"/>
          <w:highlight w:val="none"/>
          <w14:textFill>
            <w14:solidFill>
              <w14:schemeClr w14:val="tx1"/>
            </w14:solidFill>
          </w14:textFill>
        </w:rPr>
      </w:pPr>
    </w:p>
    <w:p>
      <w:pPr>
        <w:pStyle w:val="10"/>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pPr>
        <w:spacing w:line="500" w:lineRule="exact"/>
        <w:ind w:firstLine="420" w:firstLineChars="200"/>
        <w:rPr>
          <w:rFonts w:ascii="宋体"/>
          <w:color w:val="000000" w:themeColor="text1"/>
          <w:szCs w:val="21"/>
          <w:highlight w:val="none"/>
          <w14:textFill>
            <w14:solidFill>
              <w14:schemeClr w14:val="tx1"/>
            </w14:solidFill>
          </w14:textFill>
        </w:rPr>
      </w:pPr>
    </w:p>
    <w:p>
      <w:pPr>
        <w:spacing w:line="500" w:lineRule="exact"/>
        <w:ind w:firstLine="420" w:firstLineChars="200"/>
        <w:rPr>
          <w:rFonts w:ascii="宋体"/>
          <w:color w:val="000000" w:themeColor="text1"/>
          <w:szCs w:val="21"/>
          <w:highlight w:val="none"/>
          <w14:textFill>
            <w14:solidFill>
              <w14:schemeClr w14:val="tx1"/>
            </w14:solidFill>
          </w14:textFill>
        </w:rPr>
      </w:pPr>
    </w:p>
    <w:p>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pPr>
        <w:spacing w:line="520" w:lineRule="exact"/>
        <w:ind w:firstLine="3767" w:firstLineChars="1340"/>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pPr>
        <w:spacing w:line="520" w:lineRule="exact"/>
        <w:rPr>
          <w:rFonts w:ascii="宋体"/>
          <w:color w:val="000000" w:themeColor="text1"/>
          <w:sz w:val="24"/>
          <w:highlight w:val="none"/>
          <w14:textFill>
            <w14:solidFill>
              <w14:schemeClr w14:val="tx1"/>
            </w14:solidFill>
          </w14:textFill>
        </w:rPr>
      </w:pPr>
    </w:p>
    <w:p>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pPr>
        <w:adjustRightInd w:val="0"/>
        <w:snapToGrid w:val="0"/>
        <w:spacing w:line="360" w:lineRule="auto"/>
        <w:jc w:val="left"/>
        <w:rPr>
          <w:rFonts w:ascii="宋体"/>
          <w:color w:val="000000" w:themeColor="text1"/>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pPr>
        <w:spacing w:line="300" w:lineRule="auto"/>
        <w:ind w:left="420" w:hanging="420"/>
        <w:rPr>
          <w:rFonts w:hint="eastAsia" w:ascii="宋体"/>
          <w:b/>
          <w:color w:val="000000" w:themeColor="text1"/>
          <w:sz w:val="24"/>
          <w:highlight w:val="none"/>
          <w14:textFill>
            <w14:solidFill>
              <w14:schemeClr w14:val="tx1"/>
            </w14:solidFill>
          </w14:textFill>
        </w:rPr>
      </w:pPr>
    </w:p>
    <w:p>
      <w:pPr>
        <w:spacing w:line="300" w:lineRule="auto"/>
        <w:ind w:left="420" w:hanging="420"/>
        <w:rPr>
          <w:rFonts w:hint="eastAsia" w:ascii="宋体"/>
          <w:b/>
          <w:color w:val="000000" w:themeColor="text1"/>
          <w:sz w:val="24"/>
          <w:highlight w:val="none"/>
          <w14:textFill>
            <w14:solidFill>
              <w14:schemeClr w14:val="tx1"/>
            </w14:solidFill>
          </w14:textFill>
        </w:rPr>
      </w:pPr>
    </w:p>
    <w:p>
      <w:pPr>
        <w:spacing w:line="300" w:lineRule="auto"/>
        <w:ind w:left="420" w:hanging="420"/>
        <w:rPr>
          <w:rFonts w:hint="eastAsia" w:ascii="宋体"/>
          <w:b/>
          <w:color w:val="000000" w:themeColor="text1"/>
          <w:sz w:val="24"/>
          <w:highlight w:val="none"/>
          <w14:textFill>
            <w14:solidFill>
              <w14:schemeClr w14:val="tx1"/>
            </w14:solidFill>
          </w14:textFill>
        </w:rPr>
      </w:pPr>
    </w:p>
    <w:p>
      <w:pPr>
        <w:spacing w:line="300" w:lineRule="auto"/>
        <w:ind w:left="420" w:hanging="420"/>
        <w:rPr>
          <w:rFonts w:hint="eastAsia" w:ascii="宋体"/>
          <w:b/>
          <w:color w:val="000000" w:themeColor="text1"/>
          <w:sz w:val="24"/>
          <w:highlight w:val="none"/>
          <w14:textFill>
            <w14:solidFill>
              <w14:schemeClr w14:val="tx1"/>
            </w14:solidFill>
          </w14:textFill>
        </w:rPr>
      </w:pPr>
    </w:p>
    <w:p>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pPr>
        <w:pStyle w:val="26"/>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8"/>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pStyle w:val="2"/>
        <w:rPr>
          <w:rFonts w:hint="eastAsia"/>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8"/>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pPr>
        <w:spacing w:line="520" w:lineRule="exact"/>
        <w:jc w:val="center"/>
        <w:rPr>
          <w:rFonts w:ascii="宋体"/>
          <w:b/>
          <w:color w:val="000000" w:themeColor="text1"/>
          <w:szCs w:val="21"/>
          <w:highlight w:val="none"/>
          <w14:textFill>
            <w14:solidFill>
              <w14:schemeClr w14:val="tx1"/>
            </w14:solidFill>
          </w14:textFill>
        </w:rPr>
      </w:pPr>
    </w:p>
    <w:p>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广西中之元工程管理有限公司</w:t>
      </w:r>
      <w:r>
        <w:rPr>
          <w:rFonts w:hint="eastAsia"/>
          <w:color w:val="000000" w:themeColor="text1"/>
          <w:sz w:val="24"/>
          <w:szCs w:val="24"/>
          <w:highlight w:val="none"/>
          <w14:textFill>
            <w14:solidFill>
              <w14:schemeClr w14:val="tx1"/>
            </w14:solidFill>
          </w14:textFill>
        </w:rPr>
        <w:t>：</w:t>
      </w:r>
    </w:p>
    <w:p>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pPr>
        <w:pStyle w:val="22"/>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pPr>
        <w:pStyle w:val="22"/>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pPr>
        <w:pStyle w:val="22"/>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pPr>
        <w:pStyle w:val="22"/>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pStyle w:val="22"/>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pPr>
        <w:pStyle w:val="22"/>
        <w:spacing w:line="360" w:lineRule="auto"/>
        <w:ind w:firstLine="840"/>
        <w:rPr>
          <w:color w:val="000000" w:themeColor="text1"/>
          <w:sz w:val="24"/>
          <w:szCs w:val="24"/>
          <w:highlight w:val="none"/>
          <w14:textFill>
            <w14:solidFill>
              <w14:schemeClr w14:val="tx1"/>
            </w14:solidFill>
          </w14:textFill>
        </w:rPr>
      </w:pPr>
    </w:p>
    <w:p>
      <w:pPr>
        <w:pStyle w:val="22"/>
        <w:spacing w:line="360" w:lineRule="auto"/>
        <w:ind w:firstLine="840"/>
        <w:rPr>
          <w:color w:val="000000" w:themeColor="text1"/>
          <w:sz w:val="24"/>
          <w:szCs w:val="24"/>
          <w:highlight w:val="none"/>
          <w14:textFill>
            <w14:solidFill>
              <w14:schemeClr w14:val="tx1"/>
            </w14:solidFill>
          </w14:textFill>
        </w:rPr>
      </w:pPr>
    </w:p>
    <w:p>
      <w:pPr>
        <w:pStyle w:val="22"/>
        <w:spacing w:line="360" w:lineRule="auto"/>
        <w:ind w:firstLine="840"/>
        <w:rPr>
          <w:color w:val="000000" w:themeColor="text1"/>
          <w:sz w:val="24"/>
          <w:szCs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pStyle w:val="22"/>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spacing w:line="360" w:lineRule="auto"/>
        <w:rPr>
          <w:rFonts w:ascii="宋体"/>
          <w:color w:val="000000" w:themeColor="text1"/>
          <w:sz w:val="24"/>
          <w:highlight w:val="none"/>
          <w14:textFill>
            <w14:solidFill>
              <w14:schemeClr w14:val="tx1"/>
            </w14:solidFill>
          </w14:textFill>
        </w:rPr>
      </w:pPr>
    </w:p>
    <w:p>
      <w:pPr>
        <w:spacing w:line="300" w:lineRule="auto"/>
        <w:rPr>
          <w:color w:val="000000" w:themeColor="text1"/>
          <w:highlight w:val="none"/>
          <w14:textFill>
            <w14:solidFill>
              <w14:schemeClr w14:val="tx1"/>
            </w14:solidFill>
          </w14:textFill>
        </w:rPr>
      </w:pPr>
    </w:p>
    <w:p>
      <w:pPr>
        <w:spacing w:line="300" w:lineRule="auto"/>
        <w:rPr>
          <w:color w:val="000000" w:themeColor="text1"/>
          <w:highlight w:val="none"/>
          <w14:textFill>
            <w14:solidFill>
              <w14:schemeClr w14:val="tx1"/>
            </w14:solidFill>
          </w14:textFill>
        </w:rPr>
      </w:pPr>
    </w:p>
    <w:p>
      <w:pPr>
        <w:spacing w:line="300" w:lineRule="auto"/>
        <w:ind w:left="420" w:hanging="420"/>
        <w:rPr>
          <w:color w:val="000000" w:themeColor="text1"/>
          <w:highlight w:val="none"/>
          <w14:textFill>
            <w14:solidFill>
              <w14:schemeClr w14:val="tx1"/>
            </w14:solidFill>
          </w14:textFill>
        </w:rPr>
      </w:pPr>
    </w:p>
    <w:p>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spacing w:line="300" w:lineRule="auto"/>
        <w:ind w:left="420" w:hanging="420"/>
        <w:rPr>
          <w:rFonts w:ascii="宋体"/>
          <w:b/>
          <w:color w:val="000000" w:themeColor="text1"/>
          <w:highlight w:val="none"/>
          <w14:textFill>
            <w14:solidFill>
              <w14:schemeClr w14:val="tx1"/>
            </w14:solidFill>
          </w14:textFill>
        </w:rPr>
      </w:pPr>
    </w:p>
    <w:p>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pPr>
        <w:adjustRightInd w:val="0"/>
        <w:snapToGrid w:val="0"/>
        <w:spacing w:line="520" w:lineRule="exact"/>
        <w:rPr>
          <w:rFonts w:ascii="宋体"/>
          <w:color w:val="000000" w:themeColor="text1"/>
          <w:szCs w:val="21"/>
          <w:highlight w:val="non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广西中之元工程管理有限公司</w:t>
      </w:r>
      <w:r>
        <w:rPr>
          <w:rFonts w:hint="eastAsia" w:ascii="宋体"/>
          <w:color w:val="000000" w:themeColor="text1"/>
          <w:sz w:val="24"/>
          <w:highlight w:val="none"/>
          <w14:textFill>
            <w14:solidFill>
              <w14:schemeClr w14:val="tx1"/>
            </w14:solidFill>
          </w14:textFill>
        </w:rPr>
        <w:t>：</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pPr>
        <w:spacing w:line="360" w:lineRule="auto"/>
        <w:rPr>
          <w:rFonts w:ascii="宋体"/>
          <w:color w:val="000000" w:themeColor="text1"/>
          <w:sz w:val="24"/>
          <w:highlight w:val="non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pPr>
        <w:spacing w:line="360" w:lineRule="auto"/>
        <w:rPr>
          <w:rFonts w:ascii="宋体"/>
          <w:color w:val="000000" w:themeColor="text1"/>
          <w:sz w:val="24"/>
          <w:highlight w:val="non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pPr>
        <w:pStyle w:val="22"/>
        <w:spacing w:line="360" w:lineRule="auto"/>
        <w:rPr>
          <w:color w:val="000000" w:themeColor="text1"/>
          <w:sz w:val="24"/>
          <w:szCs w:val="24"/>
          <w:highlight w:val="none"/>
          <w14:textFill>
            <w14:solidFill>
              <w14:schemeClr w14:val="tx1"/>
            </w14:solidFill>
          </w14:textFill>
        </w:rPr>
      </w:pPr>
    </w:p>
    <w:p>
      <w:pPr>
        <w:pStyle w:val="22"/>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pStyle w:val="22"/>
        <w:spacing w:line="300" w:lineRule="auto"/>
        <w:rPr>
          <w:color w:val="000000" w:themeColor="text1"/>
          <w:highlight w:val="none"/>
          <w14:textFill>
            <w14:solidFill>
              <w14:schemeClr w14:val="tx1"/>
            </w14:solidFill>
          </w14:textFill>
        </w:rPr>
      </w:pPr>
    </w:p>
    <w:p>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pPr>
        <w:adjustRightInd w:val="0"/>
        <w:snapToGrid w:val="0"/>
        <w:spacing w:line="276" w:lineRule="auto"/>
        <w:rPr>
          <w:rFonts w:ascii="宋体"/>
          <w:color w:val="000000" w:themeColor="text1"/>
          <w:sz w:val="24"/>
          <w:highlight w:val="none"/>
          <w14:textFill>
            <w14:solidFill>
              <w14:schemeClr w14:val="tx1"/>
            </w14:solidFill>
          </w14:textFill>
        </w:rPr>
      </w:pPr>
    </w:p>
    <w:p>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pPr>
        <w:adjustRightInd w:val="0"/>
        <w:snapToGrid w:val="0"/>
        <w:spacing w:line="276" w:lineRule="auto"/>
        <w:rPr>
          <w:rFonts w:ascii="宋体"/>
          <w:color w:val="000000" w:themeColor="text1"/>
          <w:sz w:val="24"/>
          <w:highlight w:val="none"/>
          <w14:textFill>
            <w14:solidFill>
              <w14:schemeClr w14:val="tx1"/>
            </w14:solidFill>
          </w14:textFill>
        </w:rPr>
      </w:pPr>
    </w:p>
    <w:p>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pPr>
        <w:adjustRightInd w:val="0"/>
        <w:snapToGrid w:val="0"/>
        <w:spacing w:line="276" w:lineRule="auto"/>
        <w:rPr>
          <w:rFonts w:ascii="宋体"/>
          <w:color w:val="000000" w:themeColor="text1"/>
          <w:sz w:val="24"/>
          <w:highlight w:val="none"/>
          <w14:textFill>
            <w14:solidFill>
              <w14:schemeClr w14:val="tx1"/>
            </w14:solidFill>
          </w14:textFill>
        </w:rPr>
      </w:pPr>
    </w:p>
    <w:p>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pPr>
        <w:adjustRightInd w:val="0"/>
        <w:snapToGrid w:val="0"/>
        <w:spacing w:line="276" w:lineRule="auto"/>
        <w:rPr>
          <w:rFonts w:ascii="宋体"/>
          <w:color w:val="000000" w:themeColor="text1"/>
          <w:sz w:val="24"/>
          <w:highlight w:val="none"/>
          <w14:textFill>
            <w14:solidFill>
              <w14:schemeClr w14:val="tx1"/>
            </w14:solidFill>
          </w14:textFill>
        </w:rPr>
      </w:pPr>
    </w:p>
    <w:p>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pPr>
        <w:pStyle w:val="22"/>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pPr>
        <w:pStyle w:val="22"/>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pPr>
              <w:snapToGrid w:val="0"/>
              <w:spacing w:line="360" w:lineRule="exact"/>
              <w:rPr>
                <w:rFonts w:ascii="宋体"/>
                <w:color w:val="000000" w:themeColor="text1"/>
                <w:sz w:val="24"/>
                <w:highlight w:val="none"/>
                <w14:textFill>
                  <w14:solidFill>
                    <w14:schemeClr w14:val="tx1"/>
                  </w14:solidFill>
                </w14:textFill>
              </w:rPr>
            </w:pPr>
          </w:p>
        </w:tc>
      </w:tr>
    </w:tbl>
    <w:p>
      <w:pPr>
        <w:pStyle w:val="22"/>
        <w:spacing w:line="300" w:lineRule="auto"/>
        <w:rPr>
          <w:color w:val="000000" w:themeColor="text1"/>
          <w:highlight w:val="none"/>
          <w14:textFill>
            <w14:solidFill>
              <w14:schemeClr w14:val="tx1"/>
            </w14:solidFill>
          </w14:textFill>
        </w:rPr>
      </w:pPr>
    </w:p>
    <w:p>
      <w:pPr>
        <w:pStyle w:val="22"/>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pStyle w:val="2"/>
        <w:ind w:firstLine="1197"/>
        <w:rPr>
          <w:rFonts w:hint="eastAsia" w:eastAsia="宋体"/>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8"/>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bl>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bl>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bl>
    <w:p>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p>
    <w:tbl>
      <w:tblPr>
        <w:tblStyle w:val="38"/>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pPr>
        <w:spacing w:line="95" w:lineRule="exact"/>
        <w:rPr>
          <w:rFonts w:ascii="宋体" w:hAnsi="宋体" w:cs="宋体"/>
          <w:color w:val="000000" w:themeColor="text1"/>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pPr>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bl>
    <w:p>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pPr>
        <w:rPr>
          <w:rFonts w:ascii="宋体" w:hAnsi="宋体" w:cs="宋体"/>
          <w:color w:val="000000" w:themeColor="text1"/>
          <w:sz w:val="24"/>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bl>
    <w:p>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4741"/>
      <w:bookmarkStart w:id="59" w:name="_Toc176429414"/>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pPr>
        <w:spacing w:line="95" w:lineRule="exact"/>
        <w:rPr>
          <w:rFonts w:ascii="宋体" w:hAnsi="宋体" w:cs="宋体"/>
          <w:color w:val="000000" w:themeColor="text1"/>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1200" w:type="dxa"/>
            <w:shd w:val="clear" w:color="auto" w:fill="auto"/>
          </w:tcPr>
          <w:p>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1200" w:type="dxa"/>
            <w:shd w:val="clear" w:color="auto" w:fill="auto"/>
          </w:tcPr>
          <w:p>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1200" w:type="dxa"/>
            <w:shd w:val="clear" w:color="auto" w:fill="auto"/>
          </w:tcPr>
          <w:p>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200" w:type="dxa"/>
            <w:shd w:val="clear" w:color="auto" w:fill="auto"/>
          </w:tcPr>
          <w:p>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jc w:val="center"/>
        </w:trPr>
        <w:tc>
          <w:tcPr>
            <w:tcW w:w="1200" w:type="dxa"/>
            <w:shd w:val="clear" w:color="auto" w:fill="auto"/>
          </w:tcPr>
          <w:p>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pPr>
              <w:spacing w:line="298" w:lineRule="auto"/>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20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9623" w:type="dxa"/>
            <w:gridSpan w:val="13"/>
            <w:shd w:val="clear" w:color="auto" w:fill="auto"/>
          </w:tcPr>
          <w:p>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1630" w:type="dxa"/>
            <w:gridSpan w:val="2"/>
            <w:shd w:val="clear" w:color="auto" w:fill="auto"/>
          </w:tcPr>
          <w:p>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jc w:val="center"/>
        </w:trPr>
        <w:tc>
          <w:tcPr>
            <w:tcW w:w="1630" w:type="dxa"/>
            <w:gridSpan w:val="2"/>
            <w:shd w:val="clear" w:color="auto" w:fill="auto"/>
          </w:tcPr>
          <w:p>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jc w:val="center"/>
        </w:trPr>
        <w:tc>
          <w:tcPr>
            <w:tcW w:w="1630" w:type="dxa"/>
            <w:gridSpan w:val="2"/>
            <w:shd w:val="clear" w:color="auto" w:fill="auto"/>
          </w:tcPr>
          <w:p>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jc w:val="center"/>
        </w:trPr>
        <w:tc>
          <w:tcPr>
            <w:tcW w:w="1630" w:type="dxa"/>
            <w:gridSpan w:val="2"/>
            <w:shd w:val="clear" w:color="auto" w:fill="auto"/>
          </w:tcPr>
          <w:p>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jc w:val="center"/>
        </w:trPr>
        <w:tc>
          <w:tcPr>
            <w:tcW w:w="1630" w:type="dxa"/>
            <w:gridSpan w:val="2"/>
            <w:shd w:val="clear" w:color="auto" w:fill="auto"/>
          </w:tcPr>
          <w:p>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9" w:hRule="atLeast"/>
          <w:jc w:val="center"/>
        </w:trPr>
        <w:tc>
          <w:tcPr>
            <w:tcW w:w="1630" w:type="dxa"/>
            <w:gridSpan w:val="2"/>
            <w:shd w:val="clear" w:color="auto" w:fill="auto"/>
          </w:tcPr>
          <w:p>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bl>
    <w:p>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67" w:lineRule="exact"/>
        <w:rPr>
          <w:rFonts w:ascii="宋体" w:hAnsi="宋体" w:cs="宋体"/>
          <w:color w:val="000000" w:themeColor="text1"/>
          <w:sz w:val="24"/>
          <w:highlight w:val="none"/>
          <w14:textFill>
            <w14:solidFill>
              <w14:schemeClr w14:val="tx1"/>
            </w14:solidFill>
          </w14:textFill>
        </w:rPr>
      </w:pPr>
    </w:p>
    <w:tbl>
      <w:tblPr>
        <w:tblStyle w:val="38"/>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pPr>
              <w:spacing w:line="287" w:lineRule="auto"/>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bl>
    <w:p>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pPr>
        <w:pStyle w:val="10"/>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8"/>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pPr>
        <w:adjustRightInd w:val="0"/>
        <w:snapToGrid w:val="0"/>
        <w:spacing w:line="300" w:lineRule="auto"/>
        <w:rPr>
          <w:rFonts w:ascii="宋体"/>
          <w:b/>
          <w:color w:val="000000" w:themeColor="text1"/>
          <w:sz w:val="24"/>
          <w:highlight w:val="none"/>
          <w14:textFill>
            <w14:solidFill>
              <w14:schemeClr w14:val="tx1"/>
            </w14:solidFill>
          </w14:textFill>
        </w:rPr>
      </w:pPr>
    </w:p>
    <w:p>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pPr>
        <w:spacing w:before="2" w:line="500" w:lineRule="exact"/>
        <w:rPr>
          <w:rFonts w:ascii="宋体" w:hAnsi="宋体" w:cs="宋体"/>
          <w:b/>
          <w:bCs/>
          <w:color w:val="000000" w:themeColor="text1"/>
          <w:sz w:val="24"/>
          <w:highlight w:val="none"/>
          <w14:textFill>
            <w14:solidFill>
              <w14:schemeClr w14:val="tx1"/>
            </w14:solidFill>
          </w14:textFill>
        </w:rPr>
      </w:pPr>
    </w:p>
    <w:p>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pPr>
        <w:spacing w:line="360" w:lineRule="auto"/>
        <w:ind w:firstLine="420"/>
        <w:rPr>
          <w:bCs/>
          <w:color w:val="000000" w:themeColor="text1"/>
          <w:sz w:val="24"/>
          <w:highlight w:val="none"/>
          <w14:textFill>
            <w14:solidFill>
              <w14:schemeClr w14:val="tx1"/>
            </w14:solidFill>
          </w14:textFill>
        </w:rPr>
      </w:pPr>
    </w:p>
    <w:p>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pPr>
        <w:spacing w:line="360" w:lineRule="auto"/>
        <w:jc w:val="left"/>
        <w:rPr>
          <w:bCs/>
          <w:color w:val="000000" w:themeColor="text1"/>
          <w:sz w:val="24"/>
          <w:highlight w:val="none"/>
          <w14:textFill>
            <w14:solidFill>
              <w14:schemeClr w14:val="tx1"/>
            </w14:solidFill>
          </w14:textFill>
        </w:rPr>
      </w:pPr>
    </w:p>
    <w:p>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pPr>
        <w:spacing w:line="360" w:lineRule="exact"/>
        <w:ind w:firstLine="6720" w:firstLineChars="3200"/>
        <w:rPr>
          <w:rFonts w:ascii="宋体" w:cs="Courier New"/>
          <w:color w:val="000000" w:themeColor="text1"/>
          <w:szCs w:val="21"/>
          <w:highlight w:val="none"/>
          <w14:textFill>
            <w14:solidFill>
              <w14:schemeClr w14:val="tx1"/>
            </w14:solidFill>
          </w14:textFill>
        </w:rPr>
      </w:pPr>
    </w:p>
    <w:p>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pPr>
        <w:spacing w:line="588" w:lineRule="exact"/>
        <w:rPr>
          <w:rFonts w:ascii="宋体"/>
          <w:color w:val="000000" w:themeColor="text1"/>
          <w:szCs w:val="21"/>
          <w:highlight w:val="none"/>
          <w14:textFill>
            <w14:solidFill>
              <w14:schemeClr w14:val="tx1"/>
            </w14:solidFill>
          </w14:textFill>
        </w:rPr>
      </w:pPr>
    </w:p>
    <w:p>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pPr>
        <w:spacing w:line="588" w:lineRule="exact"/>
        <w:ind w:firstLine="480" w:firstLineChars="200"/>
        <w:rPr>
          <w:rFonts w:ascii="宋体"/>
          <w:color w:val="000000" w:themeColor="text1"/>
          <w:sz w:val="24"/>
          <w:highlight w:val="none"/>
          <w14:textFill>
            <w14:solidFill>
              <w14:schemeClr w14:val="tx1"/>
            </w14:solidFill>
          </w14:textFill>
        </w:rPr>
      </w:pPr>
    </w:p>
    <w:p>
      <w:pPr>
        <w:spacing w:line="588" w:lineRule="exact"/>
        <w:ind w:firstLine="480" w:firstLineChars="200"/>
        <w:rPr>
          <w:rFonts w:ascii="宋体"/>
          <w:color w:val="000000" w:themeColor="text1"/>
          <w:sz w:val="24"/>
          <w:highlight w:val="none"/>
          <w14:textFill>
            <w14:solidFill>
              <w14:schemeClr w14:val="tx1"/>
            </w14:solidFill>
          </w14:textFill>
        </w:rPr>
      </w:pPr>
    </w:p>
    <w:p>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pPr>
        <w:spacing w:line="360" w:lineRule="auto"/>
        <w:rPr>
          <w:rFonts w:ascii="宋体" w:hAnsi="宋体" w:cs="宋体"/>
          <w:b/>
          <w:color w:val="000000" w:themeColor="text1"/>
          <w:spacing w:val="6"/>
          <w:sz w:val="24"/>
          <w:highlight w:val="none"/>
          <w14:textFill>
            <w14:solidFill>
              <w14:schemeClr w14:val="tx1"/>
            </w14:solidFill>
          </w14:textFill>
        </w:rPr>
      </w:pPr>
    </w:p>
    <w:p>
      <w:pPr>
        <w:spacing w:line="360" w:lineRule="auto"/>
        <w:rPr>
          <w:rFonts w:ascii="宋体" w:hAnsi="宋体" w:cs="宋体"/>
          <w:b/>
          <w:color w:val="000000" w:themeColor="text1"/>
          <w:spacing w:val="6"/>
          <w:sz w:val="24"/>
          <w:highlight w:val="none"/>
          <w14:textFill>
            <w14:solidFill>
              <w14:schemeClr w14:val="tx1"/>
            </w14:solidFill>
          </w14:textFill>
        </w:rPr>
      </w:pPr>
    </w:p>
    <w:p>
      <w:pPr>
        <w:spacing w:line="360" w:lineRule="auto"/>
        <w:rPr>
          <w:rFonts w:ascii="宋体" w:hAnsi="宋体" w:cs="宋体"/>
          <w:b/>
          <w:color w:val="000000" w:themeColor="text1"/>
          <w:spacing w:val="6"/>
          <w:sz w:val="24"/>
          <w:highlight w:val="none"/>
          <w14:textFill>
            <w14:solidFill>
              <w14:schemeClr w14:val="tx1"/>
            </w14:solidFill>
          </w14:textFill>
        </w:rPr>
      </w:pPr>
    </w:p>
    <w:p>
      <w:pPr>
        <w:pStyle w:val="2"/>
      </w:pPr>
    </w:p>
    <w:p>
      <w:pPr>
        <w:spacing w:line="360" w:lineRule="auto"/>
        <w:rPr>
          <w:rFonts w:ascii="宋体" w:hAnsi="宋体" w:cs="宋体"/>
          <w:b/>
          <w:color w:val="000000" w:themeColor="text1"/>
          <w:spacing w:val="6"/>
          <w:sz w:val="24"/>
          <w:highlight w:val="none"/>
          <w14:textFill>
            <w14:solidFill>
              <w14:schemeClr w14:val="tx1"/>
            </w14:solidFill>
          </w14:textFill>
        </w:rPr>
      </w:pPr>
    </w:p>
    <w:p>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jc w:val="center"/>
        <w:rPr>
          <w:rFonts w:ascii="宋体" w:hAnsi="宋体" w:cs="宋体"/>
          <w:b/>
          <w:bCs/>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napToGrid w:val="0"/>
        <w:spacing w:line="440" w:lineRule="exact"/>
        <w:rPr>
          <w:rFonts w:ascii="黑体"/>
          <w:color w:val="000000" w:themeColor="text1"/>
          <w:sz w:val="24"/>
          <w:highlight w:val="none"/>
          <w14:textFill>
            <w14:solidFill>
              <w14:schemeClr w14:val="tx1"/>
            </w14:solidFill>
          </w14:textFill>
        </w:rPr>
      </w:pPr>
    </w:p>
    <w:p>
      <w:pPr>
        <w:pStyle w:val="90"/>
        <w:rPr>
          <w:color w:val="000000" w:themeColor="text1"/>
          <w:szCs w:val="24"/>
          <w:highlight w:val="none"/>
          <w14:textFill>
            <w14:solidFill>
              <w14:schemeClr w14:val="tx1"/>
            </w14:solidFill>
          </w14:textFill>
        </w:rPr>
      </w:pPr>
    </w:p>
    <w:p>
      <w:pPr>
        <w:pStyle w:val="90"/>
        <w:rPr>
          <w:color w:val="000000" w:themeColor="text1"/>
          <w:szCs w:val="24"/>
          <w:highlight w:val="none"/>
          <w14:textFill>
            <w14:solidFill>
              <w14:schemeClr w14:val="tx1"/>
            </w14:solidFill>
          </w14:textFill>
        </w:rPr>
      </w:pPr>
    </w:p>
    <w:p>
      <w:pPr>
        <w:pStyle w:val="90"/>
        <w:rPr>
          <w:color w:val="000000" w:themeColor="text1"/>
          <w:szCs w:val="24"/>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176861409"/>
      <w:bookmarkStart w:id="61" w:name="_Toc26063"/>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40" w:lineRule="exact"/>
        <w:jc w:val="center"/>
        <w:rPr>
          <w:color w:val="000000" w:themeColor="text1"/>
          <w:sz w:val="36"/>
          <w:szCs w:val="36"/>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合浦县星岛湖镇上洋小学义务教育教师周转房项目</w:t>
      </w:r>
      <w:r>
        <w:rPr>
          <w:rFonts w:hint="eastAsia" w:ascii="宋体" w:hAnsi="宋体" w:cs="仿宋_GB2312"/>
          <w:b w:val="0"/>
          <w:bCs w:val="0"/>
          <w:color w:val="000000" w:themeColor="text1"/>
          <w:sz w:val="24"/>
          <w:lang w:val="en-US" w:eastAsia="zh-CN"/>
          <w14:textFill>
            <w14:solidFill>
              <w14:schemeClr w14:val="tx1"/>
            </w14:solidFill>
          </w14:textFill>
        </w:rPr>
        <w:t>。</w:t>
      </w:r>
    </w:p>
    <w:p>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合浦县星岛湖镇上洋小学义务教育教师周转房项目</w:t>
      </w:r>
    </w:p>
    <w:p>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1.工期要求：</w:t>
      </w:r>
      <w:r>
        <w:rPr>
          <w:rFonts w:hint="eastAsia" w:ascii="宋体" w:hAnsi="宋体" w:cs="仿宋_GB2312"/>
          <w:color w:val="000000" w:themeColor="text1"/>
          <w:sz w:val="24"/>
          <w:lang w:val="en-US" w:eastAsia="zh-CN"/>
          <w14:textFill>
            <w14:solidFill>
              <w14:schemeClr w14:val="tx1"/>
            </w14:solidFill>
          </w14:textFill>
        </w:rPr>
        <w:t>180日历天</w:t>
      </w:r>
      <w:r>
        <w:rPr>
          <w:rFonts w:hint="eastAsia" w:ascii="宋体" w:hAnsi="宋体"/>
          <w:color w:val="000000" w:themeColor="text1"/>
          <w:sz w:val="24"/>
          <w:u w:val="single"/>
          <w14:textFill>
            <w14:solidFill>
              <w14:schemeClr w14:val="tx1"/>
            </w14:solidFill>
          </w14:textFill>
        </w:rPr>
        <w:t xml:space="preserve">                                      </w:t>
      </w:r>
    </w:p>
    <w:p>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2.工程地点：</w:t>
      </w:r>
      <w:r>
        <w:rPr>
          <w:rFonts w:hint="eastAsia" w:ascii="宋体" w:hAnsi="宋体" w:cs="仿宋_GB2312"/>
          <w:color w:val="000000" w:themeColor="text1"/>
          <w:sz w:val="24"/>
          <w:lang w:eastAsia="zh-CN"/>
          <w14:textFill>
            <w14:solidFill>
              <w14:schemeClr w14:val="tx1"/>
            </w14:solidFill>
          </w14:textFill>
        </w:rPr>
        <w:t>合浦县星岛湖镇上洋小学校园内</w:t>
      </w:r>
      <w:r>
        <w:rPr>
          <w:rFonts w:hint="eastAsia" w:ascii="宋体" w:hAnsi="宋体"/>
          <w:color w:val="000000" w:themeColor="text1"/>
          <w:sz w:val="24"/>
          <w:u w:val="single"/>
          <w14:textFill>
            <w14:solidFill>
              <w14:schemeClr w14:val="tx1"/>
            </w14:solidFill>
          </w14:textFill>
        </w:rPr>
        <w:t xml:space="preserve">                                     </w:t>
      </w:r>
    </w:p>
    <w:p>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3.付款条件（进度和方式）</w:t>
      </w:r>
    </w:p>
    <w:p>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 xml:space="preserve">预付款支付比例或金额：开工前预付合同价款（扣除建安劳保费、安全文明措施费、发包人材料款、暂估专业工程、暂列金额）的30%。 </w:t>
      </w:r>
    </w:p>
    <w:p>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预付款支付期限：合同生效后7个工作日内支付。</w:t>
      </w:r>
    </w:p>
    <w:p>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预付款扣回的方式：按每期工程进度款同比例进行扣回，工程进度款支付至85%时若还剩余预付款则一次性扣完。</w:t>
      </w:r>
    </w:p>
    <w:p>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进度款支付：工程款原则上按月支付，合同内进度款支付限额为已完成工程量的 85%，工程变更部分进度款支付限额为已完成工程量的70%，完成消防验收、规划验收及竣工验收后才能支付至合同总款的85%；工程完工验收达到质量要求，完成项目竣工备案，结算经相关部门审核后，工程款支付至结算总价的92%；审计结果经审计部门确认后，工程款支付至结算总价的97%，发包人按工程价款结算总额的 3 %预留工程质量保修金，待工程质量缺陷责任期满经参建各方验收合格后返还。</w:t>
      </w:r>
    </w:p>
    <w:p>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（2）工期：180日历天。</w:t>
      </w:r>
    </w:p>
    <w:p>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（3）缺陷责任期：24个月。</w:t>
      </w:r>
    </w:p>
    <w:p>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pPr>
        <w:pStyle w:val="4"/>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pPr>
        <w:pStyle w:val="90"/>
        <w:rPr>
          <w:color w:val="000000" w:themeColor="text1"/>
          <w:highlight w:val="none"/>
          <w14:textFill>
            <w14:solidFill>
              <w14:schemeClr w14:val="tx1"/>
            </w14:solidFill>
          </w14:textFill>
        </w:rPr>
      </w:pPr>
      <w:bookmarkStart w:id="62" w:name="_Toc27757"/>
      <w:bookmarkStart w:id="63" w:name="_Toc176429415"/>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5"/>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pPr>
        <w:spacing w:line="440" w:lineRule="exact"/>
        <w:jc w:val="center"/>
        <w:rPr>
          <w:rFonts w:eastAsia="仿宋_GB2312"/>
          <w:color w:val="000000" w:themeColor="text1"/>
          <w:sz w:val="36"/>
          <w:szCs w:val="36"/>
          <w:highlight w:val="none"/>
          <w14:textFill>
            <w14:solidFill>
              <w14:schemeClr w14:val="tx1"/>
            </w14:solidFill>
          </w14:textFill>
        </w:rPr>
      </w:pPr>
    </w:p>
    <w:p>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600" w:lineRule="exact"/>
        <w:rPr>
          <w:color w:val="000000" w:themeColor="text1"/>
          <w:szCs w:val="21"/>
          <w:highlight w:val="none"/>
          <w14:textFill>
            <w14:solidFill>
              <w14:schemeClr w14:val="tx1"/>
            </w14:solidFill>
          </w14:textFill>
        </w:rPr>
      </w:pPr>
    </w:p>
    <w:p>
      <w:pPr>
        <w:spacing w:line="300" w:lineRule="auto"/>
        <w:rPr>
          <w:rFonts w:ascii="方正宋黑简体" w:hAnsi="宋体" w:eastAsia="方正宋黑简体"/>
          <w:b/>
          <w:color w:val="000000" w:themeColor="text1"/>
          <w:szCs w:val="21"/>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7888"/>
      <w:bookmarkStart w:id="67" w:name="_Toc31815"/>
      <w:bookmarkStart w:id="68" w:name="_Toc13588"/>
      <w:bookmarkStart w:id="69" w:name="_Toc176429416"/>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pPr>
        <w:pStyle w:val="22"/>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pPr>
        <w:pStyle w:val="22"/>
        <w:rPr>
          <w:rFonts w:hAnsi="宋体"/>
          <w:color w:val="000000" w:themeColor="text1"/>
          <w:highlight w:val="none"/>
          <w14:textFill>
            <w14:solidFill>
              <w14:schemeClr w14:val="tx1"/>
            </w14:solidFill>
          </w14:textFill>
        </w:rPr>
      </w:pPr>
    </w:p>
    <w:p>
      <w:pPr>
        <w:pStyle w:val="22"/>
        <w:rPr>
          <w:rFonts w:hAnsi="宋体"/>
          <w:color w:val="000000" w:themeColor="text1"/>
          <w:highlight w:val="none"/>
          <w14:textFill>
            <w14:solidFill>
              <w14:schemeClr w14:val="tx1"/>
            </w14:solidFill>
          </w14:textFill>
        </w:rPr>
      </w:pPr>
    </w:p>
    <w:p>
      <w:pPr>
        <w:pStyle w:val="22"/>
        <w:rPr>
          <w:rFonts w:hAnsi="宋体"/>
          <w:color w:val="000000" w:themeColor="text1"/>
          <w:highlight w:val="none"/>
          <w14:textFill>
            <w14:solidFill>
              <w14:schemeClr w14:val="tx1"/>
            </w14:solidFill>
          </w14:textFill>
        </w:rPr>
      </w:pPr>
    </w:p>
    <w:p>
      <w:pPr>
        <w:pStyle w:val="22"/>
        <w:rPr>
          <w:rFonts w:hAnsi="宋体"/>
          <w:color w:val="000000" w:themeColor="text1"/>
          <w:highlight w:val="none"/>
          <w14:textFill>
            <w14:solidFill>
              <w14:schemeClr w14:val="tx1"/>
            </w14:solidFill>
          </w14:textFill>
        </w:rPr>
      </w:pPr>
    </w:p>
    <w:p>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p>
    <w:p>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pPr>
        <w:pStyle w:val="22"/>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pPr>
        <w:pStyle w:val="22"/>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pPr>
        <w:snapToGrid w:val="0"/>
        <w:spacing w:line="360" w:lineRule="auto"/>
        <w:jc w:val="center"/>
        <w:rPr>
          <w:rFonts w:ascii="宋体" w:hAnsi="宋体"/>
          <w:b/>
          <w:bCs/>
          <w:color w:val="000000" w:themeColor="text1"/>
          <w:sz w:val="24"/>
          <w:highlight w:val="none"/>
          <w14:textFill>
            <w14:solidFill>
              <w14:schemeClr w14:val="tx1"/>
            </w14:solidFill>
          </w14:textFill>
        </w:rPr>
      </w:pPr>
    </w:p>
    <w:p>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pPr>
        <w:snapToGrid w:val="0"/>
        <w:spacing w:line="360" w:lineRule="auto"/>
        <w:rPr>
          <w:rFonts w:ascii="宋体" w:hAnsi="宋体"/>
          <w:color w:val="000000" w:themeColor="text1"/>
          <w:sz w:val="24"/>
          <w:highlight w:val="none"/>
          <w14:textFill>
            <w14:solidFill>
              <w14:schemeClr w14:val="tx1"/>
            </w14:solidFill>
          </w14:textFill>
        </w:rPr>
      </w:pPr>
    </w:p>
    <w:p>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pPr>
        <w:pStyle w:val="7"/>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pPr>
        <w:pStyle w:val="7"/>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color w:val="auto"/>
          <w:sz w:val="24"/>
          <w:highlight w:val="none"/>
          <w:u w:val="single"/>
        </w:rPr>
        <w:t>工程款原则上按月支付，合同内进度款支付限额为已完成工程量的 85%，工程变更部分进度款支付限额为已完成工程量的70%，完成消防验收、规划验收及竣工验收后才能支付至合同总款的85%；工程完工验收达到质量要求，完成项目竣工备案，结算经相关部门审核后，工程款支付至结算总价的92%；审计结果经审计部门确认后，工程款支付至结算总价的97%，发包人按工程价款结算总额的 3 %预留工程质量保修金，待工程质量缺陷责任期满经参建各方验收合格后返还。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rPr>
                <w:color w:val="000000"/>
                <w:highlight w:val="none"/>
              </w:rPr>
            </w:pPr>
          </w:p>
        </w:tc>
        <w:tc>
          <w:tcPr>
            <w:tcW w:w="2466" w:type="dxa"/>
            <w:noWrap w:val="0"/>
            <w:vAlign w:val="center"/>
          </w:tcPr>
          <w:p>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center"/>
              <w:rPr>
                <w:color w:val="000000"/>
                <w:highlight w:val="none"/>
              </w:rPr>
            </w:pPr>
            <w:r>
              <w:rPr>
                <w:color w:val="000000"/>
                <w:highlight w:val="none"/>
              </w:rPr>
              <w:t>1</w:t>
            </w:r>
          </w:p>
        </w:tc>
        <w:tc>
          <w:tcPr>
            <w:tcW w:w="2466" w:type="dxa"/>
            <w:noWrap w:val="0"/>
            <w:vAlign w:val="center"/>
          </w:tcPr>
          <w:p>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center"/>
              <w:rPr>
                <w:color w:val="000000"/>
                <w:highlight w:val="none"/>
              </w:rPr>
            </w:pPr>
            <w:r>
              <w:rPr>
                <w:color w:val="000000"/>
                <w:highlight w:val="none"/>
              </w:rPr>
              <w:t>2</w:t>
            </w:r>
          </w:p>
        </w:tc>
        <w:tc>
          <w:tcPr>
            <w:tcW w:w="2466" w:type="dxa"/>
            <w:noWrap w:val="0"/>
            <w:vAlign w:val="center"/>
          </w:tcPr>
          <w:p>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center"/>
              <w:rPr>
                <w:color w:val="000000"/>
                <w:highlight w:val="none"/>
              </w:rPr>
            </w:pPr>
            <w:r>
              <w:rPr>
                <w:color w:val="000000"/>
                <w:highlight w:val="none"/>
              </w:rPr>
              <w:t>3</w:t>
            </w:r>
          </w:p>
        </w:tc>
        <w:tc>
          <w:tcPr>
            <w:tcW w:w="2466" w:type="dxa"/>
            <w:noWrap w:val="0"/>
            <w:vAlign w:val="center"/>
          </w:tcPr>
          <w:p>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center"/>
              <w:rPr>
                <w:color w:val="000000"/>
                <w:highlight w:val="none"/>
              </w:rPr>
            </w:pPr>
            <w:r>
              <w:rPr>
                <w:color w:val="000000"/>
                <w:highlight w:val="none"/>
              </w:rPr>
              <w:t>4</w:t>
            </w:r>
          </w:p>
        </w:tc>
        <w:tc>
          <w:tcPr>
            <w:tcW w:w="2466" w:type="dxa"/>
            <w:noWrap w:val="0"/>
            <w:vAlign w:val="center"/>
          </w:tcPr>
          <w:p>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center"/>
              <w:rPr>
                <w:color w:val="000000"/>
                <w:highlight w:val="none"/>
              </w:rPr>
            </w:pPr>
            <w:r>
              <w:rPr>
                <w:rFonts w:hint="eastAsia"/>
                <w:color w:val="000000"/>
                <w:highlight w:val="none"/>
              </w:rPr>
              <w:t>5</w:t>
            </w:r>
          </w:p>
        </w:tc>
        <w:tc>
          <w:tcPr>
            <w:tcW w:w="2466" w:type="dxa"/>
            <w:noWrap w:val="0"/>
            <w:vAlign w:val="center"/>
          </w:tcPr>
          <w:p>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pPr>
        <w:pStyle w:val="7"/>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pPr>
        <w:snapToGrid w:val="0"/>
        <w:spacing w:line="360" w:lineRule="auto"/>
        <w:rPr>
          <w:rFonts w:ascii="宋体" w:hAnsi="宋体"/>
          <w:bCs/>
          <w:color w:val="000000" w:themeColor="text1"/>
          <w:sz w:val="24"/>
          <w:highlight w:val="none"/>
          <w14:textFill>
            <w14:solidFill>
              <w14:schemeClr w14:val="tx1"/>
            </w14:solidFill>
          </w14:textFill>
        </w:rPr>
      </w:pP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pPr>
        <w:spacing w:line="360" w:lineRule="auto"/>
        <w:jc w:val="left"/>
        <w:rPr>
          <w:color w:val="000000" w:themeColor="text1"/>
          <w:sz w:val="24"/>
          <w:highlight w:val="none"/>
          <w14:textFill>
            <w14:solidFill>
              <w14:schemeClr w14:val="tx1"/>
            </w14:solidFill>
          </w14:textFill>
        </w:rPr>
      </w:pPr>
    </w:p>
    <w:p>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8"/>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pPr>
              <w:pStyle w:val="4"/>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bl>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pPr>
        <w:spacing w:line="360" w:lineRule="exact"/>
        <w:ind w:firstLine="420" w:firstLineChars="200"/>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pPr>
        <w:spacing w:line="360" w:lineRule="exact"/>
        <w:ind w:firstLine="420"/>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bl>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96944566"/>
      <w:bookmarkStart w:id="73" w:name="_Toc296347226"/>
      <w:bookmarkStart w:id="74" w:name="_Toc296891267"/>
      <w:bookmarkStart w:id="75" w:name="_Toc267261698"/>
      <w:bookmarkStart w:id="76" w:name="_Toc296346728"/>
      <w:bookmarkStart w:id="77" w:name="_Toc296503227"/>
      <w:bookmarkStart w:id="78" w:name="_Toc296891055"/>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bl>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pPr>
        <w:spacing w:line="440" w:lineRule="exact"/>
        <w:rPr>
          <w:rFonts w:ascii="宋体" w:hAnsi="宋体"/>
          <w:color w:val="000000" w:themeColor="text1"/>
          <w:szCs w:val="21"/>
          <w:highlight w:val="none"/>
          <w:u w:val="singl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jc w:val="left"/>
        <w:rPr>
          <w:rFonts w:ascii="宋体" w:hAnsi="宋体"/>
          <w:color w:val="000000" w:themeColor="text1"/>
          <w:szCs w:val="21"/>
          <w:highlight w:val="none"/>
          <w:u w:val="single"/>
          <w14:textFill>
            <w14:solidFill>
              <w14:schemeClr w14:val="tx1"/>
            </w14:solidFill>
          </w14:textFill>
        </w:rPr>
      </w:pPr>
    </w:p>
    <w:p>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944571"/>
      <w:bookmarkStart w:id="80" w:name="_Toc296503232"/>
      <w:bookmarkStart w:id="81" w:name="_Toc267261702"/>
      <w:bookmarkStart w:id="82" w:name="_Toc296346733"/>
      <w:bookmarkStart w:id="83" w:name="_Toc296347231"/>
      <w:bookmarkStart w:id="84" w:name="_Toc296891272"/>
      <w:bookmarkStart w:id="85" w:name="_Toc296891060"/>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pPr>
        <w:spacing w:line="360" w:lineRule="auto"/>
        <w:rPr>
          <w:rFonts w:ascii="宋体" w:hAnsi="宋体"/>
          <w:color w:val="000000" w:themeColor="text1"/>
          <w:szCs w:val="21"/>
          <w:highlight w:val="none"/>
          <w:u w:val="singl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exact"/>
        <w:rPr>
          <w:rFonts w:ascii="宋体" w:hAnsi="宋体"/>
          <w:color w:val="000000" w:themeColor="text1"/>
          <w:szCs w:val="21"/>
          <w:highlight w:val="none"/>
          <w:u w:val="singl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pPr>
        <w:spacing w:line="360" w:lineRule="exact"/>
        <w:jc w:val="left"/>
        <w:rPr>
          <w:rFonts w:ascii="宋体" w:hAnsi="宋体"/>
          <w:color w:val="000000" w:themeColor="text1"/>
          <w:szCs w:val="21"/>
          <w:highlight w:val="none"/>
          <w:u w:val="single"/>
          <w14:textFill>
            <w14:solidFill>
              <w14:schemeClr w14:val="tx1"/>
            </w14:solidFill>
          </w14:textFill>
        </w:rPr>
      </w:pPr>
    </w:p>
    <w:p>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pPr>
        <w:spacing w:line="360" w:lineRule="exact"/>
        <w:jc w:val="left"/>
        <w:rPr>
          <w:rFonts w:ascii="宋体" w:hAnsi="宋体"/>
          <w:color w:val="000000" w:themeColor="text1"/>
          <w:szCs w:val="21"/>
          <w:highlight w:val="none"/>
          <w14:textFill>
            <w14:solidFill>
              <w14:schemeClr w14:val="tx1"/>
            </w14:solidFill>
          </w14:textFill>
        </w:rPr>
      </w:pP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pPr>
        <w:spacing w:line="360" w:lineRule="exact"/>
        <w:ind w:right="600"/>
        <w:jc w:val="left"/>
        <w:rPr>
          <w:rFonts w:ascii="宋体" w:hAnsi="宋体"/>
          <w:color w:val="000000" w:themeColor="text1"/>
          <w:szCs w:val="21"/>
          <w:highlight w:val="none"/>
          <w14:textFill>
            <w14:solidFill>
              <w14:schemeClr w14:val="tx1"/>
            </w14:solidFill>
          </w14:textFill>
        </w:rPr>
      </w:pPr>
    </w:p>
    <w:p>
      <w:pPr>
        <w:spacing w:line="360" w:lineRule="exact"/>
        <w:ind w:right="600"/>
        <w:jc w:val="left"/>
        <w:rPr>
          <w:rFonts w:ascii="宋体" w:hAnsi="宋体"/>
          <w:color w:val="000000" w:themeColor="text1"/>
          <w:szCs w:val="21"/>
          <w:highlight w:val="none"/>
          <w14:textFill>
            <w14:solidFill>
              <w14:schemeClr w14:val="tx1"/>
            </w14:solidFill>
          </w14:textFill>
        </w:rPr>
      </w:pPr>
    </w:p>
    <w:p>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pPr>
        <w:spacing w:line="440" w:lineRule="exact"/>
        <w:rPr>
          <w:rFonts w:ascii="宋体" w:hAnsi="宋体"/>
          <w:color w:val="000000" w:themeColor="text1"/>
          <w:szCs w:val="21"/>
          <w:highlight w:val="none"/>
          <w14:textFill>
            <w14:solidFill>
              <w14:schemeClr w14:val="tx1"/>
            </w14:solidFill>
          </w14:textFill>
        </w:rPr>
      </w:pP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bookmarkStart w:id="86" w:name="_Toc29416"/>
      <w:bookmarkStart w:id="87" w:name="_Toc3994508"/>
      <w:bookmarkStart w:id="88" w:name="_Toc176429417"/>
      <w:bookmarkStart w:id="89" w:name="_Toc22392"/>
    </w:p>
    <w:p>
      <w:pPr>
        <w:pStyle w:val="90"/>
        <w:rPr>
          <w:color w:val="000000" w:themeColor="text1"/>
          <w:highlight w:val="none"/>
          <w14:textFill>
            <w14:solidFill>
              <w14:schemeClr w14:val="tx1"/>
            </w14:solidFill>
          </w14:textFill>
        </w:rPr>
      </w:pPr>
    </w:p>
    <w:p>
      <w:pPr>
        <w:pStyle w:val="90"/>
        <w:rPr>
          <w:rFonts w:hint="eastAsia"/>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hAnsi="宋体"/>
          <w:b/>
          <w:color w:val="000000" w:themeColor="text1"/>
          <w:kern w:val="0"/>
          <w:highlight w:val="none"/>
          <w14:textFill>
            <w14:solidFill>
              <w14:schemeClr w14:val="tx1"/>
            </w14:solidFill>
          </w14:textFill>
        </w:rPr>
      </w:pPr>
    </w:p>
    <w:p>
      <w:pPr>
        <w:pStyle w:val="22"/>
        <w:spacing w:line="440" w:lineRule="exact"/>
        <w:rPr>
          <w:rFonts w:hAnsi="宋体"/>
          <w:b/>
          <w:color w:val="000000" w:themeColor="text1"/>
          <w:kern w:val="0"/>
          <w:highlight w:val="none"/>
          <w14:textFill>
            <w14:solidFill>
              <w14:schemeClr w14:val="tx1"/>
            </w14:solidFill>
          </w14:textFill>
        </w:rPr>
      </w:pPr>
    </w:p>
    <w:p>
      <w:pPr>
        <w:pStyle w:val="22"/>
        <w:spacing w:line="440" w:lineRule="exact"/>
        <w:rPr>
          <w:rFonts w:hAnsi="宋体"/>
          <w:b/>
          <w:color w:val="000000" w:themeColor="text1"/>
          <w:kern w:val="0"/>
          <w:highlight w:val="none"/>
          <w14:textFill>
            <w14:solidFill>
              <w14:schemeClr w14:val="tx1"/>
            </w14:solidFill>
          </w14:textFill>
        </w:rPr>
      </w:pPr>
    </w:p>
    <w:p>
      <w:pPr>
        <w:pStyle w:val="22"/>
        <w:spacing w:line="440" w:lineRule="exact"/>
        <w:rPr>
          <w:rFonts w:hAnsi="宋体"/>
          <w:b/>
          <w:color w:val="000000" w:themeColor="text1"/>
          <w:kern w:val="0"/>
          <w:highlight w:val="none"/>
          <w14:textFill>
            <w14:solidFill>
              <w14:schemeClr w14:val="tx1"/>
            </w14:solidFill>
          </w14:textFill>
        </w:rPr>
      </w:pPr>
    </w:p>
    <w:p>
      <w:pPr>
        <w:pStyle w:val="22"/>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pPr>
        <w:pStyle w:val="2"/>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pPr>
        <w:spacing w:line="360" w:lineRule="auto"/>
        <w:ind w:firstLine="472" w:firstLineChars="196"/>
        <w:rPr>
          <w:rFonts w:hint="eastAsia" w:ascii="宋体" w:hAnsi="宋体" w:cs="Courier New"/>
          <w:b/>
          <w:color w:val="000000" w:themeColor="text1"/>
          <w:sz w:val="24"/>
          <w:highlight w:val="none"/>
          <w14:textFill>
            <w14:solidFill>
              <w14:schemeClr w14:val="tx1"/>
            </w14:solidFill>
          </w14:textFill>
        </w:rPr>
      </w:pPr>
    </w:p>
    <w:p>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panose1 w:val="02000000000000000000"/>
    <w:charset w:val="86"/>
    <w:family w:val="script"/>
    <w:pitch w:val="default"/>
    <w:sig w:usb0="A00002BF" w:usb1="184F6CFA" w:usb2="00000012" w:usb3="00000000" w:csb0="00040001"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9"/>
      <w:lvlText w:val="%5)"/>
      <w:lvlJc w:val="left"/>
      <w:pPr>
        <w:tabs>
          <w:tab w:val="left" w:pos="2100"/>
        </w:tabs>
        <w:ind w:left="2100" w:hanging="420"/>
      </w:pPr>
    </w:lvl>
    <w:lvl w:ilvl="5" w:tentative="0">
      <w:start w:val="1"/>
      <w:numFmt w:val="lowerRoman"/>
      <w:pStyle w:val="11"/>
      <w:lvlText w:val="%6."/>
      <w:lvlJc w:val="right"/>
      <w:pPr>
        <w:tabs>
          <w:tab w:val="left" w:pos="2520"/>
        </w:tabs>
        <w:ind w:left="2520" w:hanging="420"/>
      </w:pPr>
    </w:lvl>
    <w:lvl w:ilvl="6" w:tentative="0">
      <w:start w:val="1"/>
      <w:numFmt w:val="decimal"/>
      <w:pStyle w:val="12"/>
      <w:lvlText w:val="%7."/>
      <w:lvlJc w:val="left"/>
      <w:pPr>
        <w:tabs>
          <w:tab w:val="left" w:pos="2940"/>
        </w:tabs>
        <w:ind w:left="2940" w:hanging="420"/>
      </w:pPr>
    </w:lvl>
    <w:lvl w:ilvl="7" w:tentative="0">
      <w:start w:val="1"/>
      <w:numFmt w:val="lowerLetter"/>
      <w:pStyle w:val="13"/>
      <w:lvlText w:val="%8)"/>
      <w:lvlJc w:val="left"/>
      <w:pPr>
        <w:tabs>
          <w:tab w:val="left" w:pos="3360"/>
        </w:tabs>
        <w:ind w:left="3360" w:hanging="420"/>
      </w:pPr>
    </w:lvl>
    <w:lvl w:ilvl="8" w:tentative="0">
      <w:start w:val="1"/>
      <w:numFmt w:val="lowerRoman"/>
      <w:pStyle w:val="14"/>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wMzJlZGRhMjJjY2EyM2Y0OWEzZmFjODgxZjczMzMifQ=="/>
  </w:docVars>
  <w:rsids>
    <w:rsidRoot w:val="00000000"/>
    <w:rsid w:val="01030136"/>
    <w:rsid w:val="032B4821"/>
    <w:rsid w:val="039C58F5"/>
    <w:rsid w:val="054B025F"/>
    <w:rsid w:val="09A7695A"/>
    <w:rsid w:val="09BD629E"/>
    <w:rsid w:val="0AD53D4E"/>
    <w:rsid w:val="0DBA3094"/>
    <w:rsid w:val="0F8B4CE8"/>
    <w:rsid w:val="10AC760C"/>
    <w:rsid w:val="11BE6795"/>
    <w:rsid w:val="11E63260"/>
    <w:rsid w:val="121F3C82"/>
    <w:rsid w:val="12D22C2E"/>
    <w:rsid w:val="13AD34D1"/>
    <w:rsid w:val="186A10A6"/>
    <w:rsid w:val="18927E63"/>
    <w:rsid w:val="192F2B88"/>
    <w:rsid w:val="19687EF5"/>
    <w:rsid w:val="19AD3BC9"/>
    <w:rsid w:val="1AB33345"/>
    <w:rsid w:val="1C6A2129"/>
    <w:rsid w:val="1DAA2EFB"/>
    <w:rsid w:val="1E544E3F"/>
    <w:rsid w:val="1F7F7C9A"/>
    <w:rsid w:val="1FA15E62"/>
    <w:rsid w:val="223556CB"/>
    <w:rsid w:val="242724E7"/>
    <w:rsid w:val="26461511"/>
    <w:rsid w:val="26B00DE2"/>
    <w:rsid w:val="27441EF5"/>
    <w:rsid w:val="2A047F1E"/>
    <w:rsid w:val="2ACF7D27"/>
    <w:rsid w:val="2C245E51"/>
    <w:rsid w:val="2CB74F17"/>
    <w:rsid w:val="2F6D3341"/>
    <w:rsid w:val="30E153B5"/>
    <w:rsid w:val="31045F31"/>
    <w:rsid w:val="36CF10AF"/>
    <w:rsid w:val="36E37045"/>
    <w:rsid w:val="377426EE"/>
    <w:rsid w:val="3825542A"/>
    <w:rsid w:val="38AE18C8"/>
    <w:rsid w:val="38BA78FC"/>
    <w:rsid w:val="39C944DB"/>
    <w:rsid w:val="3E42660A"/>
    <w:rsid w:val="3ECF60F0"/>
    <w:rsid w:val="3F3D153C"/>
    <w:rsid w:val="413A5BB6"/>
    <w:rsid w:val="41502D53"/>
    <w:rsid w:val="49A32FDD"/>
    <w:rsid w:val="4DF347AB"/>
    <w:rsid w:val="4EB36E4C"/>
    <w:rsid w:val="51EB4B97"/>
    <w:rsid w:val="53D72B24"/>
    <w:rsid w:val="53ED25A4"/>
    <w:rsid w:val="560C1580"/>
    <w:rsid w:val="56694D77"/>
    <w:rsid w:val="571068AD"/>
    <w:rsid w:val="579730CB"/>
    <w:rsid w:val="586C6306"/>
    <w:rsid w:val="595079D6"/>
    <w:rsid w:val="5B06155D"/>
    <w:rsid w:val="5B1A34AF"/>
    <w:rsid w:val="5D867E6A"/>
    <w:rsid w:val="605D4865"/>
    <w:rsid w:val="609A21B5"/>
    <w:rsid w:val="659F41BF"/>
    <w:rsid w:val="65ED6B48"/>
    <w:rsid w:val="6727621A"/>
    <w:rsid w:val="679A2E90"/>
    <w:rsid w:val="6807709B"/>
    <w:rsid w:val="68A83F40"/>
    <w:rsid w:val="69FE75B9"/>
    <w:rsid w:val="6A047FD5"/>
    <w:rsid w:val="6A611A43"/>
    <w:rsid w:val="6AFB6DCD"/>
    <w:rsid w:val="6B4A74E9"/>
    <w:rsid w:val="6C857EE6"/>
    <w:rsid w:val="6E8E4DD0"/>
    <w:rsid w:val="711F6385"/>
    <w:rsid w:val="71C96148"/>
    <w:rsid w:val="736E3061"/>
    <w:rsid w:val="73BB6B7A"/>
    <w:rsid w:val="74B01C78"/>
    <w:rsid w:val="751F6782"/>
    <w:rsid w:val="75457D93"/>
    <w:rsid w:val="77334767"/>
    <w:rsid w:val="77B63CFE"/>
    <w:rsid w:val="78EA52F9"/>
    <w:rsid w:val="7A0B5527"/>
    <w:rsid w:val="7A5C376B"/>
    <w:rsid w:val="7DDA593C"/>
    <w:rsid w:val="7E18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9">
    <w:name w:val="heading 5"/>
    <w:basedOn w:val="1"/>
    <w:next w:val="1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qFormat/>
    <w:uiPriority w:val="0"/>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99"/>
    <w:pPr>
      <w:spacing w:before="25" w:after="25"/>
    </w:pPr>
    <w:rPr>
      <w:rFonts w:ascii="Calibri" w:hAnsi="Calibri" w:eastAsia="Calibri"/>
      <w:bCs/>
      <w:spacing w:val="10"/>
      <w:kern w:val="0"/>
    </w:rPr>
  </w:style>
  <w:style w:type="paragraph" w:styleId="3">
    <w:name w:val="Body Text Indent"/>
    <w:basedOn w:val="1"/>
    <w:link w:val="50"/>
    <w:qFormat/>
    <w:uiPriority w:val="0"/>
    <w:pPr>
      <w:ind w:firstLine="830" w:firstLineChars="352"/>
    </w:pPr>
    <w:rPr>
      <w:rFonts w:ascii="仿宋_GB2312" w:eastAsia="仿宋_GB2312"/>
      <w:sz w:val="32"/>
      <w:szCs w:val="20"/>
    </w:rPr>
  </w:style>
  <w:style w:type="paragraph" w:styleId="4">
    <w:name w:val="Body Text"/>
    <w:basedOn w:val="1"/>
    <w:next w:val="1"/>
    <w:link w:val="44"/>
    <w:qFormat/>
    <w:uiPriority w:val="0"/>
    <w:pPr>
      <w:spacing w:line="380" w:lineRule="exact"/>
    </w:pPr>
    <w:rPr>
      <w:sz w:val="24"/>
    </w:rPr>
  </w:style>
  <w:style w:type="paragraph" w:styleId="10">
    <w:name w:val="Normal Indent"/>
    <w:basedOn w:val="1"/>
    <w:link w:val="49"/>
    <w:qFormat/>
    <w:uiPriority w:val="0"/>
    <w:pPr>
      <w:ind w:firstLine="420"/>
    </w:pPr>
    <w:rPr>
      <w:szCs w:val="20"/>
    </w:r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semiHidden/>
    <w:qFormat/>
    <w:uiPriority w:val="0"/>
    <w:pPr>
      <w:shd w:val="clear" w:color="auto" w:fill="000080"/>
    </w:pPr>
  </w:style>
  <w:style w:type="paragraph" w:styleId="18">
    <w:name w:val="annotation text"/>
    <w:basedOn w:val="1"/>
    <w:qFormat/>
    <w:uiPriority w:val="0"/>
    <w:pPr>
      <w:jc w:val="left"/>
    </w:pPr>
  </w:style>
  <w:style w:type="paragraph" w:styleId="19">
    <w:name w:val="Body Text 3"/>
    <w:basedOn w:val="1"/>
    <w:qFormat/>
    <w:uiPriority w:val="0"/>
    <w:pPr>
      <w:spacing w:line="500" w:lineRule="exact"/>
    </w:pPr>
    <w:rPr>
      <w:b/>
      <w:bCs/>
      <w:sz w:val="24"/>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1"/>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52"/>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53"/>
    <w:qFormat/>
    <w:uiPriority w:val="0"/>
    <w:pPr>
      <w:tabs>
        <w:tab w:val="center" w:pos="4153"/>
        <w:tab w:val="right" w:pos="8306"/>
      </w:tabs>
      <w:snapToGrid w:val="0"/>
      <w:jc w:val="left"/>
    </w:pPr>
    <w:rPr>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39"/>
    <w:pPr>
      <w:tabs>
        <w:tab w:val="right" w:leader="dot" w:pos="9360"/>
      </w:tabs>
      <w:ind w:left="420" w:leftChars="200"/>
    </w:pPr>
  </w:style>
  <w:style w:type="paragraph" w:styleId="33">
    <w:name w:val="Body Text 2"/>
    <w:basedOn w:val="1"/>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Body Text First Indent"/>
    <w:basedOn w:val="4"/>
    <w:link w:val="54"/>
    <w:qFormat/>
    <w:uiPriority w:val="0"/>
    <w:pPr>
      <w:spacing w:after="120" w:line="240" w:lineRule="auto"/>
      <w:ind w:firstLine="420" w:firstLineChars="100"/>
    </w:pPr>
    <w:rPr>
      <w:sz w:val="21"/>
    </w:rPr>
  </w:style>
  <w:style w:type="paragraph" w:styleId="37">
    <w:name w:val="Body Text First Indent 2"/>
    <w:basedOn w:val="3"/>
    <w:link w:val="55"/>
    <w:qFormat/>
    <w:uiPriority w:val="0"/>
    <w:pPr>
      <w:spacing w:after="120"/>
      <w:ind w:left="420" w:leftChars="200" w:firstLine="420" w:firstLineChars="200"/>
    </w:pPr>
    <w:rPr>
      <w:sz w:val="21"/>
      <w:szCs w:val="24"/>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customStyle="1" w:styleId="44">
    <w:name w:val="正文文本 Char"/>
    <w:link w:val="4"/>
    <w:qFormat/>
    <w:uiPriority w:val="0"/>
    <w:rPr>
      <w:kern w:val="2"/>
      <w:sz w:val="24"/>
      <w:szCs w:val="24"/>
    </w:rPr>
  </w:style>
  <w:style w:type="character" w:customStyle="1" w:styleId="45">
    <w:name w:val="标题 1 Char"/>
    <w:link w:val="5"/>
    <w:qFormat/>
    <w:uiPriority w:val="0"/>
    <w:rPr>
      <w:rFonts w:eastAsia="宋体"/>
      <w:b/>
      <w:bCs/>
      <w:kern w:val="44"/>
      <w:sz w:val="44"/>
      <w:szCs w:val="44"/>
      <w:lang w:val="en-US" w:eastAsia="zh-CN" w:bidi="ar-SA"/>
    </w:rPr>
  </w:style>
  <w:style w:type="character" w:customStyle="1" w:styleId="46">
    <w:name w:val="标题 2 Char"/>
    <w:link w:val="6"/>
    <w:qFormat/>
    <w:uiPriority w:val="9"/>
    <w:rPr>
      <w:rFonts w:ascii="Arial" w:hAnsi="Arial" w:eastAsia="黑体"/>
      <w:b/>
      <w:bCs/>
      <w:kern w:val="2"/>
      <w:sz w:val="32"/>
      <w:szCs w:val="32"/>
    </w:rPr>
  </w:style>
  <w:style w:type="character" w:customStyle="1" w:styleId="47">
    <w:name w:val="标题 3 Char"/>
    <w:link w:val="7"/>
    <w:qFormat/>
    <w:uiPriority w:val="0"/>
    <w:rPr>
      <w:rFonts w:ascii="Calibri" w:hAnsi="Calibri" w:eastAsia="宋体"/>
      <w:b/>
      <w:bCs/>
      <w:kern w:val="2"/>
      <w:sz w:val="32"/>
      <w:szCs w:val="32"/>
      <w:lang w:val="en-US" w:eastAsia="zh-CN" w:bidi="ar-SA"/>
    </w:rPr>
  </w:style>
  <w:style w:type="character" w:customStyle="1" w:styleId="48">
    <w:name w:val="标题 4 Char"/>
    <w:link w:val="8"/>
    <w:qFormat/>
    <w:uiPriority w:val="0"/>
    <w:rPr>
      <w:rFonts w:ascii="黑体" w:hAnsi="黑体" w:eastAsia="黑体"/>
      <w:b/>
      <w:bCs/>
      <w:kern w:val="2"/>
      <w:sz w:val="24"/>
      <w:szCs w:val="24"/>
    </w:rPr>
  </w:style>
  <w:style w:type="character" w:customStyle="1" w:styleId="49">
    <w:name w:val="正文缩进 Char"/>
    <w:link w:val="10"/>
    <w:qFormat/>
    <w:locked/>
    <w:uiPriority w:val="0"/>
    <w:rPr>
      <w:kern w:val="2"/>
      <w:sz w:val="21"/>
    </w:rPr>
  </w:style>
  <w:style w:type="character" w:customStyle="1" w:styleId="50">
    <w:name w:val="正文文本缩进 Char"/>
    <w:link w:val="3"/>
    <w:qFormat/>
    <w:uiPriority w:val="0"/>
    <w:rPr>
      <w:rFonts w:ascii="仿宋_GB2312" w:eastAsia="仿宋_GB2312"/>
      <w:kern w:val="2"/>
      <w:sz w:val="32"/>
    </w:rPr>
  </w:style>
  <w:style w:type="character" w:customStyle="1" w:styleId="51">
    <w:name w:val="纯文本 Char"/>
    <w:link w:val="22"/>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4"/>
    <w:qFormat/>
    <w:uiPriority w:val="0"/>
    <w:rPr>
      <w:kern w:val="2"/>
      <w:sz w:val="32"/>
    </w:rPr>
  </w:style>
  <w:style w:type="character" w:customStyle="1" w:styleId="53">
    <w:name w:val="页脚 Char"/>
    <w:link w:val="26"/>
    <w:qFormat/>
    <w:uiPriority w:val="0"/>
    <w:rPr>
      <w:kern w:val="2"/>
      <w:sz w:val="18"/>
      <w:szCs w:val="18"/>
    </w:rPr>
  </w:style>
  <w:style w:type="character" w:customStyle="1" w:styleId="54">
    <w:name w:val="正文首行缩进 Char"/>
    <w:link w:val="36"/>
    <w:qFormat/>
    <w:uiPriority w:val="0"/>
    <w:rPr>
      <w:kern w:val="2"/>
      <w:sz w:val="21"/>
      <w:szCs w:val="24"/>
    </w:rPr>
  </w:style>
  <w:style w:type="character" w:customStyle="1" w:styleId="55">
    <w:name w:val="正文首行缩进 2 Char"/>
    <w:link w:val="37"/>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5"/>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2"/>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7"/>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7"/>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7"/>
    <w:qFormat/>
    <w:uiPriority w:val="0"/>
    <w:pPr>
      <w:snapToGrid w:val="0"/>
    </w:pPr>
    <w:rPr>
      <w:rFonts w:ascii="Calibri" w:hAnsi="Calibri"/>
      <w:sz w:val="28"/>
      <w:szCs w:val="20"/>
    </w:rPr>
  </w:style>
  <w:style w:type="paragraph" w:customStyle="1" w:styleId="81">
    <w:name w:val="_Style 341"/>
    <w:basedOn w:val="17"/>
    <w:qFormat/>
    <w:uiPriority w:val="0"/>
    <w:pPr>
      <w:widowControl/>
      <w:ind w:firstLine="454"/>
      <w:jc w:val="left"/>
    </w:pPr>
  </w:style>
  <w:style w:type="paragraph" w:customStyle="1" w:styleId="82">
    <w:name w:val="Char1"/>
    <w:basedOn w:val="17"/>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6"/>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122</Pages>
  <Words>58085</Words>
  <Characters>60855</Characters>
  <Lines>483</Lines>
  <Paragraphs>136</Paragraphs>
  <TotalTime>2</TotalTime>
  <ScaleCrop>false</ScaleCrop>
  <LinksUpToDate>false</LinksUpToDate>
  <CharactersWithSpaces>67514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海之特--咨询</cp:lastModifiedBy>
  <cp:lastPrinted>2025-09-24T01:01:00Z</cp:lastPrinted>
  <dcterms:modified xsi:type="dcterms:W3CDTF">2025-12-23T12:44:46Z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2052-11.1.0.11744</vt:lpwstr>
  </property>
  <property fmtid="{D5CDD505-2E9C-101B-9397-08002B2CF9AE}" pid="4" name="KSOTemplateDocerSaveRecord">
    <vt:lpwstr>eyJoZGlkIjoiYTc3NzJiNzFiOWY2ZTZhYjIyZTI0ODJlMmUyMGZjNGEiLCJ1c2VySWQiOiI0MjkyMDA5NjQifQ==</vt:lpwstr>
  </property>
</Properties>
</file>