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617C">
      <w:pPr>
        <w:pStyle w:val="4"/>
        <w:spacing w:line="271" w:lineRule="auto"/>
        <w:rPr>
          <w:rFonts w:asciiTheme="minorEastAsia" w:hAnsiTheme="minorEastAsia" w:eastAsiaTheme="minorEastAsia"/>
          <w:highlight w:val="none"/>
        </w:rPr>
      </w:pPr>
    </w:p>
    <w:p w14:paraId="3A4589A9">
      <w:pPr>
        <w:pStyle w:val="4"/>
        <w:spacing w:line="271" w:lineRule="auto"/>
        <w:rPr>
          <w:rFonts w:asciiTheme="minorEastAsia" w:hAnsiTheme="minorEastAsia" w:eastAsiaTheme="minorEastAsia"/>
          <w:sz w:val="52"/>
          <w:szCs w:val="52"/>
          <w:highlight w:val="none"/>
          <w:lang w:eastAsia="zh-CN"/>
        </w:rPr>
      </w:pPr>
    </w:p>
    <w:p w14:paraId="5EE96180">
      <w:pPr>
        <w:spacing w:before="116" w:line="223" w:lineRule="auto"/>
        <w:jc w:val="center"/>
        <w:rPr>
          <w:rFonts w:hint="eastAsia" w:cs="宋体" w:asciiTheme="minorEastAsia" w:hAnsiTheme="minorEastAsia" w:eastAsiaTheme="minorEastAsia"/>
          <w:b/>
          <w:bCs/>
          <w:spacing w:val="4"/>
          <w:sz w:val="52"/>
          <w:szCs w:val="52"/>
          <w:highlight w:val="none"/>
          <w:lang w:eastAsia="zh-CN"/>
        </w:rPr>
      </w:pPr>
      <w:r>
        <w:rPr>
          <w:rFonts w:hint="eastAsia" w:cs="宋体" w:asciiTheme="minorEastAsia" w:hAnsiTheme="minorEastAsia" w:eastAsiaTheme="minorEastAsia"/>
          <w:b/>
          <w:bCs/>
          <w:spacing w:val="4"/>
          <w:sz w:val="52"/>
          <w:szCs w:val="52"/>
          <w:highlight w:val="none"/>
          <w:lang w:eastAsia="zh-CN"/>
        </w:rPr>
        <w:t>合浦县2025年总江水闸标准化创建工程（土建部分）</w:t>
      </w:r>
    </w:p>
    <w:p w14:paraId="1F97559B">
      <w:pPr>
        <w:spacing w:before="116" w:line="223" w:lineRule="auto"/>
        <w:jc w:val="both"/>
        <w:rPr>
          <w:rFonts w:hint="eastAsia" w:cs="宋体" w:asciiTheme="minorEastAsia" w:hAnsiTheme="minorEastAsia" w:eastAsiaTheme="minorEastAsia"/>
          <w:b/>
          <w:bCs/>
          <w:spacing w:val="4"/>
          <w:sz w:val="52"/>
          <w:szCs w:val="52"/>
          <w:highlight w:val="none"/>
          <w:lang w:eastAsia="zh-CN"/>
        </w:rPr>
      </w:pPr>
    </w:p>
    <w:p w14:paraId="5EE96181">
      <w:pPr>
        <w:spacing w:before="116" w:line="223" w:lineRule="auto"/>
        <w:jc w:val="center"/>
        <w:rPr>
          <w:rFonts w:cs="宋体" w:asciiTheme="minorEastAsia" w:hAnsiTheme="minorEastAsia" w:eastAsiaTheme="minorEastAsia"/>
          <w:sz w:val="71"/>
          <w:szCs w:val="71"/>
          <w:highlight w:val="none"/>
          <w:lang w:eastAsia="zh-CN"/>
        </w:rPr>
      </w:pPr>
      <w:r>
        <w:rPr>
          <w:rFonts w:cs="宋体" w:asciiTheme="minorEastAsia" w:hAnsiTheme="minorEastAsia" w:eastAsiaTheme="minorEastAsia"/>
          <w:b/>
          <w:bCs/>
          <w:spacing w:val="-25"/>
          <w:sz w:val="71"/>
          <w:szCs w:val="71"/>
          <w:highlight w:val="none"/>
          <w:lang w:eastAsia="zh-CN"/>
        </w:rPr>
        <w:t>竞争性</w:t>
      </w:r>
      <w:r>
        <w:rPr>
          <w:rFonts w:hint="eastAsia" w:cs="宋体" w:asciiTheme="minorEastAsia" w:hAnsiTheme="minorEastAsia" w:eastAsiaTheme="minorEastAsia"/>
          <w:b/>
          <w:bCs/>
          <w:spacing w:val="-25"/>
          <w:sz w:val="71"/>
          <w:szCs w:val="71"/>
          <w:highlight w:val="none"/>
          <w:lang w:val="en-US" w:eastAsia="zh-CN"/>
        </w:rPr>
        <w:t>磋商</w:t>
      </w:r>
      <w:r>
        <w:rPr>
          <w:rFonts w:cs="宋体" w:asciiTheme="minorEastAsia" w:hAnsiTheme="minorEastAsia" w:eastAsiaTheme="minorEastAsia"/>
          <w:b/>
          <w:bCs/>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sz w:val="43"/>
          <w:szCs w:val="43"/>
          <w:highlight w:val="none"/>
          <w:lang w:eastAsia="zh-CN"/>
        </w:rPr>
      </w:pPr>
      <w:r>
        <w:rPr>
          <w:rFonts w:cs="宋体" w:asciiTheme="minorEastAsia" w:hAnsiTheme="minorEastAsia" w:eastAsiaTheme="minorEastAsia"/>
          <w:b/>
          <w:bCs/>
          <w:spacing w:val="-1"/>
          <w:sz w:val="43"/>
          <w:szCs w:val="43"/>
          <w:highlight w:val="none"/>
          <w:lang w:eastAsia="zh-CN"/>
        </w:rPr>
        <w:t>（电子交易）</w:t>
      </w:r>
    </w:p>
    <w:p w14:paraId="5EE96183">
      <w:pPr>
        <w:pStyle w:val="4"/>
        <w:spacing w:line="266" w:lineRule="auto"/>
        <w:rPr>
          <w:rFonts w:asciiTheme="minorEastAsia" w:hAnsiTheme="minorEastAsia" w:eastAsiaTheme="minorEastAsia"/>
          <w:highlight w:val="none"/>
          <w:lang w:eastAsia="zh-CN"/>
        </w:rPr>
      </w:pPr>
    </w:p>
    <w:p w14:paraId="5EE96184">
      <w:pPr>
        <w:pStyle w:val="4"/>
        <w:spacing w:line="267" w:lineRule="auto"/>
        <w:rPr>
          <w:rFonts w:asciiTheme="minorEastAsia" w:hAnsiTheme="minorEastAsia" w:eastAsiaTheme="minorEastAsia"/>
          <w:highlight w:val="none"/>
          <w:lang w:eastAsia="zh-CN"/>
        </w:rPr>
      </w:pPr>
    </w:p>
    <w:p w14:paraId="5EE96185">
      <w:pPr>
        <w:pStyle w:val="4"/>
        <w:spacing w:line="267" w:lineRule="auto"/>
        <w:rPr>
          <w:rFonts w:asciiTheme="minorEastAsia" w:hAnsiTheme="minorEastAsia" w:eastAsiaTheme="minorEastAsia"/>
          <w:highlight w:val="none"/>
          <w:lang w:eastAsia="zh-CN"/>
        </w:rPr>
      </w:pPr>
    </w:p>
    <w:p w14:paraId="09214414">
      <w:pPr>
        <w:adjustRightInd w:val="0"/>
        <w:snapToGrid w:val="0"/>
        <w:spacing w:line="360" w:lineRule="auto"/>
        <w:jc w:val="center"/>
        <w:rPr>
          <w:rFonts w:cs="宋体" w:asciiTheme="minorEastAsia" w:hAnsiTheme="minorEastAsia" w:eastAsiaTheme="minorEastAsia"/>
          <w:spacing w:val="-1"/>
          <w:sz w:val="30"/>
          <w:szCs w:val="30"/>
          <w:highlight w:val="none"/>
          <w:lang w:eastAsia="zh-CN"/>
        </w:rPr>
      </w:pPr>
      <w:r>
        <w:rPr>
          <w:rFonts w:cs="宋体" w:asciiTheme="minorEastAsia" w:hAnsiTheme="minorEastAsia" w:eastAsiaTheme="minorEastAsia"/>
          <w:spacing w:val="-1"/>
          <w:sz w:val="30"/>
          <w:szCs w:val="30"/>
          <w:highlight w:val="none"/>
          <w:lang w:eastAsia="zh-CN"/>
        </w:rPr>
        <w:t>项目编号：BHZC2025-C2-210235-ZZYG</w:t>
      </w:r>
    </w:p>
    <w:p w14:paraId="06E9946A">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p>
    <w:p w14:paraId="5EE96187">
      <w:pPr>
        <w:pStyle w:val="4"/>
        <w:spacing w:line="250" w:lineRule="auto"/>
        <w:rPr>
          <w:rFonts w:asciiTheme="minorEastAsia" w:hAnsiTheme="minorEastAsia" w:eastAsiaTheme="minorEastAsia"/>
          <w:highlight w:val="none"/>
          <w:lang w:eastAsia="zh-CN"/>
        </w:rPr>
      </w:pPr>
    </w:p>
    <w:p w14:paraId="5EE96188">
      <w:pPr>
        <w:pStyle w:val="4"/>
        <w:spacing w:line="250" w:lineRule="auto"/>
        <w:rPr>
          <w:rFonts w:asciiTheme="minorEastAsia" w:hAnsiTheme="minorEastAsia" w:eastAsiaTheme="minorEastAsia"/>
          <w:highlight w:val="none"/>
          <w:lang w:eastAsia="zh-CN"/>
        </w:rPr>
      </w:pPr>
    </w:p>
    <w:p w14:paraId="5EE9618A">
      <w:pPr>
        <w:pStyle w:val="4"/>
        <w:spacing w:line="250" w:lineRule="auto"/>
        <w:rPr>
          <w:rFonts w:asciiTheme="minorEastAsia" w:hAnsiTheme="minorEastAsia" w:eastAsiaTheme="minorEastAsia"/>
          <w:highlight w:val="none"/>
          <w:lang w:eastAsia="zh-CN"/>
        </w:rPr>
      </w:pPr>
    </w:p>
    <w:p w14:paraId="5EE9618B">
      <w:pPr>
        <w:pStyle w:val="4"/>
        <w:spacing w:line="251" w:lineRule="auto"/>
        <w:jc w:val="center"/>
        <w:rPr>
          <w:rFonts w:asciiTheme="minorEastAsia" w:hAnsiTheme="minorEastAsia" w:eastAsiaTheme="minorEastAsia"/>
          <w:highlight w:val="none"/>
          <w:lang w:eastAsia="zh-CN"/>
        </w:rPr>
      </w:pPr>
    </w:p>
    <w:p w14:paraId="5EE9618C">
      <w:pPr>
        <w:pStyle w:val="4"/>
        <w:spacing w:line="251" w:lineRule="auto"/>
        <w:rPr>
          <w:rFonts w:asciiTheme="minorEastAsia" w:hAnsiTheme="minorEastAsia" w:eastAsiaTheme="minorEastAsia"/>
          <w:highlight w:val="none"/>
          <w:lang w:eastAsia="zh-CN"/>
        </w:rPr>
      </w:pPr>
    </w:p>
    <w:p w14:paraId="5EE9618D">
      <w:pPr>
        <w:pStyle w:val="4"/>
        <w:spacing w:line="251" w:lineRule="auto"/>
        <w:rPr>
          <w:rFonts w:asciiTheme="minorEastAsia" w:hAnsiTheme="minorEastAsia" w:eastAsiaTheme="minorEastAsia"/>
          <w:highlight w:val="none"/>
          <w:lang w:eastAsia="zh-CN"/>
        </w:rPr>
      </w:pPr>
    </w:p>
    <w:p w14:paraId="5EE9618E">
      <w:pPr>
        <w:pStyle w:val="4"/>
        <w:spacing w:line="251" w:lineRule="auto"/>
        <w:rPr>
          <w:rFonts w:asciiTheme="minorEastAsia" w:hAnsiTheme="minorEastAsia" w:eastAsiaTheme="minorEastAsia"/>
          <w:highlight w:val="none"/>
          <w:lang w:eastAsia="zh-CN"/>
        </w:rPr>
      </w:pPr>
    </w:p>
    <w:p w14:paraId="5EE9618F">
      <w:pPr>
        <w:pStyle w:val="4"/>
        <w:spacing w:line="251" w:lineRule="auto"/>
        <w:rPr>
          <w:rFonts w:asciiTheme="minorEastAsia" w:hAnsiTheme="minorEastAsia" w:eastAsiaTheme="minorEastAsia"/>
          <w:highlight w:val="none"/>
          <w:lang w:eastAsia="zh-CN"/>
        </w:rPr>
      </w:pPr>
    </w:p>
    <w:p w14:paraId="5EE96190">
      <w:pPr>
        <w:pStyle w:val="4"/>
        <w:spacing w:line="251" w:lineRule="auto"/>
        <w:rPr>
          <w:rFonts w:asciiTheme="minorEastAsia" w:hAnsiTheme="minorEastAsia" w:eastAsiaTheme="minorEastAsia"/>
          <w:highlight w:val="none"/>
          <w:lang w:eastAsia="zh-CN"/>
        </w:rPr>
      </w:pPr>
    </w:p>
    <w:p w14:paraId="5EE96191">
      <w:pPr>
        <w:pStyle w:val="4"/>
        <w:spacing w:line="251" w:lineRule="auto"/>
        <w:rPr>
          <w:rFonts w:asciiTheme="minorEastAsia" w:hAnsiTheme="minorEastAsia" w:eastAsiaTheme="minorEastAsia"/>
          <w:highlight w:val="none"/>
          <w:lang w:eastAsia="zh-CN"/>
        </w:rPr>
      </w:pPr>
    </w:p>
    <w:p w14:paraId="5EE96192">
      <w:pPr>
        <w:spacing w:before="101" w:line="225" w:lineRule="auto"/>
        <w:jc w:val="center"/>
        <w:rPr>
          <w:rFonts w:cs="宋体" w:asciiTheme="minorEastAsia" w:hAnsiTheme="minorEastAsia" w:eastAsiaTheme="minorEastAsia"/>
          <w:sz w:val="31"/>
          <w:szCs w:val="31"/>
          <w:highlight w:val="none"/>
          <w:lang w:eastAsia="zh-CN"/>
        </w:rPr>
      </w:pPr>
      <w:r>
        <w:rPr>
          <w:rFonts w:hint="eastAsia" w:cs="宋体" w:asciiTheme="minorEastAsia" w:hAnsiTheme="minorEastAsia" w:eastAsiaTheme="minorEastAsia"/>
          <w:spacing w:val="8"/>
          <w:sz w:val="31"/>
          <w:szCs w:val="31"/>
          <w:highlight w:val="none"/>
          <w:lang w:eastAsia="zh-CN"/>
        </w:rPr>
        <w:t>合浦县水利局</w:t>
      </w:r>
    </w:p>
    <w:p w14:paraId="5EE96193">
      <w:pPr>
        <w:spacing w:before="245" w:line="225" w:lineRule="auto"/>
        <w:jc w:val="center"/>
        <w:rPr>
          <w:rFonts w:cs="宋体" w:asciiTheme="minorEastAsia" w:hAnsiTheme="minorEastAsia" w:eastAsiaTheme="minorEastAsia"/>
          <w:sz w:val="31"/>
          <w:szCs w:val="31"/>
          <w:highlight w:val="none"/>
          <w:lang w:eastAsia="zh-CN"/>
        </w:rPr>
      </w:pPr>
      <w:r>
        <w:rPr>
          <w:rFonts w:hint="eastAsia" w:cs="宋体" w:asciiTheme="minorEastAsia" w:hAnsiTheme="minorEastAsia" w:eastAsiaTheme="minorEastAsia"/>
          <w:spacing w:val="8"/>
          <w:sz w:val="31"/>
          <w:szCs w:val="31"/>
          <w:highlight w:val="none"/>
          <w:lang w:eastAsia="zh-CN"/>
        </w:rPr>
        <w:t>广西中之元工程管理有限公司</w:t>
      </w:r>
    </w:p>
    <w:p w14:paraId="7270D0A4">
      <w:pPr>
        <w:spacing w:before="243" w:line="225" w:lineRule="auto"/>
        <w:ind w:left="3717"/>
        <w:rPr>
          <w:rFonts w:hint="default" w:cs="宋体" w:asciiTheme="minorEastAsia" w:hAnsiTheme="minorEastAsia" w:eastAsiaTheme="minorEastAsia"/>
          <w:sz w:val="31"/>
          <w:szCs w:val="31"/>
          <w:highlight w:val="none"/>
          <w:lang w:val="en-US" w:eastAsia="zh-CN"/>
        </w:rPr>
      </w:pPr>
      <w:r>
        <w:rPr>
          <w:rFonts w:cs="宋体" w:asciiTheme="minorEastAsia" w:hAnsiTheme="minorEastAsia" w:eastAsiaTheme="minorEastAsia"/>
          <w:spacing w:val="7"/>
          <w:sz w:val="31"/>
          <w:szCs w:val="31"/>
          <w:highlight w:val="none"/>
          <w:lang w:eastAsia="zh-CN"/>
        </w:rPr>
        <w:t>二〇二五年</w:t>
      </w:r>
      <w:r>
        <w:rPr>
          <w:rFonts w:hint="eastAsia" w:cs="宋体" w:asciiTheme="minorEastAsia" w:hAnsiTheme="minorEastAsia" w:eastAsiaTheme="minorEastAsia"/>
          <w:spacing w:val="7"/>
          <w:sz w:val="31"/>
          <w:szCs w:val="31"/>
          <w:highlight w:val="none"/>
          <w:lang w:val="en-US" w:eastAsia="zh-CN"/>
        </w:rPr>
        <w:t>十二月</w:t>
      </w:r>
    </w:p>
    <w:p w14:paraId="5EE96195">
      <w:pPr>
        <w:spacing w:line="225" w:lineRule="auto"/>
        <w:rPr>
          <w:rFonts w:cs="宋体" w:asciiTheme="minorEastAsia" w:hAnsiTheme="minorEastAsia" w:eastAsiaTheme="minorEastAsia"/>
          <w:sz w:val="31"/>
          <w:szCs w:val="31"/>
          <w:highlight w:val="none"/>
          <w:lang w:eastAsia="zh-CN"/>
        </w:rPr>
        <w:sectPr>
          <w:headerReference r:id="rId3"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000000" w:themeColor="text1"/>
          <w:sz w:val="48"/>
          <w:szCs w:val="48"/>
          <w:highlight w:val="none"/>
          <w14:textFill>
            <w14:solidFill>
              <w14:schemeClr w14:val="tx1"/>
            </w14:solidFill>
          </w14:textFill>
        </w:rPr>
      </w:pPr>
      <w:r>
        <w:rPr>
          <w:rFonts w:hint="eastAsia" w:ascii="黑体" w:hAnsi="Courier New" w:eastAsia="黑体" w:cs="Courier New"/>
          <w:color w:val="000000" w:themeColor="text1"/>
          <w:sz w:val="48"/>
          <w:szCs w:val="48"/>
          <w:highlight w:val="none"/>
          <w14:textFill>
            <w14:solidFill>
              <w14:schemeClr w14:val="tx1"/>
            </w14:solidFill>
          </w14:textFill>
        </w:rPr>
        <w:t>目   录</w:t>
      </w:r>
    </w:p>
    <w:p w14:paraId="53475A1C">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1D">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rFonts w:ascii="宋体" w:hAnsi="宋体" w:cs="Courier New"/>
          <w:bCs/>
          <w:color w:val="000000" w:themeColor="text1"/>
          <w:spacing w:val="4"/>
          <w:sz w:val="32"/>
          <w:szCs w:val="32"/>
          <w:highlight w:val="none"/>
          <w14:textFill>
            <w14:solidFill>
              <w14:schemeClr w14:val="tx1"/>
            </w14:solidFill>
          </w14:textFill>
        </w:rPr>
        <w:fldChar w:fldCharType="begin"/>
      </w:r>
      <w:r>
        <w:rPr>
          <w:rFonts w:ascii="宋体" w:hAnsi="宋体" w:cs="Courier New"/>
          <w:bCs/>
          <w:color w:val="000000" w:themeColor="text1"/>
          <w:spacing w:val="4"/>
          <w:sz w:val="32"/>
          <w:szCs w:val="32"/>
          <w:highlight w:val="none"/>
          <w14:textFill>
            <w14:solidFill>
              <w14:schemeClr w14:val="tx1"/>
            </w14:solidFill>
          </w14:textFill>
        </w:rPr>
        <w:instrText xml:space="preserve"> </w:instrText>
      </w:r>
      <w:r>
        <w:rPr>
          <w:rFonts w:hint="eastAsia" w:ascii="宋体" w:hAnsi="宋体" w:cs="Courier New"/>
          <w:bCs/>
          <w:color w:val="000000" w:themeColor="text1"/>
          <w:spacing w:val="4"/>
          <w:sz w:val="32"/>
          <w:szCs w:val="32"/>
          <w:highlight w:val="none"/>
          <w14:textFill>
            <w14:solidFill>
              <w14:schemeClr w14:val="tx1"/>
            </w14:solidFill>
          </w14:textFill>
        </w:rPr>
        <w:instrText xml:space="preserve">TOC \o "1-2" \h \z \u</w:instrText>
      </w:r>
      <w:r>
        <w:rPr>
          <w:rFonts w:ascii="宋体" w:hAnsi="宋体" w:cs="Courier New"/>
          <w:bCs/>
          <w:color w:val="000000" w:themeColor="text1"/>
          <w:spacing w:val="4"/>
          <w:sz w:val="32"/>
          <w:szCs w:val="32"/>
          <w:highlight w:val="none"/>
          <w14:textFill>
            <w14:solidFill>
              <w14:schemeClr w14:val="tx1"/>
            </w14:solidFill>
          </w14:textFill>
        </w:rPr>
        <w:instrText xml:space="preserve"> </w:instrText>
      </w:r>
      <w:r>
        <w:rPr>
          <w:rFonts w:ascii="宋体" w:hAnsi="宋体" w:cs="Courier New"/>
          <w:bCs/>
          <w:color w:val="000000" w:themeColor="text1"/>
          <w:spacing w:val="4"/>
          <w:sz w:val="32"/>
          <w:szCs w:val="32"/>
          <w:highlight w:val="none"/>
          <w14:textFill>
            <w14:solidFill>
              <w14:schemeClr w14:val="tx1"/>
            </w14:solidFill>
          </w14:textFill>
        </w:rPr>
        <w:fldChar w:fldCharType="separate"/>
      </w:r>
      <w:r>
        <w:rPr>
          <w:highlight w:val="none"/>
        </w:rPr>
        <w:fldChar w:fldCharType="begin"/>
      </w:r>
      <w:r>
        <w:rPr>
          <w:highlight w:val="none"/>
        </w:rPr>
        <w:instrText xml:space="preserve"> HYPERLINK \l "_Toc176861406" </w:instrText>
      </w:r>
      <w:r>
        <w:rPr>
          <w:highlight w:val="none"/>
        </w:rPr>
        <w:fldChar w:fldCharType="separate"/>
      </w:r>
      <w:r>
        <w:rPr>
          <w:rStyle w:val="43"/>
          <w:rFonts w:hint="eastAsia" w:ascii="宋体" w:hAnsi="宋体"/>
          <w:color w:val="000000" w:themeColor="text1"/>
          <w:sz w:val="32"/>
          <w:szCs w:val="32"/>
          <w:highlight w:val="none"/>
          <w14:textFill>
            <w14:solidFill>
              <w14:schemeClr w14:val="tx1"/>
            </w14:solidFill>
          </w14:textFill>
        </w:rPr>
        <w:t>第一章</w:t>
      </w:r>
      <w:r>
        <w:rPr>
          <w:rStyle w:val="43"/>
          <w:rFonts w:ascii="宋体" w:hAnsi="宋体"/>
          <w:color w:val="000000" w:themeColor="text1"/>
          <w:sz w:val="32"/>
          <w:szCs w:val="32"/>
          <w:highlight w:val="none"/>
          <w14:textFill>
            <w14:solidFill>
              <w14:schemeClr w14:val="tx1"/>
            </w14:solidFill>
          </w14:textFill>
        </w:rPr>
        <w:t xml:space="preserve">  </w:t>
      </w:r>
      <w:r>
        <w:rPr>
          <w:rStyle w:val="43"/>
          <w:rFonts w:hint="eastAsia" w:ascii="宋体" w:hAnsi="宋体"/>
          <w:color w:val="000000" w:themeColor="text1"/>
          <w:sz w:val="32"/>
          <w:szCs w:val="32"/>
          <w:highlight w:val="none"/>
          <w14:textFill>
            <w14:solidFill>
              <w14:schemeClr w14:val="tx1"/>
            </w14:solidFill>
          </w14:textFill>
        </w:rPr>
        <w:t>竞争性磋商公告</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_Toc176861406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2</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1E">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"_Toc176861407" </w:instrText>
      </w:r>
      <w:r>
        <w:rPr>
          <w:highlight w:val="none"/>
        </w:rPr>
        <w:fldChar w:fldCharType="separate"/>
      </w:r>
      <w:r>
        <w:rPr>
          <w:rStyle w:val="43"/>
          <w:rFonts w:hint="eastAsia" w:ascii="宋体" w:hAnsi="宋体"/>
          <w:color w:val="000000" w:themeColor="text1"/>
          <w:sz w:val="32"/>
          <w:szCs w:val="32"/>
          <w:highlight w:val="none"/>
          <w14:textFill>
            <w14:solidFill>
              <w14:schemeClr w14:val="tx1"/>
            </w14:solidFill>
          </w14:textFill>
        </w:rPr>
        <w:t>第二章</w:t>
      </w:r>
      <w:r>
        <w:rPr>
          <w:rStyle w:val="43"/>
          <w:rFonts w:ascii="宋体" w:hAnsi="宋体"/>
          <w:color w:val="000000" w:themeColor="text1"/>
          <w:sz w:val="32"/>
          <w:szCs w:val="32"/>
          <w:highlight w:val="none"/>
          <w14:textFill>
            <w14:solidFill>
              <w14:schemeClr w14:val="tx1"/>
            </w14:solidFill>
          </w14:textFill>
        </w:rPr>
        <w:t xml:space="preserve">  </w:t>
      </w:r>
      <w:r>
        <w:rPr>
          <w:rStyle w:val="43"/>
          <w:rFonts w:hint="eastAsia" w:ascii="宋体" w:hAnsi="宋体"/>
          <w:color w:val="000000" w:themeColor="text1"/>
          <w:sz w:val="32"/>
          <w:szCs w:val="32"/>
          <w:highlight w:val="none"/>
          <w14:textFill>
            <w14:solidFill>
              <w14:schemeClr w14:val="tx1"/>
            </w14:solidFill>
          </w14:textFill>
        </w:rPr>
        <w:t>磋商供应商须知</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_Toc176861407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1F">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"_Toc176861408" </w:instrText>
      </w:r>
      <w:r>
        <w:rPr>
          <w:highlight w:val="none"/>
        </w:rPr>
        <w:fldChar w:fldCharType="separate"/>
      </w:r>
      <w:r>
        <w:rPr>
          <w:rStyle w:val="43"/>
          <w:rFonts w:hint="eastAsia" w:ascii="宋体" w:hAnsi="宋体"/>
          <w:color w:val="000000" w:themeColor="text1"/>
          <w:sz w:val="32"/>
          <w:szCs w:val="32"/>
          <w:highlight w:val="none"/>
          <w14:textFill>
            <w14:solidFill>
              <w14:schemeClr w14:val="tx1"/>
            </w14:solidFill>
          </w14:textFill>
        </w:rPr>
        <w:t>第三章</w:t>
      </w:r>
      <w:r>
        <w:rPr>
          <w:rStyle w:val="43"/>
          <w:rFonts w:ascii="宋体" w:hAnsi="宋体"/>
          <w:color w:val="000000" w:themeColor="text1"/>
          <w:sz w:val="32"/>
          <w:szCs w:val="32"/>
          <w:highlight w:val="none"/>
          <w14:textFill>
            <w14:solidFill>
              <w14:schemeClr w14:val="tx1"/>
            </w14:solidFill>
          </w14:textFill>
        </w:rPr>
        <w:t xml:space="preserve">  </w:t>
      </w:r>
      <w:r>
        <w:rPr>
          <w:rStyle w:val="43"/>
          <w:rFonts w:hint="eastAsia" w:ascii="宋体" w:hAnsi="宋体"/>
          <w:color w:val="000000" w:themeColor="text1"/>
          <w:sz w:val="32"/>
          <w:szCs w:val="32"/>
          <w:highlight w:val="none"/>
          <w14:textFill>
            <w14:solidFill>
              <w14:schemeClr w14:val="tx1"/>
            </w14:solidFill>
          </w14:textFill>
        </w:rPr>
        <w:t>竞争性磋商响应文件格式</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_Toc176861408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32</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0">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"_Toc176861409" </w:instrText>
      </w:r>
      <w:r>
        <w:rPr>
          <w:highlight w:val="none"/>
        </w:rPr>
        <w:fldChar w:fldCharType="separate"/>
      </w:r>
      <w:r>
        <w:rPr>
          <w:rStyle w:val="43"/>
          <w:rFonts w:hint="eastAsia" w:ascii="宋体" w:hAnsi="宋体"/>
          <w:color w:val="000000" w:themeColor="text1"/>
          <w:sz w:val="32"/>
          <w:szCs w:val="32"/>
          <w:highlight w:val="none"/>
          <w14:textFill>
            <w14:solidFill>
              <w14:schemeClr w14:val="tx1"/>
            </w14:solidFill>
          </w14:textFill>
        </w:rPr>
        <w:t>第四章</w:t>
      </w:r>
      <w:r>
        <w:rPr>
          <w:rStyle w:val="43"/>
          <w:rFonts w:ascii="宋体" w:hAnsi="宋体"/>
          <w:color w:val="000000" w:themeColor="text1"/>
          <w:sz w:val="32"/>
          <w:szCs w:val="32"/>
          <w:highlight w:val="none"/>
          <w14:textFill>
            <w14:solidFill>
              <w14:schemeClr w14:val="tx1"/>
            </w14:solidFill>
          </w14:textFill>
        </w:rPr>
        <w:t xml:space="preserve">  </w:t>
      </w:r>
      <w:r>
        <w:rPr>
          <w:rStyle w:val="43"/>
          <w:rFonts w:hint="eastAsia" w:ascii="宋体" w:hAnsi="宋体"/>
          <w:color w:val="000000" w:themeColor="text1"/>
          <w:sz w:val="32"/>
          <w:szCs w:val="32"/>
          <w:highlight w:val="none"/>
          <w14:textFill>
            <w14:solidFill>
              <w14:schemeClr w14:val="tx1"/>
            </w14:solidFill>
          </w14:textFill>
        </w:rPr>
        <w:t>采购项目需求</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_Toc176861409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64</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1">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"_Toc176861410" </w:instrText>
      </w:r>
      <w:r>
        <w:rPr>
          <w:highlight w:val="none"/>
        </w:rPr>
        <w:fldChar w:fldCharType="separate"/>
      </w:r>
      <w:r>
        <w:rPr>
          <w:rStyle w:val="43"/>
          <w:rFonts w:hint="eastAsia" w:ascii="宋体" w:hAnsi="宋体"/>
          <w:color w:val="000000" w:themeColor="text1"/>
          <w:sz w:val="32"/>
          <w:szCs w:val="32"/>
          <w:highlight w:val="none"/>
          <w14:textFill>
            <w14:solidFill>
              <w14:schemeClr w14:val="tx1"/>
            </w14:solidFill>
          </w14:textFill>
        </w:rPr>
        <w:t>第五章</w:t>
      </w:r>
      <w:r>
        <w:rPr>
          <w:rStyle w:val="43"/>
          <w:rFonts w:ascii="宋体" w:hAnsi="宋体"/>
          <w:color w:val="000000" w:themeColor="text1"/>
          <w:sz w:val="32"/>
          <w:szCs w:val="32"/>
          <w:highlight w:val="none"/>
          <w14:textFill>
            <w14:solidFill>
              <w14:schemeClr w14:val="tx1"/>
            </w14:solidFill>
          </w14:textFill>
        </w:rPr>
        <w:t xml:space="preserve">  </w:t>
      </w:r>
      <w:r>
        <w:rPr>
          <w:rStyle w:val="43"/>
          <w:rFonts w:hint="eastAsia" w:ascii="宋体" w:hAnsi="宋体"/>
          <w:color w:val="000000" w:themeColor="text1"/>
          <w:sz w:val="32"/>
          <w:szCs w:val="32"/>
          <w:highlight w:val="none"/>
          <w14:textFill>
            <w14:solidFill>
              <w14:schemeClr w14:val="tx1"/>
            </w14:solidFill>
          </w14:textFill>
        </w:rPr>
        <w:t>工程量清单及图纸</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_Toc176861410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2">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"_Toc176861411" </w:instrText>
      </w:r>
      <w:r>
        <w:rPr>
          <w:highlight w:val="none"/>
        </w:rPr>
        <w:fldChar w:fldCharType="separate"/>
      </w:r>
      <w:r>
        <w:rPr>
          <w:rStyle w:val="43"/>
          <w:rFonts w:hint="eastAsia" w:ascii="宋体" w:hAnsi="宋体"/>
          <w:color w:val="000000" w:themeColor="text1"/>
          <w:kern w:val="0"/>
          <w:sz w:val="32"/>
          <w:szCs w:val="32"/>
          <w:highlight w:val="none"/>
          <w14:textFill>
            <w14:solidFill>
              <w14:schemeClr w14:val="tx1"/>
            </w14:solidFill>
          </w14:textFill>
        </w:rPr>
        <w:t>第六章</w:t>
      </w:r>
      <w:r>
        <w:rPr>
          <w:rStyle w:val="43"/>
          <w:rFonts w:ascii="宋体" w:hAnsi="宋体"/>
          <w:color w:val="000000" w:themeColor="text1"/>
          <w:kern w:val="0"/>
          <w:sz w:val="32"/>
          <w:szCs w:val="32"/>
          <w:highlight w:val="none"/>
          <w14:textFill>
            <w14:solidFill>
              <w14:schemeClr w14:val="tx1"/>
            </w14:solidFill>
          </w14:textFill>
        </w:rPr>
        <w:t xml:space="preserve">  </w:t>
      </w:r>
      <w:r>
        <w:rPr>
          <w:rStyle w:val="43"/>
          <w:rFonts w:hint="eastAsia" w:ascii="宋体" w:hAnsi="宋体"/>
          <w:color w:val="000000" w:themeColor="text1"/>
          <w:kern w:val="0"/>
          <w:sz w:val="32"/>
          <w:szCs w:val="32"/>
          <w:highlight w:val="none"/>
          <w14:textFill>
            <w14:solidFill>
              <w14:schemeClr w14:val="tx1"/>
            </w14:solidFill>
          </w14:textFill>
        </w:rPr>
        <w:t>合同格式</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_Toc176861411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68</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3">
      <w:pPr>
        <w:pStyle w:val="29"/>
        <w:tabs>
          <w:tab w:val="right" w:leader="dot" w:pos="9288"/>
        </w:tabs>
        <w:spacing w:line="360" w:lineRule="auto"/>
        <w:rPr>
          <w:rFonts w:ascii="宋体" w:hAnsi="宋体"/>
          <w:color w:val="000000" w:themeColor="text1"/>
          <w:sz w:val="32"/>
          <w:szCs w:val="32"/>
          <w:highlight w:val="none"/>
          <w14:textFill>
            <w14:solidFill>
              <w14:schemeClr w14:val="tx1"/>
            </w14:solidFill>
          </w14:textFill>
        </w:rPr>
      </w:pPr>
      <w:r>
        <w:rPr>
          <w:highlight w:val="none"/>
        </w:rPr>
        <w:fldChar w:fldCharType="begin"/>
      </w:r>
      <w:r>
        <w:rPr>
          <w:highlight w:val="none"/>
        </w:rPr>
        <w:instrText xml:space="preserve"> HYPERLINK \l "_Toc176861412" </w:instrText>
      </w:r>
      <w:r>
        <w:rPr>
          <w:highlight w:val="none"/>
        </w:rPr>
        <w:fldChar w:fldCharType="separate"/>
      </w:r>
      <w:r>
        <w:rPr>
          <w:rStyle w:val="43"/>
          <w:rFonts w:hint="eastAsia" w:ascii="宋体" w:hAnsi="宋体"/>
          <w:color w:val="000000" w:themeColor="text1"/>
          <w:kern w:val="0"/>
          <w:sz w:val="32"/>
          <w:szCs w:val="32"/>
          <w:highlight w:val="none"/>
          <w14:textFill>
            <w14:solidFill>
              <w14:schemeClr w14:val="tx1"/>
            </w14:solidFill>
          </w14:textFill>
        </w:rPr>
        <w:t>第七章</w:t>
      </w:r>
      <w:r>
        <w:rPr>
          <w:rStyle w:val="43"/>
          <w:rFonts w:ascii="宋体" w:hAnsi="宋体"/>
          <w:color w:val="000000" w:themeColor="text1"/>
          <w:kern w:val="0"/>
          <w:sz w:val="32"/>
          <w:szCs w:val="32"/>
          <w:highlight w:val="none"/>
          <w14:textFill>
            <w14:solidFill>
              <w14:schemeClr w14:val="tx1"/>
            </w14:solidFill>
          </w14:textFill>
        </w:rPr>
        <w:t xml:space="preserve">  </w:t>
      </w:r>
      <w:r>
        <w:rPr>
          <w:rStyle w:val="43"/>
          <w:rFonts w:hint="eastAsia" w:ascii="宋体" w:hAnsi="宋体"/>
          <w:color w:val="000000" w:themeColor="text1"/>
          <w:kern w:val="0"/>
          <w:sz w:val="32"/>
          <w:szCs w:val="32"/>
          <w:highlight w:val="none"/>
          <w14:textFill>
            <w14:solidFill>
              <w14:schemeClr w14:val="tx1"/>
            </w14:solidFill>
          </w14:textFill>
        </w:rPr>
        <w:t>评定标准</w:t>
      </w:r>
      <w:r>
        <w:rPr>
          <w:rFonts w:ascii="宋体" w:hAnsi="宋体"/>
          <w:color w:val="000000" w:themeColor="text1"/>
          <w:sz w:val="32"/>
          <w:szCs w:val="32"/>
          <w:highlight w:val="none"/>
          <w14:textFill>
            <w14:solidFill>
              <w14:schemeClr w14:val="tx1"/>
            </w14:solidFill>
          </w14:textFill>
        </w:rPr>
        <w:tab/>
      </w:r>
      <w:r>
        <w:rPr>
          <w:rFonts w:ascii="宋体" w:hAnsi="宋体"/>
          <w:color w:val="000000" w:themeColor="text1"/>
          <w:sz w:val="32"/>
          <w:szCs w:val="32"/>
          <w:highlight w:val="none"/>
          <w14:textFill>
            <w14:solidFill>
              <w14:schemeClr w14:val="tx1"/>
            </w14:solidFill>
          </w14:textFill>
        </w:rPr>
        <w:fldChar w:fldCharType="begin"/>
      </w:r>
      <w:r>
        <w:rPr>
          <w:rFonts w:ascii="宋体" w:hAnsi="宋体"/>
          <w:color w:val="000000" w:themeColor="text1"/>
          <w:sz w:val="32"/>
          <w:szCs w:val="32"/>
          <w:highlight w:val="none"/>
          <w14:textFill>
            <w14:solidFill>
              <w14:schemeClr w14:val="tx1"/>
            </w14:solidFill>
          </w14:textFill>
        </w:rPr>
        <w:instrText xml:space="preserve"> PAGEREF _Toc176861412 \h </w:instrText>
      </w:r>
      <w:r>
        <w:rPr>
          <w:rFonts w:ascii="宋体" w:hAnsi="宋体"/>
          <w:color w:val="000000" w:themeColor="text1"/>
          <w:sz w:val="32"/>
          <w:szCs w:val="32"/>
          <w:highlight w:val="none"/>
          <w14:textFill>
            <w14:solidFill>
              <w14:schemeClr w14:val="tx1"/>
            </w14:solidFill>
          </w14:textFill>
        </w:rPr>
        <w:fldChar w:fldCharType="separate"/>
      </w:r>
      <w:r>
        <w:rPr>
          <w:rFonts w:ascii="宋体" w:hAnsi="宋体"/>
          <w:color w:val="000000" w:themeColor="text1"/>
          <w:sz w:val="32"/>
          <w:szCs w:val="32"/>
          <w:highlight w:val="none"/>
          <w14:textFill>
            <w14:solidFill>
              <w14:schemeClr w14:val="tx1"/>
            </w14:solidFill>
          </w14:textFill>
        </w:rPr>
        <w:t>127</w:t>
      </w:r>
      <w:r>
        <w:rPr>
          <w:rFonts w:ascii="宋体" w:hAnsi="宋体"/>
          <w:color w:val="000000" w:themeColor="text1"/>
          <w:sz w:val="32"/>
          <w:szCs w:val="32"/>
          <w:highlight w:val="none"/>
          <w14:textFill>
            <w14:solidFill>
              <w14:schemeClr w14:val="tx1"/>
            </w14:solidFill>
          </w14:textFill>
        </w:rPr>
        <w:fldChar w:fldCharType="end"/>
      </w:r>
      <w:r>
        <w:rPr>
          <w:rFonts w:ascii="宋体" w:hAnsi="宋体"/>
          <w:color w:val="000000" w:themeColor="text1"/>
          <w:sz w:val="32"/>
          <w:szCs w:val="32"/>
          <w:highlight w:val="none"/>
          <w14:textFill>
            <w14:solidFill>
              <w14:schemeClr w14:val="tx1"/>
            </w14:solidFill>
          </w14:textFill>
        </w:rPr>
        <w:fldChar w:fldCharType="end"/>
      </w:r>
    </w:p>
    <w:p w14:paraId="53475A24">
      <w:pPr>
        <w:spacing w:line="360" w:lineRule="auto"/>
        <w:jc w:val="center"/>
        <w:rPr>
          <w:rFonts w:ascii="仿宋_GB2312" w:hAnsi="宋体" w:eastAsia="仿宋_GB2312"/>
          <w:b/>
          <w:color w:val="000000" w:themeColor="text1"/>
          <w:sz w:val="32"/>
          <w:szCs w:val="32"/>
          <w:highlight w:val="none"/>
          <w14:textFill>
            <w14:solidFill>
              <w14:schemeClr w14:val="tx1"/>
            </w14:solidFill>
          </w14:textFill>
        </w:rPr>
      </w:pPr>
      <w:r>
        <w:rPr>
          <w:rFonts w:ascii="宋体" w:hAnsi="宋体" w:cs="Courier New"/>
          <w:bCs/>
          <w:color w:val="000000" w:themeColor="text1"/>
          <w:spacing w:val="4"/>
          <w:sz w:val="32"/>
          <w:szCs w:val="32"/>
          <w:highlight w:val="none"/>
          <w14:textFill>
            <w14:solidFill>
              <w14:schemeClr w14:val="tx1"/>
            </w14:solidFill>
          </w14:textFill>
        </w:rPr>
        <w:fldChar w:fldCharType="end"/>
      </w:r>
    </w:p>
    <w:p w14:paraId="53475A25">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2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2F">
      <w:pPr>
        <w:spacing w:line="400" w:lineRule="exact"/>
        <w:rPr>
          <w:rFonts w:ascii="仿宋_GB2312" w:hAnsi="宋体" w:eastAsia="仿宋_GB2312"/>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74" w:right="1304" w:bottom="1134" w:left="1304" w:header="851" w:footer="992" w:gutter="0"/>
          <w:pgNumType w:start="1"/>
          <w:cols w:space="720" w:num="1"/>
          <w:docGrid w:type="lines" w:linePitch="312" w:charSpace="0"/>
        </w:sectPr>
      </w:pPr>
    </w:p>
    <w:p w14:paraId="53475A30">
      <w:pPr>
        <w:pStyle w:val="4"/>
        <w:rPr>
          <w:color w:val="000000" w:themeColor="text1"/>
          <w:highlight w:val="none"/>
          <w14:textFill>
            <w14:solidFill>
              <w14:schemeClr w14:val="tx1"/>
            </w14:solidFill>
          </w14:textFill>
        </w:rPr>
      </w:pPr>
    </w:p>
    <w:p w14:paraId="53475A31">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3">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53475A3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9">
      <w:pPr>
        <w:pStyle w:val="4"/>
        <w:rPr>
          <w:color w:val="000000" w:themeColor="text1"/>
          <w:highlight w:val="none"/>
          <w14:textFill>
            <w14:solidFill>
              <w14:schemeClr w14:val="tx1"/>
            </w14:solidFill>
          </w14:textFill>
        </w:rPr>
      </w:pPr>
    </w:p>
    <w:p w14:paraId="53475A3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C">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3994503"/>
      <w:bookmarkStart w:id="1" w:name="_Toc176861406"/>
      <w:bookmarkStart w:id="2" w:name="_Toc23639"/>
      <w:r>
        <w:rPr>
          <w:rFonts w:hint="eastAsia" w:ascii="宋体" w:hAnsi="宋体"/>
          <w:b/>
          <w:color w:val="000000" w:themeColor="text1"/>
          <w:sz w:val="44"/>
          <w:szCs w:val="44"/>
          <w:highlight w:val="none"/>
          <w14:textFill>
            <w14:solidFill>
              <w14:schemeClr w14:val="tx1"/>
            </w14:solidFill>
          </w14:textFill>
        </w:rPr>
        <w:t>第一章  竞争性磋商公告</w:t>
      </w:r>
      <w:bookmarkEnd w:id="0"/>
      <w:bookmarkEnd w:id="1"/>
      <w:bookmarkEnd w:id="2"/>
    </w:p>
    <w:p w14:paraId="53475A3E">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3F">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4">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3475A4A">
      <w:pPr>
        <w:spacing w:line="400" w:lineRule="exact"/>
        <w:rPr>
          <w:rFonts w:ascii="黑体" w:hAnsi="宋体" w:eastAsia="黑体"/>
          <w:b/>
          <w:color w:val="000000" w:themeColor="text1"/>
          <w:sz w:val="32"/>
          <w:szCs w:val="32"/>
          <w:highlight w:val="none"/>
          <w14:textFill>
            <w14:solidFill>
              <w14:schemeClr w14:val="tx1"/>
            </w14:solidFill>
          </w14:textFill>
        </w:rPr>
      </w:pPr>
    </w:p>
    <w:p w14:paraId="53475A4B">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r>
        <w:rPr>
          <w:rFonts w:hAnsi="宋体" w:cs="宋体"/>
          <w:bCs/>
          <w:color w:val="000000" w:themeColor="text1"/>
          <w:kern w:val="0"/>
          <w:szCs w:val="21"/>
          <w:highlight w:val="none"/>
          <w14:textFill>
            <w14:solidFill>
              <w14:schemeClr w14:val="tx1"/>
            </w14:solidFill>
          </w14:textFill>
        </w:rPr>
        <w:br w:type="page"/>
      </w:r>
    </w:p>
    <w:p w14:paraId="53475A4C">
      <w:pPr>
        <w:spacing w:line="440" w:lineRule="exact"/>
        <w:ind w:right="-307" w:rightChars="-146"/>
        <w:jc w:val="center"/>
        <w:rPr>
          <w:b/>
          <w:sz w:val="30"/>
          <w:szCs w:val="30"/>
          <w:highlight w:val="none"/>
        </w:rPr>
      </w:pPr>
      <w:r>
        <w:rPr>
          <w:rFonts w:hint="eastAsia"/>
          <w:b/>
          <w:sz w:val="30"/>
          <w:szCs w:val="30"/>
          <w:highlight w:val="none"/>
          <w:lang w:eastAsia="zh-CN"/>
        </w:rPr>
        <w:t>广西中之元工程管理有限公司</w:t>
      </w:r>
      <w:r>
        <w:rPr>
          <w:rFonts w:hint="eastAsia"/>
          <w:b/>
          <w:sz w:val="30"/>
          <w:szCs w:val="30"/>
          <w:highlight w:val="none"/>
        </w:rPr>
        <w:t>关于</w:t>
      </w:r>
      <w:r>
        <w:rPr>
          <w:rFonts w:hint="eastAsia"/>
          <w:b/>
          <w:sz w:val="30"/>
          <w:szCs w:val="30"/>
          <w:highlight w:val="none"/>
          <w:lang w:eastAsia="zh-CN"/>
        </w:rPr>
        <w:t>合浦县2025年总江水闸标准化创建工程（土建部分）</w:t>
      </w:r>
      <w:r>
        <w:rPr>
          <w:rFonts w:hint="eastAsia"/>
          <w:b/>
          <w:sz w:val="30"/>
          <w:szCs w:val="30"/>
          <w:highlight w:val="none"/>
        </w:rPr>
        <w:t>竞争性磋商采购公告（远程异地评标）</w:t>
      </w:r>
    </w:p>
    <w:p w14:paraId="53475A4D">
      <w:pPr>
        <w:tabs>
          <w:tab w:val="left" w:pos="9639"/>
          <w:tab w:val="left" w:pos="9746"/>
        </w:tabs>
        <w:adjustRightInd w:val="0"/>
        <w:snapToGrid w:val="0"/>
        <w:ind w:firstLine="420" w:firstLineChars="200"/>
        <w:rPr>
          <w:rFonts w:ascii="宋体" w:hAnsi="宋体" w:cs="宋体"/>
          <w:color w:val="000000" w:themeColor="text1"/>
          <w:kern w:val="0"/>
          <w:szCs w:val="21"/>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合浦县2025年总江水闸标准化创建工程（土建部分）</w:t>
            </w:r>
            <w:r>
              <w:rPr>
                <w:rFonts w:hint="eastAsia" w:ascii="宋体" w:hAnsi="宋体" w:cs="宋体"/>
                <w:color w:val="000000" w:themeColor="text1"/>
                <w:kern w:val="0"/>
                <w:sz w:val="24"/>
                <w:highlight w:val="none"/>
                <w14:textFill>
                  <w14:solidFill>
                    <w14:schemeClr w14:val="tx1"/>
                  </w14:solidFill>
                </w14:textFill>
              </w:rPr>
              <w:t>采购项目的潜在供应商应在广西政府采购云平台（https</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//www.gcy.zfcg.gxzf.gov.cn/）获取采购文件，并</w:t>
            </w:r>
            <w:r>
              <w:rPr>
                <w:rFonts w:hint="eastAsia" w:ascii="宋体" w:hAnsi="宋体" w:cs="宋体"/>
                <w:kern w:val="0"/>
                <w:sz w:val="24"/>
                <w:highlight w:val="none"/>
              </w:rPr>
              <w:t>于</w:t>
            </w:r>
            <w:r>
              <w:rPr>
                <w:rFonts w:hint="eastAsia" w:ascii="宋体" w:hAnsi="宋体" w:cs="宋体"/>
                <w:kern w:val="0"/>
                <w:sz w:val="24"/>
                <w:highlight w:val="none"/>
                <w:u w:val="single"/>
                <w:lang w:eastAsia="zh-CN"/>
              </w:rPr>
              <w:t>202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u w:val="single"/>
                <w:lang w:eastAsia="zh-CN"/>
              </w:rPr>
              <w:t>年</w:t>
            </w:r>
            <w:r>
              <w:rPr>
                <w:rFonts w:hint="eastAsia" w:ascii="宋体" w:hAnsi="宋体" w:cs="宋体"/>
                <w:kern w:val="0"/>
                <w:sz w:val="24"/>
                <w:highlight w:val="none"/>
                <w:u w:val="single"/>
                <w:lang w:val="en-US" w:eastAsia="zh-CN"/>
              </w:rPr>
              <w:t>1</w:t>
            </w:r>
            <w:r>
              <w:rPr>
                <w:rFonts w:hint="eastAsia" w:ascii="宋体" w:hAnsi="宋体" w:cs="宋体"/>
                <w:kern w:val="0"/>
                <w:sz w:val="24"/>
                <w:highlight w:val="none"/>
                <w:u w:val="single"/>
                <w:lang w:eastAsia="zh-CN"/>
              </w:rPr>
              <w:t>月</w:t>
            </w:r>
            <w:r>
              <w:rPr>
                <w:rFonts w:hint="eastAsia" w:ascii="宋体" w:hAnsi="宋体" w:cs="宋体"/>
                <w:kern w:val="0"/>
                <w:sz w:val="24"/>
                <w:highlight w:val="none"/>
                <w:u w:val="single"/>
                <w:lang w:val="en-US" w:eastAsia="zh-CN"/>
              </w:rPr>
              <w:t>12</w:t>
            </w:r>
            <w:r>
              <w:rPr>
                <w:rFonts w:hint="eastAsia" w:ascii="宋体" w:hAnsi="宋体" w:cs="宋体"/>
                <w:kern w:val="0"/>
                <w:sz w:val="24"/>
                <w:highlight w:val="none"/>
                <w:u w:val="single"/>
                <w:lang w:eastAsia="zh-CN"/>
              </w:rPr>
              <w:t>日09：00</w:t>
            </w:r>
            <w:r>
              <w:rPr>
                <w:rFonts w:hint="eastAsia" w:ascii="宋体" w:hAnsi="宋体" w:cs="宋体"/>
                <w:kern w:val="0"/>
                <w:sz w:val="24"/>
                <w:highlight w:val="none"/>
              </w:rPr>
              <w:t>（北京时间）</w:t>
            </w:r>
            <w:r>
              <w:rPr>
                <w:rFonts w:hint="eastAsia" w:ascii="宋体" w:hAnsi="宋体" w:cs="宋体"/>
                <w:color w:val="000000" w:themeColor="text1"/>
                <w:kern w:val="0"/>
                <w:sz w:val="24"/>
                <w:highlight w:val="none"/>
                <w14:textFill>
                  <w14:solidFill>
                    <w14:schemeClr w14:val="tx1"/>
                  </w14:solidFill>
                </w14:textFill>
              </w:rPr>
              <w:t>前提交响应文件。</w:t>
            </w:r>
          </w:p>
        </w:tc>
      </w:tr>
    </w:tbl>
    <w:p w14:paraId="53475A5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53475A52">
      <w:pPr>
        <w:tabs>
          <w:tab w:val="left" w:pos="9639"/>
          <w:tab w:val="left" w:pos="9746"/>
        </w:tabs>
        <w:adjustRightInd w:val="0"/>
        <w:snapToGrid w:val="0"/>
        <w:spacing w:line="360" w:lineRule="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一、项目基本情况</w:t>
      </w:r>
    </w:p>
    <w:p w14:paraId="53475A53">
      <w:pPr>
        <w:adjustRightIn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lang w:eastAsia="zh-CN"/>
        </w:rPr>
        <w:t>项目编号：BHZC2025-C2-210235-ZZYG</w:t>
      </w:r>
    </w:p>
    <w:p w14:paraId="53475A54">
      <w:pPr>
        <w:adjustRightIn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项目名称：</w:t>
      </w:r>
      <w:r>
        <w:rPr>
          <w:rFonts w:hint="eastAsia" w:ascii="宋体" w:hAnsi="宋体"/>
          <w:sz w:val="24"/>
          <w:highlight w:val="none"/>
          <w:lang w:eastAsia="zh-CN"/>
        </w:rPr>
        <w:t>合浦县2025年总江水闸标准化创建工程（土建部分）</w:t>
      </w:r>
    </w:p>
    <w:p w14:paraId="53475A55">
      <w:pPr>
        <w:adjustRightInd w:val="0"/>
        <w:spacing w:line="360" w:lineRule="auto"/>
        <w:ind w:firstLine="480" w:firstLineChars="200"/>
        <w:rPr>
          <w:rFonts w:ascii="宋体" w:hAnsi="宋体"/>
          <w:sz w:val="24"/>
          <w:highlight w:val="none"/>
        </w:rPr>
      </w:pPr>
      <w:r>
        <w:rPr>
          <w:rFonts w:hint="eastAsia" w:ascii="宋体" w:hAnsi="宋体"/>
          <w:sz w:val="24"/>
          <w:highlight w:val="none"/>
        </w:rPr>
        <w:t>采购方式：竞争性磋商</w:t>
      </w:r>
    </w:p>
    <w:p w14:paraId="49E843D1">
      <w:pPr>
        <w:adjustRightIn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lang w:eastAsia="zh-CN"/>
        </w:rPr>
        <w:t>预算金额（元）：</w:t>
      </w:r>
      <w:r>
        <w:rPr>
          <w:rFonts w:hint="eastAsia" w:ascii="宋体" w:hAnsi="宋体"/>
          <w:sz w:val="24"/>
          <w:highlight w:val="none"/>
          <w:lang w:val="en-US" w:eastAsia="zh-CN"/>
        </w:rPr>
        <w:t>903120.52</w:t>
      </w:r>
    </w:p>
    <w:p w14:paraId="5E077C28">
      <w:pPr>
        <w:adjustRightInd w:val="0"/>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采购需求：合浦县2025年总江水闸标准化创建工程（土建部分）位于合浦县星岛湖镇，建设内容为建设内容为管理区、办公区；进闸道路；总江水闸及东干渠放水闸</w:t>
      </w:r>
      <w:r>
        <w:rPr>
          <w:rFonts w:hint="eastAsia" w:ascii="宋体" w:hAnsi="宋体"/>
          <w:sz w:val="24"/>
          <w:highlight w:val="none"/>
          <w:lang w:eastAsia="zh-CN"/>
        </w:rPr>
        <w:t>。具体内容详见磋商文件，工程量清单及图纸。</w:t>
      </w:r>
    </w:p>
    <w:p w14:paraId="53475A58">
      <w:pPr>
        <w:adjustRightInd w:val="0"/>
        <w:spacing w:line="360" w:lineRule="auto"/>
        <w:ind w:firstLine="480" w:firstLineChars="200"/>
        <w:rPr>
          <w:rFonts w:ascii="宋体" w:hAnsi="宋体"/>
          <w:sz w:val="24"/>
          <w:highlight w:val="none"/>
        </w:rPr>
      </w:pPr>
      <w:r>
        <w:rPr>
          <w:rFonts w:hint="eastAsia" w:ascii="宋体" w:hAnsi="宋体"/>
          <w:sz w:val="24"/>
          <w:highlight w:val="none"/>
        </w:rPr>
        <w:t>工期</w:t>
      </w:r>
      <w:r>
        <w:rPr>
          <w:rFonts w:hint="eastAsia" w:ascii="宋体" w:hAnsi="宋体"/>
          <w:sz w:val="24"/>
          <w:highlight w:val="none"/>
          <w:lang w:eastAsia="zh-CN"/>
        </w:rPr>
        <w:t>：监理签发的开工日起</w:t>
      </w:r>
      <w:r>
        <w:rPr>
          <w:rFonts w:hint="eastAsia" w:ascii="宋体" w:hAnsi="宋体"/>
          <w:sz w:val="24"/>
          <w:highlight w:val="none"/>
          <w:lang w:val="en-US" w:eastAsia="zh-CN"/>
        </w:rPr>
        <w:t>90</w:t>
      </w:r>
      <w:r>
        <w:rPr>
          <w:rFonts w:hint="eastAsia" w:ascii="宋体" w:hAnsi="宋体"/>
          <w:sz w:val="24"/>
          <w:highlight w:val="none"/>
          <w:lang w:eastAsia="zh-CN"/>
        </w:rPr>
        <w:t>日历天内完成</w:t>
      </w:r>
      <w:r>
        <w:rPr>
          <w:rFonts w:hint="eastAsia" w:ascii="宋体" w:hAnsi="宋体"/>
          <w:sz w:val="24"/>
          <w:highlight w:val="none"/>
        </w:rPr>
        <w:t>。</w:t>
      </w:r>
    </w:p>
    <w:p w14:paraId="53475A5D">
      <w:pPr>
        <w:adjustRightInd w:val="0"/>
        <w:spacing w:line="360" w:lineRule="auto"/>
        <w:ind w:firstLine="480" w:firstLineChars="200"/>
        <w:rPr>
          <w:rFonts w:ascii="宋体" w:hAnsi="宋体"/>
          <w:sz w:val="24"/>
          <w:highlight w:val="none"/>
        </w:rPr>
      </w:pPr>
      <w:r>
        <w:rPr>
          <w:rFonts w:hint="eastAsia" w:ascii="宋体" w:hAnsi="宋体"/>
          <w:sz w:val="24"/>
          <w:highlight w:val="none"/>
        </w:rPr>
        <w:t>最高限价（如有）：</w:t>
      </w:r>
      <w:r>
        <w:rPr>
          <w:rFonts w:hint="eastAsia" w:ascii="宋体" w:hAnsi="宋体"/>
          <w:sz w:val="24"/>
          <w:highlight w:val="none"/>
          <w:lang w:val="en-US" w:eastAsia="zh-CN"/>
        </w:rPr>
        <w:t>903120.52</w:t>
      </w:r>
    </w:p>
    <w:p w14:paraId="143CB0F2">
      <w:pPr>
        <w:adjustRightInd w:val="0"/>
        <w:spacing w:line="360" w:lineRule="auto"/>
        <w:ind w:firstLine="480" w:firstLineChars="200"/>
        <w:rPr>
          <w:rFonts w:ascii="宋体" w:hAnsi="宋体"/>
          <w:sz w:val="24"/>
          <w:highlight w:val="none"/>
          <w:u w:val="single"/>
        </w:rPr>
      </w:pPr>
      <w:r>
        <w:rPr>
          <w:rFonts w:hint="eastAsia" w:ascii="宋体" w:hAnsi="宋体"/>
          <w:sz w:val="24"/>
          <w:highlight w:val="none"/>
        </w:rPr>
        <w:t>合同履行期限：</w:t>
      </w:r>
      <w:r>
        <w:rPr>
          <w:rFonts w:hint="eastAsia" w:hAnsi="宋体" w:cs="宋体"/>
          <w:bCs/>
          <w:sz w:val="24"/>
          <w:highlight w:val="none"/>
          <w:lang w:eastAsia="zh-CN"/>
        </w:rPr>
        <w:t>监理签发的开工日起</w:t>
      </w:r>
      <w:r>
        <w:rPr>
          <w:rFonts w:hint="eastAsia" w:hAnsi="宋体" w:cs="宋体"/>
          <w:bCs/>
          <w:sz w:val="24"/>
          <w:highlight w:val="none"/>
          <w:lang w:val="en-US" w:eastAsia="zh-CN"/>
        </w:rPr>
        <w:t>90</w:t>
      </w:r>
      <w:r>
        <w:rPr>
          <w:rFonts w:hint="eastAsia" w:hAnsi="宋体" w:cs="宋体"/>
          <w:bCs/>
          <w:sz w:val="24"/>
          <w:highlight w:val="none"/>
          <w:lang w:eastAsia="zh-CN"/>
        </w:rPr>
        <w:t>日历天内完成。</w:t>
      </w:r>
    </w:p>
    <w:p w14:paraId="5A3B1CBC">
      <w:pPr>
        <w:adjustRightInd w:val="0"/>
        <w:spacing w:line="360" w:lineRule="auto"/>
        <w:ind w:firstLine="480" w:firstLineChars="200"/>
        <w:rPr>
          <w:rFonts w:hint="eastAsia" w:ascii="宋体" w:hAnsi="宋体"/>
          <w:sz w:val="24"/>
          <w:highlight w:val="none"/>
        </w:rPr>
      </w:pPr>
      <w:r>
        <w:rPr>
          <w:rFonts w:hint="eastAsia" w:ascii="宋体" w:hAnsi="宋体"/>
          <w:sz w:val="24"/>
          <w:highlight w:val="none"/>
        </w:rPr>
        <w:t>本项目是否接受联合体磋商：</w:t>
      </w:r>
      <w:r>
        <w:rPr>
          <w:rFonts w:ascii="Wingdings" w:hAnsi="Wingdings" w:eastAsia="Wingdings" w:cs="Wingdings"/>
          <w:sz w:val="24"/>
          <w:szCs w:val="24"/>
          <w:highlight w:val="none"/>
        </w:rPr>
        <w:sym w:font="Wingdings" w:char="00FE"/>
      </w:r>
      <w:r>
        <w:rPr>
          <w:rFonts w:hint="eastAsia" w:ascii="宋体" w:hAnsi="宋体"/>
          <w:sz w:val="24"/>
          <w:highlight w:val="none"/>
        </w:rPr>
        <w:t>否。</w:t>
      </w:r>
    </w:p>
    <w:p w14:paraId="53475A61">
      <w:pPr>
        <w:tabs>
          <w:tab w:val="left" w:pos="9639"/>
          <w:tab w:val="left" w:pos="9746"/>
        </w:tabs>
        <w:adjustRightInd w:val="0"/>
        <w:snapToGrid w:val="0"/>
        <w:spacing w:line="360" w:lineRule="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二、申请人的资格要求</w:t>
      </w:r>
    </w:p>
    <w:p w14:paraId="53475A62">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1.满足《中华人民共和国政府采购法》第二十二条规定；未被“信用中国” （www.creditchina.gov.cn)、中国政府采购网（www.ccgp.gov.cn）列入失信被执行人、重大税收违法案件当事人名单、政府采购严重违法失信行为记录名单；</w:t>
      </w:r>
    </w:p>
    <w:p w14:paraId="53475A63">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2.落实政府采购政策需满足的资格要求：</w:t>
      </w:r>
      <w:r>
        <w:rPr>
          <w:rFonts w:hint="eastAsia" w:ascii="宋体" w:hAnsi="宋体"/>
          <w:color w:val="000000" w:themeColor="text1"/>
          <w:sz w:val="24"/>
          <w:highlight w:val="none"/>
          <w:lang w:eastAsia="zh-CN"/>
          <w14:textFill>
            <w14:solidFill>
              <w14:schemeClr w14:val="tx1"/>
            </w14:solidFill>
          </w14:textFill>
        </w:rPr>
        <w:t>本项目为专门面向中小企业采购</w:t>
      </w:r>
      <w:r>
        <w:rPr>
          <w:rFonts w:hint="eastAsia" w:ascii="宋体" w:hAnsi="宋体"/>
          <w:color w:val="000000" w:themeColor="text1"/>
          <w:sz w:val="24"/>
          <w:highlight w:val="none"/>
          <w14:textFill>
            <w14:solidFill>
              <w14:schemeClr w14:val="tx1"/>
            </w14:solidFill>
          </w14:textFill>
        </w:rPr>
        <w:t>，工程的施工单位为符合政策要求的中小企业（中小微企业，监狱企业、残疾人福利单位视同小型和微型企业）；</w:t>
      </w:r>
    </w:p>
    <w:p w14:paraId="2B783ED9">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3.本项目的特定资格要求：</w:t>
      </w:r>
      <w:r>
        <w:rPr>
          <w:rFonts w:hint="eastAsia" w:ascii="宋体" w:hAnsi="宋体"/>
          <w:color w:val="000000" w:themeColor="text1"/>
          <w:sz w:val="24"/>
          <w:highlight w:val="none"/>
          <w:lang w:eastAsia="zh-CN"/>
          <w14:textFill>
            <w14:solidFill>
              <w14:schemeClr w14:val="tx1"/>
            </w14:solidFill>
          </w14:textFill>
        </w:rPr>
        <w:t>具备有效的水利水电工程施工总承包三级(含)以</w:t>
      </w:r>
      <w:bookmarkStart w:id="638" w:name="_GoBack"/>
      <w:bookmarkEnd w:id="638"/>
      <w:r>
        <w:rPr>
          <w:rFonts w:hint="eastAsia" w:ascii="宋体" w:hAnsi="宋体"/>
          <w:color w:val="000000" w:themeColor="text1"/>
          <w:sz w:val="24"/>
          <w:highlight w:val="none"/>
          <w:lang w:eastAsia="zh-CN"/>
          <w14:textFill>
            <w14:solidFill>
              <w14:schemeClr w14:val="tx1"/>
            </w14:solidFill>
          </w14:textFill>
        </w:rPr>
        <w:t>上资质</w:t>
      </w:r>
      <w:r>
        <w:rPr>
          <w:rFonts w:hint="eastAsia" w:ascii="宋体" w:hAnsi="宋体"/>
          <w:color w:val="000000" w:themeColor="text1"/>
          <w:sz w:val="24"/>
          <w:highlight w:val="none"/>
          <w:lang w:eastAsia="zh-CN"/>
          <w14:textFill>
            <w14:solidFill>
              <w14:schemeClr w14:val="tx1"/>
            </w14:solidFill>
          </w14:textFill>
        </w:rPr>
        <w:t>，并具备有效的安全生产许可证书。其中，供应商拟派项目经理须具备水利水电工程专业二级(含)以上专业注册建造师执业资格，具备有效的省级或省级以上水行政主管部门或其授权部门(机构)颁发的B类安全生产考核合格证书；</w:t>
      </w:r>
    </w:p>
    <w:p w14:paraId="53475A64">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lang w:eastAsia="zh-CN"/>
          <w14:textFill>
            <w14:solidFill>
              <w14:schemeClr w14:val="tx1"/>
            </w14:solidFill>
          </w14:textFill>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p w14:paraId="53475A65">
      <w:pPr>
        <w:spacing w:line="360" w:lineRule="auto"/>
        <w:rPr>
          <w:rFonts w:ascii="宋体" w:hAnsi="宋体" w:cs="宋体"/>
          <w:b/>
          <w:kern w:val="0"/>
          <w:sz w:val="24"/>
          <w:highlight w:val="none"/>
        </w:rPr>
      </w:pPr>
      <w:r>
        <w:rPr>
          <w:rFonts w:hint="eastAsia" w:ascii="宋体" w:hAnsi="宋体" w:cs="宋体"/>
          <w:b/>
          <w:kern w:val="0"/>
          <w:sz w:val="24"/>
          <w:highlight w:val="none"/>
        </w:rPr>
        <w:t>三、获取采购文件</w:t>
      </w:r>
    </w:p>
    <w:p w14:paraId="53475A66">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 ，下午12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w:t>
      </w:r>
      <w:r>
        <w:rPr>
          <w:rFonts w:hint="eastAsia" w:ascii="宋体" w:hAnsi="宋体" w:cs="宋体"/>
          <w:color w:val="auto"/>
          <w:sz w:val="24"/>
          <w:highlight w:val="none"/>
        </w:rPr>
        <w:t>（北京时间，法定节假日除外）；</w:t>
      </w:r>
    </w:p>
    <w:p w14:paraId="53475A67">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8">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53475A6A">
      <w:pPr>
        <w:adjustRightInd w:val="0"/>
        <w:snapToGrid w:val="0"/>
        <w:spacing w:line="360" w:lineRule="auto"/>
        <w:jc w:val="left"/>
        <w:rPr>
          <w:rFonts w:ascii="宋体" w:hAnsi="宋体"/>
          <w:b/>
          <w:color w:val="auto"/>
          <w:kern w:val="0"/>
          <w:sz w:val="24"/>
          <w:szCs w:val="20"/>
          <w:highlight w:val="none"/>
        </w:rPr>
      </w:pPr>
      <w:bookmarkStart w:id="3" w:name="_Toc28359015"/>
      <w:bookmarkStart w:id="4" w:name="_Toc35393801"/>
      <w:bookmarkStart w:id="5" w:name="_Toc28359092"/>
      <w:bookmarkStart w:id="6" w:name="_Toc35393632"/>
      <w:r>
        <w:rPr>
          <w:rFonts w:hint="eastAsia" w:ascii="宋体" w:hAnsi="宋体"/>
          <w:b/>
          <w:color w:val="auto"/>
          <w:kern w:val="0"/>
          <w:sz w:val="24"/>
          <w:szCs w:val="20"/>
          <w:highlight w:val="none"/>
        </w:rPr>
        <w:t>四、响应文件提交</w:t>
      </w:r>
      <w:bookmarkEnd w:id="3"/>
      <w:bookmarkEnd w:id="4"/>
      <w:bookmarkEnd w:id="5"/>
      <w:bookmarkEnd w:id="6"/>
    </w:p>
    <w:p w14:paraId="53475A6B">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12</w:t>
      </w:r>
      <w:r>
        <w:rPr>
          <w:rFonts w:hint="eastAsia" w:ascii="宋体" w:hAnsi="宋体" w:cs="宋体"/>
          <w:color w:val="auto"/>
          <w:kern w:val="0"/>
          <w:sz w:val="24"/>
          <w:highlight w:val="none"/>
          <w:u w:val="single"/>
          <w:lang w:eastAsia="zh-CN"/>
        </w:rPr>
        <w:t>日09：</w:t>
      </w:r>
      <w:r>
        <w:rPr>
          <w:rFonts w:hint="eastAsia" w:ascii="宋体" w:hAnsi="宋体" w:cs="宋体"/>
          <w:color w:val="auto"/>
          <w:kern w:val="0"/>
          <w:sz w:val="24"/>
          <w:highlight w:val="none"/>
          <w:u w:val="single"/>
          <w:lang w:val="en-US" w:eastAsia="zh-CN"/>
        </w:rPr>
        <w:t>00</w:t>
      </w:r>
      <w:r>
        <w:rPr>
          <w:rFonts w:hint="eastAsia" w:ascii="宋体" w:hAnsi="宋体"/>
          <w:bCs/>
          <w:color w:val="auto"/>
          <w:sz w:val="24"/>
          <w:highlight w:val="none"/>
        </w:rPr>
        <w:t>（北京时间）</w:t>
      </w:r>
    </w:p>
    <w:p w14:paraId="53475A6C">
      <w:pPr>
        <w:adjustRightInd w:val="0"/>
        <w:spacing w:line="360" w:lineRule="auto"/>
        <w:ind w:firstLine="480" w:firstLineChars="200"/>
        <w:rPr>
          <w:rFonts w:ascii="宋体" w:hAnsi="宋体"/>
          <w:bCs/>
          <w:sz w:val="24"/>
          <w:highlight w:val="none"/>
          <w:u w:val="single"/>
        </w:rPr>
      </w:pPr>
      <w:r>
        <w:rPr>
          <w:rFonts w:hint="eastAsia" w:ascii="宋体" w:hAnsi="宋体"/>
          <w:sz w:val="24"/>
          <w:highlight w:val="none"/>
        </w:rPr>
        <w:t>地点：</w:t>
      </w:r>
      <w:r>
        <w:rPr>
          <w:rFonts w:hint="eastAsia" w:ascii="宋体" w:hAnsi="宋体" w:cs="宋体"/>
          <w:sz w:val="24"/>
          <w:highlight w:val="none"/>
        </w:rPr>
        <w:t>广西政府采购云平台（https</w:t>
      </w:r>
      <w:r>
        <w:rPr>
          <w:rFonts w:hint="eastAsia" w:ascii="宋体" w:hAnsi="宋体" w:cs="宋体"/>
          <w:sz w:val="24"/>
          <w:highlight w:val="none"/>
          <w:lang w:eastAsia="zh-CN"/>
        </w:rPr>
        <w:t>：</w:t>
      </w:r>
      <w:r>
        <w:rPr>
          <w:rFonts w:hint="eastAsia" w:ascii="宋体" w:hAnsi="宋体" w:cs="宋体"/>
          <w:sz w:val="24"/>
          <w:highlight w:val="none"/>
        </w:rPr>
        <w:t>//www.gcy.zfcg.gxzf.gov.cn/）</w:t>
      </w:r>
    </w:p>
    <w:p w14:paraId="53475A6D">
      <w:pPr>
        <w:adjustRightInd w:val="0"/>
        <w:snapToGrid w:val="0"/>
        <w:spacing w:line="360" w:lineRule="auto"/>
        <w:jc w:val="left"/>
        <w:rPr>
          <w:rFonts w:ascii="宋体" w:hAnsi="宋体"/>
          <w:b/>
          <w:kern w:val="0"/>
          <w:sz w:val="24"/>
          <w:szCs w:val="20"/>
          <w:highlight w:val="none"/>
        </w:rPr>
      </w:pPr>
      <w:bookmarkStart w:id="7" w:name="_Toc28359093"/>
      <w:bookmarkStart w:id="8" w:name="_Toc35393633"/>
      <w:bookmarkStart w:id="9" w:name="_Toc35393802"/>
      <w:bookmarkStart w:id="10" w:name="_Toc28359016"/>
      <w:r>
        <w:rPr>
          <w:rFonts w:hint="eastAsia" w:ascii="宋体" w:hAnsi="宋体"/>
          <w:b/>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kern w:val="0"/>
          <w:sz w:val="24"/>
          <w:highlight w:val="none"/>
          <w:u w:val="single"/>
          <w:lang w:eastAsia="zh-CN"/>
        </w:rPr>
        <w:t>202</w:t>
      </w:r>
      <w:r>
        <w:rPr>
          <w:rFonts w:hint="eastAsia" w:ascii="宋体" w:hAnsi="宋体" w:cs="宋体"/>
          <w:color w:val="auto"/>
          <w:kern w:val="0"/>
          <w:sz w:val="24"/>
          <w:highlight w:val="none"/>
          <w:u w:val="single"/>
          <w:lang w:val="en-US" w:eastAsia="zh-CN"/>
        </w:rPr>
        <w:t>6</w:t>
      </w:r>
      <w:r>
        <w:rPr>
          <w:rFonts w:hint="eastAsia" w:ascii="宋体" w:hAnsi="宋体" w:cs="宋体"/>
          <w:color w:val="auto"/>
          <w:kern w:val="0"/>
          <w:sz w:val="24"/>
          <w:highlight w:val="none"/>
          <w:u w:val="single"/>
          <w:lang w:eastAsia="zh-CN"/>
        </w:rPr>
        <w:t>年</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lang w:eastAsia="zh-CN"/>
        </w:rPr>
        <w:t>月</w:t>
      </w:r>
      <w:r>
        <w:rPr>
          <w:rFonts w:hint="eastAsia" w:ascii="宋体" w:hAnsi="宋体" w:cs="宋体"/>
          <w:color w:val="auto"/>
          <w:kern w:val="0"/>
          <w:sz w:val="24"/>
          <w:highlight w:val="none"/>
          <w:u w:val="single"/>
          <w:lang w:val="en-US" w:eastAsia="zh-CN"/>
        </w:rPr>
        <w:t>12</w:t>
      </w:r>
      <w:r>
        <w:rPr>
          <w:rFonts w:hint="eastAsia" w:ascii="宋体" w:hAnsi="宋体" w:cs="宋体"/>
          <w:color w:val="auto"/>
          <w:kern w:val="0"/>
          <w:sz w:val="24"/>
          <w:highlight w:val="none"/>
          <w:u w:val="single"/>
          <w:lang w:eastAsia="zh-CN"/>
        </w:rPr>
        <w:t>日09：</w:t>
      </w:r>
      <w:r>
        <w:rPr>
          <w:rFonts w:hint="eastAsia" w:ascii="宋体" w:hAnsi="宋体" w:cs="宋体"/>
          <w:color w:val="auto"/>
          <w:kern w:val="0"/>
          <w:sz w:val="24"/>
          <w:highlight w:val="none"/>
          <w:u w:val="single"/>
          <w:lang w:val="en-US" w:eastAsia="zh-CN"/>
        </w:rPr>
        <w:t>00</w:t>
      </w:r>
      <w:r>
        <w:rPr>
          <w:rFonts w:hint="eastAsia" w:ascii="宋体" w:hAnsi="宋体"/>
          <w:bCs/>
          <w:color w:val="auto"/>
          <w:sz w:val="24"/>
          <w:highlight w:val="none"/>
        </w:rPr>
        <w:t>（北京时间）</w:t>
      </w:r>
    </w:p>
    <w:p w14:paraId="53475A6F">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p>
    <w:p w14:paraId="53475A7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1" w:name="_Toc35393803"/>
      <w:bookmarkStart w:id="12" w:name="_Toc28359017"/>
      <w:bookmarkStart w:id="13" w:name="_Toc35393634"/>
      <w:bookmarkStart w:id="14" w:name="_Toc28359094"/>
      <w:r>
        <w:rPr>
          <w:rFonts w:hint="eastAsia" w:ascii="宋体" w:hAnsi="宋体"/>
          <w:b/>
          <w:color w:val="000000" w:themeColor="text1"/>
          <w:kern w:val="0"/>
          <w:sz w:val="24"/>
          <w:szCs w:val="20"/>
          <w:highlight w:val="none"/>
          <w14:textFill>
            <w14:solidFill>
              <w14:schemeClr w14:val="tx1"/>
            </w14:solidFill>
          </w14:textFill>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自本公告发布之日起5个工作日。</w:t>
      </w:r>
    </w:p>
    <w:p w14:paraId="53475A72">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5" w:name="_Toc35393804"/>
      <w:bookmarkStart w:id="16"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15"/>
      <w:bookmarkEnd w:id="16"/>
    </w:p>
    <w:p w14:paraId="53475A7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1.磋商保证金：本项目不收取磋商保证金。</w:t>
      </w:r>
    </w:p>
    <w:p w14:paraId="53475A74">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5">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475A7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//www.ccgp.gov.cn/)、广西壮族自治区政府采购网(http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//www.ccgp-guangxi.gov.cn/)</w:t>
      </w:r>
      <w:r>
        <w:rPr>
          <w:rFonts w:hint="eastAsia" w:ascii="宋体" w:hAnsi="宋体" w:cs="宋体"/>
          <w:color w:val="000000" w:themeColor="text1"/>
          <w:sz w:val="24"/>
          <w:highlight w:val="none"/>
          <w:lang w:eastAsia="zh-CN"/>
          <w14:textFill>
            <w14:solidFill>
              <w14:schemeClr w14:val="tx1"/>
            </w14:solidFill>
          </w14:textFill>
        </w:rPr>
        <w:t>、北海市政府采购监管网（https：//bhzfcg.zcygov.cn/）</w:t>
      </w:r>
      <w:r>
        <w:rPr>
          <w:rFonts w:hint="eastAsia" w:ascii="宋体" w:hAnsi="宋体" w:cs="宋体"/>
          <w:color w:val="000000" w:themeColor="text1"/>
          <w:sz w:val="24"/>
          <w:highlight w:val="none"/>
          <w14:textFill>
            <w14:solidFill>
              <w14:schemeClr w14:val="tx1"/>
            </w14:solidFill>
          </w14:textFill>
        </w:rPr>
        <w:t>。</w:t>
      </w:r>
    </w:p>
    <w:p w14:paraId="53475A7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53475A7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A">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8.本项目采用远程异地评审</w:t>
      </w:r>
      <w:r>
        <w:rPr>
          <w:rFonts w:hint="eastAsia" w:ascii="宋体" w:hAnsi="宋体" w:cs="宋体"/>
          <w:color w:val="000000" w:themeColor="text1"/>
          <w:sz w:val="24"/>
          <w:highlight w:val="none"/>
          <w:lang w:eastAsia="zh-CN"/>
          <w14:textFill>
            <w14:solidFill>
              <w14:schemeClr w14:val="tx1"/>
            </w14:solidFill>
          </w14:textFill>
        </w:rPr>
        <w:t>。</w:t>
      </w:r>
    </w:p>
    <w:p w14:paraId="53475A7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35393636"/>
      <w:bookmarkStart w:id="18" w:name="_Toc35393805"/>
      <w:bookmarkStart w:id="19" w:name="_Toc28359095"/>
      <w:bookmarkStart w:id="20"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17"/>
      <w:bookmarkEnd w:id="18"/>
      <w:bookmarkEnd w:id="19"/>
      <w:bookmarkEnd w:id="20"/>
    </w:p>
    <w:p w14:paraId="53475A7C">
      <w:pPr>
        <w:adjustRightIn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3475A7D">
      <w:pPr>
        <w:adjustRightInd w:val="0"/>
        <w:spacing w:line="360" w:lineRule="auto"/>
        <w:ind w:firstLine="480"/>
        <w:rPr>
          <w:rFonts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lang w:eastAsia="zh-CN"/>
        </w:rPr>
        <w:t>合浦县水利局</w:t>
      </w:r>
      <w:r>
        <w:rPr>
          <w:rFonts w:hint="eastAsia" w:ascii="宋体" w:hAnsi="宋体" w:cs="宋体"/>
          <w:sz w:val="24"/>
          <w:highlight w:val="none"/>
        </w:rPr>
        <w:t xml:space="preserve"> </w:t>
      </w:r>
    </w:p>
    <w:p w14:paraId="53475A7E">
      <w:pPr>
        <w:adjustRightInd w:val="0"/>
        <w:spacing w:line="360" w:lineRule="auto"/>
        <w:rPr>
          <w:rFonts w:ascii="宋体" w:hAnsi="宋体" w:cs="宋体"/>
          <w:sz w:val="24"/>
          <w:highlight w:val="none"/>
        </w:rPr>
      </w:pPr>
      <w:r>
        <w:rPr>
          <w:rFonts w:hint="eastAsia" w:ascii="宋体" w:hAnsi="宋体" w:cs="宋体"/>
          <w:sz w:val="24"/>
          <w:highlight w:val="none"/>
        </w:rPr>
        <w:t xml:space="preserve">    地    址：</w:t>
      </w:r>
      <w:r>
        <w:rPr>
          <w:rFonts w:hint="eastAsia" w:ascii="宋体" w:hAnsi="宋体" w:cs="宋体"/>
          <w:sz w:val="24"/>
          <w:highlight w:val="none"/>
          <w:lang w:eastAsia="zh-CN"/>
        </w:rPr>
        <w:t>合浦县廉州镇南乐街69号</w:t>
      </w:r>
      <w:r>
        <w:rPr>
          <w:rFonts w:hint="eastAsia" w:ascii="宋体" w:hAnsi="宋体" w:cs="宋体"/>
          <w:sz w:val="24"/>
          <w:highlight w:val="none"/>
        </w:rPr>
        <w:t xml:space="preserve">   </w:t>
      </w:r>
    </w:p>
    <w:p w14:paraId="53475A7F">
      <w:pPr>
        <w:adjustRightInd w:val="0"/>
        <w:spacing w:line="360" w:lineRule="auto"/>
        <w:ind w:firstLine="480"/>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eastAsia="zh-CN"/>
        </w:rPr>
        <w:t>郑正聪</w:t>
      </w:r>
      <w:r>
        <w:rPr>
          <w:rFonts w:hint="eastAsia" w:ascii="宋体" w:hAnsi="宋体" w:cs="宋体"/>
          <w:sz w:val="24"/>
          <w:highlight w:val="none"/>
        </w:rPr>
        <w:t xml:space="preserve"> </w:t>
      </w:r>
    </w:p>
    <w:p w14:paraId="53475A80">
      <w:pPr>
        <w:adjustRightIn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项目联系方式：0779-7285590 </w:t>
      </w:r>
    </w:p>
    <w:p w14:paraId="53475A81">
      <w:pPr>
        <w:adjustRightIn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0203D1E4">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名    称：广西中之元工程管理有限公司             </w:t>
      </w:r>
    </w:p>
    <w:p w14:paraId="50DD1CC4">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14:paraId="4BACBA8A">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庞雪</w:t>
      </w:r>
    </w:p>
    <w:p w14:paraId="491040E5">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0779-7200788</w:t>
      </w:r>
      <w:r>
        <w:rPr>
          <w:rFonts w:hint="eastAsia" w:ascii="宋体" w:hAnsi="宋体"/>
          <w:color w:val="000000" w:themeColor="text1"/>
          <w:sz w:val="24"/>
          <w:highlight w:val="none"/>
          <w14:textFill>
            <w14:solidFill>
              <w14:schemeClr w14:val="tx1"/>
            </w14:solidFill>
          </w14:textFill>
        </w:rPr>
        <w:t xml:space="preserve"> </w:t>
      </w:r>
    </w:p>
    <w:p w14:paraId="38ADBA95">
      <w:pPr>
        <w:tabs>
          <w:tab w:val="left" w:pos="9639"/>
          <w:tab w:val="left" w:pos="9746"/>
        </w:tabs>
        <w:adjustRightInd w:val="0"/>
        <w:snapToGrid w:val="0"/>
        <w:rPr>
          <w:rFonts w:ascii="宋体" w:hAnsi="宋体" w:cs="宋体"/>
          <w:color w:val="auto"/>
          <w:kern w:val="0"/>
          <w:szCs w:val="21"/>
          <w:highlight w:val="none"/>
        </w:rPr>
      </w:pPr>
    </w:p>
    <w:p w14:paraId="66EA73FE">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 xml:space="preserve">采购人：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采购代理机构：</w:t>
      </w:r>
    </w:p>
    <w:p w14:paraId="5CA3BB34">
      <w:pPr>
        <w:adjustRightInd w:val="0"/>
        <w:spacing w:line="360" w:lineRule="auto"/>
        <w:rPr>
          <w:rFonts w:hint="eastAsia" w:ascii="宋体" w:hAnsi="宋体"/>
          <w:color w:val="auto"/>
          <w:sz w:val="24"/>
          <w:highlight w:val="none"/>
        </w:rPr>
      </w:pPr>
      <w:r>
        <w:rPr>
          <w:rFonts w:hint="eastAsia" w:ascii="宋体" w:hAnsi="宋体"/>
          <w:color w:val="auto"/>
          <w:sz w:val="24"/>
          <w:highlight w:val="none"/>
          <w:lang w:eastAsia="zh-CN"/>
        </w:rPr>
        <w:t>合浦县水利局</w:t>
      </w:r>
      <w:r>
        <w:rPr>
          <w:rFonts w:hint="eastAsia" w:ascii="宋体" w:hAnsi="宋体"/>
          <w:color w:val="auto"/>
          <w:sz w:val="24"/>
          <w:highlight w:val="none"/>
        </w:rPr>
        <w:t xml:space="preserve">                            广西中之元工程管理有限公司                          </w:t>
      </w:r>
    </w:p>
    <w:p w14:paraId="60BA6679">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30</w:t>
      </w:r>
      <w:r>
        <w:rPr>
          <w:rFonts w:hint="eastAsia" w:ascii="宋体" w:hAnsi="宋体"/>
          <w:color w:val="auto"/>
          <w:sz w:val="24"/>
          <w:highlight w:val="none"/>
        </w:rPr>
        <w:t>日                                  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30</w:t>
      </w:r>
      <w:r>
        <w:rPr>
          <w:rFonts w:hint="eastAsia" w:ascii="宋体" w:hAnsi="宋体"/>
          <w:color w:val="auto"/>
          <w:sz w:val="24"/>
          <w:highlight w:val="none"/>
        </w:rPr>
        <w:t>日</w:t>
      </w:r>
    </w:p>
    <w:p w14:paraId="745DED1E">
      <w:pPr>
        <w:tabs>
          <w:tab w:val="left" w:pos="9639"/>
          <w:tab w:val="left" w:pos="9746"/>
        </w:tabs>
        <w:adjustRightInd w:val="0"/>
        <w:snapToGrid w:val="0"/>
        <w:ind w:firstLine="420" w:firstLineChars="200"/>
        <w:rPr>
          <w:rFonts w:ascii="宋体" w:hAnsi="宋体" w:cs="宋体"/>
          <w:color w:val="auto"/>
          <w:kern w:val="0"/>
          <w:szCs w:val="21"/>
          <w:highlight w:val="none"/>
        </w:rPr>
      </w:pPr>
    </w:p>
    <w:p w14:paraId="53475A89">
      <w:pPr>
        <w:tabs>
          <w:tab w:val="left" w:pos="9639"/>
          <w:tab w:val="left" w:pos="9746"/>
        </w:tabs>
        <w:adjustRightInd w:val="0"/>
        <w:snapToGrid w:val="0"/>
        <w:spacing w:line="260" w:lineRule="exact"/>
        <w:ind w:firstLine="6972" w:firstLineChars="3320"/>
        <w:rPr>
          <w:rFonts w:ascii="仿宋_GB2312" w:hAnsi="宋体" w:eastAsia="仿宋_GB2312"/>
          <w:b/>
          <w:color w:val="000000" w:themeColor="text1"/>
          <w:sz w:val="32"/>
          <w:szCs w:val="32"/>
          <w:highlight w:val="none"/>
          <w14:textFill>
            <w14:solidFill>
              <w14:schemeClr w14:val="tx1"/>
            </w14:solidFill>
          </w14:textFill>
        </w:rPr>
      </w:pPr>
      <w:r>
        <w:rPr>
          <w:rFonts w:hAnsi="宋体" w:cs="宋体"/>
          <w:color w:val="000000" w:themeColor="text1"/>
          <w:kern w:val="0"/>
          <w:szCs w:val="21"/>
          <w:highlight w:val="none"/>
          <w14:textFill>
            <w14:solidFill>
              <w14:schemeClr w14:val="tx1"/>
            </w14:solidFill>
          </w14:textFill>
        </w:rPr>
        <w:br w:type="page"/>
      </w:r>
    </w:p>
    <w:p w14:paraId="53475A8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8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0">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5">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6">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21" w:name="_Toc176861407"/>
      <w:bookmarkStart w:id="22" w:name="_Toc3943"/>
      <w:bookmarkStart w:id="23" w:name="_Toc3994504"/>
      <w:r>
        <w:rPr>
          <w:rFonts w:hint="eastAsia" w:ascii="宋体" w:hAnsi="宋体"/>
          <w:b/>
          <w:color w:val="000000" w:themeColor="text1"/>
          <w:sz w:val="44"/>
          <w:szCs w:val="44"/>
          <w:highlight w:val="none"/>
          <w14:textFill>
            <w14:solidFill>
              <w14:schemeClr w14:val="tx1"/>
            </w14:solidFill>
          </w14:textFill>
        </w:rPr>
        <w:t>第二章  磋商供应商须知</w:t>
      </w:r>
      <w:bookmarkEnd w:id="21"/>
      <w:bookmarkEnd w:id="22"/>
      <w:bookmarkEnd w:id="23"/>
    </w:p>
    <w:p w14:paraId="53475A9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3475AA1">
      <w:pPr>
        <w:spacing w:line="400" w:lineRule="exact"/>
        <w:jc w:val="both"/>
        <w:rPr>
          <w:rFonts w:ascii="仿宋_GB2312" w:hAnsi="宋体" w:eastAsia="仿宋_GB2312"/>
          <w:b/>
          <w:color w:val="000000" w:themeColor="text1"/>
          <w:sz w:val="32"/>
          <w:szCs w:val="32"/>
          <w:highlight w:val="none"/>
          <w14:textFill>
            <w14:solidFill>
              <w14:schemeClr w14:val="tx1"/>
            </w14:solidFill>
          </w14:textFill>
        </w:rPr>
      </w:pPr>
    </w:p>
    <w:p w14:paraId="53475AAA">
      <w:pPr>
        <w:rPr>
          <w:color w:val="000000" w:themeColor="text1"/>
          <w:highlight w:val="none"/>
          <w14:textFill>
            <w14:solidFill>
              <w14:schemeClr w14:val="tx1"/>
            </w14:solidFill>
          </w14:textFill>
        </w:rPr>
      </w:pPr>
    </w:p>
    <w:p w14:paraId="53475AAB">
      <w:pPr>
        <w:pStyle w:val="4"/>
        <w:rPr>
          <w:color w:val="000000" w:themeColor="text1"/>
          <w:highlight w:val="none"/>
          <w14:textFill>
            <w14:solidFill>
              <w14:schemeClr w14:val="tx1"/>
            </w14:solidFill>
          </w14:textFill>
        </w:rPr>
      </w:pPr>
    </w:p>
    <w:p w14:paraId="53475AAC">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69529E9">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14:paraId="53475AAD">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w:t>
      </w:r>
      <w:r>
        <w:rPr>
          <w:rFonts w:ascii="宋体" w:hAnsi="宋体"/>
          <w:b/>
          <w:color w:val="000000" w:themeColor="text1"/>
          <w:sz w:val="32"/>
          <w:szCs w:val="32"/>
          <w:highlight w:val="none"/>
          <w14:textFill>
            <w14:solidFill>
              <w14:schemeClr w14:val="tx1"/>
            </w14:solidFill>
          </w14:textFill>
        </w:rPr>
        <w:t>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53475AAF">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53475AB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53475AB3">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项目名称及编号</w:t>
            </w:r>
          </w:p>
        </w:tc>
        <w:tc>
          <w:tcPr>
            <w:tcW w:w="8781" w:type="dxa"/>
            <w:vAlign w:val="center"/>
          </w:tcPr>
          <w:p w14:paraId="53475AB4">
            <w:pPr>
              <w:spacing w:line="360" w:lineRule="auto"/>
              <w:rPr>
                <w:rFonts w:hint="eastAsia" w:ascii="宋体" w:hAnsi="宋体" w:eastAsia="宋体" w:cs="宋体"/>
                <w:color w:val="000000" w:themeColor="text1"/>
                <w:spacing w:val="2"/>
                <w:sz w:val="24"/>
                <w:highlight w:val="none"/>
                <w:lang w:eastAsia="zh-CN"/>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工程名称：</w:t>
            </w:r>
            <w:r>
              <w:rPr>
                <w:rFonts w:hint="eastAsia" w:ascii="宋体" w:hAnsi="宋体" w:cs="宋体"/>
                <w:color w:val="000000" w:themeColor="text1"/>
                <w:spacing w:val="2"/>
                <w:sz w:val="24"/>
                <w:highlight w:val="none"/>
                <w:lang w:eastAsia="zh-CN"/>
                <w14:textFill>
                  <w14:solidFill>
                    <w14:schemeClr w14:val="tx1"/>
                  </w14:solidFill>
                </w14:textFill>
              </w:rPr>
              <w:t>合浦县2025年总江水闸标准化创建工程（土建部分）</w:t>
            </w:r>
          </w:p>
          <w:p w14:paraId="53475AB5">
            <w:pPr>
              <w:spacing w:line="360" w:lineRule="auto"/>
              <w:rPr>
                <w:rFonts w:hint="eastAsia" w:ascii="宋体" w:hAnsi="宋体" w:eastAsia="宋体" w:cs="宋体"/>
                <w:spacing w:val="2"/>
                <w:sz w:val="24"/>
                <w:highlight w:val="none"/>
                <w:lang w:eastAsia="zh-CN"/>
              </w:rPr>
            </w:pPr>
            <w:r>
              <w:rPr>
                <w:rFonts w:hint="eastAsia" w:ascii="宋体" w:hAnsi="宋体" w:cs="宋体"/>
                <w:spacing w:val="2"/>
                <w:sz w:val="24"/>
                <w:highlight w:val="none"/>
              </w:rPr>
              <w:t>项目编号：</w:t>
            </w:r>
          </w:p>
          <w:p w14:paraId="53475AB6">
            <w:pPr>
              <w:spacing w:line="360" w:lineRule="auto"/>
              <w:rPr>
                <w:rFonts w:ascii="宋体" w:hAnsi="宋体" w:cs="宋体"/>
                <w:sz w:val="24"/>
                <w:highlight w:val="none"/>
              </w:rPr>
            </w:pPr>
            <w:r>
              <w:rPr>
                <w:rFonts w:hint="eastAsia" w:ascii="宋体" w:hAnsi="宋体" w:cs="宋体"/>
                <w:spacing w:val="2"/>
                <w:sz w:val="24"/>
                <w:highlight w:val="none"/>
              </w:rPr>
              <w:t>建设地点：</w:t>
            </w:r>
            <w:r>
              <w:rPr>
                <w:rFonts w:hint="eastAsia" w:ascii="宋体" w:hAnsi="宋体" w:cs="宋体"/>
                <w:spacing w:val="2"/>
                <w:sz w:val="24"/>
                <w:highlight w:val="none"/>
                <w:lang w:val="en-US" w:eastAsia="zh-CN"/>
              </w:rPr>
              <w:t>合浦县星岛湖镇</w:t>
            </w:r>
          </w:p>
          <w:p w14:paraId="53475AB7">
            <w:pPr>
              <w:spacing w:line="360" w:lineRule="auto"/>
              <w:rPr>
                <w:rFonts w:ascii="宋体" w:hAnsi="宋体" w:cs="宋体"/>
                <w:spacing w:val="2"/>
                <w:sz w:val="24"/>
                <w:highlight w:val="none"/>
              </w:rPr>
            </w:pPr>
            <w:r>
              <w:rPr>
                <w:rFonts w:hint="eastAsia" w:ascii="宋体" w:hAnsi="宋体" w:cs="宋体"/>
                <w:spacing w:val="2"/>
                <w:sz w:val="24"/>
                <w:highlight w:val="none"/>
              </w:rPr>
              <w:t>发包方式：包工包料</w:t>
            </w:r>
          </w:p>
          <w:p w14:paraId="53475AB8">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工程质量要求：达到国家工程施工验收规范合格标准</w:t>
            </w:r>
          </w:p>
          <w:p w14:paraId="53475AB9">
            <w:pPr>
              <w:spacing w:line="360" w:lineRule="auto"/>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要求工期：</w:t>
            </w:r>
            <w:r>
              <w:rPr>
                <w:rFonts w:hint="eastAsia" w:ascii="宋体" w:hAnsi="宋体" w:cs="宋体"/>
                <w:color w:val="000000" w:themeColor="text1"/>
                <w:spacing w:val="2"/>
                <w:sz w:val="24"/>
                <w:highlight w:val="none"/>
                <w:lang w:eastAsia="zh-CN"/>
                <w14:textFill>
                  <w14:solidFill>
                    <w14:schemeClr w14:val="tx1"/>
                  </w14:solidFill>
                </w14:textFill>
              </w:rPr>
              <w:t>监理签发的开工日起</w:t>
            </w:r>
            <w:r>
              <w:rPr>
                <w:rFonts w:hint="eastAsia" w:ascii="宋体" w:hAnsi="宋体" w:cs="宋体"/>
                <w:color w:val="000000" w:themeColor="text1"/>
                <w:spacing w:val="2"/>
                <w:sz w:val="24"/>
                <w:highlight w:val="none"/>
                <w:lang w:val="en-US" w:eastAsia="zh-CN"/>
                <w14:textFill>
                  <w14:solidFill>
                    <w14:schemeClr w14:val="tx1"/>
                  </w14:solidFill>
                </w14:textFill>
              </w:rPr>
              <w:t>90</w:t>
            </w:r>
            <w:r>
              <w:rPr>
                <w:rFonts w:hint="eastAsia" w:ascii="宋体" w:hAnsi="宋体" w:cs="宋体"/>
                <w:color w:val="000000" w:themeColor="text1"/>
                <w:spacing w:val="2"/>
                <w:sz w:val="24"/>
                <w:highlight w:val="none"/>
                <w:lang w:eastAsia="zh-CN"/>
                <w14:textFill>
                  <w14:solidFill>
                    <w14:schemeClr w14:val="tx1"/>
                  </w14:solidFill>
                </w14:textFill>
              </w:rPr>
              <w:t>日历天内完成</w:t>
            </w:r>
            <w:r>
              <w:rPr>
                <w:rFonts w:hint="eastAsia" w:ascii="宋体" w:hAnsi="宋体" w:cs="宋体"/>
                <w:color w:val="000000" w:themeColor="text1"/>
                <w:spacing w:val="2"/>
                <w:sz w:val="24"/>
                <w:highlight w:val="none"/>
                <w14:textFill>
                  <w14:solidFill>
                    <w14:schemeClr w14:val="tx1"/>
                  </w14:solidFill>
                </w14:textFill>
              </w:rPr>
              <w:t xml:space="preserve"> </w:t>
            </w:r>
          </w:p>
          <w:p w14:paraId="53475ABA">
            <w:pPr>
              <w:pStyle w:val="77"/>
              <w:spacing w:line="360" w:lineRule="auto"/>
              <w:rPr>
                <w:rFonts w:hAnsi="宋体"/>
                <w:color w:val="000000" w:themeColor="text1"/>
                <w:sz w:val="24"/>
                <w:szCs w:val="24"/>
                <w:highlight w:val="none"/>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采购范围：</w:t>
            </w:r>
            <w:r>
              <w:rPr>
                <w:rFonts w:hint="eastAsia" w:hAnsi="宋体" w:cs="宋体"/>
                <w:spacing w:val="2"/>
                <w:sz w:val="24"/>
                <w:szCs w:val="24"/>
                <w:highlight w:val="none"/>
              </w:rPr>
              <w:t>施工图纸及工程量清单所包含的全部内容。</w:t>
            </w:r>
            <w:r>
              <w:rPr>
                <w:rFonts w:hint="eastAsia" w:hAnsi="宋体" w:cs="宋体"/>
                <w:color w:val="000000" w:themeColor="text1"/>
                <w:spacing w:val="2"/>
                <w:sz w:val="24"/>
                <w:szCs w:val="24"/>
                <w:highlight w:val="none"/>
                <w14:textFill>
                  <w14:solidFill>
                    <w14:schemeClr w14:val="tx1"/>
                  </w14:solidFill>
                </w14:textFill>
              </w:rPr>
              <w:t xml:space="preserve">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3475ABD">
            <w:pPr>
              <w:pStyle w:val="77"/>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资金来源</w:t>
            </w:r>
          </w:p>
        </w:tc>
        <w:tc>
          <w:tcPr>
            <w:tcW w:w="8781" w:type="dxa"/>
            <w:vAlign w:val="center"/>
          </w:tcPr>
          <w:p w14:paraId="53475ABE">
            <w:pPr>
              <w:spacing w:line="360" w:lineRule="auto"/>
              <w:rPr>
                <w:rFonts w:ascii="宋体" w:hAnsi="宋体" w:cs="宋体"/>
                <w:spacing w:val="2"/>
                <w:sz w:val="24"/>
                <w:highlight w:val="none"/>
              </w:rPr>
            </w:pPr>
            <w:r>
              <w:rPr>
                <w:rFonts w:hint="eastAsia" w:ascii="宋体" w:hAnsi="宋体" w:cs="宋体"/>
                <w:spacing w:val="2"/>
                <w:sz w:val="24"/>
                <w:highlight w:val="none"/>
              </w:rPr>
              <w:t>本工程的资金来源为</w:t>
            </w:r>
            <w:r>
              <w:rPr>
                <w:rFonts w:hint="eastAsia" w:ascii="宋体" w:hAnsi="宋体" w:cs="宋体"/>
                <w:spacing w:val="2"/>
                <w:sz w:val="24"/>
                <w:highlight w:val="none"/>
                <w:u w:val="single"/>
              </w:rPr>
              <w:t xml:space="preserve"> 财政资金 </w:t>
            </w:r>
            <w:r>
              <w:rPr>
                <w:rFonts w:hint="eastAsia" w:ascii="宋体" w:hAnsi="宋体" w:cs="宋体"/>
                <w:spacing w:val="2"/>
                <w:sz w:val="24"/>
                <w:highlight w:val="none"/>
              </w:rPr>
              <w:t>，资金已落实，并将资金用于本工程合同项下的合格支付。</w:t>
            </w:r>
          </w:p>
          <w:p w14:paraId="53475ABF">
            <w:pPr>
              <w:pStyle w:val="77"/>
              <w:spacing w:line="360" w:lineRule="auto"/>
              <w:rPr>
                <w:rFonts w:hint="default" w:hAnsi="宋体" w:eastAsia="宋体" w:cs="宋体"/>
                <w:color w:val="000000" w:themeColor="text1"/>
                <w:spacing w:val="2"/>
                <w:sz w:val="24"/>
                <w:szCs w:val="24"/>
                <w:highlight w:val="none"/>
                <w:lang w:val="en-US" w:eastAsia="zh-CN"/>
                <w14:textFill>
                  <w14:solidFill>
                    <w14:schemeClr w14:val="tx1"/>
                  </w14:solidFill>
                </w14:textFill>
              </w:rPr>
            </w:pPr>
            <w:r>
              <w:rPr>
                <w:rFonts w:hint="eastAsia" w:hAnsi="宋体" w:cs="宋体"/>
                <w:color w:val="000000" w:themeColor="text1"/>
                <w:spacing w:val="2"/>
                <w:sz w:val="24"/>
                <w:szCs w:val="24"/>
                <w:highlight w:val="none"/>
                <w14:textFill>
                  <w14:solidFill>
                    <w14:schemeClr w14:val="tx1"/>
                  </w14:solidFill>
                </w14:textFill>
              </w:rPr>
              <w:t>本项目采购预算控制价（包含建安劳保费）</w:t>
            </w:r>
            <w:r>
              <w:rPr>
                <w:rFonts w:hint="eastAsia" w:hAnsi="宋体" w:cs="宋体"/>
                <w:color w:val="000000" w:themeColor="text1"/>
                <w:spacing w:val="2"/>
                <w:sz w:val="24"/>
                <w:szCs w:val="24"/>
                <w:highlight w:val="none"/>
                <w:lang w:eastAsia="zh-CN"/>
                <w14:textFill>
                  <w14:solidFill>
                    <w14:schemeClr w14:val="tx1"/>
                  </w14:solidFill>
                </w14:textFill>
              </w:rPr>
              <w:t>：</w:t>
            </w:r>
            <w:r>
              <w:rPr>
                <w:rFonts w:hint="eastAsia" w:ascii="宋体" w:hAnsi="宋体"/>
                <w:sz w:val="24"/>
                <w:highlight w:val="none"/>
                <w:lang w:val="en-US" w:eastAsia="zh-CN"/>
              </w:rPr>
              <w:t>903120.52</w:t>
            </w:r>
            <w:r>
              <w:rPr>
                <w:rFonts w:hint="eastAsia" w:hAnsi="宋体"/>
                <w:color w:val="000000" w:themeColor="text1"/>
                <w:sz w:val="24"/>
                <w:highlight w:val="none"/>
                <w:lang w:val="en-US" w:eastAsia="zh-CN"/>
                <w14:textFill>
                  <w14:solidFill>
                    <w14:schemeClr w14:val="tx1"/>
                  </w14:solidFill>
                </w14:textFill>
              </w:rPr>
              <w:t>元</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53475AC2">
            <w:pPr>
              <w:pStyle w:val="101"/>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53475AC3">
            <w:pPr>
              <w:pStyle w:val="101"/>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合浦县2025年总江水闸标准化创建工程（土建部分）</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3475AC6">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磋商供应商资格</w:t>
            </w:r>
          </w:p>
        </w:tc>
        <w:tc>
          <w:tcPr>
            <w:tcW w:w="8781" w:type="dxa"/>
            <w:vAlign w:val="center"/>
          </w:tcPr>
          <w:p w14:paraId="53475AC7">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磋商供应商资格要求：</w:t>
            </w:r>
          </w:p>
          <w:p w14:paraId="0CC2CFC0">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1.满足《中华人民共和国政府采购法》第二十二条规定；未被“信用中国” （www.creditchina.gov.cn)、中国政府采购网（www.ccgp.gov.cn）列入失信被执行人、重大税收违法案件当事人名单、政府采购严重违法失信行为记录名单；</w:t>
            </w:r>
          </w:p>
          <w:p w14:paraId="6DD98FF1">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2.落实政府采购政策需满足的资格要求：本项目为专门面向中小企业采购，工程的施工单位为符合政策要求的中小企业（中小微企业，监狱企业、残疾人福利单位视同小型和微型企业）；</w:t>
            </w:r>
          </w:p>
          <w:p w14:paraId="6B5271A9">
            <w:pPr>
              <w:adjustRightIn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3.本项目的特定资格要求：具备有效的水利水电工程施工总承包三级(含)以上资质，并具备有效的安全生产许可证书。其中，供应商拟派项目经理须具备水利水电工程专业二级(含)以上专业注册建造师执业资格，具备有效的省级或省级以上水行政主管部门或其授权部门(机构)颁发的B类安全生产考核合格证书；</w:t>
            </w:r>
          </w:p>
          <w:p w14:paraId="53475ACA">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53475ACD">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53475AC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本项目不收取磋商保证金。</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53475AD1">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w:char="00A8"/>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53475AD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w:char="00FE"/>
            </w:r>
            <w:r>
              <w:rPr>
                <w:rFonts w:hint="eastAsia" w:ascii="宋体" w:hAnsi="宋体" w:cs="宋体"/>
                <w:color w:val="000000" w:themeColor="text1"/>
                <w:sz w:val="24"/>
                <w:highlight w:val="none"/>
                <w14:textFill>
                  <w14:solidFill>
                    <w14:schemeClr w14:val="tx1"/>
                  </w14:solidFill>
                </w14:textFill>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53475AD6">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53475AD7">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53475AD9">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53475ADA">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磋商前准备</w:t>
            </w:r>
          </w:p>
        </w:tc>
        <w:tc>
          <w:tcPr>
            <w:tcW w:w="8781" w:type="dxa"/>
            <w:vAlign w:val="center"/>
          </w:tcPr>
          <w:p w14:paraId="53475ADB">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磋商响应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53475ADC">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磋商</w:t>
            </w:r>
            <w:r>
              <w:rPr>
                <w:rFonts w:ascii="宋体" w:hAnsi="宋体"/>
                <w:color w:val="000000" w:themeColor="text1"/>
                <w:kern w:val="0"/>
                <w:sz w:val="24"/>
                <w:highlight w:val="none"/>
                <w14:textFill>
                  <w14:solidFill>
                    <w14:schemeClr w14:val="tx1"/>
                  </w14:solidFill>
                </w14:textFill>
              </w:rPr>
              <w:t>失败等后果由供应商自行承担。</w:t>
            </w:r>
          </w:p>
          <w:p w14:paraId="53475AD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磋商响应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3475ADE">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3475AE1">
            <w:pPr>
              <w:pStyle w:val="77"/>
              <w:spacing w:line="360" w:lineRule="auto"/>
              <w:jc w:val="center"/>
              <w:rPr>
                <w:rFonts w:hAnsi="宋体"/>
                <w:sz w:val="24"/>
                <w:szCs w:val="24"/>
                <w:highlight w:val="none"/>
              </w:rPr>
            </w:pPr>
            <w:r>
              <w:rPr>
                <w:rFonts w:hint="eastAsia" w:hAnsi="宋体"/>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kern w:val="0"/>
                <w:sz w:val="24"/>
                <w:highlight w:val="none"/>
              </w:rPr>
            </w:pPr>
            <w:r>
              <w:rPr>
                <w:rFonts w:hint="eastAsia" w:ascii="宋体" w:hAnsi="宋体"/>
                <w:kern w:val="0"/>
                <w:sz w:val="24"/>
                <w:highlight w:val="none"/>
              </w:rPr>
              <w:t>响应文件递交截止时间：</w:t>
            </w:r>
            <w:r>
              <w:rPr>
                <w:rFonts w:hint="eastAsia" w:ascii="宋体" w:hAnsi="宋体"/>
                <w:kern w:val="0"/>
                <w:sz w:val="24"/>
                <w:highlight w:val="none"/>
                <w:lang w:eastAsia="zh-CN"/>
              </w:rPr>
              <w:t>202</w:t>
            </w:r>
            <w:r>
              <w:rPr>
                <w:rFonts w:hint="eastAsia" w:ascii="宋体" w:hAnsi="宋体"/>
                <w:kern w:val="0"/>
                <w:sz w:val="24"/>
                <w:highlight w:val="none"/>
                <w:lang w:val="en-US" w:eastAsia="zh-CN"/>
              </w:rPr>
              <w:t>6</w:t>
            </w:r>
            <w:r>
              <w:rPr>
                <w:rFonts w:hint="eastAsia" w:ascii="宋体" w:hAnsi="宋体"/>
                <w:kern w:val="0"/>
                <w:sz w:val="24"/>
                <w:highlight w:val="none"/>
                <w:lang w:eastAsia="zh-CN"/>
              </w:rPr>
              <w:t>年</w:t>
            </w:r>
            <w:r>
              <w:rPr>
                <w:rFonts w:hint="eastAsia" w:ascii="宋体" w:hAnsi="宋体"/>
                <w:kern w:val="0"/>
                <w:sz w:val="24"/>
                <w:highlight w:val="none"/>
                <w:lang w:val="en-US" w:eastAsia="zh-CN"/>
              </w:rPr>
              <w:t>1</w:t>
            </w:r>
            <w:r>
              <w:rPr>
                <w:rFonts w:hint="eastAsia" w:ascii="宋体" w:hAnsi="宋体"/>
                <w:kern w:val="0"/>
                <w:sz w:val="24"/>
                <w:highlight w:val="none"/>
                <w:lang w:eastAsia="zh-CN"/>
              </w:rPr>
              <w:t>月</w:t>
            </w:r>
            <w:r>
              <w:rPr>
                <w:rFonts w:hint="eastAsia" w:ascii="宋体" w:hAnsi="宋体"/>
                <w:kern w:val="0"/>
                <w:sz w:val="24"/>
                <w:highlight w:val="none"/>
                <w:lang w:val="en-US" w:eastAsia="zh-CN"/>
              </w:rPr>
              <w:t>12</w:t>
            </w:r>
            <w:r>
              <w:rPr>
                <w:rFonts w:hint="eastAsia" w:ascii="宋体" w:hAnsi="宋体"/>
                <w:kern w:val="0"/>
                <w:sz w:val="24"/>
                <w:highlight w:val="none"/>
                <w:lang w:eastAsia="zh-CN"/>
              </w:rPr>
              <w:t>日09：00</w:t>
            </w:r>
            <w:r>
              <w:rPr>
                <w:rFonts w:hint="eastAsia" w:ascii="宋体" w:hAnsi="宋体" w:cs="宋体"/>
                <w:kern w:val="0"/>
                <w:sz w:val="24"/>
                <w:highlight w:val="none"/>
              </w:rPr>
              <w:t>之前将电</w:t>
            </w:r>
            <w:r>
              <w:rPr>
                <w:rFonts w:hint="eastAsia" w:ascii="宋体" w:hAnsi="宋体"/>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kern w:val="0"/>
                <w:sz w:val="24"/>
                <w:highlight w:val="none"/>
              </w:rPr>
              <w:t>95763</w:t>
            </w:r>
            <w:r>
              <w:rPr>
                <w:rFonts w:hint="eastAsia" w:ascii="宋体" w:hAnsi="宋体"/>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3475AE5">
            <w:pPr>
              <w:pStyle w:val="23"/>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53475AE6">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53475AE9">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53475AED">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53475AEE">
            <w:pPr>
              <w:pStyle w:val="77"/>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53475AF1">
            <w:pPr>
              <w:pStyle w:val="77"/>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2">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ascii="宋体" w:hAnsi="宋体" w:cs="宋体"/>
                <w:color w:val="000000" w:themeColor="text1"/>
                <w:sz w:val="24"/>
                <w:highlight w:val="none"/>
                <w14:textFill>
                  <w14:solidFill>
                    <w14:schemeClr w14:val="tx1"/>
                  </w14:solidFill>
                </w14:textFill>
              </w:rPr>
              <w:t>发布成交公告。</w:t>
            </w:r>
          </w:p>
          <w:p w14:paraId="53475AF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53475AF4">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53475AF7">
            <w:pPr>
              <w:pStyle w:val="77"/>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53475AFB">
            <w:pPr>
              <w:pStyle w:val="77"/>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3475AFC">
            <w:pPr>
              <w:pStyle w:val="23"/>
              <w:adjustRightInd w:val="0"/>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3"/>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3475B00">
            <w:pPr>
              <w:pStyle w:val="77"/>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3475B01">
            <w:pPr>
              <w:pStyle w:val="23"/>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质疑联系部门及电话为：</w:t>
            </w:r>
            <w:r>
              <w:rPr>
                <w:rFonts w:hint="eastAsia" w:hAnsi="宋体"/>
                <w:bCs/>
                <w:color w:val="000000" w:themeColor="text1"/>
                <w:sz w:val="24"/>
                <w:szCs w:val="24"/>
                <w:highlight w:val="none"/>
                <w:u w:val="none"/>
                <w:lang w:eastAsia="zh-CN"/>
                <w14:textFill>
                  <w14:solidFill>
                    <w14:schemeClr w14:val="tx1"/>
                  </w14:solidFill>
                </w14:textFill>
              </w:rPr>
              <w:t>广西中之元工程管理有限公司</w:t>
            </w:r>
            <w:r>
              <w:rPr>
                <w:rFonts w:hint="eastAsia" w:hAnsi="宋体"/>
                <w:bCs/>
                <w:color w:val="000000" w:themeColor="text1"/>
                <w:sz w:val="24"/>
                <w:szCs w:val="24"/>
                <w:highlight w:val="none"/>
                <w:u w:val="none"/>
                <w14:textFill>
                  <w14:solidFill>
                    <w14:schemeClr w14:val="tx1"/>
                  </w14:solidFill>
                </w14:textFill>
              </w:rPr>
              <w:t xml:space="preserve"> </w:t>
            </w:r>
            <w:r>
              <w:rPr>
                <w:rFonts w:hint="eastAsia" w:hAnsi="宋体"/>
                <w:bCs/>
                <w:color w:val="000000" w:themeColor="text1"/>
                <w:sz w:val="24"/>
                <w:szCs w:val="24"/>
                <w:highlight w:val="none"/>
                <w:u w:val="none"/>
                <w:lang w:val="en-US" w:eastAsia="zh-CN"/>
                <w14:textFill>
                  <w14:solidFill>
                    <w14:schemeClr w14:val="tx1"/>
                  </w14:solidFill>
                </w14:textFill>
              </w:rPr>
              <w:t xml:space="preserve">   </w:t>
            </w:r>
            <w:r>
              <w:rPr>
                <w:rFonts w:hint="eastAsia" w:hAnsi="宋体"/>
                <w:bCs/>
                <w:color w:val="000000" w:themeColor="text1"/>
                <w:sz w:val="24"/>
                <w:szCs w:val="24"/>
                <w:highlight w:val="none"/>
                <w:u w:val="none"/>
                <w:lang w:eastAsia="zh-CN"/>
                <w14:textFill>
                  <w14:solidFill>
                    <w14:schemeClr w14:val="tx1"/>
                  </w14:solidFill>
                </w14:textFill>
              </w:rPr>
              <w:t>0779-7200788</w:t>
            </w:r>
            <w:r>
              <w:rPr>
                <w:rFonts w:hint="eastAsia" w:hAnsi="宋体"/>
                <w:bCs/>
                <w:color w:val="000000" w:themeColor="text1"/>
                <w:sz w:val="24"/>
                <w:szCs w:val="24"/>
                <w:highlight w:val="none"/>
                <w:u w:val="none"/>
                <w14:textFill>
                  <w14:solidFill>
                    <w14:schemeClr w14:val="tx1"/>
                  </w14:solidFill>
                </w14:textFill>
              </w:rPr>
              <w:t xml:space="preserve"> </w:t>
            </w:r>
          </w:p>
          <w:p w14:paraId="53475B02">
            <w:pPr>
              <w:pStyle w:val="23"/>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投诉联系部门及电话为：合浦县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p>
        </w:tc>
      </w:tr>
    </w:tbl>
    <w:p w14:paraId="53475B04">
      <w:pPr>
        <w:spacing w:line="360" w:lineRule="auto"/>
        <w:ind w:firstLine="482" w:firstLineChars="200"/>
        <w:jc w:val="center"/>
        <w:rPr>
          <w:rFonts w:ascii="宋体" w:hAnsi="宋体"/>
          <w:b/>
          <w:color w:val="000000" w:themeColor="text1"/>
          <w:sz w:val="24"/>
          <w:highlight w:val="none"/>
          <w14:textFill>
            <w14:solidFill>
              <w14:schemeClr w14:val="tx1"/>
            </w14:solidFill>
          </w14:textFill>
        </w:rPr>
      </w:pPr>
    </w:p>
    <w:p w14:paraId="2D677A80">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14:paraId="53475B05">
      <w:pPr>
        <w:spacing w:line="360" w:lineRule="auto"/>
        <w:ind w:firstLine="643" w:firstLineChars="20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w:t>
      </w:r>
      <w:r>
        <w:rPr>
          <w:rFonts w:ascii="宋体" w:hAnsi="宋体"/>
          <w:b/>
          <w:color w:val="000000" w:themeColor="text1"/>
          <w:sz w:val="32"/>
          <w:szCs w:val="32"/>
          <w:highlight w:val="none"/>
          <w14:textFill>
            <w14:solidFill>
              <w14:schemeClr w14:val="tx1"/>
            </w14:solidFill>
          </w14:textFill>
        </w:rPr>
        <w:t>供应商须知</w:t>
      </w:r>
    </w:p>
    <w:p w14:paraId="53475B06">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5B07">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53475B08">
      <w:pPr>
        <w:snapToGrid w:val="0"/>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bookmarkStart w:id="24" w:name="_Toc254970668"/>
      <w:bookmarkStart w:id="25" w:name="_Toc254970527"/>
      <w:r>
        <w:rPr>
          <w:rFonts w:hint="eastAsia" w:ascii="宋体" w:hAnsi="宋体" w:cs="宋体"/>
          <w:b/>
          <w:color w:val="000000" w:themeColor="text1"/>
          <w:sz w:val="24"/>
          <w:highlight w:val="none"/>
          <w14:textFill>
            <w14:solidFill>
              <w14:schemeClr w14:val="tx1"/>
            </w14:solidFill>
          </w14:textFill>
        </w:rPr>
        <w:t>1.适用范围</w:t>
      </w:r>
      <w:bookmarkEnd w:id="24"/>
      <w:bookmarkEnd w:id="25"/>
    </w:p>
    <w:p w14:paraId="53475B0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bookmarkStart w:id="26" w:name="_Toc254970669"/>
      <w:bookmarkStart w:id="27" w:name="_Toc254970528"/>
      <w:r>
        <w:rPr>
          <w:rFonts w:hint="eastAsia" w:ascii="宋体" w:hAnsi="宋体" w:cs="宋体"/>
          <w:b/>
          <w:color w:val="000000" w:themeColor="text1"/>
          <w:sz w:val="24"/>
          <w:highlight w:val="none"/>
          <w14:textFill>
            <w14:solidFill>
              <w14:schemeClr w14:val="tx1"/>
            </w14:solidFill>
          </w14:textFill>
        </w:rPr>
        <w:t>2.定义</w:t>
      </w:r>
      <w:bookmarkEnd w:id="26"/>
      <w:bookmarkEnd w:id="27"/>
    </w:p>
    <w:p w14:paraId="53475B0B">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1“采购人”系指组织本次磋商的采购单位。</w:t>
      </w:r>
    </w:p>
    <w:p w14:paraId="53475B0C">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“采购代理机构”系指组织本次磋商的采购代理机构（以下简称“</w:t>
      </w:r>
      <w:r>
        <w:rPr>
          <w:rFonts w:hint="eastAsia" w:ascii="宋体" w:hAnsi="宋体"/>
          <w:color w:val="000000" w:themeColor="text1"/>
          <w:sz w:val="24"/>
          <w:highlight w:val="none"/>
          <w14:textFill>
            <w14:solidFill>
              <w14:schemeClr w14:val="tx1"/>
            </w14:solidFill>
          </w14:textFill>
        </w:rPr>
        <w:t>本代理机构</w:t>
      </w:r>
      <w:r>
        <w:rPr>
          <w:rFonts w:hint="eastAsia" w:ascii="宋体" w:hAnsi="宋体" w:cs="宋体"/>
          <w:color w:val="000000" w:themeColor="text1"/>
          <w:sz w:val="24"/>
          <w:highlight w:val="none"/>
          <w14:textFill>
            <w14:solidFill>
              <w14:schemeClr w14:val="tx1"/>
            </w14:solidFill>
          </w14:textFill>
        </w:rPr>
        <w:t>”）。</w:t>
      </w:r>
    </w:p>
    <w:p w14:paraId="53475B0D">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53475B1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53475B12">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53475B13">
      <w:pPr>
        <w:pStyle w:val="23"/>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3.1满足《中华人民共和国政府采购法》第二十二条规定；</w:t>
      </w:r>
    </w:p>
    <w:p w14:paraId="53475B14">
      <w:pPr>
        <w:pStyle w:val="23"/>
        <w:adjustRightInd w:val="0"/>
        <w:snapToGrid w:val="0"/>
        <w:spacing w:line="360" w:lineRule="auto"/>
        <w:ind w:firstLine="480" w:firstLineChars="200"/>
        <w:rPr>
          <w:rFonts w:hint="default" w:hAnsi="宋体" w:cs="宋体"/>
          <w:color w:val="000000" w:themeColor="text1"/>
          <w:sz w:val="24"/>
          <w:szCs w:val="24"/>
          <w:highlight w:val="none"/>
          <w:lang w:val="en-US"/>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3.2落实政府采购政策需满足的资格要求：</w:t>
      </w:r>
      <w:r>
        <w:rPr>
          <w:rFonts w:hint="eastAsia" w:hAnsi="宋体" w:cs="宋体"/>
          <w:color w:val="000000" w:themeColor="text1"/>
          <w:sz w:val="24"/>
          <w:szCs w:val="24"/>
          <w:highlight w:val="none"/>
          <w:lang w:val="en-US" w:eastAsia="zh-CN"/>
          <w14:textFill>
            <w14:solidFill>
              <w14:schemeClr w14:val="tx1"/>
            </w14:solidFill>
          </w14:textFill>
        </w:rPr>
        <w:t>见采购公告。</w:t>
      </w:r>
    </w:p>
    <w:p w14:paraId="53475B15">
      <w:pPr>
        <w:pStyle w:val="23"/>
        <w:adjustRightInd w:val="0"/>
        <w:snapToGrid w:val="0"/>
        <w:spacing w:line="360" w:lineRule="auto"/>
        <w:ind w:firstLine="480" w:firstLineChars="200"/>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3.3本项目的特定资格要求：</w:t>
      </w:r>
      <w:r>
        <w:rPr>
          <w:rFonts w:hint="eastAsia" w:hAnsi="宋体" w:cs="宋体"/>
          <w:color w:val="000000" w:themeColor="text1"/>
          <w:sz w:val="24"/>
          <w:szCs w:val="24"/>
          <w:highlight w:val="none"/>
          <w:lang w:val="en-US" w:eastAsia="zh-CN"/>
          <w14:textFill>
            <w14:solidFill>
              <w14:schemeClr w14:val="tx1"/>
            </w14:solidFill>
          </w14:textFill>
        </w:rPr>
        <w:t>见采购公告</w:t>
      </w:r>
      <w:r>
        <w:rPr>
          <w:rFonts w:hint="eastAsia" w:hAnsi="宋体" w:cs="宋体"/>
          <w:color w:val="000000" w:themeColor="text1"/>
          <w:sz w:val="24"/>
          <w:szCs w:val="24"/>
          <w:highlight w:val="none"/>
          <w:lang w:eastAsia="zh-CN"/>
          <w14:textFill>
            <w14:solidFill>
              <w14:schemeClr w14:val="tx1"/>
            </w14:solidFill>
          </w14:textFill>
        </w:rPr>
        <w:t xml:space="preserve">。 </w:t>
      </w:r>
    </w:p>
    <w:p w14:paraId="53475B1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53475B1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53475B18">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53475B19">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53475B1A">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53475B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53475B2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支持创新发展</w:t>
      </w:r>
    </w:p>
    <w:p w14:paraId="53475B2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4.6平等对待内外资企业</w:t>
      </w:r>
    </w:p>
    <w:p w14:paraId="53475B2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4.7</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53475B2E">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5.联合体磋商</w:t>
      </w:r>
    </w:p>
    <w:p w14:paraId="53475B3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本标项不接受联合体磋商。</w:t>
      </w:r>
    </w:p>
    <w:p w14:paraId="53475B3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磋商费用、竞争性磋商公告、竞争性磋商文件的澄清和修改</w:t>
      </w:r>
    </w:p>
    <w:p w14:paraId="53475B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6.1磋商费用：供应商应自行承担所有与编写和提交竞争性磋商响应文件有关的费用，不论磋商结果如何，采购人和本代理机构在任何情况下无义务和责任承担此类费用。</w:t>
      </w:r>
    </w:p>
    <w:p w14:paraId="53475B33">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6.2竞争性磋商公告：见</w:t>
      </w:r>
      <w:r>
        <w:rPr>
          <w:rFonts w:hint="eastAsia" w:hAnsi="宋体" w:cs="宋体"/>
          <w:color w:val="000000" w:themeColor="text1"/>
          <w:sz w:val="24"/>
          <w:szCs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hAnsi="宋体" w:cs="宋体"/>
          <w:color w:val="000000" w:themeColor="text1"/>
          <w:sz w:val="24"/>
          <w:szCs w:val="24"/>
          <w:highlight w:val="none"/>
          <w14:textFill>
            <w14:solidFill>
              <w14:schemeClr w14:val="tx1"/>
            </w14:solidFill>
          </w14:textFill>
        </w:rPr>
        <w:t>。</w:t>
      </w:r>
    </w:p>
    <w:p w14:paraId="53475B3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6.3竞争性磋商文件的澄清和修改：</w:t>
      </w:r>
    </w:p>
    <w:p w14:paraId="53475B35">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53475B36">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widowControl/>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6.3.3本代理机构对已发出的磋商文件进行必要澄清或者修改的，在竞争性磋商文件要求提交竞争性磋商响应文件截止时间五日前（不足五日顺延），在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ascii="宋体" w:hAnsi="宋体"/>
          <w:color w:val="000000" w:themeColor="text1"/>
          <w:sz w:val="24"/>
          <w:highlight w:val="none"/>
          <w14:textFill>
            <w14:solidFill>
              <w14:schemeClr w14:val="tx1"/>
            </w14:solidFill>
          </w14:textFill>
        </w:rPr>
        <w:t>上发布更正公告，并以书面形式通知所有竞争性磋商文件收受人。该澄清或者修改的内容为竞争性磋商文件的组成部分。</w:t>
      </w:r>
    </w:p>
    <w:p w14:paraId="53475B3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000000" w:themeColor="text1"/>
          <w:sz w:val="24"/>
          <w:highlight w:val="none"/>
          <w:lang w:eastAsia="zh-CN"/>
          <w14:textFill>
            <w14:solidFill>
              <w14:schemeClr w14:val="tx1"/>
            </w14:solidFill>
          </w14:textFill>
        </w:rPr>
        <w:t>中国政府采购网(http：//www.ccgp.gov.cn/)、广西壮族自治区政府采购网(http：//www.ccgp-guangxi.gov.cn/)、北海市政府采购监管网（https：//bhzfcg.zcygov.cn/）</w:t>
      </w:r>
      <w:r>
        <w:rPr>
          <w:rFonts w:hint="eastAsia" w:ascii="宋体" w:hAnsi="宋体"/>
          <w:color w:val="000000" w:themeColor="text1"/>
          <w:sz w:val="24"/>
          <w:highlight w:val="none"/>
          <w14:textFill>
            <w14:solidFill>
              <w14:schemeClr w14:val="tx1"/>
            </w14:solidFill>
          </w14:textFill>
        </w:rPr>
        <w:t>上发布变更公告。</w:t>
      </w:r>
    </w:p>
    <w:p w14:paraId="53475B3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二、竞争性磋商响应文件的编制</w:t>
      </w:r>
    </w:p>
    <w:p w14:paraId="53475B3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竞争性磋商响应文件编制基本要求</w:t>
      </w:r>
    </w:p>
    <w:p w14:paraId="53475B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响应文件：</w:t>
      </w:r>
    </w:p>
    <w:p w14:paraId="53475B3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电子响应文件按广西政府采购云平台平台</w:t>
      </w:r>
      <w:r>
        <w:rPr>
          <w:rFonts w:hint="eastAsia" w:ascii="宋体" w:hAnsi="宋体"/>
          <w:color w:val="000000" w:themeColor="text1"/>
          <w:sz w:val="24"/>
          <w:highlight w:val="none"/>
          <w14:textFill>
            <w14:solidFill>
              <w14:schemeClr w14:val="tx1"/>
            </w14:solidFill>
          </w14:textFill>
        </w:rPr>
        <w:t>要求</w:t>
      </w:r>
      <w:r>
        <w:rPr>
          <w:rFonts w:ascii="宋体" w:hAnsi="宋体"/>
          <w:color w:val="000000" w:themeColor="text1"/>
          <w:sz w:val="24"/>
          <w:highlight w:val="none"/>
          <w14:textFill>
            <w14:solidFill>
              <w14:schemeClr w14:val="tx1"/>
            </w14:solidFill>
          </w14:textFill>
        </w:rPr>
        <w:t>及本磋商文件要求制作、加密并递交。具体操作流程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广西政府采购网进行查阅。</w:t>
      </w:r>
    </w:p>
    <w:p w14:paraId="53475B3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7.1.3磋商响应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7.7竞争性磋商响应文件的组成：竞争性磋商响应文件应分为资格文件、价格文件和商务技术文件组成。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5396ADAE">
      <w:pPr>
        <w:spacing w:before="179" w:line="219" w:lineRule="auto"/>
        <w:ind w:left="498"/>
        <w:rPr>
          <w:rFonts w:ascii="宋体" w:hAnsi="宋体" w:eastAsia="宋体" w:cs="宋体"/>
          <w:sz w:val="24"/>
          <w:szCs w:val="24"/>
          <w:highlight w:val="none"/>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（1）北海市政府采购供应商信用承诺函</w:t>
      </w:r>
      <w:r>
        <w:rPr>
          <w:rFonts w:ascii="宋体" w:hAnsi="宋体" w:eastAsia="宋体" w:cs="宋体"/>
          <w:b/>
          <w:bCs/>
          <w:spacing w:val="-2"/>
          <w:sz w:val="24"/>
          <w:szCs w:val="24"/>
          <w:highlight w:val="none"/>
        </w:rPr>
        <w:t>（必须提供，格式见第三章）</w:t>
      </w:r>
    </w:p>
    <w:p w14:paraId="2151DEAB">
      <w:pPr>
        <w:spacing w:before="183" w:line="359" w:lineRule="auto"/>
        <w:ind w:left="9" w:right="16" w:firstLine="488"/>
        <w:rPr>
          <w:rFonts w:ascii="宋体" w:hAnsi="宋体" w:eastAsia="宋体" w:cs="宋体"/>
          <w:sz w:val="24"/>
          <w:szCs w:val="24"/>
          <w:highlight w:val="none"/>
        </w:rPr>
      </w:pPr>
      <w:r>
        <w:rPr>
          <w:rFonts w:ascii="宋体" w:hAnsi="宋体" w:eastAsia="宋体" w:cs="宋体"/>
          <w:b/>
          <w:bCs/>
          <w:spacing w:val="-2"/>
          <w:sz w:val="24"/>
          <w:szCs w:val="24"/>
          <w:highlight w:val="none"/>
        </w:rPr>
        <w:t>▲</w:t>
      </w:r>
      <w:r>
        <w:rPr>
          <w:rFonts w:ascii="宋体" w:hAnsi="宋体" w:eastAsia="宋体" w:cs="宋体"/>
          <w:spacing w:val="-2"/>
          <w:sz w:val="24"/>
          <w:szCs w:val="24"/>
          <w:highlight w:val="none"/>
        </w:rPr>
        <w:t>（2）磋商供应商</w:t>
      </w:r>
      <w:r>
        <w:rPr>
          <w:rFonts w:hint="eastAsia" w:ascii="宋体" w:hAnsi="宋体" w:eastAsia="宋体" w:cs="宋体"/>
          <w:spacing w:val="-2"/>
          <w:sz w:val="24"/>
          <w:szCs w:val="24"/>
          <w:highlight w:val="none"/>
        </w:rPr>
        <w:t>有效的水利水电工程施工总承包</w:t>
      </w:r>
      <w:r>
        <w:rPr>
          <w:rFonts w:hint="eastAsia" w:ascii="宋体" w:hAnsi="宋体" w:cs="宋体"/>
          <w:spacing w:val="-2"/>
          <w:sz w:val="24"/>
          <w:szCs w:val="24"/>
          <w:highlight w:val="none"/>
          <w:lang w:eastAsia="zh-CN"/>
        </w:rPr>
        <w:t>三</w:t>
      </w:r>
      <w:r>
        <w:rPr>
          <w:rFonts w:hint="eastAsia" w:ascii="宋体" w:hAnsi="宋体" w:eastAsia="宋体" w:cs="宋体"/>
          <w:spacing w:val="-2"/>
          <w:sz w:val="24"/>
          <w:szCs w:val="24"/>
          <w:highlight w:val="none"/>
        </w:rPr>
        <w:t>级（含）以上</w:t>
      </w:r>
      <w:r>
        <w:rPr>
          <w:rFonts w:hint="eastAsia" w:ascii="宋体" w:hAnsi="宋体" w:eastAsia="宋体" w:cs="宋体"/>
          <w:spacing w:val="-2"/>
          <w:sz w:val="24"/>
          <w:szCs w:val="24"/>
          <w:highlight w:val="none"/>
        </w:rPr>
        <w:t>资质证书复印件、供应商有效的安全生产许可证复印件</w:t>
      </w:r>
      <w:r>
        <w:rPr>
          <w:rFonts w:ascii="宋体" w:hAnsi="宋体" w:eastAsia="宋体" w:cs="宋体"/>
          <w:b/>
          <w:bCs/>
          <w:spacing w:val="-1"/>
          <w:sz w:val="24"/>
          <w:szCs w:val="24"/>
          <w:highlight w:val="none"/>
        </w:rPr>
        <w:t>（必须提供）</w:t>
      </w:r>
    </w:p>
    <w:p w14:paraId="40BE00C9">
      <w:pPr>
        <w:spacing w:before="1" w:line="359" w:lineRule="auto"/>
        <w:ind w:left="8" w:firstLine="489"/>
        <w:rPr>
          <w:rFonts w:ascii="宋体" w:hAnsi="宋体" w:eastAsia="宋体" w:cs="宋体"/>
          <w:b/>
          <w:bCs/>
          <w:sz w:val="24"/>
          <w:szCs w:val="24"/>
          <w:highlight w:val="none"/>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（3）供应商拟派的项目经理须具备水利水电工程专业二级(含)</w:t>
      </w:r>
      <w:r>
        <w:rPr>
          <w:rFonts w:ascii="宋体" w:hAnsi="宋体" w:eastAsia="宋体" w:cs="宋体"/>
          <w:spacing w:val="-2"/>
          <w:sz w:val="24"/>
          <w:szCs w:val="24"/>
          <w:highlight w:val="none"/>
        </w:rPr>
        <w:t>以上注册建造师执</w:t>
      </w:r>
      <w:r>
        <w:rPr>
          <w:rFonts w:ascii="宋体" w:hAnsi="宋体" w:eastAsia="宋体" w:cs="宋体"/>
          <w:spacing w:val="-3"/>
          <w:sz w:val="24"/>
          <w:szCs w:val="24"/>
          <w:highlight w:val="none"/>
        </w:rPr>
        <w:t>业资格证书复印件及有效的安全生产考核合格证书（B</w:t>
      </w:r>
      <w:r>
        <w:rPr>
          <w:rFonts w:ascii="宋体" w:hAnsi="宋体" w:eastAsia="宋体" w:cs="宋体"/>
          <w:spacing w:val="-37"/>
          <w:sz w:val="24"/>
          <w:szCs w:val="24"/>
          <w:highlight w:val="none"/>
        </w:rPr>
        <w:t xml:space="preserve"> </w:t>
      </w:r>
      <w:r>
        <w:rPr>
          <w:rFonts w:ascii="宋体" w:hAnsi="宋体" w:eastAsia="宋体" w:cs="宋体"/>
          <w:spacing w:val="-3"/>
          <w:sz w:val="24"/>
          <w:szCs w:val="24"/>
          <w:highlight w:val="none"/>
        </w:rPr>
        <w:t>类）复印件。同时提供拟投入本项</w:t>
      </w:r>
      <w:r>
        <w:rPr>
          <w:rFonts w:ascii="宋体" w:hAnsi="宋体" w:eastAsia="宋体" w:cs="宋体"/>
          <w:spacing w:val="2"/>
          <w:sz w:val="24"/>
          <w:szCs w:val="24"/>
          <w:highlight w:val="none"/>
        </w:rPr>
        <w:t>目的项目经理无在建、已中标（成交）未开工或已列为其他项目中标（成交）候选人第</w:t>
      </w:r>
      <w:r>
        <w:rPr>
          <w:rFonts w:ascii="宋体" w:hAnsi="宋体" w:eastAsia="宋体" w:cs="宋体"/>
          <w:sz w:val="24"/>
          <w:szCs w:val="24"/>
          <w:highlight w:val="none"/>
        </w:rPr>
        <w:t>一名的情况的承诺函（格式自拟</w:t>
      </w:r>
      <w:r>
        <w:rPr>
          <w:rFonts w:ascii="宋体" w:hAnsi="宋体" w:eastAsia="宋体" w:cs="宋体"/>
          <w:spacing w:val="-10"/>
          <w:sz w:val="24"/>
          <w:szCs w:val="24"/>
          <w:highlight w:val="none"/>
        </w:rPr>
        <w:t>）</w:t>
      </w:r>
      <w:r>
        <w:rPr>
          <w:rFonts w:ascii="宋体" w:hAnsi="宋体" w:eastAsia="宋体" w:cs="宋体"/>
          <w:b/>
          <w:bCs/>
          <w:spacing w:val="-10"/>
          <w:sz w:val="24"/>
          <w:szCs w:val="24"/>
          <w:highlight w:val="none"/>
        </w:rPr>
        <w:t>（</w:t>
      </w:r>
      <w:r>
        <w:rPr>
          <w:rFonts w:ascii="宋体" w:hAnsi="宋体" w:eastAsia="宋体" w:cs="宋体"/>
          <w:b/>
          <w:bCs/>
          <w:sz w:val="24"/>
          <w:szCs w:val="24"/>
          <w:highlight w:val="none"/>
        </w:rPr>
        <w:t>必须提供）</w:t>
      </w:r>
    </w:p>
    <w:p w14:paraId="3CD5C181">
      <w:pPr>
        <w:spacing w:before="1" w:line="359" w:lineRule="auto"/>
        <w:ind w:left="8" w:firstLine="489"/>
        <w:rPr>
          <w:rFonts w:hint="default" w:ascii="宋体" w:hAnsi="宋体" w:eastAsia="宋体" w:cs="宋体"/>
          <w:b/>
          <w:bCs/>
          <w:sz w:val="24"/>
          <w:szCs w:val="24"/>
          <w:highlight w:val="none"/>
          <w:lang w:val="en-US"/>
        </w:rPr>
      </w:pPr>
      <w:r>
        <w:rPr>
          <w:rFonts w:ascii="宋体" w:hAnsi="宋体" w:eastAsia="宋体" w:cs="宋体"/>
          <w:b/>
          <w:bCs/>
          <w:spacing w:val="-1"/>
          <w:sz w:val="24"/>
          <w:szCs w:val="24"/>
          <w:highlight w:val="none"/>
        </w:rPr>
        <w:t>▲</w:t>
      </w:r>
      <w:r>
        <w:rPr>
          <w:rFonts w:ascii="宋体" w:hAnsi="宋体" w:eastAsia="宋体" w:cs="宋体"/>
          <w:spacing w:val="-1"/>
          <w:sz w:val="24"/>
          <w:szCs w:val="24"/>
          <w:highlight w:val="none"/>
        </w:rPr>
        <w:t>（</w:t>
      </w:r>
      <w:r>
        <w:rPr>
          <w:rFonts w:hint="eastAsia" w:ascii="宋体" w:hAnsi="宋体" w:cs="宋体"/>
          <w:spacing w:val="-1"/>
          <w:sz w:val="24"/>
          <w:szCs w:val="24"/>
          <w:highlight w:val="none"/>
          <w:lang w:val="en-US" w:eastAsia="zh-CN"/>
        </w:rPr>
        <w:t>4</w:t>
      </w:r>
      <w:r>
        <w:rPr>
          <w:rFonts w:ascii="宋体" w:hAnsi="宋体" w:eastAsia="宋体" w:cs="宋体"/>
          <w:spacing w:val="-1"/>
          <w:sz w:val="24"/>
          <w:szCs w:val="24"/>
          <w:highlight w:val="none"/>
        </w:rPr>
        <w:t>）</w:t>
      </w:r>
      <w:r>
        <w:rPr>
          <w:rFonts w:hint="eastAsia" w:ascii="宋体" w:hAnsi="宋体" w:eastAsia="宋体" w:cs="宋体"/>
          <w:b w:val="0"/>
          <w:bCs w:val="0"/>
          <w:sz w:val="24"/>
          <w:szCs w:val="24"/>
          <w:highlight w:val="none"/>
          <w:lang w:eastAsia="zh-CN"/>
        </w:rPr>
        <w:t>专职安全员要求：专职安全员须具备有效的省级或省级以上行政主管部门或其授权部门(机构)颁发的</w:t>
      </w:r>
      <w:r>
        <w:rPr>
          <w:rFonts w:ascii="宋体" w:hAnsi="宋体" w:eastAsia="宋体" w:cs="宋体"/>
          <w:b w:val="0"/>
          <w:bCs w:val="0"/>
          <w:sz w:val="24"/>
          <w:szCs w:val="24"/>
          <w:highlight w:val="none"/>
          <w:lang w:eastAsia="zh-CN"/>
        </w:rPr>
        <w:t>C</w:t>
      </w:r>
      <w:r>
        <w:rPr>
          <w:rFonts w:hint="eastAsia" w:ascii="宋体" w:hAnsi="宋体" w:eastAsia="宋体" w:cs="宋体"/>
          <w:b w:val="0"/>
          <w:bCs w:val="0"/>
          <w:sz w:val="24"/>
          <w:szCs w:val="24"/>
          <w:highlight w:val="none"/>
          <w:lang w:eastAsia="zh-CN"/>
        </w:rPr>
        <w:t>类安全生产考核合格证书</w:t>
      </w:r>
      <w:r>
        <w:rPr>
          <w:rFonts w:hint="eastAsia" w:ascii="宋体" w:hAnsi="宋体" w:cs="宋体"/>
          <w:b w:val="0"/>
          <w:bCs w:val="0"/>
          <w:sz w:val="24"/>
          <w:szCs w:val="24"/>
          <w:highlight w:val="none"/>
          <w:lang w:val="en-US" w:eastAsia="zh-CN"/>
        </w:rPr>
        <w:t>。</w:t>
      </w:r>
      <w:r>
        <w:rPr>
          <w:rFonts w:ascii="宋体" w:hAnsi="宋体" w:eastAsia="宋体" w:cs="宋体"/>
          <w:b/>
          <w:bCs/>
          <w:spacing w:val="-10"/>
          <w:sz w:val="24"/>
          <w:szCs w:val="24"/>
          <w:highlight w:val="none"/>
        </w:rPr>
        <w:t>（</w:t>
      </w:r>
      <w:r>
        <w:rPr>
          <w:rFonts w:ascii="宋体" w:hAnsi="宋体" w:eastAsia="宋体" w:cs="宋体"/>
          <w:b/>
          <w:bCs/>
          <w:sz w:val="24"/>
          <w:szCs w:val="24"/>
          <w:highlight w:val="none"/>
        </w:rPr>
        <w:t>必须提供）</w:t>
      </w:r>
    </w:p>
    <w:p w14:paraId="53475B49">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000000" w:themeColor="text1"/>
          <w:sz w:val="24"/>
          <w:highlight w:val="none"/>
          <w14:textFill>
            <w14:solidFill>
              <w14:schemeClr w14:val="tx1"/>
            </w14:solidFill>
          </w14:textFill>
        </w:rPr>
        <w:t>（必须提供，格式见第三章）。</w:t>
      </w:r>
    </w:p>
    <w:p w14:paraId="53475B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7.7.2价格文件</w:t>
      </w:r>
    </w:p>
    <w:p w14:paraId="53475B4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r>
        <w:rPr>
          <w:rFonts w:hint="eastAsia" w:ascii="宋体" w:hAnsi="宋体"/>
          <w:b/>
          <w:color w:val="000000" w:themeColor="text1"/>
          <w:sz w:val="24"/>
          <w:highlight w:val="none"/>
          <w14:textFill>
            <w14:solidFill>
              <w14:schemeClr w14:val="tx1"/>
            </w14:solidFill>
          </w14:textFill>
        </w:rPr>
        <w:t>；</w:t>
      </w:r>
    </w:p>
    <w:p w14:paraId="53475B4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53475B4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3475B4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53475B4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7.7.3 商务技术文件</w:t>
      </w:r>
      <w:r>
        <w:rPr>
          <w:rFonts w:hint="eastAsia" w:ascii="宋体" w:hAnsi="宋体"/>
          <w:color w:val="000000" w:themeColor="text1"/>
          <w:sz w:val="24"/>
          <w:highlight w:val="none"/>
          <w14:textFill>
            <w14:solidFill>
              <w14:schemeClr w14:val="tx1"/>
            </w14:solidFill>
          </w14:textFill>
        </w:rPr>
        <w:t>（应该有的必须提供,如未提供,磋商小组有权拒绝其磋商响应文件）。</w:t>
      </w:r>
    </w:p>
    <w:p w14:paraId="53475B5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▲（1）磋商书</w:t>
      </w:r>
      <w:r>
        <w:rPr>
          <w:rFonts w:hint="eastAsia" w:ascii="宋体" w:hAnsi="宋体"/>
          <w:b/>
          <w:color w:val="000000" w:themeColor="text1"/>
          <w:sz w:val="24"/>
          <w:highlight w:val="none"/>
          <w14:textFill>
            <w14:solidFill>
              <w14:schemeClr w14:val="tx1"/>
            </w14:solidFill>
          </w14:textFill>
        </w:rPr>
        <w:t>（必须提供，格式见第三章）；</w:t>
      </w:r>
    </w:p>
    <w:p w14:paraId="53475B51">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，法定代表人（负责人）参加磋商时，提供法定代表人（负责人）身份证明书和身份证复印件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53475B52">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3475B5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snapToGrid w:val="0"/>
          <w:color w:val="000000" w:themeColor="text1"/>
          <w:spacing w:val="-1"/>
          <w:kern w:val="0"/>
          <w:sz w:val="24"/>
          <w:highlight w:val="none"/>
          <w14:textFill>
            <w14:solidFill>
              <w14:schemeClr w14:val="tx1"/>
            </w14:solidFill>
          </w14:textFill>
        </w:rPr>
        <w:t>施工组织设计</w:t>
      </w:r>
      <w:r>
        <w:rPr>
          <w:rFonts w:hint="eastAsia" w:ascii="宋体" w:hAnsi="宋体" w:cs="宋体"/>
          <w:b/>
          <w:bCs/>
          <w:snapToGrid w:val="0"/>
          <w:color w:val="000000" w:themeColor="text1"/>
          <w:spacing w:val="-1"/>
          <w:kern w:val="0"/>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必须提供，格式</w:t>
      </w:r>
      <w:r>
        <w:rPr>
          <w:rFonts w:hint="eastAsia" w:ascii="宋体" w:hAnsi="宋体"/>
          <w:b/>
          <w:bCs/>
          <w:color w:val="000000" w:themeColor="text1"/>
          <w:sz w:val="24"/>
          <w:highlight w:val="none"/>
          <w14:textFill>
            <w14:solidFill>
              <w14:schemeClr w14:val="tx1"/>
            </w14:solidFill>
          </w14:textFill>
        </w:rPr>
        <w:t>自拟）</w:t>
      </w:r>
      <w:r>
        <w:rPr>
          <w:rFonts w:hint="eastAsia" w:ascii="宋体" w:hAnsi="宋体"/>
          <w:b/>
          <w:color w:val="000000" w:themeColor="text1"/>
          <w:sz w:val="24"/>
          <w:highlight w:val="none"/>
          <w14:textFill>
            <w14:solidFill>
              <w14:schemeClr w14:val="tx1"/>
            </w14:solidFill>
          </w14:textFill>
        </w:rPr>
        <w:t>；</w:t>
      </w:r>
    </w:p>
    <w:p w14:paraId="53475B5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auto"/>
          <w:sz w:val="24"/>
          <w:highlight w:val="none"/>
        </w:rPr>
        <w:t>（5）项目管理机构配备情况表及主要人员简历表</w:t>
      </w:r>
      <w:r>
        <w:rPr>
          <w:rFonts w:hint="eastAsia" w:ascii="宋体" w:hAnsi="宋体"/>
          <w:color w:val="auto"/>
          <w:sz w:val="24"/>
          <w:highlight w:val="none"/>
          <w:lang w:eastAsia="zh-CN"/>
        </w:rPr>
        <w:t>，项目管理机构人员配置最低要求：项目经理1人、技术负责人1人、施工员1人、安全员1人、质量员1人；必须提供项目管理机构所有人员有效资格证、近一个月（2025年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月至投标截止时间止任意一个月）（从取得营业执照时间起到</w:t>
      </w:r>
      <w:r>
        <w:rPr>
          <w:rFonts w:hint="eastAsia" w:ascii="宋体" w:hAnsi="宋体"/>
          <w:color w:val="auto"/>
          <w:sz w:val="24"/>
          <w:highlight w:val="none"/>
          <w:lang w:val="en-US" w:eastAsia="zh-CN"/>
        </w:rPr>
        <w:t>磋商</w:t>
      </w:r>
      <w:r>
        <w:rPr>
          <w:rFonts w:hint="eastAsia" w:ascii="宋体" w:hAnsi="宋体"/>
          <w:color w:val="auto"/>
          <w:sz w:val="24"/>
          <w:highlight w:val="none"/>
          <w:lang w:eastAsia="zh-CN"/>
        </w:rPr>
        <w:t>截止时间为止不足要求月数的只需提供从取得营业执照起的证明材料）在现任职单位依法缴纳社会保险证明材料</w:t>
      </w:r>
      <w:r>
        <w:rPr>
          <w:rFonts w:hint="eastAsia" w:ascii="宋体" w:hAnsi="宋体"/>
          <w:b/>
          <w:color w:val="auto"/>
          <w:sz w:val="24"/>
          <w:highlight w:val="none"/>
        </w:rPr>
        <w:t>（必须提供，格式见第三章）</w:t>
      </w:r>
      <w:r>
        <w:rPr>
          <w:rFonts w:hint="eastAsia" w:ascii="宋体" w:hAnsi="宋体"/>
          <w:color w:val="auto"/>
          <w:sz w:val="24"/>
          <w:highlight w:val="none"/>
        </w:rPr>
        <w:t>；</w:t>
      </w:r>
    </w:p>
    <w:p w14:paraId="53475B55">
      <w:pPr>
        <w:numPr>
          <w:ilvl w:val="0"/>
          <w:numId w:val="2"/>
        </w:numPr>
        <w:adjustRightInd w:val="0"/>
        <w:snapToGrid w:val="0"/>
        <w:spacing w:line="360" w:lineRule="auto"/>
        <w:ind w:firstLine="476" w:firstLineChars="20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53475B56">
      <w:pPr>
        <w:adjustRightInd w:val="0"/>
        <w:snapToGrid w:val="0"/>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53475B5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▲（8）建筑材料和设备节能环保要求承诺书</w:t>
      </w:r>
      <w:r>
        <w:rPr>
          <w:rFonts w:hint="eastAsia" w:ascii="宋体" w:hAnsi="宋体"/>
          <w:b/>
          <w:sz w:val="24"/>
          <w:highlight w:val="none"/>
        </w:rPr>
        <w:t>（必须提供，格式见第三章）；</w:t>
      </w:r>
    </w:p>
    <w:p w14:paraId="53475B5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53475B5A">
      <w:pPr>
        <w:adjustRightInd w:val="0"/>
        <w:snapToGrid w:val="0"/>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53475B5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（12）磋商供应商认为需要提供的有关资料。</w:t>
      </w:r>
    </w:p>
    <w:p w14:paraId="53475B5C">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若磋商文件中有专门标注的某关联点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53475B6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53475B6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53475B64">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53475B6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四、竞争性磋商响应文件的封装和递交</w:t>
      </w:r>
    </w:p>
    <w:p w14:paraId="53475B6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竞争性磋商响应文件的封装</w:t>
      </w:r>
    </w:p>
    <w:p w14:paraId="53475B68">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签章，并根据“政府采购项目电子交易管理操作指南-供应商”及本</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磋商小组</w:t>
      </w:r>
      <w:r>
        <w:rPr>
          <w:rFonts w:hAnsi="宋体"/>
          <w:color w:val="000000" w:themeColor="text1"/>
          <w:sz w:val="24"/>
          <w:szCs w:val="24"/>
          <w:highlight w:val="none"/>
          <w14:textFill>
            <w14:solidFill>
              <w14:schemeClr w14:val="tx1"/>
            </w14:solidFill>
          </w14:textFill>
        </w:rPr>
        <w:t>在</w:t>
      </w:r>
      <w:r>
        <w:rPr>
          <w:rFonts w:hint="eastAsia" w:hAnsi="宋体"/>
          <w:color w:val="000000" w:themeColor="text1"/>
          <w:sz w:val="24"/>
          <w:szCs w:val="24"/>
          <w:highlight w:val="none"/>
          <w14:textFill>
            <w14:solidFill>
              <w14:schemeClr w14:val="tx1"/>
            </w14:solidFill>
          </w14:textFill>
        </w:rPr>
        <w:t>评审</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磋商小组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磋商</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编排混乱导致磋商响应文件被误读、漏读，或者在按采购文件规定的部位查找不到相关内容的，由供应商自行承担。</w:t>
      </w:r>
    </w:p>
    <w:p w14:paraId="53475B69">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w:t>
      </w:r>
      <w:r>
        <w:rPr>
          <w:rFonts w:hAnsi="宋体"/>
          <w:color w:val="000000" w:themeColor="text1"/>
          <w:sz w:val="24"/>
          <w:szCs w:val="24"/>
          <w:highlight w:val="none"/>
          <w14:textFill>
            <w14:solidFill>
              <w14:schemeClr w14:val="tx1"/>
            </w14:solidFill>
          </w14:textFill>
        </w:rPr>
        <w:t>磋商响应文件不得涂改，若有修改错漏处，须法定代表人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竞争性磋商响应文件的递交</w:t>
      </w:r>
    </w:p>
    <w:p w14:paraId="53475B6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11.1所有竞争性磋商响应文件应于竞争性磋商文件中规定的时间前</w:t>
      </w:r>
      <w:r>
        <w:rPr>
          <w:rFonts w:ascii="宋体" w:hAnsi="宋体"/>
          <w:color w:val="000000" w:themeColor="text1"/>
          <w:sz w:val="24"/>
          <w:highlight w:val="none"/>
          <w14:textFill>
            <w14:solidFill>
              <w14:schemeClr w14:val="tx1"/>
            </w14:solidFill>
          </w14:textFill>
        </w:rPr>
        <w:t>上传递交至广西政府采购云平台。</w:t>
      </w:r>
    </w:p>
    <w:p w14:paraId="53475B6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文件的相关说明</w:t>
      </w:r>
    </w:p>
    <w:p w14:paraId="53475B6D">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磋商</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11.2竞争性磋商响应文件从响应文件递交截止日期后六十日内有效。</w:t>
      </w:r>
    </w:p>
    <w:p w14:paraId="53475B7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12.迟交的竞争性磋商响应文件</w:t>
      </w:r>
    </w:p>
    <w:p w14:paraId="53475B7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b/>
          <w:snapToGrid w:val="0"/>
          <w:color w:val="000000" w:themeColor="text1"/>
          <w:kern w:val="28"/>
          <w:sz w:val="24"/>
          <w:highlight w:val="none"/>
          <w14:textFill>
            <w14:solidFill>
              <w14:schemeClr w14:val="tx1"/>
            </w14:solidFill>
          </w14:textFill>
        </w:rPr>
        <w:t xml:space="preserve"> 磋商保证金</w:t>
      </w:r>
    </w:p>
    <w:p w14:paraId="53475B73">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本项目不收取磋商保证金。</w:t>
      </w:r>
    </w:p>
    <w:p w14:paraId="53475B7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磋</w:t>
      </w:r>
      <w:r>
        <w:rPr>
          <w:rFonts w:hint="eastAsia" w:ascii="宋体" w:hAnsi="宋体"/>
          <w:b/>
          <w:bCs/>
          <w:color w:val="000000" w:themeColor="text1"/>
          <w:sz w:val="24"/>
          <w:highlight w:val="none"/>
          <w14:textFill>
            <w14:solidFill>
              <w14:schemeClr w14:val="tx1"/>
            </w14:solidFill>
          </w14:textFill>
        </w:rPr>
        <w:t>商程序及评审方法</w:t>
      </w:r>
    </w:p>
    <w:p w14:paraId="53475B7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14．磋商程序</w:t>
      </w:r>
    </w:p>
    <w:p w14:paraId="53475B7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14.1磋商截止时间后，主持人宣布磋商开始。</w:t>
      </w:r>
    </w:p>
    <w:p w14:paraId="53475B7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14.2供应商登录广西政府采购云平台，用“项目采购-开标评标”功能对电子磋商响应文件进行在线解密。在线解密电子磋商响应文件时间为开标时间起半小时内。</w:t>
      </w:r>
    </w:p>
    <w:p w14:paraId="53475B7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14.3磋商小组对磋商响应文件进行评估和比较。</w:t>
      </w:r>
    </w:p>
    <w:p w14:paraId="53475B7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14.4以广西政府采购云平台中“项目采购”应用模块获取磋商文件顺序确定各供应商磋商、顺序。</w:t>
      </w:r>
    </w:p>
    <w:p w14:paraId="53475B7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14.5磋商小组与单一供应商分别进行磋商。（磋商时供应商的技术资料、价格和其他信息在评审、磋商过程中保密）</w:t>
      </w:r>
    </w:p>
    <w:p w14:paraId="53475B7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14.6磋商小组要求所有实质性响应的供应商在规定时间内提交最后报价（只公开最后报价，最后报价不得高于初次报价）。</w:t>
      </w:r>
    </w:p>
    <w:p w14:paraId="53475B7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特别说明：广西政府采购云平台如对电子化磋商及评审程序有调整的，按调整后的程序操作。</w:t>
      </w:r>
    </w:p>
    <w:p w14:paraId="53475B7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53475B7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15.1电子交易平台发生故障而无法登录访问的； </w:t>
      </w:r>
    </w:p>
    <w:p w14:paraId="53475B8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15.2电子交易平台应用或数据库出现错误，不能进行正常操作的；</w:t>
      </w:r>
    </w:p>
    <w:p w14:paraId="53475B8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15.3电子交易平台发现严重安全漏洞，有潜在泄密危险的；</w:t>
      </w:r>
    </w:p>
    <w:p w14:paraId="53475B82">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15.4病毒发作导致不能进行正常操作的； </w:t>
      </w:r>
    </w:p>
    <w:p w14:paraId="53475B83">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15.5其他无法保证电子交易的公平、公正和安全的情况。</w:t>
      </w:r>
    </w:p>
    <w:p w14:paraId="53475B84">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16．磋商内容</w:t>
      </w:r>
    </w:p>
    <w:p w14:paraId="53475B8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16.1本次磋商内容为在磋商文件范围内就供应商的磋商响应文件，磋商小组与供应商在技术、价格、服务、合同等问题进行磋商，最终确定成交与否。</w:t>
      </w:r>
    </w:p>
    <w:p w14:paraId="53475B8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16.2磋商应作书面记录，供应商并就磋商内容作出书面承诺，并由供应商法定代表人或其授权委托人签字后生效，作为磋商响应文件的一部分。</w:t>
      </w:r>
    </w:p>
    <w:p w14:paraId="53475B8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16.3磋商文件有实质性变动的，磋商小组以书面形式通知所有参加磋商的供应商。</w:t>
      </w:r>
    </w:p>
    <w:p w14:paraId="53475B8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17．磋商</w:t>
      </w:r>
    </w:p>
    <w:p w14:paraId="53475B8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17.1磋商小组由采购人、集中采购机构依法组建，负责评审活动。磋商小组遵循公开、公平、公正、科学合理、竞争择优的原则。</w:t>
      </w:r>
    </w:p>
    <w:p w14:paraId="53475B8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17.2磋商小组由采购人代表和有关方面专家组成，成员人数为3人以上单数。</w:t>
      </w:r>
    </w:p>
    <w:p w14:paraId="53475B8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17.3磋商小组负责对供应商资格的最终审定。</w:t>
      </w:r>
    </w:p>
    <w:p w14:paraId="53475B8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17.5磋商小组对磋商响应文件的判定，只依据磋商响应文件和磋商文件内容本身，不依据任何外来证明。</w:t>
      </w:r>
    </w:p>
    <w:p w14:paraId="53475B8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17.6磋商小组不向落标方解释落标的原因，不退还磋商响应文件。</w:t>
      </w:r>
    </w:p>
    <w:p w14:paraId="53475B9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18．磋商响应文件的初审鉴定</w:t>
      </w:r>
    </w:p>
    <w:p w14:paraId="53475B9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18.1资格性审查</w:t>
      </w:r>
    </w:p>
    <w:p w14:paraId="53475B92">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53475B93">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18.2符合性审查</w:t>
      </w:r>
    </w:p>
    <w:p w14:paraId="53475B94">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18.3如果磋商响应文件实质不响应磋商文件的各项要求，磋商小组将予以拒绝，并且不允许供应商通过修改或撤销其不符合要求的差异或保留，使之成为具有响应性的磋商。</w:t>
      </w:r>
    </w:p>
    <w:p w14:paraId="53475B9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 对明显的文字和计算错误的修正原则</w:t>
      </w:r>
    </w:p>
    <w:p w14:paraId="53475B9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19.1磋商响应文件中报价一览表（报价表）内容与磋商响应文件中相应内容不一致的，以报价一览表（报价表）为准；</w:t>
      </w:r>
    </w:p>
    <w:p w14:paraId="53475B9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19.2大写金额和小写金额不一致的，以大写金额为准；</w:t>
      </w:r>
    </w:p>
    <w:p w14:paraId="53475B9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19.3单价金额小数点或者百分比有明显错位的，以开标一览表的总价为准，并修改单价；</w:t>
      </w:r>
    </w:p>
    <w:p w14:paraId="53475B9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19.4总价金额与按单价汇总金额不一致的，以单价金额计算结果为准。</w:t>
      </w:r>
    </w:p>
    <w:p w14:paraId="53475B9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同时出现两种以上不一致的，按照前款规定的顺序修正。修正后的报价经磋商响应人确认后产生约束力，磋商响应人不确认的，其磋商无效。</w:t>
      </w:r>
    </w:p>
    <w:p w14:paraId="53475B9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20.磋商响应文件的评审、比较和否决</w:t>
      </w:r>
    </w:p>
    <w:p w14:paraId="53475B9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20.1磋商小组将对在实质上响应磋商文件要求的磋商响应文件进行评估和比较。</w:t>
      </w:r>
    </w:p>
    <w:p w14:paraId="53475B9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20.2在评审过程中，磋商小组可以书面形式要求供应商就磋商响应文件含义不明确的内容进行书面说明并提供相关材料。</w:t>
      </w:r>
    </w:p>
    <w:p w14:paraId="53475B9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20.3在磋商过程中，如发现与磋商文件要求相偏离的，磋商小组应对其偏离情形进行必要的书面核实。</w:t>
      </w:r>
    </w:p>
    <w:p w14:paraId="53475BA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3475BA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20.5比较与评价。磋商小组依据磋商文件规定的评审标准和方法，对磋商响应文件进行商务和技术评估，综合比较与评价。</w:t>
      </w:r>
    </w:p>
    <w:p w14:paraId="53475BA2">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20.6汇总（商务技术得分情况）。磋商小组各成员应当独立对每个供应商的磋商响应文件进行评价，并汇总商务技术得分情况。</w:t>
      </w:r>
    </w:p>
    <w:p w14:paraId="53475BA3">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53475BA4">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53475BA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20.7.2供应商存在以下报价情形的，磋商无效</w:t>
      </w:r>
    </w:p>
    <w:p w14:paraId="53475BA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53475BA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2）未采用人民币报价或者未按照磋商文件标明的币种报价的； </w:t>
      </w:r>
    </w:p>
    <w:p w14:paraId="53475BA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53475BA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53475BA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53475BA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53475BA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10）供应商已标价工程量清单的项目名称或项目特征与工程量清单不一致，磋商小组要求澄清、说明或补正，但供应商拒绝澄清、说明或补正的；（适用于房屋建筑和市政工程项目） </w:t>
      </w:r>
    </w:p>
    <w:p w14:paraId="53475BB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53475BB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53475BB2">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13）响应文件响应的标的数量及单位与竞争性磋商采购文件要求实质性不一致的； </w:t>
      </w:r>
    </w:p>
    <w:p w14:paraId="53475BB3">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14）未响应磋商文件实质性要求的。 </w:t>
      </w:r>
    </w:p>
    <w:p w14:paraId="53475BB4">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8.8评标委员会依据磋商文件规定的评审标准和方法，对磋商响应文件进行评审和比较后，向代理机构提供书面磋商报告，并按得分高低排序推荐成交候选供应商。</w:t>
      </w:r>
    </w:p>
    <w:p w14:paraId="53475BB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9.磋商响应文件的澄清</w:t>
      </w:r>
    </w:p>
    <w:p w14:paraId="53475BB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为有利于对磋商响应文件的比较和评议，磋商小组可要求供应商对磋商响应文件进行澄清，必要时磋商小组可要求供应商对澄清的问题作出书面答复。</w:t>
      </w:r>
    </w:p>
    <w:p w14:paraId="53475BB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53475BB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21．无效磋商的情形</w:t>
      </w:r>
    </w:p>
    <w:p w14:paraId="53475BB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磋商响应文件有下列情形之一的作无效磋商响应处理：</w:t>
      </w:r>
    </w:p>
    <w:p w14:paraId="53475BB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21.1未按照磋商文件规定要求签署、盖章的；</w:t>
      </w:r>
    </w:p>
    <w:p w14:paraId="53475BB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53475BB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3475BB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21.4供应商不具备磋商文件中规定的资格要求的（供应商未提供有效的资格证明文件的，视为其不具备磋商文件中规定的资格要求）；</w:t>
      </w:r>
    </w:p>
    <w:p w14:paraId="53475BB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53475BC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3475BC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21.7磋商响应文件中的磋商响应函未加盖供应商的企业公章或填写不全的；</w:t>
      </w:r>
    </w:p>
    <w:p w14:paraId="53475BC2">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21.8报价一经涂改，未在涂改处加盖磋商响应单位公章或者未经法定代表人或授权代表签字或盖章的；</w:t>
      </w:r>
    </w:p>
    <w:p w14:paraId="53475BC3">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21.9磋商响应文件中未按磋商文件规定的格式填写，或未详细应答磋商服务（或技术或产品等要求），经磋商后仍无法详细应答或应答不完整有缺失，致使磋商小组无法评审的；</w:t>
      </w:r>
    </w:p>
    <w:p w14:paraId="53475BC4">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21.10出现同一标的物或本次磋商产品(服务)内的主要产品(重要组成部分)出现商务技术（资信）文件资料、报价文件资料描述不一致或前后描述不一致，经磋商小组认定后为无法评审的；</w:t>
      </w:r>
    </w:p>
    <w:p w14:paraId="53475BC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21.11磋商响应文件有采购人不能接受的条件；</w:t>
      </w:r>
    </w:p>
    <w:p w14:paraId="53475BC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21.12最后报价超过预算金额或上限价的；</w:t>
      </w:r>
    </w:p>
    <w:p w14:paraId="53475BC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21.13磋商小组认定有重大偏差或实质性不响应磋商文件要求的；</w:t>
      </w:r>
    </w:p>
    <w:p w14:paraId="53475BC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21.14采购人拟采购的产品属于政府强制采购的节能产品品目清单范围的，供应商未按磋商文件要求提供国家确定的认证机构出具的、处于有效期之内的节能产品认证证书的；</w:t>
      </w:r>
    </w:p>
    <w:p w14:paraId="53475BC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21.15《报价一览表》填写不完整或字迹不能辨认或有漏项的；</w:t>
      </w:r>
    </w:p>
    <w:p w14:paraId="53475BC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21.16供应商对根据修正原则修正后的报价不确认的；</w:t>
      </w:r>
    </w:p>
    <w:p w14:paraId="53475BC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21.17供应商提供虚假材料磋商的（包括但不限于以下情节）；</w:t>
      </w:r>
    </w:p>
    <w:p w14:paraId="53475BC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21.17.1使用伪造、变造的许可证件；</w:t>
      </w:r>
    </w:p>
    <w:p w14:paraId="53475BC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21.17.2提供虚假的财务状况或者业绩；</w:t>
      </w:r>
    </w:p>
    <w:p w14:paraId="53475BC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21.17.3提供虚假的项目负责人或者主要技术人员简历、劳动关系证明；</w:t>
      </w:r>
    </w:p>
    <w:p w14:paraId="53475BC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21.17.4提供虚假的信用状况；</w:t>
      </w:r>
    </w:p>
    <w:p w14:paraId="53475BD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21.17.5其他弄虚作假的行为。</w:t>
      </w:r>
    </w:p>
    <w:p w14:paraId="53475BD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21.18有下列情形之一的，视为供应商串通磋商，其磋商无效：</w:t>
      </w:r>
    </w:p>
    <w:p w14:paraId="53475BD2">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21.18.1不同供应商的磋商响应文件由同一单位或者个人编制；</w:t>
      </w:r>
    </w:p>
    <w:p w14:paraId="53475BD3">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21.18.2不同供应商委托同一单位或者个人办理磋商事宜；</w:t>
      </w:r>
    </w:p>
    <w:p w14:paraId="53475BD4">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21.18.3不同供应商的磋商响应文件载明的项目管理成员或者联系人员为同一人；</w:t>
      </w:r>
    </w:p>
    <w:p w14:paraId="53475BD5">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21.18.4不同供应商的磋商响应文件异常一致或者磋商报价呈规律性差异；</w:t>
      </w:r>
    </w:p>
    <w:p w14:paraId="53475BD6">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21.18.5不同供应商的磋商响应文件相互混装；</w:t>
      </w:r>
    </w:p>
    <w:p w14:paraId="53475BD7">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21.19有下列情形之一的，属于恶意串通，其磋商无效：</w:t>
      </w:r>
    </w:p>
    <w:p w14:paraId="53475BD8">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21.19.1供应商直接或者间接从采购人或者采购机构处获得其他供应商的相关情况并修改其磋商文件或者响应文件；</w:t>
      </w:r>
    </w:p>
    <w:p w14:paraId="53475BD9">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21.19.2供应商按照采购人或者采购机构的授意撤换、修改磋商文件或者响应文件；</w:t>
      </w:r>
    </w:p>
    <w:p w14:paraId="53475BDA">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21.19.3供应商之间协商报价、技术方案等磋商文件或者响应文件的实质性内容；</w:t>
      </w:r>
    </w:p>
    <w:p w14:paraId="53475BDB">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21.19.4属于同一集团、协会、商会等组织成员的供应商按照该组织要求协同参加政府采购活动；</w:t>
      </w:r>
    </w:p>
    <w:p w14:paraId="53475BDC">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21.19.5供应商之间事先约定由某一特定供应商成交；</w:t>
      </w:r>
    </w:p>
    <w:p w14:paraId="53475BDD">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21.19.6供应商之间商定部分供应商放弃参加政府采购活动或者放弃成交；</w:t>
      </w:r>
    </w:p>
    <w:p w14:paraId="53475BDE">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21.19.7供应商与采购人或者采购机构之间、供应商相互之间，为谋求特定供应商成交或者排斥其他供应商的其他串通行为。</w:t>
      </w:r>
    </w:p>
    <w:p w14:paraId="53475BDF">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21.20其他违反法律、法规的情形。</w:t>
      </w:r>
    </w:p>
    <w:p w14:paraId="53475BE0">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磋商过程保密</w:t>
      </w:r>
    </w:p>
    <w:p w14:paraId="53475BE1">
      <w:pPr>
        <w:pStyle w:val="23"/>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3"/>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在磋商期间，供应商企图影响采购人、集中采购机构或磋商小组的任何活动，都将导致磋商被拒绝，并由其承担相应的法律责任。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53475BE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w:t>
      </w: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3"/>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53475BE6">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24.1自</w:t>
      </w:r>
      <w:r>
        <w:rPr>
          <w:rFonts w:ascii="宋体" w:hAnsi="宋体" w:cs="宋体"/>
          <w:color w:val="000000" w:themeColor="text1"/>
          <w:sz w:val="24"/>
          <w:highlight w:val="none"/>
          <w14:textFill>
            <w14:solidFill>
              <w14:schemeClr w14:val="tx1"/>
            </w14:solidFill>
          </w14:textFill>
        </w:rPr>
        <w:t>成交供应商</w:t>
      </w:r>
      <w:r>
        <w:rPr>
          <w:rFonts w:hint="eastAsia" w:ascii="宋体" w:hAnsi="宋体"/>
          <w:color w:val="000000" w:themeColor="text1"/>
          <w:sz w:val="24"/>
          <w:szCs w:val="21"/>
          <w:highlight w:val="none"/>
          <w14:textFill>
            <w14:solidFill>
              <w14:schemeClr w14:val="tx1"/>
            </w14:solidFill>
          </w14:textFill>
        </w:rPr>
        <w:t>确定之日起2个工作日内，采购代理机构通过电子交易平台向</w:t>
      </w:r>
      <w:r>
        <w:rPr>
          <w:rFonts w:ascii="宋体" w:hAnsi="宋体" w:cs="宋体"/>
          <w:color w:val="000000" w:themeColor="text1"/>
          <w:sz w:val="24"/>
          <w:highlight w:val="none"/>
          <w14:textFill>
            <w14:solidFill>
              <w14:schemeClr w14:val="tx1"/>
            </w14:solidFill>
          </w14:textFill>
        </w:rPr>
        <w:t>成交供应商</w:t>
      </w:r>
      <w:r>
        <w:rPr>
          <w:rFonts w:hint="eastAsia" w:ascii="宋体" w:hAnsi="宋体"/>
          <w:color w:val="000000" w:themeColor="text1"/>
          <w:sz w:val="24"/>
          <w:szCs w:val="21"/>
          <w:highlight w:val="none"/>
          <w14:textFill>
            <w14:solidFill>
              <w14:schemeClr w14:val="tx1"/>
            </w14:solidFill>
          </w14:textFill>
        </w:rPr>
        <w:t>发出成交通知书，</w:t>
      </w:r>
      <w:r>
        <w:rPr>
          <w:rFonts w:hint="eastAsia" w:ascii="宋体" w:hAnsi="宋体" w:cs="宋体"/>
          <w:color w:val="000000" w:themeColor="text1"/>
          <w:sz w:val="24"/>
          <w:highlight w:val="none"/>
          <w14:textFill>
            <w14:solidFill>
              <w14:schemeClr w14:val="tx1"/>
            </w14:solidFill>
          </w14:textFill>
        </w:rPr>
        <w:t>同时编制发布采购</w:t>
      </w:r>
      <w:r>
        <w:rPr>
          <w:rFonts w:hint="eastAsia" w:ascii="宋体" w:hAnsi="宋体"/>
          <w:color w:val="000000" w:themeColor="text1"/>
          <w:sz w:val="24"/>
          <w:szCs w:val="21"/>
          <w:highlight w:val="none"/>
          <w14:textFill>
            <w14:solidFill>
              <w14:schemeClr w14:val="tx1"/>
            </w14:solidFill>
          </w14:textFill>
        </w:rPr>
        <w:t>成交结果公告。</w:t>
      </w:r>
    </w:p>
    <w:p w14:paraId="53475BE7">
      <w:pPr>
        <w:adjustRightInd w:val="0"/>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w:t>
      </w:r>
      <w:r>
        <w:rPr>
          <w:rFonts w:hint="eastAsia" w:ascii="宋体" w:hAnsi="宋体"/>
          <w:color w:val="000000" w:themeColor="text1"/>
          <w:sz w:val="24"/>
          <w:szCs w:val="21"/>
          <w:highlight w:val="none"/>
          <w14:textFill>
            <w14:solidFill>
              <w14:schemeClr w14:val="tx1"/>
            </w14:solidFill>
          </w14:textFill>
        </w:rPr>
        <w:t>成交</w:t>
      </w:r>
      <w:r>
        <w:rPr>
          <w:rFonts w:hint="eastAsia" w:ascii="宋体" w:hAnsi="宋体" w:cs="仿宋_GB2312"/>
          <w:color w:val="000000" w:themeColor="text1"/>
          <w:sz w:val="24"/>
          <w:highlight w:val="none"/>
          <w14:textFill>
            <w14:solidFill>
              <w14:schemeClr w14:val="tx1"/>
            </w14:solidFill>
          </w14:textFill>
        </w:rPr>
        <w:t>结果公告内容包括</w:t>
      </w:r>
      <w:r>
        <w:rPr>
          <w:rFonts w:hint="eastAsia" w:ascii="宋体" w:hAnsi="宋体" w:cs="宋体"/>
          <w:color w:val="000000" w:themeColor="text1"/>
          <w:sz w:val="24"/>
          <w:highlight w:val="none"/>
          <w14:textFill>
            <w14:solidFill>
              <w14:schemeClr w14:val="tx1"/>
            </w14:solidFill>
          </w14:textFill>
        </w:rPr>
        <w:t>采购人及其委托的采购代理机构的名称、地址、联系方式，项目名称和项目编号，</w:t>
      </w:r>
      <w:r>
        <w:rPr>
          <w:rFonts w:ascii="宋体" w:hAnsi="宋体" w:cs="宋体"/>
          <w:color w:val="000000" w:themeColor="text1"/>
          <w:sz w:val="24"/>
          <w:highlight w:val="none"/>
          <w14:textFill>
            <w14:solidFill>
              <w14:schemeClr w14:val="tx1"/>
            </w14:solidFill>
          </w14:textFill>
        </w:rPr>
        <w:t>成交供应商</w:t>
      </w:r>
      <w:r>
        <w:rPr>
          <w:rFonts w:hint="eastAsia" w:ascii="宋体" w:hAnsi="宋体" w:cs="宋体"/>
          <w:color w:val="000000" w:themeColor="text1"/>
          <w:sz w:val="24"/>
          <w:highlight w:val="none"/>
          <w14:textFill>
            <w14:solidFill>
              <w14:schemeClr w14:val="tx1"/>
            </w14:solidFill>
          </w14:textFill>
        </w:rPr>
        <w:t>名称、地址和成交金额，主要成交标的的名称、规格型号、数量、单价、服务要求，</w:t>
      </w:r>
      <w:bookmarkStart w:id="28" w:name="_Hlk101184471"/>
      <w:r>
        <w:rPr>
          <w:rFonts w:hint="eastAsia" w:ascii="宋体" w:hAnsi="宋体" w:cs="宋体"/>
          <w:color w:val="000000" w:themeColor="text1"/>
          <w:sz w:val="24"/>
          <w:highlight w:val="none"/>
          <w14:textFill>
            <w14:solidFill>
              <w14:schemeClr w14:val="tx1"/>
            </w14:solidFill>
          </w14:textFill>
        </w:rPr>
        <w:t>评审专家抽取规则、</w:t>
      </w:r>
      <w:bookmarkEnd w:id="28"/>
      <w:r>
        <w:rPr>
          <w:rFonts w:hint="eastAsia" w:ascii="宋体" w:hAnsi="宋体" w:cs="宋体"/>
          <w:color w:val="000000" w:themeColor="text1"/>
          <w:sz w:val="24"/>
          <w:highlight w:val="none"/>
          <w14:textFill>
            <w14:solidFill>
              <w14:schemeClr w14:val="tx1"/>
            </w14:solidFill>
          </w14:textFill>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24.3公告期限为1个工作日。</w:t>
      </w:r>
    </w:p>
    <w:p w14:paraId="53475BE9">
      <w:pPr>
        <w:pStyle w:val="23"/>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53475BE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不收取。</w:t>
      </w:r>
    </w:p>
    <w:p w14:paraId="53475BE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53475BEC">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53475BF3">
      <w:pPr>
        <w:pStyle w:val="96"/>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53475BF4">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475BF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3475BF6">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3475BF7">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3475BF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53475BF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53475BF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53475BFB">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53475BF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53475BFD">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53475BFE">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Fonts w:ascii="宋体" w:hAnsi="宋体"/>
          <w:color w:val="000000" w:themeColor="text1"/>
          <w:kern w:val="0"/>
          <w:sz w:val="24"/>
          <w:szCs w:val="20"/>
          <w:highlight w:val="none"/>
          <w14:textFill>
            <w14:solidFill>
              <w14:schemeClr w14:val="tx1"/>
            </w14:solidFill>
          </w14:textFill>
        </w:rPr>
        <w:t>https</w:t>
      </w:r>
      <w:r>
        <w:rPr>
          <w:rFonts w:hint="eastAsia" w:ascii="宋体" w:hAnsi="宋体"/>
          <w:color w:val="000000" w:themeColor="text1"/>
          <w:kern w:val="0"/>
          <w:sz w:val="24"/>
          <w:szCs w:val="20"/>
          <w:highlight w:val="none"/>
          <w:lang w:eastAsia="zh-CN"/>
          <w14:textFill>
            <w14:solidFill>
              <w14:schemeClr w14:val="tx1"/>
            </w14:solidFill>
          </w14:textFill>
        </w:rPr>
        <w:t>：</w:t>
      </w:r>
      <w:r>
        <w:rPr>
          <w:rFonts w:ascii="宋体" w:hAnsi="宋体"/>
          <w:color w:val="000000" w:themeColor="text1"/>
          <w:kern w:val="0"/>
          <w:sz w:val="24"/>
          <w:szCs w:val="20"/>
          <w:highlight w:val="none"/>
          <w14:textFill>
            <w14:solidFill>
              <w14:schemeClr w14:val="tx1"/>
            </w14:solidFill>
          </w14:textFill>
        </w:rPr>
        <w:t>//jinrong.gcy.zfcg.gxzf.gov.cn/finance/loan/gx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53475BFF">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34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53475C01">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53475C0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53475C03">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53475C04">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53475C0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5347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53475C0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53475C09">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53475C0A">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53475C0B">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53475C0C">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5347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0E">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53475C0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53475C10">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53475C11">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53475C1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53475C1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5347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53475C1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53475C17">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53475C1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53475C19">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53475C1A">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5347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1C">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53475C1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53475C1E">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53475C1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53475C2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53475C21">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53475C22">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53475C23">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53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5">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53475C2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53475C27">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53475C28">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53475C29">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53475C2A">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5347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2C">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53475C2D">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53475C2E">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53475C2F">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53475C30">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53475C31">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5347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475C33">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53475C34">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53475C35">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p>
        </w:tc>
        <w:tc>
          <w:tcPr>
            <w:tcW w:w="993" w:type="dxa"/>
            <w:vAlign w:val="center"/>
          </w:tcPr>
          <w:p w14:paraId="53475C36">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p>
        </w:tc>
        <w:tc>
          <w:tcPr>
            <w:tcW w:w="850" w:type="dxa"/>
            <w:vAlign w:val="center"/>
          </w:tcPr>
          <w:p w14:paraId="53475C37">
            <w:pPr>
              <w:adjustRightInd w:val="0"/>
              <w:snapToGrid w:val="0"/>
              <w:spacing w:line="360" w:lineRule="auto"/>
              <w:jc w:val="center"/>
              <w:rPr>
                <w:rFonts w:ascii="宋体" w:hAnsi="宋体"/>
                <w:color w:val="000000" w:themeColor="text1"/>
                <w:kern w:val="0"/>
                <w:sz w:val="24"/>
                <w:szCs w:val="20"/>
                <w:highlight w:val="none"/>
                <w14:textFill>
                  <w14:solidFill>
                    <w14:schemeClr w14:val="tx1"/>
                  </w14:solidFill>
                </w14:textFill>
              </w:rPr>
            </w:pPr>
          </w:p>
        </w:tc>
        <w:tc>
          <w:tcPr>
            <w:tcW w:w="3366" w:type="dxa"/>
            <w:vAlign w:val="center"/>
          </w:tcPr>
          <w:p w14:paraId="53475C38">
            <w:pPr>
              <w:adjustRightInd w:val="0"/>
              <w:snapToGrid w:val="0"/>
              <w:spacing w:line="360" w:lineRule="auto"/>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3475C3A">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注：表中联系电话\授信金额、授信期限、最低利率等信息可能动态更新，仅供参考，具体以办理时相关银行公布的为准。</w:t>
      </w:r>
    </w:p>
    <w:p w14:paraId="53475C3B">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53475C40">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53475C4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53475C4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30.1采购当事人的一切活动均适用于《中华人民共和国政府采购法》及相关规定。最终磋商结束后，磋商小组不得再与供应商进行任何形式的磋商。</w:t>
      </w:r>
    </w:p>
    <w:p w14:paraId="53475C45">
      <w:pPr>
        <w:pStyle w:val="23"/>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53475C46">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53475C47">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53475C49">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53475C4A">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53475C4D">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53475C4E">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3475C4F">
      <w:pPr>
        <w:widowControl/>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vAlign w:val="center"/>
          </w:tcPr>
          <w:p w14:paraId="53475C51">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vAlign w:val="center"/>
          </w:tcPr>
          <w:p w14:paraId="53475C54">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000000" w:themeColor="text1"/>
                <w:sz w:val="24"/>
                <w:szCs w:val="20"/>
                <w:highlight w:val="none"/>
                <w14:textFill>
                  <w14:solidFill>
                    <w14:schemeClr w14:val="tx1"/>
                  </w14:solidFill>
                </w14:textFill>
              </w:rPr>
            </w:pPr>
          </w:p>
        </w:tc>
        <w:tc>
          <w:tcPr>
            <w:tcW w:w="4536" w:type="dxa"/>
            <w:vAlign w:val="center"/>
          </w:tcPr>
          <w:p w14:paraId="53475C58">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vAlign w:val="center"/>
          </w:tcPr>
          <w:p w14:paraId="53475C59">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vAlign w:val="center"/>
          </w:tcPr>
          <w:p w14:paraId="53475C5C">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000000" w:themeColor="text1"/>
                <w:sz w:val="24"/>
                <w:szCs w:val="20"/>
                <w:highlight w:val="none"/>
                <w14:textFill>
                  <w14:solidFill>
                    <w14:schemeClr w14:val="tx1"/>
                  </w14:solidFill>
                </w14:textFill>
              </w:rPr>
            </w:pPr>
          </w:p>
        </w:tc>
        <w:tc>
          <w:tcPr>
            <w:tcW w:w="4536" w:type="dxa"/>
            <w:vAlign w:val="center"/>
          </w:tcPr>
          <w:p w14:paraId="53475C60">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vAlign w:val="center"/>
          </w:tcPr>
          <w:p w14:paraId="53475C61">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vAlign w:val="center"/>
          </w:tcPr>
          <w:p w14:paraId="53475C64">
            <w:pPr>
              <w:adjustRightInd w:val="0"/>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vAlign w:val="center"/>
          </w:tcPr>
          <w:p w14:paraId="53475C65">
            <w:pPr>
              <w:adjustRightInd w:val="0"/>
              <w:spacing w:line="360" w:lineRule="auto"/>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3475C67">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1"/>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广西中之元工程管理有限公司</w:t>
      </w:r>
      <w:r>
        <w:rPr>
          <w:rFonts w:hint="eastAsia"/>
          <w:color w:val="000000" w:themeColor="text1"/>
          <w:highlight w:val="none"/>
          <w14:textFill>
            <w14:solidFill>
              <w14:schemeClr w14:val="tx1"/>
            </w14:solidFill>
          </w14:textFill>
        </w:rPr>
        <w:t xml:space="preserve">   联系电话：</w:t>
      </w:r>
      <w:r>
        <w:rPr>
          <w:rFonts w:hint="eastAsia" w:cs="宋体"/>
          <w:color w:val="000000" w:themeColor="text1"/>
          <w:highlight w:val="none"/>
          <w:lang w:eastAsia="zh-CN"/>
          <w14:textFill>
            <w14:solidFill>
              <w14:schemeClr w14:val="tx1"/>
            </w14:solidFill>
          </w14:textFill>
        </w:rPr>
        <w:t>0779-7200788</w:t>
      </w:r>
      <w:r>
        <w:rPr>
          <w:rFonts w:hint="eastAsia" w:cs="宋体"/>
          <w:color w:val="000000" w:themeColor="text1"/>
          <w:highlight w:val="none"/>
          <w14:textFill>
            <w14:solidFill>
              <w14:schemeClr w14:val="tx1"/>
            </w14:solidFill>
          </w14:textFill>
        </w:rPr>
        <w:t xml:space="preserve"> </w:t>
      </w:r>
    </w:p>
    <w:p w14:paraId="53475C6C">
      <w:pPr>
        <w:pStyle w:val="101"/>
        <w:ind w:left="479" w:leftChars="228"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广西中之元工程管理有限公司</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cs="宋体"/>
          <w:color w:val="000000" w:themeColor="text1"/>
          <w:highlight w:val="none"/>
          <w:lang w:eastAsia="zh-CN"/>
          <w14:textFill>
            <w14:solidFill>
              <w14:schemeClr w14:val="tx1"/>
            </w14:solidFill>
          </w14:textFill>
        </w:rPr>
        <w:t>0779-7200788</w:t>
      </w:r>
      <w:r>
        <w:rPr>
          <w:rFonts w:hint="eastAsia" w:cs="宋体"/>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53475C6D">
      <w:pPr>
        <w:pStyle w:val="10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p>
    <w:p w14:paraId="53475C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475C6F">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53475C7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□采购人支付。</w:t>
      </w:r>
    </w:p>
    <w:p w14:paraId="53475C7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53475C74">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w:t>
      </w:r>
      <w:r>
        <w:rPr>
          <w:rFonts w:hint="eastAsia" w:ascii="宋体" w:hAnsi="宋体" w:cs="宋体"/>
          <w:color w:val="auto"/>
          <w:sz w:val="24"/>
          <w:highlight w:val="none"/>
        </w:rPr>
        <w:t>（□货物类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宋体"/>
          <w:color w:val="auto"/>
          <w:sz w:val="24"/>
          <w:highlight w:val="none"/>
        </w:rPr>
        <w:t>☑</w:t>
      </w:r>
      <w:r>
        <w:rPr>
          <w:rFonts w:hint="eastAsia" w:ascii="宋体" w:hAnsi="宋体" w:cs="宋体"/>
          <w:color w:val="auto"/>
          <w:sz w:val="24"/>
          <w:highlight w:val="none"/>
        </w:rPr>
        <w:t>工程类）采用差额定率累进法计算出收费基准价格，</w:t>
      </w:r>
      <w:r>
        <w:rPr>
          <w:rFonts w:hint="eastAsia" w:ascii="宋体" w:hAnsi="宋体" w:cs="宋体"/>
          <w:color w:val="auto"/>
          <w:sz w:val="24"/>
          <w:highlight w:val="none"/>
          <w:lang w:eastAsia="zh-CN"/>
        </w:rPr>
        <w:t>采购代理收费以(□收费基准价格/</w:t>
      </w:r>
      <w:r>
        <w:rPr>
          <w:rFonts w:hint="eastAsia" w:ascii="宋体" w:hAnsi="宋体" w:cs="宋体"/>
          <w:color w:val="auto"/>
          <w:sz w:val="24"/>
          <w:highlight w:val="none"/>
          <w:lang w:eastAsia="zh-CN"/>
        </w:rPr>
        <w:sym w:font="Wingdings" w:char="00FE"/>
      </w:r>
      <w:r>
        <w:rPr>
          <w:rFonts w:hint="eastAsia" w:ascii="宋体" w:hAnsi="宋体" w:cs="宋体"/>
          <w:color w:val="auto"/>
          <w:sz w:val="24"/>
          <w:highlight w:val="none"/>
          <w:lang w:eastAsia="zh-CN"/>
        </w:rPr>
        <w:t>收费基准价格下浮</w:t>
      </w:r>
      <w:r>
        <w:rPr>
          <w:rFonts w:hint="eastAsia" w:ascii="宋体" w:hAnsi="宋体" w:cs="宋体"/>
          <w:color w:val="auto"/>
          <w:sz w:val="24"/>
          <w:highlight w:val="none"/>
          <w:lang w:val="en-US" w:eastAsia="zh-CN"/>
        </w:rPr>
        <w:t>40%</w:t>
      </w:r>
      <w:r>
        <w:rPr>
          <w:rFonts w:hint="eastAsia" w:ascii="宋体" w:hAnsi="宋体" w:cs="宋体"/>
          <w:color w:val="auto"/>
          <w:sz w:val="24"/>
          <w:highlight w:val="none"/>
          <w:lang w:eastAsia="zh-CN"/>
        </w:rPr>
        <w:t>/□收费基准价格上浮</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%）收取。（注：若计算后不足5000.00元时按5000.00元收取）</w:t>
      </w:r>
    </w:p>
    <w:p w14:paraId="53475C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53475C7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817518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ascii="宋体" w:hAnsi="宋体" w:cs="Arial"/>
          <w:color w:val="auto"/>
          <w:kern w:val="2"/>
          <w:sz w:val="24"/>
          <w:szCs w:val="24"/>
          <w:lang w:val="en-US" w:eastAsia="zh-CN" w:bidi="ar-SA"/>
        </w:rPr>
        <w:t>广西中之元工程管理有限公司</w:t>
      </w:r>
      <w:r>
        <w:rPr>
          <w:rFonts w:hint="eastAsia" w:ascii="宋体" w:hAnsi="宋体" w:cs="宋体"/>
          <w:color w:val="auto"/>
          <w:sz w:val="24"/>
          <w:highlight w:val="none"/>
        </w:rPr>
        <w:t xml:space="preserve"> </w:t>
      </w:r>
    </w:p>
    <w:p w14:paraId="7E2FE1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Arial"/>
          <w:color w:val="auto"/>
          <w:kern w:val="2"/>
          <w:sz w:val="24"/>
          <w:szCs w:val="24"/>
          <w:lang w:val="en-US" w:eastAsia="zh-CN" w:bidi="ar-SA"/>
        </w:rPr>
        <w:t>中国建设银行股份有限公司广西自贸试验区南宁片区五象支行</w:t>
      </w:r>
      <w:r>
        <w:rPr>
          <w:rFonts w:hint="eastAsia" w:ascii="宋体" w:hAnsi="宋体" w:cs="宋体"/>
          <w:color w:val="auto"/>
          <w:sz w:val="24"/>
          <w:highlight w:val="none"/>
        </w:rPr>
        <w:t xml:space="preserve"> </w:t>
      </w:r>
    </w:p>
    <w:p w14:paraId="7FD1D93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Arial"/>
          <w:color w:val="auto"/>
          <w:kern w:val="2"/>
          <w:sz w:val="24"/>
          <w:szCs w:val="24"/>
          <w:lang w:val="en-US" w:eastAsia="zh-CN" w:bidi="ar-SA"/>
        </w:rPr>
        <w:t>45050160500100000543</w:t>
      </w:r>
    </w:p>
    <w:p w14:paraId="53475C7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w:t>
      </w:r>
      <w:r>
        <w:rPr>
          <w:rFonts w:hint="eastAsia" w:ascii="宋体" w:hAnsi="宋体" w:cs="宋体"/>
          <w:bCs/>
          <w:color w:val="auto"/>
          <w:sz w:val="24"/>
          <w:highlight w:val="none"/>
          <w:lang w:eastAsia="zh-CN"/>
        </w:rPr>
        <w:t>依据《广西壮族自治区工程建设其他费用定额》（桂建标〔2018〕第37号）及《合浦县政府投资项目服务性收费指导意见》相关规定，项目招标控制价100万以下的，招标代理服务费≤招标控制价*6.3‰*</w:t>
      </w:r>
      <w:r>
        <w:rPr>
          <w:rFonts w:hint="eastAsia" w:ascii="宋体" w:hAnsi="宋体" w:cs="宋体"/>
          <w:bCs/>
          <w:color w:val="auto"/>
          <w:sz w:val="24"/>
          <w:highlight w:val="none"/>
          <w:lang w:val="en-US" w:eastAsia="zh-CN"/>
        </w:rPr>
        <w:t>55</w:t>
      </w:r>
      <w:r>
        <w:rPr>
          <w:rFonts w:hint="eastAsia" w:ascii="宋体" w:hAnsi="宋体" w:cs="宋体"/>
          <w:bCs/>
          <w:color w:val="auto"/>
          <w:sz w:val="24"/>
          <w:highlight w:val="none"/>
          <w:lang w:eastAsia="zh-CN"/>
        </w:rPr>
        <w:t>%；项目招标控制价100—500万的，招标代理服务费≤[100万*6.3‰+（招标控制价-100万）*4.41‰]*</w:t>
      </w:r>
      <w:r>
        <w:rPr>
          <w:rFonts w:hint="eastAsia" w:ascii="宋体" w:hAnsi="宋体" w:cs="宋体"/>
          <w:bCs/>
          <w:color w:val="auto"/>
          <w:sz w:val="24"/>
          <w:highlight w:val="none"/>
          <w:lang w:val="en-US" w:eastAsia="zh-CN"/>
        </w:rPr>
        <w:t>55</w:t>
      </w:r>
      <w:r>
        <w:rPr>
          <w:rFonts w:hint="eastAsia" w:ascii="宋体" w:hAnsi="宋体" w:cs="宋体"/>
          <w:bCs/>
          <w:color w:val="auto"/>
          <w:sz w:val="24"/>
          <w:highlight w:val="none"/>
          <w:lang w:eastAsia="zh-CN"/>
        </w:rPr>
        <w:t>%。计算后不足5000.00元时按5000.00元收取。</w:t>
      </w:r>
    </w:p>
    <w:p w14:paraId="53475C7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53475C7C">
      <w:pPr>
        <w:pStyle w:val="23"/>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53475C7D">
      <w:pPr>
        <w:pStyle w:val="23"/>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53475C7E">
      <w:pPr>
        <w:pStyle w:val="23"/>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14:textFill>
            <w14:solidFill>
              <w14:schemeClr w14:val="tx1"/>
            </w14:solidFill>
          </w14:textFill>
        </w:rPr>
        <w:t>磋商</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334EAAD4">
      <w:pPr>
        <w:pStyle w:val="23"/>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bookmarkStart w:id="29" w:name="_Toc3994506"/>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广西中之元工程管理有限公司</w:t>
      </w:r>
    </w:p>
    <w:p w14:paraId="318DE88A">
      <w:pPr>
        <w:pStyle w:val="23"/>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75FA510D">
      <w:pPr>
        <w:pStyle w:val="4"/>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0779-7200788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：庞工</w:t>
      </w:r>
    </w:p>
    <w:p w14:paraId="03ADE9A0">
      <w:pPr>
        <w:spacing w:line="620" w:lineRule="exact"/>
        <w:rPr>
          <w:rFonts w:ascii="宋体" w:hAnsi="宋体"/>
          <w:b/>
          <w:color w:val="000000" w:themeColor="text1"/>
          <w:sz w:val="44"/>
          <w:szCs w:val="44"/>
          <w:highlight w:val="none"/>
          <w14:textFill>
            <w14:solidFill>
              <w14:schemeClr w14:val="tx1"/>
            </w14:solidFill>
          </w14:textFill>
        </w:rPr>
      </w:pPr>
    </w:p>
    <w:p w14:paraId="53475C84">
      <w:pPr>
        <w:pStyle w:val="23"/>
        <w:rPr>
          <w:color w:val="000000" w:themeColor="text1"/>
          <w:highlight w:val="none"/>
          <w14:textFill>
            <w14:solidFill>
              <w14:schemeClr w14:val="tx1"/>
            </w14:solidFill>
          </w14:textFill>
        </w:rPr>
      </w:pPr>
      <w:bookmarkStart w:id="30" w:name="_Toc23819"/>
      <w:r>
        <w:rPr>
          <w:color w:val="000000" w:themeColor="text1"/>
          <w:highlight w:val="none"/>
          <w14:textFill>
            <w14:solidFill>
              <w14:schemeClr w14:val="tx1"/>
            </w14:solidFill>
          </w14:textFill>
        </w:rPr>
        <w:br w:type="page"/>
      </w:r>
    </w:p>
    <w:p w14:paraId="53475C85">
      <w:pPr>
        <w:pStyle w:val="23"/>
        <w:rPr>
          <w:color w:val="000000" w:themeColor="text1"/>
          <w:highlight w:val="none"/>
          <w14:textFill>
            <w14:solidFill>
              <w14:schemeClr w14:val="tx1"/>
            </w14:solidFill>
          </w14:textFill>
        </w:rPr>
      </w:pPr>
    </w:p>
    <w:p w14:paraId="53475C86">
      <w:pPr>
        <w:pStyle w:val="23"/>
        <w:rPr>
          <w:color w:val="000000" w:themeColor="text1"/>
          <w:highlight w:val="none"/>
          <w14:textFill>
            <w14:solidFill>
              <w14:schemeClr w14:val="tx1"/>
            </w14:solidFill>
          </w14:textFill>
        </w:rPr>
      </w:pPr>
    </w:p>
    <w:p w14:paraId="53475C87">
      <w:pPr>
        <w:pStyle w:val="23"/>
        <w:rPr>
          <w:color w:val="000000" w:themeColor="text1"/>
          <w:highlight w:val="none"/>
          <w14:textFill>
            <w14:solidFill>
              <w14:schemeClr w14:val="tx1"/>
            </w14:solidFill>
          </w14:textFill>
        </w:rPr>
      </w:pPr>
    </w:p>
    <w:p w14:paraId="53475C88">
      <w:pPr>
        <w:pStyle w:val="23"/>
        <w:rPr>
          <w:color w:val="000000" w:themeColor="text1"/>
          <w:highlight w:val="none"/>
          <w14:textFill>
            <w14:solidFill>
              <w14:schemeClr w14:val="tx1"/>
            </w14:solidFill>
          </w14:textFill>
        </w:rPr>
      </w:pPr>
    </w:p>
    <w:p w14:paraId="53475C89">
      <w:pPr>
        <w:pStyle w:val="23"/>
        <w:rPr>
          <w:color w:val="000000" w:themeColor="text1"/>
          <w:highlight w:val="none"/>
          <w14:textFill>
            <w14:solidFill>
              <w14:schemeClr w14:val="tx1"/>
            </w14:solidFill>
          </w14:textFill>
        </w:rPr>
      </w:pPr>
    </w:p>
    <w:p w14:paraId="53475C8A">
      <w:pPr>
        <w:pStyle w:val="23"/>
        <w:rPr>
          <w:color w:val="000000" w:themeColor="text1"/>
          <w:highlight w:val="none"/>
          <w14:textFill>
            <w14:solidFill>
              <w14:schemeClr w14:val="tx1"/>
            </w14:solidFill>
          </w14:textFill>
        </w:rPr>
      </w:pPr>
    </w:p>
    <w:p w14:paraId="53475C8B">
      <w:pPr>
        <w:pStyle w:val="23"/>
        <w:rPr>
          <w:color w:val="000000" w:themeColor="text1"/>
          <w:highlight w:val="none"/>
          <w14:textFill>
            <w14:solidFill>
              <w14:schemeClr w14:val="tx1"/>
            </w14:solidFill>
          </w14:textFill>
        </w:rPr>
      </w:pPr>
    </w:p>
    <w:p w14:paraId="53475C8C">
      <w:pPr>
        <w:pStyle w:val="23"/>
        <w:rPr>
          <w:color w:val="000000" w:themeColor="text1"/>
          <w:highlight w:val="none"/>
          <w14:textFill>
            <w14:solidFill>
              <w14:schemeClr w14:val="tx1"/>
            </w14:solidFill>
          </w14:textFill>
        </w:rPr>
      </w:pPr>
    </w:p>
    <w:p w14:paraId="53475C8D">
      <w:pPr>
        <w:pStyle w:val="23"/>
        <w:rPr>
          <w:color w:val="000000" w:themeColor="text1"/>
          <w:highlight w:val="none"/>
          <w14:textFill>
            <w14:solidFill>
              <w14:schemeClr w14:val="tx1"/>
            </w14:solidFill>
          </w14:textFill>
        </w:rPr>
      </w:pPr>
    </w:p>
    <w:p w14:paraId="53475C8E">
      <w:pPr>
        <w:pStyle w:val="23"/>
        <w:rPr>
          <w:color w:val="000000" w:themeColor="text1"/>
          <w:highlight w:val="none"/>
          <w14:textFill>
            <w14:solidFill>
              <w14:schemeClr w14:val="tx1"/>
            </w14:solidFill>
          </w14:textFill>
        </w:rPr>
      </w:pPr>
    </w:p>
    <w:p w14:paraId="53475C8F">
      <w:pPr>
        <w:pStyle w:val="23"/>
        <w:rPr>
          <w:color w:val="000000" w:themeColor="text1"/>
          <w:highlight w:val="none"/>
          <w14:textFill>
            <w14:solidFill>
              <w14:schemeClr w14:val="tx1"/>
            </w14:solidFill>
          </w14:textFill>
        </w:rPr>
      </w:pPr>
    </w:p>
    <w:p w14:paraId="53475C90">
      <w:pPr>
        <w:pStyle w:val="23"/>
        <w:rPr>
          <w:color w:val="000000" w:themeColor="text1"/>
          <w:highlight w:val="none"/>
          <w14:textFill>
            <w14:solidFill>
              <w14:schemeClr w14:val="tx1"/>
            </w14:solidFill>
          </w14:textFill>
        </w:rPr>
      </w:pPr>
    </w:p>
    <w:p w14:paraId="53475C91">
      <w:pPr>
        <w:pStyle w:val="23"/>
        <w:rPr>
          <w:color w:val="000000" w:themeColor="text1"/>
          <w:highlight w:val="none"/>
          <w14:textFill>
            <w14:solidFill>
              <w14:schemeClr w14:val="tx1"/>
            </w14:solidFill>
          </w14:textFill>
        </w:rPr>
      </w:pPr>
    </w:p>
    <w:p w14:paraId="53475C92">
      <w:pPr>
        <w:pStyle w:val="23"/>
        <w:rPr>
          <w:color w:val="000000" w:themeColor="text1"/>
          <w:highlight w:val="none"/>
          <w14:textFill>
            <w14:solidFill>
              <w14:schemeClr w14:val="tx1"/>
            </w14:solidFill>
          </w14:textFill>
        </w:rPr>
      </w:pPr>
    </w:p>
    <w:p w14:paraId="53475C93">
      <w:pPr>
        <w:pStyle w:val="23"/>
        <w:rPr>
          <w:color w:val="000000" w:themeColor="text1"/>
          <w:highlight w:val="none"/>
          <w14:textFill>
            <w14:solidFill>
              <w14:schemeClr w14:val="tx1"/>
            </w14:solidFill>
          </w14:textFill>
        </w:rPr>
      </w:pPr>
    </w:p>
    <w:p w14:paraId="53475C94">
      <w:pPr>
        <w:pStyle w:val="23"/>
        <w:rPr>
          <w:color w:val="000000" w:themeColor="text1"/>
          <w:highlight w:val="none"/>
          <w14:textFill>
            <w14:solidFill>
              <w14:schemeClr w14:val="tx1"/>
            </w14:solidFill>
          </w14:textFill>
        </w:rPr>
      </w:pPr>
    </w:p>
    <w:p w14:paraId="53475C95">
      <w:pPr>
        <w:pStyle w:val="23"/>
        <w:rPr>
          <w:color w:val="000000" w:themeColor="text1"/>
          <w:highlight w:val="none"/>
          <w14:textFill>
            <w14:solidFill>
              <w14:schemeClr w14:val="tx1"/>
            </w14:solidFill>
          </w14:textFill>
        </w:rPr>
      </w:pPr>
    </w:p>
    <w:p w14:paraId="53475C96">
      <w:pPr>
        <w:pStyle w:val="23"/>
        <w:rPr>
          <w:color w:val="000000" w:themeColor="text1"/>
          <w:highlight w:val="none"/>
          <w14:textFill>
            <w14:solidFill>
              <w14:schemeClr w14:val="tx1"/>
            </w14:solidFill>
          </w14:textFill>
        </w:rPr>
      </w:pPr>
    </w:p>
    <w:p w14:paraId="53475C97">
      <w:pPr>
        <w:pStyle w:val="23"/>
        <w:rPr>
          <w:color w:val="000000" w:themeColor="text1"/>
          <w:highlight w:val="none"/>
          <w14:textFill>
            <w14:solidFill>
              <w14:schemeClr w14:val="tx1"/>
            </w14:solidFill>
          </w14:textFill>
        </w:rPr>
      </w:pPr>
    </w:p>
    <w:p w14:paraId="53475C98">
      <w:pPr>
        <w:pStyle w:val="23"/>
        <w:rPr>
          <w:color w:val="000000" w:themeColor="text1"/>
          <w:highlight w:val="none"/>
          <w14:textFill>
            <w14:solidFill>
              <w14:schemeClr w14:val="tx1"/>
            </w14:solidFill>
          </w14:textFill>
        </w:rPr>
      </w:pPr>
    </w:p>
    <w:p w14:paraId="53475C99">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31" w:name="_Toc176861408"/>
      <w:r>
        <w:rPr>
          <w:rFonts w:hint="eastAsia" w:ascii="宋体" w:hAnsi="宋体"/>
          <w:b/>
          <w:color w:val="000000" w:themeColor="text1"/>
          <w:sz w:val="44"/>
          <w:szCs w:val="44"/>
          <w:highlight w:val="none"/>
          <w14:textFill>
            <w14:solidFill>
              <w14:schemeClr w14:val="tx1"/>
            </w14:solidFill>
          </w14:textFill>
        </w:rPr>
        <w:t>第三章  竞争性磋商响应文件格式</w:t>
      </w:r>
      <w:bookmarkEnd w:id="29"/>
      <w:bookmarkEnd w:id="30"/>
      <w:bookmarkEnd w:id="31"/>
    </w:p>
    <w:p w14:paraId="53475C9A">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C">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9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A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3475CA7">
      <w:pPr>
        <w:pStyle w:val="4"/>
        <w:rPr>
          <w:color w:val="000000" w:themeColor="text1"/>
          <w:highlight w:val="none"/>
          <w14:textFill>
            <w14:solidFill>
              <w14:schemeClr w14:val="tx1"/>
            </w14:solidFill>
          </w14:textFill>
        </w:rPr>
      </w:pPr>
    </w:p>
    <w:p w14:paraId="53475CA8">
      <w:pPr>
        <w:rPr>
          <w:color w:val="000000" w:themeColor="text1"/>
          <w:highlight w:val="none"/>
          <w14:textFill>
            <w14:solidFill>
              <w14:schemeClr w14:val="tx1"/>
            </w14:solidFill>
          </w14:textFill>
        </w:rPr>
      </w:pPr>
    </w:p>
    <w:p w14:paraId="53475CA9">
      <w:pPr>
        <w:spacing w:line="360" w:lineRule="auto"/>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一、竞争性磋商响应文件外包装封面</w:t>
      </w:r>
      <w:r>
        <w:rPr>
          <w:rFonts w:hint="eastAsia" w:ascii="宋体" w:hAnsi="宋体"/>
          <w:b/>
          <w:bCs/>
          <w:color w:val="000000" w:themeColor="text1"/>
          <w:sz w:val="28"/>
          <w:szCs w:val="28"/>
          <w:highlight w:val="none"/>
          <w14:textFill>
            <w14:solidFill>
              <w14:schemeClr w14:val="tx1"/>
            </w14:solidFill>
          </w14:textFill>
        </w:rPr>
        <w:t>及</w:t>
      </w:r>
      <w:r>
        <w:rPr>
          <w:rFonts w:hint="eastAsia" w:ascii="宋体" w:hAnsi="宋体"/>
          <w:b/>
          <w:color w:val="000000" w:themeColor="text1"/>
          <w:sz w:val="28"/>
          <w:szCs w:val="28"/>
          <w:highlight w:val="none"/>
          <w14:textFill>
            <w14:solidFill>
              <w14:schemeClr w14:val="tx1"/>
            </w14:solidFill>
          </w14:textFill>
        </w:rPr>
        <w:t>竞争性磋商响应文件封面</w:t>
      </w:r>
      <w:r>
        <w:rPr>
          <w:rFonts w:hint="eastAsia" w:ascii="宋体" w:hAnsi="宋体"/>
          <w:b/>
          <w:bCs/>
          <w:color w:val="000000" w:themeColor="text1"/>
          <w:sz w:val="28"/>
          <w:szCs w:val="28"/>
          <w:highlight w:val="none"/>
          <w14:textFill>
            <w14:solidFill>
              <w14:schemeClr w14:val="tx1"/>
            </w14:solidFill>
          </w14:textFill>
        </w:rPr>
        <w:t>格式</w:t>
      </w:r>
    </w:p>
    <w:p w14:paraId="53475CAA">
      <w:pPr>
        <w:snapToGrid w:val="0"/>
        <w:spacing w:line="360" w:lineRule="auto"/>
        <w:rPr>
          <w:rFonts w:ascii="宋体" w:hAnsi="宋体"/>
          <w:b/>
          <w:color w:val="000000" w:themeColor="text1"/>
          <w:szCs w:val="21"/>
          <w:highlight w:val="none"/>
          <w14:textFill>
            <w14:solidFill>
              <w14:schemeClr w14:val="tx1"/>
            </w14:solidFill>
          </w14:textFill>
        </w:rPr>
      </w:pPr>
    </w:p>
    <w:p w14:paraId="53475CAB">
      <w:pPr>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r>
        <w:rPr>
          <w:rFonts w:hint="eastAsia" w:ascii="宋体" w:hAnsi="宋体"/>
          <w:b/>
          <w:color w:val="000000" w:themeColor="text1"/>
          <w:highlight w:val="none"/>
          <w14:textFill>
            <w14:solidFill>
              <w14:schemeClr w14:val="tx1"/>
            </w14:solidFill>
          </w14:textFill>
        </w:rPr>
        <w:t xml:space="preserve"> 竞争性磋商响应文件</w:t>
      </w:r>
      <w:r>
        <w:rPr>
          <w:rFonts w:hint="eastAsia" w:ascii="宋体" w:hAnsi="宋体"/>
          <w:b/>
          <w:color w:val="000000" w:themeColor="text1"/>
          <w:szCs w:val="21"/>
          <w:highlight w:val="none"/>
          <w14:textFill>
            <w14:solidFill>
              <w14:schemeClr w14:val="tx1"/>
            </w14:solidFill>
          </w14:textFill>
        </w:rPr>
        <w:t xml:space="preserve">的外包装封面格式： </w:t>
      </w:r>
    </w:p>
    <w:p w14:paraId="53475CAC">
      <w:pPr>
        <w:snapToGrid w:val="0"/>
        <w:spacing w:line="360" w:lineRule="auto"/>
        <w:rPr>
          <w:rFonts w:ascii="宋体" w:hAnsi="宋体"/>
          <w:color w:val="000000" w:themeColor="text1"/>
          <w:szCs w:val="21"/>
          <w:highlight w:val="none"/>
          <w14:textFill>
            <w14:solidFill>
              <w14:schemeClr w14:val="tx1"/>
            </w14:solidFill>
          </w14:textFill>
        </w:rPr>
      </w:pPr>
    </w:p>
    <w:p w14:paraId="53475CAD">
      <w:pPr>
        <w:snapToGrid w:val="0"/>
        <w:spacing w:line="360" w:lineRule="auto"/>
        <w:ind w:firstLine="2638" w:firstLineChars="1095"/>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竞争性磋商响应文件</w:t>
      </w:r>
      <w:r>
        <w:rPr>
          <w:rFonts w:hint="eastAsia" w:ascii="宋体" w:hAnsi="宋体"/>
          <w:b/>
          <w:bCs/>
          <w:color w:val="000000" w:themeColor="text1"/>
          <w:sz w:val="24"/>
          <w:highlight w:val="none"/>
          <w14:textFill>
            <w14:solidFill>
              <w14:schemeClr w14:val="tx1"/>
            </w14:solidFill>
          </w14:textFill>
        </w:rPr>
        <w:t xml:space="preserve">              </w:t>
      </w:r>
    </w:p>
    <w:p w14:paraId="53475CAE">
      <w:pPr>
        <w:snapToGrid w:val="0"/>
        <w:spacing w:line="360" w:lineRule="auto"/>
        <w:ind w:firstLine="720" w:firstLineChars="3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bCs/>
          <w:color w:val="000000" w:themeColor="text1"/>
          <w:sz w:val="24"/>
          <w:highlight w:val="none"/>
          <w14:textFill>
            <w14:solidFill>
              <w14:schemeClr w14:val="tx1"/>
            </w14:solidFill>
          </w14:textFill>
        </w:rPr>
        <w:t>：</w:t>
      </w:r>
    </w:p>
    <w:p w14:paraId="53475CAF">
      <w:pPr>
        <w:snapToGrid w:val="0"/>
        <w:spacing w:line="360" w:lineRule="auto"/>
        <w:ind w:firstLine="720" w:firstLineChars="3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r>
        <w:rPr>
          <w:rFonts w:hint="eastAsia" w:ascii="宋体" w:hAnsi="宋体"/>
          <w:bCs/>
          <w:color w:val="000000" w:themeColor="text1"/>
          <w:sz w:val="24"/>
          <w:highlight w:val="none"/>
          <w14:textFill>
            <w14:solidFill>
              <w14:schemeClr w14:val="tx1"/>
            </w14:solidFill>
          </w14:textFill>
        </w:rPr>
        <w:t>：</w:t>
      </w:r>
    </w:p>
    <w:p w14:paraId="53475CB0">
      <w:pPr>
        <w:pStyle w:val="10"/>
        <w:snapToGrid w:val="0"/>
        <w:spacing w:line="360" w:lineRule="auto"/>
        <w:ind w:firstLine="720" w:firstLineChars="300"/>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w:t>
      </w:r>
      <w:r>
        <w:rPr>
          <w:rFonts w:hint="eastAsia" w:ascii="宋体" w:hAnsi="宋体"/>
          <w:bCs/>
          <w:color w:val="000000" w:themeColor="text1"/>
          <w:sz w:val="24"/>
          <w:szCs w:val="24"/>
          <w:highlight w:val="none"/>
          <w14:textFill>
            <w14:solidFill>
              <w14:schemeClr w14:val="tx1"/>
            </w14:solidFill>
          </w14:textFill>
        </w:rPr>
        <w:t>：</w:t>
      </w:r>
    </w:p>
    <w:p w14:paraId="53475CB1">
      <w:pPr>
        <w:pStyle w:val="10"/>
        <w:snapToGrid w:val="0"/>
        <w:spacing w:line="360" w:lineRule="auto"/>
        <w:ind w:firstLine="720" w:firstLineChars="3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（截标时才能启封）</w:t>
      </w:r>
    </w:p>
    <w:p w14:paraId="53475CB2">
      <w:pPr>
        <w:pStyle w:val="10"/>
        <w:snapToGrid w:val="0"/>
        <w:spacing w:line="360" w:lineRule="auto"/>
        <w:ind w:firstLine="630" w:firstLineChars="300"/>
        <w:rPr>
          <w:rFonts w:ascii="宋体" w:hAnsi="宋体"/>
          <w:bCs/>
          <w:color w:val="000000" w:themeColor="text1"/>
          <w:szCs w:val="21"/>
          <w:highlight w:val="none"/>
          <w14:textFill>
            <w14:solidFill>
              <w14:schemeClr w14:val="tx1"/>
            </w14:solidFill>
          </w14:textFill>
        </w:rPr>
      </w:pPr>
    </w:p>
    <w:p w14:paraId="53475CB3">
      <w:pPr>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w:t>
      </w:r>
      <w:r>
        <w:rPr>
          <w:rFonts w:hint="eastAsia" w:ascii="宋体" w:hAnsi="宋体"/>
          <w:b/>
          <w:color w:val="000000" w:themeColor="text1"/>
          <w:highlight w:val="none"/>
          <w14:textFill>
            <w14:solidFill>
              <w14:schemeClr w14:val="tx1"/>
            </w14:solidFill>
          </w14:textFill>
        </w:rPr>
        <w:t xml:space="preserve"> 竞争性磋商响应文件</w:t>
      </w:r>
      <w:r>
        <w:rPr>
          <w:rFonts w:hint="eastAsia" w:ascii="宋体" w:hAnsi="宋体"/>
          <w:b/>
          <w:color w:val="000000" w:themeColor="text1"/>
          <w:szCs w:val="21"/>
          <w:highlight w:val="none"/>
          <w14:textFill>
            <w14:solidFill>
              <w14:schemeClr w14:val="tx1"/>
            </w14:solidFill>
          </w14:textFill>
        </w:rPr>
        <w:t>封面格式：</w:t>
      </w:r>
      <w:r>
        <w:rPr>
          <w:rFonts w:hint="eastAsia" w:ascii="宋体" w:hAnsi="宋体"/>
          <w:b/>
          <w:color w:val="000000" w:themeColor="text1"/>
          <w:sz w:val="24"/>
          <w:highlight w:val="none"/>
          <w14:textFill>
            <w14:solidFill>
              <w14:schemeClr w14:val="tx1"/>
            </w14:solidFill>
          </w14:textFill>
        </w:rPr>
        <w:t xml:space="preserve"> </w:t>
      </w:r>
    </w:p>
    <w:p w14:paraId="53475CB4">
      <w:pPr>
        <w:snapToGrid w:val="0"/>
        <w:spacing w:line="360" w:lineRule="auto"/>
        <w:ind w:left="7200" w:hanging="7200" w:hangingChars="30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（正/副本）</w:t>
      </w:r>
    </w:p>
    <w:p w14:paraId="53475CB5">
      <w:pPr>
        <w:snapToGrid w:val="0"/>
        <w:spacing w:line="360" w:lineRule="auto"/>
        <w:ind w:firstLine="1915" w:firstLineChars="795"/>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竞争性磋商响应文件（封面）</w:t>
      </w:r>
    </w:p>
    <w:p w14:paraId="53475CB6">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5CB7">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53475CB8">
      <w:pPr>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r>
        <w:rPr>
          <w:rFonts w:hint="eastAsia" w:ascii="宋体" w:hAnsi="宋体"/>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3475CB9">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r>
        <w:rPr>
          <w:rFonts w:hint="eastAsia" w:ascii="宋体" w:hAnsi="宋体"/>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3475CB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3475CBB">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    日</w:t>
      </w:r>
    </w:p>
    <w:p w14:paraId="53475CBC">
      <w:pPr>
        <w:spacing w:line="360" w:lineRule="auto"/>
        <w:ind w:firstLine="3229" w:firstLineChars="1340"/>
        <w:rPr>
          <w:rFonts w:ascii="宋体" w:hAnsi="宋体"/>
          <w:b/>
          <w:color w:val="000000" w:themeColor="text1"/>
          <w:sz w:val="24"/>
          <w:highlight w:val="none"/>
          <w14:textFill>
            <w14:solidFill>
              <w14:schemeClr w14:val="tx1"/>
            </w14:solidFill>
          </w14:textFill>
        </w:rPr>
      </w:pPr>
    </w:p>
    <w:p w14:paraId="53475CBD">
      <w:pPr>
        <w:spacing w:line="360" w:lineRule="auto"/>
        <w:rPr>
          <w:rFonts w:ascii="宋体" w:hAnsi="宋体"/>
          <w:b/>
          <w:color w:val="000000" w:themeColor="text1"/>
          <w:sz w:val="24"/>
          <w:highlight w:val="none"/>
          <w14:textFill>
            <w14:solidFill>
              <w14:schemeClr w14:val="tx1"/>
            </w14:solidFill>
          </w14:textFill>
        </w:rPr>
      </w:pPr>
    </w:p>
    <w:p w14:paraId="53475CC4">
      <w:pPr>
        <w:spacing w:line="360" w:lineRule="auto"/>
        <w:rPr>
          <w:rFonts w:ascii="宋体" w:hAnsi="宋体"/>
          <w:b/>
          <w:color w:val="000000" w:themeColor="text1"/>
          <w:sz w:val="28"/>
          <w:szCs w:val="28"/>
          <w:highlight w:val="none"/>
          <w14:textFill>
            <w14:solidFill>
              <w14:schemeClr w14:val="tx1"/>
            </w14:solidFill>
          </w14:textFill>
        </w:rPr>
      </w:pPr>
    </w:p>
    <w:p w14:paraId="53475CC5">
      <w:pPr>
        <w:spacing w:line="360" w:lineRule="auto"/>
        <w:rPr>
          <w:rFonts w:ascii="宋体" w:hAnsi="宋体"/>
          <w:b/>
          <w:color w:val="000000" w:themeColor="text1"/>
          <w:sz w:val="28"/>
          <w:szCs w:val="28"/>
          <w:highlight w:val="none"/>
          <w14:textFill>
            <w14:solidFill>
              <w14:schemeClr w14:val="tx1"/>
            </w14:solidFill>
          </w14:textFill>
        </w:rPr>
      </w:pPr>
    </w:p>
    <w:p w14:paraId="10B58E91">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53475CC6">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二、附  件</w:t>
      </w:r>
    </w:p>
    <w:p w14:paraId="53475CC7">
      <w:pPr>
        <w:spacing w:line="360" w:lineRule="auto"/>
        <w:rPr>
          <w:rFonts w:ascii="宋体" w:hAnsi="宋体"/>
          <w:color w:val="000000" w:themeColor="text1"/>
          <w:szCs w:val="21"/>
          <w:highlight w:val="none"/>
          <w14:textFill>
            <w14:solidFill>
              <w14:schemeClr w14:val="tx1"/>
            </w14:solidFill>
          </w14:textFill>
        </w:rPr>
      </w:pPr>
    </w:p>
    <w:p w14:paraId="53475CC8">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53475CC9">
      <w:pPr>
        <w:adjustRightInd w:val="0"/>
        <w:snapToGrid w:val="0"/>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北海市政府采购供应商信用承诺函（格式）</w:t>
      </w:r>
    </w:p>
    <w:p w14:paraId="53475C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53475CCB">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w:t>
      </w:r>
    </w:p>
    <w:p w14:paraId="53475CC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53475CC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53475CC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53475CC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3475CD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53475CD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53475CD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53475CD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53475C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53475CD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53475CD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53475CD7">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CD8">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CD9">
      <w:pPr>
        <w:adjustRightInd w:val="0"/>
        <w:snapToGrid w:val="0"/>
        <w:spacing w:line="360" w:lineRule="auto"/>
        <w:ind w:firstLine="360" w:firstLineChars="15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53475CDA">
      <w:pPr>
        <w:adjustRightInd w:val="0"/>
        <w:snapToGrid w:val="0"/>
        <w:spacing w:line="360" w:lineRule="auto"/>
        <w:ind w:firstLine="315" w:firstLineChars="150"/>
        <w:jc w:val="left"/>
        <w:rPr>
          <w:rFonts w:ascii="宋体" w:hAnsi="宋体"/>
          <w:color w:val="000000" w:themeColor="text1"/>
          <w:szCs w:val="21"/>
          <w:highlight w:val="none"/>
          <w:u w:val="single"/>
          <w14:textFill>
            <w14:solidFill>
              <w14:schemeClr w14:val="tx1"/>
            </w14:solidFill>
          </w14:textFill>
        </w:rPr>
      </w:pPr>
    </w:p>
    <w:p w14:paraId="53475CDB">
      <w:pPr>
        <w:adjustRightInd w:val="0"/>
        <w:snapToGrid w:val="0"/>
        <w:spacing w:line="360" w:lineRule="auto"/>
        <w:ind w:firstLine="360" w:firstLineChars="15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53475CDC">
      <w:pPr>
        <w:spacing w:line="360" w:lineRule="auto"/>
        <w:ind w:left="420" w:hanging="420"/>
        <w:rPr>
          <w:rFonts w:ascii="宋体" w:hAnsi="宋体"/>
          <w:b/>
          <w:color w:val="000000" w:themeColor="text1"/>
          <w:highlight w:val="none"/>
          <w14:textFill>
            <w14:solidFill>
              <w14:schemeClr w14:val="tx1"/>
            </w14:solidFill>
          </w14:textFill>
        </w:rPr>
        <w:sectPr>
          <w:footerReference r:id="rId6" w:type="default"/>
          <w:pgSz w:w="11907" w:h="16839"/>
          <w:pgMar w:top="1431" w:right="1272" w:bottom="1364" w:left="1418" w:header="850" w:footer="1204" w:gutter="0"/>
          <w:cols w:space="720" w:num="1"/>
          <w:docGrid w:linePitch="286" w:charSpace="0"/>
        </w:sectPr>
      </w:pPr>
    </w:p>
    <w:p w14:paraId="53475CDD">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53475CDE">
      <w:pPr>
        <w:pStyle w:val="27"/>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53475CD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53475CE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53475CE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（项目名称、项目编号：）          </w:t>
      </w:r>
      <w:r>
        <w:rPr>
          <w:rFonts w:hint="eastAsia" w:ascii="宋体" w:hAnsi="宋体" w:cs="宋体"/>
          <w:color w:val="000000" w:themeColor="text1"/>
          <w:sz w:val="24"/>
          <w:highlight w:val="none"/>
          <w14:textFill>
            <w14:solidFill>
              <w14:schemeClr w14:val="tx1"/>
            </w14:solidFill>
          </w14:textFill>
        </w:rPr>
        <w:t>磋商文件的全部内容，愿意以人民币（大写）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53475CE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53475CE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53475CE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（3）我方承诺按照磋商文件规定向你方递交履约担保。</w:t>
      </w:r>
    </w:p>
    <w:p w14:paraId="53475C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3475C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E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CF0">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CF1">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CF2">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CF3">
      <w:pPr>
        <w:spacing w:line="360" w:lineRule="auto"/>
        <w:ind w:left="3222"/>
        <w:rPr>
          <w:rFonts w:ascii="宋体" w:hAnsi="宋体"/>
          <w:color w:val="000000" w:themeColor="text1"/>
          <w:sz w:val="24"/>
          <w:highlight w:val="none"/>
          <w14:textFill>
            <w14:solidFill>
              <w14:schemeClr w14:val="tx1"/>
            </w14:solidFill>
          </w14:textFill>
        </w:rPr>
      </w:pPr>
    </w:p>
    <w:p w14:paraId="53475CF4">
      <w:pPr>
        <w:spacing w:line="360" w:lineRule="auto"/>
        <w:ind w:left="3222"/>
        <w:rPr>
          <w:rFonts w:ascii="宋体" w:hAnsi="宋体"/>
          <w:color w:val="000000" w:themeColor="text1"/>
          <w:sz w:val="24"/>
          <w:highlight w:val="none"/>
          <w14:textFill>
            <w14:solidFill>
              <w14:schemeClr w14:val="tx1"/>
            </w14:solidFill>
          </w14:textFill>
        </w:rPr>
      </w:pPr>
    </w:p>
    <w:p w14:paraId="53475CF5">
      <w:pPr>
        <w:spacing w:line="360" w:lineRule="auto"/>
        <w:ind w:left="3222"/>
        <w:rPr>
          <w:rFonts w:ascii="宋体" w:hAnsi="宋体"/>
          <w:color w:val="000000" w:themeColor="text1"/>
          <w:sz w:val="24"/>
          <w:highlight w:val="none"/>
          <w14:textFill>
            <w14:solidFill>
              <w14:schemeClr w14:val="tx1"/>
            </w14:solidFill>
          </w14:textFill>
        </w:rPr>
      </w:pPr>
    </w:p>
    <w:p w14:paraId="53475CF6">
      <w:pPr>
        <w:spacing w:line="360"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47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vAlign w:val="center"/>
          </w:tcPr>
          <w:p w14:paraId="53475CF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vAlign w:val="center"/>
          </w:tcPr>
          <w:p w14:paraId="53475CF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vAlign w:val="center"/>
          </w:tcPr>
          <w:p w14:paraId="53475CF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vAlign w:val="center"/>
          </w:tcPr>
          <w:p w14:paraId="53475CF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vAlign w:val="center"/>
          </w:tcPr>
          <w:p w14:paraId="53475CF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5347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vAlign w:val="center"/>
          </w:tcPr>
          <w:p w14:paraId="53475CF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vAlign w:val="center"/>
          </w:tcPr>
          <w:p w14:paraId="53475CF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vAlign w:val="center"/>
          </w:tcPr>
          <w:p w14:paraId="53475CF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0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vAlign w:val="center"/>
          </w:tcPr>
          <w:p w14:paraId="53475D0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0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vAlign w:val="center"/>
          </w:tcPr>
          <w:p w14:paraId="53475D0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vAlign w:val="center"/>
          </w:tcPr>
          <w:p w14:paraId="53475D0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2966" w:type="dxa"/>
            <w:vAlign w:val="center"/>
          </w:tcPr>
          <w:p w14:paraId="53475D06">
            <w:pPr>
              <w:widowControl/>
              <w:kinsoku w:val="0"/>
              <w:autoSpaceDE w:val="0"/>
              <w:autoSpaceDN w:val="0"/>
              <w:adjustRightInd w:val="0"/>
              <w:snapToGrid w:val="0"/>
              <w:spacing w:line="360" w:lineRule="auto"/>
              <w:jc w:val="left"/>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60</w:t>
            </w:r>
            <w:r>
              <w:rPr>
                <w:rFonts w:hint="eastAsia" w:ascii="宋体" w:hAnsi="宋体" w:cs="宋体"/>
                <w:color w:val="000000" w:themeColor="text1"/>
                <w:sz w:val="24"/>
                <w:highlight w:val="none"/>
                <w:u w:val="single"/>
                <w:lang w:eastAsia="zh-CN"/>
                <w14:textFill>
                  <w14:solidFill>
                    <w14:schemeClr w14:val="tx1"/>
                  </w14:solidFill>
                </w14:textFill>
              </w:rPr>
              <w:t>日历天</w:t>
            </w:r>
          </w:p>
        </w:tc>
        <w:tc>
          <w:tcPr>
            <w:tcW w:w="1516" w:type="dxa"/>
            <w:vAlign w:val="center"/>
          </w:tcPr>
          <w:p w14:paraId="53475D0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0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vAlign w:val="center"/>
          </w:tcPr>
          <w:p w14:paraId="53475D0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vAlign w:val="center"/>
          </w:tcPr>
          <w:p w14:paraId="53475D0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0C">
            <w:pPr>
              <w:widowControl/>
              <w:kinsoku w:val="0"/>
              <w:autoSpaceDE w:val="0"/>
              <w:autoSpaceDN w:val="0"/>
              <w:adjustRightInd w:val="0"/>
              <w:snapToGrid w:val="0"/>
              <w:spacing w:line="360" w:lineRule="auto"/>
              <w:ind w:firstLine="720" w:firstLineChars="300"/>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0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vAlign w:val="center"/>
          </w:tcPr>
          <w:p w14:paraId="53475D0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vAlign w:val="center"/>
          </w:tcPr>
          <w:p w14:paraId="53475D1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vAlign w:val="center"/>
          </w:tcPr>
          <w:p w14:paraId="53475D1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1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（自竣工验收合格之日起计算）</w:t>
            </w:r>
          </w:p>
        </w:tc>
        <w:tc>
          <w:tcPr>
            <w:tcW w:w="1516" w:type="dxa"/>
            <w:vAlign w:val="center"/>
          </w:tcPr>
          <w:p w14:paraId="53475D1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1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vAlign w:val="center"/>
          </w:tcPr>
          <w:p w14:paraId="53475D1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vAlign w:val="center"/>
          </w:tcPr>
          <w:p w14:paraId="53475D1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1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1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vAlign w:val="center"/>
          </w:tcPr>
          <w:p w14:paraId="53475D1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vAlign w:val="center"/>
          </w:tcPr>
          <w:p w14:paraId="53475D1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vAlign w:val="center"/>
          </w:tcPr>
          <w:p w14:paraId="53475D1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1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1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vAlign w:val="center"/>
          </w:tcPr>
          <w:p w14:paraId="53475D2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vAlign w:val="center"/>
          </w:tcPr>
          <w:p w14:paraId="53475D2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2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vAlign w:val="center"/>
          </w:tcPr>
          <w:p w14:paraId="53475D2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2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vAlign w:val="center"/>
          </w:tcPr>
          <w:p w14:paraId="53475D2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vAlign w:val="center"/>
          </w:tcPr>
          <w:p w14:paraId="53475D2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2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2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vAlign w:val="center"/>
          </w:tcPr>
          <w:p w14:paraId="53475D2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2386" w:type="dxa"/>
            <w:vAlign w:val="center"/>
          </w:tcPr>
          <w:p w14:paraId="53475D2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逾期竣工违约金的上限</w:t>
            </w:r>
          </w:p>
        </w:tc>
        <w:tc>
          <w:tcPr>
            <w:tcW w:w="1395" w:type="dxa"/>
            <w:vAlign w:val="center"/>
          </w:tcPr>
          <w:p w14:paraId="53475D2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3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3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vAlign w:val="center"/>
          </w:tcPr>
          <w:p w14:paraId="53475D3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vAlign w:val="center"/>
          </w:tcPr>
          <w:p w14:paraId="53475D3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3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3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3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vAlign w:val="center"/>
          </w:tcPr>
          <w:p w14:paraId="53475D3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vAlign w:val="center"/>
          </w:tcPr>
          <w:p w14:paraId="53475D3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3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3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3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vAlign w:val="center"/>
          </w:tcPr>
          <w:p w14:paraId="53475D4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vAlign w:val="center"/>
          </w:tcPr>
          <w:p w14:paraId="53475D4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4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vAlign w:val="center"/>
          </w:tcPr>
          <w:p w14:paraId="53475D4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vAlign w:val="center"/>
          </w:tcPr>
          <w:p w14:paraId="53475D4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vAlign w:val="center"/>
          </w:tcPr>
          <w:p w14:paraId="53475D4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vAlign w:val="center"/>
          </w:tcPr>
          <w:p w14:paraId="53475D4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vAlign w:val="center"/>
          </w:tcPr>
          <w:p w14:paraId="53475D4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结算价的</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c>
        <w:tc>
          <w:tcPr>
            <w:tcW w:w="1516" w:type="dxa"/>
            <w:vAlign w:val="center"/>
          </w:tcPr>
          <w:p w14:paraId="53475D4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vAlign w:val="center"/>
          </w:tcPr>
          <w:p w14:paraId="53475D4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3475D4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vAlign w:val="center"/>
          </w:tcPr>
          <w:p w14:paraId="53475D4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3475D4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vAlign w:val="center"/>
          </w:tcPr>
          <w:p w14:paraId="53475D4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2966" w:type="dxa"/>
            <w:vAlign w:val="center"/>
          </w:tcPr>
          <w:p w14:paraId="53475D5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c>
          <w:tcPr>
            <w:tcW w:w="1516" w:type="dxa"/>
            <w:vAlign w:val="center"/>
          </w:tcPr>
          <w:p w14:paraId="53475D5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tc>
      </w:tr>
      <w:tr w14:paraId="5347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vAlign w:val="center"/>
          </w:tcPr>
          <w:p w14:paraId="53475D5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供应商在响应磋商文件中规定的实质性要求和条件的基础上，可做出其他有利于采购人的承诺。此类承诺可在本表中予以补充填写。</w:t>
            </w:r>
          </w:p>
        </w:tc>
      </w:tr>
    </w:tbl>
    <w:p w14:paraId="53475D5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p>
    <w:p w14:paraId="53475D56">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57">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58">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59">
      <w:pPr>
        <w:spacing w:line="360" w:lineRule="auto"/>
        <w:jc w:val="left"/>
        <w:rPr>
          <w:rFonts w:ascii="宋体" w:hAnsi="宋体" w:cs="宋体"/>
          <w:b/>
          <w:bCs/>
          <w:color w:val="000000" w:themeColor="text1"/>
          <w:spacing w:val="7"/>
          <w:sz w:val="24"/>
          <w:highlight w:val="none"/>
          <w14:textFill>
            <w14:solidFill>
              <w14:schemeClr w14:val="tx1"/>
            </w14:solidFill>
          </w14:textFill>
        </w:rPr>
      </w:pPr>
    </w:p>
    <w:p w14:paraId="53475D5A">
      <w:pPr>
        <w:spacing w:line="360"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3475D5B">
      <w:pPr>
        <w:spacing w:line="360"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53475D5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53475D5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53475D5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53475D5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5347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vAlign w:val="center"/>
          </w:tcPr>
          <w:p w14:paraId="53475D6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磋商报价</w:t>
            </w:r>
          </w:p>
        </w:tc>
        <w:tc>
          <w:tcPr>
            <w:tcW w:w="1984" w:type="dxa"/>
            <w:vAlign w:val="center"/>
          </w:tcPr>
          <w:p w14:paraId="53475D6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5347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vAlign w:val="center"/>
          </w:tcPr>
          <w:p w14:paraId="53475D64">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3475D6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vAlign w:val="center"/>
          </w:tcPr>
          <w:p w14:paraId="53475D6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vAlign w:val="center"/>
          </w:tcPr>
          <w:p w14:paraId="53475D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6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6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vAlign w:val="center"/>
          </w:tcPr>
          <w:p w14:paraId="53475D6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6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vAlign w:val="center"/>
          </w:tcPr>
          <w:p w14:paraId="53475D6F">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7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53475D7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vAlign w:val="center"/>
          </w:tcPr>
          <w:p w14:paraId="53475D7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7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vAlign w:val="center"/>
          </w:tcPr>
          <w:p w14:paraId="53475D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76">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vAlign w:val="center"/>
          </w:tcPr>
          <w:p w14:paraId="53475D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7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r w14:paraId="5347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vAlign w:val="center"/>
          </w:tcPr>
          <w:p w14:paraId="53475D7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vAlign w:val="center"/>
          </w:tcPr>
          <w:p w14:paraId="53475D7B">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vAlign w:val="center"/>
          </w:tcPr>
          <w:p w14:paraId="53475D7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vAlign w:val="center"/>
          </w:tcPr>
          <w:p w14:paraId="53475D7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highlight w:val="none"/>
                <w14:textFill>
                  <w14:solidFill>
                    <w14:schemeClr w14:val="tx1"/>
                  </w14:solidFill>
                </w14:textFill>
              </w:rPr>
            </w:pPr>
          </w:p>
        </w:tc>
      </w:tr>
    </w:tbl>
    <w:p w14:paraId="53475D7F">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color w:val="000000" w:themeColor="text1"/>
          <w:sz w:val="24"/>
          <w:highlight w:val="none"/>
          <w:lang w:eastAsia="zh-CN"/>
          <w14:textFill>
            <w14:solidFill>
              <w14:schemeClr w14:val="tx1"/>
            </w14:solidFill>
          </w14:textFill>
        </w:rPr>
        <w:t>：</w:t>
      </w:r>
    </w:p>
    <w:p w14:paraId="53475D8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供应商的报价表使用电子签名，否则其响应文件按无效处理。</w:t>
      </w:r>
    </w:p>
    <w:p w14:paraId="53475D8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报价一经涂改，应在涂改处使用电子签名，或由法定代表人或者授权委托人签字，否则其响应文件按无效处理。</w:t>
      </w:r>
    </w:p>
    <w:p w14:paraId="53475D8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3.如有多分标，分别列明各分标的报价表，否则其响应文件按无效处理。</w:t>
      </w:r>
    </w:p>
    <w:p w14:paraId="53475D83">
      <w:pPr>
        <w:widowControl/>
        <w:kinsoku w:val="0"/>
        <w:autoSpaceDE w:val="0"/>
        <w:autoSpaceDN w:val="0"/>
        <w:adjustRightInd w:val="0"/>
        <w:snapToGrid w:val="0"/>
        <w:spacing w:line="360" w:lineRule="auto"/>
        <w:ind w:firstLine="482" w:firstLineChars="200"/>
        <w:textAlignment w:val="baseline"/>
        <w:rPr>
          <w:rFonts w:ascii="宋体" w:hAnsi="宋体" w:cs="宋体"/>
          <w:b/>
          <w:bCs/>
          <w:sz w:val="24"/>
          <w:highlight w:val="none"/>
        </w:rPr>
      </w:pPr>
      <w:r>
        <w:rPr>
          <w:rFonts w:hint="eastAsia" w:ascii="宋体" w:hAnsi="宋体" w:cs="宋体"/>
          <w:b/>
          <w:bCs/>
          <w:sz w:val="24"/>
          <w:highlight w:val="none"/>
        </w:rPr>
        <w:t>4.如果供应商的最后报价与首次报价不一致的，不能只报竞标总报价，必须同时提供“已标价工程量清单”，否则做无效响应处理。</w:t>
      </w:r>
    </w:p>
    <w:p w14:paraId="53475D8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D85">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86">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87">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88">
      <w:pPr>
        <w:spacing w:line="360" w:lineRule="auto"/>
        <w:rPr>
          <w:rFonts w:ascii="宋体" w:hAnsi="宋体"/>
          <w:b/>
          <w:bCs/>
          <w:color w:val="000000" w:themeColor="text1"/>
          <w:sz w:val="24"/>
          <w:highlight w:val="none"/>
          <w14:textFill>
            <w14:solidFill>
              <w14:schemeClr w14:val="tx1"/>
            </w14:solidFill>
          </w14:textFill>
        </w:rPr>
      </w:pPr>
    </w:p>
    <w:p w14:paraId="53475D89">
      <w:pPr>
        <w:spacing w:line="360" w:lineRule="auto"/>
        <w:rPr>
          <w:rFonts w:ascii="宋体" w:hAnsi="宋体"/>
          <w:b/>
          <w:bCs/>
          <w:color w:val="000000" w:themeColor="text1"/>
          <w:sz w:val="24"/>
          <w:highlight w:val="none"/>
          <w14:textFill>
            <w14:solidFill>
              <w14:schemeClr w14:val="tx1"/>
            </w14:solidFill>
          </w14:textFill>
        </w:rPr>
      </w:pPr>
    </w:p>
    <w:p w14:paraId="53475D8A">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br w:type="page"/>
      </w:r>
    </w:p>
    <w:p w14:paraId="53475D8B">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附件4</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53475D8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53475D8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ascii="宋体" w:hAnsi="宋体"/>
          <w:b/>
          <w:color w:val="000000" w:themeColor="text1"/>
          <w:sz w:val="24"/>
          <w:highlight w:val="none"/>
          <w14:textFill>
            <w14:solidFill>
              <w14:schemeClr w14:val="tx1"/>
            </w14:solidFill>
          </w14:textFill>
        </w:rPr>
        <w:sectPr>
          <w:pgSz w:w="11907" w:h="16839"/>
          <w:pgMar w:top="1431" w:right="1272" w:bottom="1364" w:left="1418" w:header="850" w:footer="1204" w:gutter="0"/>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（2）已标价工程量清单表格要严格按照工程量清单给出的表格要求和内容填报，否则按无效磋商处理。</w:t>
      </w:r>
    </w:p>
    <w:p w14:paraId="53475D96">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附件5</w:t>
      </w:r>
    </w:p>
    <w:p w14:paraId="53475D97">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 商 书</w:t>
      </w:r>
    </w:p>
    <w:p w14:paraId="53475D98">
      <w:pPr>
        <w:spacing w:line="360" w:lineRule="auto"/>
        <w:jc w:val="center"/>
        <w:rPr>
          <w:rFonts w:ascii="宋体" w:hAnsi="宋体"/>
          <w:b/>
          <w:color w:val="000000" w:themeColor="text1"/>
          <w:sz w:val="24"/>
          <w:highlight w:val="none"/>
          <w14:textFill>
            <w14:solidFill>
              <w14:schemeClr w14:val="tx1"/>
            </w14:solidFill>
          </w14:textFill>
        </w:rPr>
      </w:pPr>
    </w:p>
    <w:p w14:paraId="53475D99">
      <w:pPr>
        <w:pStyle w:val="23"/>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（采购人）、（采购代理机构）：</w:t>
      </w:r>
    </w:p>
    <w:p w14:paraId="53475D9A">
      <w:pPr>
        <w:pStyle w:val="23"/>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依据贵方</w:t>
      </w:r>
      <w:r>
        <w:rPr>
          <w:rFonts w:hint="eastAsia" w:hAnsi="宋体"/>
          <w:color w:val="000000" w:themeColor="text1"/>
          <w:sz w:val="24"/>
          <w:szCs w:val="24"/>
          <w:highlight w:val="none"/>
          <w:u w:val="single"/>
          <w14:textFill>
            <w14:solidFill>
              <w14:schemeClr w14:val="tx1"/>
            </w14:solidFill>
          </w14:textFill>
        </w:rPr>
        <w:t>（项目名称/项目编号）</w:t>
      </w:r>
      <w:r>
        <w:rPr>
          <w:rFonts w:hint="eastAsia" w:hAnsi="宋体"/>
          <w:color w:val="000000" w:themeColor="text1"/>
          <w:sz w:val="24"/>
          <w:szCs w:val="24"/>
          <w:highlight w:val="none"/>
          <w14:textFill>
            <w14:solidFill>
              <w14:schemeClr w14:val="tx1"/>
            </w14:solidFill>
          </w14:textFill>
        </w:rPr>
        <w:t>项目政府采购的磋商邀请，我方</w:t>
      </w:r>
      <w:r>
        <w:rPr>
          <w:rFonts w:hint="eastAsia" w:hAnsi="宋体"/>
          <w:color w:val="000000" w:themeColor="text1"/>
          <w:sz w:val="24"/>
          <w:szCs w:val="24"/>
          <w:highlight w:val="none"/>
          <w:u w:val="single"/>
          <w14:textFill>
            <w14:solidFill>
              <w14:schemeClr w14:val="tx1"/>
            </w14:solidFill>
          </w14:textFill>
        </w:rPr>
        <w:t>（姓名和职务）</w:t>
      </w:r>
      <w:r>
        <w:rPr>
          <w:rFonts w:hint="eastAsia" w:hAnsi="宋体"/>
          <w:color w:val="000000" w:themeColor="text1"/>
          <w:sz w:val="24"/>
          <w:szCs w:val="24"/>
          <w:highlight w:val="none"/>
          <w14:textFill>
            <w14:solidFill>
              <w14:schemeClr w14:val="tx1"/>
            </w14:solidFill>
          </w14:textFill>
        </w:rPr>
        <w:t>经正式授权并代表本单位</w:t>
      </w:r>
      <w:r>
        <w:rPr>
          <w:rFonts w:hint="eastAsia" w:hAnsi="宋体"/>
          <w:color w:val="000000" w:themeColor="text1"/>
          <w:sz w:val="24"/>
          <w:szCs w:val="24"/>
          <w:highlight w:val="none"/>
          <w:u w:val="single"/>
          <w14:textFill>
            <w14:solidFill>
              <w14:schemeClr w14:val="tx1"/>
            </w14:solidFill>
          </w14:textFill>
        </w:rPr>
        <w:t>（供应商名称、地址）</w:t>
      </w:r>
      <w:r>
        <w:rPr>
          <w:rFonts w:hint="eastAsia" w:hAnsi="宋体"/>
          <w:color w:val="000000" w:themeColor="text1"/>
          <w:sz w:val="24"/>
          <w:szCs w:val="24"/>
          <w:highlight w:val="none"/>
          <w14:textFill>
            <w14:solidFill>
              <w14:schemeClr w14:val="tx1"/>
            </w14:solidFill>
          </w14:textFill>
        </w:rPr>
        <w:t>提交下述竞争性磋商响应文件</w:t>
      </w:r>
      <w:r>
        <w:rPr>
          <w:rFonts w:hint="eastAsia" w:hAnsi="宋体"/>
          <w:b/>
          <w:color w:val="000000" w:themeColor="text1"/>
          <w:sz w:val="24"/>
          <w:szCs w:val="24"/>
          <w:highlight w:val="none"/>
          <w14:textFill>
            <w14:solidFill>
              <w14:schemeClr w14:val="tx1"/>
            </w14:solidFill>
          </w14:textFill>
        </w:rPr>
        <w:t>（资格文件、价格文件、商务技术文件）</w:t>
      </w:r>
      <w:r>
        <w:rPr>
          <w:rFonts w:hint="eastAsia" w:hAnsi="宋体"/>
          <w:color w:val="000000" w:themeColor="text1"/>
          <w:sz w:val="24"/>
          <w:szCs w:val="24"/>
          <w:highlight w:val="none"/>
          <w14:textFill>
            <w14:solidFill>
              <w14:schemeClr w14:val="tx1"/>
            </w14:solidFill>
          </w14:textFill>
        </w:rPr>
        <w:t>。</w:t>
      </w:r>
    </w:p>
    <w:p w14:paraId="53475D9B">
      <w:pPr>
        <w:pStyle w:val="23"/>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 报价表；</w:t>
      </w:r>
    </w:p>
    <w:p w14:paraId="53475D9C">
      <w:pPr>
        <w:pStyle w:val="23"/>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2. 资格证明文件； </w:t>
      </w:r>
    </w:p>
    <w:p w14:paraId="53475D9D">
      <w:pPr>
        <w:pStyle w:val="23"/>
        <w:spacing w:line="360" w:lineRule="auto"/>
        <w:ind w:firstLine="48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 按竞争性磋商文件供应商须知和采购需求提供的有关文件。</w:t>
      </w:r>
    </w:p>
    <w:p w14:paraId="53475D9E">
      <w:pPr>
        <w:pStyle w:val="23"/>
        <w:spacing w:line="360" w:lineRule="auto"/>
        <w:ind w:firstLine="360" w:firstLineChars="15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在此，授权代表宣布同意如下：</w:t>
      </w:r>
    </w:p>
    <w:p w14:paraId="53475D9F">
      <w:pPr>
        <w:pStyle w:val="23"/>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 将按竞争性磋商文件的约定履行合同责任和义务；</w:t>
      </w:r>
    </w:p>
    <w:p w14:paraId="53475DA0">
      <w:pPr>
        <w:pStyle w:val="23"/>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 已详细审查全部竞争性磋商文件，包括</w:t>
      </w:r>
      <w:r>
        <w:rPr>
          <w:rFonts w:hint="eastAsia" w:hAnsi="宋体"/>
          <w:color w:val="000000" w:themeColor="text1"/>
          <w:sz w:val="24"/>
          <w:szCs w:val="24"/>
          <w:highlight w:val="none"/>
          <w:u w:val="single"/>
          <w14:textFill>
            <w14:solidFill>
              <w14:schemeClr w14:val="tx1"/>
            </w14:solidFill>
          </w14:textFill>
        </w:rPr>
        <w:t>（补遗文件）（如果有的话）</w:t>
      </w:r>
      <w:r>
        <w:rPr>
          <w:rFonts w:hint="eastAsia" w:hAnsi="宋体"/>
          <w:color w:val="000000" w:themeColor="text1"/>
          <w:sz w:val="24"/>
          <w:szCs w:val="24"/>
          <w:highlight w:val="none"/>
          <w14:textFill>
            <w14:solidFill>
              <w14:schemeClr w14:val="tx1"/>
            </w14:solidFill>
          </w14:textFill>
        </w:rPr>
        <w:t>；</w:t>
      </w:r>
    </w:p>
    <w:p w14:paraId="53475DA1">
      <w:pPr>
        <w:pStyle w:val="23"/>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 同意提供按照贵方可能要求的与其磋商有关的一切数据或资料；</w:t>
      </w:r>
    </w:p>
    <w:p w14:paraId="53475DA2">
      <w:pPr>
        <w:pStyle w:val="23"/>
        <w:spacing w:line="360" w:lineRule="auto"/>
        <w:ind w:firstLine="480" w:firstLineChars="20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 与本磋商有关的一切正式往来信函请寄：</w:t>
      </w:r>
      <w:r>
        <w:rPr>
          <w:rFonts w:hint="eastAsia" w:hAnsi="宋体"/>
          <w:color w:val="000000" w:themeColor="text1"/>
          <w:sz w:val="24"/>
          <w:szCs w:val="24"/>
          <w:highlight w:val="none"/>
          <w:u w:val="single"/>
          <w14:textFill>
            <w14:solidFill>
              <w14:schemeClr w14:val="tx1"/>
            </w14:solidFill>
          </w14:textFill>
        </w:rPr>
        <w:t xml:space="preserve">                       </w:t>
      </w:r>
    </w:p>
    <w:p w14:paraId="53475DA3">
      <w:pPr>
        <w:pStyle w:val="23"/>
        <w:spacing w:line="360" w:lineRule="auto"/>
        <w:ind w:firstLine="84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开户银行：</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帐号/行号：</w:t>
      </w:r>
      <w:r>
        <w:rPr>
          <w:rFonts w:hint="eastAsia" w:hAnsi="宋体"/>
          <w:color w:val="000000" w:themeColor="text1"/>
          <w:sz w:val="24"/>
          <w:szCs w:val="24"/>
          <w:highlight w:val="none"/>
          <w:u w:val="single"/>
          <w14:textFill>
            <w14:solidFill>
              <w14:schemeClr w14:val="tx1"/>
            </w14:solidFill>
          </w14:textFill>
        </w:rPr>
        <w:t xml:space="preserve">                </w:t>
      </w:r>
    </w:p>
    <w:p w14:paraId="53475DA4">
      <w:pPr>
        <w:pStyle w:val="23"/>
        <w:spacing w:line="360" w:lineRule="auto"/>
        <w:ind w:firstLine="84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电话/传真：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电子函件：</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p w14:paraId="53475DA5">
      <w:pPr>
        <w:pStyle w:val="23"/>
        <w:spacing w:line="360" w:lineRule="auto"/>
        <w:ind w:firstLine="840"/>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53475DA6">
      <w:pPr>
        <w:adjustRightInd w:val="0"/>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p>
    <w:p w14:paraId="53475DA7">
      <w:pPr>
        <w:adjustRightInd w:val="0"/>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p>
    <w:p w14:paraId="53475DA8">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A9">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AA">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AB">
      <w:pPr>
        <w:pStyle w:val="23"/>
        <w:spacing w:line="360" w:lineRule="auto"/>
        <w:ind w:firstLine="84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p>
    <w:p w14:paraId="53475DAC">
      <w:pPr>
        <w:spacing w:line="360" w:lineRule="auto"/>
        <w:rPr>
          <w:rFonts w:ascii="宋体" w:hAnsi="宋体"/>
          <w:color w:val="000000" w:themeColor="text1"/>
          <w:sz w:val="24"/>
          <w:highlight w:val="none"/>
          <w14:textFill>
            <w14:solidFill>
              <w14:schemeClr w14:val="tx1"/>
            </w14:solidFill>
          </w14:textFill>
        </w:rPr>
      </w:pPr>
    </w:p>
    <w:p w14:paraId="53475DAF">
      <w:pPr>
        <w:spacing w:line="360" w:lineRule="auto"/>
        <w:rPr>
          <w:rFonts w:ascii="宋体" w:hAnsi="宋体"/>
          <w:color w:val="000000" w:themeColor="text1"/>
          <w:highlight w:val="none"/>
          <w14:textFill>
            <w14:solidFill>
              <w14:schemeClr w14:val="tx1"/>
            </w14:solidFill>
          </w14:textFill>
        </w:rPr>
      </w:pPr>
    </w:p>
    <w:p w14:paraId="53475DB0">
      <w:pPr>
        <w:spacing w:line="360" w:lineRule="auto"/>
        <w:ind w:left="420" w:hanging="420"/>
        <w:rPr>
          <w:rFonts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3475DB1">
      <w:pPr>
        <w:spacing w:line="360" w:lineRule="auto"/>
        <w:ind w:left="420" w:hanging="420"/>
        <w:rPr>
          <w:rFonts w:ascii="宋体" w:hAnsi="宋体"/>
          <w:b/>
          <w:color w:val="000000" w:themeColor="text1"/>
          <w:highlight w:val="none"/>
          <w14:textFill>
            <w14:solidFill>
              <w14:schemeClr w14:val="tx1"/>
            </w14:solidFill>
          </w14:textFill>
        </w:rPr>
      </w:pPr>
    </w:p>
    <w:p w14:paraId="53475DB2">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53475DB3">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法定代表人（负责人）授权委托书</w:t>
      </w:r>
    </w:p>
    <w:p w14:paraId="53475DB4">
      <w:pPr>
        <w:adjustRightInd w:val="0"/>
        <w:snapToGrid w:val="0"/>
        <w:spacing w:line="360" w:lineRule="auto"/>
        <w:rPr>
          <w:rFonts w:ascii="宋体" w:hAnsi="宋体"/>
          <w:color w:val="000000" w:themeColor="text1"/>
          <w:szCs w:val="21"/>
          <w:highlight w:val="none"/>
          <w14:textFill>
            <w14:solidFill>
              <w14:schemeClr w14:val="tx1"/>
            </w14:solidFill>
          </w14:textFill>
        </w:rPr>
      </w:pPr>
    </w:p>
    <w:p w14:paraId="53475DB5">
      <w:pPr>
        <w:spacing w:line="360" w:lineRule="auto"/>
        <w:rPr>
          <w:rFonts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（采购人）、（采购代理机构）</w:t>
      </w:r>
      <w:r>
        <w:rPr>
          <w:rFonts w:hint="eastAsia" w:ascii="宋体" w:hAnsi="宋体"/>
          <w:color w:val="000000" w:themeColor="text1"/>
          <w:sz w:val="24"/>
          <w:highlight w:val="none"/>
          <w14:textFill>
            <w14:solidFill>
              <w14:schemeClr w14:val="tx1"/>
            </w14:solidFill>
          </w14:textFill>
        </w:rPr>
        <w:t>：</w:t>
      </w:r>
    </w:p>
    <w:p w14:paraId="53475DB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同志为我公司参加贵单位组织的</w:t>
      </w:r>
      <w:r>
        <w:rPr>
          <w:rFonts w:hint="eastAsia" w:ascii="宋体" w:hAnsi="宋体"/>
          <w:color w:val="000000" w:themeColor="text1"/>
          <w:sz w:val="24"/>
          <w:highlight w:val="none"/>
          <w:u w:val="single"/>
          <w14:textFill>
            <w14:solidFill>
              <w14:schemeClr w14:val="tx1"/>
            </w14:solidFill>
          </w14:textFill>
        </w:rPr>
        <w:t xml:space="preserve">                     项目</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）竞争性磋商采购活动的委托代理人，全权代表我公司处理在该项目活动中的一切事宜。代理期限从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日起至</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日止。 </w:t>
      </w:r>
    </w:p>
    <w:p w14:paraId="53475DB7">
      <w:pPr>
        <w:spacing w:line="360" w:lineRule="auto"/>
        <w:rPr>
          <w:rFonts w:ascii="宋体" w:hAnsi="宋体"/>
          <w:color w:val="000000" w:themeColor="text1"/>
          <w:sz w:val="24"/>
          <w:highlight w:val="none"/>
          <w14:textFill>
            <w14:solidFill>
              <w14:schemeClr w14:val="tx1"/>
            </w14:solidFill>
          </w14:textFill>
        </w:rPr>
      </w:pPr>
    </w:p>
    <w:p w14:paraId="53475DB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磋商供应商（公章）：</w:t>
      </w:r>
      <w:r>
        <w:rPr>
          <w:rFonts w:hint="eastAsia" w:ascii="宋体" w:hAnsi="宋体"/>
          <w:color w:val="000000" w:themeColor="text1"/>
          <w:sz w:val="24"/>
          <w:highlight w:val="none"/>
          <w:u w:val="single"/>
          <w14:textFill>
            <w14:solidFill>
              <w14:schemeClr w14:val="tx1"/>
            </w14:solidFill>
          </w14:textFill>
        </w:rPr>
        <w:t xml:space="preserve">               </w:t>
      </w:r>
    </w:p>
    <w:p w14:paraId="53475DB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法定代表人（负责人）（签名）：</w:t>
      </w:r>
      <w:r>
        <w:rPr>
          <w:rFonts w:hint="eastAsia" w:ascii="宋体" w:hAnsi="宋体"/>
          <w:color w:val="000000" w:themeColor="text1"/>
          <w:sz w:val="24"/>
          <w:highlight w:val="none"/>
          <w:u w:val="single"/>
          <w14:textFill>
            <w14:solidFill>
              <w14:schemeClr w14:val="tx1"/>
            </w14:solidFill>
          </w14:textFill>
        </w:rPr>
        <w:t xml:space="preserve">       </w:t>
      </w:r>
    </w:p>
    <w:p w14:paraId="53475DB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签发日期：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3475DBB">
      <w:pPr>
        <w:spacing w:line="360" w:lineRule="auto"/>
        <w:rPr>
          <w:rFonts w:ascii="宋体" w:hAnsi="宋体"/>
          <w:color w:val="000000" w:themeColor="text1"/>
          <w:sz w:val="24"/>
          <w:highlight w:val="none"/>
          <w14:textFill>
            <w14:solidFill>
              <w14:schemeClr w14:val="tx1"/>
            </w14:solidFill>
          </w14:textFill>
        </w:rPr>
      </w:pPr>
    </w:p>
    <w:p w14:paraId="53475DB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附：委托代理人工作单位</w:t>
      </w:r>
      <w:r>
        <w:rPr>
          <w:rFonts w:hint="eastAsia" w:ascii="宋体" w:hAnsi="宋体"/>
          <w:color w:val="000000" w:themeColor="text1"/>
          <w:sz w:val="24"/>
          <w:highlight w:val="none"/>
          <w:u w:val="single"/>
          <w14:textFill>
            <w14:solidFill>
              <w14:schemeClr w14:val="tx1"/>
            </w14:solidFill>
          </w14:textFill>
        </w:rPr>
        <w:t xml:space="preserve">               </w:t>
      </w:r>
    </w:p>
    <w:p w14:paraId="53475DB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性别：</w:t>
      </w:r>
      <w:r>
        <w:rPr>
          <w:rFonts w:hint="eastAsia" w:ascii="宋体" w:hAnsi="宋体"/>
          <w:color w:val="000000" w:themeColor="text1"/>
          <w:sz w:val="24"/>
          <w:highlight w:val="none"/>
          <w:u w:val="single"/>
          <w14:textFill>
            <w14:solidFill>
              <w14:schemeClr w14:val="tx1"/>
            </w14:solidFill>
          </w14:textFill>
        </w:rPr>
        <w:t xml:space="preserve">    </w:t>
      </w:r>
    </w:p>
    <w:p w14:paraId="53475DBE">
      <w:pPr>
        <w:adjustRightInd w:val="0"/>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粘贴委托代理人的正面及反面身份证复印件</w:t>
            </w:r>
          </w:p>
        </w:tc>
      </w:tr>
    </w:tbl>
    <w:p w14:paraId="53475DC1">
      <w:pPr>
        <w:autoSpaceDE w:val="0"/>
        <w:autoSpaceDN w:val="0"/>
        <w:spacing w:line="360" w:lineRule="auto"/>
        <w:ind w:left="480" w:hanging="480"/>
        <w:rPr>
          <w:rFonts w:ascii="宋体" w:hAnsi="宋体"/>
          <w:color w:val="000000" w:themeColor="text1"/>
          <w:sz w:val="24"/>
          <w:highlight w:val="none"/>
          <w14:textFill>
            <w14:solidFill>
              <w14:schemeClr w14:val="tx1"/>
            </w14:solidFill>
          </w14:textFill>
        </w:rPr>
      </w:pPr>
    </w:p>
    <w:p w14:paraId="53475DC2">
      <w:pPr>
        <w:pStyle w:val="23"/>
        <w:spacing w:line="360" w:lineRule="auto"/>
        <w:rPr>
          <w:rFonts w:hAnsi="宋体"/>
          <w:color w:val="000000" w:themeColor="text1"/>
          <w:sz w:val="24"/>
          <w:szCs w:val="24"/>
          <w:highlight w:val="none"/>
          <w14:textFill>
            <w14:solidFill>
              <w14:schemeClr w14:val="tx1"/>
            </w14:solidFill>
          </w14:textFill>
        </w:rPr>
      </w:pPr>
    </w:p>
    <w:p w14:paraId="53475DC3">
      <w:pPr>
        <w:pStyle w:val="23"/>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p>
    <w:p w14:paraId="53475DC4">
      <w:pPr>
        <w:pStyle w:val="23"/>
        <w:spacing w:line="360" w:lineRule="auto"/>
        <w:rPr>
          <w:rFonts w:hAnsi="宋体"/>
          <w:color w:val="000000" w:themeColor="text1"/>
          <w:highlight w:val="none"/>
          <w14:textFill>
            <w14:solidFill>
              <w14:schemeClr w14:val="tx1"/>
            </w14:solidFill>
          </w14:textFill>
        </w:rPr>
      </w:pPr>
    </w:p>
    <w:p w14:paraId="53475DC5">
      <w:pPr>
        <w:spacing w:line="360" w:lineRule="auto"/>
        <w:ind w:left="420" w:hanging="42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附件7</w:t>
      </w:r>
    </w:p>
    <w:p w14:paraId="53475DC6">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法定代表人（负责人）身份证明书</w:t>
      </w:r>
    </w:p>
    <w:p w14:paraId="53475DC7">
      <w:pPr>
        <w:adjustRightInd w:val="0"/>
        <w:snapToGrid w:val="0"/>
        <w:spacing w:line="360" w:lineRule="auto"/>
        <w:ind w:firstLine="960" w:firstLineChars="400"/>
        <w:rPr>
          <w:rFonts w:ascii="宋体" w:hAnsi="宋体"/>
          <w:color w:val="000000" w:themeColor="text1"/>
          <w:sz w:val="24"/>
          <w:highlight w:val="none"/>
          <w:u w:val="single"/>
          <w14:textFill>
            <w14:solidFill>
              <w14:schemeClr w14:val="tx1"/>
            </w14:solidFill>
          </w14:textFill>
        </w:rPr>
      </w:pPr>
    </w:p>
    <w:p w14:paraId="53475DC8">
      <w:pPr>
        <w:adjustRightInd w:val="0"/>
        <w:snapToGrid w:val="0"/>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在我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职务，是我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的法定代表人（负责人）。</w:t>
      </w:r>
    </w:p>
    <w:p w14:paraId="53475DC9">
      <w:pPr>
        <w:adjustRightInd w:val="0"/>
        <w:snapToGrid w:val="0"/>
        <w:spacing w:line="360" w:lineRule="auto"/>
        <w:ind w:firstLine="840" w:firstLine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3475DCA">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53475DCB">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3475DCC">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53475DCD">
      <w:pPr>
        <w:adjustRightInd w:val="0"/>
        <w:snapToGrid w:val="0"/>
        <w:spacing w:line="360" w:lineRule="auto"/>
        <w:ind w:firstLine="3360" w:firstLineChars="1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14:paraId="53475DCE">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（单位公章）</w:t>
      </w:r>
    </w:p>
    <w:p w14:paraId="53475DCF">
      <w:pPr>
        <w:adjustRightInd w:val="0"/>
        <w:snapToGrid w:val="0"/>
        <w:spacing w:line="360" w:lineRule="auto"/>
        <w:rPr>
          <w:rFonts w:ascii="宋体" w:hAnsi="宋体"/>
          <w:color w:val="000000" w:themeColor="text1"/>
          <w:sz w:val="24"/>
          <w:highlight w:val="none"/>
          <w14:textFill>
            <w14:solidFill>
              <w14:schemeClr w14:val="tx1"/>
            </w14:solidFill>
          </w14:textFill>
        </w:rPr>
      </w:pPr>
    </w:p>
    <w:p w14:paraId="53475DD2">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53475DD3">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    址：</w:t>
      </w:r>
    </w:p>
    <w:p w14:paraId="53475DD4">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p>
    <w:p w14:paraId="53475DD5">
      <w:pPr>
        <w:pStyle w:val="23"/>
        <w:adjustRightInd w:val="0"/>
        <w:snapToGrid w:val="0"/>
        <w:spacing w:line="360" w:lineRule="auto"/>
        <w:ind w:firstLine="360" w:firstLineChars="15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联系电话：</w:t>
      </w:r>
    </w:p>
    <w:p w14:paraId="53475DD6">
      <w:pPr>
        <w:pStyle w:val="23"/>
        <w:adjustRightInd w:val="0"/>
        <w:snapToGrid w:val="0"/>
        <w:spacing w:line="360" w:lineRule="auto"/>
        <w:ind w:firstLine="360" w:firstLineChars="150"/>
        <w:rPr>
          <w:rFonts w:hAnsi="宋体"/>
          <w:color w:val="000000" w:themeColor="text1"/>
          <w:sz w:val="24"/>
          <w:szCs w:val="24"/>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000000" w:themeColor="text1"/>
                <w:szCs w:val="21"/>
                <w:highlight w:val="none"/>
                <w14:textFill>
                  <w14:solidFill>
                    <w14:schemeClr w14:val="tx1"/>
                  </w14:solidFill>
                </w14:textFill>
              </w:rPr>
            </w:pPr>
          </w:p>
        </w:tc>
      </w:tr>
    </w:tbl>
    <w:p w14:paraId="0204BD4A">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3475DDB">
      <w:pPr>
        <w:autoSpaceDE w:val="0"/>
        <w:autoSpaceDN w:val="0"/>
        <w:adjustRightInd w:val="0"/>
        <w:snapToGrid w:val="0"/>
        <w:spacing w:line="360" w:lineRule="auto"/>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附件8</w:t>
      </w:r>
    </w:p>
    <w:p w14:paraId="53475DDD">
      <w:pPr>
        <w:spacing w:line="360" w:lineRule="auto"/>
        <w:jc w:val="center"/>
        <w:rPr>
          <w:rFonts w:ascii="宋体" w:hAnsi="宋体"/>
          <w:color w:val="000000" w:themeColor="text1"/>
          <w:kern w:val="0"/>
          <w:sz w:val="32"/>
          <w:szCs w:val="21"/>
          <w:highlight w:val="none"/>
          <w14:textFill>
            <w14:solidFill>
              <w14:schemeClr w14:val="tx1"/>
            </w14:solidFill>
          </w14:textFill>
        </w:rPr>
      </w:pPr>
      <w:r>
        <w:rPr>
          <w:rFonts w:hint="eastAsia" w:ascii="宋体" w:hAnsi="宋体"/>
          <w:color w:val="000000" w:themeColor="text1"/>
          <w:kern w:val="0"/>
          <w:sz w:val="32"/>
          <w:szCs w:val="21"/>
          <w:highlight w:val="none"/>
          <w14:textFill>
            <w14:solidFill>
              <w14:schemeClr w14:val="tx1"/>
            </w14:solidFill>
          </w14:textFill>
        </w:rPr>
        <w:t>承诺函（格式）</w:t>
      </w:r>
    </w:p>
    <w:p w14:paraId="53475DDE">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p>
    <w:p w14:paraId="53475DDF">
      <w:pPr>
        <w:keepNext w:val="0"/>
        <w:keepLines w:val="0"/>
        <w:pageBreakBefore w:val="0"/>
        <w:widowControl/>
        <w:kinsoku/>
        <w:wordWrap/>
        <w:overflowPunct/>
        <w:topLinePunct w:val="0"/>
        <w:autoSpaceDE/>
        <w:autoSpaceDN/>
        <w:bidi w:val="0"/>
        <w:spacing w:line="276" w:lineRule="auto"/>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采购人/采购代理机构</w:t>
      </w:r>
      <w:r>
        <w:rPr>
          <w:rFonts w:hint="eastAsia" w:ascii="宋体" w:hAnsi="宋体"/>
          <w:color w:val="000000" w:themeColor="text1"/>
          <w:kern w:val="0"/>
          <w:sz w:val="24"/>
          <w:highlight w:val="none"/>
          <w14:textFill>
            <w14:solidFill>
              <w14:schemeClr w14:val="tx1"/>
            </w14:solidFill>
          </w14:textFill>
        </w:rPr>
        <w:t>：</w:t>
      </w:r>
    </w:p>
    <w:p w14:paraId="53475DE0">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六、参加本次采购活动，我方完全同意磋商文件第二章关于“成交费用”、 “履约保证金”的实质性要求，并承诺严格按照磋商文件要求履行。</w:t>
      </w:r>
    </w:p>
    <w:p w14:paraId="53475DE7">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000000" w:themeColor="text1"/>
          <w:kern w:val="0"/>
          <w:sz w:val="24"/>
          <w:highlight w:val="none"/>
          <w14:textFill>
            <w14:solidFill>
              <w14:schemeClr w14:val="tx1"/>
            </w14:solidFill>
          </w14:textFill>
        </w:rPr>
      </w:pPr>
    </w:p>
    <w:p w14:paraId="53475DEA">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DEB">
      <w:pPr>
        <w:keepNext w:val="0"/>
        <w:keepLines w:val="0"/>
        <w:pageBreakBefore w:val="0"/>
        <w:kinsoku/>
        <w:wordWrap/>
        <w:overflowPunct/>
        <w:topLinePunct w:val="0"/>
        <w:autoSpaceDE/>
        <w:autoSpaceDN/>
        <w:bidi w:val="0"/>
        <w:adjustRightInd w:val="0"/>
        <w:snapToGrid w:val="0"/>
        <w:spacing w:line="276" w:lineRule="auto"/>
        <w:ind w:firstLine="960" w:firstLineChars="4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DEC">
      <w:pPr>
        <w:keepNext w:val="0"/>
        <w:keepLines w:val="0"/>
        <w:pageBreakBefore w:val="0"/>
        <w:kinsoku/>
        <w:wordWrap/>
        <w:overflowPunct/>
        <w:topLinePunct w:val="0"/>
        <w:autoSpaceDE/>
        <w:autoSpaceDN/>
        <w:bidi w:val="0"/>
        <w:spacing w:line="276" w:lineRule="auto"/>
        <w:ind w:firstLine="960" w:firstLineChars="4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DED">
      <w:pPr>
        <w:pStyle w:val="2"/>
        <w:spacing w:before="0" w:after="0"/>
        <w:ind w:firstLine="605"/>
        <w:rPr>
          <w:rFonts w:ascii="宋体" w:hAnsi="宋体" w:eastAsia="宋体"/>
          <w:color w:val="000000" w:themeColor="text1"/>
          <w:highlight w:val="none"/>
          <w14:textFill>
            <w14:solidFill>
              <w14:schemeClr w14:val="tx1"/>
            </w14:solidFill>
          </w14:textFill>
        </w:rPr>
      </w:pPr>
    </w:p>
    <w:p w14:paraId="53475DEE">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3475DEF">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附件9</w:t>
      </w:r>
    </w:p>
    <w:p w14:paraId="53475DF0">
      <w:pPr>
        <w:tabs>
          <w:tab w:val="left" w:pos="5387"/>
        </w:tabs>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施工组织设计</w:t>
      </w:r>
    </w:p>
    <w:p w14:paraId="53475D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53475D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53475DF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3475DF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53475DF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3475D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53475D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53475D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53475DF9">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3475DF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34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475DF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3475DF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53475DF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53475DF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53475DF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53475E0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3475E0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3475E0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53475E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3475E0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53475E0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53475E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53475E0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53475E0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53475E0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75E0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5347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0C">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0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0E">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0F">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10">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11">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2">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13">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4">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15">
            <w:pPr>
              <w:spacing w:line="360" w:lineRule="auto"/>
              <w:rPr>
                <w:rFonts w:ascii="宋体" w:hAnsi="宋体" w:cs="宋体"/>
                <w:color w:val="000000" w:themeColor="text1"/>
                <w:sz w:val="24"/>
                <w:highlight w:val="none"/>
                <w14:textFill>
                  <w14:solidFill>
                    <w14:schemeClr w14:val="tx1"/>
                  </w14:solidFill>
                </w14:textFill>
              </w:rPr>
            </w:pPr>
          </w:p>
        </w:tc>
      </w:tr>
      <w:tr w14:paraId="5347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17">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18">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19">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1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1B">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1C">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D">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1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1F">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20">
            <w:pPr>
              <w:spacing w:line="360" w:lineRule="auto"/>
              <w:rPr>
                <w:rFonts w:ascii="宋体" w:hAnsi="宋体" w:cs="宋体"/>
                <w:color w:val="000000" w:themeColor="text1"/>
                <w:sz w:val="24"/>
                <w:highlight w:val="none"/>
                <w14:textFill>
                  <w14:solidFill>
                    <w14:schemeClr w14:val="tx1"/>
                  </w14:solidFill>
                </w14:textFill>
              </w:rPr>
            </w:pPr>
          </w:p>
        </w:tc>
      </w:tr>
      <w:tr w14:paraId="534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2">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23">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2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25">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26">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27">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2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29">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2A">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2B">
            <w:pPr>
              <w:spacing w:line="360" w:lineRule="auto"/>
              <w:rPr>
                <w:rFonts w:ascii="宋体" w:hAnsi="宋体" w:cs="宋体"/>
                <w:color w:val="000000" w:themeColor="text1"/>
                <w:sz w:val="24"/>
                <w:highlight w:val="none"/>
                <w14:textFill>
                  <w14:solidFill>
                    <w14:schemeClr w14:val="tx1"/>
                  </w14:solidFill>
                </w14:textFill>
              </w:rPr>
            </w:pPr>
          </w:p>
        </w:tc>
      </w:tr>
      <w:tr w14:paraId="5347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3475E2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3475E2E">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2F">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3475E30">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475E31">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3475E32">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3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3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3475E3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3475E36">
            <w:pPr>
              <w:spacing w:line="360" w:lineRule="auto"/>
              <w:rPr>
                <w:rFonts w:ascii="宋体" w:hAnsi="宋体" w:cs="宋体"/>
                <w:color w:val="000000" w:themeColor="text1"/>
                <w:sz w:val="24"/>
                <w:highlight w:val="none"/>
                <w14:textFill>
                  <w14:solidFill>
                    <w14:schemeClr w14:val="tx1"/>
                  </w14:solidFill>
                </w14:textFill>
              </w:rPr>
            </w:pPr>
          </w:p>
        </w:tc>
      </w:tr>
    </w:tbl>
    <w:p w14:paraId="53475E38">
      <w:pPr>
        <w:spacing w:line="360" w:lineRule="auto"/>
        <w:rPr>
          <w:rFonts w:ascii="宋体" w:hAnsi="宋体" w:cs="宋体"/>
          <w:color w:val="000000" w:themeColor="text1"/>
          <w:sz w:val="24"/>
          <w:highlight w:val="none"/>
          <w14:textFill>
            <w14:solidFill>
              <w14:schemeClr w14:val="tx1"/>
            </w14:solidFill>
          </w14:textFill>
        </w:rPr>
      </w:pPr>
    </w:p>
    <w:p w14:paraId="53475E39">
      <w:pPr>
        <w:spacing w:line="360" w:lineRule="auto"/>
        <w:rPr>
          <w:rFonts w:ascii="宋体" w:hAnsi="宋体" w:cs="宋体"/>
          <w:color w:val="000000" w:themeColor="text1"/>
          <w:sz w:val="24"/>
          <w:highlight w:val="none"/>
          <w14:textFill>
            <w14:solidFill>
              <w14:schemeClr w14:val="tx1"/>
            </w14:solidFill>
          </w14:textFill>
        </w:rPr>
      </w:pPr>
    </w:p>
    <w:p w14:paraId="53475E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5347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3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3475E3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53475E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53475E3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475E3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3475E4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3475E4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3475E4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3475E4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53475E4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53475E4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53475E4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534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4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4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4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4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4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4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5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5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5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5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5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5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5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6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6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6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6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6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6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6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3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475E7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3475E7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53475E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475E7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3475E7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3475E7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3475E7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53475E7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53475E7A">
      <w:pPr>
        <w:spacing w:line="360" w:lineRule="auto"/>
        <w:rPr>
          <w:rFonts w:ascii="宋体" w:hAnsi="宋体" w:cs="宋体"/>
          <w:color w:val="000000" w:themeColor="text1"/>
          <w:sz w:val="24"/>
          <w:highlight w:val="none"/>
          <w14:textFill>
            <w14:solidFill>
              <w14:schemeClr w14:val="tx1"/>
            </w14:solidFill>
          </w14:textFill>
        </w:rPr>
      </w:pPr>
    </w:p>
    <w:p w14:paraId="53475E7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53475E7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34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53475E7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53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0">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6">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87">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C">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8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8F">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0">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2">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8">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99">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9B">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9C">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D">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9E">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9F">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1">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2">
            <w:pPr>
              <w:spacing w:line="360" w:lineRule="auto"/>
              <w:jc w:val="center"/>
              <w:rPr>
                <w:rFonts w:ascii="宋体" w:hAnsi="宋体" w:cs="宋体"/>
                <w:color w:val="000000" w:themeColor="text1"/>
                <w:sz w:val="24"/>
                <w:highlight w:val="none"/>
                <w14:textFill>
                  <w14:solidFill>
                    <w14:schemeClr w14:val="tx1"/>
                  </w14:solidFill>
                </w14:textFill>
              </w:rPr>
            </w:pPr>
          </w:p>
        </w:tc>
      </w:tr>
      <w:tr w14:paraId="534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475EA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3475EA5">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7">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3475EA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3475EA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3475EAB">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3475EAD">
      <w:pPr>
        <w:spacing w:line="360" w:lineRule="auto"/>
        <w:rPr>
          <w:rFonts w:ascii="宋体" w:hAnsi="宋体" w:cs="宋体"/>
          <w:color w:val="000000" w:themeColor="text1"/>
          <w:sz w:val="24"/>
          <w:highlight w:val="none"/>
          <w14:textFill>
            <w14:solidFill>
              <w14:schemeClr w14:val="tx1"/>
            </w14:solidFill>
          </w14:textFill>
        </w:rPr>
      </w:pPr>
    </w:p>
    <w:p w14:paraId="53475EAE">
      <w:pPr>
        <w:spacing w:line="360" w:lineRule="auto"/>
        <w:rPr>
          <w:rFonts w:ascii="宋体" w:hAnsi="宋体" w:cs="宋体"/>
          <w:color w:val="000000" w:themeColor="text1"/>
          <w:sz w:val="24"/>
          <w:highlight w:val="none"/>
          <w14:textFill>
            <w14:solidFill>
              <w14:schemeClr w14:val="tx1"/>
            </w14:solidFill>
          </w14:textFill>
        </w:rPr>
      </w:pPr>
    </w:p>
    <w:p w14:paraId="53475EA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53475EB0">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磋商供应商应提交施工进度计划，说明按磋商文件要求的工期进行施工的各个关键日期。成交的磋商供应商还应按合同条件有关条款的要求提交详细的施工进度计划。</w:t>
      </w:r>
    </w:p>
    <w:p w14:paraId="53475EB1">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53475EB2">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53475EB3">
      <w:pPr>
        <w:spacing w:line="360" w:lineRule="auto"/>
        <w:rPr>
          <w:rFonts w:ascii="宋体" w:hAnsi="宋体" w:cs="宋体"/>
          <w:color w:val="000000" w:themeColor="text1"/>
          <w:sz w:val="24"/>
          <w:highlight w:val="none"/>
          <w14:textFill>
            <w14:solidFill>
              <w14:schemeClr w14:val="tx1"/>
            </w14:solidFill>
          </w14:textFill>
        </w:rPr>
      </w:pPr>
    </w:p>
    <w:p w14:paraId="53475EB4">
      <w:pPr>
        <w:spacing w:line="360" w:lineRule="auto"/>
        <w:rPr>
          <w:rFonts w:ascii="宋体" w:hAnsi="宋体" w:cs="宋体"/>
          <w:color w:val="000000" w:themeColor="text1"/>
          <w:sz w:val="24"/>
          <w:highlight w:val="none"/>
          <w14:textFill>
            <w14:solidFill>
              <w14:schemeClr w14:val="tx1"/>
            </w14:solidFill>
          </w14:textFill>
        </w:rPr>
      </w:pPr>
    </w:p>
    <w:p w14:paraId="53475E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53475EB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磋商供应商应递交一份施工总平面图，绘出现场临时设施布置图表并附文字说明，说明临时设施、加工车间、现场办公、设备及仓储、供电、供水、卫生、生活、道路、消防等设施的情况和布置。</w:t>
      </w:r>
    </w:p>
    <w:p w14:paraId="53475EB7">
      <w:pPr>
        <w:spacing w:line="360" w:lineRule="auto"/>
        <w:rPr>
          <w:rFonts w:ascii="宋体" w:hAnsi="宋体" w:cs="宋体"/>
          <w:color w:val="000000" w:themeColor="text1"/>
          <w:sz w:val="24"/>
          <w:highlight w:val="none"/>
          <w14:textFill>
            <w14:solidFill>
              <w14:schemeClr w14:val="tx1"/>
            </w14:solidFill>
          </w14:textFill>
        </w:rPr>
      </w:pPr>
    </w:p>
    <w:p w14:paraId="53475EB8">
      <w:pPr>
        <w:spacing w:line="360" w:lineRule="auto"/>
        <w:rPr>
          <w:rFonts w:ascii="宋体" w:hAnsi="宋体" w:cs="宋体"/>
          <w:color w:val="000000" w:themeColor="text1"/>
          <w:sz w:val="24"/>
          <w:highlight w:val="none"/>
          <w14:textFill>
            <w14:solidFill>
              <w14:schemeClr w14:val="tx1"/>
            </w14:solidFill>
          </w14:textFill>
        </w:rPr>
      </w:pPr>
    </w:p>
    <w:p w14:paraId="53475EB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34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53475EB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3475EB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475EB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3475EB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534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B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0">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C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2">
            <w:pPr>
              <w:spacing w:line="360" w:lineRule="auto"/>
              <w:rPr>
                <w:rFonts w:ascii="宋体" w:hAnsi="宋体" w:cs="宋体"/>
                <w:color w:val="000000" w:themeColor="text1"/>
                <w:sz w:val="24"/>
                <w:highlight w:val="none"/>
                <w14:textFill>
                  <w14:solidFill>
                    <w14:schemeClr w14:val="tx1"/>
                  </w14:solidFill>
                </w14:textFill>
              </w:rPr>
            </w:pPr>
          </w:p>
        </w:tc>
      </w:tr>
      <w:tr w14:paraId="534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5">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C6">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7">
            <w:pPr>
              <w:spacing w:line="360" w:lineRule="auto"/>
              <w:rPr>
                <w:rFonts w:ascii="宋体" w:hAnsi="宋体" w:cs="宋体"/>
                <w:color w:val="000000" w:themeColor="text1"/>
                <w:sz w:val="24"/>
                <w:highlight w:val="none"/>
                <w14:textFill>
                  <w14:solidFill>
                    <w14:schemeClr w14:val="tx1"/>
                  </w14:solidFill>
                </w14:textFill>
              </w:rPr>
            </w:pPr>
          </w:p>
        </w:tc>
      </w:tr>
      <w:tr w14:paraId="534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9">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A">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CB">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C">
            <w:pPr>
              <w:spacing w:line="360" w:lineRule="auto"/>
              <w:rPr>
                <w:rFonts w:ascii="宋体" w:hAnsi="宋体" w:cs="宋体"/>
                <w:color w:val="000000" w:themeColor="text1"/>
                <w:sz w:val="24"/>
                <w:highlight w:val="none"/>
                <w14:textFill>
                  <w14:solidFill>
                    <w14:schemeClr w14:val="tx1"/>
                  </w14:solidFill>
                </w14:textFill>
              </w:rPr>
            </w:pPr>
          </w:p>
        </w:tc>
      </w:tr>
      <w:tr w14:paraId="5347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3475ECE">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CF">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53475ED0">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475ED1">
            <w:pPr>
              <w:spacing w:line="360" w:lineRule="auto"/>
              <w:rPr>
                <w:rFonts w:ascii="宋体" w:hAnsi="宋体" w:cs="宋体"/>
                <w:color w:val="000000" w:themeColor="text1"/>
                <w:sz w:val="24"/>
                <w:highlight w:val="none"/>
                <w14:textFill>
                  <w14:solidFill>
                    <w14:schemeClr w14:val="tx1"/>
                  </w14:solidFill>
                </w14:textFill>
              </w:rPr>
            </w:pPr>
          </w:p>
        </w:tc>
      </w:tr>
    </w:tbl>
    <w:p w14:paraId="53475ED3">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lang w:eastAsia="en-US"/>
          <w14:textFill>
            <w14:solidFill>
              <w14:schemeClr w14:val="tx1"/>
            </w14:solidFill>
          </w14:textFill>
        </w:rPr>
      </w:pPr>
    </w:p>
    <w:p w14:paraId="53475ED4">
      <w:pPr>
        <w:spacing w:line="360" w:lineRule="auto"/>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cols w:space="720" w:num="1"/>
          <w:docGrid w:linePitch="286" w:charSpace="0"/>
        </w:sectPr>
      </w:pPr>
    </w:p>
    <w:p w14:paraId="53475ED5">
      <w:pPr>
        <w:spacing w:line="360" w:lineRule="auto"/>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53475ED6">
      <w:pPr>
        <w:spacing w:line="360" w:lineRule="auto"/>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53475ED7">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3475ED8">
      <w:pPr>
        <w:spacing w:line="360"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53475EDA">
      <w:pPr>
        <w:spacing w:line="360" w:lineRule="auto"/>
        <w:ind w:left="5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347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vAlign w:val="center"/>
          </w:tcPr>
          <w:p w14:paraId="53475EDB">
            <w:pPr>
              <w:spacing w:line="240" w:lineRule="auto"/>
              <w:rPr>
                <w:rFonts w:ascii="宋体" w:hAnsi="宋体" w:cs="宋体"/>
                <w:color w:val="000000" w:themeColor="text1"/>
                <w:sz w:val="24"/>
                <w:highlight w:val="none"/>
                <w14:textFill>
                  <w14:solidFill>
                    <w14:schemeClr w14:val="tx1"/>
                  </w14:solidFill>
                </w14:textFill>
              </w:rPr>
            </w:pPr>
          </w:p>
          <w:p w14:paraId="53475EDC">
            <w:pPr>
              <w:kinsoku w:val="0"/>
              <w:autoSpaceDE w:val="0"/>
              <w:autoSpaceDN w:val="0"/>
              <w:adjustRightInd w:val="0"/>
              <w:snapToGrid w:val="0"/>
              <w:spacing w:line="240" w:lineRule="auto"/>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vAlign w:val="center"/>
          </w:tcPr>
          <w:p w14:paraId="53475EDD">
            <w:pPr>
              <w:spacing w:line="240" w:lineRule="auto"/>
              <w:rPr>
                <w:rFonts w:ascii="宋体" w:hAnsi="宋体" w:cs="宋体"/>
                <w:color w:val="000000" w:themeColor="text1"/>
                <w:sz w:val="24"/>
                <w:highlight w:val="none"/>
                <w14:textFill>
                  <w14:solidFill>
                    <w14:schemeClr w14:val="tx1"/>
                  </w14:solidFill>
                </w14:textFill>
              </w:rPr>
            </w:pPr>
          </w:p>
          <w:p w14:paraId="53475EDE">
            <w:pPr>
              <w:kinsoku w:val="0"/>
              <w:autoSpaceDE w:val="0"/>
              <w:autoSpaceDN w:val="0"/>
              <w:adjustRightInd w:val="0"/>
              <w:snapToGrid w:val="0"/>
              <w:spacing w:line="240" w:lineRule="auto"/>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vAlign w:val="center"/>
          </w:tcPr>
          <w:p w14:paraId="53475EDF">
            <w:pPr>
              <w:kinsoku w:val="0"/>
              <w:autoSpaceDE w:val="0"/>
              <w:autoSpaceDN w:val="0"/>
              <w:adjustRightInd w:val="0"/>
              <w:snapToGrid w:val="0"/>
              <w:spacing w:line="240" w:lineRule="auto"/>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53475EE0">
            <w:pPr>
              <w:kinsoku w:val="0"/>
              <w:autoSpaceDE w:val="0"/>
              <w:autoSpaceDN w:val="0"/>
              <w:adjustRightInd w:val="0"/>
              <w:snapToGrid w:val="0"/>
              <w:spacing w:line="240" w:lineRule="auto"/>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vAlign w:val="center"/>
          </w:tcPr>
          <w:p w14:paraId="53475EE1">
            <w:pPr>
              <w:spacing w:line="240" w:lineRule="auto"/>
              <w:rPr>
                <w:rFonts w:ascii="宋体" w:hAnsi="宋体" w:cs="宋体"/>
                <w:color w:val="000000" w:themeColor="text1"/>
                <w:sz w:val="24"/>
                <w:highlight w:val="none"/>
                <w14:textFill>
                  <w14:solidFill>
                    <w14:schemeClr w14:val="tx1"/>
                  </w14:solidFill>
                </w14:textFill>
              </w:rPr>
            </w:pPr>
          </w:p>
          <w:p w14:paraId="53475EE2">
            <w:pPr>
              <w:kinsoku w:val="0"/>
              <w:autoSpaceDE w:val="0"/>
              <w:autoSpaceDN w:val="0"/>
              <w:adjustRightInd w:val="0"/>
              <w:snapToGrid w:val="0"/>
              <w:spacing w:line="240" w:lineRule="auto"/>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vAlign w:val="center"/>
          </w:tcPr>
          <w:p w14:paraId="53475EE3">
            <w:pPr>
              <w:kinsoku w:val="0"/>
              <w:autoSpaceDE w:val="0"/>
              <w:autoSpaceDN w:val="0"/>
              <w:adjustRightInd w:val="0"/>
              <w:snapToGrid w:val="0"/>
              <w:spacing w:line="240" w:lineRule="auto"/>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vAlign w:val="center"/>
          </w:tcPr>
          <w:p w14:paraId="53475EE4">
            <w:pPr>
              <w:kinsoku w:val="0"/>
              <w:autoSpaceDE w:val="0"/>
              <w:autoSpaceDN w:val="0"/>
              <w:adjustRightInd w:val="0"/>
              <w:snapToGrid w:val="0"/>
              <w:spacing w:line="240" w:lineRule="auto"/>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5347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vAlign w:val="center"/>
          </w:tcPr>
          <w:p w14:paraId="53475EE6">
            <w:pPr>
              <w:spacing w:line="240" w:lineRule="auto"/>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vAlign w:val="center"/>
          </w:tcPr>
          <w:p w14:paraId="53475EE7">
            <w:pPr>
              <w:spacing w:line="240" w:lineRule="auto"/>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vAlign w:val="center"/>
          </w:tcPr>
          <w:p w14:paraId="53475EE8">
            <w:pPr>
              <w:spacing w:line="240" w:lineRule="auto"/>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vAlign w:val="center"/>
          </w:tcPr>
          <w:p w14:paraId="53475EE9">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EEA">
            <w:pPr>
              <w:kinsoku w:val="0"/>
              <w:autoSpaceDE w:val="0"/>
              <w:autoSpaceDN w:val="0"/>
              <w:adjustRightInd w:val="0"/>
              <w:snapToGrid w:val="0"/>
              <w:spacing w:line="240" w:lineRule="auto"/>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vAlign w:val="center"/>
          </w:tcPr>
          <w:p w14:paraId="53475EEB">
            <w:pPr>
              <w:kinsoku w:val="0"/>
              <w:autoSpaceDE w:val="0"/>
              <w:autoSpaceDN w:val="0"/>
              <w:adjustRightInd w:val="0"/>
              <w:snapToGrid w:val="0"/>
              <w:spacing w:line="240" w:lineRule="auto"/>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vAlign w:val="center"/>
          </w:tcPr>
          <w:p w14:paraId="53475EEC">
            <w:pPr>
              <w:kinsoku w:val="0"/>
              <w:autoSpaceDE w:val="0"/>
              <w:autoSpaceDN w:val="0"/>
              <w:adjustRightInd w:val="0"/>
              <w:snapToGrid w:val="0"/>
              <w:spacing w:line="240" w:lineRule="auto"/>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vAlign w:val="center"/>
          </w:tcPr>
          <w:p w14:paraId="53475EED">
            <w:pPr>
              <w:kinsoku w:val="0"/>
              <w:autoSpaceDE w:val="0"/>
              <w:autoSpaceDN w:val="0"/>
              <w:adjustRightInd w:val="0"/>
              <w:snapToGrid w:val="0"/>
              <w:spacing w:line="240" w:lineRule="auto"/>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vAlign w:val="center"/>
          </w:tcPr>
          <w:p w14:paraId="53475EEE">
            <w:pPr>
              <w:kinsoku w:val="0"/>
              <w:autoSpaceDE w:val="0"/>
              <w:autoSpaceDN w:val="0"/>
              <w:adjustRightInd w:val="0"/>
              <w:snapToGrid w:val="0"/>
              <w:spacing w:line="240" w:lineRule="auto"/>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vAlign w:val="center"/>
          </w:tcPr>
          <w:p w14:paraId="53475EEF">
            <w:pPr>
              <w:kinsoku w:val="0"/>
              <w:autoSpaceDE w:val="0"/>
              <w:autoSpaceDN w:val="0"/>
              <w:adjustRightInd w:val="0"/>
              <w:snapToGrid w:val="0"/>
              <w:spacing w:line="240" w:lineRule="auto"/>
              <w:ind w:left="439" w:right="213" w:hanging="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5347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EF1">
            <w:pPr>
              <w:kinsoku w:val="0"/>
              <w:autoSpaceDE w:val="0"/>
              <w:autoSpaceDN w:val="0"/>
              <w:adjustRightInd w:val="0"/>
              <w:snapToGrid w:val="0"/>
              <w:spacing w:line="240"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53475EF2">
            <w:pPr>
              <w:kinsoku w:val="0"/>
              <w:autoSpaceDE w:val="0"/>
              <w:autoSpaceDN w:val="0"/>
              <w:adjustRightInd w:val="0"/>
              <w:snapToGrid w:val="0"/>
              <w:spacing w:line="24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vAlign w:val="center"/>
          </w:tcPr>
          <w:p w14:paraId="53475EF3">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EF4">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EF5">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EF6">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EF7">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EF8">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EF9">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EFA">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EFB">
            <w:pPr>
              <w:spacing w:line="240" w:lineRule="auto"/>
              <w:rPr>
                <w:rFonts w:ascii="宋体" w:hAnsi="宋体" w:cs="宋体"/>
                <w:color w:val="000000" w:themeColor="text1"/>
                <w:sz w:val="24"/>
                <w:highlight w:val="none"/>
                <w14:textFill>
                  <w14:solidFill>
                    <w14:schemeClr w14:val="tx1"/>
                  </w14:solidFill>
                </w14:textFill>
              </w:rPr>
            </w:pPr>
          </w:p>
        </w:tc>
      </w:tr>
      <w:tr w14:paraId="534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vAlign w:val="center"/>
          </w:tcPr>
          <w:p w14:paraId="53475EFD">
            <w:pPr>
              <w:kinsoku w:val="0"/>
              <w:autoSpaceDE w:val="0"/>
              <w:autoSpaceDN w:val="0"/>
              <w:adjustRightInd w:val="0"/>
              <w:snapToGrid w:val="0"/>
              <w:spacing w:line="240" w:lineRule="auto"/>
              <w:ind w:left="118" w:right="179" w:hanging="6"/>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vAlign w:val="center"/>
          </w:tcPr>
          <w:p w14:paraId="53475EFE">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EFF">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00">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1">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02">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3">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04">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05">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06">
            <w:pPr>
              <w:spacing w:line="240" w:lineRule="auto"/>
              <w:rPr>
                <w:rFonts w:ascii="宋体" w:hAnsi="宋体" w:cs="宋体"/>
                <w:color w:val="000000" w:themeColor="text1"/>
                <w:sz w:val="24"/>
                <w:highlight w:val="none"/>
                <w14:textFill>
                  <w14:solidFill>
                    <w14:schemeClr w14:val="tx1"/>
                  </w14:solidFill>
                </w14:textFill>
              </w:rPr>
            </w:pPr>
          </w:p>
        </w:tc>
      </w:tr>
      <w:tr w14:paraId="534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vAlign w:val="center"/>
          </w:tcPr>
          <w:p w14:paraId="53475F08">
            <w:pPr>
              <w:kinsoku w:val="0"/>
              <w:autoSpaceDE w:val="0"/>
              <w:autoSpaceDN w:val="0"/>
              <w:adjustRightInd w:val="0"/>
              <w:snapToGrid w:val="0"/>
              <w:spacing w:line="240" w:lineRule="auto"/>
              <w:ind w:left="123" w:right="129" w:hanging="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spacing w:val="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vAlign w:val="center"/>
          </w:tcPr>
          <w:p w14:paraId="53475F09">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0A">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0B">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C">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0D">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0E">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0F">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10">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11">
            <w:pPr>
              <w:spacing w:line="240" w:lineRule="auto"/>
              <w:rPr>
                <w:rFonts w:ascii="宋体" w:hAnsi="宋体" w:cs="宋体"/>
                <w:color w:val="000000" w:themeColor="text1"/>
                <w:sz w:val="24"/>
                <w:highlight w:val="none"/>
                <w14:textFill>
                  <w14:solidFill>
                    <w14:schemeClr w14:val="tx1"/>
                  </w14:solidFill>
                </w14:textFill>
              </w:rPr>
            </w:pPr>
          </w:p>
        </w:tc>
      </w:tr>
      <w:tr w14:paraId="5347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3">
            <w:pPr>
              <w:kinsoku w:val="0"/>
              <w:autoSpaceDE w:val="0"/>
              <w:autoSpaceDN w:val="0"/>
              <w:adjustRightInd w:val="0"/>
              <w:snapToGrid w:val="0"/>
              <w:spacing w:line="240" w:lineRule="auto"/>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3475F14">
            <w:pPr>
              <w:kinsoku w:val="0"/>
              <w:autoSpaceDE w:val="0"/>
              <w:autoSpaceDN w:val="0"/>
              <w:adjustRightInd w:val="0"/>
              <w:snapToGrid w:val="0"/>
              <w:spacing w:line="240" w:lineRule="auto"/>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vAlign w:val="center"/>
          </w:tcPr>
          <w:p w14:paraId="53475F15">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16">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17">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18">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19">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1A">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1B">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1C">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1D">
            <w:pPr>
              <w:spacing w:line="240" w:lineRule="auto"/>
              <w:rPr>
                <w:rFonts w:ascii="宋体" w:hAnsi="宋体" w:cs="宋体"/>
                <w:color w:val="000000" w:themeColor="text1"/>
                <w:sz w:val="24"/>
                <w:highlight w:val="none"/>
                <w14:textFill>
                  <w14:solidFill>
                    <w14:schemeClr w14:val="tx1"/>
                  </w14:solidFill>
                </w14:textFill>
              </w:rPr>
            </w:pPr>
          </w:p>
        </w:tc>
      </w:tr>
      <w:tr w14:paraId="5347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1F">
            <w:pPr>
              <w:kinsoku w:val="0"/>
              <w:autoSpaceDE w:val="0"/>
              <w:autoSpaceDN w:val="0"/>
              <w:adjustRightInd w:val="0"/>
              <w:snapToGrid w:val="0"/>
              <w:spacing w:line="240" w:lineRule="auto"/>
              <w:ind w:left="123" w:right="129" w:hanging="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vAlign w:val="center"/>
          </w:tcPr>
          <w:p w14:paraId="53475F20">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21">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22">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23">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24">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25">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26">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27">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28">
            <w:pPr>
              <w:spacing w:line="240" w:lineRule="auto"/>
              <w:rPr>
                <w:rFonts w:ascii="宋体" w:hAnsi="宋体" w:cs="宋体"/>
                <w:color w:val="000000" w:themeColor="text1"/>
                <w:sz w:val="24"/>
                <w:highlight w:val="none"/>
                <w14:textFill>
                  <w14:solidFill>
                    <w14:schemeClr w14:val="tx1"/>
                  </w14:solidFill>
                </w14:textFill>
              </w:rPr>
            </w:pPr>
          </w:p>
        </w:tc>
      </w:tr>
      <w:tr w14:paraId="5347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2A">
            <w:pPr>
              <w:kinsoku w:val="0"/>
              <w:autoSpaceDE w:val="0"/>
              <w:autoSpaceDN w:val="0"/>
              <w:adjustRightInd w:val="0"/>
              <w:snapToGrid w:val="0"/>
              <w:spacing w:line="240" w:lineRule="auto"/>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tc>
        <w:tc>
          <w:tcPr>
            <w:tcW w:w="669" w:type="dxa"/>
            <w:vAlign w:val="center"/>
          </w:tcPr>
          <w:p w14:paraId="53475F2B">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2C">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2D">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2E">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2F">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30">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31">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32">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33">
            <w:pPr>
              <w:spacing w:line="240" w:lineRule="auto"/>
              <w:rPr>
                <w:rFonts w:ascii="宋体" w:hAnsi="宋体" w:cs="宋体"/>
                <w:color w:val="000000" w:themeColor="text1"/>
                <w:sz w:val="24"/>
                <w:highlight w:val="none"/>
                <w14:textFill>
                  <w14:solidFill>
                    <w14:schemeClr w14:val="tx1"/>
                  </w14:solidFill>
                </w14:textFill>
              </w:rPr>
            </w:pPr>
          </w:p>
        </w:tc>
      </w:tr>
      <w:tr w14:paraId="5347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vAlign w:val="center"/>
          </w:tcPr>
          <w:p w14:paraId="53475F35">
            <w:pPr>
              <w:spacing w:line="240" w:lineRule="auto"/>
              <w:rPr>
                <w:rFonts w:ascii="宋体" w:hAnsi="宋体" w:cs="宋体"/>
                <w:color w:val="000000" w:themeColor="text1"/>
                <w:sz w:val="24"/>
                <w:highlight w:val="none"/>
                <w14:textFill>
                  <w14:solidFill>
                    <w14:schemeClr w14:val="tx1"/>
                  </w14:solidFill>
                </w14:textFill>
              </w:rPr>
            </w:pPr>
          </w:p>
        </w:tc>
        <w:tc>
          <w:tcPr>
            <w:tcW w:w="669" w:type="dxa"/>
            <w:vAlign w:val="center"/>
          </w:tcPr>
          <w:p w14:paraId="53475F36">
            <w:pPr>
              <w:spacing w:line="240" w:lineRule="auto"/>
              <w:rPr>
                <w:rFonts w:ascii="宋体" w:hAnsi="宋体" w:cs="宋体"/>
                <w:color w:val="000000" w:themeColor="text1"/>
                <w:sz w:val="24"/>
                <w:highlight w:val="none"/>
                <w14:textFill>
                  <w14:solidFill>
                    <w14:schemeClr w14:val="tx1"/>
                  </w14:solidFill>
                </w14:textFill>
              </w:rPr>
            </w:pPr>
          </w:p>
        </w:tc>
        <w:tc>
          <w:tcPr>
            <w:tcW w:w="827" w:type="dxa"/>
            <w:vAlign w:val="center"/>
          </w:tcPr>
          <w:p w14:paraId="53475F37">
            <w:pPr>
              <w:spacing w:line="240" w:lineRule="auto"/>
              <w:rPr>
                <w:rFonts w:ascii="宋体" w:hAnsi="宋体" w:cs="宋体"/>
                <w:color w:val="000000" w:themeColor="text1"/>
                <w:sz w:val="24"/>
                <w:highlight w:val="none"/>
                <w14:textFill>
                  <w14:solidFill>
                    <w14:schemeClr w14:val="tx1"/>
                  </w14:solidFill>
                </w14:textFill>
              </w:rPr>
            </w:pPr>
          </w:p>
        </w:tc>
        <w:tc>
          <w:tcPr>
            <w:tcW w:w="815" w:type="dxa"/>
            <w:vAlign w:val="center"/>
          </w:tcPr>
          <w:p w14:paraId="53475F38">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39">
            <w:pPr>
              <w:spacing w:line="240" w:lineRule="auto"/>
              <w:rPr>
                <w:rFonts w:ascii="宋体" w:hAnsi="宋体" w:cs="宋体"/>
                <w:color w:val="000000" w:themeColor="text1"/>
                <w:sz w:val="24"/>
                <w:highlight w:val="none"/>
                <w14:textFill>
                  <w14:solidFill>
                    <w14:schemeClr w14:val="tx1"/>
                  </w14:solidFill>
                </w14:textFill>
              </w:rPr>
            </w:pPr>
          </w:p>
        </w:tc>
        <w:tc>
          <w:tcPr>
            <w:tcW w:w="1149" w:type="dxa"/>
            <w:vAlign w:val="center"/>
          </w:tcPr>
          <w:p w14:paraId="53475F3A">
            <w:pPr>
              <w:spacing w:line="240" w:lineRule="auto"/>
              <w:rPr>
                <w:rFonts w:ascii="宋体" w:hAnsi="宋体" w:cs="宋体"/>
                <w:color w:val="000000" w:themeColor="text1"/>
                <w:sz w:val="24"/>
                <w:highlight w:val="none"/>
                <w14:textFill>
                  <w14:solidFill>
                    <w14:schemeClr w14:val="tx1"/>
                  </w14:solidFill>
                </w14:textFill>
              </w:rPr>
            </w:pPr>
          </w:p>
        </w:tc>
        <w:tc>
          <w:tcPr>
            <w:tcW w:w="1147" w:type="dxa"/>
            <w:vAlign w:val="center"/>
          </w:tcPr>
          <w:p w14:paraId="53475F3B">
            <w:pPr>
              <w:spacing w:line="240" w:lineRule="auto"/>
              <w:rPr>
                <w:rFonts w:ascii="宋体" w:hAnsi="宋体" w:cs="宋体"/>
                <w:color w:val="000000" w:themeColor="text1"/>
                <w:sz w:val="24"/>
                <w:highlight w:val="none"/>
                <w14:textFill>
                  <w14:solidFill>
                    <w14:schemeClr w14:val="tx1"/>
                  </w14:solidFill>
                </w14:textFill>
              </w:rPr>
            </w:pPr>
          </w:p>
        </w:tc>
        <w:tc>
          <w:tcPr>
            <w:tcW w:w="744" w:type="dxa"/>
            <w:vAlign w:val="center"/>
          </w:tcPr>
          <w:p w14:paraId="53475F3C">
            <w:pPr>
              <w:spacing w:line="240" w:lineRule="auto"/>
              <w:rPr>
                <w:rFonts w:ascii="宋体" w:hAnsi="宋体" w:cs="宋体"/>
                <w:color w:val="000000" w:themeColor="text1"/>
                <w:sz w:val="24"/>
                <w:highlight w:val="none"/>
                <w14:textFill>
                  <w14:solidFill>
                    <w14:schemeClr w14:val="tx1"/>
                  </w14:solidFill>
                </w14:textFill>
              </w:rPr>
            </w:pPr>
          </w:p>
        </w:tc>
        <w:tc>
          <w:tcPr>
            <w:tcW w:w="1166" w:type="dxa"/>
            <w:vAlign w:val="center"/>
          </w:tcPr>
          <w:p w14:paraId="53475F3D">
            <w:pPr>
              <w:spacing w:line="240" w:lineRule="auto"/>
              <w:rPr>
                <w:rFonts w:ascii="宋体" w:hAnsi="宋体" w:cs="宋体"/>
                <w:color w:val="000000" w:themeColor="text1"/>
                <w:sz w:val="24"/>
                <w:highlight w:val="none"/>
                <w14:textFill>
                  <w14:solidFill>
                    <w14:schemeClr w14:val="tx1"/>
                  </w14:solidFill>
                </w14:textFill>
              </w:rPr>
            </w:pPr>
          </w:p>
        </w:tc>
        <w:tc>
          <w:tcPr>
            <w:tcW w:w="1281" w:type="dxa"/>
            <w:vAlign w:val="center"/>
          </w:tcPr>
          <w:p w14:paraId="53475F3E">
            <w:pPr>
              <w:spacing w:line="240" w:lineRule="auto"/>
              <w:rPr>
                <w:rFonts w:ascii="宋体" w:hAnsi="宋体" w:cs="宋体"/>
                <w:color w:val="000000" w:themeColor="text1"/>
                <w:sz w:val="24"/>
                <w:highlight w:val="none"/>
                <w14:textFill>
                  <w14:solidFill>
                    <w14:schemeClr w14:val="tx1"/>
                  </w14:solidFill>
                </w14:textFill>
              </w:rPr>
            </w:pPr>
          </w:p>
        </w:tc>
      </w:tr>
      <w:tr w14:paraId="5347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vAlign w:val="center"/>
          </w:tcPr>
          <w:p w14:paraId="53475F40">
            <w:pPr>
              <w:kinsoku w:val="0"/>
              <w:autoSpaceDE w:val="0"/>
              <w:autoSpaceDN w:val="0"/>
              <w:adjustRightInd w:val="0"/>
              <w:snapToGrid w:val="0"/>
              <w:spacing w:line="240" w:lineRule="auto"/>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53475F42">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53475F43">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53475F44">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53475F46">
      <w:pPr>
        <w:kinsoku w:val="0"/>
        <w:autoSpaceDE w:val="0"/>
        <w:autoSpaceDN w:val="0"/>
        <w:adjustRightInd w:val="0"/>
        <w:snapToGrid w:val="0"/>
        <w:spacing w:line="24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3475F47">
      <w:pPr>
        <w:adjustRightInd w:val="0"/>
        <w:snapToGrid w:val="0"/>
        <w:spacing w:line="24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5F48">
      <w:pPr>
        <w:adjustRightInd w:val="0"/>
        <w:snapToGrid w:val="0"/>
        <w:spacing w:line="24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5F49">
      <w:pPr>
        <w:spacing w:line="24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5F4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53475F4B">
      <w:pPr>
        <w:spacing w:line="360" w:lineRule="auto"/>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53475F4D">
      <w:pPr>
        <w:spacing w:line="360" w:lineRule="auto"/>
        <w:ind w:left="4027"/>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5347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tcPr>
          <w:p w14:paraId="53475F4E">
            <w:pPr>
              <w:keepNext w:val="0"/>
              <w:keepLines w:val="0"/>
              <w:pageBreakBefore w:val="0"/>
              <w:widowControl w:val="0"/>
              <w:kinsoku w:val="0"/>
              <w:wordWrap/>
              <w:overflowPunct/>
              <w:topLinePunct w:val="0"/>
              <w:autoSpaceDE w:val="0"/>
              <w:autoSpaceDN w:val="0"/>
              <w:bidi w:val="0"/>
              <w:adjustRightInd w:val="0"/>
              <w:snapToGrid w:val="0"/>
              <w:spacing w:line="240" w:lineRule="auto"/>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291" w:type="dxa"/>
            <w:gridSpan w:val="4"/>
          </w:tcPr>
          <w:p w14:paraId="53475F4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894" w:type="dxa"/>
            <w:gridSpan w:val="3"/>
          </w:tcPr>
          <w:p w14:paraId="53475F50">
            <w:pPr>
              <w:keepNext w:val="0"/>
              <w:keepLines w:val="0"/>
              <w:pageBreakBefore w:val="0"/>
              <w:widowControl w:val="0"/>
              <w:kinsoku w:val="0"/>
              <w:wordWrap/>
              <w:overflowPunct/>
              <w:topLinePunct w:val="0"/>
              <w:autoSpaceDE w:val="0"/>
              <w:autoSpaceDN w:val="0"/>
              <w:bidi w:val="0"/>
              <w:adjustRightInd w:val="0"/>
              <w:snapToGrid w:val="0"/>
              <w:spacing w:line="240" w:lineRule="auto"/>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tcPr>
          <w:p w14:paraId="53475F5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134" w:type="dxa"/>
          </w:tcPr>
          <w:p w14:paraId="53475F52">
            <w:pPr>
              <w:keepNext w:val="0"/>
              <w:keepLines w:val="0"/>
              <w:pageBreakBefore w:val="0"/>
              <w:widowControl w:val="0"/>
              <w:kinsoku w:val="0"/>
              <w:wordWrap/>
              <w:overflowPunct/>
              <w:topLinePunct w:val="0"/>
              <w:autoSpaceDE w:val="0"/>
              <w:autoSpaceDN w:val="0"/>
              <w:bidi w:val="0"/>
              <w:adjustRightInd w:val="0"/>
              <w:snapToGrid w:val="0"/>
              <w:spacing w:line="240" w:lineRule="auto"/>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tcPr>
          <w:p w14:paraId="53475F5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5">
            <w:pPr>
              <w:keepNext w:val="0"/>
              <w:keepLines w:val="0"/>
              <w:pageBreakBefore w:val="0"/>
              <w:widowControl w:val="0"/>
              <w:kinsoku w:val="0"/>
              <w:wordWrap/>
              <w:overflowPunct/>
              <w:topLinePunct w:val="0"/>
              <w:autoSpaceDE w:val="0"/>
              <w:autoSpaceDN w:val="0"/>
              <w:bidi w:val="0"/>
              <w:adjustRightInd w:val="0"/>
              <w:snapToGrid w:val="0"/>
              <w:spacing w:line="240" w:lineRule="auto"/>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291" w:type="dxa"/>
            <w:gridSpan w:val="4"/>
          </w:tcPr>
          <w:p w14:paraId="53475F56">
            <w:pPr>
              <w:keepNext w:val="0"/>
              <w:keepLines w:val="0"/>
              <w:pageBreakBefore w:val="0"/>
              <w:widowControl w:val="0"/>
              <w:kinsoku w:val="0"/>
              <w:wordWrap/>
              <w:overflowPunct/>
              <w:topLinePunct w:val="0"/>
              <w:autoSpaceDE w:val="0"/>
              <w:autoSpaceDN w:val="0"/>
              <w:bidi w:val="0"/>
              <w:adjustRightInd w:val="0"/>
              <w:snapToGrid w:val="0"/>
              <w:spacing w:line="240" w:lineRule="auto"/>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tcPr>
          <w:p w14:paraId="53475F57">
            <w:pPr>
              <w:keepNext w:val="0"/>
              <w:keepLines w:val="0"/>
              <w:pageBreakBefore w:val="0"/>
              <w:widowControl w:val="0"/>
              <w:kinsoku w:val="0"/>
              <w:wordWrap/>
              <w:overflowPunct/>
              <w:topLinePunct w:val="0"/>
              <w:autoSpaceDE w:val="0"/>
              <w:autoSpaceDN w:val="0"/>
              <w:bidi w:val="0"/>
              <w:adjustRightInd w:val="0"/>
              <w:snapToGrid w:val="0"/>
              <w:spacing w:line="240" w:lineRule="auto"/>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tcPr>
          <w:p w14:paraId="53475F5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134" w:type="dxa"/>
          </w:tcPr>
          <w:p w14:paraId="53475F59">
            <w:pPr>
              <w:keepNext w:val="0"/>
              <w:keepLines w:val="0"/>
              <w:pageBreakBefore w:val="0"/>
              <w:widowControl w:val="0"/>
              <w:kinsoku w:val="0"/>
              <w:wordWrap/>
              <w:overflowPunct/>
              <w:topLinePunct w:val="0"/>
              <w:autoSpaceDE w:val="0"/>
              <w:autoSpaceDN w:val="0"/>
              <w:bidi w:val="0"/>
              <w:adjustRightInd w:val="0"/>
              <w:snapToGrid w:val="0"/>
              <w:spacing w:line="240" w:lineRule="auto"/>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tcPr>
          <w:p w14:paraId="53475F5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5C">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从业开始 时间</w:t>
            </w:r>
          </w:p>
        </w:tc>
        <w:tc>
          <w:tcPr>
            <w:tcW w:w="2291" w:type="dxa"/>
            <w:gridSpan w:val="4"/>
          </w:tcPr>
          <w:p w14:paraId="53475F5D">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894" w:type="dxa"/>
            <w:gridSpan w:val="3"/>
          </w:tcPr>
          <w:p w14:paraId="53475F5E">
            <w:pPr>
              <w:keepNext w:val="0"/>
              <w:keepLines w:val="0"/>
              <w:pageBreakBefore w:val="0"/>
              <w:widowControl w:val="0"/>
              <w:kinsoku w:val="0"/>
              <w:wordWrap/>
              <w:overflowPunct/>
              <w:topLinePunct w:val="0"/>
              <w:autoSpaceDE w:val="0"/>
              <w:autoSpaceDN w:val="0"/>
              <w:bidi w:val="0"/>
              <w:adjustRightInd w:val="0"/>
              <w:snapToGrid w:val="0"/>
              <w:spacing w:line="240" w:lineRule="auto"/>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tcPr>
          <w:p w14:paraId="53475F5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134" w:type="dxa"/>
          </w:tcPr>
          <w:p w14:paraId="53475F60">
            <w:pPr>
              <w:keepNext w:val="0"/>
              <w:keepLines w:val="0"/>
              <w:pageBreakBefore w:val="0"/>
              <w:widowControl w:val="0"/>
              <w:kinsoku w:val="0"/>
              <w:wordWrap/>
              <w:overflowPunct/>
              <w:topLinePunct w:val="0"/>
              <w:autoSpaceDE w:val="0"/>
              <w:autoSpaceDN w:val="0"/>
              <w:bidi w:val="0"/>
              <w:adjustRightInd w:val="0"/>
              <w:snapToGrid w:val="0"/>
              <w:spacing w:line="240" w:lineRule="auto"/>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tcPr>
          <w:p w14:paraId="53475F6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tcPr>
          <w:p w14:paraId="53475F63">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 经理年限</w:t>
            </w:r>
          </w:p>
        </w:tc>
        <w:tc>
          <w:tcPr>
            <w:tcW w:w="2291" w:type="dxa"/>
            <w:gridSpan w:val="4"/>
          </w:tcPr>
          <w:p w14:paraId="53475F64">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49" w:type="dxa"/>
            <w:gridSpan w:val="2"/>
          </w:tcPr>
          <w:p w14:paraId="53475F65">
            <w:pPr>
              <w:keepNext w:val="0"/>
              <w:keepLines w:val="0"/>
              <w:pageBreakBefore w:val="0"/>
              <w:widowControl w:val="0"/>
              <w:kinsoku w:val="0"/>
              <w:wordWrap/>
              <w:overflowPunct/>
              <w:topLinePunct w:val="0"/>
              <w:autoSpaceDE w:val="0"/>
              <w:autoSpaceDN w:val="0"/>
              <w:bidi w:val="0"/>
              <w:adjustRightInd w:val="0"/>
              <w:snapToGrid w:val="0"/>
              <w:spacing w:line="240" w:lineRule="auto"/>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tcPr>
          <w:p w14:paraId="53475F6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tcPr>
          <w:p w14:paraId="53475F68">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tcPr>
          <w:p w14:paraId="53475F69">
            <w:pPr>
              <w:keepNext w:val="0"/>
              <w:keepLines w:val="0"/>
              <w:pageBreakBefore w:val="0"/>
              <w:widowControl w:val="0"/>
              <w:kinsoku w:val="0"/>
              <w:wordWrap/>
              <w:overflowPunct/>
              <w:topLinePunct w:val="0"/>
              <w:autoSpaceDE w:val="0"/>
              <w:autoSpaceDN w:val="0"/>
              <w:bidi w:val="0"/>
              <w:adjustRightInd w:val="0"/>
              <w:snapToGrid w:val="0"/>
              <w:spacing w:line="240" w:lineRule="auto"/>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tcPr>
          <w:p w14:paraId="53475F6A">
            <w:pPr>
              <w:keepNext w:val="0"/>
              <w:keepLines w:val="0"/>
              <w:pageBreakBefore w:val="0"/>
              <w:widowControl w:val="0"/>
              <w:kinsoku w:val="0"/>
              <w:wordWrap/>
              <w:overflowPunct/>
              <w:topLinePunct w:val="0"/>
              <w:autoSpaceDE w:val="0"/>
              <w:autoSpaceDN w:val="0"/>
              <w:bidi w:val="0"/>
              <w:adjustRightInd w:val="0"/>
              <w:snapToGrid w:val="0"/>
              <w:spacing w:line="240"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tcPr>
          <w:p w14:paraId="53475F6B">
            <w:pPr>
              <w:keepNext w:val="0"/>
              <w:keepLines w:val="0"/>
              <w:pageBreakBefore w:val="0"/>
              <w:widowControl w:val="0"/>
              <w:kinsoku w:val="0"/>
              <w:wordWrap/>
              <w:overflowPunct/>
              <w:topLinePunct w:val="0"/>
              <w:autoSpaceDE w:val="0"/>
              <w:autoSpaceDN w:val="0"/>
              <w:bidi w:val="0"/>
              <w:adjustRightInd w:val="0"/>
              <w:snapToGrid w:val="0"/>
              <w:spacing w:line="240" w:lineRule="auto"/>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tcPr>
          <w:p w14:paraId="53475F6C">
            <w:pPr>
              <w:keepNext w:val="0"/>
              <w:keepLines w:val="0"/>
              <w:pageBreakBefore w:val="0"/>
              <w:widowControl w:val="0"/>
              <w:kinsoku w:val="0"/>
              <w:wordWrap/>
              <w:overflowPunct/>
              <w:topLinePunct w:val="0"/>
              <w:autoSpaceDE w:val="0"/>
              <w:autoSpaceDN w:val="0"/>
              <w:bidi w:val="0"/>
              <w:adjustRightInd w:val="0"/>
              <w:snapToGrid w:val="0"/>
              <w:spacing w:line="240" w:lineRule="auto"/>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tcPr>
          <w:p w14:paraId="53475F6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tcPr>
          <w:p w14:paraId="53475F6E">
            <w:pPr>
              <w:keepNext w:val="0"/>
              <w:keepLines w:val="0"/>
              <w:pageBreakBefore w:val="0"/>
              <w:widowControl w:val="0"/>
              <w:kinsoku w:val="0"/>
              <w:wordWrap/>
              <w:overflowPunct/>
              <w:topLinePunct w:val="0"/>
              <w:autoSpaceDE w:val="0"/>
              <w:autoSpaceDN w:val="0"/>
              <w:bidi w:val="0"/>
              <w:adjustRightInd w:val="0"/>
              <w:snapToGrid w:val="0"/>
              <w:spacing w:line="240" w:lineRule="auto"/>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347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tcPr>
          <w:p w14:paraId="53475F7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274" w:type="dxa"/>
            <w:gridSpan w:val="2"/>
          </w:tcPr>
          <w:p w14:paraId="53475F7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225" w:type="dxa"/>
            <w:gridSpan w:val="3"/>
          </w:tcPr>
          <w:p w14:paraId="53475F7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41" w:type="dxa"/>
          </w:tcPr>
          <w:p w14:paraId="53475F7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5F74">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5F75">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21" w:type="dxa"/>
            <w:gridSpan w:val="2"/>
          </w:tcPr>
          <w:p w14:paraId="53475F7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tcPr>
          <w:p w14:paraId="53475F78">
            <w:pPr>
              <w:keepNext w:val="0"/>
              <w:keepLines w:val="0"/>
              <w:pageBreakBefore w:val="0"/>
              <w:widowControl w:val="0"/>
              <w:kinsoku w:val="0"/>
              <w:wordWrap/>
              <w:overflowPunct/>
              <w:topLinePunct w:val="0"/>
              <w:autoSpaceDE w:val="0"/>
              <w:autoSpaceDN w:val="0"/>
              <w:bidi w:val="0"/>
              <w:adjustRightInd w:val="0"/>
              <w:snapToGrid w:val="0"/>
              <w:spacing w:line="240"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53475F79">
            <w:pPr>
              <w:keepNext w:val="0"/>
              <w:keepLines w:val="0"/>
              <w:pageBreakBefore w:val="0"/>
              <w:widowControl w:val="0"/>
              <w:kinsoku w:val="0"/>
              <w:wordWrap/>
              <w:overflowPunct/>
              <w:topLinePunct w:val="0"/>
              <w:autoSpaceDE w:val="0"/>
              <w:autoSpaceDN w:val="0"/>
              <w:bidi w:val="0"/>
              <w:adjustRightInd w:val="0"/>
              <w:snapToGrid w:val="0"/>
              <w:spacing w:line="240"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3475F7A">
            <w:pPr>
              <w:keepNext w:val="0"/>
              <w:keepLines w:val="0"/>
              <w:pageBreakBefore w:val="0"/>
              <w:widowControl w:val="0"/>
              <w:kinsoku w:val="0"/>
              <w:wordWrap/>
              <w:overflowPunct/>
              <w:topLinePunct w:val="0"/>
              <w:autoSpaceDE w:val="0"/>
              <w:autoSpaceDN w:val="0"/>
              <w:bidi w:val="0"/>
              <w:adjustRightInd w:val="0"/>
              <w:snapToGrid w:val="0"/>
              <w:spacing w:line="240"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tcPr>
          <w:p w14:paraId="53475F7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225" w:type="dxa"/>
            <w:gridSpan w:val="3"/>
          </w:tcPr>
          <w:p w14:paraId="53475F7C">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p w14:paraId="53475F7D">
            <w:pPr>
              <w:keepNext w:val="0"/>
              <w:keepLines w:val="0"/>
              <w:pageBreakBefore w:val="0"/>
              <w:widowControl w:val="0"/>
              <w:kinsoku w:val="0"/>
              <w:wordWrap/>
              <w:overflowPunct/>
              <w:topLinePunct w:val="0"/>
              <w:autoSpaceDE w:val="0"/>
              <w:autoSpaceDN w:val="0"/>
              <w:bidi w:val="0"/>
              <w:adjustRightInd w:val="0"/>
              <w:snapToGrid w:val="0"/>
              <w:spacing w:line="240" w:lineRule="auto"/>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tcPr>
          <w:p w14:paraId="53475F7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5F7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5F8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21" w:type="dxa"/>
            <w:gridSpan w:val="2"/>
          </w:tcPr>
          <w:p w14:paraId="53475F8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tcPr>
          <w:p w14:paraId="53475F83">
            <w:pPr>
              <w:keepNext w:val="0"/>
              <w:keepLines w:val="0"/>
              <w:pageBreakBefore w:val="0"/>
              <w:widowControl w:val="0"/>
              <w:kinsoku w:val="0"/>
              <w:wordWrap/>
              <w:overflowPunct/>
              <w:topLinePunct w:val="0"/>
              <w:autoSpaceDE w:val="0"/>
              <w:autoSpaceDN w:val="0"/>
              <w:bidi w:val="0"/>
              <w:adjustRightInd w:val="0"/>
              <w:snapToGrid w:val="0"/>
              <w:spacing w:line="240"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34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5F85">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548" w:type="dxa"/>
            <w:gridSpan w:val="2"/>
          </w:tcPr>
          <w:p w14:paraId="53475F86">
            <w:pPr>
              <w:keepNext w:val="0"/>
              <w:keepLines w:val="0"/>
              <w:pageBreakBefore w:val="0"/>
              <w:widowControl w:val="0"/>
              <w:kinsoku w:val="0"/>
              <w:wordWrap/>
              <w:overflowPunct/>
              <w:topLinePunct w:val="0"/>
              <w:autoSpaceDE w:val="0"/>
              <w:autoSpaceDN w:val="0"/>
              <w:bidi w:val="0"/>
              <w:adjustRightInd w:val="0"/>
              <w:snapToGrid w:val="0"/>
              <w:spacing w:line="240"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tcPr>
          <w:p w14:paraId="53475F87">
            <w:pPr>
              <w:keepNext w:val="0"/>
              <w:keepLines w:val="0"/>
              <w:pageBreakBefore w:val="0"/>
              <w:widowControl w:val="0"/>
              <w:kinsoku w:val="0"/>
              <w:wordWrap/>
              <w:overflowPunct/>
              <w:topLinePunct w:val="0"/>
              <w:autoSpaceDE w:val="0"/>
              <w:autoSpaceDN w:val="0"/>
              <w:bidi w:val="0"/>
              <w:adjustRightInd w:val="0"/>
              <w:snapToGrid w:val="0"/>
              <w:spacing w:line="240" w:lineRule="auto"/>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tcPr>
          <w:p w14:paraId="53475F88">
            <w:pPr>
              <w:keepNext w:val="0"/>
              <w:keepLines w:val="0"/>
              <w:pageBreakBefore w:val="0"/>
              <w:widowControl w:val="0"/>
              <w:kinsoku w:val="0"/>
              <w:wordWrap/>
              <w:overflowPunct/>
              <w:topLinePunct w:val="0"/>
              <w:autoSpaceDE w:val="0"/>
              <w:autoSpaceDN w:val="0"/>
              <w:bidi w:val="0"/>
              <w:adjustRightInd w:val="0"/>
              <w:snapToGrid w:val="0"/>
              <w:spacing w:line="240" w:lineRule="auto"/>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tcPr>
          <w:p w14:paraId="53475F89">
            <w:pPr>
              <w:keepNext w:val="0"/>
              <w:keepLines w:val="0"/>
              <w:pageBreakBefore w:val="0"/>
              <w:widowControl w:val="0"/>
              <w:kinsoku w:val="0"/>
              <w:wordWrap/>
              <w:overflowPunct/>
              <w:topLinePunct w:val="0"/>
              <w:autoSpaceDE w:val="0"/>
              <w:autoSpaceDN w:val="0"/>
              <w:bidi w:val="0"/>
              <w:adjustRightInd w:val="0"/>
              <w:snapToGrid w:val="0"/>
              <w:spacing w:line="240" w:lineRule="auto"/>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tcPr>
          <w:p w14:paraId="53475F8A">
            <w:pPr>
              <w:keepNext w:val="0"/>
              <w:keepLines w:val="0"/>
              <w:pageBreakBefore w:val="0"/>
              <w:widowControl w:val="0"/>
              <w:kinsoku w:val="0"/>
              <w:wordWrap/>
              <w:overflowPunct/>
              <w:topLinePunct w:val="0"/>
              <w:autoSpaceDE w:val="0"/>
              <w:autoSpaceDN w:val="0"/>
              <w:bidi w:val="0"/>
              <w:adjustRightInd w:val="0"/>
              <w:snapToGrid w:val="0"/>
              <w:spacing w:line="240" w:lineRule="auto"/>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tcPr>
          <w:p w14:paraId="53475F8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5F8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tcPr>
          <w:p w14:paraId="53475F8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8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9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9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9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9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9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tcPr>
          <w:p w14:paraId="53475F9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9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9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9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9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9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5F9D">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tcPr>
          <w:p w14:paraId="53475F9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9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A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A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A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A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5FA5">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tcPr>
          <w:p w14:paraId="53475FA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A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A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A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A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A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AD">
            <w:pPr>
              <w:keepNext w:val="0"/>
              <w:keepLines w:val="0"/>
              <w:pageBreakBefore w:val="0"/>
              <w:widowControl w:val="0"/>
              <w:kinsoku w:val="0"/>
              <w:wordWrap/>
              <w:overflowPunct/>
              <w:topLinePunct w:val="0"/>
              <w:autoSpaceDE w:val="0"/>
              <w:autoSpaceDN w:val="0"/>
              <w:bidi w:val="0"/>
              <w:adjustRightInd w:val="0"/>
              <w:snapToGrid w:val="0"/>
              <w:spacing w:line="24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tcPr>
          <w:p w14:paraId="53475FA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A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B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B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B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B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5">
            <w:pPr>
              <w:keepNext w:val="0"/>
              <w:keepLines w:val="0"/>
              <w:pageBreakBefore w:val="0"/>
              <w:widowControl w:val="0"/>
              <w:kinsoku w:val="0"/>
              <w:wordWrap/>
              <w:overflowPunct/>
              <w:topLinePunct w:val="0"/>
              <w:autoSpaceDE w:val="0"/>
              <w:autoSpaceDN w:val="0"/>
              <w:bidi w:val="0"/>
              <w:adjustRightInd w:val="0"/>
              <w:snapToGrid w:val="0"/>
              <w:spacing w:line="240"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tcPr>
          <w:p w14:paraId="53475FB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B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B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B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B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B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BD">
            <w:pPr>
              <w:keepNext w:val="0"/>
              <w:keepLines w:val="0"/>
              <w:pageBreakBefore w:val="0"/>
              <w:widowControl w:val="0"/>
              <w:kinsoku w:val="0"/>
              <w:wordWrap/>
              <w:overflowPunct/>
              <w:topLinePunct w:val="0"/>
              <w:autoSpaceDE w:val="0"/>
              <w:autoSpaceDN w:val="0"/>
              <w:bidi w:val="0"/>
              <w:adjustRightInd w:val="0"/>
              <w:snapToGrid w:val="0"/>
              <w:spacing w:line="240"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tcPr>
          <w:p w14:paraId="53475FB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B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C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C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C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C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5FC5">
            <w:pPr>
              <w:keepNext w:val="0"/>
              <w:keepLines w:val="0"/>
              <w:pageBreakBefore w:val="0"/>
              <w:widowControl w:val="0"/>
              <w:kinsoku w:val="0"/>
              <w:wordWrap/>
              <w:overflowPunct/>
              <w:topLinePunct w:val="0"/>
              <w:autoSpaceDE w:val="0"/>
              <w:autoSpaceDN w:val="0"/>
              <w:bidi w:val="0"/>
              <w:adjustRightInd w:val="0"/>
              <w:snapToGrid w:val="0"/>
              <w:spacing w:line="24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tcPr>
          <w:p w14:paraId="53475FC6">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C7">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C8">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C9">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CA">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CB">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r w14:paraId="5347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5FCD">
            <w:pPr>
              <w:keepNext w:val="0"/>
              <w:keepLines w:val="0"/>
              <w:pageBreakBefore w:val="0"/>
              <w:widowControl w:val="0"/>
              <w:kinsoku w:val="0"/>
              <w:wordWrap/>
              <w:overflowPunct/>
              <w:topLinePunct w:val="0"/>
              <w:autoSpaceDE w:val="0"/>
              <w:autoSpaceDN w:val="0"/>
              <w:bidi w:val="0"/>
              <w:adjustRightInd w:val="0"/>
              <w:snapToGrid w:val="0"/>
              <w:spacing w:line="24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tcPr>
          <w:p w14:paraId="53475FCE">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974" w:type="dxa"/>
            <w:gridSpan w:val="3"/>
          </w:tcPr>
          <w:p w14:paraId="53475FCF">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5FD0">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634" w:type="dxa"/>
            <w:gridSpan w:val="3"/>
          </w:tcPr>
          <w:p w14:paraId="53475FD1">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1483" w:type="dxa"/>
            <w:gridSpan w:val="2"/>
          </w:tcPr>
          <w:p w14:paraId="53475FD2">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5FD3">
            <w:pPr>
              <w:keepNext w:val="0"/>
              <w:keepLines w:val="0"/>
              <w:pageBreakBefore w:val="0"/>
              <w:widowControl w:val="0"/>
              <w:wordWrap/>
              <w:overflowPunct/>
              <w:topLinePunct w:val="0"/>
              <w:bidi w:val="0"/>
              <w:snapToGrid w:val="0"/>
              <w:spacing w:line="240" w:lineRule="auto"/>
              <w:rPr>
                <w:rFonts w:ascii="宋体" w:hAnsi="宋体" w:cs="宋体"/>
                <w:color w:val="000000" w:themeColor="text1"/>
                <w:sz w:val="24"/>
                <w:highlight w:val="none"/>
                <w14:textFill>
                  <w14:solidFill>
                    <w14:schemeClr w14:val="tx1"/>
                  </w14:solidFill>
                </w14:textFill>
              </w:rPr>
            </w:pPr>
          </w:p>
        </w:tc>
      </w:tr>
    </w:tbl>
    <w:p w14:paraId="53475FD5">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53475FD6">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53475FD7">
      <w:pPr>
        <w:widowControl/>
        <w:kinsoku w:val="0"/>
        <w:autoSpaceDE w:val="0"/>
        <w:autoSpaceDN w:val="0"/>
        <w:adjustRightInd w:val="0"/>
        <w:snapToGrid w:val="0"/>
        <w:spacing w:line="24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53475FD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53475FD9">
      <w:pPr>
        <w:spacing w:line="360" w:lineRule="auto"/>
        <w:ind w:left="1939"/>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sz w:val="31"/>
          <w:szCs w:val="31"/>
          <w:highlight w:val="none"/>
          <w14:textFill>
            <w14:solidFill>
              <w14:schemeClr w14:val="tx1"/>
            </w14:solidFill>
          </w14:textFill>
        </w:rPr>
        <w:t>项目技术负责人（项目总工）</w:t>
      </w:r>
      <w:r>
        <w:rPr>
          <w:rFonts w:hint="eastAsia" w:ascii="宋体" w:hAnsi="宋体" w:cs="宋体"/>
          <w:color w:val="000000" w:themeColor="text1"/>
          <w:spacing w:val="-20"/>
          <w:sz w:val="31"/>
          <w:szCs w:val="31"/>
          <w:highlight w:val="none"/>
          <w14:textFill>
            <w14:solidFill>
              <w14:schemeClr w14:val="tx1"/>
            </w14:solidFill>
          </w14:textFill>
        </w:rPr>
        <w:t xml:space="preserve"> </w:t>
      </w:r>
      <w:r>
        <w:rPr>
          <w:rFonts w:hint="eastAsia" w:ascii="宋体" w:hAnsi="宋体" w:cs="宋体"/>
          <w:color w:val="000000" w:themeColor="text1"/>
          <w:spacing w:val="3"/>
          <w:sz w:val="31"/>
          <w:szCs w:val="31"/>
          <w:highlight w:val="none"/>
          <w14:textFill>
            <w14:solidFill>
              <w14:schemeClr w14:val="tx1"/>
            </w14:solidFill>
          </w14:textFill>
        </w:rPr>
        <w:t>简历表（如有）</w:t>
      </w: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2"/>
        <w:gridCol w:w="887"/>
        <w:gridCol w:w="660"/>
        <w:gridCol w:w="328"/>
        <w:gridCol w:w="235"/>
        <w:gridCol w:w="1415"/>
        <w:gridCol w:w="242"/>
        <w:gridCol w:w="1087"/>
        <w:gridCol w:w="89"/>
        <w:gridCol w:w="408"/>
        <w:gridCol w:w="1136"/>
        <w:gridCol w:w="87"/>
        <w:gridCol w:w="1395"/>
        <w:gridCol w:w="25"/>
      </w:tblGrid>
      <w:tr w14:paraId="534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tcPr>
          <w:p w14:paraId="53475FDA">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7" w:type="dxa"/>
            <w:gridSpan w:val="4"/>
          </w:tcPr>
          <w:p w14:paraId="53475FDB">
            <w:pPr>
              <w:spacing w:line="360" w:lineRule="auto"/>
              <w:rPr>
                <w:rFonts w:ascii="宋体" w:hAnsi="宋体" w:cs="宋体"/>
                <w:color w:val="000000" w:themeColor="text1"/>
                <w:sz w:val="24"/>
                <w:highlight w:val="none"/>
                <w14:textFill>
                  <w14:solidFill>
                    <w14:schemeClr w14:val="tx1"/>
                  </w14:solidFill>
                </w14:textFill>
              </w:rPr>
            </w:pPr>
          </w:p>
        </w:tc>
        <w:tc>
          <w:tcPr>
            <w:tcW w:w="1892" w:type="dxa"/>
            <w:gridSpan w:val="3"/>
          </w:tcPr>
          <w:p w14:paraId="53475FDC">
            <w:pPr>
              <w:kinsoku w:val="0"/>
              <w:autoSpaceDE w:val="0"/>
              <w:autoSpaceDN w:val="0"/>
              <w:adjustRightInd w:val="0"/>
              <w:snapToGrid w:val="0"/>
              <w:spacing w:line="360" w:lineRule="auto"/>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tcPr>
          <w:p w14:paraId="53475FDD">
            <w:pPr>
              <w:spacing w:line="360" w:lineRule="auto"/>
              <w:rPr>
                <w:rFonts w:ascii="宋体" w:hAnsi="宋体" w:cs="宋体"/>
                <w:color w:val="000000" w:themeColor="text1"/>
                <w:sz w:val="24"/>
                <w:highlight w:val="none"/>
                <w14:textFill>
                  <w14:solidFill>
                    <w14:schemeClr w14:val="tx1"/>
                  </w14:solidFill>
                </w14:textFill>
              </w:rPr>
            </w:pPr>
          </w:p>
        </w:tc>
        <w:tc>
          <w:tcPr>
            <w:tcW w:w="1136" w:type="dxa"/>
          </w:tcPr>
          <w:p w14:paraId="53475FDE">
            <w:pPr>
              <w:kinsoku w:val="0"/>
              <w:autoSpaceDE w:val="0"/>
              <w:autoSpaceDN w:val="0"/>
              <w:adjustRightInd w:val="0"/>
              <w:snapToGrid w:val="0"/>
              <w:spacing w:line="360" w:lineRule="auto"/>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tcPr>
          <w:p w14:paraId="53475FDF">
            <w:pPr>
              <w:spacing w:line="360" w:lineRule="auto"/>
              <w:rPr>
                <w:rFonts w:ascii="宋体" w:hAnsi="宋体" w:cs="宋体"/>
                <w:color w:val="000000" w:themeColor="text1"/>
                <w:sz w:val="24"/>
                <w:highlight w:val="none"/>
                <w14:textFill>
                  <w14:solidFill>
                    <w14:schemeClr w14:val="tx1"/>
                  </w14:solidFill>
                </w14:textFill>
              </w:rPr>
            </w:pPr>
          </w:p>
        </w:tc>
      </w:tr>
      <w:tr w14:paraId="5347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1">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7" w:type="dxa"/>
            <w:gridSpan w:val="4"/>
          </w:tcPr>
          <w:p w14:paraId="53475FE2">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项目技术负责人（项目 总工）</w:t>
            </w:r>
          </w:p>
        </w:tc>
        <w:tc>
          <w:tcPr>
            <w:tcW w:w="1892" w:type="dxa"/>
            <w:gridSpan w:val="3"/>
          </w:tcPr>
          <w:p w14:paraId="53475FE3">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tcPr>
          <w:p w14:paraId="53475FE4">
            <w:pPr>
              <w:spacing w:line="360" w:lineRule="auto"/>
              <w:rPr>
                <w:rFonts w:ascii="宋体" w:hAnsi="宋体" w:cs="宋体"/>
                <w:color w:val="000000" w:themeColor="text1"/>
                <w:sz w:val="24"/>
                <w:highlight w:val="none"/>
                <w14:textFill>
                  <w14:solidFill>
                    <w14:schemeClr w14:val="tx1"/>
                  </w14:solidFill>
                </w14:textFill>
              </w:rPr>
            </w:pPr>
          </w:p>
        </w:tc>
        <w:tc>
          <w:tcPr>
            <w:tcW w:w="1136" w:type="dxa"/>
          </w:tcPr>
          <w:p w14:paraId="53475FE5">
            <w:pPr>
              <w:kinsoku w:val="0"/>
              <w:autoSpaceDE w:val="0"/>
              <w:autoSpaceDN w:val="0"/>
              <w:adjustRightInd w:val="0"/>
              <w:snapToGrid w:val="0"/>
              <w:spacing w:line="360" w:lineRule="auto"/>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tcPr>
          <w:p w14:paraId="53475FE6">
            <w:pPr>
              <w:spacing w:line="360" w:lineRule="auto"/>
              <w:rPr>
                <w:rFonts w:ascii="宋体" w:hAnsi="宋体" w:cs="宋体"/>
                <w:color w:val="000000" w:themeColor="text1"/>
                <w:sz w:val="24"/>
                <w:highlight w:val="none"/>
                <w14:textFill>
                  <w14:solidFill>
                    <w14:schemeClr w14:val="tx1"/>
                  </w14:solidFill>
                </w14:textFill>
              </w:rPr>
            </w:pPr>
          </w:p>
        </w:tc>
      </w:tr>
      <w:tr w14:paraId="5347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tcPr>
          <w:p w14:paraId="53475FE8">
            <w:pPr>
              <w:kinsoku w:val="0"/>
              <w:autoSpaceDE w:val="0"/>
              <w:autoSpaceDN w:val="0"/>
              <w:adjustRightInd w:val="0"/>
              <w:snapToGrid w:val="0"/>
              <w:spacing w:line="360" w:lineRule="auto"/>
              <w:ind w:right="1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从业始</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7" w:type="dxa"/>
            <w:gridSpan w:val="4"/>
          </w:tcPr>
          <w:p w14:paraId="53475FE9">
            <w:pPr>
              <w:spacing w:line="360" w:lineRule="auto"/>
              <w:rPr>
                <w:rFonts w:ascii="宋体" w:hAnsi="宋体" w:cs="宋体"/>
                <w:color w:val="000000" w:themeColor="text1"/>
                <w:sz w:val="24"/>
                <w:highlight w:val="none"/>
                <w14:textFill>
                  <w14:solidFill>
                    <w14:schemeClr w14:val="tx1"/>
                  </w14:solidFill>
                </w14:textFill>
              </w:rPr>
            </w:pPr>
          </w:p>
        </w:tc>
        <w:tc>
          <w:tcPr>
            <w:tcW w:w="1892" w:type="dxa"/>
            <w:gridSpan w:val="3"/>
          </w:tcPr>
          <w:p w14:paraId="53475FEA">
            <w:pPr>
              <w:kinsoku w:val="0"/>
              <w:autoSpaceDE w:val="0"/>
              <w:autoSpaceDN w:val="0"/>
              <w:adjustRightInd w:val="0"/>
              <w:snapToGrid w:val="0"/>
              <w:spacing w:line="360" w:lineRule="auto"/>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tcPr>
          <w:p w14:paraId="53475FEB">
            <w:pPr>
              <w:spacing w:line="360" w:lineRule="auto"/>
              <w:rPr>
                <w:rFonts w:ascii="宋体" w:hAnsi="宋体" w:cs="宋体"/>
                <w:color w:val="000000" w:themeColor="text1"/>
                <w:sz w:val="24"/>
                <w:highlight w:val="none"/>
                <w14:textFill>
                  <w14:solidFill>
                    <w14:schemeClr w14:val="tx1"/>
                  </w14:solidFill>
                </w14:textFill>
              </w:rPr>
            </w:pPr>
          </w:p>
        </w:tc>
        <w:tc>
          <w:tcPr>
            <w:tcW w:w="1136" w:type="dxa"/>
          </w:tcPr>
          <w:p w14:paraId="53475FEC">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tcPr>
          <w:p w14:paraId="53475FED">
            <w:pPr>
              <w:spacing w:line="360" w:lineRule="auto"/>
              <w:rPr>
                <w:rFonts w:ascii="宋体" w:hAnsi="宋体" w:cs="宋体"/>
                <w:color w:val="000000" w:themeColor="text1"/>
                <w:sz w:val="24"/>
                <w:highlight w:val="none"/>
                <w14:textFill>
                  <w14:solidFill>
                    <w14:schemeClr w14:val="tx1"/>
                  </w14:solidFill>
                </w14:textFill>
              </w:rPr>
            </w:pPr>
          </w:p>
        </w:tc>
      </w:tr>
      <w:tr w14:paraId="5347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37" w:type="dxa"/>
          </w:tcPr>
          <w:p w14:paraId="53475FEF">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spacing w:val="-2"/>
                <w:kern w:val="0"/>
                <w:sz w:val="24"/>
                <w:highlight w:val="none"/>
                <w14:textFill>
                  <w14:solidFill>
                    <w14:schemeClr w14:val="tx1"/>
                  </w14:solidFill>
                </w14:textFill>
              </w:rPr>
              <w:t>技术负责人</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067" w:type="dxa"/>
            <w:gridSpan w:val="4"/>
          </w:tcPr>
          <w:p w14:paraId="53475FF0">
            <w:pPr>
              <w:spacing w:line="360" w:lineRule="auto"/>
              <w:rPr>
                <w:rFonts w:ascii="宋体" w:hAnsi="宋体" w:cs="宋体"/>
                <w:color w:val="000000" w:themeColor="text1"/>
                <w:sz w:val="24"/>
                <w:highlight w:val="none"/>
                <w14:textFill>
                  <w14:solidFill>
                    <w14:schemeClr w14:val="tx1"/>
                  </w14:solidFill>
                </w14:textFill>
              </w:rPr>
            </w:pPr>
          </w:p>
        </w:tc>
        <w:tc>
          <w:tcPr>
            <w:tcW w:w="1650" w:type="dxa"/>
            <w:gridSpan w:val="2"/>
          </w:tcPr>
          <w:p w14:paraId="53475FF1">
            <w:pPr>
              <w:kinsoku w:val="0"/>
              <w:autoSpaceDE w:val="0"/>
              <w:autoSpaceDN w:val="0"/>
              <w:adjustRightInd w:val="0"/>
              <w:snapToGrid w:val="0"/>
              <w:spacing w:line="360" w:lineRule="auto"/>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tcPr>
          <w:p w14:paraId="53475FF2">
            <w:pPr>
              <w:spacing w:line="360" w:lineRule="auto"/>
              <w:rPr>
                <w:rFonts w:ascii="宋体" w:hAnsi="宋体" w:cs="宋体"/>
                <w:color w:val="000000" w:themeColor="text1"/>
                <w:sz w:val="24"/>
                <w:highlight w:val="none"/>
                <w14:textFill>
                  <w14:solidFill>
                    <w14:schemeClr w14:val="tx1"/>
                  </w14:solidFill>
                </w14:textFill>
              </w:rPr>
            </w:pPr>
          </w:p>
        </w:tc>
      </w:tr>
      <w:tr w14:paraId="5347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5FF4">
            <w:pPr>
              <w:kinsoku w:val="0"/>
              <w:autoSpaceDE w:val="0"/>
              <w:autoSpaceDN w:val="0"/>
              <w:adjustRightInd w:val="0"/>
              <w:snapToGrid w:val="0"/>
              <w:spacing w:line="360" w:lineRule="auto"/>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79" w:type="dxa"/>
            <w:gridSpan w:val="2"/>
          </w:tcPr>
          <w:p w14:paraId="53475FF5">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tcPr>
          <w:p w14:paraId="53475FF6">
            <w:pPr>
              <w:kinsoku w:val="0"/>
              <w:autoSpaceDE w:val="0"/>
              <w:autoSpaceDN w:val="0"/>
              <w:adjustRightInd w:val="0"/>
              <w:snapToGrid w:val="0"/>
              <w:spacing w:line="360" w:lineRule="auto"/>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tcPr>
          <w:p w14:paraId="53475FF7">
            <w:pPr>
              <w:kinsoku w:val="0"/>
              <w:autoSpaceDE w:val="0"/>
              <w:autoSpaceDN w:val="0"/>
              <w:adjustRightInd w:val="0"/>
              <w:snapToGrid w:val="0"/>
              <w:spacing w:line="360" w:lineRule="auto"/>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tcPr>
          <w:p w14:paraId="53475FF8">
            <w:pPr>
              <w:kinsoku w:val="0"/>
              <w:autoSpaceDE w:val="0"/>
              <w:autoSpaceDN w:val="0"/>
              <w:adjustRightInd w:val="0"/>
              <w:snapToGrid w:val="0"/>
              <w:spacing w:line="360" w:lineRule="auto"/>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tcPr>
          <w:p w14:paraId="53475FF9">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tcPr>
          <w:p w14:paraId="53475FFA">
            <w:pPr>
              <w:kinsoku w:val="0"/>
              <w:autoSpaceDE w:val="0"/>
              <w:autoSpaceDN w:val="0"/>
              <w:adjustRightInd w:val="0"/>
              <w:snapToGrid w:val="0"/>
              <w:spacing w:line="360" w:lineRule="auto"/>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347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437" w:type="dxa"/>
          </w:tcPr>
          <w:p w14:paraId="53475FFC">
            <w:pPr>
              <w:spacing w:line="360" w:lineRule="auto"/>
              <w:rPr>
                <w:rFonts w:ascii="宋体" w:hAnsi="宋体" w:cs="宋体"/>
                <w:color w:val="000000" w:themeColor="text1"/>
                <w:sz w:val="24"/>
                <w:highlight w:val="none"/>
                <w14:textFill>
                  <w14:solidFill>
                    <w14:schemeClr w14:val="tx1"/>
                  </w14:solidFill>
                </w14:textFill>
              </w:rPr>
            </w:pPr>
          </w:p>
        </w:tc>
        <w:tc>
          <w:tcPr>
            <w:tcW w:w="1079" w:type="dxa"/>
            <w:gridSpan w:val="2"/>
          </w:tcPr>
          <w:p w14:paraId="53475FFD">
            <w:pPr>
              <w:spacing w:line="360" w:lineRule="auto"/>
              <w:rPr>
                <w:rFonts w:ascii="宋体" w:hAnsi="宋体" w:cs="宋体"/>
                <w:color w:val="000000" w:themeColor="text1"/>
                <w:sz w:val="24"/>
                <w:highlight w:val="none"/>
                <w14:textFill>
                  <w14:solidFill>
                    <w14:schemeClr w14:val="tx1"/>
                  </w14:solidFill>
                </w14:textFill>
              </w:rPr>
            </w:pPr>
          </w:p>
        </w:tc>
        <w:tc>
          <w:tcPr>
            <w:tcW w:w="1223" w:type="dxa"/>
            <w:gridSpan w:val="3"/>
          </w:tcPr>
          <w:p w14:paraId="53475FFE">
            <w:pPr>
              <w:spacing w:line="360" w:lineRule="auto"/>
              <w:rPr>
                <w:rFonts w:ascii="宋体" w:hAnsi="宋体" w:cs="宋体"/>
                <w:color w:val="000000" w:themeColor="text1"/>
                <w:sz w:val="24"/>
                <w:highlight w:val="none"/>
                <w14:textFill>
                  <w14:solidFill>
                    <w14:schemeClr w14:val="tx1"/>
                  </w14:solidFill>
                </w14:textFill>
              </w:rPr>
            </w:pPr>
          </w:p>
        </w:tc>
        <w:tc>
          <w:tcPr>
            <w:tcW w:w="1415" w:type="dxa"/>
          </w:tcPr>
          <w:p w14:paraId="53475FFF">
            <w:pPr>
              <w:spacing w:line="36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6000">
            <w:pPr>
              <w:spacing w:line="360" w:lineRule="auto"/>
              <w:rPr>
                <w:rFonts w:ascii="宋体" w:hAnsi="宋体" w:cs="宋体"/>
                <w:color w:val="000000" w:themeColor="text1"/>
                <w:sz w:val="24"/>
                <w:highlight w:val="none"/>
                <w14:textFill>
                  <w14:solidFill>
                    <w14:schemeClr w14:val="tx1"/>
                  </w14:solidFill>
                </w14:textFill>
              </w:rPr>
            </w:pPr>
          </w:p>
        </w:tc>
        <w:tc>
          <w:tcPr>
            <w:tcW w:w="1631" w:type="dxa"/>
            <w:gridSpan w:val="3"/>
          </w:tcPr>
          <w:p w14:paraId="53476001">
            <w:pPr>
              <w:spacing w:line="360" w:lineRule="auto"/>
              <w:rPr>
                <w:rFonts w:ascii="宋体" w:hAnsi="宋体" w:cs="宋体"/>
                <w:color w:val="000000" w:themeColor="text1"/>
                <w:sz w:val="24"/>
                <w:highlight w:val="none"/>
                <w14:textFill>
                  <w14:solidFill>
                    <w14:schemeClr w14:val="tx1"/>
                  </w14:solidFill>
                </w14:textFill>
              </w:rPr>
            </w:pPr>
          </w:p>
        </w:tc>
        <w:tc>
          <w:tcPr>
            <w:tcW w:w="1420" w:type="dxa"/>
            <w:gridSpan w:val="2"/>
          </w:tcPr>
          <w:p w14:paraId="53476002">
            <w:pPr>
              <w:spacing w:line="360" w:lineRule="auto"/>
              <w:rPr>
                <w:rFonts w:ascii="宋体" w:hAnsi="宋体" w:cs="宋体"/>
                <w:color w:val="000000" w:themeColor="text1"/>
                <w:sz w:val="24"/>
                <w:highlight w:val="none"/>
                <w14:textFill>
                  <w14:solidFill>
                    <w14:schemeClr w14:val="tx1"/>
                  </w14:solidFill>
                </w14:textFill>
              </w:rPr>
            </w:pPr>
          </w:p>
        </w:tc>
      </w:tr>
      <w:tr w14:paraId="534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tcPr>
          <w:p w14:paraId="53476004">
            <w:pPr>
              <w:spacing w:line="360" w:lineRule="auto"/>
              <w:rPr>
                <w:rFonts w:ascii="宋体" w:hAnsi="宋体" w:cs="宋体"/>
                <w:color w:val="000000" w:themeColor="text1"/>
                <w:sz w:val="24"/>
                <w:highlight w:val="none"/>
                <w14:textFill>
                  <w14:solidFill>
                    <w14:schemeClr w14:val="tx1"/>
                  </w14:solidFill>
                </w14:textFill>
              </w:rPr>
            </w:pPr>
          </w:p>
        </w:tc>
        <w:tc>
          <w:tcPr>
            <w:tcW w:w="1079" w:type="dxa"/>
            <w:gridSpan w:val="2"/>
          </w:tcPr>
          <w:p w14:paraId="53476005">
            <w:pPr>
              <w:spacing w:line="360" w:lineRule="auto"/>
              <w:rPr>
                <w:rFonts w:ascii="宋体" w:hAnsi="宋体" w:cs="宋体"/>
                <w:color w:val="000000" w:themeColor="text1"/>
                <w:sz w:val="24"/>
                <w:highlight w:val="none"/>
                <w14:textFill>
                  <w14:solidFill>
                    <w14:schemeClr w14:val="tx1"/>
                  </w14:solidFill>
                </w14:textFill>
              </w:rPr>
            </w:pPr>
          </w:p>
        </w:tc>
        <w:tc>
          <w:tcPr>
            <w:tcW w:w="1223" w:type="dxa"/>
            <w:gridSpan w:val="3"/>
          </w:tcPr>
          <w:p w14:paraId="53476006">
            <w:pPr>
              <w:spacing w:line="360" w:lineRule="auto"/>
              <w:rPr>
                <w:rFonts w:ascii="宋体" w:hAnsi="宋体" w:cs="宋体"/>
                <w:color w:val="000000" w:themeColor="text1"/>
                <w:sz w:val="24"/>
                <w:highlight w:val="none"/>
                <w14:textFill>
                  <w14:solidFill>
                    <w14:schemeClr w14:val="tx1"/>
                  </w14:solidFill>
                </w14:textFill>
              </w:rPr>
            </w:pPr>
          </w:p>
        </w:tc>
        <w:tc>
          <w:tcPr>
            <w:tcW w:w="1415" w:type="dxa"/>
          </w:tcPr>
          <w:p w14:paraId="53476007">
            <w:pPr>
              <w:spacing w:line="360" w:lineRule="auto"/>
              <w:rPr>
                <w:rFonts w:ascii="宋体" w:hAnsi="宋体" w:cs="宋体"/>
                <w:color w:val="000000" w:themeColor="text1"/>
                <w:sz w:val="24"/>
                <w:highlight w:val="none"/>
                <w14:textFill>
                  <w14:solidFill>
                    <w14:schemeClr w14:val="tx1"/>
                  </w14:solidFill>
                </w14:textFill>
              </w:rPr>
            </w:pPr>
          </w:p>
        </w:tc>
        <w:tc>
          <w:tcPr>
            <w:tcW w:w="1418" w:type="dxa"/>
            <w:gridSpan w:val="3"/>
          </w:tcPr>
          <w:p w14:paraId="53476008">
            <w:pPr>
              <w:spacing w:line="360" w:lineRule="auto"/>
              <w:rPr>
                <w:rFonts w:ascii="宋体" w:hAnsi="宋体" w:cs="宋体"/>
                <w:color w:val="000000" w:themeColor="text1"/>
                <w:sz w:val="24"/>
                <w:highlight w:val="none"/>
                <w14:textFill>
                  <w14:solidFill>
                    <w14:schemeClr w14:val="tx1"/>
                  </w14:solidFill>
                </w14:textFill>
              </w:rPr>
            </w:pPr>
          </w:p>
        </w:tc>
        <w:tc>
          <w:tcPr>
            <w:tcW w:w="1631" w:type="dxa"/>
            <w:gridSpan w:val="3"/>
          </w:tcPr>
          <w:p w14:paraId="53476009">
            <w:pPr>
              <w:spacing w:line="360" w:lineRule="auto"/>
              <w:rPr>
                <w:rFonts w:ascii="宋体" w:hAnsi="宋体" w:cs="宋体"/>
                <w:color w:val="000000" w:themeColor="text1"/>
                <w:sz w:val="24"/>
                <w:highlight w:val="none"/>
                <w14:textFill>
                  <w14:solidFill>
                    <w14:schemeClr w14:val="tx1"/>
                  </w14:solidFill>
                </w14:textFill>
              </w:rPr>
            </w:pPr>
          </w:p>
        </w:tc>
        <w:tc>
          <w:tcPr>
            <w:tcW w:w="1420" w:type="dxa"/>
            <w:gridSpan w:val="2"/>
          </w:tcPr>
          <w:p w14:paraId="5347600A">
            <w:pPr>
              <w:spacing w:line="360" w:lineRule="auto"/>
              <w:rPr>
                <w:rFonts w:ascii="宋体" w:hAnsi="宋体" w:cs="宋体"/>
                <w:color w:val="000000" w:themeColor="text1"/>
                <w:sz w:val="24"/>
                <w:highlight w:val="none"/>
                <w14:textFill>
                  <w14:solidFill>
                    <w14:schemeClr w14:val="tx1"/>
                  </w14:solidFill>
                </w14:textFill>
              </w:rPr>
            </w:pPr>
          </w:p>
        </w:tc>
      </w:tr>
      <w:tr w14:paraId="534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tcPr>
          <w:p w14:paraId="5347600C">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347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0E">
            <w:pPr>
              <w:spacing w:line="360" w:lineRule="auto"/>
              <w:rPr>
                <w:rFonts w:ascii="宋体" w:hAnsi="宋体" w:cs="宋体"/>
                <w:color w:val="000000" w:themeColor="text1"/>
                <w:sz w:val="24"/>
                <w:highlight w:val="none"/>
                <w14:textFill>
                  <w14:solidFill>
                    <w14:schemeClr w14:val="tx1"/>
                  </w14:solidFill>
                </w14:textFill>
              </w:rPr>
            </w:pPr>
          </w:p>
        </w:tc>
        <w:tc>
          <w:tcPr>
            <w:tcW w:w="1547" w:type="dxa"/>
            <w:gridSpan w:val="2"/>
          </w:tcPr>
          <w:p w14:paraId="5347600F">
            <w:pPr>
              <w:kinsoku w:val="0"/>
              <w:autoSpaceDE w:val="0"/>
              <w:autoSpaceDN w:val="0"/>
              <w:adjustRightInd w:val="0"/>
              <w:snapToGrid w:val="0"/>
              <w:spacing w:line="360" w:lineRule="auto"/>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tcPr>
          <w:p w14:paraId="53476010">
            <w:pPr>
              <w:kinsoku w:val="0"/>
              <w:autoSpaceDE w:val="0"/>
              <w:autoSpaceDN w:val="0"/>
              <w:adjustRightInd w:val="0"/>
              <w:snapToGrid w:val="0"/>
              <w:spacing w:line="360" w:lineRule="auto"/>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tcPr>
          <w:p w14:paraId="53476011">
            <w:pPr>
              <w:kinsoku w:val="0"/>
              <w:autoSpaceDE w:val="0"/>
              <w:autoSpaceDN w:val="0"/>
              <w:adjustRightInd w:val="0"/>
              <w:snapToGrid w:val="0"/>
              <w:spacing w:line="360" w:lineRule="auto"/>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tcPr>
          <w:p w14:paraId="53476012">
            <w:pPr>
              <w:kinsoku w:val="0"/>
              <w:autoSpaceDE w:val="0"/>
              <w:autoSpaceDN w:val="0"/>
              <w:adjustRightInd w:val="0"/>
              <w:snapToGrid w:val="0"/>
              <w:spacing w:line="360" w:lineRule="auto"/>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tcPr>
          <w:p w14:paraId="53476013">
            <w:pPr>
              <w:kinsoku w:val="0"/>
              <w:autoSpaceDE w:val="0"/>
              <w:autoSpaceDN w:val="0"/>
              <w:adjustRightInd w:val="0"/>
              <w:snapToGrid w:val="0"/>
              <w:spacing w:line="360" w:lineRule="auto"/>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tcPr>
          <w:p w14:paraId="53476014">
            <w:pPr>
              <w:spacing w:line="360" w:lineRule="auto"/>
              <w:rPr>
                <w:rFonts w:ascii="宋体" w:hAnsi="宋体" w:cs="宋体"/>
                <w:color w:val="000000" w:themeColor="text1"/>
                <w:sz w:val="24"/>
                <w:highlight w:val="none"/>
                <w14:textFill>
                  <w14:solidFill>
                    <w14:schemeClr w14:val="tx1"/>
                  </w14:solidFill>
                </w14:textFill>
              </w:rPr>
            </w:pPr>
          </w:p>
        </w:tc>
      </w:tr>
      <w:tr w14:paraId="5347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tcPr>
          <w:p w14:paraId="53476016">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tcPr>
          <w:p w14:paraId="5347601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1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1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1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1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1C">
            <w:pPr>
              <w:spacing w:line="360" w:lineRule="auto"/>
              <w:rPr>
                <w:rFonts w:ascii="宋体" w:hAnsi="宋体" w:cs="宋体"/>
                <w:color w:val="000000" w:themeColor="text1"/>
                <w:sz w:val="24"/>
                <w:highlight w:val="none"/>
                <w14:textFill>
                  <w14:solidFill>
                    <w14:schemeClr w14:val="tx1"/>
                  </w14:solidFill>
                </w14:textFill>
              </w:rPr>
            </w:pPr>
          </w:p>
        </w:tc>
      </w:tr>
      <w:tr w14:paraId="5347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1E">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tcPr>
          <w:p w14:paraId="5347601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2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2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2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2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24">
            <w:pPr>
              <w:spacing w:line="360" w:lineRule="auto"/>
              <w:rPr>
                <w:rFonts w:ascii="宋体" w:hAnsi="宋体" w:cs="宋体"/>
                <w:color w:val="000000" w:themeColor="text1"/>
                <w:sz w:val="24"/>
                <w:highlight w:val="none"/>
                <w14:textFill>
                  <w14:solidFill>
                    <w14:schemeClr w14:val="tx1"/>
                  </w14:solidFill>
                </w14:textFill>
              </w:rPr>
            </w:pPr>
          </w:p>
        </w:tc>
      </w:tr>
      <w:tr w14:paraId="534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tcPr>
          <w:p w14:paraId="53476026">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tcPr>
          <w:p w14:paraId="5347602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2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2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2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2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2C">
            <w:pPr>
              <w:spacing w:line="360" w:lineRule="auto"/>
              <w:rPr>
                <w:rFonts w:ascii="宋体" w:hAnsi="宋体" w:cs="宋体"/>
                <w:color w:val="000000" w:themeColor="text1"/>
                <w:sz w:val="24"/>
                <w:highlight w:val="none"/>
                <w14:textFill>
                  <w14:solidFill>
                    <w14:schemeClr w14:val="tx1"/>
                  </w14:solidFill>
                </w14:textFill>
              </w:rPr>
            </w:pPr>
          </w:p>
        </w:tc>
      </w:tr>
      <w:tr w14:paraId="5347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tcPr>
          <w:p w14:paraId="5347602E">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tcPr>
          <w:p w14:paraId="5347602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3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3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3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3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34">
            <w:pPr>
              <w:spacing w:line="360" w:lineRule="auto"/>
              <w:rPr>
                <w:rFonts w:ascii="宋体" w:hAnsi="宋体" w:cs="宋体"/>
                <w:color w:val="000000" w:themeColor="text1"/>
                <w:sz w:val="24"/>
                <w:highlight w:val="none"/>
                <w14:textFill>
                  <w14:solidFill>
                    <w14:schemeClr w14:val="tx1"/>
                  </w14:solidFill>
                </w14:textFill>
              </w:rPr>
            </w:pPr>
          </w:p>
        </w:tc>
      </w:tr>
      <w:tr w14:paraId="5347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tcPr>
          <w:p w14:paraId="53476036">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tcPr>
          <w:p w14:paraId="5347603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3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3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3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3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3C">
            <w:pPr>
              <w:spacing w:line="360" w:lineRule="auto"/>
              <w:rPr>
                <w:rFonts w:ascii="宋体" w:hAnsi="宋体" w:cs="宋体"/>
                <w:color w:val="000000" w:themeColor="text1"/>
                <w:sz w:val="24"/>
                <w:highlight w:val="none"/>
                <w14:textFill>
                  <w14:solidFill>
                    <w14:schemeClr w14:val="tx1"/>
                  </w14:solidFill>
                </w14:textFill>
              </w:rPr>
            </w:pPr>
          </w:p>
        </w:tc>
      </w:tr>
      <w:tr w14:paraId="5347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3E">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tcPr>
          <w:p w14:paraId="5347603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4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4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4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4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44">
            <w:pPr>
              <w:spacing w:line="360" w:lineRule="auto"/>
              <w:rPr>
                <w:rFonts w:ascii="宋体" w:hAnsi="宋体" w:cs="宋体"/>
                <w:color w:val="000000" w:themeColor="text1"/>
                <w:sz w:val="24"/>
                <w:highlight w:val="none"/>
                <w14:textFill>
                  <w14:solidFill>
                    <w14:schemeClr w14:val="tx1"/>
                  </w14:solidFill>
                </w14:textFill>
              </w:rPr>
            </w:pPr>
          </w:p>
        </w:tc>
      </w:tr>
      <w:tr w14:paraId="5347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6">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tcPr>
          <w:p w14:paraId="5347604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4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4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4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4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4C">
            <w:pPr>
              <w:spacing w:line="360" w:lineRule="auto"/>
              <w:rPr>
                <w:rFonts w:ascii="宋体" w:hAnsi="宋体" w:cs="宋体"/>
                <w:color w:val="000000" w:themeColor="text1"/>
                <w:sz w:val="24"/>
                <w:highlight w:val="none"/>
                <w14:textFill>
                  <w14:solidFill>
                    <w14:schemeClr w14:val="tx1"/>
                  </w14:solidFill>
                </w14:textFill>
              </w:rPr>
            </w:pPr>
          </w:p>
        </w:tc>
      </w:tr>
      <w:tr w14:paraId="5347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tcPr>
          <w:p w14:paraId="5347604E">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tcPr>
          <w:p w14:paraId="5347604F">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50">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51">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52">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53">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54">
            <w:pPr>
              <w:spacing w:line="360" w:lineRule="auto"/>
              <w:rPr>
                <w:rFonts w:ascii="宋体" w:hAnsi="宋体" w:cs="宋体"/>
                <w:color w:val="000000" w:themeColor="text1"/>
                <w:sz w:val="24"/>
                <w:highlight w:val="none"/>
                <w14:textFill>
                  <w14:solidFill>
                    <w14:schemeClr w14:val="tx1"/>
                  </w14:solidFill>
                </w14:textFill>
              </w:rPr>
            </w:pPr>
          </w:p>
        </w:tc>
      </w:tr>
      <w:tr w14:paraId="5347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tcPr>
          <w:p w14:paraId="53476056">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tcPr>
          <w:p w14:paraId="53476057">
            <w:pPr>
              <w:spacing w:line="360" w:lineRule="auto"/>
              <w:rPr>
                <w:rFonts w:ascii="宋体" w:hAnsi="宋体" w:cs="宋体"/>
                <w:color w:val="000000" w:themeColor="text1"/>
                <w:sz w:val="24"/>
                <w:highlight w:val="none"/>
                <w14:textFill>
                  <w14:solidFill>
                    <w14:schemeClr w14:val="tx1"/>
                  </w14:solidFill>
                </w14:textFill>
              </w:rPr>
            </w:pPr>
          </w:p>
        </w:tc>
        <w:tc>
          <w:tcPr>
            <w:tcW w:w="1978" w:type="dxa"/>
            <w:gridSpan w:val="3"/>
          </w:tcPr>
          <w:p w14:paraId="53476058">
            <w:pPr>
              <w:spacing w:line="360" w:lineRule="auto"/>
              <w:rPr>
                <w:rFonts w:ascii="宋体" w:hAnsi="宋体" w:cs="宋体"/>
                <w:color w:val="000000" w:themeColor="text1"/>
                <w:sz w:val="24"/>
                <w:highlight w:val="none"/>
                <w14:textFill>
                  <w14:solidFill>
                    <w14:schemeClr w14:val="tx1"/>
                  </w14:solidFill>
                </w14:textFill>
              </w:rPr>
            </w:pPr>
          </w:p>
        </w:tc>
        <w:tc>
          <w:tcPr>
            <w:tcW w:w="1329" w:type="dxa"/>
            <w:gridSpan w:val="2"/>
          </w:tcPr>
          <w:p w14:paraId="53476059">
            <w:pPr>
              <w:spacing w:line="360" w:lineRule="auto"/>
              <w:rPr>
                <w:rFonts w:ascii="宋体" w:hAnsi="宋体" w:cs="宋体"/>
                <w:color w:val="000000" w:themeColor="text1"/>
                <w:sz w:val="24"/>
                <w:highlight w:val="none"/>
                <w14:textFill>
                  <w14:solidFill>
                    <w14:schemeClr w14:val="tx1"/>
                  </w14:solidFill>
                </w14:textFill>
              </w:rPr>
            </w:pPr>
          </w:p>
        </w:tc>
        <w:tc>
          <w:tcPr>
            <w:tcW w:w="1633" w:type="dxa"/>
            <w:gridSpan w:val="3"/>
          </w:tcPr>
          <w:p w14:paraId="5347605A">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5B">
            <w:pPr>
              <w:spacing w:line="360" w:lineRule="auto"/>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tcPr>
          <w:p w14:paraId="5347605C">
            <w:pPr>
              <w:spacing w:line="360" w:lineRule="auto"/>
              <w:rPr>
                <w:rFonts w:ascii="宋体" w:hAnsi="宋体" w:cs="宋体"/>
                <w:color w:val="000000" w:themeColor="text1"/>
                <w:sz w:val="24"/>
                <w:highlight w:val="none"/>
                <w14:textFill>
                  <w14:solidFill>
                    <w14:schemeClr w14:val="tx1"/>
                  </w14:solidFill>
                </w14:textFill>
              </w:rPr>
            </w:pPr>
          </w:p>
        </w:tc>
      </w:tr>
    </w:tbl>
    <w:p w14:paraId="5347605E">
      <w:pPr>
        <w:spacing w:line="360"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5347605F">
      <w:pPr>
        <w:spacing w:line="360" w:lineRule="auto"/>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53476060">
      <w:pPr>
        <w:spacing w:line="360" w:lineRule="auto"/>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5347606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53476062">
      <w:pPr>
        <w:spacing w:line="360" w:lineRule="auto"/>
        <w:ind w:left="2739"/>
        <w:rPr>
          <w:rFonts w:ascii="宋体" w:hAnsi="宋体" w:cs="宋体"/>
          <w:color w:val="000000" w:themeColor="text1"/>
          <w:sz w:val="31"/>
          <w:szCs w:val="31"/>
          <w:highlight w:val="none"/>
          <w14:textFill>
            <w14:solidFill>
              <w14:schemeClr w14:val="tx1"/>
            </w14:solidFill>
          </w14:textFill>
        </w:rPr>
      </w:pPr>
      <w:bookmarkStart w:id="32" w:name="_Toc28941"/>
      <w:bookmarkStart w:id="33" w:name="_Toc4741"/>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32"/>
      <w:bookmarkEnd w:id="33"/>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5347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tcPr>
          <w:p w14:paraId="53476063">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tcPr>
          <w:p w14:paraId="53476064">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65">
            <w:pPr>
              <w:kinsoku w:val="0"/>
              <w:autoSpaceDE w:val="0"/>
              <w:autoSpaceDN w:val="0"/>
              <w:adjustRightInd w:val="0"/>
              <w:snapToGrid w:val="0"/>
              <w:spacing w:line="360"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tcPr>
          <w:p w14:paraId="53476066">
            <w:pPr>
              <w:spacing w:line="360" w:lineRule="auto"/>
              <w:rPr>
                <w:rFonts w:ascii="宋体" w:hAnsi="宋体" w:cs="宋体"/>
                <w:color w:val="000000" w:themeColor="text1"/>
                <w:sz w:val="24"/>
                <w:highlight w:val="none"/>
                <w14:textFill>
                  <w14:solidFill>
                    <w14:schemeClr w14:val="tx1"/>
                  </w14:solidFill>
                </w14:textFill>
              </w:rPr>
            </w:pPr>
          </w:p>
        </w:tc>
        <w:tc>
          <w:tcPr>
            <w:tcW w:w="1128" w:type="dxa"/>
          </w:tcPr>
          <w:p w14:paraId="53476067">
            <w:pPr>
              <w:kinsoku w:val="0"/>
              <w:autoSpaceDE w:val="0"/>
              <w:autoSpaceDN w:val="0"/>
              <w:adjustRightInd w:val="0"/>
              <w:snapToGrid w:val="0"/>
              <w:spacing w:line="360"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tcPr>
          <w:p w14:paraId="53476068">
            <w:pPr>
              <w:spacing w:line="360" w:lineRule="auto"/>
              <w:rPr>
                <w:rFonts w:ascii="宋体" w:hAnsi="宋体" w:cs="宋体"/>
                <w:color w:val="000000" w:themeColor="text1"/>
                <w:sz w:val="24"/>
                <w:highlight w:val="none"/>
                <w14:textFill>
                  <w14:solidFill>
                    <w14:schemeClr w14:val="tx1"/>
                  </w14:solidFill>
                </w14:textFill>
              </w:rPr>
            </w:pPr>
          </w:p>
        </w:tc>
      </w:tr>
      <w:tr w14:paraId="5347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6A">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tcPr>
          <w:p w14:paraId="5347606B">
            <w:pPr>
              <w:kinsoku w:val="0"/>
              <w:autoSpaceDE w:val="0"/>
              <w:autoSpaceDN w:val="0"/>
              <w:adjustRightInd w:val="0"/>
              <w:snapToGrid w:val="0"/>
              <w:spacing w:line="360"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tcPr>
          <w:p w14:paraId="5347606C">
            <w:pPr>
              <w:kinsoku w:val="0"/>
              <w:autoSpaceDE w:val="0"/>
              <w:autoSpaceDN w:val="0"/>
              <w:adjustRightInd w:val="0"/>
              <w:snapToGrid w:val="0"/>
              <w:spacing w:line="360"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tcPr>
          <w:p w14:paraId="5347606D">
            <w:pPr>
              <w:spacing w:line="360" w:lineRule="auto"/>
              <w:rPr>
                <w:rFonts w:ascii="宋体" w:hAnsi="宋体" w:cs="宋体"/>
                <w:color w:val="000000" w:themeColor="text1"/>
                <w:sz w:val="24"/>
                <w:highlight w:val="none"/>
                <w14:textFill>
                  <w14:solidFill>
                    <w14:schemeClr w14:val="tx1"/>
                  </w14:solidFill>
                </w14:textFill>
              </w:rPr>
            </w:pPr>
          </w:p>
        </w:tc>
        <w:tc>
          <w:tcPr>
            <w:tcW w:w="1128" w:type="dxa"/>
          </w:tcPr>
          <w:p w14:paraId="5347606E">
            <w:pPr>
              <w:kinsoku w:val="0"/>
              <w:autoSpaceDE w:val="0"/>
              <w:autoSpaceDN w:val="0"/>
              <w:adjustRightInd w:val="0"/>
              <w:snapToGrid w:val="0"/>
              <w:spacing w:line="360"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tcPr>
          <w:p w14:paraId="5347606F">
            <w:pPr>
              <w:spacing w:line="360" w:lineRule="auto"/>
              <w:rPr>
                <w:rFonts w:ascii="宋体" w:hAnsi="宋体" w:cs="宋体"/>
                <w:color w:val="000000" w:themeColor="text1"/>
                <w:sz w:val="24"/>
                <w:highlight w:val="none"/>
                <w14:textFill>
                  <w14:solidFill>
                    <w14:schemeClr w14:val="tx1"/>
                  </w14:solidFill>
                </w14:textFill>
              </w:rPr>
            </w:pPr>
          </w:p>
        </w:tc>
      </w:tr>
      <w:tr w14:paraId="5347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1">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从业开始 时间</w:t>
            </w:r>
          </w:p>
        </w:tc>
        <w:tc>
          <w:tcPr>
            <w:tcW w:w="2498" w:type="dxa"/>
            <w:gridSpan w:val="4"/>
          </w:tcPr>
          <w:p w14:paraId="53476072">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73">
            <w:pPr>
              <w:kinsoku w:val="0"/>
              <w:autoSpaceDE w:val="0"/>
              <w:autoSpaceDN w:val="0"/>
              <w:adjustRightInd w:val="0"/>
              <w:snapToGrid w:val="0"/>
              <w:spacing w:line="360"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tcPr>
          <w:p w14:paraId="53476074">
            <w:pPr>
              <w:spacing w:line="360" w:lineRule="auto"/>
              <w:rPr>
                <w:rFonts w:ascii="宋体" w:hAnsi="宋体" w:cs="宋体"/>
                <w:color w:val="000000" w:themeColor="text1"/>
                <w:sz w:val="24"/>
                <w:highlight w:val="none"/>
                <w14:textFill>
                  <w14:solidFill>
                    <w14:schemeClr w14:val="tx1"/>
                  </w14:solidFill>
                </w14:textFill>
              </w:rPr>
            </w:pPr>
          </w:p>
        </w:tc>
        <w:tc>
          <w:tcPr>
            <w:tcW w:w="1128" w:type="dxa"/>
          </w:tcPr>
          <w:p w14:paraId="53476075">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tcPr>
          <w:p w14:paraId="53476076">
            <w:pPr>
              <w:spacing w:line="360" w:lineRule="auto"/>
              <w:rPr>
                <w:rFonts w:ascii="宋体" w:hAnsi="宋体" w:cs="宋体"/>
                <w:color w:val="000000" w:themeColor="text1"/>
                <w:sz w:val="24"/>
                <w:highlight w:val="none"/>
                <w14:textFill>
                  <w14:solidFill>
                    <w14:schemeClr w14:val="tx1"/>
                  </w14:solidFill>
                </w14:textFill>
              </w:rPr>
            </w:pPr>
          </w:p>
        </w:tc>
      </w:tr>
      <w:tr w14:paraId="5347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tcPr>
          <w:p w14:paraId="5347607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spacing w:val="-2"/>
                <w:kern w:val="0"/>
                <w:sz w:val="24"/>
                <w:highlight w:val="none"/>
                <w14:textFill>
                  <w14:solidFill>
                    <w14:schemeClr w14:val="tx1"/>
                  </w14:solidFill>
                </w14:textFill>
              </w:rPr>
              <w:t>专职安全员</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tcPr>
          <w:p w14:paraId="53476079">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7A">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tcPr>
          <w:p w14:paraId="5347607B">
            <w:pPr>
              <w:spacing w:line="360" w:lineRule="auto"/>
              <w:rPr>
                <w:rFonts w:ascii="宋体" w:hAnsi="宋体" w:cs="宋体"/>
                <w:color w:val="000000" w:themeColor="text1"/>
                <w:sz w:val="24"/>
                <w:highlight w:val="none"/>
                <w14:textFill>
                  <w14:solidFill>
                    <w14:schemeClr w14:val="tx1"/>
                  </w14:solidFill>
                </w14:textFill>
              </w:rPr>
            </w:pPr>
          </w:p>
        </w:tc>
      </w:tr>
      <w:tr w14:paraId="5347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7D">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tcPr>
          <w:p w14:paraId="5347607E">
            <w:pPr>
              <w:kinsoku w:val="0"/>
              <w:autoSpaceDE w:val="0"/>
              <w:autoSpaceDN w:val="0"/>
              <w:adjustRightInd w:val="0"/>
              <w:snapToGrid w:val="0"/>
              <w:spacing w:line="360"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tcPr>
          <w:p w14:paraId="5347607F">
            <w:pPr>
              <w:kinsoku w:val="0"/>
              <w:autoSpaceDE w:val="0"/>
              <w:autoSpaceDN w:val="0"/>
              <w:adjustRightInd w:val="0"/>
              <w:snapToGrid w:val="0"/>
              <w:spacing w:line="360"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tcPr>
          <w:p w14:paraId="53476080">
            <w:pPr>
              <w:kinsoku w:val="0"/>
              <w:autoSpaceDE w:val="0"/>
              <w:autoSpaceDN w:val="0"/>
              <w:adjustRightInd w:val="0"/>
              <w:snapToGrid w:val="0"/>
              <w:spacing w:line="360"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tcPr>
          <w:p w14:paraId="53476081">
            <w:pPr>
              <w:kinsoku w:val="0"/>
              <w:autoSpaceDE w:val="0"/>
              <w:autoSpaceDN w:val="0"/>
              <w:adjustRightInd w:val="0"/>
              <w:snapToGrid w:val="0"/>
              <w:spacing w:line="360"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tcPr>
          <w:p w14:paraId="53476082">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tcPr>
          <w:p w14:paraId="53476083">
            <w:pPr>
              <w:kinsoku w:val="0"/>
              <w:autoSpaceDE w:val="0"/>
              <w:autoSpaceDN w:val="0"/>
              <w:adjustRightInd w:val="0"/>
              <w:snapToGrid w:val="0"/>
              <w:spacing w:line="360"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347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tcPr>
          <w:p w14:paraId="53476085">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r>
              <w:rPr>
                <w:rFonts w:hint="eastAsia" w:ascii="宋体" w:hAnsi="宋体" w:cs="宋体"/>
                <w:snapToGrid w:val="0"/>
                <w:color w:val="000000" w:themeColor="text1"/>
                <w:spacing w:val="-2"/>
                <w:kern w:val="0"/>
                <w:sz w:val="24"/>
                <w:highlight w:val="none"/>
                <w14:textFill>
                  <w14:solidFill>
                    <w14:schemeClr w14:val="tx1"/>
                  </w14:solidFill>
                </w14:textFill>
              </w:rPr>
              <w:t>考核合格证书</w:t>
            </w:r>
          </w:p>
        </w:tc>
        <w:tc>
          <w:tcPr>
            <w:tcW w:w="1274" w:type="dxa"/>
            <w:gridSpan w:val="2"/>
          </w:tcPr>
          <w:p w14:paraId="53476086">
            <w:pPr>
              <w:spacing w:line="360" w:lineRule="auto"/>
              <w:rPr>
                <w:rFonts w:ascii="宋体" w:hAnsi="宋体" w:cs="宋体"/>
                <w:color w:val="000000" w:themeColor="text1"/>
                <w:sz w:val="24"/>
                <w:highlight w:val="none"/>
                <w14:textFill>
                  <w14:solidFill>
                    <w14:schemeClr w14:val="tx1"/>
                  </w14:solidFill>
                </w14:textFill>
              </w:rPr>
            </w:pPr>
          </w:p>
        </w:tc>
        <w:tc>
          <w:tcPr>
            <w:tcW w:w="1224" w:type="dxa"/>
            <w:gridSpan w:val="2"/>
          </w:tcPr>
          <w:p w14:paraId="53476087">
            <w:pPr>
              <w:spacing w:line="360" w:lineRule="auto"/>
              <w:rPr>
                <w:rFonts w:ascii="宋体" w:hAnsi="宋体" w:cs="宋体"/>
                <w:color w:val="000000" w:themeColor="text1"/>
                <w:sz w:val="24"/>
                <w:highlight w:val="none"/>
                <w14:textFill>
                  <w14:solidFill>
                    <w14:schemeClr w14:val="tx1"/>
                  </w14:solidFill>
                </w14:textFill>
              </w:rPr>
            </w:pPr>
          </w:p>
          <w:p w14:paraId="53476088">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tcPr>
          <w:p w14:paraId="53476089">
            <w:pPr>
              <w:spacing w:line="360" w:lineRule="auto"/>
              <w:rPr>
                <w:rFonts w:ascii="宋体" w:hAnsi="宋体" w:cs="宋体"/>
                <w:color w:val="000000" w:themeColor="text1"/>
                <w:sz w:val="24"/>
                <w:highlight w:val="none"/>
                <w14:textFill>
                  <w14:solidFill>
                    <w14:schemeClr w14:val="tx1"/>
                  </w14:solidFill>
                </w14:textFill>
              </w:rPr>
            </w:pPr>
          </w:p>
        </w:tc>
        <w:tc>
          <w:tcPr>
            <w:tcW w:w="1419" w:type="dxa"/>
            <w:gridSpan w:val="2"/>
          </w:tcPr>
          <w:p w14:paraId="5347608A">
            <w:pPr>
              <w:spacing w:line="36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608B">
            <w:pPr>
              <w:spacing w:line="360" w:lineRule="auto"/>
              <w:rPr>
                <w:rFonts w:ascii="宋体" w:hAnsi="宋体" w:cs="宋体"/>
                <w:color w:val="000000" w:themeColor="text1"/>
                <w:sz w:val="24"/>
                <w:highlight w:val="none"/>
                <w14:textFill>
                  <w14:solidFill>
                    <w14:schemeClr w14:val="tx1"/>
                  </w14:solidFill>
                </w14:textFill>
              </w:rPr>
            </w:pPr>
          </w:p>
        </w:tc>
        <w:tc>
          <w:tcPr>
            <w:tcW w:w="1457" w:type="dxa"/>
            <w:gridSpan w:val="2"/>
          </w:tcPr>
          <w:p w14:paraId="5347608C">
            <w:pPr>
              <w:spacing w:line="360" w:lineRule="auto"/>
              <w:rPr>
                <w:rFonts w:ascii="宋体" w:hAnsi="宋体" w:cs="宋体"/>
                <w:color w:val="000000" w:themeColor="text1"/>
                <w:sz w:val="24"/>
                <w:highlight w:val="none"/>
                <w14:textFill>
                  <w14:solidFill>
                    <w14:schemeClr w14:val="tx1"/>
                  </w14:solidFill>
                </w14:textFill>
              </w:rPr>
            </w:pPr>
          </w:p>
        </w:tc>
      </w:tr>
      <w:tr w14:paraId="5347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tcPr>
          <w:p w14:paraId="5347608E">
            <w:pPr>
              <w:spacing w:line="360" w:lineRule="auto"/>
              <w:rPr>
                <w:rFonts w:ascii="宋体" w:hAnsi="宋体" w:cs="宋体"/>
                <w:color w:val="000000" w:themeColor="text1"/>
                <w:sz w:val="24"/>
                <w:highlight w:val="none"/>
                <w14:textFill>
                  <w14:solidFill>
                    <w14:schemeClr w14:val="tx1"/>
                  </w14:solidFill>
                </w14:textFill>
              </w:rPr>
            </w:pPr>
          </w:p>
        </w:tc>
        <w:tc>
          <w:tcPr>
            <w:tcW w:w="1274" w:type="dxa"/>
            <w:gridSpan w:val="2"/>
          </w:tcPr>
          <w:p w14:paraId="5347608F">
            <w:pPr>
              <w:spacing w:line="360" w:lineRule="auto"/>
              <w:rPr>
                <w:rFonts w:ascii="宋体" w:hAnsi="宋体" w:cs="宋体"/>
                <w:color w:val="000000" w:themeColor="text1"/>
                <w:sz w:val="24"/>
                <w:highlight w:val="none"/>
                <w14:textFill>
                  <w14:solidFill>
                    <w14:schemeClr w14:val="tx1"/>
                  </w14:solidFill>
                </w14:textFill>
              </w:rPr>
            </w:pPr>
          </w:p>
        </w:tc>
        <w:tc>
          <w:tcPr>
            <w:tcW w:w="1224" w:type="dxa"/>
            <w:gridSpan w:val="2"/>
          </w:tcPr>
          <w:p w14:paraId="53476090">
            <w:pPr>
              <w:spacing w:line="360" w:lineRule="auto"/>
              <w:rPr>
                <w:rFonts w:ascii="宋体" w:hAnsi="宋体" w:cs="宋体"/>
                <w:color w:val="000000" w:themeColor="text1"/>
                <w:sz w:val="24"/>
                <w:highlight w:val="none"/>
                <w14:textFill>
                  <w14:solidFill>
                    <w14:schemeClr w14:val="tx1"/>
                  </w14:solidFill>
                </w14:textFill>
              </w:rPr>
            </w:pPr>
          </w:p>
        </w:tc>
        <w:tc>
          <w:tcPr>
            <w:tcW w:w="1417" w:type="dxa"/>
          </w:tcPr>
          <w:p w14:paraId="53476091">
            <w:pPr>
              <w:spacing w:line="360" w:lineRule="auto"/>
              <w:rPr>
                <w:rFonts w:ascii="宋体" w:hAnsi="宋体" w:cs="宋体"/>
                <w:color w:val="000000" w:themeColor="text1"/>
                <w:sz w:val="24"/>
                <w:highlight w:val="none"/>
                <w14:textFill>
                  <w14:solidFill>
                    <w14:schemeClr w14:val="tx1"/>
                  </w14:solidFill>
                </w14:textFill>
              </w:rPr>
            </w:pPr>
          </w:p>
        </w:tc>
        <w:tc>
          <w:tcPr>
            <w:tcW w:w="1419" w:type="dxa"/>
            <w:gridSpan w:val="2"/>
          </w:tcPr>
          <w:p w14:paraId="53476092">
            <w:pPr>
              <w:spacing w:line="360" w:lineRule="auto"/>
              <w:rPr>
                <w:rFonts w:ascii="宋体" w:hAnsi="宋体" w:cs="宋体"/>
                <w:color w:val="000000" w:themeColor="text1"/>
                <w:sz w:val="24"/>
                <w:highlight w:val="none"/>
                <w14:textFill>
                  <w14:solidFill>
                    <w14:schemeClr w14:val="tx1"/>
                  </w14:solidFill>
                </w14:textFill>
              </w:rPr>
            </w:pPr>
          </w:p>
        </w:tc>
        <w:tc>
          <w:tcPr>
            <w:tcW w:w="1632" w:type="dxa"/>
            <w:gridSpan w:val="3"/>
          </w:tcPr>
          <w:p w14:paraId="53476093">
            <w:pPr>
              <w:spacing w:line="360" w:lineRule="auto"/>
              <w:rPr>
                <w:rFonts w:ascii="宋体" w:hAnsi="宋体" w:cs="宋体"/>
                <w:color w:val="000000" w:themeColor="text1"/>
                <w:sz w:val="24"/>
                <w:highlight w:val="none"/>
                <w14:textFill>
                  <w14:solidFill>
                    <w14:schemeClr w14:val="tx1"/>
                  </w14:solidFill>
                </w14:textFill>
              </w:rPr>
            </w:pPr>
          </w:p>
        </w:tc>
        <w:tc>
          <w:tcPr>
            <w:tcW w:w="1457" w:type="dxa"/>
            <w:gridSpan w:val="2"/>
          </w:tcPr>
          <w:p w14:paraId="53476094">
            <w:pPr>
              <w:spacing w:line="360" w:lineRule="auto"/>
              <w:rPr>
                <w:rFonts w:ascii="宋体" w:hAnsi="宋体" w:cs="宋体"/>
                <w:color w:val="000000" w:themeColor="text1"/>
                <w:sz w:val="24"/>
                <w:highlight w:val="none"/>
                <w14:textFill>
                  <w14:solidFill>
                    <w14:schemeClr w14:val="tx1"/>
                  </w14:solidFill>
                </w14:textFill>
              </w:rPr>
            </w:pPr>
          </w:p>
        </w:tc>
      </w:tr>
      <w:tr w14:paraId="5347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tcPr>
          <w:p w14:paraId="53476096">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347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tcPr>
          <w:p w14:paraId="53476098">
            <w:pPr>
              <w:spacing w:line="360" w:lineRule="auto"/>
              <w:rPr>
                <w:rFonts w:ascii="宋体" w:hAnsi="宋体" w:cs="宋体"/>
                <w:color w:val="000000" w:themeColor="text1"/>
                <w:sz w:val="24"/>
                <w:highlight w:val="none"/>
                <w14:textFill>
                  <w14:solidFill>
                    <w14:schemeClr w14:val="tx1"/>
                  </w14:solidFill>
                </w14:textFill>
              </w:rPr>
            </w:pPr>
          </w:p>
        </w:tc>
        <w:tc>
          <w:tcPr>
            <w:tcW w:w="1548" w:type="dxa"/>
            <w:gridSpan w:val="2"/>
          </w:tcPr>
          <w:p w14:paraId="53476099">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tcPr>
          <w:p w14:paraId="5347609A">
            <w:pPr>
              <w:kinsoku w:val="0"/>
              <w:autoSpaceDE w:val="0"/>
              <w:autoSpaceDN w:val="0"/>
              <w:adjustRightInd w:val="0"/>
              <w:snapToGrid w:val="0"/>
              <w:spacing w:line="360"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tcPr>
          <w:p w14:paraId="5347609B">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tcPr>
          <w:p w14:paraId="5347609C">
            <w:pPr>
              <w:kinsoku w:val="0"/>
              <w:autoSpaceDE w:val="0"/>
              <w:autoSpaceDN w:val="0"/>
              <w:adjustRightInd w:val="0"/>
              <w:snapToGrid w:val="0"/>
              <w:spacing w:line="360"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tcPr>
          <w:p w14:paraId="5347609D">
            <w:pPr>
              <w:kinsoku w:val="0"/>
              <w:autoSpaceDE w:val="0"/>
              <w:autoSpaceDN w:val="0"/>
              <w:adjustRightInd w:val="0"/>
              <w:snapToGrid w:val="0"/>
              <w:spacing w:line="360" w:lineRule="auto"/>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tcPr>
          <w:p w14:paraId="5347609E">
            <w:pPr>
              <w:spacing w:line="360" w:lineRule="auto"/>
              <w:rPr>
                <w:rFonts w:ascii="宋体" w:hAnsi="宋体" w:cs="宋体"/>
                <w:color w:val="000000" w:themeColor="text1"/>
                <w:sz w:val="24"/>
                <w:highlight w:val="none"/>
                <w14:textFill>
                  <w14:solidFill>
                    <w14:schemeClr w14:val="tx1"/>
                  </w14:solidFill>
                </w14:textFill>
              </w:rPr>
            </w:pPr>
          </w:p>
        </w:tc>
      </w:tr>
      <w:tr w14:paraId="5347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tcPr>
          <w:p w14:paraId="534760A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tcPr>
          <w:p w14:paraId="534760A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A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A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A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A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A6">
            <w:pPr>
              <w:spacing w:line="360" w:lineRule="auto"/>
              <w:rPr>
                <w:rFonts w:ascii="宋体" w:hAnsi="宋体" w:cs="宋体"/>
                <w:color w:val="000000" w:themeColor="text1"/>
                <w:sz w:val="24"/>
                <w:highlight w:val="none"/>
                <w14:textFill>
                  <w14:solidFill>
                    <w14:schemeClr w14:val="tx1"/>
                  </w14:solidFill>
                </w14:textFill>
              </w:rPr>
            </w:pPr>
          </w:p>
        </w:tc>
      </w:tr>
      <w:tr w14:paraId="534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A8">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tcPr>
          <w:p w14:paraId="534760A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A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A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A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A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AE">
            <w:pPr>
              <w:spacing w:line="360" w:lineRule="auto"/>
              <w:rPr>
                <w:rFonts w:ascii="宋体" w:hAnsi="宋体" w:cs="宋体"/>
                <w:color w:val="000000" w:themeColor="text1"/>
                <w:sz w:val="24"/>
                <w:highlight w:val="none"/>
                <w14:textFill>
                  <w14:solidFill>
                    <w14:schemeClr w14:val="tx1"/>
                  </w14:solidFill>
                </w14:textFill>
              </w:rPr>
            </w:pPr>
          </w:p>
        </w:tc>
      </w:tr>
      <w:tr w14:paraId="53476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tcPr>
          <w:p w14:paraId="534760B0">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tcPr>
          <w:p w14:paraId="534760B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B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B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B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B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B6">
            <w:pPr>
              <w:spacing w:line="360" w:lineRule="auto"/>
              <w:rPr>
                <w:rFonts w:ascii="宋体" w:hAnsi="宋体" w:cs="宋体"/>
                <w:color w:val="000000" w:themeColor="text1"/>
                <w:sz w:val="24"/>
                <w:highlight w:val="none"/>
                <w14:textFill>
                  <w14:solidFill>
                    <w14:schemeClr w14:val="tx1"/>
                  </w14:solidFill>
                </w14:textFill>
              </w:rPr>
            </w:pPr>
          </w:p>
        </w:tc>
      </w:tr>
      <w:tr w14:paraId="5347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tcPr>
          <w:p w14:paraId="534760B8">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tcPr>
          <w:p w14:paraId="534760B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B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B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B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B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BE">
            <w:pPr>
              <w:spacing w:line="360" w:lineRule="auto"/>
              <w:rPr>
                <w:rFonts w:ascii="宋体" w:hAnsi="宋体" w:cs="宋体"/>
                <w:color w:val="000000" w:themeColor="text1"/>
                <w:sz w:val="24"/>
                <w:highlight w:val="none"/>
                <w14:textFill>
                  <w14:solidFill>
                    <w14:schemeClr w14:val="tx1"/>
                  </w14:solidFill>
                </w14:textFill>
              </w:rPr>
            </w:pPr>
          </w:p>
        </w:tc>
      </w:tr>
      <w:tr w14:paraId="5347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0">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tcPr>
          <w:p w14:paraId="534760C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C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C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C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C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C6">
            <w:pPr>
              <w:spacing w:line="360" w:lineRule="auto"/>
              <w:rPr>
                <w:rFonts w:ascii="宋体" w:hAnsi="宋体" w:cs="宋体"/>
                <w:color w:val="000000" w:themeColor="text1"/>
                <w:sz w:val="24"/>
                <w:highlight w:val="none"/>
                <w14:textFill>
                  <w14:solidFill>
                    <w14:schemeClr w14:val="tx1"/>
                  </w14:solidFill>
                </w14:textFill>
              </w:rPr>
            </w:pPr>
          </w:p>
        </w:tc>
      </w:tr>
      <w:tr w14:paraId="534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C8">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tcPr>
          <w:p w14:paraId="534760C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C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C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C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C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CE">
            <w:pPr>
              <w:spacing w:line="360" w:lineRule="auto"/>
              <w:rPr>
                <w:rFonts w:ascii="宋体" w:hAnsi="宋体" w:cs="宋体"/>
                <w:color w:val="000000" w:themeColor="text1"/>
                <w:sz w:val="24"/>
                <w:highlight w:val="none"/>
                <w14:textFill>
                  <w14:solidFill>
                    <w14:schemeClr w14:val="tx1"/>
                  </w14:solidFill>
                </w14:textFill>
              </w:rPr>
            </w:pPr>
          </w:p>
        </w:tc>
      </w:tr>
      <w:tr w14:paraId="5347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0">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tcPr>
          <w:p w14:paraId="534760D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D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D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D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D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D6">
            <w:pPr>
              <w:spacing w:line="360" w:lineRule="auto"/>
              <w:rPr>
                <w:rFonts w:ascii="宋体" w:hAnsi="宋体" w:cs="宋体"/>
                <w:color w:val="000000" w:themeColor="text1"/>
                <w:sz w:val="24"/>
                <w:highlight w:val="none"/>
                <w14:textFill>
                  <w14:solidFill>
                    <w14:schemeClr w14:val="tx1"/>
                  </w14:solidFill>
                </w14:textFill>
              </w:rPr>
            </w:pPr>
          </w:p>
        </w:tc>
      </w:tr>
      <w:tr w14:paraId="5347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tcPr>
          <w:p w14:paraId="534760D8">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tcPr>
          <w:p w14:paraId="534760D9">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DA">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DB">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DC">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DD">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DE">
            <w:pPr>
              <w:spacing w:line="360" w:lineRule="auto"/>
              <w:rPr>
                <w:rFonts w:ascii="宋体" w:hAnsi="宋体" w:cs="宋体"/>
                <w:color w:val="000000" w:themeColor="text1"/>
                <w:sz w:val="24"/>
                <w:highlight w:val="none"/>
                <w14:textFill>
                  <w14:solidFill>
                    <w14:schemeClr w14:val="tx1"/>
                  </w14:solidFill>
                </w14:textFill>
              </w:rPr>
            </w:pPr>
          </w:p>
        </w:tc>
      </w:tr>
      <w:tr w14:paraId="5347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tcPr>
          <w:p w14:paraId="534760E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tcPr>
          <w:p w14:paraId="534760E1">
            <w:pPr>
              <w:spacing w:line="360" w:lineRule="auto"/>
              <w:rPr>
                <w:rFonts w:ascii="宋体" w:hAnsi="宋体" w:cs="宋体"/>
                <w:color w:val="000000" w:themeColor="text1"/>
                <w:sz w:val="24"/>
                <w:highlight w:val="none"/>
                <w14:textFill>
                  <w14:solidFill>
                    <w14:schemeClr w14:val="tx1"/>
                  </w14:solidFill>
                </w14:textFill>
              </w:rPr>
            </w:pPr>
          </w:p>
        </w:tc>
        <w:tc>
          <w:tcPr>
            <w:tcW w:w="1937" w:type="dxa"/>
            <w:gridSpan w:val="2"/>
          </w:tcPr>
          <w:p w14:paraId="534760E2">
            <w:pPr>
              <w:spacing w:line="360" w:lineRule="auto"/>
              <w:rPr>
                <w:rFonts w:ascii="宋体" w:hAnsi="宋体" w:cs="宋体"/>
                <w:color w:val="000000" w:themeColor="text1"/>
                <w:sz w:val="24"/>
                <w:highlight w:val="none"/>
                <w14:textFill>
                  <w14:solidFill>
                    <w14:schemeClr w14:val="tx1"/>
                  </w14:solidFill>
                </w14:textFill>
              </w:rPr>
            </w:pPr>
          </w:p>
        </w:tc>
        <w:tc>
          <w:tcPr>
            <w:tcW w:w="1370" w:type="dxa"/>
          </w:tcPr>
          <w:p w14:paraId="534760E3">
            <w:pPr>
              <w:spacing w:line="360" w:lineRule="auto"/>
              <w:rPr>
                <w:rFonts w:ascii="宋体" w:hAnsi="宋体" w:cs="宋体"/>
                <w:color w:val="000000" w:themeColor="text1"/>
                <w:sz w:val="24"/>
                <w:highlight w:val="none"/>
                <w14:textFill>
                  <w14:solidFill>
                    <w14:schemeClr w14:val="tx1"/>
                  </w14:solidFill>
                </w14:textFill>
              </w:rPr>
            </w:pPr>
          </w:p>
        </w:tc>
        <w:tc>
          <w:tcPr>
            <w:tcW w:w="1636" w:type="dxa"/>
            <w:gridSpan w:val="3"/>
          </w:tcPr>
          <w:p w14:paraId="534760E4">
            <w:pPr>
              <w:spacing w:line="360" w:lineRule="auto"/>
              <w:rPr>
                <w:rFonts w:ascii="宋体" w:hAnsi="宋体" w:cs="宋体"/>
                <w:color w:val="000000" w:themeColor="text1"/>
                <w:sz w:val="24"/>
                <w:highlight w:val="none"/>
                <w14:textFill>
                  <w14:solidFill>
                    <w14:schemeClr w14:val="tx1"/>
                  </w14:solidFill>
                </w14:textFill>
              </w:rPr>
            </w:pPr>
          </w:p>
        </w:tc>
        <w:tc>
          <w:tcPr>
            <w:tcW w:w="1482" w:type="dxa"/>
            <w:gridSpan w:val="2"/>
          </w:tcPr>
          <w:p w14:paraId="534760E5">
            <w:pPr>
              <w:spacing w:line="360" w:lineRule="auto"/>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tcPr>
          <w:p w14:paraId="534760E6">
            <w:pPr>
              <w:spacing w:line="360" w:lineRule="auto"/>
              <w:rPr>
                <w:rFonts w:ascii="宋体" w:hAnsi="宋体" w:cs="宋体"/>
                <w:color w:val="000000" w:themeColor="text1"/>
                <w:sz w:val="24"/>
                <w:highlight w:val="none"/>
                <w14:textFill>
                  <w14:solidFill>
                    <w14:schemeClr w14:val="tx1"/>
                  </w14:solidFill>
                </w14:textFill>
              </w:rPr>
            </w:pPr>
          </w:p>
        </w:tc>
      </w:tr>
    </w:tbl>
    <w:p w14:paraId="534760E8">
      <w:pPr>
        <w:spacing w:line="240"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534760E9">
      <w:pPr>
        <w:adjustRightInd w:val="0"/>
        <w:snapToGrid w:val="0"/>
        <w:spacing w:line="24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534760EA">
      <w:pPr>
        <w:adjustRightInd w:val="0"/>
        <w:snapToGrid w:val="0"/>
        <w:spacing w:line="240" w:lineRule="auto"/>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457F7902">
      <w:pPr>
        <w:rPr>
          <w:rFonts w:hint="eastAsia" w:ascii="宋体" w:hAnsi="宋体" w:cs="宋体"/>
          <w:b/>
          <w:bCs/>
          <w:color w:val="000000" w:themeColor="text1"/>
          <w:spacing w:val="9"/>
          <w:sz w:val="24"/>
          <w:highlight w:val="none"/>
          <w14:textFill>
            <w14:solidFill>
              <w14:schemeClr w14:val="tx1"/>
            </w14:solidFill>
          </w14:textFill>
        </w:rPr>
      </w:pPr>
      <w:r>
        <w:rPr>
          <w:rFonts w:hint="eastAsia" w:ascii="宋体" w:hAnsi="宋体" w:cs="宋体"/>
          <w:b/>
          <w:bCs/>
          <w:color w:val="000000" w:themeColor="text1"/>
          <w:spacing w:val="9"/>
          <w:sz w:val="24"/>
          <w:highlight w:val="none"/>
          <w14:textFill>
            <w14:solidFill>
              <w14:schemeClr w14:val="tx1"/>
            </w14:solidFill>
          </w14:textFill>
        </w:rPr>
        <w:br w:type="page"/>
      </w:r>
    </w:p>
    <w:p w14:paraId="534760EB">
      <w:pPr>
        <w:adjustRightInd w:val="0"/>
        <w:snapToGrid w:val="0"/>
        <w:spacing w:line="360" w:lineRule="auto"/>
        <w:ind w:right="1470" w:rightChars="700"/>
        <w:rPr>
          <w:rFonts w:ascii="宋体" w:hAnsi="宋体" w:cs="宋体"/>
          <w:b/>
          <w:bCs/>
          <w:color w:val="000000" w:themeColor="text1"/>
          <w:spacing w:val="9"/>
          <w:sz w:val="24"/>
          <w:highlight w:val="none"/>
          <w14:textFill>
            <w14:solidFill>
              <w14:schemeClr w14:val="tx1"/>
            </w14:solidFill>
          </w14:textFill>
        </w:rPr>
      </w:pPr>
      <w:r>
        <w:rPr>
          <w:rFonts w:hint="eastAsia" w:ascii="宋体" w:hAnsi="宋体" w:cs="宋体"/>
          <w:b/>
          <w:bCs/>
          <w:color w:val="000000" w:themeColor="text1"/>
          <w:spacing w:val="9"/>
          <w:sz w:val="24"/>
          <w:highlight w:val="none"/>
          <w14:textFill>
            <w14:solidFill>
              <w14:schemeClr w14:val="tx1"/>
            </w14:solidFill>
          </w14:textFill>
        </w:rPr>
        <w:t>附件11</w:t>
      </w:r>
    </w:p>
    <w:p w14:paraId="534760EC">
      <w:pPr>
        <w:spacing w:line="36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534760ED">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34760EF">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34760F0">
      <w:pPr>
        <w:spacing w:line="360"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34760F1">
      <w:pPr>
        <w:spacing w:line="360" w:lineRule="auto"/>
        <w:rPr>
          <w:rFonts w:ascii="宋体" w:hAnsi="宋体" w:cs="宋体"/>
          <w:color w:val="000000" w:themeColor="text1"/>
          <w:sz w:val="24"/>
          <w:highlight w:val="none"/>
          <w14:textFill>
            <w14:solidFill>
              <w14:schemeClr w14:val="tx1"/>
            </w14:solidFill>
          </w14:textFill>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4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textDirection w:val="tbRlV"/>
          </w:tcPr>
          <w:p w14:paraId="534760F2">
            <w:pPr>
              <w:kinsoku w:val="0"/>
              <w:autoSpaceDE w:val="0"/>
              <w:autoSpaceDN w:val="0"/>
              <w:adjustRightInd w:val="0"/>
              <w:snapToGrid w:val="0"/>
              <w:spacing w:line="360"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tcPr>
          <w:p w14:paraId="534760F3">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tcPr>
          <w:p w14:paraId="534760F4">
            <w:pPr>
              <w:kinsoku w:val="0"/>
              <w:autoSpaceDE w:val="0"/>
              <w:autoSpaceDN w:val="0"/>
              <w:adjustRightInd w:val="0"/>
              <w:snapToGrid w:val="0"/>
              <w:spacing w:line="360"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tcPr>
          <w:p w14:paraId="534760F5">
            <w:pPr>
              <w:spacing w:line="360" w:lineRule="auto"/>
              <w:rPr>
                <w:rFonts w:ascii="宋体" w:hAnsi="宋体" w:cs="宋体"/>
                <w:color w:val="000000" w:themeColor="text1"/>
                <w:sz w:val="24"/>
                <w:highlight w:val="none"/>
                <w14:textFill>
                  <w14:solidFill>
                    <w14:schemeClr w14:val="tx1"/>
                  </w14:solidFill>
                </w14:textFill>
              </w:rPr>
            </w:pPr>
          </w:p>
          <w:p w14:paraId="534760F6">
            <w:pPr>
              <w:kinsoku w:val="0"/>
              <w:autoSpaceDE w:val="0"/>
              <w:autoSpaceDN w:val="0"/>
              <w:adjustRightInd w:val="0"/>
              <w:snapToGrid w:val="0"/>
              <w:spacing w:line="360"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5347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textDirection w:val="tbRlV"/>
          </w:tcPr>
          <w:p w14:paraId="534760F8">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tcPr>
          <w:p w14:paraId="534760F9">
            <w:pPr>
              <w:spacing w:line="360" w:lineRule="auto"/>
              <w:rPr>
                <w:rFonts w:ascii="宋体" w:hAnsi="宋体" w:cs="宋体"/>
                <w:color w:val="000000" w:themeColor="text1"/>
                <w:sz w:val="24"/>
                <w:highlight w:val="none"/>
                <w14:textFill>
                  <w14:solidFill>
                    <w14:schemeClr w14:val="tx1"/>
                  </w14:solidFill>
                </w14:textFill>
              </w:rPr>
            </w:pPr>
          </w:p>
        </w:tc>
        <w:tc>
          <w:tcPr>
            <w:tcW w:w="1698" w:type="dxa"/>
            <w:gridSpan w:val="2"/>
          </w:tcPr>
          <w:p w14:paraId="534760FA">
            <w:pPr>
              <w:kinsoku w:val="0"/>
              <w:autoSpaceDE w:val="0"/>
              <w:autoSpaceDN w:val="0"/>
              <w:adjustRightInd w:val="0"/>
              <w:snapToGrid w:val="0"/>
              <w:spacing w:line="360"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tcPr>
          <w:p w14:paraId="534760FB">
            <w:pPr>
              <w:kinsoku w:val="0"/>
              <w:autoSpaceDE w:val="0"/>
              <w:autoSpaceDN w:val="0"/>
              <w:adjustRightInd w:val="0"/>
              <w:snapToGrid w:val="0"/>
              <w:spacing w:line="360"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tcPr>
          <w:p w14:paraId="534760FC">
            <w:pPr>
              <w:kinsoku w:val="0"/>
              <w:autoSpaceDE w:val="0"/>
              <w:autoSpaceDN w:val="0"/>
              <w:adjustRightInd w:val="0"/>
              <w:snapToGrid w:val="0"/>
              <w:spacing w:line="36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tcPr>
          <w:p w14:paraId="534760FD">
            <w:pPr>
              <w:kinsoku w:val="0"/>
              <w:autoSpaceDE w:val="0"/>
              <w:autoSpaceDN w:val="0"/>
              <w:adjustRightInd w:val="0"/>
              <w:snapToGrid w:val="0"/>
              <w:spacing w:line="360"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tcPr>
          <w:p w14:paraId="534760FE">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tcPr>
          <w:p w14:paraId="534760FF">
            <w:pPr>
              <w:spacing w:line="360" w:lineRule="auto"/>
              <w:rPr>
                <w:rFonts w:ascii="宋体" w:hAnsi="宋体" w:cs="宋体"/>
                <w:color w:val="000000" w:themeColor="text1"/>
                <w:sz w:val="24"/>
                <w:highlight w:val="none"/>
                <w14:textFill>
                  <w14:solidFill>
                    <w14:schemeClr w14:val="tx1"/>
                  </w14:solidFill>
                </w14:textFill>
              </w:rPr>
            </w:pPr>
          </w:p>
        </w:tc>
      </w:tr>
      <w:tr w14:paraId="5347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01">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tcPr>
          <w:p w14:paraId="53476102">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03">
            <w:pPr>
              <w:spacing w:line="360"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tcPr>
          <w:p w14:paraId="53476104">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05">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06">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07">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08">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09">
            <w:pPr>
              <w:spacing w:line="360" w:lineRule="auto"/>
              <w:rPr>
                <w:rFonts w:ascii="宋体" w:hAnsi="宋体" w:cs="宋体"/>
                <w:color w:val="000000" w:themeColor="text1"/>
                <w:sz w:val="24"/>
                <w:highlight w:val="none"/>
                <w14:textFill>
                  <w14:solidFill>
                    <w14:schemeClr w14:val="tx1"/>
                  </w14:solidFill>
                </w14:textFill>
              </w:rPr>
            </w:pPr>
          </w:p>
        </w:tc>
      </w:tr>
      <w:tr w14:paraId="5347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0B">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tcPr>
          <w:p w14:paraId="5347610C">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0D">
            <w:pPr>
              <w:spacing w:line="360"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tcPr>
          <w:p w14:paraId="5347610E">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0F">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10">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11">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12">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13">
            <w:pPr>
              <w:spacing w:line="360" w:lineRule="auto"/>
              <w:rPr>
                <w:rFonts w:ascii="宋体" w:hAnsi="宋体" w:cs="宋体"/>
                <w:color w:val="000000" w:themeColor="text1"/>
                <w:sz w:val="24"/>
                <w:highlight w:val="none"/>
                <w14:textFill>
                  <w14:solidFill>
                    <w14:schemeClr w14:val="tx1"/>
                  </w14:solidFill>
                </w14:textFill>
              </w:rPr>
            </w:pPr>
          </w:p>
        </w:tc>
      </w:tr>
      <w:tr w14:paraId="5347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tcPr>
          <w:p w14:paraId="53476115">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tcPr>
          <w:p w14:paraId="53476116">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17">
            <w:pPr>
              <w:spacing w:line="360"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tcPr>
          <w:p w14:paraId="53476118">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19">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1A">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1B">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1C">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1D">
            <w:pPr>
              <w:spacing w:line="360" w:lineRule="auto"/>
              <w:rPr>
                <w:rFonts w:ascii="宋体" w:hAnsi="宋体" w:cs="宋体"/>
                <w:color w:val="000000" w:themeColor="text1"/>
                <w:sz w:val="24"/>
                <w:highlight w:val="none"/>
                <w14:textFill>
                  <w14:solidFill>
                    <w14:schemeClr w14:val="tx1"/>
                  </w14:solidFill>
                </w14:textFill>
              </w:rPr>
            </w:pPr>
          </w:p>
        </w:tc>
      </w:tr>
      <w:tr w14:paraId="534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tcPr>
          <w:p w14:paraId="5347611F">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tcPr>
          <w:p w14:paraId="53476120">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21">
            <w:pPr>
              <w:spacing w:line="360"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tcPr>
          <w:p w14:paraId="53476122">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23">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24">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25">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26">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27">
            <w:pPr>
              <w:spacing w:line="360" w:lineRule="auto"/>
              <w:rPr>
                <w:rFonts w:ascii="宋体" w:hAnsi="宋体" w:cs="宋体"/>
                <w:color w:val="000000" w:themeColor="text1"/>
                <w:sz w:val="24"/>
                <w:highlight w:val="none"/>
                <w14:textFill>
                  <w14:solidFill>
                    <w14:schemeClr w14:val="tx1"/>
                  </w14:solidFill>
                </w14:textFill>
              </w:rPr>
            </w:pPr>
          </w:p>
        </w:tc>
      </w:tr>
      <w:tr w14:paraId="5347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tcPr>
          <w:p w14:paraId="53476129">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tcPr>
          <w:p w14:paraId="5347612A">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2B">
            <w:pPr>
              <w:spacing w:line="360"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tcPr>
          <w:p w14:paraId="5347612C">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2D">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2E">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2F">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30">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31">
            <w:pPr>
              <w:spacing w:line="360" w:lineRule="auto"/>
              <w:rPr>
                <w:rFonts w:ascii="宋体" w:hAnsi="宋体" w:cs="宋体"/>
                <w:color w:val="000000" w:themeColor="text1"/>
                <w:sz w:val="24"/>
                <w:highlight w:val="none"/>
                <w14:textFill>
                  <w14:solidFill>
                    <w14:schemeClr w14:val="tx1"/>
                  </w14:solidFill>
                </w14:textFill>
              </w:rPr>
            </w:pPr>
          </w:p>
        </w:tc>
      </w:tr>
      <w:tr w14:paraId="5347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tcPr>
          <w:p w14:paraId="53476133">
            <w:pPr>
              <w:spacing w:line="360" w:lineRule="auto"/>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tcPr>
          <w:p w14:paraId="53476134">
            <w:pPr>
              <w:spacing w:line="360" w:lineRule="auto"/>
              <w:rPr>
                <w:rFonts w:ascii="宋体" w:hAnsi="宋体" w:cs="宋体"/>
                <w:color w:val="000000" w:themeColor="text1"/>
                <w:sz w:val="24"/>
                <w:highlight w:val="none"/>
                <w14:textFill>
                  <w14:solidFill>
                    <w14:schemeClr w14:val="tx1"/>
                  </w14:solidFill>
                </w14:textFill>
              </w:rPr>
            </w:pPr>
          </w:p>
        </w:tc>
        <w:tc>
          <w:tcPr>
            <w:tcW w:w="751" w:type="dxa"/>
          </w:tcPr>
          <w:p w14:paraId="53476135">
            <w:pPr>
              <w:spacing w:line="360"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tcPr>
          <w:p w14:paraId="53476136">
            <w:pPr>
              <w:spacing w:line="360" w:lineRule="auto"/>
              <w:rPr>
                <w:rFonts w:ascii="宋体" w:hAnsi="宋体" w:cs="宋体"/>
                <w:color w:val="000000" w:themeColor="text1"/>
                <w:sz w:val="24"/>
                <w:highlight w:val="none"/>
                <w14:textFill>
                  <w14:solidFill>
                    <w14:schemeClr w14:val="tx1"/>
                  </w14:solidFill>
                </w14:textFill>
              </w:rPr>
            </w:pPr>
          </w:p>
        </w:tc>
        <w:tc>
          <w:tcPr>
            <w:tcW w:w="1123" w:type="dxa"/>
          </w:tcPr>
          <w:p w14:paraId="53476137">
            <w:pPr>
              <w:spacing w:line="360" w:lineRule="auto"/>
              <w:rPr>
                <w:rFonts w:ascii="宋体" w:hAnsi="宋体" w:cs="宋体"/>
                <w:color w:val="000000" w:themeColor="text1"/>
                <w:sz w:val="24"/>
                <w:highlight w:val="none"/>
                <w14:textFill>
                  <w14:solidFill>
                    <w14:schemeClr w14:val="tx1"/>
                  </w14:solidFill>
                </w14:textFill>
              </w:rPr>
            </w:pPr>
          </w:p>
        </w:tc>
        <w:tc>
          <w:tcPr>
            <w:tcW w:w="1091" w:type="dxa"/>
          </w:tcPr>
          <w:p w14:paraId="53476138">
            <w:pPr>
              <w:spacing w:line="360" w:lineRule="auto"/>
              <w:rPr>
                <w:rFonts w:ascii="宋体" w:hAnsi="宋体" w:cs="宋体"/>
                <w:color w:val="000000" w:themeColor="text1"/>
                <w:sz w:val="24"/>
                <w:highlight w:val="none"/>
                <w14:textFill>
                  <w14:solidFill>
                    <w14:schemeClr w14:val="tx1"/>
                  </w14:solidFill>
                </w14:textFill>
              </w:rPr>
            </w:pPr>
          </w:p>
        </w:tc>
        <w:tc>
          <w:tcPr>
            <w:tcW w:w="1195" w:type="dxa"/>
          </w:tcPr>
          <w:p w14:paraId="53476139">
            <w:pPr>
              <w:spacing w:line="360" w:lineRule="auto"/>
              <w:rPr>
                <w:rFonts w:ascii="宋体" w:hAnsi="宋体" w:cs="宋体"/>
                <w:color w:val="000000" w:themeColor="text1"/>
                <w:sz w:val="24"/>
                <w:highlight w:val="none"/>
                <w14:textFill>
                  <w14:solidFill>
                    <w14:schemeClr w14:val="tx1"/>
                  </w14:solidFill>
                </w14:textFill>
              </w:rPr>
            </w:pPr>
          </w:p>
        </w:tc>
        <w:tc>
          <w:tcPr>
            <w:tcW w:w="1269" w:type="dxa"/>
          </w:tcPr>
          <w:p w14:paraId="5347613A">
            <w:pPr>
              <w:spacing w:line="360" w:lineRule="auto"/>
              <w:rPr>
                <w:rFonts w:ascii="宋体" w:hAnsi="宋体" w:cs="宋体"/>
                <w:color w:val="000000" w:themeColor="text1"/>
                <w:sz w:val="24"/>
                <w:highlight w:val="none"/>
                <w14:textFill>
                  <w14:solidFill>
                    <w14:schemeClr w14:val="tx1"/>
                  </w14:solidFill>
                </w14:textFill>
              </w:rPr>
            </w:pPr>
          </w:p>
        </w:tc>
        <w:tc>
          <w:tcPr>
            <w:tcW w:w="676" w:type="dxa"/>
          </w:tcPr>
          <w:p w14:paraId="5347613B">
            <w:pPr>
              <w:spacing w:line="360" w:lineRule="auto"/>
              <w:rPr>
                <w:rFonts w:ascii="宋体" w:hAnsi="宋体" w:cs="宋体"/>
                <w:color w:val="000000" w:themeColor="text1"/>
                <w:sz w:val="24"/>
                <w:highlight w:val="none"/>
                <w14:textFill>
                  <w14:solidFill>
                    <w14:schemeClr w14:val="tx1"/>
                  </w14:solidFill>
                </w14:textFill>
              </w:rPr>
            </w:pPr>
          </w:p>
        </w:tc>
      </w:tr>
    </w:tbl>
    <w:p w14:paraId="5347613D">
      <w:pPr>
        <w:spacing w:line="360"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347613E">
      <w:pPr>
        <w:spacing w:line="36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5347613F">
      <w:pPr>
        <w:tabs>
          <w:tab w:val="left" w:pos="5387"/>
        </w:tabs>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53476140">
      <w:pPr>
        <w:tabs>
          <w:tab w:val="left" w:pos="5387"/>
        </w:tabs>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53476141">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3476142">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（工程名称）项目的磋商供应商，根据国家、自治区相关文件规定，我方在此向采购人承诺：</w:t>
      </w:r>
    </w:p>
    <w:p w14:paraId="53476143">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347614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476145">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3476146">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476147">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476148">
      <w:pPr>
        <w:pStyle w:val="10"/>
        <w:overflowPunct w:val="0"/>
        <w:spacing w:line="360" w:lineRule="auto"/>
        <w:ind w:firstLine="0"/>
        <w:contextualSpacing/>
        <w:jc w:val="left"/>
        <w:rPr>
          <w:rFonts w:ascii="宋体" w:hAnsi="宋体" w:cs="方正小标宋简体"/>
          <w:color w:val="000000" w:themeColor="text1"/>
          <w:sz w:val="24"/>
          <w:szCs w:val="24"/>
          <w:highlight w:val="none"/>
          <w14:textFill>
            <w14:solidFill>
              <w14:schemeClr w14:val="tx1"/>
            </w14:solidFill>
          </w14:textFill>
        </w:rPr>
      </w:pPr>
    </w:p>
    <w:p w14:paraId="53476149">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磋商供应商名称(公章)： </w:t>
      </w:r>
    </w:p>
    <w:p w14:paraId="5347614A">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法定代表人（负责人）或委托代理人(签名)：                          </w:t>
      </w:r>
    </w:p>
    <w:p w14:paraId="5347614B">
      <w:pPr>
        <w:spacing w:line="360" w:lineRule="auto"/>
        <w:ind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47614C">
      <w:pPr>
        <w:spacing w:line="360" w:lineRule="auto"/>
        <w:jc w:val="center"/>
        <w:rPr>
          <w:rFonts w:ascii="宋体" w:hAnsi="宋体"/>
          <w:b/>
          <w:color w:val="000000" w:themeColor="text1"/>
          <w:sz w:val="28"/>
          <w:szCs w:val="28"/>
          <w:highlight w:val="none"/>
          <w14:textFill>
            <w14:solidFill>
              <w14:schemeClr w14:val="tx1"/>
            </w14:solidFill>
          </w14:textFill>
        </w:rPr>
      </w:pPr>
    </w:p>
    <w:p w14:paraId="5347614D">
      <w:pPr>
        <w:spacing w:line="360" w:lineRule="auto"/>
        <w:jc w:val="center"/>
        <w:rPr>
          <w:rFonts w:ascii="宋体" w:hAnsi="宋体"/>
          <w:b/>
          <w:color w:val="000000" w:themeColor="text1"/>
          <w:sz w:val="28"/>
          <w:szCs w:val="28"/>
          <w:highlight w:val="none"/>
          <w14:textFill>
            <w14:solidFill>
              <w14:schemeClr w14:val="tx1"/>
            </w14:solidFill>
          </w14:textFill>
        </w:rPr>
      </w:pPr>
    </w:p>
    <w:p w14:paraId="5347614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5347614F">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5347615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53476151">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5347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76152">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3">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347615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5347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5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347615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53476158">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5347615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5347615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5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5347615C">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5347615D">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53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5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5347616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5347616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534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347616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534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8">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5347616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5347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6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6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5347616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5347616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5347617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534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2">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3476174">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53476175">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5347617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534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8">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9">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5347617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34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7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7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5347617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5347617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534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53476183">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5347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8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8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5347618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5347618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5347618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5347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8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8C">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5347618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347618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347618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53476190">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5347619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534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3">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5347619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347619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5347619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5347619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534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9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9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9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9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5347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1">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34761A3">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5347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A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A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A7">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534761A8">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534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AB">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AC">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534761AD">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34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A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4761B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534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5">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6">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534761B7">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534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A">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BB">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534761BC">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5347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BE">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BF">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0">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1">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5347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3">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4761C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5347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8">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C9">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CA">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534761CB">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534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CD">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CE">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534761CF">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534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34761D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34761D2">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534761D3">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534761D4">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534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6">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34761D7">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34761D8">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534761D9">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34761DA">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34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DC">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DD">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34761DE">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347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0">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1">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534761E2">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5347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761E4">
            <w:pPr>
              <w:spacing w:line="360" w:lineRule="auto"/>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34761E5">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534761E6">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34761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34761E9">
      <w:pPr>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534761EA">
      <w:pPr>
        <w:pStyle w:val="4"/>
        <w:spacing w:line="360" w:lineRule="auto"/>
        <w:rPr>
          <w:rFonts w:ascii="宋体" w:hAnsi="宋体"/>
          <w:color w:val="000000" w:themeColor="text1"/>
          <w:highlight w:val="none"/>
          <w14:textFill>
            <w14:solidFill>
              <w14:schemeClr w14:val="tx1"/>
            </w14:solidFill>
          </w14:textFill>
        </w:rPr>
      </w:pPr>
    </w:p>
    <w:p w14:paraId="534761EB">
      <w:pPr>
        <w:pStyle w:val="27"/>
        <w:spacing w:line="360" w:lineRule="auto"/>
        <w:rPr>
          <w:rFonts w:ascii="宋体" w:hAnsi="宋体"/>
          <w:color w:val="000000" w:themeColor="text1"/>
          <w:highlight w:val="none"/>
          <w14:textFill>
            <w14:solidFill>
              <w14:schemeClr w14:val="tx1"/>
            </w14:solidFill>
          </w14:textFill>
        </w:rPr>
      </w:pPr>
    </w:p>
    <w:p w14:paraId="534761EC">
      <w:pPr>
        <w:pStyle w:val="23"/>
        <w:spacing w:line="360" w:lineRule="auto"/>
        <w:rPr>
          <w:rFonts w:hAnsi="宋体"/>
          <w:color w:val="000000" w:themeColor="text1"/>
          <w:highlight w:val="none"/>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534761ED">
      <w:pPr>
        <w:adjustRightInd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附件13</w:t>
      </w:r>
    </w:p>
    <w:p w14:paraId="534761EE">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534761EF">
      <w:pPr>
        <w:spacing w:line="360" w:lineRule="auto"/>
        <w:ind w:firstLine="708" w:firstLineChars="294"/>
        <w:rPr>
          <w:rFonts w:ascii="宋体" w:hAnsi="宋体" w:cs="宋体"/>
          <w:b/>
          <w:bCs/>
          <w:color w:val="000000" w:themeColor="text1"/>
          <w:sz w:val="24"/>
          <w:highlight w:val="none"/>
          <w14:textFill>
            <w14:solidFill>
              <w14:schemeClr w14:val="tx1"/>
            </w14:solidFill>
          </w14:textFill>
        </w:rPr>
      </w:pPr>
    </w:p>
    <w:p w14:paraId="534761F0">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bCs/>
          <w:color w:val="000000" w:themeColor="text1"/>
          <w:sz w:val="24"/>
          <w:highlight w:val="none"/>
          <w:u w:val="single"/>
          <w14:textFill>
            <w14:solidFill>
              <w14:schemeClr w14:val="tx1"/>
            </w14:solidFill>
          </w14:textFill>
        </w:rPr>
        <w:t>（单位名称）</w:t>
      </w:r>
      <w:r>
        <w:rPr>
          <w:rFonts w:ascii="宋体" w:hAnsi="宋体"/>
          <w:bCs/>
          <w:color w:val="000000" w:themeColor="text1"/>
          <w:sz w:val="24"/>
          <w:highlight w:val="none"/>
          <w14:textFill>
            <w14:solidFill>
              <w14:schemeClr w14:val="tx1"/>
            </w14:solidFill>
          </w14:textFill>
        </w:rPr>
        <w:t>的</w:t>
      </w:r>
      <w:r>
        <w:rPr>
          <w:rFonts w:ascii="宋体" w:hAnsi="宋体"/>
          <w:bCs/>
          <w:color w:val="000000" w:themeColor="text1"/>
          <w:sz w:val="24"/>
          <w:highlight w:val="none"/>
          <w:u w:val="single"/>
          <w14:textFill>
            <w14:solidFill>
              <w14:schemeClr w14:val="tx1"/>
            </w14:solidFill>
          </w14:textFill>
        </w:rPr>
        <w:t>（项目名称）</w:t>
      </w:r>
      <w:r>
        <w:rPr>
          <w:rFonts w:ascii="宋体" w:hAnsi="宋体"/>
          <w:bCs/>
          <w:color w:val="000000" w:themeColor="text1"/>
          <w:sz w:val="24"/>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34761F2">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34761F3">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534761F4">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34761F7">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534761F8">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534761F9">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）请根据真实情况出具《中小企业声明函》。</w:t>
      </w:r>
      <w:r>
        <w:rPr>
          <w:rFonts w:hint="eastAsia" w:ascii="宋体" w:hAnsi="宋体"/>
          <w:color w:val="000000" w:themeColor="text1"/>
          <w:sz w:val="24"/>
          <w:highlight w:val="none"/>
          <w14:textFill>
            <w14:solidFill>
              <w14:schemeClr w14:val="tx1"/>
            </w14:solidFill>
          </w14:textFill>
        </w:rPr>
        <w:t>成交候选人享受《政府采购促进中小企业发展管理办法》（财库〔2020〕46号）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ascii="宋体" w:hAnsi="宋体"/>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ascii="宋体" w:hAnsi="宋体"/>
          <w:bCs/>
          <w:color w:val="000000" w:themeColor="text1"/>
          <w:sz w:val="24"/>
          <w:highlight w:val="none"/>
          <w14:textFill>
            <w14:solidFill>
              <w14:schemeClr w14:val="tx1"/>
            </w14:solidFill>
          </w14:textFill>
        </w:rPr>
        <w:t>，接受社会监督。</w:t>
      </w:r>
    </w:p>
    <w:p w14:paraId="534761FB">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534761FC">
      <w:pP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br w:type="page"/>
      </w:r>
    </w:p>
    <w:p w14:paraId="534761FD">
      <w:pPr>
        <w:spacing w:line="360" w:lineRule="auto"/>
        <w:rPr>
          <w:rFonts w:ascii="宋体" w:hAnsi="宋体" w:cs="宋体"/>
          <w:b/>
          <w:spacing w:val="6"/>
          <w:sz w:val="24"/>
          <w:highlight w:val="none"/>
        </w:rPr>
      </w:pPr>
      <w:r>
        <w:rPr>
          <w:rFonts w:hint="eastAsia" w:ascii="宋体" w:hAnsi="宋体" w:cs="宋体"/>
          <w:b/>
          <w:spacing w:val="6"/>
          <w:sz w:val="24"/>
          <w:highlight w:val="none"/>
        </w:rPr>
        <w:t>附件14</w:t>
      </w:r>
    </w:p>
    <w:p w14:paraId="534761FE">
      <w:pPr>
        <w:widowControl/>
        <w:shd w:val="clear" w:color="auto" w:fill="FFFFFF"/>
        <w:spacing w:before="100" w:after="100" w:line="480" w:lineRule="atLeast"/>
        <w:jc w:val="center"/>
        <w:outlineLvl w:val="0"/>
        <w:rPr>
          <w:rFonts w:ascii="宋体" w:hAnsi="宋体" w:cs="宋体"/>
          <w:b/>
          <w:bCs/>
          <w:kern w:val="0"/>
          <w:sz w:val="28"/>
          <w:szCs w:val="28"/>
          <w:highlight w:val="none"/>
        </w:rPr>
      </w:pPr>
      <w:bookmarkStart w:id="34" w:name="_Toc24358"/>
      <w:r>
        <w:rPr>
          <w:rFonts w:hint="eastAsia" w:ascii="宋体" w:hAnsi="宋体" w:cs="宋体"/>
          <w:b/>
          <w:bCs/>
          <w:kern w:val="0"/>
          <w:sz w:val="28"/>
          <w:szCs w:val="28"/>
          <w:highlight w:val="none"/>
          <w:shd w:val="clear" w:color="auto" w:fill="FFFFFF"/>
        </w:rPr>
        <w:t>统计上大中小微型企业划分标准</w:t>
      </w:r>
      <w:bookmarkEnd w:id="34"/>
    </w:p>
    <w:tbl>
      <w:tblPr>
        <w:tblStyle w:val="38"/>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sz w:val="24"/>
                <w:highlight w:val="none"/>
              </w:rPr>
            </w:pPr>
            <w:r>
              <w:rPr>
                <w:rFonts w:hint="eastAsia" w:ascii="宋体" w:hAnsi="宋体" w:cs="宋体"/>
                <w:b/>
                <w:bCs/>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sz w:val="24"/>
                <w:highlight w:val="none"/>
              </w:rPr>
            </w:pPr>
            <w:r>
              <w:rPr>
                <w:rFonts w:hint="eastAsia" w:ascii="宋体" w:hAnsi="宋体" w:cs="宋体"/>
                <w:b/>
                <w:bCs/>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sz w:val="24"/>
                <w:highlight w:val="none"/>
              </w:rPr>
            </w:pPr>
            <w:r>
              <w:rPr>
                <w:rFonts w:hint="eastAsia" w:ascii="宋体" w:hAnsi="宋体" w:cs="宋体"/>
                <w:b/>
                <w:bCs/>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sz w:val="24"/>
                <w:highlight w:val="none"/>
              </w:rPr>
            </w:pPr>
            <w:r>
              <w:rPr>
                <w:rFonts w:hint="eastAsia" w:ascii="宋体" w:hAnsi="宋体" w:cs="宋体"/>
                <w:b/>
                <w:bCs/>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sz w:val="24"/>
                <w:highlight w:val="none"/>
              </w:rPr>
            </w:pPr>
            <w:r>
              <w:rPr>
                <w:rFonts w:hint="eastAsia" w:ascii="宋体" w:hAnsi="宋体" w:cs="宋体"/>
                <w:b/>
                <w:bCs/>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sz w:val="24"/>
                <w:highlight w:val="none"/>
              </w:rPr>
            </w:pPr>
            <w:r>
              <w:rPr>
                <w:rFonts w:hint="eastAsia" w:ascii="宋体" w:hAnsi="宋体" w:cs="宋体"/>
                <w:b/>
                <w:bCs/>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sz w:val="24"/>
                <w:highlight w:val="none"/>
              </w:rPr>
            </w:pPr>
            <w:r>
              <w:rPr>
                <w:rFonts w:hint="eastAsia" w:ascii="宋体" w:hAnsi="宋体" w:cs="宋体"/>
                <w:b/>
                <w:bCs/>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kern w:val="0"/>
                <w:sz w:val="19"/>
                <w:szCs w:val="19"/>
                <w:highlight w:val="none"/>
              </w:rPr>
            </w:pPr>
            <w:r>
              <w:rPr>
                <w:rFonts w:hint="eastAsia" w:ascii="宋体" w:hAnsi="宋体" w:cs="宋体"/>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000000"/>
          <w:spacing w:val="8"/>
          <w:kern w:val="0"/>
          <w:sz w:val="22"/>
          <w:szCs w:val="22"/>
          <w:highlight w:val="none"/>
        </w:rPr>
      </w:pPr>
    </w:p>
    <w:p w14:paraId="38293A80">
      <w:pPr>
        <w:widowControl/>
        <w:spacing w:line="240" w:lineRule="auto"/>
        <w:rPr>
          <w:rFonts w:cs="宋体" w:asciiTheme="minorEastAsia" w:hAnsiTheme="minorEastAsia" w:eastAsiaTheme="minorEastAsia"/>
          <w:color w:val="000000"/>
          <w:spacing w:val="8"/>
          <w:kern w:val="0"/>
          <w:sz w:val="22"/>
          <w:szCs w:val="22"/>
          <w:highlight w:val="none"/>
        </w:rPr>
      </w:pPr>
      <w:r>
        <w:rPr>
          <w:rFonts w:hint="eastAsia" w:cs="宋体" w:asciiTheme="minorEastAsia" w:hAnsiTheme="minorEastAsia" w:eastAsiaTheme="minorEastAsia"/>
          <w:color w:val="000000"/>
          <w:spacing w:val="8"/>
          <w:kern w:val="0"/>
          <w:sz w:val="22"/>
          <w:szCs w:val="22"/>
          <w:highlight w:val="none"/>
        </w:rPr>
        <w:t>说明：</w:t>
      </w:r>
    </w:p>
    <w:p w14:paraId="38293A81">
      <w:pPr>
        <w:spacing w:line="240" w:lineRule="auto"/>
        <w:rPr>
          <w:rFonts w:cs="宋体" w:asciiTheme="minorEastAsia" w:hAnsiTheme="minorEastAsia" w:eastAsiaTheme="minorEastAsia"/>
          <w:color w:val="000000"/>
          <w:spacing w:val="8"/>
          <w:kern w:val="0"/>
          <w:sz w:val="22"/>
          <w:szCs w:val="22"/>
          <w:highlight w:val="none"/>
        </w:rPr>
      </w:pPr>
      <w:r>
        <w:rPr>
          <w:rFonts w:hint="eastAsia" w:cs="宋体" w:asciiTheme="minorEastAsia" w:hAnsiTheme="minorEastAsia" w:eastAsiaTheme="minorEastAsia"/>
          <w:color w:val="000000"/>
          <w:spacing w:val="8"/>
          <w:kern w:val="0"/>
          <w:sz w:val="22"/>
          <w:szCs w:val="22"/>
          <w:highlight w:val="none"/>
        </w:rPr>
        <w:t>　　</w:t>
      </w:r>
      <w:r>
        <w:rPr>
          <w:rFonts w:hint="eastAsia" w:asciiTheme="minorEastAsia" w:hAnsiTheme="minorEastAsia" w:eastAsiaTheme="minorEastAsia"/>
          <w:color w:val="000000"/>
          <w:spacing w:val="8"/>
          <w:kern w:val="0"/>
          <w:sz w:val="22"/>
          <w:szCs w:val="22"/>
          <w:highlight w:val="none"/>
        </w:rPr>
        <w:t>1.</w:t>
      </w:r>
      <w:r>
        <w:rPr>
          <w:rFonts w:hint="eastAsia" w:cs="宋体" w:asciiTheme="minorEastAsia" w:hAnsiTheme="minorEastAsia" w:eastAsiaTheme="minorEastAsia"/>
          <w:color w:val="000000"/>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000000"/>
          <w:spacing w:val="8"/>
          <w:kern w:val="0"/>
          <w:sz w:val="22"/>
          <w:szCs w:val="22"/>
          <w:highlight w:val="none"/>
        </w:rPr>
      </w:pPr>
      <w:r>
        <w:rPr>
          <w:rFonts w:hint="eastAsia" w:cs="宋体" w:asciiTheme="minorEastAsia" w:hAnsiTheme="minorEastAsia" w:eastAsiaTheme="minorEastAsia"/>
          <w:color w:val="000000"/>
          <w:spacing w:val="8"/>
          <w:kern w:val="0"/>
          <w:sz w:val="22"/>
          <w:szCs w:val="22"/>
          <w:highlight w:val="none"/>
        </w:rPr>
        <w:t>　　</w:t>
      </w:r>
      <w:r>
        <w:rPr>
          <w:rFonts w:hint="eastAsia" w:asciiTheme="minorEastAsia" w:hAnsiTheme="minorEastAsia" w:eastAsiaTheme="minorEastAsia"/>
          <w:color w:val="000000"/>
          <w:spacing w:val="8"/>
          <w:kern w:val="0"/>
          <w:sz w:val="22"/>
          <w:szCs w:val="22"/>
          <w:highlight w:val="none"/>
        </w:rPr>
        <w:t>2.</w:t>
      </w:r>
      <w:r>
        <w:rPr>
          <w:rFonts w:hint="eastAsia" w:cs="宋体" w:asciiTheme="minorEastAsia" w:hAnsiTheme="minorEastAsia" w:eastAsiaTheme="minorEastAsia"/>
          <w:color w:val="000000"/>
          <w:spacing w:val="8"/>
          <w:kern w:val="0"/>
          <w:sz w:val="22"/>
          <w:szCs w:val="22"/>
          <w:highlight w:val="none"/>
        </w:rPr>
        <w:t>附表中各行业的范围以《国民经济行业分类》（</w:t>
      </w:r>
      <w:r>
        <w:rPr>
          <w:rFonts w:hint="eastAsia" w:asciiTheme="minorEastAsia" w:hAnsiTheme="minorEastAsia" w:eastAsiaTheme="minorEastAsia"/>
          <w:color w:val="000000"/>
          <w:spacing w:val="8"/>
          <w:kern w:val="0"/>
          <w:sz w:val="22"/>
          <w:szCs w:val="22"/>
          <w:highlight w:val="none"/>
        </w:rPr>
        <w:t>GB/T4754-2017</w:t>
      </w:r>
      <w:r>
        <w:rPr>
          <w:rFonts w:hint="eastAsia" w:cs="宋体" w:asciiTheme="minorEastAsia" w:hAnsiTheme="minorEastAsia" w:eastAsiaTheme="minorEastAsia"/>
          <w:color w:val="000000"/>
          <w:spacing w:val="8"/>
          <w:kern w:val="0"/>
          <w:sz w:val="22"/>
          <w:szCs w:val="22"/>
          <w:highlight w:val="none"/>
        </w:rPr>
        <w:t>）为准。带</w:t>
      </w:r>
      <w:r>
        <w:rPr>
          <w:rFonts w:hint="eastAsia" w:asciiTheme="minorEastAsia" w:hAnsiTheme="minorEastAsia" w:eastAsiaTheme="minorEastAsia"/>
          <w:color w:val="000000"/>
          <w:spacing w:val="8"/>
          <w:kern w:val="0"/>
          <w:sz w:val="22"/>
          <w:szCs w:val="22"/>
          <w:highlight w:val="none"/>
        </w:rPr>
        <w:t>*</w:t>
      </w:r>
      <w:r>
        <w:rPr>
          <w:rFonts w:hint="eastAsia" w:cs="宋体" w:asciiTheme="minorEastAsia" w:hAnsiTheme="minorEastAsia" w:eastAsiaTheme="minorEastAsia"/>
          <w:color w:val="000000"/>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000000"/>
          <w:spacing w:val="8"/>
          <w:kern w:val="0"/>
          <w:sz w:val="28"/>
          <w:szCs w:val="28"/>
          <w:highlight w:val="none"/>
        </w:rPr>
      </w:pPr>
      <w:r>
        <w:rPr>
          <w:rFonts w:hint="eastAsia" w:asciiTheme="minorEastAsia" w:hAnsiTheme="minorEastAsia" w:eastAsiaTheme="minorEastAsia"/>
          <w:color w:val="000000"/>
          <w:spacing w:val="8"/>
          <w:kern w:val="0"/>
          <w:sz w:val="22"/>
          <w:szCs w:val="22"/>
          <w:highlight w:val="none"/>
        </w:rPr>
        <w:t>3.</w:t>
      </w:r>
      <w:r>
        <w:rPr>
          <w:rFonts w:hint="eastAsia" w:cs="宋体" w:asciiTheme="minorEastAsia" w:hAnsiTheme="minorEastAsia" w:eastAsiaTheme="minorEastAsia"/>
          <w:color w:val="000000"/>
          <w:spacing w:val="8"/>
          <w:kern w:val="0"/>
          <w:sz w:val="22"/>
          <w:szCs w:val="22"/>
          <w:highlight w:val="none"/>
        </w:rPr>
        <w:t>企业划分指标以现行统计制度为准。（</w:t>
      </w:r>
      <w:r>
        <w:rPr>
          <w:rFonts w:hint="eastAsia" w:asciiTheme="minorEastAsia" w:hAnsiTheme="minorEastAsia" w:eastAsiaTheme="minorEastAsia"/>
          <w:color w:val="000000"/>
          <w:spacing w:val="8"/>
          <w:kern w:val="0"/>
          <w:sz w:val="22"/>
          <w:szCs w:val="22"/>
          <w:highlight w:val="none"/>
        </w:rPr>
        <w:t>1</w:t>
      </w:r>
      <w:r>
        <w:rPr>
          <w:rFonts w:hint="eastAsia" w:cs="宋体" w:asciiTheme="minorEastAsia" w:hAnsiTheme="minorEastAsia" w:eastAsiaTheme="minorEastAsia"/>
          <w:color w:val="000000"/>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000000"/>
          <w:spacing w:val="8"/>
          <w:kern w:val="0"/>
          <w:sz w:val="22"/>
          <w:szCs w:val="22"/>
          <w:highlight w:val="none"/>
        </w:rPr>
        <w:t>2</w:t>
      </w:r>
      <w:r>
        <w:rPr>
          <w:rFonts w:hint="eastAsia" w:cs="宋体" w:asciiTheme="minorEastAsia" w:hAnsiTheme="minorEastAsia" w:eastAsiaTheme="minorEastAsia"/>
          <w:color w:val="000000"/>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000000"/>
          <w:spacing w:val="8"/>
          <w:kern w:val="0"/>
          <w:sz w:val="22"/>
          <w:szCs w:val="22"/>
          <w:highlight w:val="none"/>
        </w:rPr>
        <w:t>3</w:t>
      </w:r>
      <w:r>
        <w:rPr>
          <w:rFonts w:hint="eastAsia" w:cs="宋体" w:asciiTheme="minorEastAsia" w:hAnsiTheme="minorEastAsia" w:eastAsiaTheme="minorEastAsia"/>
          <w:color w:val="000000"/>
          <w:spacing w:val="8"/>
          <w:kern w:val="0"/>
          <w:sz w:val="22"/>
          <w:szCs w:val="22"/>
          <w:highlight w:val="none"/>
        </w:rPr>
        <w:t>）资产总额，采用资产总计代替</w:t>
      </w:r>
      <w:r>
        <w:rPr>
          <w:rFonts w:hint="eastAsia" w:cs="宋体" w:asciiTheme="minorEastAsia" w:hAnsiTheme="minorEastAsia" w:eastAsiaTheme="minorEastAsia"/>
          <w:color w:val="000000"/>
          <w:spacing w:val="8"/>
          <w:kern w:val="0"/>
          <w:sz w:val="28"/>
          <w:szCs w:val="28"/>
          <w:highlight w:val="none"/>
        </w:rPr>
        <w:t>。</w:t>
      </w:r>
    </w:p>
    <w:p w14:paraId="534762F8">
      <w:pPr>
        <w:widowControl/>
        <w:jc w:val="left"/>
        <w:rPr>
          <w:rFonts w:ascii="宋体" w:hAnsi="宋体" w:cs="宋体"/>
          <w:sz w:val="20"/>
          <w:szCs w:val="20"/>
          <w:highlight w:val="none"/>
        </w:rPr>
      </w:pPr>
    </w:p>
    <w:p w14:paraId="4B3AF21B">
      <w:pPr>
        <w:widowControl/>
        <w:jc w:val="left"/>
        <w:rPr>
          <w:rFonts w:ascii="宋体" w:hAnsi="宋体" w:cs="宋体"/>
          <w:sz w:val="20"/>
          <w:szCs w:val="20"/>
          <w:highlight w:val="none"/>
        </w:rPr>
      </w:pPr>
    </w:p>
    <w:p w14:paraId="7D1B5F8A">
      <w:pPr>
        <w:widowControl/>
        <w:jc w:val="left"/>
        <w:rPr>
          <w:rFonts w:ascii="宋体" w:hAnsi="宋体" w:cs="宋体"/>
          <w:sz w:val="20"/>
          <w:szCs w:val="20"/>
          <w:highlight w:val="none"/>
        </w:rPr>
      </w:pPr>
    </w:p>
    <w:p w14:paraId="2933CDBB">
      <w:pPr>
        <w:widowControl/>
        <w:jc w:val="left"/>
        <w:rPr>
          <w:rFonts w:ascii="宋体" w:hAnsi="宋体" w:cs="宋体"/>
          <w:sz w:val="20"/>
          <w:szCs w:val="20"/>
          <w:highlight w:val="none"/>
        </w:rPr>
      </w:pPr>
    </w:p>
    <w:p w14:paraId="534762F9">
      <w:pPr>
        <w:snapToGrid w:val="0"/>
        <w:spacing w:before="50" w:after="120" w:afterLines="50"/>
        <w:jc w:val="left"/>
        <w:rPr>
          <w:rFonts w:ascii="宋体" w:hAnsi="宋体" w:cs="宋体"/>
          <w:b/>
          <w:bCs/>
          <w:sz w:val="28"/>
          <w:szCs w:val="28"/>
          <w:highlight w:val="none"/>
        </w:rPr>
      </w:pPr>
      <w:r>
        <w:rPr>
          <w:rFonts w:hint="eastAsia" w:ascii="宋体" w:hAnsi="宋体" w:cs="宋体"/>
          <w:b/>
          <w:bCs/>
          <w:szCs w:val="21"/>
          <w:highlight w:val="none"/>
          <w:lang w:val="en-US" w:eastAsia="zh-CN" w:bidi="ar"/>
        </w:rPr>
        <w:t>注</w:t>
      </w:r>
      <w:r>
        <w:rPr>
          <w:rFonts w:hint="eastAsia" w:ascii="宋体" w:hAnsi="宋体" w:cs="宋体"/>
          <w:b/>
          <w:bCs/>
          <w:szCs w:val="21"/>
          <w:highlight w:val="none"/>
          <w:lang w:bidi="ar"/>
        </w:rPr>
        <w:t>：上述标准参照</w:t>
      </w:r>
      <w:r>
        <w:rPr>
          <w:rFonts w:hint="eastAsia" w:ascii="宋体" w:hAnsi="宋体" w:cs="宋体"/>
          <w:b/>
          <w:bCs/>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br w:type="page"/>
      </w:r>
    </w:p>
    <w:p w14:paraId="534762FB">
      <w:pPr>
        <w:spacing w:line="360" w:lineRule="auto"/>
        <w:ind w:left="420" w:hanging="42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附件15</w:t>
      </w:r>
    </w:p>
    <w:p w14:paraId="534762FC">
      <w:pPr>
        <w:pStyle w:val="34"/>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p>
    <w:p w14:paraId="534762FD">
      <w:pPr>
        <w:pStyle w:val="34"/>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p>
    <w:p w14:paraId="534762FE">
      <w:pPr>
        <w:pStyle w:val="34"/>
        <w:widowControl w:val="0"/>
        <w:adjustRightInd w:val="0"/>
        <w:snapToGrid w:val="0"/>
        <w:spacing w:before="0" w:beforeAutospacing="0" w:after="0" w:afterAutospacing="0" w:line="360" w:lineRule="auto"/>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534762FF">
      <w:pPr>
        <w:spacing w:line="360" w:lineRule="auto"/>
        <w:rPr>
          <w:rFonts w:ascii="宋体" w:hAnsi="宋体"/>
          <w:color w:val="000000" w:themeColor="text1"/>
          <w:szCs w:val="21"/>
          <w:highlight w:val="none"/>
          <w14:textFill>
            <w14:solidFill>
              <w14:schemeClr w14:val="tx1"/>
            </w14:solidFill>
          </w14:textFill>
        </w:rPr>
      </w:pPr>
    </w:p>
    <w:p w14:paraId="53476300">
      <w:pPr>
        <w:spacing w:line="360" w:lineRule="auto"/>
        <w:rPr>
          <w:rFonts w:ascii="宋体" w:hAnsi="宋体"/>
          <w:bCs/>
          <w:color w:val="000000" w:themeColor="text1"/>
          <w:spacing w:val="6"/>
          <w:sz w:val="24"/>
          <w:highlight w:val="none"/>
          <w14:textFill>
            <w14:solidFill>
              <w14:schemeClr w14:val="tx1"/>
            </w14:solidFill>
          </w14:textFill>
        </w:rPr>
      </w:pPr>
    </w:p>
    <w:p w14:paraId="53476301">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w:t>
      </w:r>
      <w:r>
        <w:rPr>
          <w:rFonts w:hint="eastAsia" w:ascii="宋体" w:hAnsi="宋体"/>
          <w:color w:val="000000" w:themeColor="text1"/>
          <w:spacing w:val="6"/>
          <w:sz w:val="24"/>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 xml:space="preserve"> 单位的</w:t>
      </w:r>
      <w:r>
        <w:rPr>
          <w:rFonts w:hint="eastAsia" w:ascii="宋体" w:hAnsi="宋体"/>
          <w:color w:val="000000" w:themeColor="text1"/>
          <w:spacing w:val="6"/>
          <w:sz w:val="24"/>
          <w:highlight w:val="none"/>
          <w:u w:val="single"/>
          <w14:textFill>
            <w14:solidFill>
              <w14:schemeClr w14:val="tx1"/>
            </w14:solidFill>
          </w14:textFill>
        </w:rPr>
        <w:t xml:space="preserve">      </w:t>
      </w:r>
      <w:r>
        <w:rPr>
          <w:rFonts w:hint="eastAsia" w:ascii="宋体" w:hAnsi="宋体"/>
          <w:color w:val="000000" w:themeColor="text1"/>
          <w:spacing w:val="6"/>
          <w:sz w:val="24"/>
          <w:highlight w:val="none"/>
          <w14:textFill>
            <w14:solidFill>
              <w14:schemeClr w14:val="tx1"/>
            </w14:solidFill>
          </w14:textFill>
        </w:rPr>
        <w:t>项目采购活动由本单位承担工程</w:t>
      </w:r>
      <w:r>
        <w:rPr>
          <w:rFonts w:hint="eastAsia" w:ascii="宋体" w:hAnsi="宋体"/>
          <w:color w:val="000000" w:themeColor="text1"/>
          <w:spacing w:val="-6"/>
          <w:sz w:val="24"/>
          <w:highlight w:val="none"/>
          <w14:textFill>
            <w14:solidFill>
              <w14:schemeClr w14:val="tx1"/>
            </w14:solidFill>
          </w14:textFill>
        </w:rPr>
        <w:t>。</w:t>
      </w:r>
    </w:p>
    <w:p w14:paraId="53476302">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53476303">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6304">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3476305">
      <w:pPr>
        <w:adjustRightInd w:val="0"/>
        <w:snapToGrid w:val="0"/>
        <w:spacing w:line="360" w:lineRule="auto"/>
        <w:ind w:firstLine="960" w:firstLineChars="4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供应商名称（公章）：                          </w:t>
      </w:r>
    </w:p>
    <w:p w14:paraId="53476306">
      <w:pPr>
        <w:tabs>
          <w:tab w:val="left" w:pos="4860"/>
        </w:tabs>
        <w:spacing w:line="360" w:lineRule="auto"/>
        <w:ind w:right="1560" w:firstLine="480" w:firstLineChars="20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53476307">
      <w:pPr>
        <w:tabs>
          <w:tab w:val="left" w:pos="4860"/>
        </w:tabs>
        <w:spacing w:line="36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5347630A">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5347630B">
      <w:pPr>
        <w:spacing w:line="360" w:lineRule="auto"/>
        <w:rPr>
          <w:rFonts w:ascii="宋体" w:hAnsi="宋体" w:cs="宋体"/>
          <w:b/>
          <w:spacing w:val="6"/>
          <w:sz w:val="24"/>
          <w:highlight w:val="none"/>
        </w:rPr>
      </w:pPr>
      <w:r>
        <w:rPr>
          <w:rFonts w:hint="eastAsia" w:ascii="宋体" w:hAnsi="宋体" w:cs="宋体"/>
          <w:b/>
          <w:spacing w:val="6"/>
          <w:sz w:val="24"/>
          <w:highlight w:val="none"/>
        </w:rPr>
        <w:t>附件16</w:t>
      </w:r>
    </w:p>
    <w:p w14:paraId="5347630C">
      <w:pPr>
        <w:spacing w:line="360" w:lineRule="auto"/>
        <w:jc w:val="center"/>
        <w:rPr>
          <w:rFonts w:ascii="宋体" w:hAnsi="宋体" w:cs="方正小标宋简体"/>
          <w:b/>
          <w:sz w:val="32"/>
          <w:szCs w:val="32"/>
          <w:highlight w:val="none"/>
        </w:rPr>
      </w:pPr>
    </w:p>
    <w:p w14:paraId="5347630D">
      <w:pPr>
        <w:spacing w:line="360" w:lineRule="auto"/>
        <w:jc w:val="center"/>
        <w:rPr>
          <w:rFonts w:ascii="宋体" w:hAnsi="宋体" w:cs="方正小标宋简体"/>
          <w:b/>
          <w:sz w:val="32"/>
          <w:szCs w:val="32"/>
          <w:highlight w:val="none"/>
        </w:rPr>
      </w:pPr>
      <w:r>
        <w:rPr>
          <w:rFonts w:hint="eastAsia" w:ascii="宋体" w:hAnsi="宋体" w:cs="方正小标宋简体"/>
          <w:b/>
          <w:sz w:val="32"/>
          <w:szCs w:val="32"/>
          <w:highlight w:val="none"/>
        </w:rPr>
        <w:t>建筑材料和设备节能环保要求承诺书</w:t>
      </w:r>
    </w:p>
    <w:p w14:paraId="5347630E">
      <w:pPr>
        <w:spacing w:line="360" w:lineRule="auto"/>
        <w:jc w:val="center"/>
        <w:rPr>
          <w:rFonts w:ascii="宋体" w:hAnsi="宋体" w:cs="宋体"/>
          <w:szCs w:val="21"/>
          <w:highlight w:val="none"/>
        </w:rPr>
      </w:pPr>
    </w:p>
    <w:p w14:paraId="5347630F">
      <w:pPr>
        <w:spacing w:line="360" w:lineRule="auto"/>
        <w:ind w:firstLine="480" w:firstLineChars="200"/>
        <w:jc w:val="left"/>
        <w:rPr>
          <w:sz w:val="24"/>
          <w:highlight w:val="none"/>
        </w:rPr>
      </w:pPr>
      <w:r>
        <w:rPr>
          <w:rFonts w:hint="eastAsia"/>
          <w:sz w:val="24"/>
          <w:highlight w:val="none"/>
        </w:rPr>
        <w:t>我方承诺，一旦成交，我方保证严格执行</w:t>
      </w:r>
      <w:r>
        <w:rPr>
          <w:rFonts w:hint="eastAsia" w:cs="宋体"/>
          <w:sz w:val="24"/>
          <w:highlight w:val="none"/>
        </w:rPr>
        <w:t>《</w:t>
      </w:r>
      <w:r>
        <w:rPr>
          <w:rFonts w:hint="eastAsia" w:ascii="宋体" w:hAnsi="宋体"/>
          <w:sz w:val="24"/>
          <w:highlight w:val="none"/>
        </w:rPr>
        <w:t>财政部 国家发展改革委关于印发《节能产品政府采购实施意见》的通知</w:t>
      </w:r>
      <w:r>
        <w:rPr>
          <w:rFonts w:hint="eastAsia" w:cs="宋体"/>
          <w:sz w:val="24"/>
          <w:highlight w:val="none"/>
        </w:rPr>
        <w:t>》</w:t>
      </w:r>
      <w:r>
        <w:rPr>
          <w:rFonts w:hint="eastAsia" w:ascii="宋体" w:hAnsi="宋体"/>
          <w:sz w:val="24"/>
          <w:highlight w:val="none"/>
        </w:rPr>
        <w:t>（财库〔2004〕185号）、</w:t>
      </w:r>
      <w:r>
        <w:rPr>
          <w:rFonts w:hint="eastAsia" w:cs="宋体"/>
          <w:sz w:val="24"/>
          <w:highlight w:val="none"/>
        </w:rPr>
        <w:t>《财政部</w:t>
      </w:r>
      <w:r>
        <w:rPr>
          <w:rFonts w:cs="宋体"/>
          <w:sz w:val="24"/>
          <w:highlight w:val="none"/>
        </w:rPr>
        <w:t xml:space="preserve"> </w:t>
      </w:r>
      <w:r>
        <w:rPr>
          <w:rFonts w:hint="eastAsia" w:cs="宋体"/>
          <w:sz w:val="24"/>
          <w:highlight w:val="none"/>
        </w:rPr>
        <w:t>发展改革委</w:t>
      </w:r>
      <w:r>
        <w:rPr>
          <w:rFonts w:cs="宋体"/>
          <w:sz w:val="24"/>
          <w:highlight w:val="none"/>
        </w:rPr>
        <w:t xml:space="preserve"> </w:t>
      </w:r>
      <w:r>
        <w:rPr>
          <w:rFonts w:hint="eastAsia" w:cs="宋体"/>
          <w:sz w:val="24"/>
          <w:highlight w:val="none"/>
        </w:rPr>
        <w:t>生态环境部</w:t>
      </w:r>
      <w:r>
        <w:rPr>
          <w:rFonts w:cs="宋体"/>
          <w:sz w:val="24"/>
          <w:highlight w:val="none"/>
        </w:rPr>
        <w:t xml:space="preserve"> </w:t>
      </w:r>
      <w:r>
        <w:rPr>
          <w:rFonts w:hint="eastAsia" w:cs="宋体"/>
          <w:sz w:val="24"/>
          <w:highlight w:val="none"/>
        </w:rPr>
        <w:t>市场监管总局关于调整优化节能产品、环境标志产品政府采购执行机制的通知》（财库〔</w:t>
      </w:r>
      <w:r>
        <w:rPr>
          <w:rFonts w:cs="宋体"/>
          <w:sz w:val="24"/>
          <w:highlight w:val="none"/>
        </w:rPr>
        <w:t>2019</w:t>
      </w:r>
      <w:r>
        <w:rPr>
          <w:rFonts w:hint="eastAsia" w:cs="宋体"/>
          <w:sz w:val="24"/>
          <w:highlight w:val="none"/>
        </w:rPr>
        <w:t>〕</w:t>
      </w:r>
      <w:r>
        <w:rPr>
          <w:rFonts w:cs="宋体"/>
          <w:sz w:val="24"/>
          <w:highlight w:val="none"/>
        </w:rPr>
        <w:t>9</w:t>
      </w:r>
      <w:r>
        <w:rPr>
          <w:rFonts w:hint="eastAsia" w:cs="宋体"/>
          <w:sz w:val="24"/>
          <w:highlight w:val="none"/>
        </w:rPr>
        <w:t>号）和《关于印发节能产品政府采购品目清单的通知》（财库〔</w:t>
      </w:r>
      <w:r>
        <w:rPr>
          <w:rFonts w:cs="宋体"/>
          <w:sz w:val="24"/>
          <w:highlight w:val="none"/>
        </w:rPr>
        <w:t>2019</w:t>
      </w:r>
      <w:r>
        <w:rPr>
          <w:rFonts w:hint="eastAsia" w:cs="宋体"/>
          <w:sz w:val="24"/>
          <w:highlight w:val="none"/>
        </w:rPr>
        <w:t>〕</w:t>
      </w:r>
      <w:r>
        <w:rPr>
          <w:rFonts w:cs="宋体"/>
          <w:sz w:val="24"/>
          <w:highlight w:val="none"/>
        </w:rPr>
        <w:t>19</w:t>
      </w:r>
      <w:r>
        <w:rPr>
          <w:rFonts w:hint="eastAsia" w:cs="宋体"/>
          <w:sz w:val="24"/>
          <w:highlight w:val="none"/>
        </w:rPr>
        <w:t>号）的规定，所有工程中涉及的建筑材料和设备如属于财库〔</w:t>
      </w:r>
      <w:r>
        <w:rPr>
          <w:rFonts w:cs="宋体"/>
          <w:sz w:val="24"/>
          <w:highlight w:val="none"/>
        </w:rPr>
        <w:t>2019</w:t>
      </w:r>
      <w:r>
        <w:rPr>
          <w:rFonts w:hint="eastAsia" w:cs="宋体"/>
          <w:sz w:val="24"/>
          <w:highlight w:val="none"/>
        </w:rPr>
        <w:t>〕</w:t>
      </w:r>
      <w:r>
        <w:rPr>
          <w:rFonts w:cs="宋体"/>
          <w:sz w:val="24"/>
          <w:highlight w:val="none"/>
        </w:rPr>
        <w:t>19</w:t>
      </w:r>
      <w:r>
        <w:rPr>
          <w:rFonts w:hint="eastAsia" w:cs="宋体"/>
          <w:sz w:val="24"/>
          <w:highlight w:val="none"/>
        </w:rPr>
        <w:t>号文中《节能产品政府采购品目清单》内标注“★”的产品，都使用政府强制采购的节能产品。</w:t>
      </w:r>
      <w:r>
        <w:rPr>
          <w:rFonts w:hint="eastAsia"/>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sz w:val="24"/>
          <w:highlight w:val="none"/>
        </w:rPr>
      </w:pPr>
    </w:p>
    <w:p w14:paraId="53476311">
      <w:pPr>
        <w:spacing w:line="360" w:lineRule="auto"/>
        <w:rPr>
          <w:rFonts w:ascii="宋体" w:hAnsi="宋体" w:cs="仿宋_GB2312"/>
          <w:sz w:val="24"/>
          <w:highlight w:val="none"/>
        </w:rPr>
      </w:pPr>
    </w:p>
    <w:p w14:paraId="53476312">
      <w:pPr>
        <w:spacing w:line="360" w:lineRule="auto"/>
        <w:ind w:firstLine="3600" w:firstLineChars="1500"/>
        <w:rPr>
          <w:rFonts w:ascii="宋体" w:hAnsi="宋体" w:cs="仿宋_GB2312"/>
          <w:sz w:val="24"/>
          <w:highlight w:val="none"/>
        </w:rPr>
      </w:pPr>
      <w:r>
        <w:rPr>
          <w:rFonts w:hint="eastAsia" w:ascii="宋体" w:hAnsi="宋体" w:cs="仿宋_GB2312"/>
          <w:sz w:val="24"/>
          <w:highlight w:val="none"/>
        </w:rPr>
        <w:t>供应商（电子签章）：</w:t>
      </w:r>
    </w:p>
    <w:p w14:paraId="53476313">
      <w:pPr>
        <w:spacing w:line="360" w:lineRule="auto"/>
        <w:ind w:firstLine="480" w:firstLineChars="200"/>
        <w:jc w:val="center"/>
        <w:rPr>
          <w:rFonts w:ascii="宋体" w:hAnsi="宋体" w:cs="仿宋_GB2312"/>
          <w:sz w:val="24"/>
          <w:highlight w:val="none"/>
        </w:rPr>
        <w:sectPr>
          <w:footerReference r:id="rId7" w:type="default"/>
          <w:pgSz w:w="11907" w:h="16840"/>
          <w:pgMar w:top="1440" w:right="1440" w:bottom="1440" w:left="1797" w:header="851" w:footer="851" w:gutter="0"/>
          <w:cols w:space="720" w:num="1"/>
          <w:docGrid w:linePitch="312" w:charSpace="0"/>
        </w:sectPr>
      </w:pPr>
      <w:r>
        <w:rPr>
          <w:rFonts w:hint="eastAsia" w:ascii="宋体" w:hAnsi="宋体" w:cs="仿宋_GB2312"/>
          <w:sz w:val="24"/>
          <w:highlight w:val="none"/>
        </w:rPr>
        <w:t>年   月   日</w:t>
      </w:r>
    </w:p>
    <w:p w14:paraId="5347631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附件17</w:t>
      </w:r>
    </w:p>
    <w:p w14:paraId="53476315">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53476316">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3476317">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53476318">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53476319">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5347631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5347631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5347631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47631D">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5347631E">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5347631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53476320">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53476321">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53476322">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53476323">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53476324">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5347632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5347632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53476327">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53476328">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5347632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5347632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5347632B">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347632C">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5347632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5347632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5347632F">
      <w:pPr>
        <w:spacing w:line="360" w:lineRule="auto"/>
        <w:jc w:val="center"/>
        <w:rPr>
          <w:rFonts w:ascii="宋体" w:hAnsi="宋体" w:cs="宋体"/>
          <w:b/>
          <w:bCs/>
          <w:color w:val="000000" w:themeColor="text1"/>
          <w:sz w:val="24"/>
          <w:highlight w:val="none"/>
          <w14:textFill>
            <w14:solidFill>
              <w14:schemeClr w14:val="tx1"/>
            </w14:solidFill>
          </w14:textFill>
        </w:rPr>
      </w:pPr>
    </w:p>
    <w:p w14:paraId="53476330">
      <w:pPr>
        <w:spacing w:line="360" w:lineRule="auto"/>
        <w:rPr>
          <w:rFonts w:ascii="宋体" w:hAnsi="宋体" w:cs="宋体"/>
          <w:b/>
          <w:color w:val="000000" w:themeColor="text1"/>
          <w:sz w:val="24"/>
          <w:highlight w:val="none"/>
          <w14:textFill>
            <w14:solidFill>
              <w14:schemeClr w14:val="tx1"/>
            </w14:solidFill>
          </w14:textFill>
        </w:rPr>
      </w:pPr>
    </w:p>
    <w:p w14:paraId="53476331">
      <w:pPr>
        <w:spacing w:line="360" w:lineRule="auto"/>
        <w:rPr>
          <w:rFonts w:ascii="宋体" w:hAnsi="宋体" w:cs="宋体"/>
          <w:b/>
          <w:color w:val="000000" w:themeColor="text1"/>
          <w:sz w:val="24"/>
          <w:highlight w:val="none"/>
          <w14:textFill>
            <w14:solidFill>
              <w14:schemeClr w14:val="tx1"/>
            </w14:solidFill>
          </w14:textFill>
        </w:rPr>
      </w:pPr>
    </w:p>
    <w:p w14:paraId="53476332">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53476333">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5347633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53476338">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5347633A">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5347633B">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附件18</w:t>
      </w:r>
    </w:p>
    <w:p w14:paraId="5347633C">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5347633D">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ascii="宋体" w:hAnsi="宋体" w:cs="宋体"/>
          <w:b/>
          <w:bCs/>
          <w:color w:val="000000" w:themeColor="text1"/>
          <w:kern w:val="0"/>
          <w:sz w:val="24"/>
          <w:highlight w:val="none"/>
          <w14:textFill>
            <w14:solidFill>
              <w14:schemeClr w14:val="tx1"/>
            </w14:solidFill>
          </w14:textFill>
        </w:rPr>
        <w:t>政府采购供应商投诉书范本</w:t>
      </w:r>
    </w:p>
    <w:p w14:paraId="5347633E">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p>
    <w:p w14:paraId="5347633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5347634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5347634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5347634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5347634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5347634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5347634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53476349">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5347634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5347634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5347634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5347634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5347634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5347634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5347635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5347635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5347635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5347635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是/否 公告期限：</w:t>
      </w:r>
    </w:p>
    <w:p w14:paraId="5347635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是/否 公告期限：</w:t>
      </w:r>
    </w:p>
    <w:p w14:paraId="5347635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5347635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5347635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5347635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53476359">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5347635A">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5347635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5347635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5347635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5347635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5347635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5347636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347636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5347636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53476363">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5347636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5347636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5347636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53476369">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347636A">
      <w:pPr>
        <w:pStyle w:val="23"/>
        <w:rPr>
          <w:color w:val="000000" w:themeColor="text1"/>
          <w:sz w:val="24"/>
          <w:szCs w:val="24"/>
          <w:highlight w:val="none"/>
          <w14:textFill>
            <w14:solidFill>
              <w14:schemeClr w14:val="tx1"/>
            </w14:solidFill>
          </w14:textFill>
        </w:rPr>
      </w:pPr>
    </w:p>
    <w:p w14:paraId="5347636B">
      <w:pPr>
        <w:pStyle w:val="23"/>
        <w:rPr>
          <w:color w:val="000000" w:themeColor="text1"/>
          <w:highlight w:val="none"/>
          <w14:textFill>
            <w14:solidFill>
              <w14:schemeClr w14:val="tx1"/>
            </w14:solidFill>
          </w14:textFill>
        </w:rPr>
      </w:pPr>
    </w:p>
    <w:p w14:paraId="5347636C">
      <w:pPr>
        <w:pStyle w:val="23"/>
        <w:rPr>
          <w:color w:val="000000" w:themeColor="text1"/>
          <w:highlight w:val="none"/>
          <w14:textFill>
            <w14:solidFill>
              <w14:schemeClr w14:val="tx1"/>
            </w14:solidFill>
          </w14:textFill>
        </w:rPr>
      </w:pPr>
    </w:p>
    <w:p w14:paraId="5347636D">
      <w:pPr>
        <w:pStyle w:val="23"/>
        <w:rPr>
          <w:color w:val="000000" w:themeColor="text1"/>
          <w:highlight w:val="none"/>
          <w14:textFill>
            <w14:solidFill>
              <w14:schemeClr w14:val="tx1"/>
            </w14:solidFill>
          </w14:textFill>
        </w:rPr>
      </w:pPr>
    </w:p>
    <w:p w14:paraId="5347636E">
      <w:pPr>
        <w:pStyle w:val="1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47636F">
      <w:pPr>
        <w:pStyle w:val="101"/>
        <w:rPr>
          <w:color w:val="000000" w:themeColor="text1"/>
          <w:highlight w:val="none"/>
          <w14:textFill>
            <w14:solidFill>
              <w14:schemeClr w14:val="tx1"/>
            </w14:solidFill>
          </w14:textFill>
        </w:rPr>
      </w:pPr>
    </w:p>
    <w:p w14:paraId="53476370">
      <w:pPr>
        <w:pStyle w:val="101"/>
        <w:rPr>
          <w:color w:val="000000" w:themeColor="text1"/>
          <w:highlight w:val="none"/>
          <w14:textFill>
            <w14:solidFill>
              <w14:schemeClr w14:val="tx1"/>
            </w14:solidFill>
          </w14:textFill>
        </w:rPr>
      </w:pPr>
    </w:p>
    <w:p w14:paraId="53476371">
      <w:pPr>
        <w:pStyle w:val="101"/>
        <w:rPr>
          <w:color w:val="000000" w:themeColor="text1"/>
          <w:highlight w:val="none"/>
          <w14:textFill>
            <w14:solidFill>
              <w14:schemeClr w14:val="tx1"/>
            </w14:solidFill>
          </w14:textFill>
        </w:rPr>
      </w:pPr>
    </w:p>
    <w:p w14:paraId="53476372">
      <w:pPr>
        <w:pStyle w:val="101"/>
        <w:rPr>
          <w:color w:val="000000" w:themeColor="text1"/>
          <w:highlight w:val="none"/>
          <w14:textFill>
            <w14:solidFill>
              <w14:schemeClr w14:val="tx1"/>
            </w14:solidFill>
          </w14:textFill>
        </w:rPr>
      </w:pPr>
    </w:p>
    <w:p w14:paraId="53476373">
      <w:pPr>
        <w:pStyle w:val="101"/>
        <w:rPr>
          <w:color w:val="000000" w:themeColor="text1"/>
          <w:highlight w:val="none"/>
          <w14:textFill>
            <w14:solidFill>
              <w14:schemeClr w14:val="tx1"/>
            </w14:solidFill>
          </w14:textFill>
        </w:rPr>
      </w:pPr>
    </w:p>
    <w:p w14:paraId="53476374">
      <w:pPr>
        <w:pStyle w:val="101"/>
        <w:rPr>
          <w:color w:val="000000" w:themeColor="text1"/>
          <w:highlight w:val="none"/>
          <w14:textFill>
            <w14:solidFill>
              <w14:schemeClr w14:val="tx1"/>
            </w14:solidFill>
          </w14:textFill>
        </w:rPr>
      </w:pPr>
    </w:p>
    <w:p w14:paraId="53476375">
      <w:pPr>
        <w:pStyle w:val="101"/>
        <w:rPr>
          <w:color w:val="000000" w:themeColor="text1"/>
          <w:highlight w:val="none"/>
          <w14:textFill>
            <w14:solidFill>
              <w14:schemeClr w14:val="tx1"/>
            </w14:solidFill>
          </w14:textFill>
        </w:rPr>
      </w:pPr>
    </w:p>
    <w:p w14:paraId="53476376">
      <w:pPr>
        <w:pStyle w:val="101"/>
        <w:rPr>
          <w:color w:val="000000" w:themeColor="text1"/>
          <w:highlight w:val="none"/>
          <w14:textFill>
            <w14:solidFill>
              <w14:schemeClr w14:val="tx1"/>
            </w14:solidFill>
          </w14:textFill>
        </w:rPr>
      </w:pPr>
    </w:p>
    <w:p w14:paraId="53476377">
      <w:pPr>
        <w:pStyle w:val="101"/>
        <w:rPr>
          <w:color w:val="000000" w:themeColor="text1"/>
          <w:highlight w:val="none"/>
          <w14:textFill>
            <w14:solidFill>
              <w14:schemeClr w14:val="tx1"/>
            </w14:solidFill>
          </w14:textFill>
        </w:rPr>
      </w:pPr>
    </w:p>
    <w:p w14:paraId="53476378">
      <w:pPr>
        <w:pStyle w:val="101"/>
        <w:rPr>
          <w:color w:val="000000" w:themeColor="text1"/>
          <w:highlight w:val="none"/>
          <w14:textFill>
            <w14:solidFill>
              <w14:schemeClr w14:val="tx1"/>
            </w14:solidFill>
          </w14:textFill>
        </w:rPr>
      </w:pPr>
    </w:p>
    <w:p w14:paraId="53476379">
      <w:pPr>
        <w:pStyle w:val="101"/>
        <w:rPr>
          <w:color w:val="000000" w:themeColor="text1"/>
          <w:highlight w:val="none"/>
          <w14:textFill>
            <w14:solidFill>
              <w14:schemeClr w14:val="tx1"/>
            </w14:solidFill>
          </w14:textFill>
        </w:rPr>
      </w:pPr>
    </w:p>
    <w:p w14:paraId="5347637A">
      <w:pPr>
        <w:pStyle w:val="5"/>
        <w:spacing w:before="0" w:after="0" w:line="240" w:lineRule="auto"/>
        <w:jc w:val="center"/>
        <w:rPr>
          <w:rFonts w:ascii="宋体" w:hAnsi="宋体"/>
          <w:color w:val="000000" w:themeColor="text1"/>
          <w:highlight w:val="none"/>
          <w14:textFill>
            <w14:solidFill>
              <w14:schemeClr w14:val="tx1"/>
            </w14:solidFill>
          </w14:textFill>
        </w:rPr>
      </w:pPr>
      <w:bookmarkStart w:id="35" w:name="_Toc176861409"/>
      <w:r>
        <w:rPr>
          <w:rFonts w:hint="eastAsia" w:ascii="宋体" w:hAnsi="宋体"/>
          <w:color w:val="000000" w:themeColor="text1"/>
          <w:highlight w:val="none"/>
          <w14:textFill>
            <w14:solidFill>
              <w14:schemeClr w14:val="tx1"/>
            </w14:solidFill>
          </w14:textFill>
        </w:rPr>
        <w:t>第四章  采购项目需求</w:t>
      </w:r>
      <w:bookmarkEnd w:id="35"/>
    </w:p>
    <w:p w14:paraId="5347637B">
      <w:pPr>
        <w:rPr>
          <w:color w:val="000000" w:themeColor="text1"/>
          <w:highlight w:val="none"/>
          <w14:textFill>
            <w14:solidFill>
              <w14:schemeClr w14:val="tx1"/>
            </w14:solidFill>
          </w14:textFill>
        </w:rPr>
      </w:pPr>
    </w:p>
    <w:p w14:paraId="5347637C">
      <w:pPr>
        <w:rPr>
          <w:color w:val="000000" w:themeColor="text1"/>
          <w:highlight w:val="none"/>
          <w14:textFill>
            <w14:solidFill>
              <w14:schemeClr w14:val="tx1"/>
            </w14:solidFill>
          </w14:textFill>
        </w:rPr>
      </w:pPr>
    </w:p>
    <w:p w14:paraId="5347637D">
      <w:pPr>
        <w:spacing w:line="440" w:lineRule="exact"/>
        <w:jc w:val="center"/>
        <w:rPr>
          <w:color w:val="000000" w:themeColor="text1"/>
          <w:sz w:val="36"/>
          <w:szCs w:val="36"/>
          <w:highlight w:val="none"/>
          <w14:textFill>
            <w14:solidFill>
              <w14:schemeClr w14:val="tx1"/>
            </w14:solidFill>
          </w14:textFill>
        </w:rPr>
      </w:pPr>
    </w:p>
    <w:p w14:paraId="5347637E">
      <w:pPr>
        <w:pStyle w:val="23"/>
        <w:rPr>
          <w:color w:val="000000" w:themeColor="text1"/>
          <w:highlight w:val="none"/>
          <w14:textFill>
            <w14:solidFill>
              <w14:schemeClr w14:val="tx1"/>
            </w14:solidFill>
          </w14:textFill>
        </w:rPr>
      </w:pPr>
    </w:p>
    <w:p w14:paraId="5347637F">
      <w:pPr>
        <w:pStyle w:val="23"/>
        <w:rPr>
          <w:color w:val="000000" w:themeColor="text1"/>
          <w:highlight w:val="none"/>
          <w14:textFill>
            <w14:solidFill>
              <w14:schemeClr w14:val="tx1"/>
            </w14:solidFill>
          </w14:textFill>
        </w:rPr>
      </w:pPr>
    </w:p>
    <w:p w14:paraId="53476380">
      <w:pPr>
        <w:pStyle w:val="23"/>
        <w:rPr>
          <w:color w:val="000000" w:themeColor="text1"/>
          <w:highlight w:val="none"/>
          <w14:textFill>
            <w14:solidFill>
              <w14:schemeClr w14:val="tx1"/>
            </w14:solidFill>
          </w14:textFill>
        </w:rPr>
      </w:pPr>
    </w:p>
    <w:p w14:paraId="53476381">
      <w:pPr>
        <w:pStyle w:val="23"/>
        <w:rPr>
          <w:color w:val="000000" w:themeColor="text1"/>
          <w:highlight w:val="none"/>
          <w14:textFill>
            <w14:solidFill>
              <w14:schemeClr w14:val="tx1"/>
            </w14:solidFill>
          </w14:textFill>
        </w:rPr>
      </w:pPr>
    </w:p>
    <w:p w14:paraId="53476382">
      <w:pPr>
        <w:pStyle w:val="23"/>
        <w:rPr>
          <w:color w:val="000000" w:themeColor="text1"/>
          <w:highlight w:val="none"/>
          <w14:textFill>
            <w14:solidFill>
              <w14:schemeClr w14:val="tx1"/>
            </w14:solidFill>
          </w14:textFill>
        </w:rPr>
      </w:pPr>
    </w:p>
    <w:p w14:paraId="53476383">
      <w:pPr>
        <w:pStyle w:val="23"/>
        <w:rPr>
          <w:color w:val="000000" w:themeColor="text1"/>
          <w:highlight w:val="none"/>
          <w14:textFill>
            <w14:solidFill>
              <w14:schemeClr w14:val="tx1"/>
            </w14:solidFill>
          </w14:textFill>
        </w:rPr>
      </w:pPr>
    </w:p>
    <w:p w14:paraId="53476384">
      <w:pPr>
        <w:pStyle w:val="23"/>
        <w:rPr>
          <w:color w:val="000000" w:themeColor="text1"/>
          <w:highlight w:val="none"/>
          <w14:textFill>
            <w14:solidFill>
              <w14:schemeClr w14:val="tx1"/>
            </w14:solidFill>
          </w14:textFill>
        </w:rPr>
      </w:pPr>
    </w:p>
    <w:p w14:paraId="53476385">
      <w:pPr>
        <w:pStyle w:val="23"/>
        <w:rPr>
          <w:color w:val="000000" w:themeColor="text1"/>
          <w:highlight w:val="none"/>
          <w14:textFill>
            <w14:solidFill>
              <w14:schemeClr w14:val="tx1"/>
            </w14:solidFill>
          </w14:textFill>
        </w:rPr>
      </w:pPr>
    </w:p>
    <w:p w14:paraId="53476386">
      <w:pPr>
        <w:pStyle w:val="23"/>
        <w:rPr>
          <w:color w:val="000000" w:themeColor="text1"/>
          <w:highlight w:val="none"/>
          <w14:textFill>
            <w14:solidFill>
              <w14:schemeClr w14:val="tx1"/>
            </w14:solidFill>
          </w14:textFill>
        </w:rPr>
      </w:pPr>
    </w:p>
    <w:p w14:paraId="53476387">
      <w:pPr>
        <w:pStyle w:val="23"/>
        <w:rPr>
          <w:color w:val="000000" w:themeColor="text1"/>
          <w:highlight w:val="none"/>
          <w14:textFill>
            <w14:solidFill>
              <w14:schemeClr w14:val="tx1"/>
            </w14:solidFill>
          </w14:textFill>
        </w:rPr>
      </w:pPr>
    </w:p>
    <w:p w14:paraId="53476388">
      <w:pPr>
        <w:pStyle w:val="23"/>
        <w:rPr>
          <w:color w:val="000000" w:themeColor="text1"/>
          <w:highlight w:val="none"/>
          <w14:textFill>
            <w14:solidFill>
              <w14:schemeClr w14:val="tx1"/>
            </w14:solidFill>
          </w14:textFill>
        </w:rPr>
      </w:pPr>
    </w:p>
    <w:p w14:paraId="53476389">
      <w:pPr>
        <w:pStyle w:val="23"/>
        <w:rPr>
          <w:color w:val="000000" w:themeColor="text1"/>
          <w:highlight w:val="none"/>
          <w14:textFill>
            <w14:solidFill>
              <w14:schemeClr w14:val="tx1"/>
            </w14:solidFill>
          </w14:textFill>
        </w:rPr>
      </w:pPr>
    </w:p>
    <w:p w14:paraId="5347638A">
      <w:pPr>
        <w:pStyle w:val="23"/>
        <w:rPr>
          <w:color w:val="000000" w:themeColor="text1"/>
          <w:highlight w:val="none"/>
          <w14:textFill>
            <w14:solidFill>
              <w14:schemeClr w14:val="tx1"/>
            </w14:solidFill>
          </w14:textFill>
        </w:rPr>
      </w:pPr>
    </w:p>
    <w:p w14:paraId="5347638B">
      <w:pPr>
        <w:pStyle w:val="23"/>
        <w:rPr>
          <w:color w:val="000000" w:themeColor="text1"/>
          <w:highlight w:val="none"/>
          <w14:textFill>
            <w14:solidFill>
              <w14:schemeClr w14:val="tx1"/>
            </w14:solidFill>
          </w14:textFill>
        </w:rPr>
      </w:pPr>
    </w:p>
    <w:p w14:paraId="53476393">
      <w:pPr>
        <w:pStyle w:val="23"/>
        <w:rPr>
          <w:color w:val="000000" w:themeColor="text1"/>
          <w:highlight w:val="none"/>
          <w14:textFill>
            <w14:solidFill>
              <w14:schemeClr w14:val="tx1"/>
            </w14:solidFill>
          </w14:textFill>
        </w:rPr>
      </w:pPr>
    </w:p>
    <w:p w14:paraId="14E43011">
      <w:pPr>
        <w:rPr>
          <w:rFonts w:hint="eastAsia"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br w:type="page"/>
      </w:r>
    </w:p>
    <w:p w14:paraId="53476394">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53476395">
      <w:pPr>
        <w:adjustRightInd w:val="0"/>
        <w:snapToGrid w:val="0"/>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说明：</w:t>
      </w:r>
    </w:p>
    <w:p w14:paraId="53476396">
      <w:pPr>
        <w:adjustRightInd w:val="0"/>
        <w:snapToGrid w:val="0"/>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1.本项目的政府采购预算控制价为</w:t>
      </w:r>
      <w:r>
        <w:rPr>
          <w:rFonts w:hint="eastAsia" w:ascii="宋体" w:hAnsi="宋体" w:cs="宋体"/>
          <w:b/>
          <w:bCs/>
          <w:sz w:val="24"/>
          <w:szCs w:val="24"/>
          <w:highlight w:val="none"/>
        </w:rPr>
        <w:t>人民币</w:t>
      </w:r>
      <w:r>
        <w:rPr>
          <w:rFonts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903120.52</w:t>
      </w:r>
      <w:r>
        <w:rPr>
          <w:rFonts w:hint="eastAsia" w:ascii="宋体" w:hAnsi="宋体" w:cs="宋体"/>
          <w:b/>
          <w:bCs/>
          <w:sz w:val="24"/>
          <w:szCs w:val="24"/>
          <w:highlight w:val="none"/>
        </w:rPr>
        <w:t>元，</w:t>
      </w:r>
      <w:r>
        <w:rPr>
          <w:rFonts w:hint="eastAsia" w:ascii="宋体" w:hAnsi="宋体" w:cs="宋体"/>
          <w:b/>
          <w:bCs/>
          <w:color w:val="000000"/>
          <w:sz w:val="24"/>
          <w:szCs w:val="24"/>
          <w:highlight w:val="none"/>
        </w:rPr>
        <w:t>超过上述预算价的报价将视为无效报价。</w:t>
      </w:r>
    </w:p>
    <w:p w14:paraId="53476397">
      <w:pPr>
        <w:adjustRightInd w:val="0"/>
        <w:snapToGrid w:val="0"/>
        <w:spacing w:line="460" w:lineRule="exact"/>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2.根据《关于印发中小企业划型标准规定的通知》（工信部联企业〔2011〕300号）规定的划分标准，本项目采购所有标的对应的中小企业划分标准所属行业为：</w:t>
      </w:r>
      <w:r>
        <w:rPr>
          <w:rFonts w:hint="eastAsia" w:ascii="宋体" w:hAnsi="宋体" w:cs="宋体"/>
          <w:b/>
          <w:bCs/>
          <w:color w:val="000000"/>
          <w:sz w:val="24"/>
          <w:szCs w:val="24"/>
          <w:highlight w:val="none"/>
          <w:u w:val="single"/>
        </w:rPr>
        <w:t>建筑业</w:t>
      </w:r>
      <w:r>
        <w:rPr>
          <w:rFonts w:hint="eastAsia" w:ascii="宋体" w:hAnsi="宋体" w:cs="宋体"/>
          <w:b/>
          <w:bCs/>
          <w:color w:val="000000"/>
          <w:sz w:val="24"/>
          <w:szCs w:val="24"/>
          <w:highlight w:val="none"/>
        </w:rPr>
        <w:t xml:space="preserve">。   </w:t>
      </w:r>
    </w:p>
    <w:p w14:paraId="6245FA58">
      <w:pPr>
        <w:adjustRightInd w:val="0"/>
        <w:spacing w:line="360" w:lineRule="auto"/>
        <w:jc w:val="left"/>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一、工程概况</w:t>
      </w:r>
    </w:p>
    <w:p w14:paraId="6AC597FF">
      <w:pPr>
        <w:adjustRightInd w:val="0"/>
        <w:spacing w:line="360" w:lineRule="auto"/>
        <w:ind w:firstLine="480" w:firstLineChars="200"/>
        <w:jc w:val="left"/>
        <w:rPr>
          <w:rFonts w:hint="eastAsia" w:ascii="宋体" w:hAnsi="宋体" w:eastAsia="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合浦县2025年总江水闸标准化创建工程（土建部分）位于合浦县星岛湖镇，建设内容为建设内容为管理区、办公区；进闸道路；总江水闸及东干渠放水闸</w:t>
      </w:r>
      <w:r>
        <w:rPr>
          <w:rFonts w:hint="eastAsia" w:ascii="宋体" w:hAnsi="宋体" w:cs="仿宋_GB2312"/>
          <w:color w:val="000000" w:themeColor="text1"/>
          <w:sz w:val="24"/>
          <w:highlight w:val="none"/>
          <w:lang w:eastAsia="zh-CN"/>
          <w14:textFill>
            <w14:solidFill>
              <w14:schemeClr w14:val="tx1"/>
            </w14:solidFill>
          </w14:textFill>
        </w:rPr>
        <w:t>。具体内容详见工程量清单及图纸。</w:t>
      </w:r>
    </w:p>
    <w:p w14:paraId="7C402CA7">
      <w:pPr>
        <w:adjustRightInd w:val="0"/>
        <w:spacing w:line="360" w:lineRule="auto"/>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 xml:space="preserve">二、工程内容 </w:t>
      </w:r>
    </w:p>
    <w:p w14:paraId="3D00F32D">
      <w:pPr>
        <w:adjustRightInd w:val="0"/>
        <w:spacing w:line="360" w:lineRule="auto"/>
        <w:ind w:left="210" w:leftChars="100"/>
        <w:jc w:val="left"/>
        <w:rPr>
          <w:rFonts w:hint="eastAsia" w:ascii="宋体" w:hAnsi="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1.工程名称：</w:t>
      </w:r>
      <w:r>
        <w:rPr>
          <w:rFonts w:hint="eastAsia" w:ascii="宋体" w:hAnsi="宋体" w:cs="仿宋_GB2312"/>
          <w:color w:val="000000" w:themeColor="text1"/>
          <w:sz w:val="24"/>
          <w:highlight w:val="none"/>
          <w:lang w:eastAsia="zh-CN"/>
          <w14:textFill>
            <w14:solidFill>
              <w14:schemeClr w14:val="tx1"/>
            </w14:solidFill>
          </w14:textFill>
        </w:rPr>
        <w:t>合浦县2025年总江水闸标准化创建工程（土建部分）</w:t>
      </w:r>
    </w:p>
    <w:p w14:paraId="2EF03169">
      <w:pPr>
        <w:adjustRightInd w:val="0"/>
        <w:spacing w:line="360" w:lineRule="auto"/>
        <w:ind w:left="210" w:leftChars="100"/>
        <w:jc w:val="left"/>
        <w:rPr>
          <w:rFonts w:hint="default" w:ascii="宋体" w:hAnsi="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2.项目采购人：合浦县水利局；建设单位：合浦县水利工程管理站</w:t>
      </w:r>
    </w:p>
    <w:p w14:paraId="6B7A3EB0">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.现场条件：满足施工要求</w:t>
      </w:r>
    </w:p>
    <w:p w14:paraId="68551930">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宋体"/>
          <w:spacing w:val="2"/>
          <w:sz w:val="24"/>
          <w:highlight w:val="none"/>
        </w:rPr>
        <w:t>施工图纸</w:t>
      </w:r>
      <w:r>
        <w:rPr>
          <w:rFonts w:hint="eastAsia" w:hAnsi="宋体" w:cs="宋体"/>
          <w:spacing w:val="2"/>
          <w:sz w:val="24"/>
          <w:highlight w:val="none"/>
        </w:rPr>
        <w:t>及工程量清单所包含的全部内容</w:t>
      </w:r>
      <w:r>
        <w:rPr>
          <w:rFonts w:hint="eastAsia" w:ascii="宋体" w:hAnsi="宋体" w:cs="宋体"/>
          <w:spacing w:val="2"/>
          <w:sz w:val="24"/>
          <w:highlight w:val="none"/>
        </w:rPr>
        <w:t>。</w:t>
      </w:r>
      <w:r>
        <w:rPr>
          <w:rFonts w:hint="eastAsia" w:hAnsi="宋体" w:cs="宋体"/>
          <w:color w:val="000000" w:themeColor="text1"/>
          <w:spacing w:val="2"/>
          <w:sz w:val="24"/>
          <w:highlight w:val="none"/>
          <w14:textFill>
            <w14:solidFill>
              <w14:schemeClr w14:val="tx1"/>
            </w14:solidFill>
          </w14:textFill>
        </w:rPr>
        <w:t xml:space="preserve"> </w:t>
      </w:r>
    </w:p>
    <w:p w14:paraId="677D7314">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.工程质量标准：达到国家工程施工验收规范合格标准。</w:t>
      </w:r>
    </w:p>
    <w:p w14:paraId="0D373BE5">
      <w:pPr>
        <w:adjustRightInd w:val="0"/>
        <w:spacing w:line="360" w:lineRule="auto"/>
        <w:ind w:left="210" w:leftChars="100"/>
        <w:jc w:val="left"/>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6.技术标准和要求：符合国家现行的工程建设标准、技术规范及强制性标准条文、以及施工图纸载明的其他有关规范标准。</w:t>
      </w:r>
    </w:p>
    <w:p w14:paraId="1AA90CA9">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7</w:t>
      </w:r>
      <w:r>
        <w:rPr>
          <w:rFonts w:hint="eastAsia" w:ascii="宋体" w:hAnsi="宋体" w:cs="仿宋_GB2312"/>
          <w:color w:val="000000" w:themeColor="text1"/>
          <w:sz w:val="24"/>
          <w:highlight w:val="none"/>
          <w14:textFill>
            <w14:solidFill>
              <w14:schemeClr w14:val="tx1"/>
            </w14:solidFill>
          </w14:textFill>
        </w:rPr>
        <w:t>.工程施工要求：满足施工要求</w:t>
      </w:r>
    </w:p>
    <w:p w14:paraId="7B1E9E15">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8</w:t>
      </w:r>
      <w:r>
        <w:rPr>
          <w:rFonts w:hint="eastAsia" w:ascii="宋体" w:hAnsi="宋体" w:cs="仿宋_GB2312"/>
          <w:color w:val="000000" w:themeColor="text1"/>
          <w:sz w:val="24"/>
          <w:highlight w:val="none"/>
          <w14:textFill>
            <w14:solidFill>
              <w14:schemeClr w14:val="tx1"/>
            </w14:solidFill>
          </w14:textFill>
        </w:rPr>
        <w:t>.工程管理要求：满足施工要求</w:t>
      </w:r>
    </w:p>
    <w:p w14:paraId="18569C52">
      <w:pPr>
        <w:adjustRightInd w:val="0"/>
        <w:spacing w:line="360" w:lineRule="auto"/>
        <w:ind w:left="210" w:leftChars="1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9</w:t>
      </w:r>
      <w:r>
        <w:rPr>
          <w:rFonts w:hint="eastAsia" w:ascii="宋体" w:hAnsi="宋体" w:cs="仿宋_GB2312"/>
          <w:color w:val="000000" w:themeColor="text1"/>
          <w:sz w:val="24"/>
          <w:highlight w:val="none"/>
          <w14:textFill>
            <w14:solidFill>
              <w14:schemeClr w14:val="tx1"/>
            </w14:solidFill>
          </w14:textFill>
        </w:rPr>
        <w:t>.工程主要材料（设备）要求：满足施工要求</w:t>
      </w:r>
    </w:p>
    <w:p w14:paraId="23E18DB3">
      <w:pPr>
        <w:adjustRightInd w:val="0"/>
        <w:spacing w:line="360" w:lineRule="auto"/>
        <w:ind w:left="210" w:leftChars="100"/>
        <w:jc w:val="left"/>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10.本工程采用固定综合单价合同价格形式，合同价格包含增值税，本工程计价时采用的增值税计税方法为：一般计税法</w:t>
      </w:r>
    </w:p>
    <w:p w14:paraId="16DE081D">
      <w:pPr>
        <w:adjustRightInd w:val="0"/>
        <w:spacing w:line="360" w:lineRule="auto"/>
        <w:jc w:val="left"/>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三、商务要求</w:t>
      </w:r>
    </w:p>
    <w:p w14:paraId="5F403DA5">
      <w:pPr>
        <w:adjustRightInd w:val="0"/>
        <w:spacing w:line="360" w:lineRule="auto"/>
        <w:ind w:left="210" w:leftChars="100"/>
        <w:jc w:val="left"/>
        <w:rPr>
          <w:rFonts w:hint="default" w:ascii="宋体" w:hAnsi="宋体" w:cs="仿宋_GB2312"/>
          <w:color w:val="000000" w:themeColor="text1"/>
          <w:sz w:val="24"/>
          <w:highlight w:val="none"/>
          <w:lang w:val="en-US"/>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1.工期要求：</w:t>
      </w:r>
      <w:r>
        <w:rPr>
          <w:rFonts w:hint="eastAsia" w:ascii="宋体" w:hAnsi="宋体"/>
          <w:color w:val="000000" w:themeColor="text1"/>
          <w:sz w:val="24"/>
          <w:highlight w:val="none"/>
          <w:u w:val="single"/>
          <w:lang w:val="en-US" w:eastAsia="zh-CN"/>
          <w14:textFill>
            <w14:solidFill>
              <w14:schemeClr w14:val="tx1"/>
            </w14:solidFill>
          </w14:textFill>
        </w:rPr>
        <w:t xml:space="preserve">监理签发的开工日起90日历天内完成 </w:t>
      </w:r>
    </w:p>
    <w:p w14:paraId="1FFC22A9">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2.工程地点：</w:t>
      </w:r>
      <w:r>
        <w:rPr>
          <w:rFonts w:hint="eastAsia" w:ascii="宋体" w:hAnsi="宋体" w:cs="仿宋_GB2312"/>
          <w:color w:val="000000" w:themeColor="text1"/>
          <w:sz w:val="24"/>
          <w:highlight w:val="none"/>
          <w:lang w:val="en-US" w:eastAsia="zh-CN"/>
          <w14:textFill>
            <w14:solidFill>
              <w14:schemeClr w14:val="tx1"/>
            </w14:solidFill>
          </w14:textFill>
        </w:rPr>
        <w:t>合浦县星岛湖镇</w:t>
      </w:r>
    </w:p>
    <w:p w14:paraId="58B907C9">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3.付款条件（进度和方式）</w:t>
      </w:r>
    </w:p>
    <w:tbl>
      <w:tblPr>
        <w:tblStyle w:val="38"/>
        <w:tblW w:w="9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17"/>
        <w:gridCol w:w="2059"/>
        <w:gridCol w:w="6663"/>
      </w:tblGrid>
      <w:tr w14:paraId="09CAE6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76" w:hRule="atLeast"/>
          <w:jc w:val="center"/>
        </w:trPr>
        <w:tc>
          <w:tcPr>
            <w:tcW w:w="817" w:type="dxa"/>
            <w:shd w:val="clear" w:color="auto" w:fill="auto"/>
            <w:vAlign w:val="center"/>
          </w:tcPr>
          <w:p w14:paraId="2FB026B8">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序号</w:t>
            </w:r>
          </w:p>
        </w:tc>
        <w:tc>
          <w:tcPr>
            <w:tcW w:w="2059" w:type="dxa"/>
            <w:shd w:val="clear" w:color="auto" w:fill="auto"/>
            <w:vAlign w:val="center"/>
          </w:tcPr>
          <w:p w14:paraId="10EA0CAC">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付款比例（%）</w:t>
            </w:r>
          </w:p>
        </w:tc>
        <w:tc>
          <w:tcPr>
            <w:tcW w:w="6663" w:type="dxa"/>
            <w:shd w:val="clear" w:color="auto" w:fill="auto"/>
            <w:vAlign w:val="center"/>
          </w:tcPr>
          <w:p w14:paraId="26F51CD5">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付款方式</w:t>
            </w:r>
          </w:p>
        </w:tc>
      </w:tr>
      <w:tr w14:paraId="7FEE09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87" w:hRule="atLeast"/>
          <w:jc w:val="center"/>
        </w:trPr>
        <w:tc>
          <w:tcPr>
            <w:tcW w:w="817" w:type="dxa"/>
            <w:shd w:val="clear" w:color="auto" w:fill="auto"/>
            <w:vAlign w:val="center"/>
          </w:tcPr>
          <w:p w14:paraId="66831DBE">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1</w:t>
            </w:r>
          </w:p>
        </w:tc>
        <w:tc>
          <w:tcPr>
            <w:tcW w:w="2059" w:type="dxa"/>
            <w:shd w:val="clear" w:color="auto" w:fill="auto"/>
            <w:vAlign w:val="center"/>
          </w:tcPr>
          <w:p w14:paraId="56E6139E">
            <w:pPr>
              <w:pStyle w:val="102"/>
              <w:spacing w:before="114"/>
              <w:ind w:left="467" w:leftChars="0"/>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spacing w:val="-8"/>
                <w:sz w:val="24"/>
                <w:szCs w:val="24"/>
                <w:highlight w:val="none"/>
              </w:rPr>
              <w:t>30</w:t>
            </w:r>
          </w:p>
        </w:tc>
        <w:tc>
          <w:tcPr>
            <w:tcW w:w="6663" w:type="dxa"/>
            <w:shd w:val="clear" w:color="auto" w:fill="auto"/>
            <w:vAlign w:val="center"/>
          </w:tcPr>
          <w:p w14:paraId="20C5D70D">
            <w:pPr>
              <w:pStyle w:val="102"/>
              <w:spacing w:before="114" w:line="219" w:lineRule="auto"/>
              <w:ind w:left="114" w:leftChars="0"/>
              <w:rPr>
                <w:rFonts w:hint="eastAsia" w:ascii="宋体" w:hAnsi="宋体" w:eastAsia="宋体" w:cs="仿宋_GB2312"/>
                <w:color w:val="000000" w:themeColor="text1"/>
                <w:sz w:val="24"/>
                <w:szCs w:val="24"/>
                <w:highlight w:val="none"/>
                <w:lang w:eastAsia="zh-CN"/>
                <w14:textFill>
                  <w14:solidFill>
                    <w14:schemeClr w14:val="tx1"/>
                  </w14:solidFill>
                </w14:textFill>
              </w:rPr>
            </w:pPr>
            <w:r>
              <w:rPr>
                <w:spacing w:val="-2"/>
                <w:sz w:val="24"/>
                <w:szCs w:val="24"/>
                <w:highlight w:val="none"/>
              </w:rPr>
              <w:t>签订施工合同后支付合同价款</w:t>
            </w:r>
            <w:r>
              <w:rPr>
                <w:spacing w:val="-29"/>
                <w:sz w:val="24"/>
                <w:szCs w:val="24"/>
                <w:highlight w:val="none"/>
              </w:rPr>
              <w:t xml:space="preserve"> </w:t>
            </w:r>
            <w:r>
              <w:rPr>
                <w:spacing w:val="-2"/>
                <w:sz w:val="24"/>
                <w:szCs w:val="24"/>
                <w:highlight w:val="none"/>
              </w:rPr>
              <w:t>30%作为预付款</w:t>
            </w:r>
          </w:p>
        </w:tc>
      </w:tr>
      <w:tr w14:paraId="6758B5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2EA89A64">
            <w:pPr>
              <w:adjustRightInd w:val="0"/>
              <w:spacing w:line="360" w:lineRule="auto"/>
              <w:jc w:val="center"/>
              <w:rPr>
                <w:rFonts w:ascii="宋体"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2</w:t>
            </w:r>
          </w:p>
        </w:tc>
        <w:tc>
          <w:tcPr>
            <w:tcW w:w="2059" w:type="dxa"/>
            <w:shd w:val="clear" w:color="auto" w:fill="auto"/>
            <w:vAlign w:val="center"/>
          </w:tcPr>
          <w:p w14:paraId="1ED77986">
            <w:pPr>
              <w:pStyle w:val="102"/>
              <w:spacing w:before="78"/>
              <w:ind w:left="464" w:leftChars="0"/>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spacing w:val="-6"/>
                <w:sz w:val="24"/>
                <w:szCs w:val="24"/>
                <w:highlight w:val="none"/>
              </w:rPr>
              <w:t>65</w:t>
            </w:r>
          </w:p>
        </w:tc>
        <w:tc>
          <w:tcPr>
            <w:tcW w:w="6663" w:type="dxa"/>
            <w:shd w:val="clear" w:color="auto" w:fill="auto"/>
            <w:vAlign w:val="center"/>
          </w:tcPr>
          <w:p w14:paraId="51C2CC7E">
            <w:pPr>
              <w:pStyle w:val="102"/>
              <w:spacing w:before="118" w:line="312" w:lineRule="auto"/>
              <w:ind w:left="113" w:leftChars="0" w:right="107" w:rightChars="0" w:firstLine="3" w:firstLineChars="0"/>
              <w:rPr>
                <w:rFonts w:hint="eastAsia" w:ascii="宋体" w:hAnsi="宋体" w:eastAsia="宋体" w:cs="仿宋_GB2312"/>
                <w:color w:val="000000" w:themeColor="text1"/>
                <w:sz w:val="24"/>
                <w:szCs w:val="24"/>
                <w:highlight w:val="none"/>
                <w:lang w:eastAsia="zh-CN"/>
                <w14:textFill>
                  <w14:solidFill>
                    <w14:schemeClr w14:val="tx1"/>
                  </w14:solidFill>
                </w14:textFill>
              </w:rPr>
            </w:pPr>
            <w:r>
              <w:rPr>
                <w:spacing w:val="2"/>
                <w:sz w:val="24"/>
                <w:szCs w:val="24"/>
                <w:highlight w:val="none"/>
              </w:rPr>
              <w:t>从完成工程量达到合同价的</w:t>
            </w:r>
            <w:r>
              <w:rPr>
                <w:spacing w:val="-37"/>
                <w:sz w:val="24"/>
                <w:szCs w:val="24"/>
                <w:highlight w:val="none"/>
              </w:rPr>
              <w:t xml:space="preserve"> </w:t>
            </w:r>
            <w:r>
              <w:rPr>
                <w:spacing w:val="2"/>
                <w:sz w:val="24"/>
                <w:szCs w:val="24"/>
                <w:highlight w:val="none"/>
              </w:rPr>
              <w:t>30%开始，按每月完成工程量的</w:t>
            </w:r>
            <w:r>
              <w:rPr>
                <w:spacing w:val="-45"/>
                <w:sz w:val="24"/>
                <w:szCs w:val="24"/>
                <w:highlight w:val="none"/>
              </w:rPr>
              <w:t xml:space="preserve"> </w:t>
            </w:r>
            <w:r>
              <w:rPr>
                <w:spacing w:val="2"/>
                <w:sz w:val="24"/>
                <w:szCs w:val="24"/>
                <w:highlight w:val="none"/>
              </w:rPr>
              <w:t>90%支付工程进度款。工程完工验收合格及办理结算后支</w:t>
            </w:r>
            <w:r>
              <w:rPr>
                <w:spacing w:val="1"/>
                <w:sz w:val="24"/>
                <w:szCs w:val="24"/>
                <w:highlight w:val="none"/>
              </w:rPr>
              <w:t>付至结算总价的95%</w:t>
            </w:r>
          </w:p>
        </w:tc>
      </w:tr>
      <w:tr w14:paraId="430D7C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75" w:hRule="atLeast"/>
          <w:jc w:val="center"/>
        </w:trPr>
        <w:tc>
          <w:tcPr>
            <w:tcW w:w="817" w:type="dxa"/>
            <w:shd w:val="clear" w:color="auto" w:fill="auto"/>
            <w:vAlign w:val="center"/>
          </w:tcPr>
          <w:p w14:paraId="056753B4">
            <w:pPr>
              <w:adjustRightInd w:val="0"/>
              <w:spacing w:line="360" w:lineRule="auto"/>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3</w:t>
            </w:r>
          </w:p>
        </w:tc>
        <w:tc>
          <w:tcPr>
            <w:tcW w:w="2059" w:type="dxa"/>
            <w:shd w:val="clear" w:color="auto" w:fill="auto"/>
            <w:vAlign w:val="center"/>
          </w:tcPr>
          <w:p w14:paraId="7E305BBC">
            <w:pPr>
              <w:pStyle w:val="102"/>
              <w:spacing w:before="78" w:line="242" w:lineRule="auto"/>
              <w:ind w:left="525" w:leftChars="0"/>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sz w:val="24"/>
                <w:szCs w:val="24"/>
                <w:highlight w:val="none"/>
              </w:rPr>
              <w:t>2</w:t>
            </w:r>
          </w:p>
        </w:tc>
        <w:tc>
          <w:tcPr>
            <w:tcW w:w="6663" w:type="dxa"/>
            <w:shd w:val="clear" w:color="auto" w:fill="auto"/>
            <w:vAlign w:val="center"/>
          </w:tcPr>
          <w:p w14:paraId="22E5CBA3">
            <w:pPr>
              <w:pStyle w:val="102"/>
              <w:spacing w:before="118" w:line="312" w:lineRule="auto"/>
              <w:ind w:left="119" w:leftChars="0" w:right="107" w:rightChars="0" w:hanging="3" w:firstLineChars="0"/>
              <w:rPr>
                <w:rFonts w:hint="eastAsia" w:ascii="宋体" w:hAnsi="宋体" w:eastAsia="宋体" w:cs="仿宋_GB2312"/>
                <w:color w:val="000000" w:themeColor="text1"/>
                <w:sz w:val="24"/>
                <w:szCs w:val="24"/>
                <w:highlight w:val="none"/>
                <w:lang w:eastAsia="zh-CN"/>
                <w14:textFill>
                  <w14:solidFill>
                    <w14:schemeClr w14:val="tx1"/>
                  </w14:solidFill>
                </w14:textFill>
              </w:rPr>
            </w:pPr>
            <w:r>
              <w:rPr>
                <w:spacing w:val="-1"/>
                <w:sz w:val="24"/>
                <w:szCs w:val="24"/>
                <w:highlight w:val="none"/>
              </w:rPr>
              <w:t>按政府制定的结算审计办法完成第三方结算审计后，工程款支付至审计</w:t>
            </w:r>
            <w:r>
              <w:rPr>
                <w:spacing w:val="-2"/>
                <w:sz w:val="24"/>
                <w:szCs w:val="24"/>
                <w:highlight w:val="none"/>
              </w:rPr>
              <w:t>结算总价的 97%</w:t>
            </w:r>
          </w:p>
        </w:tc>
      </w:tr>
      <w:tr w14:paraId="6CB0AB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950" w:hRule="atLeast"/>
          <w:jc w:val="center"/>
        </w:trPr>
        <w:tc>
          <w:tcPr>
            <w:tcW w:w="817" w:type="dxa"/>
            <w:shd w:val="clear" w:color="auto" w:fill="auto"/>
            <w:vAlign w:val="center"/>
          </w:tcPr>
          <w:p w14:paraId="14BA14D7">
            <w:pPr>
              <w:adjustRightInd w:val="0"/>
              <w:spacing w:line="360" w:lineRule="auto"/>
              <w:jc w:val="center"/>
              <w:rPr>
                <w:rFonts w:hint="eastAsia" w:ascii="宋体" w:hAnsi="宋体" w:eastAsia="宋体" w:cs="仿宋_GB2312"/>
                <w:color w:val="000000" w:themeColor="text1"/>
                <w:sz w:val="24"/>
                <w:szCs w:val="24"/>
                <w:highlight w:val="none"/>
                <w:lang w:eastAsia="zh-CN"/>
                <w14:textFill>
                  <w14:solidFill>
                    <w14:schemeClr w14:val="tx1"/>
                  </w14:solidFill>
                </w14:textFill>
              </w:rPr>
            </w:pPr>
            <w:r>
              <w:rPr>
                <w:rFonts w:hint="eastAsia" w:ascii="宋体" w:hAnsi="宋体" w:cs="仿宋_GB2312"/>
                <w:color w:val="000000" w:themeColor="text1"/>
                <w:sz w:val="24"/>
                <w:szCs w:val="24"/>
                <w:highlight w:val="none"/>
                <w:lang w:val="en-US" w:eastAsia="zh-CN"/>
                <w14:textFill>
                  <w14:solidFill>
                    <w14:schemeClr w14:val="tx1"/>
                  </w14:solidFill>
                </w14:textFill>
              </w:rPr>
              <w:t>4</w:t>
            </w:r>
          </w:p>
        </w:tc>
        <w:tc>
          <w:tcPr>
            <w:tcW w:w="2059" w:type="dxa"/>
            <w:shd w:val="clear" w:color="auto" w:fill="auto"/>
            <w:vAlign w:val="center"/>
          </w:tcPr>
          <w:p w14:paraId="43C2AF9A">
            <w:pPr>
              <w:pStyle w:val="102"/>
              <w:spacing w:before="78"/>
              <w:ind w:left="527" w:leftChars="0"/>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sz w:val="24"/>
                <w:szCs w:val="24"/>
                <w:highlight w:val="none"/>
              </w:rPr>
              <w:t>3</w:t>
            </w:r>
          </w:p>
        </w:tc>
        <w:tc>
          <w:tcPr>
            <w:tcW w:w="6663" w:type="dxa"/>
            <w:shd w:val="clear" w:color="auto" w:fill="auto"/>
            <w:vAlign w:val="center"/>
          </w:tcPr>
          <w:p w14:paraId="086B51C7">
            <w:pPr>
              <w:pStyle w:val="102"/>
              <w:spacing w:before="117" w:line="314" w:lineRule="auto"/>
              <w:ind w:left="117" w:leftChars="0" w:right="107" w:rightChars="0"/>
              <w:rPr>
                <w:rFonts w:ascii="宋体" w:hAnsi="宋体" w:cs="仿宋_GB2312"/>
                <w:color w:val="000000" w:themeColor="text1"/>
                <w:sz w:val="24"/>
                <w:szCs w:val="24"/>
                <w:highlight w:val="none"/>
                <w14:textFill>
                  <w14:solidFill>
                    <w14:schemeClr w14:val="tx1"/>
                  </w14:solidFill>
                </w14:textFill>
              </w:rPr>
            </w:pPr>
            <w:r>
              <w:rPr>
                <w:spacing w:val="-3"/>
                <w:sz w:val="24"/>
                <w:szCs w:val="24"/>
                <w:highlight w:val="none"/>
              </w:rPr>
              <w:t>发包人按工程价款结算总额的</w:t>
            </w:r>
            <w:r>
              <w:rPr>
                <w:spacing w:val="-41"/>
                <w:sz w:val="24"/>
                <w:szCs w:val="24"/>
                <w:highlight w:val="none"/>
              </w:rPr>
              <w:t xml:space="preserve"> </w:t>
            </w:r>
            <w:r>
              <w:rPr>
                <w:spacing w:val="-3"/>
                <w:sz w:val="24"/>
                <w:szCs w:val="24"/>
                <w:highlight w:val="none"/>
              </w:rPr>
              <w:t>3%预留工程质量保修金，待工程缺陷责任</w:t>
            </w:r>
            <w:r>
              <w:rPr>
                <w:spacing w:val="-1"/>
                <w:sz w:val="24"/>
                <w:szCs w:val="24"/>
                <w:highlight w:val="none"/>
              </w:rPr>
              <w:t>期满后，如无质量问题，发包人应无息返还保修金</w:t>
            </w:r>
          </w:p>
        </w:tc>
      </w:tr>
    </w:tbl>
    <w:p w14:paraId="174B282D">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4.工程售后服务要求：缺陷责任期一年</w:t>
      </w:r>
    </w:p>
    <w:p w14:paraId="4BE9C63E">
      <w:pPr>
        <w:adjustRightInd w:val="0"/>
        <w:spacing w:line="360" w:lineRule="auto"/>
        <w:ind w:left="210" w:leftChars="10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5.合同签订时间</w:t>
      </w:r>
      <w:r>
        <w:rPr>
          <w:rFonts w:hint="eastAsia" w:ascii="宋体" w:hAnsi="宋体" w:cs="仿宋_GB2312"/>
          <w:color w:val="000000" w:themeColor="text1"/>
          <w:sz w:val="24"/>
          <w:highlight w:val="none"/>
          <w:lang w:eastAsia="zh-CN"/>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自成交通知书发出之日起25日内。</w:t>
      </w:r>
    </w:p>
    <w:p w14:paraId="534763B7">
      <w:pPr>
        <w:pStyle w:val="23"/>
        <w:rPr>
          <w:color w:val="000000" w:themeColor="text1"/>
          <w:highlight w:val="none"/>
          <w14:textFill>
            <w14:solidFill>
              <w14:schemeClr w14:val="tx1"/>
            </w14:solidFill>
          </w14:textFill>
        </w:rPr>
      </w:pPr>
    </w:p>
    <w:p w14:paraId="3976918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6D8A95">
      <w:pPr>
        <w:pStyle w:val="23"/>
        <w:rPr>
          <w:color w:val="000000" w:themeColor="text1"/>
          <w:highlight w:val="none"/>
          <w14:textFill>
            <w14:solidFill>
              <w14:schemeClr w14:val="tx1"/>
            </w14:solidFill>
          </w14:textFill>
        </w:rPr>
      </w:pPr>
    </w:p>
    <w:p w14:paraId="534763B8">
      <w:pPr>
        <w:pStyle w:val="23"/>
        <w:rPr>
          <w:color w:val="000000" w:themeColor="text1"/>
          <w:highlight w:val="none"/>
          <w14:textFill>
            <w14:solidFill>
              <w14:schemeClr w14:val="tx1"/>
            </w14:solidFill>
          </w14:textFill>
        </w:rPr>
      </w:pPr>
    </w:p>
    <w:p w14:paraId="534763B9">
      <w:pPr>
        <w:pStyle w:val="23"/>
        <w:rPr>
          <w:color w:val="000000" w:themeColor="text1"/>
          <w:highlight w:val="none"/>
          <w14:textFill>
            <w14:solidFill>
              <w14:schemeClr w14:val="tx1"/>
            </w14:solidFill>
          </w14:textFill>
        </w:rPr>
      </w:pPr>
    </w:p>
    <w:p w14:paraId="534763BA">
      <w:pPr>
        <w:pStyle w:val="23"/>
        <w:rPr>
          <w:color w:val="000000" w:themeColor="text1"/>
          <w:highlight w:val="none"/>
          <w14:textFill>
            <w14:solidFill>
              <w14:schemeClr w14:val="tx1"/>
            </w14:solidFill>
          </w14:textFill>
        </w:rPr>
      </w:pPr>
    </w:p>
    <w:p w14:paraId="534763BB">
      <w:pPr>
        <w:pStyle w:val="23"/>
        <w:rPr>
          <w:color w:val="000000" w:themeColor="text1"/>
          <w:highlight w:val="none"/>
          <w14:textFill>
            <w14:solidFill>
              <w14:schemeClr w14:val="tx1"/>
            </w14:solidFill>
          </w14:textFill>
        </w:rPr>
      </w:pPr>
    </w:p>
    <w:p w14:paraId="534763BC">
      <w:pPr>
        <w:pStyle w:val="23"/>
        <w:rPr>
          <w:color w:val="000000" w:themeColor="text1"/>
          <w:highlight w:val="none"/>
          <w14:textFill>
            <w14:solidFill>
              <w14:schemeClr w14:val="tx1"/>
            </w14:solidFill>
          </w14:textFill>
        </w:rPr>
      </w:pPr>
    </w:p>
    <w:p w14:paraId="534763BD">
      <w:pPr>
        <w:pStyle w:val="23"/>
        <w:rPr>
          <w:color w:val="000000" w:themeColor="text1"/>
          <w:highlight w:val="none"/>
          <w14:textFill>
            <w14:solidFill>
              <w14:schemeClr w14:val="tx1"/>
            </w14:solidFill>
          </w14:textFill>
        </w:rPr>
      </w:pPr>
    </w:p>
    <w:p w14:paraId="534763BE">
      <w:pPr>
        <w:pStyle w:val="23"/>
        <w:rPr>
          <w:color w:val="000000" w:themeColor="text1"/>
          <w:highlight w:val="none"/>
          <w14:textFill>
            <w14:solidFill>
              <w14:schemeClr w14:val="tx1"/>
            </w14:solidFill>
          </w14:textFill>
        </w:rPr>
      </w:pPr>
    </w:p>
    <w:p w14:paraId="534763BF">
      <w:pPr>
        <w:pStyle w:val="23"/>
        <w:rPr>
          <w:color w:val="000000" w:themeColor="text1"/>
          <w:highlight w:val="none"/>
          <w14:textFill>
            <w14:solidFill>
              <w14:schemeClr w14:val="tx1"/>
            </w14:solidFill>
          </w14:textFill>
        </w:rPr>
      </w:pPr>
    </w:p>
    <w:p w14:paraId="534763C0">
      <w:pPr>
        <w:pStyle w:val="23"/>
        <w:rPr>
          <w:color w:val="000000" w:themeColor="text1"/>
          <w:highlight w:val="none"/>
          <w14:textFill>
            <w14:solidFill>
              <w14:schemeClr w14:val="tx1"/>
            </w14:solidFill>
          </w14:textFill>
        </w:rPr>
      </w:pPr>
    </w:p>
    <w:p w14:paraId="534763C1">
      <w:pPr>
        <w:pStyle w:val="23"/>
        <w:rPr>
          <w:color w:val="000000" w:themeColor="text1"/>
          <w:highlight w:val="none"/>
          <w14:textFill>
            <w14:solidFill>
              <w14:schemeClr w14:val="tx1"/>
            </w14:solidFill>
          </w14:textFill>
        </w:rPr>
      </w:pPr>
    </w:p>
    <w:p w14:paraId="534763C2">
      <w:pPr>
        <w:pStyle w:val="23"/>
        <w:rPr>
          <w:color w:val="000000" w:themeColor="text1"/>
          <w:highlight w:val="none"/>
          <w14:textFill>
            <w14:solidFill>
              <w14:schemeClr w14:val="tx1"/>
            </w14:solidFill>
          </w14:textFill>
        </w:rPr>
      </w:pPr>
    </w:p>
    <w:p w14:paraId="534763C3">
      <w:pPr>
        <w:pStyle w:val="23"/>
        <w:rPr>
          <w:color w:val="000000" w:themeColor="text1"/>
          <w:highlight w:val="none"/>
          <w14:textFill>
            <w14:solidFill>
              <w14:schemeClr w14:val="tx1"/>
            </w14:solidFill>
          </w14:textFill>
        </w:rPr>
      </w:pPr>
    </w:p>
    <w:p w14:paraId="534763C4">
      <w:pPr>
        <w:pStyle w:val="23"/>
        <w:rPr>
          <w:color w:val="000000" w:themeColor="text1"/>
          <w:highlight w:val="none"/>
          <w14:textFill>
            <w14:solidFill>
              <w14:schemeClr w14:val="tx1"/>
            </w14:solidFill>
          </w14:textFill>
        </w:rPr>
      </w:pPr>
    </w:p>
    <w:p w14:paraId="534763C5">
      <w:pPr>
        <w:pStyle w:val="23"/>
        <w:rPr>
          <w:color w:val="000000" w:themeColor="text1"/>
          <w:highlight w:val="none"/>
          <w14:textFill>
            <w14:solidFill>
              <w14:schemeClr w14:val="tx1"/>
            </w14:solidFill>
          </w14:textFill>
        </w:rPr>
      </w:pPr>
    </w:p>
    <w:p w14:paraId="534763C6">
      <w:pPr>
        <w:pStyle w:val="23"/>
        <w:rPr>
          <w:color w:val="000000" w:themeColor="text1"/>
          <w:highlight w:val="none"/>
          <w14:textFill>
            <w14:solidFill>
              <w14:schemeClr w14:val="tx1"/>
            </w14:solidFill>
          </w14:textFill>
        </w:rPr>
      </w:pPr>
    </w:p>
    <w:p w14:paraId="534763C7">
      <w:pPr>
        <w:pStyle w:val="5"/>
        <w:spacing w:before="0" w:after="0" w:line="240" w:lineRule="auto"/>
        <w:jc w:val="center"/>
        <w:rPr>
          <w:rFonts w:ascii="宋体" w:hAnsi="宋体"/>
          <w:color w:val="000000" w:themeColor="text1"/>
          <w:highlight w:val="none"/>
          <w14:textFill>
            <w14:solidFill>
              <w14:schemeClr w14:val="tx1"/>
            </w14:solidFill>
          </w14:textFill>
        </w:rPr>
      </w:pPr>
      <w:bookmarkStart w:id="36" w:name="_Toc176861410"/>
      <w:r>
        <w:rPr>
          <w:rFonts w:hint="eastAsia" w:ascii="宋体" w:hAnsi="宋体"/>
          <w:color w:val="000000" w:themeColor="text1"/>
          <w:highlight w:val="none"/>
          <w14:textFill>
            <w14:solidFill>
              <w14:schemeClr w14:val="tx1"/>
            </w14:solidFill>
          </w14:textFill>
        </w:rPr>
        <w:t>第五章  工程量清单及图纸</w:t>
      </w:r>
      <w:bookmarkEnd w:id="36"/>
    </w:p>
    <w:p w14:paraId="534763C8">
      <w:pPr>
        <w:rPr>
          <w:color w:val="000000" w:themeColor="text1"/>
          <w:highlight w:val="none"/>
          <w14:textFill>
            <w14:solidFill>
              <w14:schemeClr w14:val="tx1"/>
            </w14:solidFill>
          </w14:textFill>
        </w:rPr>
      </w:pPr>
    </w:p>
    <w:p w14:paraId="534763C9">
      <w:pPr>
        <w:rPr>
          <w:color w:val="000000" w:themeColor="text1"/>
          <w:highlight w:val="none"/>
          <w14:textFill>
            <w14:solidFill>
              <w14:schemeClr w14:val="tx1"/>
            </w14:solidFill>
          </w14:textFill>
        </w:rPr>
      </w:pPr>
    </w:p>
    <w:p w14:paraId="534763CA">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534763CB">
      <w:pPr>
        <w:spacing w:line="440" w:lineRule="exact"/>
        <w:jc w:val="center"/>
        <w:rPr>
          <w:rFonts w:eastAsia="仿宋_GB2312"/>
          <w:color w:val="000000" w:themeColor="text1"/>
          <w:sz w:val="36"/>
          <w:szCs w:val="36"/>
          <w:highlight w:val="none"/>
          <w14:textFill>
            <w14:solidFill>
              <w14:schemeClr w14:val="tx1"/>
            </w14:solidFill>
          </w14:textFill>
        </w:rPr>
      </w:pPr>
    </w:p>
    <w:p w14:paraId="534763CC">
      <w:pPr>
        <w:bidi w:val="0"/>
        <w:rPr>
          <w:highlight w:val="none"/>
        </w:rPr>
      </w:pPr>
      <w:r>
        <w:rPr>
          <w:highlight w:val="none"/>
        </w:rPr>
        <w:br w:type="page"/>
      </w:r>
    </w:p>
    <w:p w14:paraId="534763CD">
      <w:pPr>
        <w:rPr>
          <w:color w:val="000000" w:themeColor="text1"/>
          <w:highlight w:val="none"/>
          <w14:textFill>
            <w14:solidFill>
              <w14:schemeClr w14:val="tx1"/>
            </w14:solidFill>
          </w14:textFill>
        </w:rPr>
      </w:pPr>
    </w:p>
    <w:p w14:paraId="534763CE">
      <w:pPr>
        <w:pStyle w:val="4"/>
        <w:rPr>
          <w:color w:val="000000" w:themeColor="text1"/>
          <w:highlight w:val="none"/>
          <w14:textFill>
            <w14:solidFill>
              <w14:schemeClr w14:val="tx1"/>
            </w14:solidFill>
          </w14:textFill>
        </w:rPr>
      </w:pPr>
    </w:p>
    <w:p w14:paraId="534763CF">
      <w:pPr>
        <w:rPr>
          <w:color w:val="000000" w:themeColor="text1"/>
          <w:highlight w:val="none"/>
          <w14:textFill>
            <w14:solidFill>
              <w14:schemeClr w14:val="tx1"/>
            </w14:solidFill>
          </w14:textFill>
        </w:rPr>
      </w:pPr>
    </w:p>
    <w:p w14:paraId="534763D0">
      <w:pPr>
        <w:spacing w:line="600" w:lineRule="exact"/>
        <w:rPr>
          <w:color w:val="000000" w:themeColor="text1"/>
          <w:szCs w:val="21"/>
          <w:highlight w:val="none"/>
          <w14:textFill>
            <w14:solidFill>
              <w14:schemeClr w14:val="tx1"/>
            </w14:solidFill>
          </w14:textFill>
        </w:rPr>
      </w:pPr>
    </w:p>
    <w:p w14:paraId="534763D1">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534763D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3">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5">
      <w:pPr>
        <w:pStyle w:val="4"/>
        <w:rPr>
          <w:color w:val="000000" w:themeColor="text1"/>
          <w:highlight w:val="none"/>
          <w14:textFill>
            <w14:solidFill>
              <w14:schemeClr w14:val="tx1"/>
            </w14:solidFill>
          </w14:textFill>
        </w:rPr>
      </w:pPr>
    </w:p>
    <w:p w14:paraId="534763D6">
      <w:pPr>
        <w:rPr>
          <w:color w:val="000000" w:themeColor="text1"/>
          <w:highlight w:val="none"/>
          <w14:textFill>
            <w14:solidFill>
              <w14:schemeClr w14:val="tx1"/>
            </w14:solidFill>
          </w14:textFill>
        </w:rPr>
      </w:pPr>
    </w:p>
    <w:p w14:paraId="534763D7">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37" w:name="_Toc176861411"/>
      <w:bookmarkStart w:id="38" w:name="_Toc3994507"/>
      <w:bookmarkStart w:id="39" w:name="_Toc31815"/>
      <w:r>
        <w:rPr>
          <w:rFonts w:hint="eastAsia" w:ascii="宋体" w:hAnsi="宋体"/>
          <w:b/>
          <w:color w:val="000000" w:themeColor="text1"/>
          <w:kern w:val="0"/>
          <w:sz w:val="44"/>
          <w:szCs w:val="44"/>
          <w:highlight w:val="none"/>
          <w14:textFill>
            <w14:solidFill>
              <w14:schemeClr w14:val="tx1"/>
            </w14:solidFill>
          </w14:textFill>
        </w:rPr>
        <w:t>第六章  合同格式</w:t>
      </w:r>
      <w:bookmarkEnd w:id="37"/>
      <w:bookmarkEnd w:id="38"/>
      <w:bookmarkEnd w:id="39"/>
    </w:p>
    <w:p w14:paraId="534763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9">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D">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D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E0">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34763E1">
      <w:pPr>
        <w:pStyle w:val="4"/>
        <w:rPr>
          <w:color w:val="000000" w:themeColor="text1"/>
          <w:highlight w:val="none"/>
          <w14:textFill>
            <w14:solidFill>
              <w14:schemeClr w14:val="tx1"/>
            </w14:solidFill>
          </w14:textFill>
        </w:rPr>
      </w:pPr>
    </w:p>
    <w:p w14:paraId="534763E2">
      <w:pPr>
        <w:rPr>
          <w:color w:val="000000" w:themeColor="text1"/>
          <w:highlight w:val="none"/>
          <w14:textFill>
            <w14:solidFill>
              <w14:schemeClr w14:val="tx1"/>
            </w14:solidFill>
          </w14:textFill>
        </w:rPr>
      </w:pPr>
    </w:p>
    <w:p w14:paraId="534763E3">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8F63FB1">
      <w:pPr>
        <w:pStyle w:val="27"/>
        <w:rPr>
          <w:rFonts w:hint="eastAsia" w:ascii="宋体" w:hAnsi="宋体" w:eastAsia="宋体" w:cs="宋体"/>
          <w:b/>
          <w:bCs/>
          <w:snapToGrid w:val="0"/>
          <w:color w:val="auto"/>
          <w:kern w:val="0"/>
          <w:sz w:val="36"/>
          <w:szCs w:val="36"/>
          <w:highlight w:val="none"/>
          <w:lang w:val="en-US" w:eastAsia="zh-CN" w:bidi="ar"/>
        </w:rPr>
      </w:pPr>
      <w:bookmarkStart w:id="40" w:name="_Toc373227552"/>
      <w:bookmarkStart w:id="41" w:name="_Toc373478199"/>
      <w:bookmarkStart w:id="42" w:name="_Toc296890982"/>
      <w:bookmarkStart w:id="43" w:name="_Toc483500112"/>
      <w:bookmarkStart w:id="44" w:name="_Toc389065255"/>
      <w:bookmarkStart w:id="45" w:name="_Toc486858326"/>
      <w:bookmarkStart w:id="46" w:name="_Toc351203480"/>
      <w:bookmarkStart w:id="47" w:name="_Toc456680639"/>
      <w:bookmarkStart w:id="48" w:name="_Toc20728955"/>
      <w:bookmarkStart w:id="49" w:name="_Toc296503025"/>
    </w:p>
    <w:p w14:paraId="5E6DDE06">
      <w:pPr>
        <w:keepNext w:val="0"/>
        <w:keepLines w:val="0"/>
        <w:widowControl/>
        <w:suppressLineNumbers w:val="0"/>
        <w:jc w:val="center"/>
        <w:rPr>
          <w:rFonts w:hint="eastAsia" w:ascii="宋体" w:hAnsi="宋体" w:eastAsia="宋体" w:cs="宋体"/>
          <w:b/>
          <w:bCs/>
          <w:color w:val="auto"/>
          <w:sz w:val="44"/>
          <w:szCs w:val="44"/>
          <w:highlight w:val="none"/>
          <w:u w:val="none"/>
          <w:lang w:eastAsia="zh-CN"/>
        </w:rPr>
      </w:pPr>
    </w:p>
    <w:p w14:paraId="36829241">
      <w:pPr>
        <w:bidi w:val="0"/>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合浦县2025年总江水闸标准化创建工程（土建部分）</w:t>
      </w:r>
    </w:p>
    <w:p w14:paraId="4973F416">
      <w:pPr>
        <w:pStyle w:val="36"/>
        <w:ind w:left="0" w:leftChars="0" w:firstLine="0" w:firstLineChars="0"/>
        <w:jc w:val="both"/>
        <w:rPr>
          <w:rFonts w:hint="eastAsia"/>
          <w:color w:val="auto"/>
          <w:highlight w:val="none"/>
          <w:lang w:val="en-US" w:eastAsia="zh-CN"/>
        </w:rPr>
      </w:pPr>
    </w:p>
    <w:p w14:paraId="7217B454">
      <w:pPr>
        <w:bidi w:val="0"/>
        <w:jc w:val="center"/>
        <w:rPr>
          <w:rFonts w:hint="eastAsia"/>
          <w:color w:val="auto"/>
          <w:highlight w:val="none"/>
          <w:lang w:val="en-US" w:eastAsia="zh-CN"/>
        </w:rPr>
      </w:pPr>
    </w:p>
    <w:p w14:paraId="39AF4106">
      <w:pPr>
        <w:bidi w:val="0"/>
        <w:jc w:val="center"/>
        <w:rPr>
          <w:rFonts w:hint="eastAsia"/>
          <w:b/>
          <w:bCs/>
          <w:color w:val="auto"/>
          <w:sz w:val="72"/>
          <w:szCs w:val="72"/>
          <w:highlight w:val="none"/>
          <w:lang w:val="en-US" w:eastAsia="zh-CN"/>
        </w:rPr>
      </w:pPr>
      <w:bookmarkStart w:id="50" w:name="_Toc32330"/>
    </w:p>
    <w:p w14:paraId="0443C540">
      <w:pPr>
        <w:pStyle w:val="27"/>
        <w:jc w:val="center"/>
        <w:rPr>
          <w:rFonts w:hint="eastAsia"/>
          <w:color w:val="auto"/>
          <w:highlight w:val="none"/>
          <w:lang w:val="en-US" w:eastAsia="zh-CN"/>
        </w:rPr>
      </w:pPr>
    </w:p>
    <w:p w14:paraId="618CC86D">
      <w:pPr>
        <w:bidi w:val="0"/>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施 工 承 包 合 同</w:t>
      </w:r>
      <w:bookmarkEnd w:id="50"/>
    </w:p>
    <w:p w14:paraId="5728E627">
      <w:pPr>
        <w:bidi w:val="0"/>
        <w:jc w:val="center"/>
        <w:rPr>
          <w:rFonts w:hint="eastAsia"/>
          <w:color w:val="auto"/>
          <w:highlight w:val="none"/>
          <w:lang w:eastAsia="zh-CN"/>
        </w:rPr>
      </w:pPr>
    </w:p>
    <w:p w14:paraId="76EB53F4">
      <w:pPr>
        <w:bidi w:val="0"/>
        <w:jc w:val="center"/>
        <w:rPr>
          <w:rFonts w:hint="eastAsia"/>
          <w:b/>
          <w:bCs/>
          <w:color w:val="auto"/>
          <w:sz w:val="32"/>
          <w:szCs w:val="32"/>
          <w:highlight w:val="none"/>
          <w:lang w:eastAsia="zh-CN"/>
        </w:rPr>
      </w:pPr>
    </w:p>
    <w:p w14:paraId="16F56916">
      <w:pPr>
        <w:keepNext w:val="0"/>
        <w:keepLines w:val="0"/>
        <w:widowControl/>
        <w:suppressLineNumbers w:val="0"/>
        <w:jc w:val="center"/>
        <w:rPr>
          <w:rFonts w:hint="eastAsia" w:ascii="宋体" w:hAnsi="宋体" w:eastAsia="宋体" w:cs="宋体"/>
          <w:b/>
          <w:bCs/>
          <w:color w:val="auto"/>
          <w:sz w:val="32"/>
          <w:szCs w:val="32"/>
          <w:highlight w:val="none"/>
          <w:lang w:eastAsia="zh-CN"/>
        </w:rPr>
      </w:pPr>
    </w:p>
    <w:p w14:paraId="478704F7">
      <w:pPr>
        <w:keepNext w:val="0"/>
        <w:keepLines w:val="0"/>
        <w:widowControl/>
        <w:suppressLineNumbers w:val="0"/>
        <w:jc w:val="center"/>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合同编号</w:t>
      </w:r>
      <w:r>
        <w:rPr>
          <w:rFonts w:hint="eastAsia" w:asciiTheme="minorEastAsia" w:hAnsiTheme="minorEastAsia" w:eastAsiaTheme="minorEastAsia" w:cstheme="minorEastAsia"/>
          <w:b/>
          <w:bCs/>
          <w:color w:val="auto"/>
          <w:sz w:val="36"/>
          <w:szCs w:val="36"/>
          <w:highlight w:val="none"/>
          <w:lang w:eastAsia="zh-CN"/>
        </w:rPr>
        <w:t>：</w:t>
      </w:r>
    </w:p>
    <w:p w14:paraId="32F42D57">
      <w:pPr>
        <w:keepNext w:val="0"/>
        <w:keepLines w:val="0"/>
        <w:widowControl/>
        <w:suppressLineNumbers w:val="0"/>
        <w:jc w:val="center"/>
        <w:rPr>
          <w:color w:val="auto"/>
          <w:highlight w:val="none"/>
        </w:rPr>
      </w:pPr>
    </w:p>
    <w:p w14:paraId="374B3734">
      <w:pPr>
        <w:bidi w:val="0"/>
        <w:ind w:firstLine="1928" w:firstLineChars="600"/>
        <w:jc w:val="both"/>
        <w:rPr>
          <w:rFonts w:hint="eastAsia" w:ascii="宋体" w:hAnsi="宋体" w:eastAsia="宋体" w:cs="宋体"/>
          <w:b/>
          <w:bCs/>
          <w:color w:val="auto"/>
          <w:sz w:val="32"/>
          <w:szCs w:val="32"/>
          <w:highlight w:val="none"/>
          <w:lang w:eastAsia="zh-CN"/>
        </w:rPr>
      </w:pPr>
    </w:p>
    <w:p w14:paraId="584175FA">
      <w:pPr>
        <w:bidi w:val="0"/>
        <w:ind w:firstLine="1928" w:firstLineChars="600"/>
        <w:jc w:val="both"/>
        <w:rPr>
          <w:rFonts w:hint="eastAsia" w:ascii="宋体" w:hAnsi="宋体" w:eastAsia="宋体" w:cs="宋体"/>
          <w:b/>
          <w:bCs/>
          <w:color w:val="auto"/>
          <w:sz w:val="32"/>
          <w:szCs w:val="32"/>
          <w:highlight w:val="none"/>
          <w:lang w:eastAsia="zh-CN"/>
        </w:rPr>
      </w:pPr>
    </w:p>
    <w:p w14:paraId="62F12721">
      <w:pPr>
        <w:pStyle w:val="4"/>
        <w:rPr>
          <w:rFonts w:hint="eastAsia"/>
          <w:color w:val="auto"/>
          <w:highlight w:val="none"/>
          <w:lang w:val="en-US" w:eastAsia="zh-CN"/>
        </w:rPr>
      </w:pPr>
    </w:p>
    <w:p w14:paraId="26C6D782">
      <w:pPr>
        <w:rPr>
          <w:rFonts w:hint="eastAsia"/>
          <w:lang w:val="en-US" w:eastAsia="zh-CN"/>
        </w:rPr>
      </w:pPr>
    </w:p>
    <w:p w14:paraId="654B62F8">
      <w:pPr>
        <w:rPr>
          <w:rFonts w:hint="eastAsia"/>
          <w:color w:val="auto"/>
          <w:highlight w:val="none"/>
          <w:lang w:val="en-US" w:eastAsia="zh-CN"/>
        </w:rPr>
      </w:pPr>
    </w:p>
    <w:p w14:paraId="2EEC25C4">
      <w:pPr>
        <w:bidi w:val="0"/>
        <w:rPr>
          <w:rFonts w:hint="eastAsia"/>
          <w:color w:val="auto"/>
          <w:highlight w:val="none"/>
          <w:lang w:val="en-US" w:eastAsia="zh-CN"/>
        </w:rPr>
      </w:pPr>
    </w:p>
    <w:p w14:paraId="56BEAE9A">
      <w:pPr>
        <w:bidi w:val="0"/>
        <w:rPr>
          <w:rFonts w:hint="eastAsia"/>
          <w:b/>
          <w:bCs/>
          <w:color w:val="auto"/>
          <w:sz w:val="32"/>
          <w:szCs w:val="32"/>
          <w:highlight w:val="none"/>
          <w:lang w:val="en-US" w:eastAsia="zh-CN"/>
        </w:rPr>
      </w:pPr>
    </w:p>
    <w:p w14:paraId="36E0FCB1">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采购人：合浦县水利局</w:t>
      </w:r>
    </w:p>
    <w:p w14:paraId="67DCE35F">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default"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lang w:val="en-US" w:eastAsia="zh-CN"/>
        </w:rPr>
        <w:t>建设单位：合浦县水利工程管理站</w:t>
      </w:r>
    </w:p>
    <w:p w14:paraId="087B56F3">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eastAsia" w:asciiTheme="minorEastAsia" w:hAnsiTheme="minorEastAsia" w:eastAsiaTheme="minorEastAsia" w:cstheme="minorEastAsia"/>
          <w:b w:val="0"/>
          <w:bCs w:val="0"/>
          <w:color w:val="auto"/>
          <w:sz w:val="32"/>
          <w:szCs w:val="32"/>
          <w:highlight w:val="none"/>
          <w:lang w:val="en-US" w:eastAsia="zh-CN"/>
        </w:rPr>
      </w:pPr>
      <w:bookmarkStart w:id="51" w:name="_Toc23163"/>
      <w:r>
        <w:rPr>
          <w:rFonts w:hint="eastAsia" w:asciiTheme="minorEastAsia" w:hAnsiTheme="minorEastAsia" w:eastAsiaTheme="minorEastAsia" w:cstheme="minorEastAsia"/>
          <w:b w:val="0"/>
          <w:bCs w:val="0"/>
          <w:color w:val="auto"/>
          <w:sz w:val="32"/>
          <w:szCs w:val="32"/>
          <w:highlight w:val="none"/>
          <w:lang w:val="en-US" w:eastAsia="zh-CN"/>
        </w:rPr>
        <w:t>承包人：</w:t>
      </w:r>
      <w:bookmarkEnd w:id="51"/>
    </w:p>
    <w:p w14:paraId="07D1703A">
      <w:pPr>
        <w:keepNext w:val="0"/>
        <w:keepLines w:val="0"/>
        <w:pageBreakBefore w:val="0"/>
        <w:widowControl/>
        <w:kinsoku w:val="0"/>
        <w:wordWrap/>
        <w:overflowPunct/>
        <w:topLinePunct w:val="0"/>
        <w:autoSpaceDE w:val="0"/>
        <w:autoSpaceDN w:val="0"/>
        <w:bidi w:val="0"/>
        <w:adjustRightInd w:val="0"/>
        <w:snapToGrid w:val="0"/>
        <w:spacing w:line="600" w:lineRule="exact"/>
        <w:ind w:firstLine="1920" w:firstLineChars="600"/>
        <w:textAlignment w:val="baseline"/>
        <w:rPr>
          <w:rFonts w:hint="eastAsia" w:asciiTheme="minorEastAsia" w:hAnsiTheme="minorEastAsia" w:eastAsiaTheme="minorEastAsia" w:cstheme="minorEastAsia"/>
          <w:b w:val="0"/>
          <w:bCs w:val="0"/>
          <w:color w:val="auto"/>
          <w:sz w:val="32"/>
          <w:szCs w:val="32"/>
          <w:highlight w:val="none"/>
          <w:lang w:eastAsia="zh-CN"/>
        </w:rPr>
      </w:pPr>
      <w:r>
        <w:rPr>
          <w:rFonts w:hint="eastAsia" w:asciiTheme="minorEastAsia" w:hAnsiTheme="minorEastAsia" w:eastAsiaTheme="minorEastAsia" w:cstheme="minorEastAsia"/>
          <w:b w:val="0"/>
          <w:bCs w:val="0"/>
          <w:color w:val="auto"/>
          <w:sz w:val="32"/>
          <w:szCs w:val="32"/>
          <w:highlight w:val="none"/>
          <w:lang w:eastAsia="zh-CN"/>
        </w:rPr>
        <w:t>签订时间：202</w:t>
      </w:r>
      <w:r>
        <w:rPr>
          <w:rFonts w:hint="eastAsia" w:asciiTheme="minorEastAsia" w:hAnsiTheme="minorEastAsia" w:eastAsiaTheme="minorEastAsia" w:cstheme="minorEastAsia"/>
          <w:b w:val="0"/>
          <w:bCs w:val="0"/>
          <w:color w:val="auto"/>
          <w:sz w:val="32"/>
          <w:szCs w:val="32"/>
          <w:highlight w:val="none"/>
          <w:lang w:val="en-US" w:eastAsia="zh-CN"/>
        </w:rPr>
        <w:t>6</w:t>
      </w:r>
      <w:r>
        <w:rPr>
          <w:rFonts w:hint="eastAsia" w:asciiTheme="minorEastAsia" w:hAnsiTheme="minorEastAsia" w:eastAsiaTheme="minorEastAsia" w:cstheme="minorEastAsia"/>
          <w:b w:val="0"/>
          <w:bCs w:val="0"/>
          <w:color w:val="auto"/>
          <w:sz w:val="32"/>
          <w:szCs w:val="32"/>
          <w:highlight w:val="none"/>
          <w:lang w:eastAsia="zh-CN"/>
        </w:rPr>
        <w:t>年</w:t>
      </w:r>
      <w:r>
        <w:rPr>
          <w:rFonts w:hint="eastAsia" w:asciiTheme="minorEastAsia" w:hAnsiTheme="minorEastAsia" w:eastAsiaTheme="minorEastAsia" w:cstheme="minorEastAsia"/>
          <w:b w:val="0"/>
          <w:bCs w:val="0"/>
          <w:color w:val="auto"/>
          <w:sz w:val="32"/>
          <w:szCs w:val="32"/>
          <w:highlight w:val="none"/>
          <w:lang w:val="en-US" w:eastAsia="zh-CN"/>
        </w:rPr>
        <w:t xml:space="preserve">  </w:t>
      </w:r>
      <w:r>
        <w:rPr>
          <w:rFonts w:hint="eastAsia" w:asciiTheme="minorEastAsia" w:hAnsiTheme="minorEastAsia" w:eastAsiaTheme="minorEastAsia" w:cstheme="minorEastAsia"/>
          <w:b w:val="0"/>
          <w:bCs w:val="0"/>
          <w:color w:val="auto"/>
          <w:sz w:val="32"/>
          <w:szCs w:val="32"/>
          <w:highlight w:val="none"/>
          <w:lang w:eastAsia="zh-CN"/>
        </w:rPr>
        <w:t>月</w:t>
      </w:r>
      <w:r>
        <w:rPr>
          <w:rFonts w:hint="eastAsia" w:asciiTheme="minorEastAsia" w:hAnsiTheme="minorEastAsia" w:eastAsiaTheme="minorEastAsia" w:cstheme="minorEastAsia"/>
          <w:b w:val="0"/>
          <w:bCs w:val="0"/>
          <w:color w:val="auto"/>
          <w:sz w:val="32"/>
          <w:szCs w:val="32"/>
          <w:highlight w:val="none"/>
          <w:lang w:val="en-US" w:eastAsia="zh-CN"/>
        </w:rPr>
        <w:t xml:space="preserve">  </w:t>
      </w:r>
      <w:r>
        <w:rPr>
          <w:rFonts w:hint="eastAsia" w:asciiTheme="minorEastAsia" w:hAnsiTheme="minorEastAsia" w:eastAsiaTheme="minorEastAsia" w:cstheme="minorEastAsia"/>
          <w:b w:val="0"/>
          <w:bCs w:val="0"/>
          <w:color w:val="auto"/>
          <w:sz w:val="32"/>
          <w:szCs w:val="32"/>
          <w:highlight w:val="none"/>
          <w:lang w:eastAsia="zh-CN"/>
        </w:rPr>
        <w:t>日</w:t>
      </w:r>
    </w:p>
    <w:p w14:paraId="0B08F7E6">
      <w:pPr>
        <w:pStyle w:val="122"/>
        <w:pageBreakBefore w:val="0"/>
        <w:widowControl w:val="0"/>
        <w:kinsoku/>
        <w:wordWrap/>
        <w:overflowPunct/>
        <w:topLinePunct w:val="0"/>
        <w:autoSpaceDE/>
        <w:autoSpaceDN/>
        <w:bidi w:val="0"/>
        <w:adjustRightInd/>
        <w:spacing w:line="360" w:lineRule="exact"/>
        <w:textAlignment w:val="auto"/>
        <w:outlineLvl w:val="9"/>
        <w:rPr>
          <w:rStyle w:val="40"/>
          <w:rFonts w:hint="eastAsia" w:ascii="宋体" w:hAnsi="宋体" w:eastAsia="宋体" w:cs="宋体"/>
          <w:color w:val="auto"/>
          <w:sz w:val="24"/>
          <w:szCs w:val="24"/>
          <w:highlight w:val="none"/>
          <w:lang w:eastAsia="zh-CN"/>
        </w:rPr>
      </w:pPr>
    </w:p>
    <w:p w14:paraId="6FFA0C3A">
      <w:pPr>
        <w:tabs>
          <w:tab w:val="left" w:pos="420"/>
        </w:tabs>
        <w:jc w:val="center"/>
        <w:rPr>
          <w:rFonts w:hint="eastAsia" w:ascii="宋体"/>
          <w:b/>
          <w:bCs/>
          <w:color w:val="auto"/>
          <w:sz w:val="42"/>
          <w:szCs w:val="20"/>
          <w:highlight w:val="none"/>
        </w:rPr>
      </w:pPr>
    </w:p>
    <w:p w14:paraId="5039A6B7">
      <w:pPr>
        <w:tabs>
          <w:tab w:val="left" w:pos="420"/>
        </w:tabs>
        <w:jc w:val="center"/>
        <w:rPr>
          <w:rFonts w:ascii="宋体"/>
          <w:b/>
          <w:bCs/>
          <w:color w:val="auto"/>
          <w:sz w:val="42"/>
          <w:szCs w:val="20"/>
          <w:highlight w:val="none"/>
        </w:rPr>
      </w:pPr>
      <w:r>
        <w:rPr>
          <w:rFonts w:hint="eastAsia" w:ascii="宋体"/>
          <w:b/>
          <w:bCs/>
          <w:color w:val="auto"/>
          <w:sz w:val="42"/>
          <w:szCs w:val="20"/>
          <w:highlight w:val="none"/>
        </w:rPr>
        <w:t>目  录</w:t>
      </w:r>
    </w:p>
    <w:p w14:paraId="3A5E7C23">
      <w:pPr>
        <w:tabs>
          <w:tab w:val="left" w:pos="420"/>
        </w:tabs>
        <w:jc w:val="center"/>
        <w:rPr>
          <w:rFonts w:ascii="宋体"/>
          <w:b/>
          <w:bCs/>
          <w:color w:val="auto"/>
          <w:sz w:val="42"/>
          <w:szCs w:val="20"/>
          <w:highlight w:val="none"/>
        </w:rPr>
      </w:pPr>
    </w:p>
    <w:p w14:paraId="7761954E">
      <w:pPr>
        <w:keepNext w:val="0"/>
        <w:keepLines w:val="0"/>
        <w:pageBreakBefore w:val="0"/>
        <w:widowControl/>
        <w:numPr>
          <w:ilvl w:val="0"/>
          <w:numId w:val="4"/>
        </w:numPr>
        <w:tabs>
          <w:tab w:val="left" w:pos="420"/>
        </w:tabs>
        <w:kinsoku w:val="0"/>
        <w:wordWrap/>
        <w:overflowPunct/>
        <w:topLinePunct w:val="0"/>
        <w:autoSpaceDE w:val="0"/>
        <w:autoSpaceDN w:val="0"/>
        <w:bidi w:val="0"/>
        <w:adjustRightInd w:val="0"/>
        <w:snapToGrid w:val="0"/>
        <w:spacing w:line="700" w:lineRule="exact"/>
        <w:textAlignment w:val="baseline"/>
        <w:rPr>
          <w:rFonts w:ascii="宋体"/>
          <w:b/>
          <w:bCs/>
          <w:color w:val="auto"/>
          <w:sz w:val="32"/>
          <w:szCs w:val="20"/>
          <w:highlight w:val="none"/>
        </w:rPr>
      </w:pPr>
      <w:r>
        <w:rPr>
          <w:rFonts w:hint="eastAsia" w:ascii="宋体"/>
          <w:b/>
          <w:bCs/>
          <w:color w:val="auto"/>
          <w:sz w:val="32"/>
          <w:szCs w:val="20"/>
          <w:highlight w:val="none"/>
        </w:rPr>
        <w:t>合同协议书</w:t>
      </w:r>
    </w:p>
    <w:p w14:paraId="0E414C30">
      <w:pPr>
        <w:keepNext w:val="0"/>
        <w:keepLines w:val="0"/>
        <w:pageBreakBefore w:val="0"/>
        <w:widowControl/>
        <w:numPr>
          <w:ilvl w:val="0"/>
          <w:numId w:val="4"/>
        </w:numPr>
        <w:tabs>
          <w:tab w:val="left" w:pos="420"/>
        </w:tabs>
        <w:kinsoku w:val="0"/>
        <w:wordWrap/>
        <w:overflowPunct/>
        <w:topLinePunct w:val="0"/>
        <w:autoSpaceDE w:val="0"/>
        <w:autoSpaceDN w:val="0"/>
        <w:bidi w:val="0"/>
        <w:adjustRightInd w:val="0"/>
        <w:snapToGrid w:val="0"/>
        <w:spacing w:line="700" w:lineRule="exact"/>
        <w:textAlignment w:val="baseline"/>
        <w:rPr>
          <w:rFonts w:ascii="宋体"/>
          <w:b/>
          <w:bCs/>
          <w:color w:val="auto"/>
          <w:sz w:val="32"/>
          <w:szCs w:val="20"/>
          <w:highlight w:val="none"/>
        </w:rPr>
      </w:pPr>
      <w:r>
        <w:rPr>
          <w:rFonts w:hint="eastAsia" w:ascii="宋体"/>
          <w:b/>
          <w:bCs/>
          <w:color w:val="auto"/>
          <w:sz w:val="32"/>
          <w:szCs w:val="20"/>
          <w:highlight w:val="none"/>
        </w:rPr>
        <w:t>通用合同条款</w:t>
      </w:r>
    </w:p>
    <w:p w14:paraId="3D5A2066">
      <w:pPr>
        <w:keepNext w:val="0"/>
        <w:keepLines w:val="0"/>
        <w:pageBreakBefore w:val="0"/>
        <w:widowControl/>
        <w:numPr>
          <w:ilvl w:val="0"/>
          <w:numId w:val="4"/>
        </w:numPr>
        <w:tabs>
          <w:tab w:val="left" w:pos="420"/>
        </w:tabs>
        <w:kinsoku w:val="0"/>
        <w:wordWrap/>
        <w:overflowPunct/>
        <w:topLinePunct w:val="0"/>
        <w:autoSpaceDE w:val="0"/>
        <w:autoSpaceDN w:val="0"/>
        <w:bidi w:val="0"/>
        <w:adjustRightInd w:val="0"/>
        <w:snapToGrid w:val="0"/>
        <w:spacing w:line="700" w:lineRule="exact"/>
        <w:textAlignment w:val="baseline"/>
        <w:rPr>
          <w:rFonts w:ascii="宋体"/>
          <w:b/>
          <w:bCs/>
          <w:color w:val="auto"/>
          <w:sz w:val="32"/>
          <w:szCs w:val="20"/>
          <w:highlight w:val="none"/>
        </w:rPr>
      </w:pPr>
      <w:r>
        <w:rPr>
          <w:rFonts w:hint="eastAsia" w:ascii="宋体"/>
          <w:b/>
          <w:bCs/>
          <w:color w:val="auto"/>
          <w:sz w:val="32"/>
          <w:szCs w:val="20"/>
          <w:highlight w:val="none"/>
        </w:rPr>
        <w:t>专用合同条款</w:t>
      </w:r>
    </w:p>
    <w:p w14:paraId="22F22C3F">
      <w:pPr>
        <w:pStyle w:val="27"/>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宋体" w:hAnsi="宋体" w:eastAsia="宋体" w:cs="宋体"/>
          <w:color w:val="auto"/>
          <w:sz w:val="28"/>
          <w:szCs w:val="28"/>
          <w:highlight w:val="none"/>
        </w:rPr>
        <w:sectPr>
          <w:pgSz w:w="11905" w:h="16838"/>
          <w:pgMar w:top="1417" w:right="1417" w:bottom="1417" w:left="1474" w:header="850" w:footer="992" w:gutter="0"/>
          <w:pgNumType w:fmt="decimal" w:start="1"/>
          <w:cols w:space="0" w:num="1"/>
          <w:rtlGutter w:val="0"/>
          <w:docGrid w:type="lines" w:linePitch="318" w:charSpace="0"/>
        </w:sectPr>
      </w:pPr>
    </w:p>
    <w:bookmarkEnd w:id="40"/>
    <w:bookmarkEnd w:id="41"/>
    <w:bookmarkEnd w:id="42"/>
    <w:bookmarkEnd w:id="43"/>
    <w:bookmarkEnd w:id="44"/>
    <w:bookmarkEnd w:id="45"/>
    <w:bookmarkEnd w:id="46"/>
    <w:bookmarkEnd w:id="47"/>
    <w:bookmarkEnd w:id="48"/>
    <w:bookmarkEnd w:id="49"/>
    <w:p w14:paraId="3ACD8A42">
      <w:pPr>
        <w:pStyle w:val="6"/>
        <w:numPr>
          <w:ilvl w:val="0"/>
          <w:numId w:val="5"/>
        </w:numPr>
        <w:bidi w:val="0"/>
        <w:rPr>
          <w:rFonts w:hint="default"/>
          <w:color w:val="auto"/>
          <w:highlight w:val="none"/>
          <w:lang w:val="en-US" w:eastAsia="zh-CN"/>
        </w:rPr>
      </w:pPr>
      <w:bookmarkStart w:id="52" w:name="_Toc22643"/>
      <w:r>
        <w:rPr>
          <w:rStyle w:val="123"/>
          <w:rFonts w:hint="eastAsia"/>
          <w:b/>
          <w:color w:val="auto"/>
          <w:highlight w:val="none"/>
          <w:lang w:val="en-US" w:eastAsia="zh-CN"/>
        </w:rPr>
        <w:t>合同协议书</w:t>
      </w:r>
      <w:bookmarkEnd w:id="52"/>
      <w:r>
        <w:rPr>
          <w:rStyle w:val="123"/>
          <w:rFonts w:hint="eastAsia"/>
          <w:b/>
          <w:color w:val="auto"/>
          <w:highlight w:val="none"/>
          <w:lang w:val="en-US" w:eastAsia="zh-CN"/>
        </w:rPr>
        <w:t xml:space="preserve"> </w:t>
      </w:r>
    </w:p>
    <w:p w14:paraId="387B2A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b/>
          <w:bCs/>
          <w:color w:val="auto"/>
          <w:sz w:val="28"/>
          <w:szCs w:val="28"/>
          <w:highlight w:val="none"/>
          <w:u w:val="single"/>
          <w:lang w:val="en-US" w:eastAsia="zh-CN"/>
        </w:rPr>
      </w:pPr>
      <w:r>
        <w:rPr>
          <w:rFonts w:hint="eastAsia" w:ascii="宋体" w:hAnsi="宋体" w:cs="宋体"/>
          <w:b w:val="0"/>
          <w:bCs w:val="0"/>
          <w:color w:val="auto"/>
          <w:sz w:val="28"/>
          <w:szCs w:val="28"/>
          <w:highlight w:val="none"/>
          <w:u w:val="none"/>
          <w:lang w:val="en-US" w:eastAsia="zh-CN"/>
        </w:rPr>
        <w:t>采购人（全称）：</w:t>
      </w:r>
      <w:r>
        <w:rPr>
          <w:rFonts w:hint="eastAsia" w:ascii="宋体" w:hAnsi="宋体" w:cs="宋体"/>
          <w:b/>
          <w:bCs/>
          <w:color w:val="auto"/>
          <w:sz w:val="28"/>
          <w:szCs w:val="28"/>
          <w:highlight w:val="none"/>
          <w:u w:val="single"/>
          <w:lang w:val="en-US" w:eastAsia="zh-CN"/>
        </w:rPr>
        <w:t xml:space="preserve">合浦县水利局 </w:t>
      </w:r>
    </w:p>
    <w:p w14:paraId="15178B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snapToGrid w:val="0"/>
          <w:color w:val="auto"/>
          <w:kern w:val="0"/>
          <w:sz w:val="28"/>
          <w:szCs w:val="28"/>
          <w:highlight w:val="none"/>
          <w:u w:val="single"/>
          <w:lang w:val="en-US" w:eastAsia="zh-CN" w:bidi="ar"/>
        </w:rPr>
      </w:pPr>
      <w:r>
        <w:rPr>
          <w:rFonts w:hint="eastAsia" w:ascii="宋体" w:hAnsi="宋体" w:cs="宋体"/>
          <w:b w:val="0"/>
          <w:bCs w:val="0"/>
          <w:color w:val="auto"/>
          <w:sz w:val="28"/>
          <w:szCs w:val="28"/>
          <w:highlight w:val="none"/>
          <w:u w:val="none"/>
          <w:lang w:val="en-US" w:eastAsia="zh-CN"/>
        </w:rPr>
        <w:t>建设单位（全称）：</w:t>
      </w:r>
      <w:r>
        <w:rPr>
          <w:rFonts w:hint="eastAsia" w:ascii="宋体" w:hAnsi="宋体" w:cs="宋体"/>
          <w:b/>
          <w:bCs/>
          <w:color w:val="auto"/>
          <w:sz w:val="28"/>
          <w:szCs w:val="28"/>
          <w:highlight w:val="none"/>
          <w:u w:val="single"/>
          <w:lang w:val="en-US" w:eastAsia="zh-CN"/>
        </w:rPr>
        <w:t>合浦县水利工程管理站</w:t>
      </w:r>
    </w:p>
    <w:p w14:paraId="6A056955">
      <w:pPr>
        <w:keepNext w:val="0"/>
        <w:keepLines w:val="0"/>
        <w:pageBreakBefore w:val="0"/>
        <w:widowControl/>
        <w:suppressLineNumbers w:val="0"/>
        <w:kinsoku w:val="0"/>
        <w:wordWrap/>
        <w:overflowPunct/>
        <w:topLinePunct w:val="0"/>
        <w:autoSpaceDE w:val="0"/>
        <w:autoSpaceDN w:val="0"/>
        <w:bidi w:val="0"/>
        <w:adjustRightInd w:val="0"/>
        <w:snapToGrid w:val="0"/>
        <w:spacing w:line="486" w:lineRule="exact"/>
        <w:ind w:firstLine="560" w:firstLineChars="200"/>
        <w:jc w:val="left"/>
        <w:textAlignment w:val="baseline"/>
        <w:rPr>
          <w:rFonts w:hint="eastAsia" w:ascii="宋体" w:hAnsi="宋体" w:eastAsia="宋体" w:cs="宋体"/>
          <w:b/>
          <w:bCs/>
          <w:snapToGrid w:val="0"/>
          <w:color w:val="auto"/>
          <w:kern w:val="0"/>
          <w:sz w:val="28"/>
          <w:szCs w:val="28"/>
          <w:highlight w:val="none"/>
          <w:u w:val="single"/>
          <w:lang w:val="en-US" w:eastAsia="zh-CN" w:bidi="ar"/>
        </w:rPr>
      </w:pPr>
      <w:r>
        <w:rPr>
          <w:rFonts w:hint="eastAsia" w:ascii="宋体" w:hAnsi="宋体" w:cs="宋体"/>
          <w:b w:val="0"/>
          <w:bCs w:val="0"/>
          <w:color w:val="auto"/>
          <w:sz w:val="28"/>
          <w:szCs w:val="28"/>
          <w:highlight w:val="none"/>
          <w:u w:val="none"/>
          <w:lang w:val="en-US" w:eastAsia="zh-CN"/>
        </w:rPr>
        <w:t>承包人（全称）：</w:t>
      </w:r>
    </w:p>
    <w:p w14:paraId="7389DC25">
      <w:pPr>
        <w:keepNext w:val="0"/>
        <w:keepLines w:val="0"/>
        <w:pageBreakBefore w:val="0"/>
        <w:widowControl/>
        <w:suppressLineNumbers w:val="0"/>
        <w:kinsoku w:val="0"/>
        <w:wordWrap/>
        <w:overflowPunct/>
        <w:topLinePunct w:val="0"/>
        <w:autoSpaceDE w:val="0"/>
        <w:autoSpaceDN w:val="0"/>
        <w:bidi w:val="0"/>
        <w:adjustRightInd w:val="0"/>
        <w:snapToGrid w:val="0"/>
        <w:spacing w:line="486" w:lineRule="exact"/>
        <w:ind w:firstLine="562" w:firstLineChars="200"/>
        <w:jc w:val="left"/>
        <w:textAlignment w:val="baseline"/>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u w:val="single"/>
          <w:lang w:val="en-US" w:eastAsia="zh-CN"/>
        </w:rPr>
        <w:t>合浦县水利局</w:t>
      </w:r>
      <w:r>
        <w:rPr>
          <w:rFonts w:hint="eastAsia" w:ascii="宋体" w:hAnsi="宋体" w:eastAsia="宋体" w:cs="宋体"/>
          <w:color w:val="auto"/>
          <w:sz w:val="28"/>
          <w:szCs w:val="28"/>
          <w:highlight w:val="none"/>
        </w:rPr>
        <w:t>为实施</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eastAsia="zh-CN"/>
        </w:rPr>
        <w:t>合浦县2025年总江水闸标准化创建工程（土建部分）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，已接受</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（以下简称“承包人”）对该项目</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eastAsia="zh-CN"/>
        </w:rPr>
        <w:t>合浦县2025年总江水闸标准化创建工程（土建部分）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的投标，并确定其为中标人。</w:t>
      </w:r>
      <w:r>
        <w:rPr>
          <w:rFonts w:hint="eastAsia" w:ascii="宋体" w:hAnsi="宋体" w:cs="宋体"/>
          <w:b w:val="0"/>
          <w:bCs w:val="0"/>
          <w:color w:val="auto"/>
          <w:sz w:val="28"/>
          <w:szCs w:val="28"/>
          <w:highlight w:val="none"/>
          <w:u w:val="none"/>
          <w:lang w:val="en-US" w:eastAsia="zh-CN"/>
        </w:rPr>
        <w:t>采购人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建设单位</w:t>
      </w:r>
      <w:r>
        <w:rPr>
          <w:rFonts w:hint="eastAsia" w:ascii="宋体" w:hAnsi="宋体" w:eastAsia="宋体" w:cs="宋体"/>
          <w:color w:val="auto"/>
          <w:sz w:val="28"/>
          <w:szCs w:val="28"/>
          <w:highlight w:val="none"/>
        </w:rPr>
        <w:t>和承包人共同达成如下协议。</w:t>
      </w:r>
    </w:p>
    <w:p w14:paraId="4ADABB92">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bookmarkStart w:id="53" w:name="_Toc168476288"/>
      <w:bookmarkStart w:id="54" w:name="_Toc144974828"/>
      <w:bookmarkStart w:id="55" w:name="_Toc168475885"/>
      <w:r>
        <w:rPr>
          <w:rFonts w:hint="eastAsia" w:ascii="宋体" w:hAnsi="宋体" w:eastAsia="宋体" w:cs="宋体"/>
          <w:color w:val="auto"/>
          <w:sz w:val="28"/>
          <w:szCs w:val="28"/>
          <w:highlight w:val="none"/>
        </w:rPr>
        <w:t>1. 本协议书与下列文件一起构成合同文件：</w:t>
      </w:r>
      <w:bookmarkEnd w:id="53"/>
      <w:bookmarkEnd w:id="54"/>
      <w:bookmarkEnd w:id="55"/>
    </w:p>
    <w:p w14:paraId="57BBB521">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（1）中标通知书；</w:t>
      </w:r>
    </w:p>
    <w:p w14:paraId="5F7666CE">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（2）投标函及投标函附录；</w:t>
      </w:r>
    </w:p>
    <w:p w14:paraId="11216DF3">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（3）专用合同条款(含附加条款)；</w:t>
      </w:r>
    </w:p>
    <w:p w14:paraId="48A9C8A3">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（4）通用合同条款；</w:t>
      </w:r>
    </w:p>
    <w:p w14:paraId="16209DD5">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（5）技术标准和要求(合同技术条款)；</w:t>
      </w:r>
    </w:p>
    <w:p w14:paraId="1B299BB6">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（6）图纸；</w:t>
      </w:r>
    </w:p>
    <w:p w14:paraId="488D883F">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（7）已标价工程量清单；</w:t>
      </w:r>
    </w:p>
    <w:p w14:paraId="5FBA9B75">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（8）其他合同文件。</w:t>
      </w:r>
    </w:p>
    <w:p w14:paraId="08E67B64">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双方有关工程洽商、变更等书面协议或文件视为本合同的组成部分。</w:t>
      </w:r>
    </w:p>
    <w:p w14:paraId="5D94815F">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bookmarkStart w:id="56" w:name="_Toc168475886"/>
      <w:bookmarkStart w:id="57" w:name="_Toc144974829"/>
      <w:bookmarkStart w:id="58" w:name="_Toc168476289"/>
      <w:r>
        <w:rPr>
          <w:rFonts w:hint="eastAsia" w:ascii="宋体" w:hAnsi="宋体" w:eastAsia="宋体" w:cs="宋体"/>
          <w:color w:val="auto"/>
          <w:sz w:val="28"/>
          <w:szCs w:val="28"/>
          <w:highlight w:val="none"/>
        </w:rPr>
        <w:t>2. 上述文件互相补充和解释，如有不明确或不一致之处，以合同约定次序在先者为准。</w:t>
      </w:r>
      <w:bookmarkEnd w:id="56"/>
      <w:bookmarkEnd w:id="57"/>
      <w:bookmarkEnd w:id="58"/>
    </w:p>
    <w:p w14:paraId="3783FB1D">
      <w:pPr>
        <w:keepNext w:val="0"/>
        <w:keepLines w:val="0"/>
        <w:pageBreakBefore w:val="0"/>
        <w:widowControl/>
        <w:suppressLineNumbers w:val="0"/>
        <w:kinsoku w:val="0"/>
        <w:wordWrap/>
        <w:overflowPunct/>
        <w:topLinePunct w:val="0"/>
        <w:autoSpaceDE w:val="0"/>
        <w:autoSpaceDN w:val="0"/>
        <w:bidi w:val="0"/>
        <w:adjustRightInd w:val="0"/>
        <w:snapToGrid w:val="0"/>
        <w:spacing w:line="486" w:lineRule="exact"/>
        <w:ind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签约合同价：</w:t>
      </w:r>
      <w:r>
        <w:rPr>
          <w:rFonts w:hint="eastAsia" w:ascii="宋体" w:hAnsi="宋体" w:eastAsia="宋体" w:cs="宋体"/>
          <w:color w:val="auto"/>
          <w:spacing w:val="8"/>
          <w:sz w:val="28"/>
          <w:szCs w:val="28"/>
          <w:highlight w:val="none"/>
          <w:u w:val="single"/>
          <w:lang w:val="en-US" w:eastAsia="zh-CN"/>
        </w:rPr>
        <w:t xml:space="preserve">人民币（大写）       </w:t>
      </w:r>
      <w:r>
        <w:rPr>
          <w:rFonts w:hint="eastAsia" w:ascii="宋体" w:hAnsi="宋体" w:eastAsia="宋体" w:cs="宋体"/>
          <w:b/>
          <w:bCs/>
          <w:color w:val="auto"/>
          <w:sz w:val="28"/>
          <w:szCs w:val="28"/>
          <w:highlight w:val="none"/>
          <w:u w:val="single"/>
        </w:rPr>
        <w:t>，</w:t>
      </w:r>
      <w:r>
        <w:rPr>
          <w:rFonts w:hint="eastAsia" w:ascii="宋体" w:hAnsi="宋体" w:eastAsia="宋体" w:cs="宋体"/>
          <w:color w:val="auto"/>
          <w:sz w:val="28"/>
          <w:szCs w:val="28"/>
          <w:highlight w:val="none"/>
        </w:rPr>
        <w:t>承包方式为：</w:t>
      </w:r>
      <w:r>
        <w:rPr>
          <w:rFonts w:hint="eastAsia" w:ascii="宋体" w:hAnsi="宋体" w:eastAsia="宋体" w:cs="宋体"/>
          <w:color w:val="auto"/>
          <w:sz w:val="28"/>
          <w:szCs w:val="28"/>
          <w:highlight w:val="none"/>
          <w:u w:val="single"/>
          <w:lang w:val="en-US" w:eastAsia="zh-CN"/>
        </w:rPr>
        <w:t xml:space="preserve"> </w:t>
      </w:r>
      <w:r>
        <w:rPr>
          <w:rFonts w:hint="eastAsia" w:asciiTheme="minorEastAsia" w:hAnsiTheme="minorEastAsia" w:eastAsiaTheme="minorEastAsia" w:cstheme="minorEastAsia"/>
          <w:b/>
          <w:color w:val="auto"/>
          <w:sz w:val="28"/>
          <w:szCs w:val="28"/>
          <w:highlight w:val="none"/>
          <w:u w:val="single"/>
        </w:rPr>
        <w:t>固定单价承包</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0580F9F2">
      <w:pPr>
        <w:keepNext w:val="0"/>
        <w:keepLines w:val="0"/>
        <w:pageBreakBefore w:val="0"/>
        <w:widowControl/>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 承包人项目经理：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w:t>
      </w:r>
    </w:p>
    <w:p w14:paraId="403AE2CD">
      <w:pPr>
        <w:keepNext w:val="0"/>
        <w:keepLines w:val="0"/>
        <w:pageBreakBefore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 工程质量符合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合格</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rPr>
        <w:t>标准。</w:t>
      </w:r>
    </w:p>
    <w:p w14:paraId="596CFBBA">
      <w:pPr>
        <w:keepNext w:val="0"/>
        <w:keepLines w:val="0"/>
        <w:pageBreakBefore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 承包人承诺按合同约定承担工程的实施、完成及缺陷修复。</w:t>
      </w:r>
    </w:p>
    <w:p w14:paraId="1E7167DE">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7. </w:t>
      </w:r>
      <w:r>
        <w:rPr>
          <w:rFonts w:hint="eastAsia" w:ascii="宋体" w:hAnsi="宋体" w:eastAsia="宋体" w:cs="宋体"/>
          <w:color w:val="auto"/>
          <w:sz w:val="28"/>
          <w:szCs w:val="28"/>
          <w:highlight w:val="none"/>
          <w:lang w:eastAsia="zh-CN"/>
        </w:rPr>
        <w:t>建设单位</w:t>
      </w:r>
      <w:r>
        <w:rPr>
          <w:rFonts w:hint="eastAsia" w:ascii="宋体" w:hAnsi="宋体" w:eastAsia="宋体" w:cs="宋体"/>
          <w:color w:val="auto"/>
          <w:sz w:val="28"/>
          <w:szCs w:val="28"/>
          <w:highlight w:val="none"/>
        </w:rPr>
        <w:t>承诺按合同约定的条件、时间和方式向承包人支付合同价款。</w:t>
      </w:r>
    </w:p>
    <w:p w14:paraId="56E91370">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 承包人承诺执行监理人开工通知，计划工期为</w:t>
      </w:r>
      <w:r>
        <w:rPr>
          <w:rFonts w:hint="eastAsia" w:ascii="宋体" w:hAnsi="宋体" w:eastAsia="宋体" w:cs="宋体"/>
          <w:b/>
          <w:bCs/>
          <w:color w:val="auto"/>
          <w:sz w:val="28"/>
          <w:szCs w:val="28"/>
          <w:highlight w:val="none"/>
          <w:u w:val="single"/>
          <w:lang w:val="en-US" w:eastAsia="zh-CN"/>
        </w:rPr>
        <w:t xml:space="preserve"> 9</w:t>
      </w:r>
      <w:r>
        <w:rPr>
          <w:rFonts w:hint="eastAsia" w:ascii="宋体" w:hAnsi="宋体" w:eastAsia="宋体" w:cs="宋体"/>
          <w:b/>
          <w:bCs/>
          <w:color w:val="auto"/>
          <w:sz w:val="28"/>
          <w:szCs w:val="28"/>
          <w:highlight w:val="none"/>
          <w:u w:val="single"/>
          <w:lang w:eastAsia="zh-CN"/>
        </w:rPr>
        <w:t>0</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日历天</w:t>
      </w:r>
      <w:r>
        <w:rPr>
          <w:rFonts w:hint="eastAsia" w:ascii="宋体" w:hAnsi="宋体" w:eastAsia="宋体" w:cs="宋体"/>
          <w:color w:val="auto"/>
          <w:sz w:val="28"/>
          <w:szCs w:val="28"/>
          <w:highlight w:val="none"/>
        </w:rPr>
        <w:t>。</w:t>
      </w:r>
    </w:p>
    <w:p w14:paraId="3DCD4542">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 </w:t>
      </w:r>
      <w:r>
        <w:rPr>
          <w:rFonts w:hint="eastAsia" w:asciiTheme="minorEastAsia" w:hAnsiTheme="minorEastAsia" w:eastAsiaTheme="minorEastAsia" w:cstheme="minorEastAsia"/>
          <w:color w:val="auto"/>
          <w:sz w:val="28"/>
          <w:szCs w:val="28"/>
          <w:highlight w:val="none"/>
        </w:rPr>
        <w:t xml:space="preserve"> 本协议书一式</w:t>
      </w:r>
      <w:r>
        <w:rPr>
          <w:rFonts w:hint="eastAsia" w:asciiTheme="minorEastAsia" w:hAnsiTheme="minorEastAsia" w:eastAsiaTheme="minorEastAsia" w:cstheme="minorEastAsia"/>
          <w:b/>
          <w:color w:val="auto"/>
          <w:sz w:val="28"/>
          <w:szCs w:val="28"/>
          <w:highlight w:val="none"/>
          <w:u w:val="single"/>
        </w:rPr>
        <w:t xml:space="preserve"> 拾</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份，其中正本</w:t>
      </w:r>
      <w:r>
        <w:rPr>
          <w:rFonts w:hint="eastAsia" w:asciiTheme="minorEastAsia" w:hAnsiTheme="minorEastAsia" w:eastAsiaTheme="minorEastAsia" w:cstheme="minorEastAsia"/>
          <w:b/>
          <w:color w:val="auto"/>
          <w:sz w:val="28"/>
          <w:szCs w:val="28"/>
          <w:highlight w:val="none"/>
          <w:u w:val="single"/>
        </w:rPr>
        <w:t xml:space="preserve"> 贰</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份，双方各执壹份，副本</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b/>
          <w:color w:val="auto"/>
          <w:sz w:val="28"/>
          <w:szCs w:val="28"/>
          <w:highlight w:val="none"/>
          <w:u w:val="single"/>
        </w:rPr>
        <w:t>捌</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r>
        <w:rPr>
          <w:rFonts w:hint="eastAsia" w:asciiTheme="minorEastAsia" w:hAnsiTheme="minorEastAsia" w:eastAsiaTheme="minorEastAsia" w:cstheme="minorEastAsia"/>
          <w:color w:val="auto"/>
          <w:sz w:val="28"/>
          <w:szCs w:val="28"/>
          <w:highlight w:val="none"/>
          <w:lang w:eastAsia="zh-CN"/>
        </w:rPr>
        <w:t>建设单位</w:t>
      </w:r>
      <w:r>
        <w:rPr>
          <w:rFonts w:hint="eastAsia" w:asciiTheme="minorEastAsia" w:hAnsiTheme="minorEastAsia" w:eastAsiaTheme="minorEastAsia" w:cstheme="minorEastAsia"/>
          <w:color w:val="auto"/>
          <w:sz w:val="28"/>
          <w:szCs w:val="28"/>
          <w:highlight w:val="none"/>
        </w:rPr>
        <w:t>执</w:t>
      </w:r>
      <w:r>
        <w:rPr>
          <w:rFonts w:hint="eastAsia" w:asciiTheme="minorEastAsia" w:hAnsiTheme="minorEastAsia" w:eastAsiaTheme="minorEastAsia" w:cstheme="minorEastAsia"/>
          <w:color w:val="auto"/>
          <w:sz w:val="28"/>
          <w:szCs w:val="28"/>
          <w:highlight w:val="none"/>
          <w:u w:val="single"/>
        </w:rPr>
        <w:t xml:space="preserve"> </w:t>
      </w:r>
      <w:r>
        <w:rPr>
          <w:rFonts w:hint="eastAsia"/>
          <w:b/>
          <w:color w:val="auto"/>
          <w:sz w:val="28"/>
          <w:szCs w:val="28"/>
          <w:highlight w:val="none"/>
          <w:u w:val="single"/>
        </w:rPr>
        <w:t>陆</w:t>
      </w: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份，承包人执</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
          <w:color w:val="auto"/>
          <w:sz w:val="28"/>
          <w:szCs w:val="28"/>
          <w:highlight w:val="none"/>
          <w:u w:val="single"/>
        </w:rPr>
        <w:t>贰</w:t>
      </w:r>
      <w:r>
        <w:rPr>
          <w:rFonts w:hint="eastAsia" w:asciiTheme="minorEastAsia" w:hAnsiTheme="minorEastAsia" w:eastAsiaTheme="minorEastAsia" w:cstheme="minorEastAsia"/>
          <w:b/>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份。</w:t>
      </w:r>
    </w:p>
    <w:p w14:paraId="6081B5F5">
      <w:pPr>
        <w:keepNext w:val="0"/>
        <w:keepLines w:val="0"/>
        <w:pageBreakBefore w:val="0"/>
        <w:widowControl w:val="0"/>
        <w:kinsoku w:val="0"/>
        <w:wordWrap/>
        <w:overflowPunct/>
        <w:topLinePunct w:val="0"/>
        <w:autoSpaceDE w:val="0"/>
        <w:autoSpaceDN w:val="0"/>
        <w:bidi w:val="0"/>
        <w:adjustRightInd w:val="0"/>
        <w:snapToGrid w:val="0"/>
        <w:spacing w:line="486" w:lineRule="exact"/>
        <w:ind w:firstLine="560" w:firstLineChars="200"/>
        <w:textAlignment w:val="baseline"/>
        <w:rPr>
          <w:rFonts w:hint="eastAsia" w:ascii="宋体" w:hAnsi="宋体" w:eastAsia="宋体" w:cs="宋体"/>
          <w:color w:val="auto"/>
          <w:sz w:val="28"/>
          <w:szCs w:val="28"/>
          <w:highlight w:val="none"/>
        </w:rPr>
      </w:pPr>
      <w:bookmarkStart w:id="59" w:name="_Toc168475887"/>
      <w:bookmarkStart w:id="60" w:name="_Toc144974830"/>
      <w:bookmarkStart w:id="61" w:name="_Toc168476290"/>
      <w:r>
        <w:rPr>
          <w:rFonts w:hint="eastAsia" w:ascii="宋体" w:hAnsi="宋体" w:eastAsia="宋体" w:cs="宋体"/>
          <w:color w:val="auto"/>
          <w:sz w:val="28"/>
          <w:szCs w:val="28"/>
          <w:highlight w:val="none"/>
        </w:rPr>
        <w:t>10. 合同未尽事宜，双方另行签订补充协议。补充协议是合同的组成部分。</w:t>
      </w:r>
      <w:bookmarkEnd w:id="59"/>
      <w:bookmarkEnd w:id="60"/>
      <w:bookmarkEnd w:id="61"/>
    </w:p>
    <w:p w14:paraId="5CBC4B30">
      <w:pPr>
        <w:keepNext w:val="0"/>
        <w:keepLines w:val="0"/>
        <w:pageBreakBefore w:val="0"/>
        <w:widowControl w:val="0"/>
        <w:kinsoku/>
        <w:wordWrap/>
        <w:overflowPunct/>
        <w:topLinePunct w:val="0"/>
        <w:autoSpaceDE/>
        <w:autoSpaceDN/>
        <w:bidi w:val="0"/>
        <w:adjustRightInd/>
        <w:snapToGrid/>
        <w:spacing w:line="600" w:lineRule="exact"/>
        <w:ind w:left="6479" w:right="-706" w:rightChars="-336" w:hanging="5414" w:hangingChars="2314"/>
        <w:textAlignment w:val="auto"/>
        <w:rPr>
          <w:rFonts w:hint="eastAsia" w:asciiTheme="minorEastAsia" w:hAnsiTheme="minorEastAsia" w:eastAsiaTheme="minorEastAsia" w:cstheme="minorEastAsia"/>
          <w:color w:val="auto"/>
          <w:spacing w:val="-23"/>
          <w:sz w:val="28"/>
          <w:szCs w:val="28"/>
          <w:highlight w:val="none"/>
        </w:rPr>
      </w:pPr>
    </w:p>
    <w:p w14:paraId="25A938D0">
      <w:pPr>
        <w:keepNext w:val="0"/>
        <w:keepLines w:val="0"/>
        <w:pageBreakBefore w:val="0"/>
        <w:widowControl w:val="0"/>
        <w:kinsoku/>
        <w:wordWrap/>
        <w:overflowPunct/>
        <w:topLinePunct w:val="0"/>
        <w:autoSpaceDE/>
        <w:autoSpaceDN/>
        <w:bidi w:val="0"/>
        <w:adjustRightInd/>
        <w:snapToGrid/>
        <w:spacing w:line="560" w:lineRule="exact"/>
        <w:ind w:left="0" w:right="-105" w:rightChars="-50" w:hanging="5414" w:hangingChars="2314"/>
        <w:textAlignment w:val="auto"/>
        <w:rPr>
          <w:rFonts w:hint="eastAsia" w:asciiTheme="minorEastAsia" w:hAnsiTheme="minorEastAsia" w:eastAsiaTheme="minorEastAsia" w:cstheme="minorEastAsia"/>
          <w:color w:val="auto"/>
          <w:spacing w:val="-23"/>
          <w:sz w:val="28"/>
          <w:szCs w:val="28"/>
          <w:highlight w:val="none"/>
          <w:u w:val="single"/>
        </w:rPr>
      </w:pPr>
      <w:r>
        <w:rPr>
          <w:rFonts w:hint="eastAsia" w:asciiTheme="minorEastAsia" w:hAnsiTheme="minorEastAsia" w:eastAsiaTheme="minorEastAsia" w:cstheme="minorEastAsia"/>
          <w:color w:val="auto"/>
          <w:spacing w:val="-23"/>
          <w:sz w:val="28"/>
          <w:szCs w:val="28"/>
          <w:highlight w:val="none"/>
          <w:lang w:val="en-US" w:eastAsia="zh-CN"/>
        </w:rPr>
        <w:t>采购人</w:t>
      </w:r>
      <w:r>
        <w:rPr>
          <w:rFonts w:hint="eastAsia" w:asciiTheme="minorEastAsia" w:hAnsiTheme="minorEastAsia" w:eastAsiaTheme="minorEastAsia" w:cstheme="minorEastAsia"/>
          <w:color w:val="auto"/>
          <w:spacing w:val="-23"/>
          <w:sz w:val="28"/>
          <w:szCs w:val="28"/>
          <w:highlight w:val="none"/>
        </w:rPr>
        <w:t>（盖章）：</w:t>
      </w:r>
      <w:r>
        <w:rPr>
          <w:rFonts w:hint="eastAsia" w:asciiTheme="minorEastAsia" w:hAnsiTheme="minorEastAsia" w:eastAsiaTheme="minorEastAsia" w:cstheme="minorEastAsia"/>
          <w:color w:val="auto"/>
          <w:spacing w:val="-23"/>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sz w:val="28"/>
          <w:szCs w:val="28"/>
          <w:highlight w:val="none"/>
          <w:u w:val="single"/>
          <w:lang w:val="en-US" w:eastAsia="zh-CN"/>
        </w:rPr>
        <w:t xml:space="preserve">合浦县水利局 </w:t>
      </w:r>
      <w:r>
        <w:rPr>
          <w:rFonts w:hint="eastAsia" w:asciiTheme="minorEastAsia" w:hAnsiTheme="minorEastAsia" w:eastAsiaTheme="minorEastAsia" w:cstheme="minorEastAsia"/>
          <w:color w:val="auto"/>
          <w:spacing w:val="-23"/>
          <w:sz w:val="28"/>
          <w:szCs w:val="28"/>
          <w:highlight w:val="none"/>
          <w:u w:val="none"/>
          <w:lang w:val="en-US" w:eastAsia="zh-CN"/>
        </w:rPr>
        <w:t xml:space="preserve">       </w:t>
      </w:r>
      <w:r>
        <w:rPr>
          <w:rFonts w:hint="eastAsia" w:asciiTheme="minorEastAsia" w:hAnsiTheme="minorEastAsia" w:eastAsiaTheme="minorEastAsia" w:cstheme="minorEastAsia"/>
          <w:color w:val="auto"/>
          <w:spacing w:val="-23"/>
          <w:sz w:val="28"/>
          <w:szCs w:val="28"/>
          <w:highlight w:val="none"/>
        </w:rPr>
        <w:t>承包人（盖章）：</w:t>
      </w:r>
      <w:r>
        <w:rPr>
          <w:rFonts w:hint="eastAsia" w:asciiTheme="minorEastAsia" w:hAnsiTheme="minorEastAsia" w:eastAsiaTheme="minorEastAsia" w:cstheme="minorEastAsia"/>
          <w:color w:val="auto"/>
          <w:spacing w:val="-23"/>
          <w:sz w:val="28"/>
          <w:szCs w:val="28"/>
          <w:highlight w:val="none"/>
          <w:u w:val="singl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hint="eastAsia" w:asciiTheme="minorEastAsia" w:hAnsiTheme="minorEastAsia" w:eastAsiaTheme="minorEastAsia" w:cstheme="minorEastAsia"/>
          <w:color w:val="auto"/>
          <w:spacing w:val="-23"/>
          <w:sz w:val="28"/>
          <w:szCs w:val="28"/>
          <w:highlight w:val="none"/>
          <w:u w:val="single"/>
          <w:lang w:val="en-US" w:eastAsia="zh-CN"/>
        </w:rPr>
        <w:t xml:space="preserve"> </w:t>
      </w:r>
    </w:p>
    <w:p w14:paraId="5A829A45">
      <w:pPr>
        <w:keepNext w:val="0"/>
        <w:keepLines w:val="0"/>
        <w:pageBreakBefore w:val="0"/>
        <w:widowControl w:val="0"/>
        <w:kinsoku/>
        <w:wordWrap/>
        <w:overflowPunct/>
        <w:topLinePunct w:val="0"/>
        <w:autoSpaceDE/>
        <w:autoSpaceDN/>
        <w:bidi w:val="0"/>
        <w:adjustRightInd/>
        <w:snapToGrid/>
        <w:spacing w:line="560" w:lineRule="exact"/>
        <w:ind w:left="6479" w:right="-706" w:rightChars="-336" w:hanging="6479" w:hangingChars="2314"/>
        <w:textAlignment w:val="auto"/>
        <w:rPr>
          <w:rFonts w:hint="eastAsia" w:hAnsi="宋体"/>
          <w:color w:val="auto"/>
          <w:sz w:val="28"/>
          <w:szCs w:val="28"/>
          <w:highlight w:val="none"/>
        </w:rPr>
      </w:pPr>
      <w:r>
        <w:rPr>
          <w:rFonts w:hAnsi="宋体"/>
          <w:color w:val="auto"/>
          <w:sz w:val="28"/>
          <w:szCs w:val="28"/>
          <w:highlight w:val="none"/>
        </w:rPr>
        <w:t>法定代表人或其</w:t>
      </w:r>
      <w:r>
        <w:rPr>
          <w:rFonts w:hint="eastAsia" w:hAnsi="宋体"/>
          <w:color w:val="auto"/>
          <w:sz w:val="28"/>
          <w:szCs w:val="28"/>
          <w:highlight w:val="none"/>
        </w:rPr>
        <w:t xml:space="preserve">                   </w:t>
      </w:r>
      <w:r>
        <w:rPr>
          <w:rFonts w:hAnsi="宋体"/>
          <w:color w:val="auto"/>
          <w:sz w:val="28"/>
          <w:szCs w:val="28"/>
          <w:highlight w:val="none"/>
        </w:rPr>
        <w:t>法定代表人或其</w:t>
      </w:r>
    </w:p>
    <w:p w14:paraId="5B372734">
      <w:pPr>
        <w:keepNext w:val="0"/>
        <w:keepLines w:val="0"/>
        <w:pageBreakBefore w:val="0"/>
        <w:widowControl w:val="0"/>
        <w:tabs>
          <w:tab w:val="left" w:pos="420"/>
        </w:tabs>
        <w:kinsoku/>
        <w:wordWrap/>
        <w:overflowPunct/>
        <w:topLinePunct w:val="0"/>
        <w:autoSpaceDE/>
        <w:autoSpaceDN/>
        <w:bidi w:val="0"/>
        <w:adjustRightInd/>
        <w:snapToGrid/>
        <w:spacing w:line="560" w:lineRule="exact"/>
        <w:ind w:left="5882" w:leftChars="1" w:hanging="5880" w:hangingChars="2100"/>
        <w:textAlignment w:val="auto"/>
        <w:rPr>
          <w:rFonts w:hint="eastAsia"/>
          <w:color w:val="auto"/>
          <w:sz w:val="28"/>
          <w:szCs w:val="28"/>
          <w:highlight w:val="none"/>
          <w:u w:val="single"/>
        </w:rPr>
      </w:pPr>
      <w:r>
        <w:rPr>
          <w:rFonts w:hAnsi="宋体"/>
          <w:color w:val="auto"/>
          <w:sz w:val="28"/>
          <w:szCs w:val="28"/>
          <w:highlight w:val="none"/>
        </w:rPr>
        <w:t>委托代理人（</w:t>
      </w:r>
      <w:r>
        <w:rPr>
          <w:rFonts w:hint="eastAsia" w:hAnsi="宋体"/>
          <w:color w:val="auto"/>
          <w:sz w:val="28"/>
          <w:szCs w:val="28"/>
          <w:highlight w:val="none"/>
        </w:rPr>
        <w:t>签章</w:t>
      </w:r>
      <w:r>
        <w:rPr>
          <w:rFonts w:hAnsi="宋体"/>
          <w:color w:val="auto"/>
          <w:sz w:val="28"/>
          <w:szCs w:val="28"/>
          <w:highlight w:val="none"/>
        </w:rPr>
        <w:t>）：</w:t>
      </w:r>
      <w:r>
        <w:rPr>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rPr>
        <w:t xml:space="preserve">  </w:t>
      </w:r>
      <w:r>
        <w:rPr>
          <w:rFonts w:hAnsi="宋体"/>
          <w:color w:val="auto"/>
          <w:sz w:val="28"/>
          <w:szCs w:val="28"/>
          <w:highlight w:val="none"/>
        </w:rPr>
        <w:t>委托代理人（</w:t>
      </w:r>
      <w:r>
        <w:rPr>
          <w:rFonts w:hint="eastAsia" w:hAnsi="宋体"/>
          <w:color w:val="auto"/>
          <w:sz w:val="28"/>
          <w:szCs w:val="28"/>
          <w:highlight w:val="none"/>
        </w:rPr>
        <w:t>签章</w:t>
      </w:r>
      <w:r>
        <w:rPr>
          <w:rFonts w:hAnsi="宋体"/>
          <w:color w:val="auto"/>
          <w:sz w:val="28"/>
          <w:szCs w:val="28"/>
          <w:highlight w:val="none"/>
        </w:rPr>
        <w:t>）：</w:t>
      </w:r>
      <w:r>
        <w:rPr>
          <w:color w:val="auto"/>
          <w:sz w:val="28"/>
          <w:szCs w:val="28"/>
          <w:highlight w:val="none"/>
          <w:u w:val="single"/>
        </w:rPr>
        <w:t xml:space="preserve">  </w:t>
      </w:r>
      <w:r>
        <w:rPr>
          <w:rFonts w:hint="eastAsia"/>
          <w:color w:val="auto"/>
          <w:sz w:val="28"/>
          <w:szCs w:val="28"/>
          <w:highlight w:val="none"/>
          <w:u w:val="single"/>
        </w:rPr>
        <w:t xml:space="preserve">            </w:t>
      </w:r>
    </w:p>
    <w:p w14:paraId="58715BA9">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pacing w:val="-20"/>
          <w:sz w:val="28"/>
          <w:szCs w:val="28"/>
          <w:highlight w:val="none"/>
          <w:u w:val="single"/>
          <w:lang w:val="en-US" w:eastAsia="zh-CN"/>
        </w:rPr>
        <w:t xml:space="preserve">  合浦县廉州镇南乐街69号</w:t>
      </w:r>
      <w:r>
        <w:rPr>
          <w:rFonts w:hint="eastAsia" w:asciiTheme="minorEastAsia" w:hAnsiTheme="minorEastAsia" w:eastAsiaTheme="minorEastAsia" w:cstheme="minorEastAsia"/>
          <w:color w:val="auto"/>
          <w:spacing w:val="-20"/>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rPr>
        <w:t>地    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5C6169AE">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邮    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3DF82345">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电    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0779-</w:t>
      </w:r>
      <w:r>
        <w:rPr>
          <w:rFonts w:hint="eastAsia" w:asciiTheme="minorEastAsia" w:hAnsiTheme="minorEastAsia" w:eastAsiaTheme="minorEastAsia" w:cstheme="minorEastAsia"/>
          <w:color w:val="auto"/>
          <w:sz w:val="28"/>
          <w:szCs w:val="28"/>
          <w:highlight w:val="none"/>
          <w:u w:val="single"/>
          <w:lang w:val="en-US" w:eastAsia="zh-CN"/>
        </w:rPr>
        <w:t xml:space="preserve">3216200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电    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0A9F6C4C">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传    真：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传    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77413205">
      <w:pPr>
        <w:keepNext w:val="0"/>
        <w:keepLines w:val="0"/>
        <w:pageBreakBefore w:val="0"/>
        <w:widowControl w:val="0"/>
        <w:tabs>
          <w:tab w:val="left" w:pos="420"/>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邮政编码：</w:t>
      </w:r>
      <w:r>
        <w:rPr>
          <w:rFonts w:hint="eastAsia" w:asciiTheme="minorEastAsia" w:hAnsiTheme="minorEastAsia" w:eastAsiaTheme="minorEastAsia" w:cstheme="minorEastAsia"/>
          <w:color w:val="auto"/>
          <w:sz w:val="28"/>
          <w:szCs w:val="28"/>
          <w:highlight w:val="none"/>
          <w:u w:val="single"/>
        </w:rPr>
        <w:t xml:space="preserve"> 536100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邮政编码：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2D1B94F9">
      <w:pPr>
        <w:keepNext w:val="0"/>
        <w:keepLines w:val="0"/>
        <w:pageBreakBefore w:val="0"/>
        <w:widowControl w:val="0"/>
        <w:tabs>
          <w:tab w:val="left" w:pos="420"/>
        </w:tabs>
        <w:kinsoku/>
        <w:wordWrap/>
        <w:overflowPunct/>
        <w:topLinePunct w:val="0"/>
        <w:autoSpaceDE/>
        <w:autoSpaceDN/>
        <w:bidi w:val="0"/>
        <w:adjustRightInd/>
        <w:snapToGrid/>
        <w:spacing w:line="560" w:lineRule="exact"/>
        <w:ind w:left="6480" w:right="-458" w:rightChars="-218" w:hanging="7560" w:hangingChars="2700"/>
        <w:textAlignment w:val="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开户银行：</w:t>
      </w:r>
      <w:r>
        <w:rPr>
          <w:rFonts w:hint="eastAsia" w:asciiTheme="minorEastAsia" w:hAnsiTheme="minorEastAsia" w:eastAsiaTheme="minorEastAsia" w:cstheme="minorEastAsia"/>
          <w:color w:val="auto"/>
          <w:spacing w:val="16"/>
          <w:sz w:val="28"/>
          <w:szCs w:val="28"/>
          <w:highlight w:val="none"/>
          <w:u w:val="single"/>
        </w:rPr>
        <w:t xml:space="preserve">          </w:t>
      </w:r>
      <w:r>
        <w:rPr>
          <w:rFonts w:hint="eastAsia" w:asciiTheme="minorEastAsia" w:hAnsiTheme="minorEastAsia" w:eastAsiaTheme="minorEastAsia" w:cstheme="minorEastAsia"/>
          <w:color w:val="auto"/>
          <w:spacing w:val="16"/>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开户银行：</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169B8C2E">
      <w:pPr>
        <w:keepNext w:val="0"/>
        <w:keepLines w:val="0"/>
        <w:pageBreakBefore w:val="0"/>
        <w:widowControl w:val="0"/>
        <w:tabs>
          <w:tab w:val="left" w:pos="420"/>
        </w:tabs>
        <w:kinsoku/>
        <w:wordWrap/>
        <w:overflowPunct/>
        <w:topLinePunct w:val="0"/>
        <w:autoSpaceDE/>
        <w:autoSpaceDN/>
        <w:bidi w:val="0"/>
        <w:adjustRightInd/>
        <w:snapToGrid/>
        <w:spacing w:line="560" w:lineRule="exact"/>
        <w:ind w:left="7545" w:leftChars="2793" w:right="-458" w:rightChars="-218" w:hanging="1680" w:hangingChars="600"/>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65F7E310">
      <w:pPr>
        <w:pStyle w:val="27"/>
        <w:keepNext w:val="0"/>
        <w:keepLines w:val="0"/>
        <w:pageBreakBefore w:val="0"/>
        <w:wordWrap/>
        <w:overflowPunct/>
        <w:topLinePunct w:val="0"/>
        <w:bidi w:val="0"/>
        <w:spacing w:line="560" w:lineRule="exact"/>
        <w:rPr>
          <w:rFonts w:hint="eastAsia" w:ascii="宋体" w:hAnsi="宋体" w:cs="宋体"/>
          <w:color w:val="auto"/>
          <w:sz w:val="28"/>
          <w:szCs w:val="28"/>
          <w:highlight w:val="none"/>
        </w:rPr>
      </w:pPr>
      <w:r>
        <w:rPr>
          <w:rFonts w:hint="eastAsia" w:asciiTheme="minorEastAsia" w:hAnsiTheme="minorEastAsia" w:eastAsiaTheme="minorEastAsia" w:cstheme="minorEastAsia"/>
          <w:color w:val="auto"/>
          <w:sz w:val="28"/>
          <w:szCs w:val="28"/>
          <w:highlight w:val="none"/>
        </w:rPr>
        <w:t>帐    号</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pacing w:val="16"/>
          <w:sz w:val="28"/>
          <w:szCs w:val="28"/>
          <w:highlight w:val="none"/>
          <w:u w:val="single"/>
        </w:rPr>
        <w:t xml:space="preserve">     </w:t>
      </w:r>
      <w:r>
        <w:rPr>
          <w:rFonts w:hint="eastAsia" w:asciiTheme="minorEastAsia" w:hAnsiTheme="minorEastAsia" w:eastAsiaTheme="minorEastAsia" w:cstheme="minorEastAsia"/>
          <w:color w:val="auto"/>
          <w:spacing w:val="16"/>
          <w:sz w:val="28"/>
          <w:szCs w:val="28"/>
          <w:highlight w:val="none"/>
          <w:u w:val="single"/>
          <w:lang w:val="en-US" w:eastAsia="zh-CN"/>
        </w:rPr>
        <w:t xml:space="preserve">   </w:t>
      </w:r>
      <w:r>
        <w:rPr>
          <w:rFonts w:hint="eastAsia" w:asciiTheme="minorEastAsia" w:hAnsiTheme="minorEastAsia" w:eastAsiaTheme="minorEastAsia" w:cstheme="minorEastAsia"/>
          <w:color w:val="auto"/>
          <w:spacing w:val="16"/>
          <w:sz w:val="28"/>
          <w:szCs w:val="28"/>
          <w:highlight w:val="none"/>
          <w:u w:val="single"/>
        </w:rPr>
        <w:t xml:space="preserve"> </w:t>
      </w:r>
      <w:r>
        <w:rPr>
          <w:rFonts w:hint="eastAsia" w:asciiTheme="minorEastAsia" w:hAnsiTheme="minorEastAsia" w:eastAsiaTheme="minorEastAsia" w:cstheme="minorEastAsia"/>
          <w:color w:val="auto"/>
          <w:spacing w:val="16"/>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帐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p>
    <w:p w14:paraId="34F1FDE2">
      <w:pPr>
        <w:pStyle w:val="27"/>
        <w:spacing w:line="440" w:lineRule="exact"/>
        <w:rPr>
          <w:rFonts w:hint="eastAsia" w:ascii="宋体" w:hAnsi="宋体" w:cs="宋体"/>
          <w:color w:val="auto"/>
          <w:sz w:val="28"/>
          <w:szCs w:val="28"/>
          <w:highlight w:val="none"/>
        </w:rPr>
      </w:pPr>
    </w:p>
    <w:p w14:paraId="06ED856A">
      <w:pPr>
        <w:keepNext w:val="0"/>
        <w:keepLines w:val="0"/>
        <w:pageBreakBefore w:val="0"/>
        <w:widowControl w:val="0"/>
        <w:kinsoku/>
        <w:wordWrap/>
        <w:overflowPunct/>
        <w:topLinePunct w:val="0"/>
        <w:autoSpaceDE/>
        <w:autoSpaceDN/>
        <w:bidi w:val="0"/>
        <w:adjustRightInd/>
        <w:snapToGrid/>
        <w:spacing w:line="500" w:lineRule="exact"/>
        <w:ind w:left="1566" w:leftChars="-95" w:right="268" w:rightChars="0" w:hanging="1765" w:hangingChars="788"/>
        <w:jc w:val="left"/>
        <w:textAlignment w:val="auto"/>
        <w:rPr>
          <w:rFonts w:hint="eastAsia" w:ascii="宋体" w:hAnsi="宋体" w:cs="宋体"/>
          <w:color w:val="auto"/>
          <w:spacing w:val="-20"/>
          <w:sz w:val="28"/>
          <w:szCs w:val="28"/>
          <w:highlight w:val="none"/>
          <w:u w:val="single"/>
        </w:rPr>
      </w:pPr>
      <w:r>
        <w:rPr>
          <w:rFonts w:hint="eastAsia" w:ascii="宋体" w:hAnsi="宋体" w:cs="宋体"/>
          <w:color w:val="auto"/>
          <w:spacing w:val="-28"/>
          <w:sz w:val="28"/>
          <w:szCs w:val="28"/>
          <w:highlight w:val="none"/>
          <w:lang w:eastAsia="zh-CN"/>
        </w:rPr>
        <w:t>建设单位</w:t>
      </w:r>
      <w:r>
        <w:rPr>
          <w:rFonts w:hint="eastAsia" w:ascii="宋体" w:hAnsi="宋体" w:cs="宋体"/>
          <w:color w:val="auto"/>
          <w:spacing w:val="-28"/>
          <w:sz w:val="28"/>
          <w:szCs w:val="28"/>
          <w:highlight w:val="none"/>
        </w:rPr>
        <w:t>（</w:t>
      </w:r>
      <w:r>
        <w:rPr>
          <w:rFonts w:hint="eastAsia" w:ascii="宋体" w:hAnsi="宋体" w:cs="宋体"/>
          <w:color w:val="auto"/>
          <w:spacing w:val="-28"/>
          <w:sz w:val="28"/>
          <w:szCs w:val="28"/>
          <w:highlight w:val="none"/>
          <w:lang w:val="en-US" w:eastAsia="zh-CN"/>
        </w:rPr>
        <w:t>公</w:t>
      </w:r>
      <w:r>
        <w:rPr>
          <w:rFonts w:hint="eastAsia" w:ascii="宋体" w:hAnsi="宋体" w:cs="宋体"/>
          <w:color w:val="auto"/>
          <w:spacing w:val="-28"/>
          <w:sz w:val="28"/>
          <w:szCs w:val="28"/>
          <w:highlight w:val="none"/>
        </w:rPr>
        <w:t>章）：</w:t>
      </w:r>
      <w:r>
        <w:rPr>
          <w:rFonts w:hint="eastAsia" w:ascii="宋体" w:hAnsi="宋体" w:cs="宋体"/>
          <w:color w:val="auto"/>
          <w:spacing w:val="-20"/>
          <w:sz w:val="28"/>
          <w:szCs w:val="28"/>
          <w:highlight w:val="none"/>
          <w:u w:val="single"/>
        </w:rPr>
        <w:t>合浦县</w:t>
      </w:r>
      <w:r>
        <w:rPr>
          <w:rFonts w:hint="eastAsia" w:ascii="宋体" w:hAnsi="宋体" w:cs="宋体"/>
          <w:color w:val="auto"/>
          <w:spacing w:val="-20"/>
          <w:sz w:val="28"/>
          <w:szCs w:val="28"/>
          <w:highlight w:val="none"/>
          <w:u w:val="single"/>
          <w:lang w:val="en-US" w:eastAsia="zh-CN"/>
        </w:rPr>
        <w:t xml:space="preserve">水利工程管理站 </w:t>
      </w:r>
    </w:p>
    <w:p w14:paraId="0B0463FD">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住    所：</w:t>
      </w:r>
      <w:r>
        <w:rPr>
          <w:rFonts w:hint="eastAsia" w:ascii="宋体" w:hAnsi="宋体" w:cs="宋体"/>
          <w:color w:val="auto"/>
          <w:spacing w:val="-20"/>
          <w:sz w:val="28"/>
          <w:szCs w:val="28"/>
          <w:highlight w:val="none"/>
          <w:u w:val="single"/>
        </w:rPr>
        <w:t>合浦县廉州镇南乐街69号</w:t>
      </w:r>
    </w:p>
    <w:p w14:paraId="1A41BB67">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w:t>
      </w:r>
    </w:p>
    <w:p w14:paraId="51A0A924">
      <w:pPr>
        <w:keepNext w:val="0"/>
        <w:keepLines w:val="0"/>
        <w:pageBreakBefore w:val="0"/>
        <w:widowControl w:val="0"/>
        <w:kinsoku/>
        <w:wordWrap/>
        <w:overflowPunct/>
        <w:topLinePunct w:val="0"/>
        <w:autoSpaceDE/>
        <w:autoSpaceDN/>
        <w:bidi w:val="0"/>
        <w:adjustRightInd/>
        <w:snapToGrid/>
        <w:spacing w:line="500" w:lineRule="exact"/>
        <w:ind w:left="-184" w:leftChars="-94" w:hanging="13" w:hangingChars="6"/>
        <w:textAlignment w:val="auto"/>
        <w:rPr>
          <w:rFonts w:hint="eastAsia" w:ascii="宋体" w:hAnsi="宋体" w:cs="宋体"/>
          <w:color w:val="auto"/>
          <w:sz w:val="28"/>
          <w:szCs w:val="28"/>
          <w:highlight w:val="none"/>
        </w:rPr>
      </w:pPr>
      <w:r>
        <w:rPr>
          <w:rFonts w:hint="eastAsia" w:ascii="宋体" w:hAnsi="宋体" w:cs="宋体"/>
          <w:color w:val="auto"/>
          <w:spacing w:val="-28"/>
          <w:sz w:val="28"/>
          <w:szCs w:val="28"/>
          <w:highlight w:val="none"/>
        </w:rPr>
        <w:t>委托代理人（签章）：</w:t>
      </w:r>
      <w:r>
        <w:rPr>
          <w:rFonts w:hint="eastAsia" w:ascii="宋体" w:hAnsi="宋体" w:cs="宋体"/>
          <w:color w:val="auto"/>
          <w:spacing w:val="-28"/>
          <w:sz w:val="28"/>
          <w:szCs w:val="28"/>
          <w:highlight w:val="none"/>
          <w:u w:val="single"/>
        </w:rPr>
        <w:t xml:space="preserve">                        </w:t>
      </w:r>
      <w:r>
        <w:rPr>
          <w:rFonts w:hint="eastAsia" w:ascii="宋体" w:hAnsi="宋体" w:cs="宋体"/>
          <w:color w:val="auto"/>
          <w:sz w:val="28"/>
          <w:szCs w:val="28"/>
          <w:highlight w:val="none"/>
        </w:rPr>
        <w:t xml:space="preserve">                       </w:t>
      </w:r>
    </w:p>
    <w:p w14:paraId="4954A12E">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4116C4C9">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传    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0A8D226C">
      <w:pPr>
        <w:keepNext w:val="0"/>
        <w:keepLines w:val="0"/>
        <w:pageBreakBefore w:val="0"/>
        <w:widowControl w:val="0"/>
        <w:kinsoku/>
        <w:wordWrap/>
        <w:overflowPunct/>
        <w:topLinePunct w:val="0"/>
        <w:autoSpaceDE/>
        <w:autoSpaceDN/>
        <w:bidi w:val="0"/>
        <w:adjustRightInd/>
        <w:snapToGrid/>
        <w:spacing w:line="500" w:lineRule="exact"/>
        <w:ind w:left="-181" w:leftChars="-94" w:hanging="16" w:hangingChars="6"/>
        <w:textAlignment w:val="auto"/>
        <w:rPr>
          <w:rFonts w:hint="eastAsia" w:ascii="宋体" w:hAnsi="宋体" w:cs="宋体"/>
          <w:color w:val="auto"/>
          <w:spacing w:val="-31"/>
          <w:sz w:val="28"/>
          <w:szCs w:val="28"/>
          <w:highlight w:val="non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536100             </w:t>
      </w:r>
    </w:p>
    <w:p w14:paraId="721DC0A9">
      <w:pPr>
        <w:spacing w:line="440" w:lineRule="exact"/>
        <w:jc w:val="both"/>
        <w:rPr>
          <w:rFonts w:hint="eastAsia" w:ascii="宋体" w:hAnsi="宋体" w:cs="宋体"/>
          <w:b/>
          <w:bCs/>
          <w:color w:val="auto"/>
          <w:sz w:val="44"/>
          <w:szCs w:val="44"/>
          <w:highlight w:val="none"/>
        </w:rPr>
        <w:sectPr>
          <w:footerReference r:id="rId8" w:type="default"/>
          <w:pgSz w:w="11906" w:h="16838"/>
          <w:pgMar w:top="1418" w:right="1418" w:bottom="1418" w:left="1474" w:header="851" w:footer="992" w:gutter="0"/>
          <w:pgNumType w:fmt="decimal" w:start="1"/>
          <w:cols w:space="720" w:num="1"/>
          <w:docGrid w:type="lines" w:linePitch="312" w:charSpace="0"/>
        </w:sectPr>
      </w:pPr>
    </w:p>
    <w:p w14:paraId="5700FA8C">
      <w:pPr>
        <w:pStyle w:val="5"/>
        <w:bidi w:val="0"/>
        <w:jc w:val="center"/>
        <w:rPr>
          <w:rFonts w:hint="eastAsia"/>
          <w:color w:val="auto"/>
          <w:highlight w:val="none"/>
        </w:rPr>
      </w:pPr>
      <w:bookmarkStart w:id="62" w:name="_Toc31440"/>
      <w:r>
        <w:rPr>
          <w:rFonts w:hint="eastAsia"/>
          <w:color w:val="auto"/>
          <w:highlight w:val="none"/>
        </w:rPr>
        <w:t>二、通用合同条款</w:t>
      </w:r>
      <w:bookmarkEnd w:id="62"/>
    </w:p>
    <w:p w14:paraId="4336E160">
      <w:pPr>
        <w:spacing w:line="440" w:lineRule="exact"/>
        <w:rPr>
          <w:rFonts w:hint="eastAsia" w:ascii="宋体" w:hAnsi="宋体" w:cs="宋体"/>
          <w:color w:val="auto"/>
          <w:sz w:val="28"/>
          <w:szCs w:val="28"/>
          <w:highlight w:val="none"/>
        </w:rPr>
      </w:pPr>
    </w:p>
    <w:p w14:paraId="059A188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全文引用水利部、国家电力公司和国家工商行政管理局于2000年2月联合颁发的《水利水电工程施工合同文件》（GF-2000-0208）的通用条款。</w:t>
      </w:r>
    </w:p>
    <w:p w14:paraId="34026C22">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bookmarkStart w:id="63" w:name="_Toc1495"/>
      <w:r>
        <w:rPr>
          <w:rStyle w:val="123"/>
          <w:rFonts w:hint="eastAsia"/>
          <w:color w:val="auto"/>
          <w:highlight w:val="none"/>
        </w:rPr>
        <w:t>三、 专用合同条款</w:t>
      </w:r>
      <w:bookmarkEnd w:id="63"/>
    </w:p>
    <w:p w14:paraId="272606BF">
      <w:pPr>
        <w:spacing w:line="440" w:lineRule="exact"/>
        <w:ind w:firstLine="560" w:firstLineChars="200"/>
        <w:rPr>
          <w:rFonts w:hint="eastAsia" w:ascii="宋体" w:hAnsi="宋体" w:cs="宋体"/>
          <w:color w:val="auto"/>
          <w:sz w:val="28"/>
          <w:szCs w:val="28"/>
          <w:highlight w:val="none"/>
        </w:rPr>
      </w:pPr>
    </w:p>
    <w:p w14:paraId="2F922CF9">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64" w:name="bookmark1579"/>
      <w:bookmarkStart w:id="65" w:name="_Toc21852"/>
      <w:bookmarkStart w:id="66" w:name="bookmark1580"/>
      <w:bookmarkStart w:id="67" w:name="_Toc30818"/>
      <w:bookmarkStart w:id="68" w:name="_Toc5795"/>
      <w:bookmarkStart w:id="69" w:name="_Toc28947"/>
      <w:bookmarkStart w:id="70" w:name="bookmark1582"/>
      <w:bookmarkStart w:id="71" w:name="_Toc27068"/>
      <w:bookmarkStart w:id="72" w:name="_Toc19994"/>
      <w:bookmarkStart w:id="73" w:name="_Toc16103"/>
      <w:r>
        <w:rPr>
          <w:rFonts w:hint="eastAsia" w:ascii="宋体" w:hAnsi="宋体" w:eastAsia="宋体" w:cs="宋体"/>
          <w:color w:val="auto"/>
          <w:spacing w:val="0"/>
          <w:sz w:val="28"/>
          <w:szCs w:val="28"/>
          <w:highlight w:val="none"/>
          <w:lang w:eastAsia="zh-CN"/>
        </w:rPr>
        <w:t>1. 一般约定</w:t>
      </w:r>
      <w:bookmarkEnd w:id="64"/>
      <w:bookmarkEnd w:id="65"/>
      <w:bookmarkEnd w:id="66"/>
      <w:bookmarkEnd w:id="67"/>
      <w:bookmarkEnd w:id="68"/>
      <w:bookmarkEnd w:id="69"/>
      <w:bookmarkEnd w:id="70"/>
      <w:bookmarkEnd w:id="71"/>
      <w:bookmarkEnd w:id="72"/>
      <w:bookmarkEnd w:id="73"/>
    </w:p>
    <w:p w14:paraId="3BB22E7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74" w:name="_Toc6206"/>
      <w:bookmarkStart w:id="75" w:name="bookmark1584"/>
      <w:bookmarkStart w:id="76" w:name="_Toc23989"/>
      <w:bookmarkStart w:id="77" w:name="_Toc15946"/>
      <w:bookmarkStart w:id="78" w:name="_Toc7398"/>
      <w:bookmarkStart w:id="79" w:name="bookmark1585"/>
      <w:bookmarkStart w:id="80" w:name="bookmark1583"/>
      <w:r>
        <w:rPr>
          <w:rFonts w:hint="eastAsia" w:ascii="宋体" w:hAnsi="宋体" w:eastAsia="宋体" w:cs="宋体"/>
          <w:color w:val="auto"/>
          <w:spacing w:val="0"/>
          <w:sz w:val="28"/>
          <w:szCs w:val="28"/>
          <w:highlight w:val="none"/>
          <w:lang w:eastAsia="zh-CN"/>
        </w:rPr>
        <w:t>1.1词语定义</w:t>
      </w:r>
      <w:bookmarkEnd w:id="74"/>
      <w:bookmarkEnd w:id="75"/>
      <w:bookmarkEnd w:id="76"/>
      <w:bookmarkEnd w:id="77"/>
      <w:bookmarkEnd w:id="78"/>
      <w:bookmarkEnd w:id="79"/>
      <w:bookmarkEnd w:id="80"/>
    </w:p>
    <w:p w14:paraId="3ECFED95">
      <w:pPr>
        <w:pStyle w:val="115"/>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1.1.2</w:t>
      </w:r>
      <w:r>
        <w:rPr>
          <w:rFonts w:hint="eastAsia" w:ascii="宋体" w:hAnsi="宋体" w:eastAsia="宋体" w:cs="宋体"/>
          <w:color w:val="auto"/>
          <w:spacing w:val="0"/>
          <w:sz w:val="28"/>
          <w:szCs w:val="28"/>
          <w:highlight w:val="none"/>
        </w:rPr>
        <w:t>合同当事人和人员</w:t>
      </w:r>
    </w:p>
    <w:p w14:paraId="44BAEB31">
      <w:pPr>
        <w:pStyle w:val="117"/>
        <w:pageBreakBefore w:val="0"/>
        <w:tabs>
          <w:tab w:val="left" w:pos="4064"/>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val="zh-CN" w:eastAsia="zh-CN" w:bidi="zh-CN"/>
        </w:rPr>
        <w:t>2</w:t>
      </w:r>
      <w:r>
        <w:rPr>
          <w:rFonts w:hint="eastAsia" w:ascii="宋体" w:hAnsi="宋体" w:cs="宋体"/>
          <w:color w:val="auto"/>
          <w:spacing w:val="0"/>
          <w:sz w:val="28"/>
          <w:szCs w:val="28"/>
          <w:highlight w:val="none"/>
          <w:lang w:val="en-US" w:eastAsia="zh-CN" w:bidi="zh-CN"/>
        </w:rPr>
        <w:t>建设单位</w:t>
      </w:r>
      <w:r>
        <w:rPr>
          <w:rFonts w:hint="eastAsia" w:ascii="宋体" w:hAnsi="宋体" w:eastAsia="宋体" w:cs="宋体"/>
          <w:color w:val="auto"/>
          <w:spacing w:val="0"/>
          <w:sz w:val="28"/>
          <w:szCs w:val="28"/>
          <w:highlight w:val="none"/>
          <w:lang w:val="zh-CN" w:eastAsia="zh-CN" w:bidi="zh-CN"/>
        </w:rPr>
        <w:t>：</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宋体" w:hAnsi="宋体" w:cs="宋体"/>
          <w:b/>
          <w:bCs/>
          <w:color w:val="auto"/>
          <w:sz w:val="28"/>
          <w:szCs w:val="28"/>
          <w:highlight w:val="none"/>
          <w:u w:val="single"/>
          <w:lang w:val="zh-CN" w:eastAsia="zh-CN" w:bidi="zh-CN"/>
        </w:rPr>
        <w:t>合浦县水利工程管理站</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eastAsia="zh-CN"/>
        </w:rPr>
        <w:t>。</w:t>
      </w:r>
    </w:p>
    <w:p w14:paraId="31E30136">
      <w:pPr>
        <w:pStyle w:val="117"/>
        <w:pageBreakBefore w:val="0"/>
        <w:tabs>
          <w:tab w:val="left" w:pos="4066"/>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val="zh-CN" w:eastAsia="zh-CN" w:bidi="zh-CN"/>
        </w:rPr>
        <w:t>3承包人：</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宋体" w:hAnsi="宋体" w:eastAsia="宋体" w:cs="宋体"/>
          <w:color w:val="auto"/>
          <w:spacing w:val="0"/>
          <w:sz w:val="28"/>
          <w:szCs w:val="28"/>
          <w:highlight w:val="none"/>
          <w:lang w:eastAsia="zh-CN"/>
        </w:rPr>
        <w:t>。</w:t>
      </w:r>
    </w:p>
    <w:p w14:paraId="1B923F35">
      <w:pPr>
        <w:pStyle w:val="117"/>
        <w:pageBreakBefore w:val="0"/>
        <w:tabs>
          <w:tab w:val="left" w:pos="4066"/>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eastAsia="zh-CN" w:bidi="zh-CN"/>
        </w:rPr>
        <w:t>4承包人项目负责人、技术负责人和专职安全员</w:t>
      </w:r>
      <w:r>
        <w:rPr>
          <w:rFonts w:hint="eastAsia" w:ascii="宋体" w:hAnsi="宋体" w:eastAsia="宋体" w:cs="宋体"/>
          <w:color w:val="auto"/>
          <w:spacing w:val="0"/>
          <w:sz w:val="28"/>
          <w:szCs w:val="28"/>
          <w:highlight w:val="none"/>
          <w:lang w:val="zh-CN" w:eastAsia="zh-CN" w:bidi="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宋体" w:hAnsi="宋体" w:eastAsia="宋体" w:cs="宋体"/>
          <w:color w:val="auto"/>
          <w:spacing w:val="0"/>
          <w:sz w:val="28"/>
          <w:szCs w:val="28"/>
          <w:highlight w:val="none"/>
          <w:lang w:eastAsia="zh-CN" w:bidi="zh-CN"/>
        </w:rPr>
        <w:t>。</w:t>
      </w:r>
    </w:p>
    <w:p w14:paraId="627154FA">
      <w:pPr>
        <w:pStyle w:val="117"/>
        <w:pageBreakBefore w:val="0"/>
        <w:tabs>
          <w:tab w:val="left" w:pos="4064"/>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1.1.2.</w:t>
      </w:r>
      <w:r>
        <w:rPr>
          <w:rFonts w:hint="eastAsia" w:ascii="宋体" w:hAnsi="宋体" w:eastAsia="宋体" w:cs="宋体"/>
          <w:color w:val="auto"/>
          <w:spacing w:val="0"/>
          <w:sz w:val="28"/>
          <w:szCs w:val="28"/>
          <w:highlight w:val="none"/>
          <w:lang w:val="zh-CN" w:eastAsia="zh-CN" w:bidi="zh-CN"/>
        </w:rPr>
        <w:t>5分包人:</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eastAsia="zh-CN" w:bidi="zh-CN"/>
        </w:rPr>
        <w:t xml:space="preserve"> / </w:t>
      </w:r>
      <w:r>
        <w:rPr>
          <w:rFonts w:hint="eastAsia" w:ascii="宋体" w:hAnsi="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eastAsia="zh-CN"/>
        </w:rPr>
        <w:t>。</w:t>
      </w:r>
    </w:p>
    <w:p w14:paraId="2E6DA6F3">
      <w:pPr>
        <w:pStyle w:val="117"/>
        <w:pageBreakBefore w:val="0"/>
        <w:tabs>
          <w:tab w:val="left" w:pos="4064"/>
        </w:tabs>
        <w:kinsoku/>
        <w:wordWrap/>
        <w:overflowPunct/>
        <w:topLinePunct w:val="0"/>
        <w:bidi w:val="0"/>
        <w:spacing w:after="0" w:line="500" w:lineRule="exact"/>
        <w:ind w:left="0" w:right="0" w:firstLine="560" w:firstLineChars="20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1.1.2.6</w:t>
      </w:r>
      <w:r>
        <w:rPr>
          <w:rFonts w:hint="eastAsia" w:ascii="宋体" w:hAnsi="宋体" w:eastAsia="宋体" w:cs="宋体"/>
          <w:color w:val="auto"/>
          <w:spacing w:val="0"/>
          <w:sz w:val="28"/>
          <w:szCs w:val="28"/>
          <w:highlight w:val="none"/>
          <w:lang w:val="zh-CN" w:eastAsia="zh-CN" w:bidi="zh-CN"/>
        </w:rPr>
        <w:t>监理人：</w:t>
      </w:r>
      <w:r>
        <w:rPr>
          <w:rFonts w:hint="eastAsia" w:ascii="宋体" w:hAnsi="宋体" w:eastAsia="宋体" w:cs="宋体"/>
          <w:color w:val="auto"/>
          <w:spacing w:val="0"/>
          <w:sz w:val="28"/>
          <w:szCs w:val="28"/>
          <w:highlight w:val="none"/>
          <w:u w:val="single"/>
          <w:lang w:eastAsia="zh-CN" w:bidi="zh-CN"/>
        </w:rPr>
        <w:t xml:space="preserve"> 另行通知  </w:t>
      </w:r>
      <w:r>
        <w:rPr>
          <w:rFonts w:hint="eastAsia" w:ascii="宋体" w:hAnsi="宋体" w:eastAsia="宋体" w:cs="宋体"/>
          <w:color w:val="auto"/>
          <w:spacing w:val="0"/>
          <w:sz w:val="28"/>
          <w:szCs w:val="28"/>
          <w:highlight w:val="none"/>
          <w:lang w:eastAsia="zh-CN"/>
        </w:rPr>
        <w:t>。</w:t>
      </w:r>
    </w:p>
    <w:p w14:paraId="09C6DB45">
      <w:pPr>
        <w:pStyle w:val="117"/>
        <w:pageBreakBefore w:val="0"/>
        <w:tabs>
          <w:tab w:val="left" w:pos="3649"/>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1.1.4</w:t>
      </w:r>
      <w:r>
        <w:rPr>
          <w:rFonts w:hint="eastAsia" w:ascii="宋体" w:hAnsi="宋体" w:eastAsia="宋体" w:cs="宋体"/>
          <w:color w:val="auto"/>
          <w:spacing w:val="0"/>
          <w:sz w:val="28"/>
          <w:szCs w:val="28"/>
          <w:highlight w:val="none"/>
          <w:lang w:val="zh-CN" w:eastAsia="zh-CN" w:bidi="zh-CN"/>
        </w:rPr>
        <w:t>工期：</w:t>
      </w:r>
      <w:r>
        <w:rPr>
          <w:rFonts w:hint="eastAsia" w:ascii="宋体" w:hAnsi="宋体" w:eastAsia="宋体" w:cs="宋体"/>
          <w:color w:val="auto"/>
          <w:spacing w:val="0"/>
          <w:sz w:val="28"/>
          <w:szCs w:val="28"/>
          <w:highlight w:val="none"/>
          <w:u w:val="single"/>
          <w:lang w:eastAsia="zh-CN" w:bidi="zh-CN"/>
        </w:rPr>
        <w:t xml:space="preserve"> </w:t>
      </w:r>
      <w:r>
        <w:rPr>
          <w:rFonts w:hint="eastAsia" w:ascii="宋体" w:hAnsi="宋体" w:eastAsia="宋体" w:cs="宋体"/>
          <w:b/>
          <w:bCs/>
          <w:color w:val="auto"/>
          <w:spacing w:val="0"/>
          <w:sz w:val="28"/>
          <w:szCs w:val="28"/>
          <w:highlight w:val="none"/>
          <w:u w:val="single"/>
          <w:lang w:eastAsia="zh-CN"/>
        </w:rPr>
        <w:t>监理签发的开工日起</w:t>
      </w:r>
      <w:r>
        <w:rPr>
          <w:rFonts w:hint="eastAsia" w:ascii="宋体" w:hAnsi="宋体" w:cs="宋体"/>
          <w:b/>
          <w:bCs/>
          <w:color w:val="auto"/>
          <w:spacing w:val="0"/>
          <w:sz w:val="28"/>
          <w:szCs w:val="28"/>
          <w:highlight w:val="none"/>
          <w:u w:val="single"/>
          <w:lang w:val="en-US" w:eastAsia="zh-CN"/>
        </w:rPr>
        <w:t>9</w:t>
      </w:r>
      <w:r>
        <w:rPr>
          <w:rFonts w:hint="eastAsia" w:ascii="宋体" w:hAnsi="宋体" w:eastAsia="宋体" w:cs="宋体"/>
          <w:b/>
          <w:bCs/>
          <w:color w:val="auto"/>
          <w:spacing w:val="0"/>
          <w:sz w:val="28"/>
          <w:szCs w:val="28"/>
          <w:highlight w:val="none"/>
          <w:u w:val="single"/>
          <w:lang w:eastAsia="zh-CN"/>
        </w:rPr>
        <w:t>0日历天内完成</w:t>
      </w:r>
      <w:r>
        <w:rPr>
          <w:rFonts w:hint="eastAsia" w:ascii="宋体" w:hAnsi="宋体" w:eastAsia="宋体" w:cs="宋体"/>
          <w:b/>
          <w:bCs/>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eastAsia="zh-CN"/>
        </w:rPr>
        <w:t>。</w:t>
      </w:r>
    </w:p>
    <w:p w14:paraId="1DD8A900">
      <w:pPr>
        <w:pStyle w:val="115"/>
        <w:pageBreakBefore w:val="0"/>
        <w:tabs>
          <w:tab w:val="left" w:pos="6303"/>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1.1.4.</w:t>
      </w:r>
      <w:r>
        <w:rPr>
          <w:rFonts w:hint="eastAsia" w:ascii="宋体" w:hAnsi="宋体" w:eastAsia="宋体" w:cs="宋体"/>
          <w:color w:val="auto"/>
          <w:spacing w:val="0"/>
          <w:sz w:val="28"/>
          <w:szCs w:val="28"/>
          <w:highlight w:val="none"/>
        </w:rPr>
        <w:t>5缺陷责任期(工程质量保修期):</w:t>
      </w:r>
      <w:r>
        <w:rPr>
          <w:rFonts w:hint="eastAsia" w:ascii="宋体" w:hAnsi="宋体" w:eastAsia="宋体" w:cs="宋体"/>
          <w:color w:val="auto"/>
          <w:spacing w:val="0"/>
          <w:sz w:val="28"/>
          <w:szCs w:val="28"/>
          <w:highlight w:val="none"/>
          <w:u w:val="single"/>
          <w:lang w:val="en-US" w:eastAsia="zh-CN"/>
        </w:rPr>
        <w:t xml:space="preserve">     </w:t>
      </w:r>
      <w:r>
        <w:rPr>
          <w:rFonts w:ascii="宋体" w:hAnsi="宋体"/>
          <w:color w:val="auto"/>
          <w:spacing w:val="0"/>
          <w:sz w:val="28"/>
          <w:szCs w:val="28"/>
          <w:highlight w:val="none"/>
          <w:u w:val="single"/>
        </w:rPr>
        <w:t>一年</w:t>
      </w:r>
      <w:r>
        <w:rPr>
          <w:rFonts w:hint="eastAsia" w:ascii="宋体" w:hAnsi="宋体" w:eastAsia="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lang w:val="en-US" w:bidi="en-US"/>
        </w:rPr>
        <w:t>。</w:t>
      </w:r>
    </w:p>
    <w:p w14:paraId="23CB800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81" w:name="bookmark1588"/>
      <w:bookmarkStart w:id="82" w:name="_Toc18159"/>
      <w:bookmarkStart w:id="83" w:name="_Toc5595"/>
      <w:bookmarkStart w:id="84" w:name="_Toc31701"/>
      <w:bookmarkStart w:id="85" w:name="bookmark1587"/>
      <w:bookmarkStart w:id="86" w:name="_Toc20388"/>
      <w:bookmarkStart w:id="87" w:name="bookmark1586"/>
      <w:r>
        <w:rPr>
          <w:rFonts w:hint="eastAsia" w:ascii="宋体" w:hAnsi="宋体" w:eastAsia="宋体" w:cs="宋体"/>
          <w:color w:val="auto"/>
          <w:spacing w:val="0"/>
          <w:sz w:val="28"/>
          <w:szCs w:val="28"/>
          <w:highlight w:val="none"/>
          <w:lang w:eastAsia="zh-CN"/>
        </w:rPr>
        <w:t>1.4合同文件的优先顺序</w:t>
      </w:r>
      <w:bookmarkEnd w:id="81"/>
      <w:bookmarkEnd w:id="82"/>
      <w:bookmarkEnd w:id="83"/>
      <w:bookmarkEnd w:id="84"/>
      <w:bookmarkEnd w:id="85"/>
      <w:bookmarkEnd w:id="86"/>
      <w:bookmarkEnd w:id="87"/>
    </w:p>
    <w:p w14:paraId="011300DB">
      <w:pPr>
        <w:pStyle w:val="115"/>
        <w:pageBreakBefore w:val="0"/>
        <w:kinsoku/>
        <w:wordWrap/>
        <w:overflowPunct/>
        <w:topLinePunct w:val="0"/>
        <w:bidi w:val="0"/>
        <w:spacing w:line="500" w:lineRule="exact"/>
        <w:ind w:left="0" w:right="0" w:firstLine="44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进入合同的各项文件及其优先顺序如下：</w:t>
      </w:r>
    </w:p>
    <w:p w14:paraId="79C196A4">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bookmarkStart w:id="88" w:name="bookmark1589"/>
      <w:bookmarkEnd w:id="88"/>
      <w:r>
        <w:rPr>
          <w:rFonts w:hint="eastAsia" w:ascii="宋体" w:hAnsi="宋体" w:eastAsia="宋体" w:cs="宋体"/>
          <w:color w:val="auto"/>
          <w:spacing w:val="0"/>
          <w:sz w:val="28"/>
          <w:szCs w:val="28"/>
          <w:highlight w:val="none"/>
        </w:rPr>
        <w:t>（1）合同协议书（包括补充协议、合同谈判备忘录）；</w:t>
      </w:r>
    </w:p>
    <w:p w14:paraId="1F6F500C">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（2）成交通知书；</w:t>
      </w:r>
    </w:p>
    <w:p w14:paraId="282DDEF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（3）谈判书及其附件；</w:t>
      </w:r>
    </w:p>
    <w:p w14:paraId="47CF4BD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（4）专用合同条款（含附加条款）；</w:t>
      </w:r>
    </w:p>
    <w:p w14:paraId="0DD6B18D">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（5）图纸；</w:t>
      </w:r>
    </w:p>
    <w:p w14:paraId="7B064C16">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（6）已标价工程量清单；</w:t>
      </w:r>
    </w:p>
    <w:p w14:paraId="068541D5">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（7）技术标准和要求（合同技术条款）；</w:t>
      </w:r>
    </w:p>
    <w:p w14:paraId="55370390">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（8）通用合同条款；</w:t>
      </w:r>
    </w:p>
    <w:p w14:paraId="3D67D55C">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（9）投标文件其他内容；</w:t>
      </w:r>
    </w:p>
    <w:p w14:paraId="34471CE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（10）其他合同文件。</w:t>
      </w:r>
    </w:p>
    <w:p w14:paraId="0E6B9190">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上述文件将互相补充，若有不明确或不一致处，以上列次序在先者为准。另外双方有关工程的洽商、变更等书面协议或文件视为本合同的组成部分，若有不明确或不一致处以时间顺序在后者为准。</w:t>
      </w:r>
    </w:p>
    <w:p w14:paraId="1AEE05C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1.5合同签订</w:t>
      </w:r>
    </w:p>
    <w:p w14:paraId="0AF08D5F">
      <w:pPr>
        <w:pStyle w:val="115"/>
        <w:pageBreakBefore w:val="0"/>
        <w:tabs>
          <w:tab w:val="left" w:pos="2074"/>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签订合同时，必须由承包人法定代表人或项目经理到</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所在地签订合同和承诺书，承诺书须承诺按投标文件施工工期完成并通过完工验收；因施工单位的原因未签订合同和承诺书，承诺书须承诺按投标文件施工工期完成并通过完工验收；因施工单位的原因未能按期完工的，按有关约定处罚金。</w:t>
      </w:r>
    </w:p>
    <w:p w14:paraId="1D64F7E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89" w:name="_Toc27369"/>
      <w:bookmarkStart w:id="90" w:name="_Toc14626"/>
      <w:bookmarkStart w:id="91" w:name="bookmark1601"/>
      <w:bookmarkStart w:id="92" w:name="bookmark1600"/>
      <w:bookmarkStart w:id="93" w:name="bookmark1599"/>
      <w:bookmarkStart w:id="94" w:name="_Toc27766"/>
      <w:bookmarkStart w:id="95" w:name="_Toc21237"/>
      <w:r>
        <w:rPr>
          <w:rFonts w:hint="eastAsia" w:ascii="宋体" w:hAnsi="宋体" w:eastAsia="宋体" w:cs="宋体"/>
          <w:color w:val="auto"/>
          <w:spacing w:val="0"/>
          <w:sz w:val="28"/>
          <w:szCs w:val="28"/>
          <w:highlight w:val="none"/>
          <w:lang w:eastAsia="zh-CN"/>
        </w:rPr>
        <w:t>1.7联络</w:t>
      </w:r>
      <w:bookmarkEnd w:id="89"/>
      <w:bookmarkEnd w:id="90"/>
      <w:bookmarkEnd w:id="91"/>
      <w:bookmarkEnd w:id="92"/>
      <w:bookmarkEnd w:id="93"/>
      <w:bookmarkEnd w:id="94"/>
      <w:bookmarkEnd w:id="95"/>
    </w:p>
    <w:p w14:paraId="0382907E">
      <w:pPr>
        <w:pStyle w:val="115"/>
        <w:pageBreakBefore w:val="0"/>
        <w:tabs>
          <w:tab w:val="left" w:pos="2074"/>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1.7.2</w:t>
      </w:r>
      <w:r>
        <w:rPr>
          <w:rFonts w:hint="eastAsia" w:ascii="宋体" w:hAnsi="宋体" w:eastAsia="宋体" w:cs="宋体"/>
          <w:color w:val="auto"/>
          <w:spacing w:val="0"/>
          <w:sz w:val="28"/>
          <w:szCs w:val="28"/>
          <w:highlight w:val="none"/>
        </w:rPr>
        <w:t>来往函件均应按技术标准和要求(合同技术条款)约定的期限送</w:t>
      </w:r>
      <w:r>
        <w:rPr>
          <w:rFonts w:hint="eastAsia" w:ascii="宋体" w:hAnsi="宋体" w:eastAsia="宋体" w:cs="宋体"/>
          <w:color w:val="auto"/>
          <w:spacing w:val="0"/>
          <w:sz w:val="28"/>
          <w:szCs w:val="28"/>
          <w:highlight w:val="none"/>
          <w:lang w:val="en-US"/>
        </w:rPr>
        <w:t>达</w:t>
      </w:r>
      <w:r>
        <w:rPr>
          <w:rFonts w:hint="eastAsia" w:ascii="宋体" w:hAnsi="宋体" w:eastAsia="宋体" w:cs="宋体"/>
          <w:color w:val="auto"/>
          <w:spacing w:val="0"/>
          <w:sz w:val="28"/>
          <w:szCs w:val="28"/>
          <w:highlight w:val="none"/>
          <w:u w:val="single"/>
        </w:rPr>
        <w:t>项目监理部或</w:t>
      </w:r>
      <w:r>
        <w:rPr>
          <w:rFonts w:hint="eastAsia" w:ascii="宋体" w:hAnsi="宋体" w:eastAsia="宋体" w:cs="宋体"/>
          <w:color w:val="auto"/>
          <w:spacing w:val="0"/>
          <w:sz w:val="28"/>
          <w:szCs w:val="28"/>
          <w:highlight w:val="none"/>
          <w:u w:val="single"/>
          <w:lang w:val="zh-CN" w:eastAsia="zh-CN"/>
        </w:rPr>
        <w:t>合浦县</w:t>
      </w:r>
      <w:r>
        <w:rPr>
          <w:rFonts w:hint="eastAsia" w:cs="宋体"/>
          <w:color w:val="auto"/>
          <w:spacing w:val="0"/>
          <w:sz w:val="28"/>
          <w:szCs w:val="28"/>
          <w:highlight w:val="none"/>
          <w:u w:val="single"/>
          <w:lang w:val="en-US" w:eastAsia="zh-CN"/>
        </w:rPr>
        <w:t>水利工程管理站</w:t>
      </w:r>
      <w:r>
        <w:rPr>
          <w:rFonts w:hint="eastAsia" w:ascii="宋体" w:hAnsi="宋体" w:eastAsia="宋体" w:cs="宋体"/>
          <w:color w:val="auto"/>
          <w:spacing w:val="0"/>
          <w:sz w:val="28"/>
          <w:szCs w:val="28"/>
          <w:highlight w:val="none"/>
          <w:u w:val="single"/>
        </w:rPr>
        <w:t>，来文形式包括纸质版和电子版资料</w:t>
      </w:r>
      <w:r>
        <w:rPr>
          <w:rFonts w:hint="eastAsia" w:ascii="宋体" w:hAnsi="宋体" w:eastAsia="宋体" w:cs="宋体"/>
          <w:color w:val="auto"/>
          <w:spacing w:val="0"/>
          <w:sz w:val="28"/>
          <w:szCs w:val="28"/>
          <w:highlight w:val="none"/>
          <w:lang w:val="en-US" w:bidi="en-US"/>
        </w:rPr>
        <w:t>。</w:t>
      </w:r>
    </w:p>
    <w:p w14:paraId="0C46010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96" w:name="bookmark1604"/>
      <w:bookmarkEnd w:id="96"/>
      <w:bookmarkStart w:id="97" w:name="bookmark1602"/>
      <w:bookmarkStart w:id="98" w:name="_Toc21193"/>
      <w:bookmarkStart w:id="99" w:name="_Toc23476"/>
      <w:bookmarkStart w:id="100" w:name="_Toc24990"/>
      <w:bookmarkStart w:id="101" w:name="_Toc27866"/>
      <w:bookmarkStart w:id="102" w:name="_Toc29068"/>
      <w:bookmarkStart w:id="103" w:name="bookmark1605"/>
      <w:bookmarkStart w:id="104" w:name="_Toc19584"/>
      <w:bookmarkStart w:id="105" w:name="_Toc7249"/>
      <w:bookmarkStart w:id="106" w:name="bookmark1603"/>
      <w:r>
        <w:rPr>
          <w:rFonts w:hint="eastAsia" w:ascii="宋体" w:hAnsi="宋体" w:eastAsia="宋体" w:cs="宋体"/>
          <w:color w:val="auto"/>
          <w:spacing w:val="0"/>
          <w:sz w:val="28"/>
          <w:szCs w:val="28"/>
          <w:highlight w:val="none"/>
          <w:lang w:eastAsia="zh-CN"/>
        </w:rPr>
        <w:t xml:space="preserve">2. </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eastAsia="zh-CN"/>
        </w:rPr>
        <w:t>义务</w:t>
      </w:r>
      <w:bookmarkEnd w:id="97"/>
      <w:bookmarkEnd w:id="98"/>
      <w:bookmarkEnd w:id="99"/>
      <w:bookmarkEnd w:id="100"/>
      <w:bookmarkEnd w:id="101"/>
      <w:bookmarkEnd w:id="102"/>
      <w:bookmarkEnd w:id="103"/>
      <w:bookmarkEnd w:id="104"/>
      <w:bookmarkEnd w:id="105"/>
      <w:bookmarkEnd w:id="106"/>
    </w:p>
    <w:p w14:paraId="29A90FE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07" w:name="bookmark1606"/>
      <w:bookmarkStart w:id="108" w:name="_Toc15906"/>
      <w:bookmarkStart w:id="109" w:name="bookmark1608"/>
      <w:bookmarkStart w:id="110" w:name="_Toc15235"/>
      <w:bookmarkStart w:id="111" w:name="_Toc7938"/>
      <w:bookmarkStart w:id="112" w:name="_Toc18994"/>
      <w:bookmarkStart w:id="113" w:name="bookmark1607"/>
      <w:r>
        <w:rPr>
          <w:rFonts w:hint="eastAsia" w:ascii="宋体" w:hAnsi="宋体" w:eastAsia="宋体" w:cs="宋体"/>
          <w:color w:val="auto"/>
          <w:spacing w:val="0"/>
          <w:sz w:val="28"/>
          <w:szCs w:val="28"/>
          <w:highlight w:val="none"/>
          <w:lang w:eastAsia="zh-CN" w:bidi="en-US"/>
        </w:rPr>
        <w:t>2.3提供施工场地</w:t>
      </w:r>
      <w:bookmarkEnd w:id="107"/>
      <w:bookmarkEnd w:id="108"/>
      <w:bookmarkEnd w:id="109"/>
      <w:bookmarkEnd w:id="110"/>
      <w:bookmarkEnd w:id="111"/>
      <w:bookmarkEnd w:id="112"/>
      <w:bookmarkEnd w:id="113"/>
    </w:p>
    <w:p w14:paraId="2F3B24DB">
      <w:pPr>
        <w:pStyle w:val="115"/>
        <w:pageBreakBefore w:val="0"/>
        <w:tabs>
          <w:tab w:val="left" w:pos="8227"/>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xml:space="preserve">　　2.3.2 </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提供的施工场地范围为：</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根据施工图纸划定施工场地范围，</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负责办理工地范围内的征地、拆迁和移民等有关手续并落实工程建设用地。承包人自行处理好与当地群众的关系，保证正常施工，并承担由此引起的额外费用增加。如成交后受上述原因影响，不能按时开工或开工后不能正常施工的，可能造成工程进度滞后并有可能导致延误工期的，视为承包人违约，</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有权终止合同，将工程另行发包。以上费用由承包人承担，</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不另行支付。</w:t>
      </w:r>
    </w:p>
    <w:p w14:paraId="0480E12A">
      <w:pPr>
        <w:pStyle w:val="115"/>
        <w:pageBreakBefore w:val="0"/>
        <w:tabs>
          <w:tab w:val="left" w:pos="8227"/>
        </w:tabs>
        <w:kinsoku/>
        <w:wordWrap/>
        <w:overflowPunct/>
        <w:topLinePunct w:val="0"/>
        <w:bidi w:val="0"/>
        <w:spacing w:line="500" w:lineRule="exact"/>
        <w:ind w:left="0" w:leftChars="0" w:right="0" w:firstLine="560" w:firstLineChars="20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2.3.3承包人自行勘察的施工场地范围为：完成合同工程施工建设任务所涉及的所有范围。</w:t>
      </w:r>
    </w:p>
    <w:p w14:paraId="2AE0233E">
      <w:pPr>
        <w:pStyle w:val="115"/>
        <w:pageBreakBefore w:val="0"/>
        <w:tabs>
          <w:tab w:val="left" w:pos="8227"/>
        </w:tabs>
        <w:kinsoku/>
        <w:wordWrap/>
        <w:overflowPunct/>
        <w:topLinePunct w:val="0"/>
        <w:bidi w:val="0"/>
        <w:spacing w:line="500" w:lineRule="exact"/>
        <w:ind w:left="0" w:leftChars="0" w:right="0" w:firstLine="560" w:firstLineChars="20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xml:space="preserve">2.3.4 </w:t>
      </w:r>
      <w:r>
        <w:rPr>
          <w:rFonts w:hint="eastAsia"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提供的施工场地三通一平（含施工道路）完成情况按招标现状，承包人应无条件接受现场条件。</w:t>
      </w:r>
    </w:p>
    <w:p w14:paraId="049245FF">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14" w:name="_Toc5847"/>
      <w:bookmarkStart w:id="115" w:name="_Toc25580"/>
      <w:bookmarkStart w:id="116" w:name="_Toc13977"/>
      <w:bookmarkStart w:id="117" w:name="_Toc6637"/>
      <w:bookmarkStart w:id="118" w:name="_Toc12839"/>
      <w:bookmarkStart w:id="119" w:name="bookmark1615"/>
      <w:bookmarkStart w:id="120" w:name="_Toc13318"/>
      <w:bookmarkStart w:id="121" w:name="_Toc16731"/>
      <w:bookmarkStart w:id="122" w:name="bookmark1613"/>
      <w:bookmarkStart w:id="123" w:name="bookmark1612"/>
      <w:r>
        <w:rPr>
          <w:rFonts w:hint="eastAsia" w:ascii="宋体" w:hAnsi="宋体" w:eastAsia="宋体" w:cs="宋体"/>
          <w:color w:val="auto"/>
          <w:spacing w:val="0"/>
          <w:sz w:val="28"/>
          <w:szCs w:val="28"/>
          <w:highlight w:val="none"/>
          <w:lang w:eastAsia="zh-CN"/>
        </w:rPr>
        <w:t>3. 监理人</w:t>
      </w:r>
      <w:bookmarkEnd w:id="114"/>
      <w:bookmarkEnd w:id="115"/>
      <w:bookmarkEnd w:id="116"/>
      <w:bookmarkEnd w:id="117"/>
      <w:bookmarkEnd w:id="118"/>
      <w:bookmarkEnd w:id="119"/>
      <w:bookmarkEnd w:id="120"/>
      <w:bookmarkEnd w:id="121"/>
    </w:p>
    <w:p w14:paraId="7A683CA3">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24" w:name="_Toc5690"/>
      <w:bookmarkStart w:id="125" w:name="_Toc5796"/>
      <w:bookmarkStart w:id="126" w:name="_Toc14947"/>
      <w:bookmarkStart w:id="127" w:name="bookmark1616"/>
      <w:bookmarkStart w:id="128" w:name="_Toc27024"/>
      <w:r>
        <w:rPr>
          <w:rFonts w:hint="eastAsia" w:ascii="宋体" w:hAnsi="宋体" w:eastAsia="宋体" w:cs="宋体"/>
          <w:color w:val="auto"/>
          <w:spacing w:val="0"/>
          <w:sz w:val="28"/>
          <w:szCs w:val="28"/>
          <w:highlight w:val="none"/>
          <w:lang w:eastAsia="zh-CN" w:bidi="en-US"/>
        </w:rPr>
        <w:t>3.1监理人的职责和权力</w:t>
      </w:r>
      <w:bookmarkEnd w:id="122"/>
      <w:bookmarkEnd w:id="123"/>
      <w:bookmarkEnd w:id="124"/>
      <w:bookmarkEnd w:id="125"/>
      <w:bookmarkEnd w:id="126"/>
      <w:bookmarkEnd w:id="127"/>
      <w:bookmarkEnd w:id="128"/>
    </w:p>
    <w:p w14:paraId="5B7454FC">
      <w:pPr>
        <w:pStyle w:val="115"/>
        <w:pageBreakBefore w:val="0"/>
        <w:kinsoku/>
        <w:wordWrap/>
        <w:overflowPunct/>
        <w:topLinePunct w:val="0"/>
        <w:bidi w:val="0"/>
        <w:spacing w:line="500" w:lineRule="exact"/>
        <w:ind w:left="0" w:leftChars="0" w:right="0" w:firstLine="560" w:firstLineChars="20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3.1.1</w:t>
      </w:r>
      <w:r>
        <w:rPr>
          <w:rFonts w:hint="eastAsia" w:ascii="宋体" w:hAnsi="宋体" w:eastAsia="宋体" w:cs="宋体"/>
          <w:color w:val="auto"/>
          <w:spacing w:val="0"/>
          <w:sz w:val="28"/>
          <w:szCs w:val="28"/>
          <w:highlight w:val="none"/>
        </w:rPr>
        <w:t>监理人须根据</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事先批准的权力范围行使权力，</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批准的权力范围：按本工程委托监理合同。</w:t>
      </w:r>
    </w:p>
    <w:p w14:paraId="6C1EAD3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29" w:name="bookmark1619"/>
      <w:bookmarkEnd w:id="129"/>
      <w:bookmarkStart w:id="130" w:name="bookmark1620"/>
      <w:bookmarkStart w:id="131" w:name="_Toc19218"/>
      <w:bookmarkStart w:id="132" w:name="_Toc26809"/>
      <w:bookmarkStart w:id="133" w:name="_Toc239"/>
      <w:bookmarkStart w:id="134" w:name="_Toc23429"/>
      <w:bookmarkStart w:id="135" w:name="_Toc4014"/>
      <w:bookmarkStart w:id="136" w:name="_Toc14596"/>
      <w:bookmarkStart w:id="137" w:name="_Toc23394"/>
      <w:bookmarkStart w:id="138" w:name="bookmark1617"/>
      <w:bookmarkStart w:id="139" w:name="bookmark1618"/>
      <w:r>
        <w:rPr>
          <w:rFonts w:hint="eastAsia" w:ascii="宋体" w:hAnsi="宋体" w:eastAsia="宋体" w:cs="宋体"/>
          <w:color w:val="auto"/>
          <w:spacing w:val="0"/>
          <w:sz w:val="28"/>
          <w:szCs w:val="28"/>
          <w:highlight w:val="none"/>
          <w:lang w:eastAsia="zh-CN"/>
        </w:rPr>
        <w:t>4. 承包人</w:t>
      </w:r>
      <w:bookmarkEnd w:id="130"/>
      <w:bookmarkEnd w:id="131"/>
      <w:bookmarkEnd w:id="132"/>
      <w:bookmarkEnd w:id="133"/>
      <w:bookmarkEnd w:id="134"/>
      <w:bookmarkEnd w:id="135"/>
      <w:bookmarkEnd w:id="136"/>
      <w:bookmarkEnd w:id="137"/>
    </w:p>
    <w:p w14:paraId="5B79305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40" w:name="_Toc14137"/>
      <w:bookmarkStart w:id="141" w:name="_Toc12561"/>
      <w:bookmarkStart w:id="142" w:name="bookmark1621"/>
      <w:bookmarkStart w:id="143" w:name="_Toc1345"/>
      <w:bookmarkStart w:id="144" w:name="_Toc5498"/>
      <w:r>
        <w:rPr>
          <w:rFonts w:hint="eastAsia" w:ascii="宋体" w:hAnsi="宋体" w:eastAsia="宋体" w:cs="宋体"/>
          <w:color w:val="auto"/>
          <w:spacing w:val="0"/>
          <w:sz w:val="28"/>
          <w:szCs w:val="28"/>
          <w:highlight w:val="none"/>
          <w:lang w:eastAsia="zh-CN" w:bidi="en-US"/>
        </w:rPr>
        <w:t>4.1承包人的一般义务</w:t>
      </w:r>
      <w:bookmarkEnd w:id="138"/>
      <w:bookmarkEnd w:id="139"/>
      <w:bookmarkEnd w:id="140"/>
      <w:bookmarkEnd w:id="141"/>
      <w:bookmarkEnd w:id="142"/>
      <w:bookmarkEnd w:id="143"/>
      <w:bookmarkEnd w:id="144"/>
    </w:p>
    <w:p w14:paraId="740354A3">
      <w:pPr>
        <w:pStyle w:val="47"/>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eastAsia="zh-CN"/>
        </w:rPr>
      </w:pPr>
      <w:bookmarkStart w:id="145" w:name="bookmark1622"/>
      <w:bookmarkEnd w:id="145"/>
      <w:r>
        <w:rPr>
          <w:rFonts w:hint="eastAsia" w:ascii="宋体" w:hAnsi="宋体" w:eastAsia="宋体" w:cs="宋体"/>
          <w:color w:val="auto"/>
          <w:spacing w:val="0"/>
          <w:sz w:val="28"/>
          <w:szCs w:val="28"/>
          <w:highlight w:val="none"/>
          <w:lang w:eastAsia="zh-CN"/>
        </w:rPr>
        <w:t>4.1.10其他义务</w:t>
      </w:r>
    </w:p>
    <w:p w14:paraId="559BDEE2">
      <w:pPr>
        <w:pStyle w:val="25"/>
        <w:pageBreakBefore w:val="0"/>
        <w:kinsoku/>
        <w:wordWrap/>
        <w:overflowPunct/>
        <w:topLinePunct w:val="0"/>
        <w:bidi w:val="0"/>
        <w:spacing w:after="0" w:line="500" w:lineRule="exact"/>
        <w:ind w:left="0" w:leftChars="0" w:right="0" w:firstLine="562" w:firstLineChars="200"/>
        <w:rPr>
          <w:rFonts w:hint="eastAsia" w:ascii="宋体" w:hAnsi="宋体" w:eastAsia="宋体" w:cs="宋体"/>
          <w:color w:val="auto"/>
          <w:spacing w:val="0"/>
          <w:sz w:val="28"/>
          <w:szCs w:val="28"/>
          <w:highlight w:val="none"/>
        </w:rPr>
      </w:pPr>
      <w:bookmarkStart w:id="146" w:name="bookmark1623"/>
      <w:bookmarkEnd w:id="146"/>
      <w:bookmarkStart w:id="147" w:name="bookmark1651"/>
      <w:bookmarkStart w:id="148" w:name="bookmark1650"/>
      <w:bookmarkStart w:id="149" w:name="bookmark1652"/>
      <w:r>
        <w:rPr>
          <w:rFonts w:hint="eastAsia" w:ascii="宋体" w:hAnsi="宋体" w:eastAsia="宋体" w:cs="宋体"/>
          <w:b/>
          <w:color w:val="auto"/>
          <w:spacing w:val="0"/>
          <w:sz w:val="28"/>
          <w:szCs w:val="28"/>
          <w:highlight w:val="none"/>
        </w:rPr>
        <w:t>（一）</w:t>
      </w:r>
      <w:r>
        <w:rPr>
          <w:rFonts w:hint="eastAsia" w:ascii="宋体" w:hAnsi="宋体" w:eastAsia="宋体" w:cs="宋体"/>
          <w:b/>
          <w:bCs/>
          <w:color w:val="auto"/>
          <w:spacing w:val="0"/>
          <w:sz w:val="28"/>
          <w:szCs w:val="28"/>
          <w:highlight w:val="none"/>
        </w:rPr>
        <w:t>办理建筑意外伤害保险。</w:t>
      </w:r>
    </w:p>
    <w:p w14:paraId="3DF6811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 。</w:t>
      </w:r>
    </w:p>
    <w:p w14:paraId="2C2451F6">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保险期限自投保之日（工程开工之日）起至工程竣工验收时止，时间上涵盖施工全过程的任一时段。</w:t>
      </w:r>
    </w:p>
    <w:p w14:paraId="55559195">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1C1D2B3E">
      <w:pPr>
        <w:pageBreakBefore w:val="0"/>
        <w:kinsoku/>
        <w:wordWrap/>
        <w:overflowPunct/>
        <w:topLinePunct w:val="0"/>
        <w:bidi w:val="0"/>
        <w:spacing w:line="500" w:lineRule="exact"/>
        <w:ind w:left="0" w:right="0" w:firstLine="400"/>
        <w:rPr>
          <w:rFonts w:hint="eastAsia" w:ascii="宋体" w:hAnsi="宋体" w:eastAsia="宋体" w:cs="宋体"/>
          <w:b/>
          <w:bCs/>
          <w:color w:val="auto"/>
          <w:spacing w:val="0"/>
          <w:sz w:val="28"/>
          <w:szCs w:val="28"/>
          <w:highlight w:val="none"/>
        </w:rPr>
      </w:pPr>
      <w:bookmarkStart w:id="150" w:name="bookmark1624"/>
      <w:bookmarkEnd w:id="150"/>
      <w:r>
        <w:rPr>
          <w:rFonts w:hint="eastAsia" w:ascii="宋体" w:hAnsi="宋体" w:eastAsia="宋体" w:cs="宋体"/>
          <w:b/>
          <w:bCs/>
          <w:color w:val="auto"/>
          <w:spacing w:val="0"/>
          <w:sz w:val="28"/>
          <w:szCs w:val="28"/>
          <w:highlight w:val="none"/>
        </w:rPr>
        <w:t>（二)执行国务院《保障农民工工资支付条例》、《工程建设领域农民工工资专用账户管理暂行办法》 (人社部发〔2021〕53号)和广西根治拖欠农民工工资工作的相关要求。</w:t>
      </w:r>
    </w:p>
    <w:p w14:paraId="67E15E8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1、开设农民工工资专用帐户，并与建设单位、开户银行签订资金管理三方协议，农民工工资占工程款比例为20%。</w:t>
      </w:r>
    </w:p>
    <w:p w14:paraId="7166C98B">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缴纳农民工工资保证金(适用于在本自治区行政区域内施工的所有水利水电工程项目)，根据《广西壮族自治区人力资源和社会保障厅 广西壮族自治区住房和城乡建设厅 广西壮族自治区交通运输厅 广西壮族自治区水利厅 中国银行保险监督管理委员会 广西监管局关于印发广西壮族自治区工程建设领域农民工工资保证金规定实施办法的通知》(桂人社规〔2021〕16号)规定，履行以下义务：</w:t>
      </w:r>
    </w:p>
    <w:p w14:paraId="6B88D2D3">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(1)按以下标准在农民工工资保证金专用账户足额存入农民工工资保证金：</w:t>
      </w:r>
    </w:p>
    <w:p w14:paraId="682DD71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按工程施工合同额的1%比例存储农民工工资保证金。</w:t>
      </w:r>
    </w:p>
    <w:p w14:paraId="68639747">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施工总承包单位存储工资保证金或提交银行保函前2年内在工资保证金管理地区发生  过拖欠农民工工资行为的，工资保证金存储比例为1.5% (单个项目存储金额不设定上限)；因拖欠农民工工资被纳入“严重失信主体名单”的，工资保证金存储比例为 2% (单个项目存储金额不设定上限) 。</w:t>
      </w:r>
    </w:p>
    <w:p w14:paraId="061F1724">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承包人按时发放农民工工资，在</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按时支付工程进度款后，承包人发生拖欠农民工工资的，人力资源和社会保障部门可从农民工工资保证金中先行垫付，并将作为不良信用单位记入该承包人工资支付信用档案。承包人恶意拖欠、克扣农民工工资的，</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将按投标文件承诺书的相关规定处理。</w:t>
      </w:r>
    </w:p>
    <w:p w14:paraId="6C9A899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因承包人拖欠农民工工资等原因造成农民工到</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或政府相关部门聚众闹事、追讨工资等事件，按1000元.人/次进行处罚，如达三次以上，没收全部履约保证金，如造成</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损失的，由承包人负责赔偿。</w:t>
      </w:r>
    </w:p>
    <w:p w14:paraId="538795DF">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(2)承包人在投标时，必须在投标文件中作如下承诺：</w:t>
      </w:r>
    </w:p>
    <w:p w14:paraId="512EC418">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① 如实说明其以前所承建的工程项目中工资支付的情况，特别注明是否存在拖欠或克扣农民工工资的行为。</w:t>
      </w:r>
    </w:p>
    <w:p w14:paraId="28DD8CC8">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② 承诺中标后及时、足额在农民工工资保证金专家账户存入农民工工资保证金。</w:t>
      </w:r>
    </w:p>
    <w:p w14:paraId="1F0287A2">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③ 承诺依法按月申请和足额支付农民工工资，一旦其承建的工程项目出现拖欠农民工工资情况的，人力资源和社会保障部门可从农民工工资专用账户的资金中中先予垫支。</w:t>
      </w:r>
    </w:p>
    <w:p w14:paraId="27351151">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承包人应当持根据上述作出的承诺和说明，依法到同级人力资源和社会保障部门申报办理农民工工资保证金三方监管，并向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提供农民工工资保证金专用账户监管协议和缴存农民工工资保证金凭证，由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到水利部门办理工程开工备案手续。</w:t>
      </w:r>
    </w:p>
    <w:p w14:paraId="494B7E86">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w:t>
      </w:r>
      <w:r>
        <w:rPr>
          <w:rFonts w:hint="eastAsia" w:ascii="宋体" w:hAnsi="宋体" w:eastAsia="宋体" w:cs="宋体"/>
          <w:b/>
          <w:bCs/>
          <w:color w:val="auto"/>
          <w:spacing w:val="0"/>
          <w:sz w:val="28"/>
          <w:szCs w:val="28"/>
          <w:highlight w:val="none"/>
        </w:rPr>
        <w:t>(三) 工程施工的义务和责任</w:t>
      </w:r>
    </w:p>
    <w:p w14:paraId="1AC3BB4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 承包人应负责施工场地内部的水、电等施工管、线路的铺、架设及其费用，并按供电部门规定向供电部门(或</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 交纳水、电费。</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提供的接电点在签订合同时明确。另外，施工通讯及设施由承包人负责并承担费用。</w:t>
      </w:r>
    </w:p>
    <w:p w14:paraId="25B76C5C">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 除民房外、承包人应按监理人的指示负责拆除、清理已征用土地范围内的地上地下附属物，例如： 旧基础、旧石墙、旧管道、杂物、竹木、蕉木、树木、树(竹)根、杂草等，为施工需要或施工原因采取临时渡汛措施并承担其费用。</w:t>
      </w:r>
    </w:p>
    <w:p w14:paraId="1BF9DC7D">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(3)承包人因施工需要所采取的安全防护费用由承包人承担。</w:t>
      </w:r>
    </w:p>
    <w:p w14:paraId="58357D3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 承包人应充分理解有一些设施(如施工道路、桥梁) 可能会有其它人和单位使用通行，在使用过程中发生干扰或纠纷时，承包人自行协调处理并承担相应费用。承包人应充分理解在施工过程中涉及材料和土方运输、施工车辆及人员可能会与其它人和单位发生干扰或纠纷，承包人自行协调处理并承担相应费用。</w:t>
      </w:r>
    </w:p>
    <w:p w14:paraId="2A117C7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(5)承包人将租用临时用地费用列入报价的“临时工程费”内。</w:t>
      </w:r>
    </w:p>
    <w:p w14:paraId="4FC6A69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(6)承包人负责工程取土场地的落实和取土手续的办理。</w:t>
      </w:r>
    </w:p>
    <w:p w14:paraId="2E7496E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(7) 承包人应为监理、质监、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现场代表对施工现场的检查监督提供必要的配合，并对这种配合对施工的影响应有充分的考虑。</w:t>
      </w:r>
    </w:p>
    <w:p w14:paraId="7890EC8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(8)工程竣工后，承包人应按监理人的指示清理施工现场直至监理人、</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满意为止。</w:t>
      </w:r>
    </w:p>
    <w:p w14:paraId="132542F6">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 对上述(1)~(8) 项工作,费用已包括在有关单价和总价中，</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不再另行支付由此所发生的一切费用。</w:t>
      </w:r>
    </w:p>
    <w:p w14:paraId="543E3983">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(10)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3AB95E8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(11) 承包人必须文明、安全施工，在施工期间发生的一切人员伤亡和财产损失等责任事故和所发生的一切费用概由承包人承担。</w:t>
      </w:r>
    </w:p>
    <w:p w14:paraId="159E089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(12) 按照</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的要求作好安全文明宣传、领导检查宣传等工作，相关费用由承包人承担。</w:t>
      </w:r>
    </w:p>
    <w:p w14:paraId="482EC815">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(13)承包人应按约定时间和要求，完成以下工作：</w:t>
      </w:r>
    </w:p>
    <w:p w14:paraId="2CDDFCE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①按时提交施工组织设计、单位工程的施工方案。</w:t>
      </w:r>
    </w:p>
    <w:p w14:paraId="02011635">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②每月20 日向监理人提交当月工程进度报表及下月进度计划。</w:t>
      </w:r>
    </w:p>
    <w:p w14:paraId="11F99F3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③承包人自行负责施工安全保卫工作及夜间施工照明。</w:t>
      </w:r>
    </w:p>
    <w:p w14:paraId="45D0371C">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④需承包人办理的有关施工场地交通、环卫和施工噪音管理等手续：遵守有关部门对施工现场交通、环卫和施工噪音管理规定，如有发生，费用由承包人承担。</w:t>
      </w:r>
    </w:p>
    <w:p w14:paraId="569A304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⑤已完工程成品保护的特殊要求及费用承担： 已竣工工程未交付</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之前，承包人按协议条款约定负责已完成工程的成品保护工作，保护期间发生损坏，承包人自费予以修复。</w:t>
      </w:r>
    </w:p>
    <w:p w14:paraId="2713DE6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⑥承包人有义务对施工场地周围管线(含地上及地下)和邻近建筑物、构筑物(含文物保护建筑)、古树名木等进行探明并负责保护。</w:t>
      </w:r>
    </w:p>
    <w:p w14:paraId="678B13EA">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⑦施工场地清洁卫生的要求：按城建卫生有关规定执行，由承包人负责，费用由承包人承担。</w:t>
      </w:r>
    </w:p>
    <w:p w14:paraId="7F6D618A">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⑧承包人承担施工场地、水电及运输通道的修建和维护、清场等费用。</w:t>
      </w:r>
    </w:p>
    <w:p w14:paraId="69D1CED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(14)双方约定承包人应做的其他工作：</w:t>
      </w:r>
    </w:p>
    <w:p w14:paraId="1A75FBE4">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①凡属于需要承包人交付给其他承包人的工作面以及与其他承包人交叉作业的工作面，承包人必须服从监理人的决定，按规定的完工日期完成并将清理好的工作面移交给</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，并取得监理人的同意。</w:t>
      </w:r>
    </w:p>
    <w:p w14:paraId="045B9C8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②工程完工后，承包人应按监理人的指示清理施工现场。并在工程完工后 3 个月内完成并提交工程竣工资料和工程结算资料。承包人逾期提交，</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将对承包人的拖延行为视为违约，并按1000元/天计算违约金，违约金从承包人应得的工程款中扣除，但其最终的累计总金额与各项逾期完工违约金合计不超过合同价格的 2％。</w:t>
      </w:r>
    </w:p>
    <w:p w14:paraId="25AF3521">
      <w:pPr>
        <w:pageBreakBefore w:val="0"/>
        <w:kinsoku/>
        <w:wordWrap/>
        <w:overflowPunct/>
        <w:topLinePunct w:val="0"/>
        <w:bidi w:val="0"/>
        <w:spacing w:line="500" w:lineRule="exact"/>
        <w:ind w:left="0" w:right="0" w:firstLine="280" w:firstLineChars="1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（15）其他未尽事宜双方另行协商。</w:t>
      </w:r>
    </w:p>
    <w:p w14:paraId="6DD7238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51" w:name="_Toc14148"/>
      <w:bookmarkStart w:id="152" w:name="_Toc16128"/>
      <w:bookmarkStart w:id="153" w:name="_Toc22235"/>
      <w:bookmarkStart w:id="154" w:name="_Toc27453"/>
      <w:r>
        <w:rPr>
          <w:rFonts w:hint="eastAsia" w:ascii="宋体" w:hAnsi="宋体" w:eastAsia="宋体" w:cs="宋体"/>
          <w:color w:val="auto"/>
          <w:spacing w:val="0"/>
          <w:sz w:val="28"/>
          <w:szCs w:val="28"/>
          <w:highlight w:val="none"/>
          <w:lang w:eastAsia="zh-CN" w:bidi="en-US"/>
        </w:rPr>
        <w:t>4.3分包</w:t>
      </w:r>
      <w:bookmarkEnd w:id="151"/>
      <w:bookmarkEnd w:id="152"/>
      <w:bookmarkEnd w:id="153"/>
      <w:bookmarkEnd w:id="154"/>
    </w:p>
    <w:p w14:paraId="250E2F26">
      <w:pPr>
        <w:pStyle w:val="115"/>
        <w:pageBreakBefore w:val="0"/>
        <w:tabs>
          <w:tab w:val="left" w:pos="5849"/>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rPr>
        <w:t>　　4.3.</w:t>
      </w:r>
      <w:r>
        <w:rPr>
          <w:rFonts w:hint="eastAsia" w:ascii="宋体" w:hAnsi="宋体" w:eastAsia="宋体" w:cs="宋体"/>
          <w:color w:val="auto"/>
          <w:spacing w:val="0"/>
          <w:sz w:val="28"/>
          <w:szCs w:val="28"/>
          <w:highlight w:val="none"/>
        </w:rPr>
        <w:t>2本项目</w:t>
      </w:r>
      <w:r>
        <w:rPr>
          <w:rFonts w:hint="eastAsia" w:ascii="宋体" w:hAnsi="宋体" w:eastAsia="宋体" w:cs="宋体"/>
          <w:b/>
          <w:bCs/>
          <w:color w:val="auto"/>
          <w:spacing w:val="0"/>
          <w:sz w:val="28"/>
          <w:szCs w:val="28"/>
          <w:highlight w:val="none"/>
          <w:u w:val="single"/>
        </w:rPr>
        <w:t>不允许</w:t>
      </w:r>
      <w:r>
        <w:rPr>
          <w:rFonts w:hint="eastAsia" w:ascii="宋体" w:hAnsi="宋体" w:eastAsia="宋体" w:cs="宋体"/>
          <w:color w:val="auto"/>
          <w:spacing w:val="0"/>
          <w:sz w:val="28"/>
          <w:szCs w:val="28"/>
          <w:highlight w:val="none"/>
        </w:rPr>
        <w:t>专业工程分包，允许承包人分包的工程项目、工作内容与分包金额限额为：</w:t>
      </w:r>
    </w:p>
    <w:p w14:paraId="36FD6E94">
      <w:pPr>
        <w:pStyle w:val="117"/>
        <w:pageBreakBefore w:val="0"/>
        <w:numPr>
          <w:ilvl w:val="0"/>
          <w:numId w:val="6"/>
        </w:numPr>
        <w:tabs>
          <w:tab w:val="left" w:pos="924"/>
          <w:tab w:val="left" w:pos="3770"/>
        </w:tabs>
        <w:kinsoku/>
        <w:wordWrap/>
        <w:overflowPunct/>
        <w:topLinePunct w:val="0"/>
        <w:bidi w:val="0"/>
        <w:spacing w:after="0" w:line="500" w:lineRule="exact"/>
        <w:ind w:left="0" w:right="0"/>
        <w:jc w:val="both"/>
        <w:rPr>
          <w:rFonts w:hint="eastAsia" w:ascii="宋体" w:hAnsi="宋体" w:eastAsia="宋体" w:cs="宋体"/>
          <w:color w:val="auto"/>
          <w:spacing w:val="0"/>
          <w:sz w:val="28"/>
          <w:szCs w:val="28"/>
          <w:highlight w:val="none"/>
          <w:lang w:eastAsia="zh-CN"/>
        </w:rPr>
      </w:pPr>
      <w:bookmarkStart w:id="155" w:name="bookmark1653"/>
      <w:bookmarkEnd w:id="155"/>
      <w:r>
        <w:rPr>
          <w:rFonts w:hint="eastAsia" w:ascii="宋体" w:hAnsi="宋体" w:eastAsia="宋体" w:cs="宋体"/>
          <w:color w:val="auto"/>
          <w:spacing w:val="0"/>
          <w:sz w:val="28"/>
          <w:szCs w:val="28"/>
          <w:highlight w:val="none"/>
          <w:lang w:val="zh-CN" w:eastAsia="zh-CN" w:bidi="zh-CN"/>
        </w:rPr>
        <w:t>工程项目：</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eastAsia="zh-CN" w:bidi="zh-CN"/>
        </w:rPr>
        <w:t>/</w:t>
      </w:r>
      <w:r>
        <w:rPr>
          <w:rFonts w:hint="eastAsia" w:ascii="宋体" w:hAnsi="宋体" w:eastAsia="宋体" w:cs="宋体"/>
          <w:color w:val="auto"/>
          <w:spacing w:val="0"/>
          <w:sz w:val="28"/>
          <w:szCs w:val="28"/>
          <w:highlight w:val="none"/>
          <w:u w:val="single"/>
          <w:lang w:eastAsia="zh-CN"/>
        </w:rPr>
        <w:tab/>
      </w:r>
      <w:r>
        <w:rPr>
          <w:rFonts w:hint="eastAsia" w:ascii="宋体" w:hAnsi="宋体" w:eastAsia="宋体" w:cs="宋体"/>
          <w:color w:val="auto"/>
          <w:spacing w:val="0"/>
          <w:sz w:val="28"/>
          <w:szCs w:val="28"/>
          <w:highlight w:val="none"/>
          <w:lang w:eastAsia="zh-CN"/>
        </w:rPr>
        <w:t>。</w:t>
      </w:r>
    </w:p>
    <w:p w14:paraId="580D3C83">
      <w:pPr>
        <w:pStyle w:val="117"/>
        <w:pageBreakBefore w:val="0"/>
        <w:numPr>
          <w:ilvl w:val="0"/>
          <w:numId w:val="6"/>
        </w:numPr>
        <w:tabs>
          <w:tab w:val="left" w:pos="924"/>
          <w:tab w:val="left" w:pos="3770"/>
        </w:tabs>
        <w:kinsoku/>
        <w:wordWrap/>
        <w:overflowPunct/>
        <w:topLinePunct w:val="0"/>
        <w:bidi w:val="0"/>
        <w:spacing w:after="0" w:line="500" w:lineRule="exact"/>
        <w:ind w:left="0" w:right="0"/>
        <w:jc w:val="both"/>
        <w:rPr>
          <w:rFonts w:hint="eastAsia" w:ascii="宋体" w:hAnsi="宋体" w:eastAsia="宋体" w:cs="宋体"/>
          <w:color w:val="auto"/>
          <w:spacing w:val="0"/>
          <w:sz w:val="28"/>
          <w:szCs w:val="28"/>
          <w:highlight w:val="none"/>
          <w:lang w:eastAsia="zh-CN"/>
        </w:rPr>
      </w:pPr>
      <w:bookmarkStart w:id="156" w:name="bookmark1654"/>
      <w:bookmarkEnd w:id="156"/>
      <w:r>
        <w:rPr>
          <w:rFonts w:hint="eastAsia" w:ascii="宋体" w:hAnsi="宋体" w:eastAsia="宋体" w:cs="宋体"/>
          <w:color w:val="auto"/>
          <w:spacing w:val="0"/>
          <w:sz w:val="28"/>
          <w:szCs w:val="28"/>
          <w:highlight w:val="none"/>
          <w:lang w:val="zh-CN" w:eastAsia="zh-CN" w:bidi="zh-CN"/>
        </w:rPr>
        <w:t>工作内容：</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eastAsia="zh-CN" w:bidi="zh-CN"/>
        </w:rPr>
        <w:t>/</w:t>
      </w:r>
      <w:r>
        <w:rPr>
          <w:rFonts w:hint="eastAsia" w:ascii="宋体" w:hAnsi="宋体" w:eastAsia="宋体" w:cs="宋体"/>
          <w:color w:val="auto"/>
          <w:spacing w:val="0"/>
          <w:sz w:val="28"/>
          <w:szCs w:val="28"/>
          <w:highlight w:val="none"/>
          <w:u w:val="single"/>
          <w:lang w:eastAsia="zh-CN"/>
        </w:rPr>
        <w:tab/>
      </w:r>
      <w:r>
        <w:rPr>
          <w:rFonts w:hint="eastAsia" w:ascii="宋体" w:hAnsi="宋体" w:eastAsia="宋体" w:cs="宋体"/>
          <w:color w:val="auto"/>
          <w:spacing w:val="0"/>
          <w:sz w:val="28"/>
          <w:szCs w:val="28"/>
          <w:highlight w:val="none"/>
          <w:lang w:eastAsia="zh-CN"/>
        </w:rPr>
        <w:t>。</w:t>
      </w:r>
    </w:p>
    <w:p w14:paraId="24A5D4FC">
      <w:pPr>
        <w:pStyle w:val="115"/>
        <w:pageBreakBefore w:val="0"/>
        <w:numPr>
          <w:ilvl w:val="0"/>
          <w:numId w:val="6"/>
        </w:numPr>
        <w:tabs>
          <w:tab w:val="left" w:pos="924"/>
          <w:tab w:val="left" w:pos="4190"/>
        </w:tabs>
        <w:kinsoku/>
        <w:wordWrap/>
        <w:overflowPunct/>
        <w:topLinePunct w:val="0"/>
        <w:bidi w:val="0"/>
        <w:spacing w:line="500" w:lineRule="exact"/>
        <w:ind w:left="0" w:right="0" w:firstLine="420"/>
        <w:jc w:val="both"/>
        <w:rPr>
          <w:rFonts w:hint="eastAsia" w:ascii="宋体" w:hAnsi="宋体" w:eastAsia="宋体" w:cs="宋体"/>
          <w:color w:val="auto"/>
          <w:spacing w:val="0"/>
          <w:sz w:val="28"/>
          <w:szCs w:val="28"/>
          <w:highlight w:val="none"/>
        </w:rPr>
      </w:pPr>
      <w:bookmarkStart w:id="157" w:name="bookmark1655"/>
      <w:bookmarkEnd w:id="157"/>
      <w:r>
        <w:rPr>
          <w:rFonts w:hint="eastAsia" w:ascii="宋体" w:hAnsi="宋体" w:eastAsia="宋体" w:cs="宋体"/>
          <w:color w:val="auto"/>
          <w:spacing w:val="0"/>
          <w:sz w:val="28"/>
          <w:szCs w:val="28"/>
          <w:highlight w:val="none"/>
        </w:rPr>
        <w:t>分包金额限额：</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lang w:val="en-US" w:bidi="en-US"/>
        </w:rPr>
        <w:t>。</w:t>
      </w:r>
    </w:p>
    <w:p w14:paraId="5041C3AF">
      <w:pPr>
        <w:pStyle w:val="115"/>
        <w:pageBreakBefore w:val="0"/>
        <w:tabs>
          <w:tab w:val="left" w:pos="5849"/>
        </w:tabs>
        <w:kinsoku/>
        <w:wordWrap/>
        <w:overflowPunct/>
        <w:topLinePunct w:val="0"/>
        <w:bidi w:val="0"/>
        <w:spacing w:line="500" w:lineRule="exact"/>
        <w:ind w:left="0" w:right="0" w:firstLine="42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4.3.</w:t>
      </w:r>
      <w:r>
        <w:rPr>
          <w:rFonts w:hint="eastAsia" w:ascii="宋体" w:hAnsi="宋体" w:eastAsia="宋体" w:cs="宋体"/>
          <w:color w:val="auto"/>
          <w:spacing w:val="0"/>
          <w:sz w:val="28"/>
          <w:szCs w:val="28"/>
          <w:highlight w:val="none"/>
        </w:rPr>
        <w:t>10 分包人项目管理机构的设立：</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lang w:val="en-US" w:bidi="en-US"/>
        </w:rPr>
        <w:t>。</w:t>
      </w:r>
    </w:p>
    <w:bookmarkEnd w:id="147"/>
    <w:bookmarkEnd w:id="148"/>
    <w:bookmarkEnd w:id="149"/>
    <w:p w14:paraId="3A8882A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58" w:name="_Toc10044"/>
      <w:bookmarkStart w:id="159" w:name="_Toc27098"/>
      <w:bookmarkStart w:id="160" w:name="_Toc30464"/>
      <w:bookmarkStart w:id="161" w:name="_Toc12270"/>
      <w:r>
        <w:rPr>
          <w:rFonts w:hint="eastAsia" w:ascii="宋体" w:hAnsi="宋体" w:eastAsia="宋体" w:cs="宋体"/>
          <w:color w:val="auto"/>
          <w:spacing w:val="0"/>
          <w:sz w:val="28"/>
          <w:szCs w:val="28"/>
          <w:highlight w:val="none"/>
          <w:lang w:eastAsia="zh-CN" w:bidi="en-US"/>
        </w:rPr>
        <w:t>4.5 承包人项目负责人</w:t>
      </w:r>
      <w:bookmarkEnd w:id="158"/>
      <w:bookmarkEnd w:id="159"/>
      <w:bookmarkEnd w:id="160"/>
      <w:bookmarkEnd w:id="161"/>
    </w:p>
    <w:p w14:paraId="309EE469">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4.5.5 (1)同一施工项目负责人不能同时在两个及以上的工程项目上担任施工项目负责人。</w:t>
      </w:r>
    </w:p>
    <w:p w14:paraId="6AF1D038">
      <w:pPr>
        <w:pStyle w:val="119"/>
        <w:pageBreakBefore w:val="0"/>
        <w:tabs>
          <w:tab w:val="left" w:pos="5849"/>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rPr>
        <w:t>　　(2) 承包人应保证项目负责人每月在工地现场的时间不少于</w:t>
      </w:r>
      <w:r>
        <w:rPr>
          <w:rFonts w:hint="eastAsia" w:ascii="宋体" w:hAnsi="宋体" w:eastAsia="宋体" w:cs="宋体"/>
          <w:color w:val="auto"/>
          <w:spacing w:val="0"/>
          <w:sz w:val="28"/>
          <w:szCs w:val="28"/>
          <w:highlight w:val="none"/>
          <w:u w:val="single"/>
        </w:rPr>
        <w:t xml:space="preserve"> 22</w:t>
      </w:r>
      <w:r>
        <w:rPr>
          <w:rFonts w:hint="eastAsia" w:ascii="宋体" w:hAnsi="宋体" w:eastAsia="宋体" w:cs="宋体"/>
          <w:color w:val="auto"/>
          <w:spacing w:val="0"/>
          <w:sz w:val="28"/>
          <w:szCs w:val="28"/>
          <w:highlight w:val="none"/>
        </w:rPr>
        <w:t xml:space="preserve">日，否则将按每人每天人民币 </w:t>
      </w:r>
      <w:r>
        <w:rPr>
          <w:rFonts w:hint="eastAsia" w:ascii="宋体" w:hAnsi="宋体" w:eastAsia="宋体" w:cs="宋体"/>
          <w:color w:val="auto"/>
          <w:spacing w:val="0"/>
          <w:sz w:val="28"/>
          <w:szCs w:val="28"/>
          <w:highlight w:val="none"/>
          <w:u w:val="single"/>
        </w:rPr>
        <w:t xml:space="preserve">500 </w:t>
      </w:r>
      <w:r>
        <w:rPr>
          <w:rFonts w:hint="eastAsia" w:ascii="宋体" w:hAnsi="宋体" w:eastAsia="宋体" w:cs="宋体"/>
          <w:color w:val="auto"/>
          <w:spacing w:val="0"/>
          <w:sz w:val="28"/>
          <w:szCs w:val="28"/>
          <w:highlight w:val="none"/>
        </w:rPr>
        <w:t>元的标准向</w:t>
      </w:r>
      <w:r>
        <w:rPr>
          <w:rFonts w:hint="eastAsia"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支付违约金，</w:t>
      </w:r>
      <w:r>
        <w:rPr>
          <w:rFonts w:hint="eastAsia" w:ascii="宋体" w:hAnsi="宋体" w:eastAsia="宋体" w:cs="宋体"/>
          <w:color w:val="auto"/>
          <w:spacing w:val="0"/>
          <w:sz w:val="28"/>
          <w:szCs w:val="28"/>
          <w:highlight w:val="none"/>
          <w:lang w:val="en-US" w:bidi="en-US"/>
        </w:rPr>
        <w:t>由有关行政监督部门处理后报请有关行政监督部门将结果记入市场主体信用档案，公布不良行为记录。上述人员因其他事务需短期离开工地，应向</w:t>
      </w:r>
      <w:r>
        <w:rPr>
          <w:rFonts w:hint="eastAsia" w:hAnsi="宋体" w:cs="宋体"/>
          <w:color w:val="auto"/>
          <w:spacing w:val="0"/>
          <w:sz w:val="28"/>
          <w:szCs w:val="28"/>
          <w:highlight w:val="none"/>
          <w:lang w:val="en-US" w:eastAsia="zh-CN" w:bidi="en-US"/>
        </w:rPr>
        <w:t>建设单位</w:t>
      </w:r>
      <w:r>
        <w:rPr>
          <w:rFonts w:hint="eastAsia" w:ascii="宋体" w:hAnsi="宋体" w:eastAsia="宋体" w:cs="宋体"/>
          <w:color w:val="auto"/>
          <w:spacing w:val="0"/>
          <w:sz w:val="28"/>
          <w:szCs w:val="28"/>
          <w:highlight w:val="none"/>
          <w:lang w:val="en-US" w:bidi="en-US"/>
        </w:rPr>
        <w:t xml:space="preserve">请假，经批准后方可离开，离开期间应委托项目相关负责人负责其外出时的日常工作。 </w:t>
      </w:r>
    </w:p>
    <w:p w14:paraId="0304CAF2">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62" w:name="_Toc7672"/>
      <w:bookmarkStart w:id="163" w:name="_Toc22943"/>
      <w:bookmarkStart w:id="164" w:name="_Toc16547"/>
      <w:bookmarkStart w:id="165" w:name="_Toc9604"/>
      <w:r>
        <w:rPr>
          <w:rFonts w:hint="eastAsia" w:ascii="宋体" w:hAnsi="宋体" w:eastAsia="宋体" w:cs="宋体"/>
          <w:color w:val="auto"/>
          <w:spacing w:val="0"/>
          <w:sz w:val="28"/>
          <w:szCs w:val="28"/>
          <w:highlight w:val="none"/>
          <w:lang w:eastAsia="zh-CN" w:bidi="en-US"/>
        </w:rPr>
        <w:t>4.6 承包人人员的管理</w:t>
      </w:r>
      <w:bookmarkEnd w:id="162"/>
      <w:bookmarkEnd w:id="163"/>
      <w:bookmarkEnd w:id="164"/>
      <w:bookmarkEnd w:id="165"/>
    </w:p>
    <w:p w14:paraId="4058C85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4.6.3 承包人安排在施工场地的主要管理人员和技术骨干应相对稳定。投入本项目的项目经理、技术负责人、质量检查员、专职安全员等主要管理人员中标后，未经</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书面批准不得更换。拟申请变换的主要管理人员，不得低于投标拟投入人员的同等条件。</w:t>
      </w:r>
    </w:p>
    <w:p w14:paraId="61799DC3">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4.6.4 承包人项目经理、技术负责人、质量管理人员、安全管理人员驻工程现场时间不得少于22 天/月，否则对项目经理、技术负责人按每少1天处 500 元/天.人的罚款；对质量管理人员、安全管理人员按每少1天处 300元/天.人的罚款。在工地现场实行每日签到上班制度，签到必须是本人签字，发现有代签弄虚作假的， 每人次按缺勤 10天处罚，</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现场检查发现人员不到位的一次按缺勤 10 天处罚，</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在每月支付给承包人的进度付款中直接扣除；若项目经理、技术负责人连续 2 个月少于合同规定驻工地时间，</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将约谈承包人法定代表人；若第 3 个月依然不能履行合同规定驻工地时间，</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有权与承包人解除本合同， 按本合同完成工作量据实结算，承包人不得有异议并无条件承担由 此给</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带来的一切损失。 同时视为承包人未按合同履约， 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报上级有关行政监督部门进行处理并依照相关规定将结果记入承包人的市场主体信用档案，公布不良行为记录。</w:t>
      </w:r>
    </w:p>
    <w:p w14:paraId="30AD5D6D">
      <w:pPr>
        <w:pStyle w:val="115"/>
        <w:pageBreakBefore w:val="0"/>
        <w:tabs>
          <w:tab w:val="left" w:pos="5849"/>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rPr>
        <w:t>　　4.6.5.1 施工单位要制定好每 15 天进度节点，项目业主要对每 15 天进度节点进行考核，如有两个节点进度未能完成任务，项目业主有权采取必要的赶工措施 (包括增派机械、人员、增加工作面) ，所发生的赶工费用由施工单位负责支付。</w:t>
      </w:r>
    </w:p>
    <w:p w14:paraId="023CCCC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66" w:name="bookmark1658"/>
      <w:bookmarkStart w:id="167" w:name="_Toc25240"/>
      <w:bookmarkStart w:id="168" w:name="bookmark1657"/>
      <w:bookmarkStart w:id="169" w:name="_Toc8745"/>
      <w:bookmarkStart w:id="170" w:name="bookmark1656"/>
      <w:bookmarkStart w:id="171" w:name="_Toc3434"/>
      <w:bookmarkStart w:id="172" w:name="_Toc24838"/>
      <w:r>
        <w:rPr>
          <w:rFonts w:hint="eastAsia" w:ascii="宋体" w:hAnsi="宋体" w:eastAsia="宋体" w:cs="宋体"/>
          <w:color w:val="auto"/>
          <w:spacing w:val="0"/>
          <w:sz w:val="28"/>
          <w:szCs w:val="28"/>
          <w:highlight w:val="none"/>
          <w:lang w:eastAsia="zh-CN" w:bidi="en-US"/>
        </w:rPr>
        <w:t>4.7撤换承包人项目经理和其他人员</w:t>
      </w:r>
      <w:bookmarkEnd w:id="166"/>
      <w:bookmarkEnd w:id="167"/>
      <w:bookmarkEnd w:id="168"/>
      <w:bookmarkEnd w:id="169"/>
      <w:bookmarkEnd w:id="170"/>
      <w:bookmarkEnd w:id="171"/>
      <w:bookmarkEnd w:id="172"/>
    </w:p>
    <w:p w14:paraId="1067721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bookmarkStart w:id="173" w:name="bookmark1660"/>
      <w:bookmarkStart w:id="174" w:name="bookmark1659"/>
      <w:bookmarkStart w:id="175" w:name="bookmark1661"/>
      <w:r>
        <w:rPr>
          <w:rFonts w:hint="eastAsia" w:ascii="宋体" w:hAnsi="宋体" w:eastAsia="宋体" w:cs="宋体"/>
          <w:color w:val="auto"/>
          <w:spacing w:val="0"/>
          <w:sz w:val="28"/>
          <w:szCs w:val="28"/>
          <w:highlight w:val="none"/>
        </w:rPr>
        <w:t>　　口 4.7.1 中标人根据投标文件的承诺，投入本项目的项目经理、技术负责人、质量管理员、 安全管理员等主要管理人员中标后不得更换(除因故去世、调离本单位外)。</w:t>
      </w:r>
    </w:p>
    <w:p w14:paraId="12C3E629">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☑4.7.1 投入本项目的项目经理、技术负责人、质量管理员、专职管理员等主要管理人员中标后，经中标人申请、监理机构审核允许、</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同意后方可变更为不低于同等条件的人员。</w:t>
      </w:r>
    </w:p>
    <w:p w14:paraId="3EAB89FD">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4.7.2 除非</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要求或者批准， 承包人擅自更换项目经理、项目副经理、技术负责人、专职安全员的，将按每人每天人民币 500 元的标准向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支付违约金。 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报上级有关行政监督部门进行处理并依照相关规定将结果记入承包人的市场主体信用档案，公布不良行为记录。</w:t>
      </w:r>
    </w:p>
    <w:p w14:paraId="37986CF5">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4.7.3 尽管承包人已按第 4.6.2 款的规定派遣了各类人员，但仍然不能满足合同工程的进度计划或质量要求时，</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 xml:space="preserve">有权要求承包人继续增派(/或更换) 人员。承包人在接到通知 14 天内，增派(和/或更换)的人员要到岗，否则，承包人应按每人每天人民币 </w:t>
      </w:r>
      <w:r>
        <w:rPr>
          <w:rFonts w:hint="eastAsia" w:ascii="宋体" w:hAnsi="宋体" w:eastAsia="宋体" w:cs="宋体"/>
          <w:color w:val="auto"/>
          <w:spacing w:val="0"/>
          <w:sz w:val="28"/>
          <w:szCs w:val="28"/>
          <w:highlight w:val="none"/>
          <w:u w:val="single"/>
        </w:rPr>
        <w:t xml:space="preserve">500 </w:t>
      </w:r>
      <w:r>
        <w:rPr>
          <w:rFonts w:hint="eastAsia" w:ascii="宋体" w:hAnsi="宋体" w:eastAsia="宋体" w:cs="宋体"/>
          <w:color w:val="auto"/>
          <w:spacing w:val="0"/>
          <w:sz w:val="28"/>
          <w:szCs w:val="28"/>
          <w:highlight w:val="none"/>
        </w:rPr>
        <w:t>元的标准向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支付违约金，直至按照</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的要求增派(和/或更换)的人员到岗为此。</w:t>
      </w:r>
    </w:p>
    <w:bookmarkEnd w:id="173"/>
    <w:bookmarkEnd w:id="174"/>
    <w:bookmarkEnd w:id="175"/>
    <w:p w14:paraId="09F740C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76" w:name="bookmark1664"/>
      <w:bookmarkEnd w:id="176"/>
      <w:bookmarkStart w:id="177" w:name="_Toc29283"/>
      <w:bookmarkStart w:id="178" w:name="_Toc12517"/>
      <w:bookmarkStart w:id="179" w:name="_Toc11500"/>
      <w:bookmarkStart w:id="180" w:name="_Toc28810"/>
      <w:bookmarkStart w:id="181" w:name="bookmark1662"/>
      <w:bookmarkStart w:id="182" w:name="_Toc24595"/>
      <w:bookmarkStart w:id="183" w:name="_Toc30449"/>
      <w:bookmarkStart w:id="184" w:name="bookmark1665"/>
      <w:bookmarkStart w:id="185" w:name="_Toc3236"/>
      <w:bookmarkStart w:id="186" w:name="_Toc25976"/>
      <w:bookmarkStart w:id="187" w:name="_Toc22685"/>
      <w:bookmarkStart w:id="188" w:name="bookmark1663"/>
      <w:r>
        <w:rPr>
          <w:rFonts w:hint="eastAsia" w:ascii="宋体" w:hAnsi="宋体" w:eastAsia="宋体" w:cs="宋体"/>
          <w:color w:val="auto"/>
          <w:spacing w:val="0"/>
          <w:sz w:val="28"/>
          <w:szCs w:val="28"/>
          <w:highlight w:val="none"/>
          <w:lang w:eastAsia="zh-CN" w:bidi="en-US"/>
        </w:rPr>
        <w:t>4.11不利物质条件</w:t>
      </w:r>
      <w:bookmarkEnd w:id="177"/>
      <w:bookmarkEnd w:id="178"/>
      <w:bookmarkEnd w:id="179"/>
      <w:bookmarkEnd w:id="180"/>
    </w:p>
    <w:p w14:paraId="4961516E">
      <w:pPr>
        <w:pStyle w:val="115"/>
        <w:pageBreakBefore w:val="0"/>
        <w:tabs>
          <w:tab w:val="left" w:pos="8230"/>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4.11.1</w:t>
      </w:r>
      <w:r>
        <w:rPr>
          <w:rFonts w:hint="eastAsia" w:ascii="宋体" w:hAnsi="宋体" w:eastAsia="宋体" w:cs="宋体"/>
          <w:color w:val="auto"/>
          <w:spacing w:val="0"/>
          <w:sz w:val="28"/>
          <w:szCs w:val="28"/>
          <w:highlight w:val="none"/>
        </w:rPr>
        <w:t>不利物质条件的范围：</w:t>
      </w:r>
      <w:r>
        <w:rPr>
          <w:rFonts w:hint="eastAsia" w:ascii="宋体" w:hAnsi="宋体" w:eastAsia="宋体" w:cs="宋体"/>
          <w:color w:val="auto"/>
          <w:spacing w:val="0"/>
          <w:sz w:val="28"/>
          <w:szCs w:val="28"/>
          <w:highlight w:val="none"/>
          <w:u w:val="single"/>
        </w:rPr>
        <w:t xml:space="preserve">无 </w:t>
      </w:r>
      <w:r>
        <w:rPr>
          <w:rFonts w:hint="eastAsia" w:ascii="宋体" w:hAnsi="宋体" w:eastAsia="宋体" w:cs="宋体"/>
          <w:color w:val="auto"/>
          <w:spacing w:val="0"/>
          <w:sz w:val="28"/>
          <w:szCs w:val="28"/>
          <w:highlight w:val="none"/>
          <w:lang w:val="en-US" w:bidi="en-US"/>
        </w:rPr>
        <w:t>。</w:t>
      </w:r>
    </w:p>
    <w:p w14:paraId="51659B8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5. 材料和工程设备</w:t>
      </w:r>
      <w:bookmarkEnd w:id="181"/>
      <w:bookmarkEnd w:id="182"/>
      <w:bookmarkEnd w:id="183"/>
      <w:bookmarkEnd w:id="184"/>
      <w:bookmarkEnd w:id="185"/>
      <w:bookmarkEnd w:id="186"/>
      <w:bookmarkEnd w:id="187"/>
      <w:bookmarkEnd w:id="188"/>
    </w:p>
    <w:p w14:paraId="0309155C">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189" w:name="bookmark1668"/>
      <w:bookmarkStart w:id="190" w:name="bookmark1666"/>
      <w:bookmarkStart w:id="191" w:name="_Toc17175"/>
      <w:bookmarkStart w:id="192" w:name="_Toc21711"/>
      <w:bookmarkStart w:id="193" w:name="_Toc6736"/>
      <w:bookmarkStart w:id="194" w:name="bookmark1667"/>
      <w:bookmarkStart w:id="195" w:name="_Toc23149"/>
      <w:r>
        <w:rPr>
          <w:rFonts w:hint="eastAsia" w:ascii="宋体" w:hAnsi="宋体" w:eastAsia="宋体" w:cs="宋体"/>
          <w:color w:val="auto"/>
          <w:spacing w:val="0"/>
          <w:sz w:val="28"/>
          <w:szCs w:val="28"/>
          <w:highlight w:val="none"/>
          <w:lang w:eastAsia="zh-CN" w:bidi="en-US"/>
        </w:rPr>
        <w:t>5.1承包人提供的材料和工程设备</w:t>
      </w:r>
    </w:p>
    <w:p w14:paraId="66FFF621">
      <w:pPr>
        <w:pStyle w:val="115"/>
        <w:pageBreakBefore w:val="0"/>
        <w:tabs>
          <w:tab w:val="left" w:pos="8230"/>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5.1.2本工程承包人所用钢筋，性能相当于柳钢、水城、平钢生产的产品；水泥性能相当于鱼峰牌、华润牌（红水河牌）、海螺牌的产品标准。管材及配件必须按性能、技术要求、质量标准提供未经使用的全新产品，</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和监理方根据自治区水利厅印发“《关于进一步加强农村饮水安全工程管材管理的意见》的通知(桂水农水[2014]51号)”和“关于印发《广西水利工程建设管材管件质量检测管理暂行办法》的通知（桂水质监[2014]8号）”有关规定进行检测（检测费用由承包方承担，不合格产品全部退回，承包方需负责承担一切损失）。</w:t>
      </w:r>
    </w:p>
    <w:p w14:paraId="7F105A2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r>
        <w:rPr>
          <w:rFonts w:hint="eastAsia" w:ascii="宋体" w:hAnsi="宋体" w:eastAsia="宋体" w:cs="宋体"/>
          <w:color w:val="auto"/>
          <w:spacing w:val="0"/>
          <w:sz w:val="28"/>
          <w:szCs w:val="28"/>
          <w:highlight w:val="none"/>
          <w:lang w:eastAsia="zh-CN" w:bidi="en-US"/>
        </w:rPr>
        <w:t>5.2</w:t>
      </w:r>
      <w:r>
        <w:rPr>
          <w:rFonts w:hint="eastAsia" w:ascii="宋体" w:hAnsi="宋体" w:cs="宋体"/>
          <w:color w:val="auto"/>
          <w:spacing w:val="0"/>
          <w:sz w:val="28"/>
          <w:szCs w:val="28"/>
          <w:highlight w:val="none"/>
          <w:lang w:eastAsia="zh-CN" w:bidi="en-US"/>
        </w:rPr>
        <w:t>建设单位</w:t>
      </w:r>
      <w:r>
        <w:rPr>
          <w:rFonts w:hint="eastAsia" w:ascii="宋体" w:hAnsi="宋体" w:eastAsia="宋体" w:cs="宋体"/>
          <w:color w:val="auto"/>
          <w:spacing w:val="0"/>
          <w:sz w:val="28"/>
          <w:szCs w:val="28"/>
          <w:highlight w:val="none"/>
          <w:lang w:eastAsia="zh-CN" w:bidi="en-US"/>
        </w:rPr>
        <w:t>提供的材料和工程设备</w:t>
      </w:r>
      <w:bookmarkEnd w:id="189"/>
      <w:bookmarkEnd w:id="190"/>
      <w:bookmarkEnd w:id="191"/>
      <w:bookmarkEnd w:id="192"/>
      <w:bookmarkEnd w:id="193"/>
      <w:bookmarkEnd w:id="194"/>
      <w:bookmarkEnd w:id="195"/>
    </w:p>
    <w:p w14:paraId="33BA9E22">
      <w:pPr>
        <w:pStyle w:val="115"/>
        <w:pageBreakBefore w:val="0"/>
        <w:tabs>
          <w:tab w:val="left" w:pos="8230"/>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bookmarkStart w:id="196" w:name="bookmark1669"/>
      <w:bookmarkEnd w:id="196"/>
      <w:r>
        <w:rPr>
          <w:rFonts w:hint="eastAsia" w:ascii="宋体" w:hAnsi="宋体" w:eastAsia="宋体" w:cs="宋体"/>
          <w:color w:val="auto"/>
          <w:spacing w:val="0"/>
          <w:sz w:val="28"/>
          <w:szCs w:val="28"/>
          <w:highlight w:val="none"/>
        </w:rPr>
        <w:t>　　5.2.1  本工程</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无提供任何材料和工程设备。</w:t>
      </w:r>
    </w:p>
    <w:p w14:paraId="0BD8AFA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197" w:name="bookmark1672"/>
      <w:bookmarkEnd w:id="197"/>
      <w:bookmarkStart w:id="198" w:name="bookmark1671"/>
      <w:bookmarkStart w:id="199" w:name="_Toc453"/>
      <w:bookmarkStart w:id="200" w:name="_Toc8863"/>
      <w:bookmarkStart w:id="201" w:name="_Toc17810"/>
      <w:bookmarkStart w:id="202" w:name="_Toc27780"/>
      <w:bookmarkStart w:id="203" w:name="_Toc13415"/>
      <w:bookmarkStart w:id="204" w:name="bookmark1673"/>
      <w:bookmarkStart w:id="205" w:name="_Toc6599"/>
      <w:bookmarkStart w:id="206" w:name="bookmark1670"/>
      <w:bookmarkStart w:id="207" w:name="_Toc9582"/>
      <w:r>
        <w:rPr>
          <w:rFonts w:hint="eastAsia" w:ascii="宋体" w:hAnsi="宋体" w:eastAsia="宋体" w:cs="宋体"/>
          <w:color w:val="auto"/>
          <w:spacing w:val="0"/>
          <w:sz w:val="28"/>
          <w:szCs w:val="28"/>
          <w:highlight w:val="none"/>
          <w:lang w:eastAsia="zh-CN"/>
        </w:rPr>
        <w:t>6. 施工设备和临时设施</w:t>
      </w:r>
      <w:bookmarkEnd w:id="198"/>
      <w:bookmarkEnd w:id="199"/>
      <w:bookmarkEnd w:id="200"/>
      <w:bookmarkEnd w:id="201"/>
      <w:bookmarkEnd w:id="202"/>
      <w:bookmarkEnd w:id="203"/>
      <w:bookmarkEnd w:id="204"/>
      <w:bookmarkEnd w:id="205"/>
      <w:bookmarkEnd w:id="206"/>
      <w:bookmarkEnd w:id="207"/>
    </w:p>
    <w:p w14:paraId="67F1E73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08" w:name="bookmark1676"/>
      <w:bookmarkStart w:id="209" w:name="_Toc13374"/>
      <w:bookmarkStart w:id="210" w:name="_Toc6250"/>
      <w:bookmarkStart w:id="211" w:name="_Toc20892"/>
      <w:bookmarkStart w:id="212" w:name="_Toc29029"/>
      <w:bookmarkStart w:id="213" w:name="bookmark1674"/>
      <w:bookmarkStart w:id="214" w:name="bookmark1675"/>
      <w:r>
        <w:rPr>
          <w:rFonts w:hint="eastAsia" w:ascii="宋体" w:hAnsi="宋体" w:eastAsia="宋体" w:cs="宋体"/>
          <w:color w:val="auto"/>
          <w:spacing w:val="0"/>
          <w:sz w:val="28"/>
          <w:szCs w:val="28"/>
          <w:highlight w:val="none"/>
          <w:lang w:eastAsia="zh-CN" w:bidi="en-US"/>
        </w:rPr>
        <w:t>6.1承包人提供的施工设备和临时设施</w:t>
      </w:r>
      <w:bookmarkEnd w:id="208"/>
      <w:bookmarkEnd w:id="209"/>
      <w:bookmarkEnd w:id="210"/>
      <w:bookmarkEnd w:id="211"/>
      <w:bookmarkEnd w:id="212"/>
      <w:bookmarkEnd w:id="213"/>
      <w:bookmarkEnd w:id="214"/>
    </w:p>
    <w:p w14:paraId="1C8F401E">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6.1.2</w:t>
      </w:r>
      <w:r>
        <w:rPr>
          <w:rFonts w:hint="eastAsia" w:ascii="宋体" w:hAnsi="宋体" w:eastAsia="宋体" w:cs="宋体"/>
          <w:color w:val="auto"/>
          <w:spacing w:val="0"/>
          <w:sz w:val="28"/>
          <w:szCs w:val="28"/>
          <w:highlight w:val="none"/>
        </w:rPr>
        <w:t>承包人自行承担修建临时设施的费用，需要临时占地的，由承包人办理相关申请手续，</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予以协助，发生的相关费用由承包人承担。</w:t>
      </w:r>
    </w:p>
    <w:p w14:paraId="4D8D6AB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15" w:name="bookmark1679"/>
      <w:bookmarkStart w:id="216" w:name="_Toc1454"/>
      <w:bookmarkStart w:id="217" w:name="bookmark1677"/>
      <w:bookmarkStart w:id="218" w:name="_Toc20771"/>
      <w:bookmarkStart w:id="219" w:name="_Toc14212"/>
      <w:bookmarkStart w:id="220" w:name="bookmark1678"/>
      <w:bookmarkStart w:id="221" w:name="_Toc28085"/>
      <w:bookmarkStart w:id="222" w:name="_Toc8746"/>
      <w:bookmarkStart w:id="223" w:name="_Toc18798"/>
      <w:bookmarkStart w:id="224" w:name="bookmark1682"/>
      <w:bookmarkStart w:id="225" w:name="bookmark1685"/>
      <w:bookmarkStart w:id="226" w:name="_Toc20581"/>
      <w:bookmarkStart w:id="227" w:name="_Toc24910"/>
      <w:bookmarkStart w:id="228" w:name="_Toc16046"/>
      <w:bookmarkStart w:id="229" w:name="_Toc12202"/>
      <w:bookmarkStart w:id="230" w:name="bookmark1683"/>
      <w:bookmarkStart w:id="231" w:name="_Toc9116"/>
      <w:bookmarkStart w:id="232" w:name="bookmark1688"/>
      <w:bookmarkStart w:id="233" w:name="bookmark1687"/>
      <w:bookmarkStart w:id="234" w:name="bookmark1686"/>
      <w:r>
        <w:rPr>
          <w:rFonts w:hint="eastAsia" w:ascii="宋体" w:hAnsi="宋体" w:eastAsia="宋体" w:cs="宋体"/>
          <w:color w:val="auto"/>
          <w:spacing w:val="0"/>
          <w:sz w:val="28"/>
          <w:szCs w:val="28"/>
          <w:highlight w:val="none"/>
          <w:lang w:eastAsia="zh-CN" w:bidi="en-US"/>
        </w:rPr>
        <w:t>6.2</w:t>
      </w:r>
      <w:r>
        <w:rPr>
          <w:rFonts w:hint="eastAsia" w:ascii="宋体" w:hAnsi="宋体" w:cs="宋体"/>
          <w:color w:val="auto"/>
          <w:spacing w:val="0"/>
          <w:sz w:val="28"/>
          <w:szCs w:val="28"/>
          <w:highlight w:val="none"/>
          <w:lang w:eastAsia="zh-CN" w:bidi="en-US"/>
        </w:rPr>
        <w:t>建设单位</w:t>
      </w:r>
      <w:r>
        <w:rPr>
          <w:rFonts w:hint="eastAsia" w:ascii="宋体" w:hAnsi="宋体" w:eastAsia="宋体" w:cs="宋体"/>
          <w:color w:val="auto"/>
          <w:spacing w:val="0"/>
          <w:sz w:val="28"/>
          <w:szCs w:val="28"/>
          <w:highlight w:val="none"/>
          <w:lang w:eastAsia="zh-CN" w:bidi="en-US"/>
        </w:rPr>
        <w:t>提供的施工设备和临时设施</w:t>
      </w:r>
      <w:bookmarkEnd w:id="215"/>
      <w:bookmarkEnd w:id="216"/>
      <w:bookmarkEnd w:id="217"/>
      <w:bookmarkEnd w:id="218"/>
      <w:bookmarkEnd w:id="219"/>
      <w:bookmarkEnd w:id="220"/>
      <w:bookmarkEnd w:id="221"/>
    </w:p>
    <w:p w14:paraId="758D271C">
      <w:pPr>
        <w:pStyle w:val="47"/>
        <w:pageBreakBefore w:val="0"/>
        <w:kinsoku/>
        <w:wordWrap/>
        <w:overflowPunct/>
        <w:topLinePunct w:val="0"/>
        <w:bidi w:val="0"/>
        <w:spacing w:line="500" w:lineRule="exact"/>
        <w:ind w:left="0" w:right="0" w:firstLine="452"/>
        <w:rPr>
          <w:rFonts w:hint="eastAsia" w:ascii="宋体" w:hAnsi="宋体" w:eastAsia="宋体" w:cs="宋体"/>
          <w:color w:val="auto"/>
          <w:spacing w:val="0"/>
          <w:sz w:val="28"/>
          <w:szCs w:val="28"/>
          <w:highlight w:val="none"/>
          <w:lang w:val="zh-CN" w:eastAsia="zh-CN" w:bidi="zh-CN"/>
        </w:rPr>
      </w:pPr>
      <w:bookmarkStart w:id="235" w:name="bookmark1684"/>
      <w:bookmarkEnd w:id="235"/>
      <w:bookmarkStart w:id="236" w:name="bookmark1680"/>
      <w:bookmarkEnd w:id="236"/>
      <w:r>
        <w:rPr>
          <w:rFonts w:hint="eastAsia" w:ascii="宋体" w:hAnsi="宋体" w:eastAsia="宋体" w:cs="宋体"/>
          <w:color w:val="auto"/>
          <w:spacing w:val="0"/>
          <w:sz w:val="28"/>
          <w:szCs w:val="28"/>
          <w:highlight w:val="none"/>
          <w:lang w:val="zh-CN" w:eastAsia="zh-CN" w:bidi="zh-CN"/>
        </w:rPr>
        <w:t>（1）</w:t>
      </w:r>
      <w:r>
        <w:rPr>
          <w:rFonts w:hint="eastAsia" w:ascii="宋体" w:hAnsi="宋体" w:cs="宋体"/>
          <w:color w:val="auto"/>
          <w:spacing w:val="0"/>
          <w:sz w:val="28"/>
          <w:szCs w:val="28"/>
          <w:highlight w:val="none"/>
          <w:lang w:val="zh-CN" w:eastAsia="zh-CN" w:bidi="zh-CN"/>
        </w:rPr>
        <w:t>建设单位</w:t>
      </w:r>
      <w:r>
        <w:rPr>
          <w:rFonts w:hint="eastAsia" w:ascii="宋体" w:hAnsi="宋体" w:eastAsia="宋体" w:cs="宋体"/>
          <w:color w:val="auto"/>
          <w:spacing w:val="0"/>
          <w:sz w:val="28"/>
          <w:szCs w:val="28"/>
          <w:highlight w:val="none"/>
          <w:lang w:val="zh-CN" w:eastAsia="zh-CN" w:bidi="zh-CN"/>
        </w:rPr>
        <w:t>提供的的施工设备：</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val="zh-CN" w:eastAsia="zh-CN" w:bidi="zh-CN"/>
        </w:rPr>
        <w:t>。</w:t>
      </w:r>
    </w:p>
    <w:p w14:paraId="7C3262D9">
      <w:pPr>
        <w:pStyle w:val="47"/>
        <w:pageBreakBefore w:val="0"/>
        <w:kinsoku/>
        <w:wordWrap/>
        <w:overflowPunct/>
        <w:topLinePunct w:val="0"/>
        <w:bidi w:val="0"/>
        <w:spacing w:line="500" w:lineRule="exact"/>
        <w:ind w:left="0" w:right="0" w:firstLine="452"/>
        <w:rPr>
          <w:rFonts w:hint="eastAsia" w:ascii="宋体" w:hAnsi="宋体" w:eastAsia="宋体" w:cs="宋体"/>
          <w:color w:val="auto"/>
          <w:spacing w:val="0"/>
          <w:sz w:val="28"/>
          <w:szCs w:val="28"/>
          <w:highlight w:val="none"/>
          <w:lang w:val="zh-CN" w:eastAsia="zh-CN" w:bidi="zh-CN"/>
        </w:rPr>
      </w:pPr>
      <w:r>
        <w:rPr>
          <w:rFonts w:hint="eastAsia" w:ascii="宋体" w:hAnsi="宋体" w:eastAsia="宋体" w:cs="宋体"/>
          <w:color w:val="auto"/>
          <w:spacing w:val="0"/>
          <w:sz w:val="28"/>
          <w:szCs w:val="28"/>
          <w:highlight w:val="none"/>
          <w:lang w:val="zh-CN" w:eastAsia="zh-CN" w:bidi="zh-CN"/>
        </w:rPr>
        <w:t>（2）</w:t>
      </w:r>
      <w:r>
        <w:rPr>
          <w:rFonts w:hint="eastAsia" w:ascii="宋体" w:hAnsi="宋体" w:cs="宋体"/>
          <w:color w:val="auto"/>
          <w:spacing w:val="0"/>
          <w:sz w:val="28"/>
          <w:szCs w:val="28"/>
          <w:highlight w:val="none"/>
          <w:lang w:val="zh-CN" w:eastAsia="zh-CN" w:bidi="zh-CN"/>
        </w:rPr>
        <w:t>建设单位</w:t>
      </w:r>
      <w:r>
        <w:rPr>
          <w:rFonts w:hint="eastAsia" w:ascii="宋体" w:hAnsi="宋体" w:eastAsia="宋体" w:cs="宋体"/>
          <w:color w:val="auto"/>
          <w:spacing w:val="0"/>
          <w:sz w:val="28"/>
          <w:szCs w:val="28"/>
          <w:highlight w:val="none"/>
          <w:lang w:val="zh-CN" w:eastAsia="zh-CN" w:bidi="zh-CN"/>
        </w:rPr>
        <w:t>提供的临时设施：</w:t>
      </w:r>
      <w:r>
        <w:rPr>
          <w:rFonts w:hint="eastAsia" w:ascii="宋体" w:hAnsi="宋体" w:eastAsia="宋体" w:cs="宋体"/>
          <w:color w:val="auto"/>
          <w:spacing w:val="0"/>
          <w:sz w:val="28"/>
          <w:szCs w:val="28"/>
          <w:highlight w:val="none"/>
          <w:u w:val="single"/>
          <w:lang w:val="en-US" w:eastAsia="zh-CN" w:bidi="zh-CN"/>
        </w:rPr>
        <w:t xml:space="preserve">               </w:t>
      </w:r>
      <w:r>
        <w:rPr>
          <w:rFonts w:hint="eastAsia" w:ascii="宋体" w:hAnsi="宋体" w:eastAsia="宋体" w:cs="宋体"/>
          <w:color w:val="auto"/>
          <w:spacing w:val="0"/>
          <w:sz w:val="28"/>
          <w:szCs w:val="28"/>
          <w:highlight w:val="none"/>
          <w:lang w:val="zh-CN" w:eastAsia="zh-CN" w:bidi="zh-CN"/>
        </w:rPr>
        <w:t>。</w:t>
      </w:r>
    </w:p>
    <w:p w14:paraId="45034DF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7. 交通运输</w:t>
      </w:r>
      <w:bookmarkEnd w:id="222"/>
      <w:bookmarkEnd w:id="223"/>
      <w:bookmarkEnd w:id="224"/>
      <w:bookmarkEnd w:id="225"/>
      <w:bookmarkEnd w:id="226"/>
      <w:bookmarkEnd w:id="227"/>
      <w:bookmarkEnd w:id="228"/>
      <w:bookmarkEnd w:id="229"/>
      <w:bookmarkEnd w:id="230"/>
      <w:bookmarkEnd w:id="231"/>
    </w:p>
    <w:p w14:paraId="4821B40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37" w:name="_Toc13571"/>
      <w:bookmarkStart w:id="238" w:name="_Toc22063"/>
      <w:bookmarkStart w:id="239" w:name="_Toc21833"/>
      <w:bookmarkStart w:id="240" w:name="_Toc23651"/>
      <w:r>
        <w:rPr>
          <w:rFonts w:hint="eastAsia" w:ascii="宋体" w:hAnsi="宋体" w:eastAsia="宋体" w:cs="宋体"/>
          <w:color w:val="auto"/>
          <w:spacing w:val="0"/>
          <w:sz w:val="28"/>
          <w:szCs w:val="28"/>
          <w:highlight w:val="none"/>
          <w:lang w:eastAsia="zh-CN" w:bidi="en-US"/>
        </w:rPr>
        <w:t>7.1道路通行权和场外设施</w:t>
      </w:r>
      <w:bookmarkEnd w:id="232"/>
      <w:bookmarkEnd w:id="233"/>
      <w:bookmarkEnd w:id="234"/>
      <w:bookmarkEnd w:id="237"/>
      <w:bookmarkEnd w:id="238"/>
      <w:bookmarkEnd w:id="239"/>
      <w:bookmarkEnd w:id="240"/>
    </w:p>
    <w:p w14:paraId="08B62166">
      <w:pPr>
        <w:pStyle w:val="115"/>
        <w:pageBreakBefore w:val="0"/>
        <w:tabs>
          <w:tab w:val="left" w:pos="8218"/>
        </w:tabs>
        <w:kinsoku/>
        <w:wordWrap/>
        <w:overflowPunct/>
        <w:topLinePunct w:val="0"/>
        <w:bidi w:val="0"/>
        <w:spacing w:line="500" w:lineRule="exact"/>
        <w:ind w:left="0" w:right="0" w:firstLine="0"/>
        <w:jc w:val="both"/>
        <w:rPr>
          <w:rFonts w:hint="eastAsia" w:ascii="宋体" w:hAnsi="宋体" w:eastAsia="宋体" w:cs="宋体"/>
          <w:b/>
          <w:color w:val="auto"/>
          <w:spacing w:val="0"/>
          <w:sz w:val="28"/>
          <w:szCs w:val="28"/>
          <w:highlight w:val="none"/>
          <w:lang w:val="en-US" w:bidi="en-US"/>
        </w:rPr>
      </w:pPr>
      <w:r>
        <w:rPr>
          <w:rFonts w:hint="eastAsia" w:ascii="宋体" w:hAnsi="宋体" w:eastAsia="宋体" w:cs="宋体"/>
          <w:b/>
          <w:color w:val="auto"/>
          <w:spacing w:val="0"/>
          <w:sz w:val="28"/>
          <w:szCs w:val="28"/>
          <w:highlight w:val="none"/>
        </w:rPr>
        <w:t>　　道路通行权和场外设施的约定：</w:t>
      </w:r>
      <w:r>
        <w:rPr>
          <w:rFonts w:hint="eastAsia" w:ascii="宋体" w:hAnsi="宋体" w:eastAsia="宋体" w:cs="宋体"/>
          <w:b/>
          <w:color w:val="auto"/>
          <w:spacing w:val="0"/>
          <w:sz w:val="28"/>
          <w:szCs w:val="28"/>
          <w:highlight w:val="none"/>
          <w:u w:val="single"/>
        </w:rPr>
        <w:t xml:space="preserve">承包人负责并承担费用 </w:t>
      </w:r>
      <w:r>
        <w:rPr>
          <w:rFonts w:hint="eastAsia" w:ascii="宋体" w:hAnsi="宋体" w:eastAsia="宋体" w:cs="宋体"/>
          <w:b/>
          <w:color w:val="auto"/>
          <w:spacing w:val="0"/>
          <w:sz w:val="28"/>
          <w:szCs w:val="28"/>
          <w:highlight w:val="none"/>
          <w:lang w:val="en-US" w:bidi="en-US"/>
        </w:rPr>
        <w:t>。</w:t>
      </w:r>
    </w:p>
    <w:p w14:paraId="4203FDA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241" w:name="_Toc28858"/>
      <w:bookmarkStart w:id="242" w:name="_Toc10460"/>
      <w:bookmarkStart w:id="243" w:name="_Toc20851"/>
      <w:bookmarkStart w:id="244" w:name="_Toc13214"/>
      <w:bookmarkStart w:id="245" w:name="bookmark1689"/>
      <w:bookmarkStart w:id="246" w:name="bookmark1690"/>
      <w:bookmarkStart w:id="247" w:name="_Toc6815"/>
      <w:bookmarkStart w:id="248" w:name="bookmark1692"/>
      <w:bookmarkStart w:id="249" w:name="_Toc20794"/>
      <w:bookmarkStart w:id="250" w:name="_Toc976"/>
      <w:bookmarkStart w:id="251" w:name="bookmark1695"/>
      <w:bookmarkStart w:id="252" w:name="bookmark1694"/>
      <w:bookmarkStart w:id="253" w:name="bookmark1693"/>
      <w:r>
        <w:rPr>
          <w:rFonts w:hint="eastAsia" w:ascii="宋体" w:hAnsi="宋体" w:eastAsia="宋体" w:cs="宋体"/>
          <w:color w:val="auto"/>
          <w:spacing w:val="0"/>
          <w:sz w:val="28"/>
          <w:szCs w:val="28"/>
          <w:highlight w:val="none"/>
          <w:lang w:eastAsia="zh-CN"/>
        </w:rPr>
        <w:t>8. 测量放线</w:t>
      </w:r>
      <w:bookmarkEnd w:id="241"/>
      <w:bookmarkEnd w:id="242"/>
      <w:bookmarkEnd w:id="243"/>
      <w:bookmarkEnd w:id="244"/>
      <w:bookmarkEnd w:id="245"/>
      <w:bookmarkEnd w:id="246"/>
      <w:bookmarkEnd w:id="247"/>
      <w:bookmarkEnd w:id="248"/>
      <w:bookmarkEnd w:id="249"/>
      <w:bookmarkEnd w:id="250"/>
    </w:p>
    <w:p w14:paraId="416E315A">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54" w:name="_Toc18255"/>
      <w:bookmarkStart w:id="255" w:name="_Toc4655"/>
      <w:bookmarkStart w:id="256" w:name="_Toc30599"/>
      <w:bookmarkStart w:id="257" w:name="_Toc825"/>
      <w:r>
        <w:rPr>
          <w:rFonts w:hint="eastAsia" w:ascii="宋体" w:hAnsi="宋体" w:eastAsia="宋体" w:cs="宋体"/>
          <w:color w:val="auto"/>
          <w:spacing w:val="0"/>
          <w:sz w:val="28"/>
          <w:szCs w:val="28"/>
          <w:highlight w:val="none"/>
          <w:lang w:eastAsia="zh-CN" w:bidi="en-US"/>
        </w:rPr>
        <w:t>8.1施工控制网</w:t>
      </w:r>
      <w:bookmarkEnd w:id="251"/>
      <w:bookmarkEnd w:id="252"/>
      <w:bookmarkEnd w:id="253"/>
      <w:bookmarkEnd w:id="254"/>
      <w:bookmarkEnd w:id="255"/>
      <w:bookmarkEnd w:id="256"/>
      <w:bookmarkEnd w:id="257"/>
    </w:p>
    <w:p w14:paraId="38CEDBBF">
      <w:pPr>
        <w:pStyle w:val="117"/>
        <w:pageBreakBefore w:val="0"/>
        <w:tabs>
          <w:tab w:val="left" w:pos="750"/>
          <w:tab w:val="left" w:pos="4898"/>
        </w:tabs>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bookmarkStart w:id="258" w:name="bookmark1696"/>
      <w:bookmarkEnd w:id="258"/>
      <w:r>
        <w:rPr>
          <w:rFonts w:hint="eastAsia" w:ascii="宋体" w:hAnsi="宋体" w:eastAsia="宋体" w:cs="宋体"/>
          <w:color w:val="auto"/>
          <w:spacing w:val="0"/>
          <w:sz w:val="28"/>
          <w:szCs w:val="28"/>
          <w:highlight w:val="none"/>
          <w:lang w:eastAsia="zh-CN" w:bidi="zh-CN"/>
        </w:rPr>
        <w:t>　　8.1.</w:t>
      </w:r>
      <w:r>
        <w:rPr>
          <w:rFonts w:hint="eastAsia" w:ascii="宋体" w:hAnsi="宋体" w:eastAsia="宋体" w:cs="宋体"/>
          <w:color w:val="auto"/>
          <w:spacing w:val="0"/>
          <w:sz w:val="28"/>
          <w:szCs w:val="28"/>
          <w:highlight w:val="none"/>
          <w:lang w:val="zh-CN" w:eastAsia="zh-CN" w:bidi="zh-CN"/>
        </w:rPr>
        <w:t>1 施工控制网的约定：</w:t>
      </w:r>
      <w:r>
        <w:rPr>
          <w:rFonts w:hint="eastAsia" w:ascii="宋体" w:hAnsi="宋体" w:eastAsia="宋体" w:cs="宋体"/>
          <w:color w:val="auto"/>
          <w:spacing w:val="0"/>
          <w:sz w:val="28"/>
          <w:szCs w:val="28"/>
          <w:highlight w:val="none"/>
          <w:lang w:eastAsia="zh-CN"/>
        </w:rPr>
        <w:t>由</w:t>
      </w:r>
      <w:r>
        <w:rPr>
          <w:rFonts w:hint="eastAsia" w:ascii="宋体"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lang w:eastAsia="zh-CN"/>
        </w:rPr>
        <w:t>负责交桩，承包人负责复核、测设；</w:t>
      </w:r>
      <w:r>
        <w:rPr>
          <w:rFonts w:hint="eastAsia" w:ascii="宋体"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lang w:eastAsia="zh-CN"/>
        </w:rPr>
        <w:t>应在本合同协议书签订后7天内，向承包人提供基准点、基准线和水准点及相关资料；承包人在收到上述资料后的14天内，将施测的施工控制网资料提交监理人审批；</w:t>
      </w:r>
      <w:r>
        <w:rPr>
          <w:rFonts w:hint="eastAsia" w:ascii="宋体" w:hAnsi="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lang w:eastAsia="zh-CN"/>
        </w:rPr>
        <w:t>对提供的测设控制网准确性负责。</w:t>
      </w:r>
    </w:p>
    <w:p w14:paraId="7DF385E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259" w:name="_Toc27022"/>
      <w:bookmarkStart w:id="260" w:name="_Toc29455"/>
      <w:bookmarkStart w:id="261" w:name="_Toc17055"/>
      <w:bookmarkStart w:id="262" w:name="_Toc25382"/>
      <w:bookmarkStart w:id="263" w:name="_Toc15272"/>
      <w:bookmarkStart w:id="264" w:name="_Toc3745"/>
      <w:r>
        <w:rPr>
          <w:rFonts w:hint="eastAsia" w:ascii="宋体" w:hAnsi="宋体" w:eastAsia="宋体" w:cs="宋体"/>
          <w:color w:val="auto"/>
          <w:spacing w:val="0"/>
          <w:sz w:val="28"/>
          <w:szCs w:val="28"/>
          <w:highlight w:val="none"/>
          <w:lang w:eastAsia="zh-CN"/>
        </w:rPr>
        <w:t>9. 施工安全、治安保卫和环境保护</w:t>
      </w:r>
      <w:bookmarkEnd w:id="259"/>
      <w:bookmarkEnd w:id="260"/>
      <w:bookmarkEnd w:id="261"/>
      <w:bookmarkEnd w:id="262"/>
      <w:bookmarkEnd w:id="263"/>
      <w:bookmarkEnd w:id="264"/>
    </w:p>
    <w:p w14:paraId="215B8A9D">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9.1.3 本款补充：但由于承包人原因造成的应由承包人承担责任。</w:t>
      </w:r>
    </w:p>
    <w:p w14:paraId="63307BA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9.1.4 本款改为：除专用合同条款另有约定外，承包人应自行调查施工现场及施工可能影响的毗邻区域内供水、排水、供电、供气、供热、通信、广播电视等地下管线资料，气象和水文观测资料，拟建工程可能影响的相邻建筑物地下工程的有关资料，应承包人要求，</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可以提供协助； 由于承包人调查不清楚而造成施工现场及施工可能影响的毗邻区域内工程建筑物或管线损坏的，由承包人负责恢复并承担经济损失，由此造成期延误的责任由承包人承担。</w:t>
      </w:r>
    </w:p>
    <w:p w14:paraId="57FB074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65" w:name="_Toc17966"/>
      <w:bookmarkStart w:id="266" w:name="_Toc7841"/>
      <w:bookmarkStart w:id="267" w:name="_Toc9063"/>
      <w:bookmarkStart w:id="268" w:name="_Toc962"/>
      <w:r>
        <w:rPr>
          <w:rFonts w:hint="eastAsia" w:ascii="宋体" w:hAnsi="宋体" w:eastAsia="宋体" w:cs="宋体"/>
          <w:color w:val="auto"/>
          <w:spacing w:val="0"/>
          <w:sz w:val="28"/>
          <w:szCs w:val="28"/>
          <w:highlight w:val="none"/>
          <w:lang w:eastAsia="zh-CN" w:bidi="en-US"/>
        </w:rPr>
        <w:t>9.2承包人的施工安全责任</w:t>
      </w:r>
      <w:bookmarkEnd w:id="265"/>
      <w:bookmarkEnd w:id="266"/>
      <w:bookmarkEnd w:id="267"/>
      <w:bookmarkEnd w:id="268"/>
    </w:p>
    <w:p w14:paraId="014BFEB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9.2. 8 安全施工措施所需费为合同金额 1.5%，由承包人专门用于施工安全措施相关支出，不得挪作他用。</w:t>
      </w:r>
    </w:p>
    <w:p w14:paraId="3BF69EE9">
      <w:pPr>
        <w:pStyle w:val="116"/>
        <w:pageBreakBefore w:val="0"/>
        <w:kinsoku/>
        <w:wordWrap/>
        <w:overflowPunct/>
        <w:topLinePunct w:val="0"/>
        <w:bidi w:val="0"/>
        <w:spacing w:beforeLines="0" w:afterLines="0" w:line="500" w:lineRule="exact"/>
        <w:ind w:left="0" w:right="0" w:firstLine="560" w:firstLineChars="200"/>
        <w:rPr>
          <w:rFonts w:hint="eastAsia" w:ascii="宋体" w:hAnsi="宋体" w:eastAsia="宋体" w:cs="宋体"/>
          <w:b w:val="0"/>
          <w:color w:val="auto"/>
          <w:spacing w:val="0"/>
          <w:kern w:val="2"/>
          <w:sz w:val="28"/>
          <w:szCs w:val="28"/>
          <w:highlight w:val="none"/>
          <w:lang w:eastAsia="zh-CN"/>
        </w:rPr>
      </w:pPr>
      <w:bookmarkStart w:id="269" w:name="_Toc10880"/>
      <w:bookmarkStart w:id="270" w:name="_Toc7789"/>
      <w:bookmarkStart w:id="271" w:name="_Toc17671"/>
      <w:bookmarkStart w:id="272" w:name="_Toc30838"/>
      <w:r>
        <w:rPr>
          <w:rFonts w:hint="eastAsia" w:ascii="宋体" w:hAnsi="宋体" w:eastAsia="宋体" w:cs="宋体"/>
          <w:b w:val="0"/>
          <w:color w:val="auto"/>
          <w:spacing w:val="0"/>
          <w:kern w:val="2"/>
          <w:sz w:val="28"/>
          <w:szCs w:val="28"/>
          <w:highlight w:val="none"/>
          <w:lang w:eastAsia="zh-CN"/>
        </w:rPr>
        <w:t>9.2.12 下列工程应编制专项施工方案：由</w:t>
      </w:r>
      <w:r>
        <w:rPr>
          <w:rFonts w:hint="eastAsia" w:ascii="宋体" w:hAnsi="宋体" w:cs="宋体"/>
          <w:b w:val="0"/>
          <w:color w:val="auto"/>
          <w:spacing w:val="0"/>
          <w:kern w:val="2"/>
          <w:sz w:val="28"/>
          <w:szCs w:val="28"/>
          <w:highlight w:val="none"/>
          <w:lang w:eastAsia="zh-CN"/>
        </w:rPr>
        <w:t>建设单位</w:t>
      </w:r>
      <w:r>
        <w:rPr>
          <w:rFonts w:hint="eastAsia" w:ascii="宋体" w:hAnsi="宋体" w:eastAsia="宋体" w:cs="宋体"/>
          <w:b w:val="0"/>
          <w:color w:val="auto"/>
          <w:spacing w:val="0"/>
          <w:kern w:val="2"/>
          <w:sz w:val="28"/>
          <w:szCs w:val="28"/>
          <w:highlight w:val="none"/>
          <w:lang w:eastAsia="zh-CN"/>
        </w:rPr>
        <w:t>和监理人根据有关规定明确。其中应组织专家论证和审查的专项施工方案：由</w:t>
      </w:r>
      <w:r>
        <w:rPr>
          <w:rFonts w:hint="eastAsia" w:ascii="宋体" w:hAnsi="宋体" w:cs="宋体"/>
          <w:b w:val="0"/>
          <w:color w:val="auto"/>
          <w:spacing w:val="0"/>
          <w:kern w:val="2"/>
          <w:sz w:val="28"/>
          <w:szCs w:val="28"/>
          <w:highlight w:val="none"/>
          <w:lang w:eastAsia="zh-CN"/>
        </w:rPr>
        <w:t>建设单位</w:t>
      </w:r>
      <w:r>
        <w:rPr>
          <w:rFonts w:hint="eastAsia" w:ascii="宋体" w:hAnsi="宋体" w:eastAsia="宋体" w:cs="宋体"/>
          <w:b w:val="0"/>
          <w:color w:val="auto"/>
          <w:spacing w:val="0"/>
          <w:kern w:val="2"/>
          <w:sz w:val="28"/>
          <w:szCs w:val="28"/>
          <w:highlight w:val="none"/>
          <w:lang w:eastAsia="zh-CN"/>
        </w:rPr>
        <w:t>和监理人根据有关规定明确。</w:t>
      </w:r>
      <w:bookmarkEnd w:id="269"/>
      <w:bookmarkEnd w:id="270"/>
      <w:bookmarkEnd w:id="271"/>
      <w:bookmarkEnd w:id="272"/>
    </w:p>
    <w:p w14:paraId="34AF10F3">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273" w:name="_Toc2549"/>
      <w:bookmarkStart w:id="274" w:name="_Toc23409"/>
      <w:bookmarkStart w:id="275" w:name="_Toc25261"/>
      <w:bookmarkStart w:id="276" w:name="_Toc4015"/>
      <w:r>
        <w:rPr>
          <w:rFonts w:hint="eastAsia" w:ascii="宋体" w:hAnsi="宋体" w:eastAsia="宋体" w:cs="宋体"/>
          <w:color w:val="auto"/>
          <w:spacing w:val="0"/>
          <w:sz w:val="28"/>
          <w:szCs w:val="28"/>
          <w:highlight w:val="none"/>
          <w:lang w:eastAsia="zh-CN" w:bidi="en-US"/>
        </w:rPr>
        <w:t>9.7文明工地</w:t>
      </w:r>
      <w:bookmarkEnd w:id="273"/>
      <w:bookmarkEnd w:id="274"/>
      <w:bookmarkEnd w:id="275"/>
      <w:bookmarkEnd w:id="276"/>
    </w:p>
    <w:p w14:paraId="3D89BB4B">
      <w:pPr>
        <w:pStyle w:val="115"/>
        <w:pageBreakBefore w:val="0"/>
        <w:tabs>
          <w:tab w:val="left" w:pos="5323"/>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rPr>
      </w:pPr>
      <w:r>
        <w:rPr>
          <w:rFonts w:hint="eastAsia" w:ascii="宋体" w:hAnsi="宋体" w:eastAsia="宋体" w:cs="宋体"/>
          <w:color w:val="auto"/>
          <w:spacing w:val="0"/>
          <w:sz w:val="28"/>
          <w:szCs w:val="28"/>
          <w:highlight w:val="none"/>
          <w:lang w:val="en-US" w:bidi="en-US"/>
        </w:rPr>
        <w:t>　　9.7.</w:t>
      </w:r>
      <w:r>
        <w:rPr>
          <w:rFonts w:hint="eastAsia" w:ascii="宋体" w:hAnsi="宋体" w:eastAsia="宋体" w:cs="宋体"/>
          <w:color w:val="auto"/>
          <w:spacing w:val="0"/>
          <w:sz w:val="28"/>
          <w:szCs w:val="28"/>
          <w:highlight w:val="none"/>
        </w:rPr>
        <w:t>1本合同文明工地的约定：</w:t>
      </w:r>
      <w:r>
        <w:rPr>
          <w:rFonts w:hint="eastAsia" w:ascii="宋体" w:hAnsi="宋体" w:eastAsia="宋体" w:cs="宋体"/>
          <w:color w:val="auto"/>
          <w:spacing w:val="0"/>
          <w:sz w:val="28"/>
          <w:szCs w:val="28"/>
          <w:highlight w:val="none"/>
          <w:u w:val="single"/>
          <w:lang w:val="en-US"/>
        </w:rPr>
        <w:t>按水利部《水利系统文明建设工地评审管理办法》创建文明建设工地</w:t>
      </w:r>
      <w:r>
        <w:rPr>
          <w:rFonts w:hint="eastAsia" w:ascii="宋体" w:hAnsi="宋体" w:eastAsia="宋体" w:cs="宋体"/>
          <w:color w:val="auto"/>
          <w:spacing w:val="0"/>
          <w:sz w:val="28"/>
          <w:szCs w:val="28"/>
          <w:highlight w:val="none"/>
          <w:lang w:val="en-US"/>
        </w:rPr>
        <w:t>。</w:t>
      </w:r>
      <w:bookmarkStart w:id="277" w:name="bookmark1709"/>
      <w:bookmarkStart w:id="278" w:name="bookmark1710"/>
      <w:bookmarkStart w:id="279" w:name="bookmark1708"/>
      <w:bookmarkStart w:id="280" w:name="_Toc8738"/>
      <w:bookmarkStart w:id="281" w:name="_Toc845"/>
    </w:p>
    <w:p w14:paraId="6AC1E3A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282" w:name="_Toc15986"/>
      <w:bookmarkStart w:id="283" w:name="_Toc4585"/>
      <w:bookmarkStart w:id="284" w:name="_Toc5443"/>
      <w:bookmarkStart w:id="285" w:name="_Toc11412"/>
      <w:bookmarkStart w:id="286" w:name="_Toc16184"/>
      <w:r>
        <w:rPr>
          <w:rFonts w:hint="eastAsia" w:ascii="宋体" w:hAnsi="宋体" w:eastAsia="宋体" w:cs="宋体"/>
          <w:color w:val="auto"/>
          <w:spacing w:val="0"/>
          <w:sz w:val="28"/>
          <w:szCs w:val="28"/>
          <w:highlight w:val="none"/>
          <w:lang w:eastAsia="zh-CN"/>
        </w:rPr>
        <w:t>11. 开工和竣工（完工</w:t>
      </w:r>
      <w:bookmarkEnd w:id="277"/>
      <w:bookmarkEnd w:id="278"/>
      <w:bookmarkEnd w:id="279"/>
      <w:bookmarkEnd w:id="280"/>
      <w:bookmarkEnd w:id="281"/>
      <w:r>
        <w:rPr>
          <w:rFonts w:hint="eastAsia" w:ascii="宋体" w:hAnsi="宋体" w:eastAsia="宋体" w:cs="宋体"/>
          <w:color w:val="auto"/>
          <w:spacing w:val="0"/>
          <w:sz w:val="28"/>
          <w:szCs w:val="28"/>
          <w:highlight w:val="none"/>
          <w:lang w:eastAsia="zh-CN"/>
        </w:rPr>
        <w:t>）</w:t>
      </w:r>
      <w:bookmarkEnd w:id="282"/>
      <w:bookmarkEnd w:id="283"/>
      <w:bookmarkEnd w:id="284"/>
      <w:bookmarkEnd w:id="285"/>
      <w:bookmarkEnd w:id="286"/>
    </w:p>
    <w:p w14:paraId="09398947">
      <w:pPr>
        <w:pageBreakBefore w:val="0"/>
        <w:kinsoku/>
        <w:wordWrap/>
        <w:overflowPunct/>
        <w:topLinePunct w:val="0"/>
        <w:bidi w:val="0"/>
        <w:spacing w:line="500" w:lineRule="exact"/>
        <w:ind w:firstLine="560" w:firstLineChars="200"/>
        <w:rPr>
          <w:rFonts w:hint="eastAsia" w:ascii="宋体" w:hAnsi="宋体" w:eastAsia="宋体" w:cs="宋体"/>
          <w:b w:val="0"/>
          <w:bCs/>
          <w:color w:val="auto"/>
          <w:spacing w:val="0"/>
          <w:kern w:val="2"/>
          <w:sz w:val="28"/>
          <w:szCs w:val="28"/>
          <w:highlight w:val="yellow"/>
          <w:lang w:eastAsia="zh-CN"/>
        </w:rPr>
      </w:pPr>
      <w:bookmarkStart w:id="287" w:name="_Toc10360"/>
      <w:bookmarkStart w:id="288" w:name="bookmark1716"/>
      <w:bookmarkStart w:id="289" w:name="bookmark1714"/>
      <w:bookmarkStart w:id="290" w:name="bookmark1715"/>
      <w:bookmarkStart w:id="291" w:name="_Toc4463"/>
      <w:bookmarkStart w:id="292" w:name="_Toc10095"/>
      <w:bookmarkStart w:id="293" w:name="_Toc18602"/>
      <w:r>
        <w:rPr>
          <w:rFonts w:hint="eastAsia" w:ascii="宋体" w:hAnsi="宋体" w:eastAsia="宋体" w:cs="宋体"/>
          <w:bCs/>
          <w:color w:val="auto"/>
          <w:spacing w:val="0"/>
          <w:kern w:val="2"/>
          <w:sz w:val="28"/>
          <w:szCs w:val="28"/>
          <w:highlight w:val="none"/>
        </w:rPr>
        <w:t>1</w:t>
      </w:r>
      <w:r>
        <w:rPr>
          <w:rFonts w:hint="eastAsia" w:ascii="宋体" w:hAnsi="宋体" w:eastAsia="宋体" w:cs="宋体"/>
          <w:bCs/>
          <w:color w:val="auto"/>
          <w:spacing w:val="0"/>
          <w:kern w:val="2"/>
          <w:sz w:val="28"/>
          <w:szCs w:val="28"/>
          <w:highlight w:val="yellow"/>
        </w:rPr>
        <w:t>1.1本工程计划开工时间为：</w:t>
      </w:r>
      <w:r>
        <w:rPr>
          <w:rFonts w:hint="eastAsia" w:ascii="宋体" w:hAnsi="宋体" w:eastAsia="宋体" w:cs="宋体"/>
          <w:b/>
          <w:color w:val="auto"/>
          <w:spacing w:val="0"/>
          <w:kern w:val="2"/>
          <w:sz w:val="28"/>
          <w:szCs w:val="28"/>
          <w:highlight w:val="yellow"/>
          <w:u w:val="single"/>
          <w:lang w:val="en-US" w:eastAsia="zh-CN"/>
        </w:rPr>
        <w:t xml:space="preserve"> </w:t>
      </w:r>
      <w:r>
        <w:rPr>
          <w:rFonts w:hint="eastAsia" w:ascii="宋体" w:hAnsi="宋体"/>
          <w:b/>
          <w:color w:val="auto"/>
          <w:spacing w:val="0"/>
          <w:kern w:val="2"/>
          <w:sz w:val="28"/>
          <w:szCs w:val="28"/>
          <w:highlight w:val="yellow"/>
          <w:u w:val="single"/>
        </w:rPr>
        <w:t>202</w:t>
      </w:r>
      <w:r>
        <w:rPr>
          <w:rFonts w:hint="eastAsia" w:ascii="宋体" w:hAnsi="宋体"/>
          <w:b/>
          <w:color w:val="auto"/>
          <w:spacing w:val="0"/>
          <w:kern w:val="2"/>
          <w:sz w:val="28"/>
          <w:szCs w:val="28"/>
          <w:highlight w:val="yellow"/>
          <w:u w:val="single"/>
          <w:lang w:val="en-US" w:eastAsia="zh-CN"/>
        </w:rPr>
        <w:t>6</w:t>
      </w:r>
      <w:r>
        <w:rPr>
          <w:rFonts w:hint="eastAsia" w:ascii="宋体" w:hAnsi="宋体"/>
          <w:b/>
          <w:color w:val="auto"/>
          <w:spacing w:val="0"/>
          <w:kern w:val="2"/>
          <w:sz w:val="28"/>
          <w:szCs w:val="28"/>
          <w:highlight w:val="yellow"/>
          <w:u w:val="single"/>
        </w:rPr>
        <w:t>年</w:t>
      </w:r>
      <w:r>
        <w:rPr>
          <w:rFonts w:hint="eastAsia" w:ascii="宋体" w:hAnsi="宋体" w:eastAsia="宋体"/>
          <w:b/>
          <w:color w:val="auto"/>
          <w:spacing w:val="0"/>
          <w:kern w:val="2"/>
          <w:sz w:val="28"/>
          <w:szCs w:val="28"/>
          <w:highlight w:val="yellow"/>
          <w:u w:val="single"/>
          <w:lang w:val="en-US" w:eastAsia="zh-CN"/>
        </w:rPr>
        <w:t xml:space="preserve"> </w:t>
      </w:r>
      <w:r>
        <w:rPr>
          <w:rFonts w:hint="eastAsia" w:ascii="宋体" w:hAnsi="宋体"/>
          <w:b/>
          <w:color w:val="auto"/>
          <w:spacing w:val="0"/>
          <w:kern w:val="2"/>
          <w:sz w:val="28"/>
          <w:szCs w:val="28"/>
          <w:highlight w:val="yellow"/>
          <w:u w:val="single"/>
        </w:rPr>
        <w:t>月</w:t>
      </w:r>
      <w:r>
        <w:rPr>
          <w:rFonts w:hint="eastAsia" w:ascii="宋体" w:hAnsi="宋体" w:eastAsia="宋体"/>
          <w:b/>
          <w:color w:val="auto"/>
          <w:spacing w:val="0"/>
          <w:kern w:val="2"/>
          <w:sz w:val="28"/>
          <w:szCs w:val="28"/>
          <w:highlight w:val="yellow"/>
          <w:u w:val="single"/>
          <w:lang w:val="en-US" w:eastAsia="zh-CN"/>
        </w:rPr>
        <w:t xml:space="preserve">  </w:t>
      </w:r>
      <w:r>
        <w:rPr>
          <w:rFonts w:hint="eastAsia" w:ascii="宋体" w:hAnsi="宋体"/>
          <w:b/>
          <w:color w:val="auto"/>
          <w:spacing w:val="0"/>
          <w:kern w:val="2"/>
          <w:sz w:val="28"/>
          <w:szCs w:val="28"/>
          <w:highlight w:val="yellow"/>
          <w:u w:val="single"/>
        </w:rPr>
        <w:t>日（具体以监理开工令为准）</w:t>
      </w:r>
      <w:r>
        <w:rPr>
          <w:rFonts w:hint="eastAsia" w:ascii="宋体" w:hAnsi="宋体" w:eastAsia="宋体" w:cs="宋体"/>
          <w:b/>
          <w:color w:val="auto"/>
          <w:spacing w:val="0"/>
          <w:kern w:val="2"/>
          <w:sz w:val="28"/>
          <w:szCs w:val="28"/>
          <w:highlight w:val="yellow"/>
          <w:u w:val="single"/>
          <w:lang w:val="en-US" w:eastAsia="zh-CN"/>
        </w:rPr>
        <w:t xml:space="preserve"> </w:t>
      </w:r>
      <w:r>
        <w:rPr>
          <w:rFonts w:hint="eastAsia" w:ascii="宋体" w:hAnsi="宋体" w:eastAsia="宋体" w:cs="宋体"/>
          <w:b/>
          <w:color w:val="auto"/>
          <w:spacing w:val="0"/>
          <w:kern w:val="2"/>
          <w:sz w:val="28"/>
          <w:szCs w:val="28"/>
          <w:highlight w:val="yellow"/>
          <w:u w:val="single"/>
        </w:rPr>
        <w:t>。</w:t>
      </w:r>
      <w:r>
        <w:rPr>
          <w:rFonts w:hint="eastAsia" w:ascii="宋体" w:hAnsi="宋体" w:eastAsia="宋体" w:cs="宋体"/>
          <w:color w:val="auto"/>
          <w:spacing w:val="0"/>
          <w:kern w:val="2"/>
          <w:sz w:val="28"/>
          <w:szCs w:val="28"/>
          <w:highlight w:val="yellow"/>
          <w:lang w:eastAsia="zh-CN"/>
        </w:rPr>
        <w:t>　</w:t>
      </w:r>
      <w:r>
        <w:rPr>
          <w:rFonts w:hint="eastAsia" w:ascii="宋体" w:hAnsi="宋体" w:eastAsia="宋体" w:cs="宋体"/>
          <w:b w:val="0"/>
          <w:bCs/>
          <w:color w:val="auto"/>
          <w:spacing w:val="0"/>
          <w:kern w:val="2"/>
          <w:sz w:val="28"/>
          <w:szCs w:val="28"/>
          <w:highlight w:val="yellow"/>
          <w:lang w:eastAsia="zh-CN"/>
        </w:rPr>
        <w:t>　</w:t>
      </w:r>
    </w:p>
    <w:p w14:paraId="5584E1EC">
      <w:pPr>
        <w:pageBreakBefore w:val="0"/>
        <w:kinsoku/>
        <w:wordWrap/>
        <w:overflowPunct/>
        <w:topLinePunct w:val="0"/>
        <w:bidi w:val="0"/>
        <w:spacing w:line="500" w:lineRule="exact"/>
        <w:ind w:firstLine="560" w:firstLineChars="200"/>
        <w:rPr>
          <w:rFonts w:hint="eastAsia" w:ascii="宋体" w:hAnsi="宋体" w:eastAsia="宋体" w:cs="宋体"/>
          <w:color w:val="auto"/>
          <w:spacing w:val="0"/>
          <w:kern w:val="2"/>
          <w:sz w:val="28"/>
          <w:szCs w:val="28"/>
          <w:highlight w:val="yellow"/>
          <w:u w:val="single"/>
          <w:lang w:eastAsia="zh-CN"/>
        </w:rPr>
      </w:pPr>
      <w:r>
        <w:rPr>
          <w:rFonts w:hint="eastAsia" w:ascii="宋体" w:hAnsi="宋体" w:eastAsia="宋体" w:cs="宋体"/>
          <w:b w:val="0"/>
          <w:bCs/>
          <w:color w:val="auto"/>
          <w:spacing w:val="0"/>
          <w:kern w:val="2"/>
          <w:sz w:val="28"/>
          <w:szCs w:val="28"/>
          <w:highlight w:val="yellow"/>
          <w:lang w:eastAsia="zh-CN"/>
        </w:rPr>
        <w:t>11.2本工程计划完工时间为：</w:t>
      </w:r>
      <w:r>
        <w:rPr>
          <w:rFonts w:hint="eastAsia" w:ascii="宋体" w:hAnsi="宋体" w:eastAsia="宋体" w:cs="宋体"/>
          <w:color w:val="auto"/>
          <w:spacing w:val="0"/>
          <w:kern w:val="2"/>
          <w:sz w:val="28"/>
          <w:szCs w:val="28"/>
          <w:highlight w:val="yellow"/>
          <w:u w:val="single"/>
          <w:lang w:val="en-US" w:eastAsia="zh-CN"/>
        </w:rPr>
        <w:t xml:space="preserve"> </w:t>
      </w:r>
      <w:r>
        <w:rPr>
          <w:rFonts w:hint="eastAsia" w:ascii="宋体" w:hAnsi="宋体"/>
          <w:b/>
          <w:color w:val="auto"/>
          <w:spacing w:val="0"/>
          <w:kern w:val="2"/>
          <w:sz w:val="28"/>
          <w:szCs w:val="28"/>
          <w:highlight w:val="yellow"/>
          <w:u w:val="single"/>
        </w:rPr>
        <w:t>202</w:t>
      </w:r>
      <w:r>
        <w:rPr>
          <w:rFonts w:hint="eastAsia" w:ascii="宋体" w:hAnsi="宋体"/>
          <w:b/>
          <w:color w:val="auto"/>
          <w:spacing w:val="0"/>
          <w:kern w:val="2"/>
          <w:sz w:val="28"/>
          <w:szCs w:val="28"/>
          <w:highlight w:val="yellow"/>
          <w:u w:val="single"/>
          <w:lang w:val="en-US" w:eastAsia="zh-CN"/>
        </w:rPr>
        <w:t>6</w:t>
      </w:r>
      <w:r>
        <w:rPr>
          <w:rFonts w:hint="eastAsia" w:ascii="宋体" w:hAnsi="宋体"/>
          <w:b/>
          <w:color w:val="auto"/>
          <w:spacing w:val="0"/>
          <w:kern w:val="2"/>
          <w:sz w:val="28"/>
          <w:szCs w:val="28"/>
          <w:highlight w:val="yellow"/>
          <w:u w:val="single"/>
        </w:rPr>
        <w:t>年</w:t>
      </w:r>
      <w:r>
        <w:rPr>
          <w:rFonts w:hint="eastAsia" w:ascii="宋体" w:hAnsi="宋体" w:eastAsia="宋体"/>
          <w:b/>
          <w:color w:val="auto"/>
          <w:spacing w:val="0"/>
          <w:kern w:val="2"/>
          <w:sz w:val="28"/>
          <w:szCs w:val="28"/>
          <w:highlight w:val="yellow"/>
          <w:u w:val="single"/>
          <w:lang w:val="en-US" w:eastAsia="zh-CN"/>
        </w:rPr>
        <w:t xml:space="preserve">  </w:t>
      </w:r>
      <w:r>
        <w:rPr>
          <w:rFonts w:hint="eastAsia" w:ascii="宋体" w:hAnsi="宋体"/>
          <w:b/>
          <w:color w:val="auto"/>
          <w:spacing w:val="0"/>
          <w:kern w:val="2"/>
          <w:sz w:val="28"/>
          <w:szCs w:val="28"/>
          <w:highlight w:val="yellow"/>
          <w:u w:val="single"/>
        </w:rPr>
        <w:t>月</w:t>
      </w:r>
      <w:r>
        <w:rPr>
          <w:rFonts w:hint="eastAsia" w:ascii="宋体" w:hAnsi="宋体" w:eastAsia="宋体"/>
          <w:b/>
          <w:color w:val="auto"/>
          <w:spacing w:val="0"/>
          <w:kern w:val="2"/>
          <w:sz w:val="28"/>
          <w:szCs w:val="28"/>
          <w:highlight w:val="yellow"/>
          <w:u w:val="single"/>
          <w:lang w:val="en-US" w:eastAsia="zh-CN"/>
        </w:rPr>
        <w:t xml:space="preserve">  </w:t>
      </w:r>
      <w:r>
        <w:rPr>
          <w:rFonts w:hint="eastAsia" w:ascii="宋体" w:hAnsi="宋体"/>
          <w:b/>
          <w:color w:val="auto"/>
          <w:spacing w:val="0"/>
          <w:kern w:val="2"/>
          <w:sz w:val="28"/>
          <w:szCs w:val="28"/>
          <w:highlight w:val="yellow"/>
          <w:u w:val="single"/>
        </w:rPr>
        <w:t>日（具体监理签发开工令之日起</w:t>
      </w:r>
      <w:r>
        <w:rPr>
          <w:rFonts w:hint="eastAsia" w:ascii="宋体" w:hAnsi="宋体"/>
          <w:b/>
          <w:color w:val="auto"/>
          <w:spacing w:val="0"/>
          <w:kern w:val="2"/>
          <w:sz w:val="28"/>
          <w:szCs w:val="28"/>
          <w:highlight w:val="yellow"/>
          <w:u w:val="single"/>
          <w:lang w:val="en-US" w:eastAsia="zh-CN"/>
        </w:rPr>
        <w:t>90</w:t>
      </w:r>
      <w:r>
        <w:rPr>
          <w:rFonts w:hint="eastAsia" w:ascii="宋体" w:hAnsi="宋体"/>
          <w:b/>
          <w:color w:val="auto"/>
          <w:spacing w:val="0"/>
          <w:kern w:val="2"/>
          <w:sz w:val="28"/>
          <w:szCs w:val="28"/>
          <w:highlight w:val="yellow"/>
          <w:u w:val="single"/>
        </w:rPr>
        <w:t>日历天为准）</w:t>
      </w:r>
      <w:r>
        <w:rPr>
          <w:rFonts w:hint="eastAsia" w:ascii="宋体" w:hAnsi="宋体" w:eastAsia="宋体" w:cs="宋体"/>
          <w:color w:val="auto"/>
          <w:spacing w:val="0"/>
          <w:kern w:val="2"/>
          <w:sz w:val="28"/>
          <w:szCs w:val="28"/>
          <w:highlight w:val="yellow"/>
          <w:u w:val="single"/>
          <w:lang w:eastAsia="zh-CN"/>
        </w:rPr>
        <w:t>。</w:t>
      </w:r>
      <w:bookmarkEnd w:id="287"/>
      <w:bookmarkEnd w:id="288"/>
      <w:bookmarkEnd w:id="289"/>
      <w:bookmarkEnd w:id="290"/>
      <w:bookmarkEnd w:id="291"/>
      <w:bookmarkEnd w:id="292"/>
      <w:bookmarkEnd w:id="293"/>
      <w:bookmarkStart w:id="294" w:name="_Toc20736"/>
      <w:bookmarkStart w:id="295" w:name="_Toc3612"/>
      <w:bookmarkStart w:id="296" w:name="_Toc32749"/>
      <w:bookmarkStart w:id="297" w:name="bookmark1730"/>
      <w:bookmarkStart w:id="298" w:name="_Toc30057"/>
      <w:bookmarkStart w:id="299" w:name="bookmark1728"/>
      <w:bookmarkStart w:id="300" w:name="bookmark1729"/>
    </w:p>
    <w:p w14:paraId="20B4DA48">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11.3建设单位的工期延误</w:t>
      </w:r>
    </w:p>
    <w:p w14:paraId="177A4A5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宋体" w:hAnsi="宋体" w:eastAsia="宋体" w:cs="宋体"/>
          <w:b w:val="0"/>
          <w:snapToGrid/>
          <w:color w:val="auto"/>
          <w:spacing w:val="0"/>
          <w:kern w:val="2"/>
          <w:sz w:val="28"/>
          <w:szCs w:val="28"/>
          <w:highlight w:val="none"/>
          <w:lang w:val="en-US" w:eastAsia="zh-CN" w:bidi="ar-SA"/>
        </w:rPr>
        <w:t>在履行合同过程中，由于建设单位的下列原因造成工期延误的，承包人有权要求建设单位延长工期。需要修订合同进度计划的，按照通用合同条款第 10.2 款的约定办理。</w:t>
      </w:r>
    </w:p>
    <w:p w14:paraId="5E3C4F0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(1)增加合同工作内容；</w:t>
      </w:r>
    </w:p>
    <w:p w14:paraId="1BE831A8">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(2)改变合同中任何一项工作的质量要求或其他特性；</w:t>
      </w:r>
    </w:p>
    <w:p w14:paraId="7020ED3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迟延提供材料、工程设备或变更交货地点的；</w:t>
      </w:r>
    </w:p>
    <w:p w14:paraId="52FDD17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(4)因</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原因导致的暂停施工；</w:t>
      </w:r>
    </w:p>
    <w:p w14:paraId="2038000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(5)提供图纸延误；</w:t>
      </w:r>
    </w:p>
    <w:p w14:paraId="4AE36C4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(6)未按合同约定及时支付预付款、进度款；</w:t>
      </w:r>
    </w:p>
    <w:p w14:paraId="23A58AD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(7)</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造成工期延误的其他原因。</w:t>
      </w:r>
    </w:p>
    <w:p w14:paraId="0F2C1B51">
      <w:pPr>
        <w:pStyle w:val="116"/>
        <w:pageBreakBefore w:val="0"/>
        <w:kinsoku/>
        <w:wordWrap/>
        <w:overflowPunct/>
        <w:topLinePunct w:val="0"/>
        <w:bidi w:val="0"/>
        <w:spacing w:before="0" w:beforeLines="0" w:after="0" w:afterLines="0" w:line="500" w:lineRule="exact"/>
        <w:ind w:left="0" w:right="0"/>
        <w:rPr>
          <w:rFonts w:hint="eastAsia" w:ascii="宋体" w:hAnsi="宋体" w:eastAsia="宋体" w:cs="宋体"/>
          <w:color w:val="auto"/>
          <w:spacing w:val="0"/>
          <w:sz w:val="28"/>
          <w:szCs w:val="28"/>
          <w:highlight w:val="none"/>
          <w:lang w:eastAsia="zh-CN" w:bidi="en-US"/>
        </w:rPr>
      </w:pPr>
      <w:bookmarkStart w:id="301" w:name="bookmark1719"/>
      <w:bookmarkStart w:id="302" w:name="_Toc8593"/>
      <w:bookmarkStart w:id="303" w:name="bookmark1717"/>
      <w:bookmarkStart w:id="304" w:name="_Toc25121"/>
      <w:bookmarkStart w:id="305" w:name="bookmark1718"/>
      <w:bookmarkStart w:id="306" w:name="_Toc30617"/>
      <w:bookmarkStart w:id="307" w:name="_Toc30473"/>
      <w:r>
        <w:rPr>
          <w:rFonts w:hint="eastAsia" w:ascii="宋体" w:hAnsi="宋体" w:eastAsia="宋体" w:cs="宋体"/>
          <w:color w:val="auto"/>
          <w:spacing w:val="0"/>
          <w:sz w:val="28"/>
          <w:szCs w:val="28"/>
          <w:highlight w:val="none"/>
          <w:lang w:eastAsia="zh-CN" w:bidi="en-US"/>
        </w:rPr>
        <w:t>11.4异常恶劣的气候条件</w:t>
      </w:r>
      <w:bookmarkEnd w:id="301"/>
      <w:bookmarkEnd w:id="302"/>
      <w:bookmarkEnd w:id="303"/>
      <w:bookmarkEnd w:id="304"/>
      <w:bookmarkEnd w:id="305"/>
      <w:bookmarkEnd w:id="306"/>
      <w:bookmarkEnd w:id="307"/>
    </w:p>
    <w:p w14:paraId="1BE88E66">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11.4.3</w:t>
      </w:r>
      <w:r>
        <w:rPr>
          <w:rFonts w:hint="eastAsia" w:ascii="宋体" w:hAnsi="宋体" w:eastAsia="宋体" w:cs="宋体"/>
          <w:color w:val="auto"/>
          <w:spacing w:val="0"/>
          <w:sz w:val="28"/>
          <w:szCs w:val="28"/>
          <w:highlight w:val="none"/>
        </w:rPr>
        <w:t>本合同工程界定异常恶劣气候条件的范围为：</w:t>
      </w:r>
    </w:p>
    <w:p w14:paraId="77BB9DC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bookmarkStart w:id="308" w:name="bookmark1720"/>
      <w:bookmarkEnd w:id="308"/>
      <w:r>
        <w:rPr>
          <w:rFonts w:hint="eastAsia" w:ascii="宋体" w:hAnsi="宋体" w:eastAsia="宋体" w:cs="宋体"/>
          <w:color w:val="auto"/>
          <w:spacing w:val="0"/>
          <w:sz w:val="28"/>
          <w:szCs w:val="28"/>
          <w:highlight w:val="none"/>
        </w:rPr>
        <w:t>(1)特大暴雨级的降雨持续 48 小时以上；</w:t>
      </w:r>
    </w:p>
    <w:p w14:paraId="5406349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 12 级及以上飓风持续 24 小时；</w:t>
      </w:r>
    </w:p>
    <w:p w14:paraId="3C2566E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(3) 20 年一遇的风暴潮；</w:t>
      </w:r>
    </w:p>
    <w:p w14:paraId="5026F01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(4)日气温超过 40 ℃的高温大于 2 天；</w:t>
      </w:r>
    </w:p>
    <w:p w14:paraId="23237E8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(5)日气温低于 -10 ℃的严寒大于 2 天。</w:t>
      </w:r>
    </w:p>
    <w:p w14:paraId="6CF730A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(6)造成工程损坏的冰雹和大雪灾害；</w:t>
      </w:r>
    </w:p>
    <w:p w14:paraId="065BD3F5">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(7) 6 级以上的地震；</w:t>
      </w:r>
    </w:p>
    <w:p w14:paraId="42E8113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(8) 50 年一遇及以上的洪水；</w:t>
      </w:r>
    </w:p>
    <w:p w14:paraId="15FE5E7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(9)其他异常恶劣气候灾害。</w:t>
      </w:r>
    </w:p>
    <w:p w14:paraId="3975796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r>
        <w:rPr>
          <w:rFonts w:hint="eastAsia" w:ascii="宋体" w:hAnsi="宋体" w:eastAsia="宋体" w:cs="宋体"/>
          <w:color w:val="auto"/>
          <w:spacing w:val="0"/>
          <w:sz w:val="28"/>
          <w:szCs w:val="28"/>
          <w:highlight w:val="none"/>
          <w:lang w:eastAsia="zh-CN" w:bidi="en-US"/>
        </w:rPr>
        <w:t>11.5承包人工期延误</w:t>
      </w:r>
      <w:bookmarkEnd w:id="294"/>
      <w:bookmarkEnd w:id="295"/>
      <w:bookmarkEnd w:id="296"/>
      <w:bookmarkEnd w:id="297"/>
      <w:bookmarkEnd w:id="298"/>
      <w:bookmarkEnd w:id="299"/>
      <w:bookmarkEnd w:id="300"/>
    </w:p>
    <w:p w14:paraId="5832C770">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val="zh-CN"/>
        </w:rPr>
      </w:pPr>
      <w:bookmarkStart w:id="309" w:name="bookmark1733"/>
      <w:bookmarkStart w:id="310" w:name="bookmark1732"/>
      <w:bookmarkStart w:id="311" w:name="bookmark1734"/>
      <w:bookmarkStart w:id="312" w:name="_Toc2503"/>
      <w:bookmarkStart w:id="313" w:name="_Toc24812"/>
      <w:bookmarkStart w:id="314" w:name="_Toc6166"/>
      <w:bookmarkStart w:id="315" w:name="_Toc21309"/>
      <w:r>
        <w:rPr>
          <w:rFonts w:hint="eastAsia" w:ascii="宋体" w:hAnsi="宋体" w:eastAsia="宋体" w:cs="宋体"/>
          <w:color w:val="auto"/>
          <w:spacing w:val="0"/>
          <w:sz w:val="28"/>
          <w:szCs w:val="28"/>
          <w:highlight w:val="none"/>
          <w:lang w:val="zh-CN"/>
        </w:rPr>
        <w:t xml:space="preserve">(1)承包人如未能按要求的完工日期前完工，逾期完工违约金按 </w:t>
      </w:r>
      <w:r>
        <w:rPr>
          <w:rFonts w:hint="eastAsia" w:ascii="宋体" w:hAnsi="宋体" w:eastAsia="宋体" w:cs="宋体"/>
          <w:color w:val="auto"/>
          <w:spacing w:val="0"/>
          <w:sz w:val="28"/>
          <w:szCs w:val="28"/>
          <w:highlight w:val="none"/>
          <w:u w:val="single"/>
          <w:lang w:val="zh-CN"/>
        </w:rPr>
        <w:t>1000</w:t>
      </w:r>
      <w:r>
        <w:rPr>
          <w:rFonts w:hint="eastAsia" w:ascii="宋体" w:hAnsi="宋体" w:eastAsia="宋体" w:cs="宋体"/>
          <w:color w:val="auto"/>
          <w:spacing w:val="0"/>
          <w:sz w:val="28"/>
          <w:szCs w:val="28"/>
          <w:highlight w:val="none"/>
          <w:lang w:val="zh-CN"/>
        </w:rPr>
        <w:t>元/天计算。</w:t>
      </w:r>
    </w:p>
    <w:p w14:paraId="3C680F97">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val="zh-CN"/>
        </w:rPr>
      </w:pPr>
      <w:r>
        <w:rPr>
          <w:rFonts w:hint="eastAsia" w:ascii="宋体" w:hAnsi="宋体" w:eastAsia="宋体" w:cs="宋体"/>
          <w:color w:val="auto"/>
          <w:spacing w:val="0"/>
          <w:sz w:val="28"/>
          <w:szCs w:val="28"/>
          <w:highlight w:val="none"/>
          <w:lang w:val="zh-CN"/>
        </w:rPr>
        <w:t>(2) 全部逾期完工违约金的总限额不超过合同总价的 2%，建设单位可从应向承包人支付的任何金额中扣除此项违约金或以其他方式收回此款，此违约金的支付并不能解除承包人应完成工程的责任或合同规定的其他责任。</w:t>
      </w:r>
    </w:p>
    <w:p w14:paraId="5F0ADE97">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lang w:val="zh-CN"/>
        </w:rPr>
      </w:pPr>
      <w:r>
        <w:rPr>
          <w:rFonts w:hint="eastAsia" w:ascii="宋体" w:hAnsi="宋体" w:eastAsia="宋体" w:cs="宋体"/>
          <w:color w:val="auto"/>
          <w:spacing w:val="0"/>
          <w:sz w:val="28"/>
          <w:szCs w:val="28"/>
          <w:highlight w:val="none"/>
          <w:lang w:val="zh-CN"/>
        </w:rPr>
        <w:t>(3) 若因施工现场征地拆迁、重大设计变更等建设单位原因导致工期延误的，工期只能相应顺延，承包人应自行收集整理相关证明材料，但承包人不得就工期延误进行任何价款索赔。</w:t>
      </w:r>
    </w:p>
    <w:p w14:paraId="552C95D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r>
        <w:rPr>
          <w:rFonts w:hint="eastAsia" w:ascii="宋体" w:hAnsi="宋体" w:eastAsia="宋体" w:cs="宋体"/>
          <w:color w:val="auto"/>
          <w:spacing w:val="0"/>
          <w:sz w:val="28"/>
          <w:szCs w:val="28"/>
          <w:highlight w:val="none"/>
          <w:lang w:eastAsia="zh-CN" w:bidi="en-US"/>
        </w:rPr>
        <w:t>11.6工期提前</w:t>
      </w:r>
      <w:bookmarkEnd w:id="309"/>
      <w:bookmarkEnd w:id="310"/>
      <w:bookmarkEnd w:id="311"/>
      <w:bookmarkEnd w:id="312"/>
      <w:bookmarkEnd w:id="313"/>
      <w:bookmarkEnd w:id="314"/>
      <w:bookmarkEnd w:id="315"/>
    </w:p>
    <w:p w14:paraId="15348AF5">
      <w:pPr>
        <w:pStyle w:val="115"/>
        <w:pageBreakBefore w:val="0"/>
        <w:tabs>
          <w:tab w:val="left" w:pos="8218"/>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rPr>
        <w:t>　　工期提前的资金约定：</w:t>
      </w:r>
      <w:r>
        <w:rPr>
          <w:rFonts w:hint="eastAsia" w:ascii="宋体" w:hAnsi="宋体" w:eastAsia="宋体" w:cs="宋体"/>
          <w:color w:val="auto"/>
          <w:spacing w:val="0"/>
          <w:sz w:val="28"/>
          <w:szCs w:val="28"/>
          <w:highlight w:val="none"/>
          <w:u w:val="single"/>
        </w:rPr>
        <w:t>在保证工程质量的前提下，</w:t>
      </w:r>
      <w:r>
        <w:rPr>
          <w:rFonts w:hint="eastAsia"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rPr>
        <w:t>鼓励承包人提前完工，但本合同工程无提前工期奖金</w:t>
      </w:r>
      <w:r>
        <w:rPr>
          <w:rFonts w:hint="eastAsia" w:ascii="宋体" w:hAnsi="宋体" w:eastAsia="宋体" w:cs="宋体"/>
          <w:color w:val="auto"/>
          <w:spacing w:val="0"/>
          <w:sz w:val="28"/>
          <w:szCs w:val="28"/>
          <w:highlight w:val="none"/>
        </w:rPr>
        <w:t xml:space="preserve"> </w:t>
      </w:r>
      <w:r>
        <w:rPr>
          <w:rFonts w:hint="eastAsia" w:ascii="宋体" w:hAnsi="宋体" w:eastAsia="宋体" w:cs="宋体"/>
          <w:color w:val="auto"/>
          <w:spacing w:val="0"/>
          <w:sz w:val="28"/>
          <w:szCs w:val="28"/>
          <w:highlight w:val="none"/>
          <w:lang w:val="en-US" w:bidi="en-US"/>
        </w:rPr>
        <w:t>。</w:t>
      </w:r>
    </w:p>
    <w:p w14:paraId="26738B0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316" w:name="bookmark1737"/>
      <w:bookmarkStart w:id="317" w:name="_Toc19949"/>
      <w:bookmarkStart w:id="318" w:name="_Toc23224"/>
      <w:bookmarkStart w:id="319" w:name="bookmark1736"/>
      <w:bookmarkStart w:id="320" w:name="_Toc24244"/>
      <w:bookmarkStart w:id="321" w:name="_Toc6849"/>
      <w:bookmarkStart w:id="322" w:name="bookmark1735"/>
      <w:bookmarkStart w:id="323" w:name="_Toc17748"/>
      <w:bookmarkStart w:id="324" w:name="_Toc27063"/>
      <w:bookmarkStart w:id="325" w:name="_Toc17722"/>
      <w:bookmarkStart w:id="326" w:name="_Toc29861"/>
      <w:bookmarkStart w:id="327" w:name="_Toc26844"/>
      <w:bookmarkStart w:id="328" w:name="_Toc6407"/>
      <w:bookmarkStart w:id="329" w:name="bookmark1753"/>
      <w:bookmarkStart w:id="330" w:name="bookmark1752"/>
      <w:bookmarkStart w:id="331" w:name="_Toc29233"/>
      <w:bookmarkStart w:id="332" w:name="_Toc2275"/>
      <w:bookmarkStart w:id="333" w:name="bookmark1754"/>
      <w:bookmarkStart w:id="334" w:name="_Toc28193"/>
      <w:bookmarkStart w:id="335" w:name="_Toc20650"/>
      <w:r>
        <w:rPr>
          <w:rFonts w:hint="eastAsia" w:ascii="宋体" w:hAnsi="宋体" w:eastAsia="宋体" w:cs="宋体"/>
          <w:color w:val="auto"/>
          <w:spacing w:val="0"/>
          <w:sz w:val="28"/>
          <w:szCs w:val="28"/>
          <w:highlight w:val="none"/>
          <w:lang w:eastAsia="zh-CN"/>
        </w:rPr>
        <w:t>12. 暂停施工</w:t>
      </w:r>
      <w:bookmarkEnd w:id="316"/>
      <w:bookmarkEnd w:id="317"/>
      <w:bookmarkEnd w:id="318"/>
      <w:bookmarkEnd w:id="319"/>
      <w:bookmarkEnd w:id="320"/>
      <w:bookmarkEnd w:id="321"/>
      <w:bookmarkEnd w:id="322"/>
      <w:bookmarkEnd w:id="323"/>
      <w:bookmarkEnd w:id="324"/>
      <w:bookmarkEnd w:id="325"/>
    </w:p>
    <w:p w14:paraId="0144E51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36" w:name="bookmark1738"/>
      <w:bookmarkStart w:id="337" w:name="bookmark1739"/>
      <w:bookmarkStart w:id="338" w:name="_Toc3583"/>
      <w:bookmarkStart w:id="339" w:name="bookmark1740"/>
      <w:bookmarkStart w:id="340" w:name="_Toc28191"/>
      <w:bookmarkStart w:id="341" w:name="_Toc13017"/>
      <w:bookmarkStart w:id="342" w:name="_Toc7116"/>
      <w:r>
        <w:rPr>
          <w:rFonts w:hint="eastAsia" w:ascii="宋体" w:hAnsi="宋体" w:eastAsia="宋体" w:cs="宋体"/>
          <w:color w:val="auto"/>
          <w:spacing w:val="0"/>
          <w:sz w:val="28"/>
          <w:szCs w:val="28"/>
          <w:highlight w:val="none"/>
          <w:lang w:eastAsia="zh-CN" w:bidi="en-US"/>
        </w:rPr>
        <w:t>12.1承包人暂停施工的责任</w:t>
      </w:r>
      <w:bookmarkEnd w:id="336"/>
      <w:bookmarkEnd w:id="337"/>
      <w:bookmarkEnd w:id="338"/>
      <w:bookmarkEnd w:id="339"/>
      <w:bookmarkEnd w:id="340"/>
      <w:bookmarkEnd w:id="341"/>
      <w:bookmarkEnd w:id="342"/>
    </w:p>
    <w:p w14:paraId="5D6D3C86">
      <w:pPr>
        <w:pStyle w:val="47"/>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lang w:val="zh-CN" w:eastAsia="zh-CN"/>
        </w:rPr>
      </w:pPr>
      <w:bookmarkStart w:id="343" w:name="bookmark1741"/>
      <w:bookmarkEnd w:id="343"/>
      <w:r>
        <w:rPr>
          <w:rFonts w:hint="eastAsia" w:ascii="宋体" w:hAnsi="宋体" w:eastAsia="宋体" w:cs="宋体"/>
          <w:color w:val="auto"/>
          <w:spacing w:val="0"/>
          <w:sz w:val="28"/>
          <w:szCs w:val="28"/>
          <w:highlight w:val="none"/>
          <w:lang w:eastAsia="zh-CN"/>
        </w:rPr>
        <w:t>　　承包人承担暂停施工责任的其它情形：</w:t>
      </w:r>
      <w:r>
        <w:rPr>
          <w:rFonts w:hint="eastAsia" w:ascii="宋体" w:hAnsi="宋体" w:eastAsia="宋体" w:cs="宋体"/>
          <w:color w:val="auto"/>
          <w:spacing w:val="0"/>
          <w:sz w:val="28"/>
          <w:szCs w:val="28"/>
          <w:highlight w:val="none"/>
          <w:u w:val="single"/>
          <w:lang w:eastAsia="zh-CN"/>
        </w:rPr>
        <w:t>由于承包人资金、人员、材料、设备不能按时到位的由承包人承担停工责任，或由于承包人原因造成的质量事故及安全事故引起的暂停施工，</w:t>
      </w:r>
      <w:r>
        <w:rPr>
          <w:rFonts w:hint="eastAsia" w:ascii="宋体" w:hAnsi="宋体"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lang w:eastAsia="zh-CN"/>
        </w:rPr>
        <w:t>不再补偿停工所造成的工程费用增加和工期延误</w:t>
      </w:r>
      <w:r>
        <w:rPr>
          <w:rFonts w:hint="eastAsia" w:ascii="宋体" w:hAnsi="宋体" w:eastAsia="宋体" w:cs="宋体"/>
          <w:color w:val="auto"/>
          <w:spacing w:val="0"/>
          <w:sz w:val="28"/>
          <w:szCs w:val="28"/>
          <w:highlight w:val="none"/>
          <w:lang w:eastAsia="zh-CN"/>
        </w:rPr>
        <w:t>。</w:t>
      </w:r>
    </w:p>
    <w:p w14:paraId="2CEBA80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44" w:name="_Toc32213"/>
      <w:bookmarkStart w:id="345" w:name="_Toc9024"/>
      <w:bookmarkStart w:id="346" w:name="_Toc14207"/>
      <w:bookmarkStart w:id="347" w:name="_Toc18473"/>
      <w:r>
        <w:rPr>
          <w:rFonts w:hint="eastAsia" w:ascii="宋体" w:hAnsi="宋体" w:eastAsia="宋体" w:cs="宋体"/>
          <w:color w:val="auto"/>
          <w:spacing w:val="0"/>
          <w:sz w:val="28"/>
          <w:szCs w:val="28"/>
          <w:highlight w:val="none"/>
          <w:lang w:eastAsia="zh-CN" w:bidi="en-US"/>
        </w:rPr>
        <w:t>12.2</w:t>
      </w:r>
      <w:r>
        <w:rPr>
          <w:rFonts w:hint="eastAsia" w:ascii="宋体" w:hAnsi="宋体" w:cs="宋体"/>
          <w:color w:val="auto"/>
          <w:spacing w:val="0"/>
          <w:sz w:val="28"/>
          <w:szCs w:val="28"/>
          <w:highlight w:val="none"/>
          <w:lang w:eastAsia="zh-CN" w:bidi="en-US"/>
        </w:rPr>
        <w:t>建设单位</w:t>
      </w:r>
      <w:r>
        <w:rPr>
          <w:rFonts w:hint="eastAsia" w:ascii="宋体" w:hAnsi="宋体" w:eastAsia="宋体" w:cs="宋体"/>
          <w:color w:val="auto"/>
          <w:spacing w:val="0"/>
          <w:sz w:val="28"/>
          <w:szCs w:val="28"/>
          <w:highlight w:val="none"/>
          <w:lang w:eastAsia="zh-CN" w:bidi="en-US"/>
        </w:rPr>
        <w:t>暂停施工的责任</w:t>
      </w:r>
      <w:bookmarkEnd w:id="344"/>
      <w:bookmarkEnd w:id="345"/>
      <w:bookmarkEnd w:id="346"/>
      <w:bookmarkEnd w:id="347"/>
    </w:p>
    <w:p w14:paraId="6142916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因</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原因造成的暂停施工，</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对承包人给予工期补偿，不另行支付其它费用。</w:t>
      </w:r>
    </w:p>
    <w:p w14:paraId="0BA68CCF">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(3) </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承担暂停施工责任的其它情形：</w:t>
      </w:r>
      <w:r>
        <w:rPr>
          <w:rFonts w:hint="eastAsia" w:ascii="宋体" w:hAnsi="宋体" w:eastAsia="宋体" w:cs="宋体"/>
          <w:color w:val="auto"/>
          <w:spacing w:val="0"/>
          <w:sz w:val="28"/>
          <w:szCs w:val="28"/>
          <w:highlight w:val="none"/>
          <w:u w:val="single"/>
        </w:rPr>
        <w:t xml:space="preserve"> 由</w:t>
      </w:r>
      <w:r>
        <w:rPr>
          <w:rFonts w:hint="eastAsia" w:ascii="宋体" w:hAnsi="宋体" w:eastAsia="宋体"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rPr>
        <w:t>和监理人根据有关规定明确</w:t>
      </w:r>
      <w:r>
        <w:rPr>
          <w:rFonts w:hint="eastAsia" w:ascii="宋体" w:hAnsi="宋体" w:eastAsia="宋体" w:cs="宋体"/>
          <w:color w:val="auto"/>
          <w:spacing w:val="0"/>
          <w:sz w:val="28"/>
          <w:szCs w:val="28"/>
          <w:highlight w:val="none"/>
        </w:rPr>
        <w:t>。</w:t>
      </w:r>
    </w:p>
    <w:p w14:paraId="3E5C20D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348" w:name="bookmark1742"/>
      <w:bookmarkEnd w:id="348"/>
      <w:bookmarkStart w:id="349" w:name="_Toc18941"/>
      <w:bookmarkStart w:id="350" w:name="_Toc13616"/>
      <w:bookmarkStart w:id="351" w:name="_Toc16648"/>
      <w:bookmarkStart w:id="352" w:name="_Toc25875"/>
      <w:bookmarkStart w:id="353" w:name="_Toc26672"/>
      <w:bookmarkStart w:id="354" w:name="_Toc13018"/>
      <w:bookmarkStart w:id="355" w:name="bookmark1743"/>
      <w:bookmarkStart w:id="356" w:name="bookmark1745"/>
      <w:bookmarkStart w:id="357" w:name="_Toc4631"/>
      <w:bookmarkStart w:id="358" w:name="bookmark1744"/>
      <w:r>
        <w:rPr>
          <w:rFonts w:hint="eastAsia" w:ascii="宋体" w:hAnsi="宋体" w:eastAsia="宋体" w:cs="宋体"/>
          <w:color w:val="auto"/>
          <w:spacing w:val="0"/>
          <w:sz w:val="28"/>
          <w:szCs w:val="28"/>
          <w:highlight w:val="none"/>
          <w:lang w:eastAsia="zh-CN"/>
        </w:rPr>
        <w:t>13. 工程质量</w:t>
      </w:r>
      <w:bookmarkEnd w:id="349"/>
      <w:bookmarkEnd w:id="350"/>
      <w:bookmarkEnd w:id="351"/>
      <w:bookmarkEnd w:id="352"/>
      <w:bookmarkEnd w:id="353"/>
      <w:bookmarkEnd w:id="354"/>
      <w:bookmarkEnd w:id="355"/>
      <w:bookmarkEnd w:id="356"/>
      <w:bookmarkEnd w:id="357"/>
      <w:bookmarkEnd w:id="358"/>
    </w:p>
    <w:p w14:paraId="10BEED1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59" w:name="_Toc27959"/>
      <w:bookmarkStart w:id="360" w:name="bookmark1748"/>
      <w:bookmarkStart w:id="361" w:name="bookmark1747"/>
      <w:bookmarkStart w:id="362" w:name="_Toc25427"/>
      <w:bookmarkStart w:id="363" w:name="_Toc2239"/>
      <w:bookmarkStart w:id="364" w:name="_Toc4842"/>
      <w:bookmarkStart w:id="365" w:name="bookmark1746"/>
      <w:r>
        <w:rPr>
          <w:rFonts w:hint="eastAsia" w:ascii="宋体" w:hAnsi="宋体" w:eastAsia="宋体" w:cs="宋体"/>
          <w:color w:val="auto"/>
          <w:spacing w:val="0"/>
          <w:sz w:val="28"/>
          <w:szCs w:val="28"/>
          <w:highlight w:val="none"/>
          <w:lang w:eastAsia="zh-CN" w:bidi="en-US"/>
        </w:rPr>
        <w:t>13.7质量评定</w:t>
      </w:r>
      <w:bookmarkEnd w:id="359"/>
      <w:bookmarkEnd w:id="360"/>
      <w:bookmarkEnd w:id="361"/>
      <w:bookmarkEnd w:id="362"/>
      <w:bookmarkEnd w:id="363"/>
      <w:bookmarkEnd w:id="364"/>
      <w:bookmarkEnd w:id="365"/>
    </w:p>
    <w:p w14:paraId="39157799">
      <w:pPr>
        <w:pStyle w:val="115"/>
        <w:pageBreakBefore w:val="0"/>
        <w:tabs>
          <w:tab w:val="left" w:pos="8228"/>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13.7.4</w:t>
      </w:r>
      <w:r>
        <w:rPr>
          <w:rFonts w:hint="eastAsia" w:ascii="宋体" w:hAnsi="宋体" w:eastAsia="宋体" w:cs="宋体"/>
          <w:color w:val="auto"/>
          <w:spacing w:val="0"/>
          <w:sz w:val="28"/>
          <w:szCs w:val="28"/>
          <w:highlight w:val="none"/>
        </w:rPr>
        <w:t>重要隐蔽单元工程和关键部位单元工程质量评定的约定：</w:t>
      </w:r>
      <w:r>
        <w:rPr>
          <w:rFonts w:hint="eastAsia" w:ascii="宋体" w:hAnsi="宋体" w:eastAsia="宋体" w:cs="宋体"/>
          <w:color w:val="auto"/>
          <w:spacing w:val="0"/>
          <w:sz w:val="28"/>
          <w:szCs w:val="28"/>
          <w:highlight w:val="none"/>
          <w:u w:val="single"/>
        </w:rPr>
        <w:t>达到合格标准</w:t>
      </w:r>
      <w:r>
        <w:rPr>
          <w:rFonts w:hint="eastAsia" w:ascii="宋体" w:hAnsi="宋体" w:eastAsia="宋体" w:cs="宋体"/>
          <w:color w:val="auto"/>
          <w:spacing w:val="0"/>
          <w:sz w:val="28"/>
          <w:szCs w:val="28"/>
          <w:highlight w:val="none"/>
          <w:lang w:val="en-US" w:bidi="en-US"/>
        </w:rPr>
        <w:t>。</w:t>
      </w:r>
    </w:p>
    <w:p w14:paraId="2F04DC29">
      <w:pPr>
        <w:pStyle w:val="115"/>
        <w:pageBreakBefore w:val="0"/>
        <w:tabs>
          <w:tab w:val="left" w:pos="3751"/>
          <w:tab w:val="left" w:pos="4834"/>
          <w:tab w:val="left" w:pos="8225"/>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xml:space="preserve">　　13.7.7 </w:t>
      </w:r>
      <w:r>
        <w:rPr>
          <w:rFonts w:hint="eastAsia" w:ascii="宋体" w:hAnsi="宋体" w:eastAsia="宋体" w:cs="宋体"/>
          <w:color w:val="auto"/>
          <w:spacing w:val="0"/>
          <w:sz w:val="28"/>
          <w:szCs w:val="28"/>
          <w:highlight w:val="none"/>
        </w:rPr>
        <w:t>工程合格标准为：</w:t>
      </w:r>
      <w:r>
        <w:rPr>
          <w:rFonts w:hint="eastAsia" w:ascii="宋体" w:hAnsi="宋体" w:eastAsia="宋体" w:cs="宋体"/>
          <w:color w:val="auto"/>
          <w:spacing w:val="0"/>
          <w:sz w:val="28"/>
          <w:szCs w:val="28"/>
          <w:highlight w:val="none"/>
          <w:u w:val="single"/>
        </w:rPr>
        <w:t>执行《水利水电工程施工质量检验与评定规程》(SL176 —2007)</w:t>
      </w:r>
      <w:r>
        <w:rPr>
          <w:rFonts w:hint="eastAsia" w:ascii="宋体" w:hAnsi="宋体" w:eastAsia="宋体" w:cs="宋体"/>
          <w:color w:val="auto"/>
          <w:spacing w:val="0"/>
          <w:sz w:val="28"/>
          <w:szCs w:val="28"/>
          <w:highlight w:val="none"/>
        </w:rPr>
        <w:t>；优良标准为：</w:t>
      </w:r>
      <w:r>
        <w:rPr>
          <w:rFonts w:hint="eastAsia" w:ascii="宋体" w:hAnsi="宋体" w:eastAsia="宋体" w:cs="宋体"/>
          <w:color w:val="auto"/>
          <w:spacing w:val="0"/>
          <w:sz w:val="28"/>
          <w:szCs w:val="28"/>
          <w:highlight w:val="none"/>
          <w:u w:val="single"/>
        </w:rPr>
        <w:t>执行《水利水电工程施工质量检验与评定规程》(SL176 —2007)</w:t>
      </w:r>
      <w:r>
        <w:rPr>
          <w:rFonts w:hint="eastAsia" w:ascii="宋体" w:hAnsi="宋体" w:eastAsia="宋体" w:cs="宋体"/>
          <w:color w:val="auto"/>
          <w:spacing w:val="0"/>
          <w:sz w:val="28"/>
          <w:szCs w:val="28"/>
          <w:highlight w:val="none"/>
          <w:lang w:val="en-US" w:bidi="en-US"/>
        </w:rPr>
        <w:t>。</w:t>
      </w:r>
      <w:r>
        <w:rPr>
          <w:rFonts w:hint="eastAsia" w:ascii="宋体" w:hAnsi="宋体" w:eastAsia="宋体" w:cs="宋体"/>
          <w:color w:val="auto"/>
          <w:spacing w:val="0"/>
          <w:sz w:val="28"/>
          <w:szCs w:val="28"/>
          <w:highlight w:val="none"/>
        </w:rPr>
        <w:t>达到优良的奖金为：</w:t>
      </w:r>
      <w:r>
        <w:rPr>
          <w:rFonts w:hint="eastAsia" w:ascii="宋体" w:hAnsi="宋体" w:eastAsia="宋体" w:cs="宋体"/>
          <w:color w:val="auto"/>
          <w:spacing w:val="0"/>
          <w:sz w:val="28"/>
          <w:szCs w:val="28"/>
          <w:highlight w:val="none"/>
          <w:u w:val="single"/>
        </w:rPr>
        <w:t xml:space="preserve">不设定 </w:t>
      </w:r>
      <w:r>
        <w:rPr>
          <w:rFonts w:hint="eastAsia" w:ascii="宋体" w:hAnsi="宋体" w:eastAsia="宋体" w:cs="宋体"/>
          <w:color w:val="auto"/>
          <w:spacing w:val="0"/>
          <w:sz w:val="28"/>
          <w:szCs w:val="28"/>
          <w:highlight w:val="none"/>
          <w:lang w:val="en-US" w:bidi="en-US"/>
        </w:rPr>
        <w:t>。</w:t>
      </w:r>
    </w:p>
    <w:p w14:paraId="3E66BFB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66" w:name="bookmark1749"/>
      <w:bookmarkStart w:id="367" w:name="bookmark1750"/>
      <w:bookmarkStart w:id="368" w:name="_Toc30372"/>
      <w:bookmarkStart w:id="369" w:name="_Toc28405"/>
      <w:bookmarkStart w:id="370" w:name="bookmark1751"/>
      <w:bookmarkStart w:id="371" w:name="_Toc1606"/>
      <w:bookmarkStart w:id="372" w:name="_Toc24923"/>
      <w:r>
        <w:rPr>
          <w:rFonts w:hint="eastAsia" w:ascii="宋体" w:hAnsi="宋体" w:eastAsia="宋体" w:cs="宋体"/>
          <w:color w:val="auto"/>
          <w:spacing w:val="0"/>
          <w:sz w:val="28"/>
          <w:szCs w:val="28"/>
          <w:highlight w:val="none"/>
          <w:lang w:eastAsia="zh-CN" w:bidi="en-US"/>
        </w:rPr>
        <w:t>13.8质量事故处理</w:t>
      </w:r>
      <w:bookmarkEnd w:id="366"/>
      <w:bookmarkEnd w:id="367"/>
      <w:bookmarkEnd w:id="368"/>
      <w:bookmarkEnd w:id="369"/>
      <w:bookmarkEnd w:id="370"/>
      <w:bookmarkEnd w:id="371"/>
      <w:bookmarkEnd w:id="372"/>
    </w:p>
    <w:p w14:paraId="2EB5DD04">
      <w:pPr>
        <w:pStyle w:val="115"/>
        <w:pageBreakBefore w:val="0"/>
        <w:tabs>
          <w:tab w:val="left" w:pos="4814"/>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13.8.4</w:t>
      </w:r>
      <w:r>
        <w:rPr>
          <w:rFonts w:hint="eastAsia" w:ascii="宋体" w:hAnsi="宋体" w:eastAsia="宋体" w:cs="宋体"/>
          <w:color w:val="auto"/>
          <w:spacing w:val="0"/>
          <w:sz w:val="28"/>
          <w:szCs w:val="28"/>
          <w:highlight w:val="none"/>
        </w:rPr>
        <w:t>工程竣工验收时，</w:t>
      </w:r>
      <w:r>
        <w:rPr>
          <w:rFonts w:hint="eastAsia" w:ascii="宋体" w:hAnsi="宋体" w:eastAsia="宋体" w:cs="宋体"/>
          <w:color w:val="auto"/>
          <w:spacing w:val="0"/>
          <w:sz w:val="28"/>
          <w:szCs w:val="28"/>
          <w:highlight w:val="none"/>
          <w:u w:val="single"/>
        </w:rPr>
        <w:t>如有需要承包人</w:t>
      </w:r>
      <w:r>
        <w:rPr>
          <w:rFonts w:hint="eastAsia" w:ascii="宋体" w:hAnsi="宋体" w:eastAsia="宋体" w:cs="宋体"/>
          <w:color w:val="auto"/>
          <w:spacing w:val="0"/>
          <w:sz w:val="28"/>
          <w:szCs w:val="28"/>
          <w:highlight w:val="none"/>
        </w:rPr>
        <w:t>向竣工验收委员会汇报并提交历次质量缺陷处理的备案资料。</w:t>
      </w:r>
    </w:p>
    <w:p w14:paraId="4BD5D8F7">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14 . 试验和检验</w:t>
      </w:r>
      <w:bookmarkEnd w:id="326"/>
      <w:bookmarkEnd w:id="327"/>
      <w:bookmarkEnd w:id="328"/>
      <w:bookmarkEnd w:id="329"/>
      <w:bookmarkEnd w:id="330"/>
      <w:bookmarkEnd w:id="331"/>
      <w:bookmarkEnd w:id="332"/>
      <w:bookmarkEnd w:id="333"/>
      <w:bookmarkEnd w:id="334"/>
      <w:bookmarkEnd w:id="335"/>
    </w:p>
    <w:p w14:paraId="600251A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73" w:name="_Toc2292"/>
      <w:bookmarkStart w:id="374" w:name="bookmark1757"/>
      <w:bookmarkStart w:id="375" w:name="bookmark1756"/>
      <w:bookmarkStart w:id="376" w:name="bookmark1755"/>
      <w:bookmarkStart w:id="377" w:name="_Toc10272"/>
      <w:bookmarkStart w:id="378" w:name="_Toc17692"/>
      <w:bookmarkStart w:id="379" w:name="_Toc12766"/>
      <w:r>
        <w:rPr>
          <w:rFonts w:hint="eastAsia" w:ascii="宋体" w:hAnsi="宋体" w:eastAsia="宋体" w:cs="宋体"/>
          <w:color w:val="auto"/>
          <w:spacing w:val="0"/>
          <w:sz w:val="28"/>
          <w:szCs w:val="28"/>
          <w:highlight w:val="none"/>
          <w:lang w:eastAsia="zh-CN" w:bidi="en-US"/>
        </w:rPr>
        <w:t>14.1材料、工程设备和工程的试验和检验</w:t>
      </w:r>
      <w:bookmarkEnd w:id="373"/>
      <w:bookmarkEnd w:id="374"/>
      <w:bookmarkEnd w:id="375"/>
      <w:bookmarkEnd w:id="376"/>
      <w:bookmarkEnd w:id="377"/>
      <w:bookmarkEnd w:id="378"/>
      <w:bookmarkEnd w:id="379"/>
    </w:p>
    <w:p w14:paraId="44F1F88E">
      <w:pPr>
        <w:pStyle w:val="115"/>
        <w:pageBreakBefore w:val="0"/>
        <w:tabs>
          <w:tab w:val="left" w:pos="2071"/>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lang w:val="en-US" w:bidi="en-US"/>
        </w:rPr>
        <w:t>　　14.1.5</w:t>
      </w:r>
      <w:r>
        <w:rPr>
          <w:rFonts w:hint="eastAsia" w:ascii="宋体" w:hAnsi="宋体" w:eastAsia="宋体" w:cs="宋体"/>
          <w:color w:val="auto"/>
          <w:spacing w:val="0"/>
          <w:sz w:val="28"/>
          <w:szCs w:val="28"/>
          <w:highlight w:val="none"/>
        </w:rPr>
        <w:t>水工金属结构、启闭机及机电产品进场后的交货检查和验收中，承包人负责</w:t>
      </w:r>
      <w:r>
        <w:rPr>
          <w:rFonts w:hint="eastAsia" w:ascii="宋体" w:hAnsi="宋体" w:eastAsia="宋体" w:cs="宋体"/>
          <w:color w:val="auto"/>
          <w:spacing w:val="0"/>
          <w:sz w:val="28"/>
          <w:szCs w:val="28"/>
          <w:highlight w:val="none"/>
          <w:u w:val="single"/>
        </w:rPr>
        <w:t>卸车及卸车后的验收、保管、转运、仓储管理，发生的费用由承包人承担；</w:t>
      </w:r>
      <w:r>
        <w:rPr>
          <w:rFonts w:hint="eastAsia" w:cs="宋体"/>
          <w:color w:val="auto"/>
          <w:spacing w:val="0"/>
          <w:sz w:val="28"/>
          <w:szCs w:val="28"/>
          <w:highlight w:val="none"/>
          <w:u w:val="single"/>
          <w:lang w:eastAsia="zh-CN"/>
        </w:rPr>
        <w:t>建设单位</w:t>
      </w:r>
      <w:r>
        <w:rPr>
          <w:rFonts w:hint="eastAsia" w:ascii="宋体" w:hAnsi="宋体" w:eastAsia="宋体" w:cs="宋体"/>
          <w:color w:val="auto"/>
          <w:spacing w:val="0"/>
          <w:sz w:val="28"/>
          <w:szCs w:val="28"/>
          <w:highlight w:val="none"/>
          <w:u w:val="single"/>
        </w:rPr>
        <w:t>提供的所有设备因承包人保管和管理不当造成损坏或者遗失的， 由承包人照价赔偿或从工程款中扣除相应款数</w:t>
      </w:r>
      <w:r>
        <w:rPr>
          <w:rFonts w:hint="eastAsia" w:ascii="宋体" w:hAnsi="宋体" w:eastAsia="宋体" w:cs="宋体"/>
          <w:color w:val="auto"/>
          <w:spacing w:val="0"/>
          <w:sz w:val="28"/>
          <w:szCs w:val="28"/>
          <w:highlight w:val="none"/>
          <w:u w:val="single"/>
          <w:lang w:val="en-US" w:bidi="en-US"/>
        </w:rPr>
        <w:t>。</w:t>
      </w:r>
      <w:r>
        <w:rPr>
          <w:rFonts w:hint="eastAsia" w:ascii="宋体" w:hAnsi="宋体" w:eastAsia="宋体" w:cs="宋体"/>
          <w:color w:val="auto"/>
          <w:spacing w:val="0"/>
          <w:sz w:val="28"/>
          <w:szCs w:val="28"/>
          <w:highlight w:val="none"/>
          <w:u w:val="single"/>
        </w:rPr>
        <w:t>承包人负责全部工作，并保证质量和进度。</w:t>
      </w:r>
    </w:p>
    <w:p w14:paraId="3B50F3D3">
      <w:pPr>
        <w:pStyle w:val="115"/>
        <w:pageBreakBefore w:val="0"/>
        <w:tabs>
          <w:tab w:val="left" w:pos="7525"/>
        </w:tabs>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14.1.6</w:t>
      </w:r>
      <w:r>
        <w:rPr>
          <w:rFonts w:hint="eastAsia" w:ascii="宋体" w:hAnsi="宋体" w:eastAsia="宋体" w:cs="宋体"/>
          <w:color w:val="auto"/>
          <w:spacing w:val="0"/>
          <w:sz w:val="28"/>
          <w:szCs w:val="28"/>
          <w:highlight w:val="none"/>
        </w:rPr>
        <w:t>本工程实行见证取样的试块、试件及有关材料：</w:t>
      </w:r>
      <w:r>
        <w:rPr>
          <w:rFonts w:hint="eastAsia" w:ascii="宋体" w:hAnsi="宋体" w:eastAsia="宋体" w:cs="宋体"/>
          <w:color w:val="auto"/>
          <w:spacing w:val="0"/>
          <w:sz w:val="28"/>
          <w:szCs w:val="28"/>
          <w:highlight w:val="none"/>
          <w:u w:val="single"/>
        </w:rPr>
        <w:t>砼试块、砂浆试块和土、水泥、砂、碎石、钢筋、砼等原材料及砂浆配合比、砼配合比、塑性砼配合比</w:t>
      </w:r>
      <w:r>
        <w:rPr>
          <w:rFonts w:hint="eastAsia" w:ascii="宋体" w:hAnsi="宋体" w:eastAsia="宋体" w:cs="宋体"/>
          <w:color w:val="auto"/>
          <w:spacing w:val="0"/>
          <w:sz w:val="28"/>
          <w:szCs w:val="28"/>
          <w:highlight w:val="none"/>
          <w:lang w:val="en-US" w:bidi="en-US"/>
        </w:rPr>
        <w:t>。</w:t>
      </w:r>
    </w:p>
    <w:p w14:paraId="407E1CB1">
      <w:pPr>
        <w:pStyle w:val="116"/>
        <w:pageBreakBefore w:val="0"/>
        <w:kinsoku/>
        <w:wordWrap w:val="0"/>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380" w:name="_Toc29563"/>
      <w:bookmarkStart w:id="381" w:name="_Toc4787"/>
      <w:bookmarkStart w:id="382" w:name="_Toc2879"/>
      <w:bookmarkStart w:id="383" w:name="_Toc5560"/>
      <w:bookmarkStart w:id="384" w:name="_Toc25565"/>
      <w:bookmarkStart w:id="385" w:name="_Toc217"/>
      <w:bookmarkStart w:id="386" w:name="_Toc22410"/>
      <w:bookmarkStart w:id="387" w:name="bookmark1760"/>
      <w:bookmarkStart w:id="388" w:name="bookmark1758"/>
      <w:bookmarkStart w:id="389" w:name="bookmark1759"/>
      <w:r>
        <w:rPr>
          <w:rFonts w:hint="eastAsia" w:ascii="宋体" w:hAnsi="宋体" w:eastAsia="宋体" w:cs="宋体"/>
          <w:color w:val="auto"/>
          <w:spacing w:val="0"/>
          <w:sz w:val="28"/>
          <w:szCs w:val="28"/>
          <w:highlight w:val="none"/>
          <w:lang w:eastAsia="zh-CN"/>
        </w:rPr>
        <w:t>15. 变更</w:t>
      </w:r>
      <w:bookmarkEnd w:id="380"/>
      <w:bookmarkEnd w:id="381"/>
      <w:bookmarkEnd w:id="382"/>
      <w:bookmarkEnd w:id="383"/>
      <w:bookmarkEnd w:id="384"/>
      <w:bookmarkEnd w:id="385"/>
      <w:bookmarkEnd w:id="386"/>
      <w:bookmarkEnd w:id="387"/>
    </w:p>
    <w:p w14:paraId="31DFE586">
      <w:pPr>
        <w:pStyle w:val="116"/>
        <w:pageBreakBefore w:val="0"/>
        <w:kinsoku/>
        <w:wordWrap w:val="0"/>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90" w:name="_Toc15637"/>
      <w:bookmarkStart w:id="391" w:name="_Toc21815"/>
      <w:bookmarkStart w:id="392" w:name="_Toc30777"/>
      <w:bookmarkStart w:id="393" w:name="_Toc11024"/>
      <w:bookmarkStart w:id="394" w:name="bookmark1761"/>
      <w:r>
        <w:rPr>
          <w:rFonts w:hint="eastAsia" w:ascii="宋体" w:hAnsi="宋体" w:eastAsia="宋体" w:cs="宋体"/>
          <w:color w:val="auto"/>
          <w:spacing w:val="0"/>
          <w:sz w:val="28"/>
          <w:szCs w:val="28"/>
          <w:highlight w:val="none"/>
          <w:lang w:eastAsia="zh-CN" w:bidi="en-US"/>
        </w:rPr>
        <w:t>15.1变更的范围和内容</w:t>
      </w:r>
      <w:bookmarkEnd w:id="388"/>
      <w:bookmarkEnd w:id="389"/>
      <w:bookmarkEnd w:id="390"/>
      <w:bookmarkEnd w:id="391"/>
      <w:bookmarkEnd w:id="392"/>
      <w:bookmarkEnd w:id="393"/>
      <w:bookmarkEnd w:id="394"/>
    </w:p>
    <w:p w14:paraId="706AB85E">
      <w:pPr>
        <w:pageBreakBefore w:val="0"/>
        <w:kinsoku/>
        <w:wordWrap w:val="0"/>
        <w:overflowPunct/>
        <w:topLinePunct w:val="0"/>
        <w:bidi w:val="0"/>
        <w:spacing w:line="500" w:lineRule="exact"/>
        <w:ind w:right="0"/>
        <w:rPr>
          <w:rFonts w:hint="eastAsia" w:ascii="宋体" w:hAnsi="宋体" w:eastAsia="宋体" w:cs="宋体"/>
          <w:color w:val="auto"/>
          <w:spacing w:val="0"/>
          <w:sz w:val="28"/>
          <w:szCs w:val="28"/>
          <w:highlight w:val="none"/>
        </w:rPr>
      </w:pPr>
      <w:bookmarkStart w:id="395" w:name="bookmark1762"/>
      <w:bookmarkEnd w:id="395"/>
      <w:bookmarkStart w:id="396" w:name="bookmark1764"/>
      <w:bookmarkStart w:id="397" w:name="bookmark1763"/>
      <w:bookmarkStart w:id="398" w:name="bookmark1765"/>
      <w:r>
        <w:rPr>
          <w:rFonts w:hint="eastAsia" w:ascii="宋体" w:hAnsi="宋体" w:eastAsia="宋体" w:cs="宋体"/>
          <w:b/>
          <w:bCs/>
          <w:color w:val="auto"/>
          <w:spacing w:val="0"/>
          <w:sz w:val="28"/>
          <w:szCs w:val="28"/>
          <w:highlight w:val="none"/>
        </w:rPr>
        <w:t>(6)增加或减少合同中关键项目的工程量超过其项目工程总量的</w:t>
      </w:r>
      <w:r>
        <w:rPr>
          <w:rFonts w:hint="eastAsia" w:ascii="宋体" w:hAnsi="宋体" w:eastAsia="宋体" w:cs="宋体"/>
          <w:b/>
          <w:bCs/>
          <w:color w:val="auto"/>
          <w:spacing w:val="0"/>
          <w:sz w:val="28"/>
          <w:szCs w:val="28"/>
          <w:highlight w:val="none"/>
          <w:u w:val="single"/>
        </w:rPr>
        <w:t>25％</w:t>
      </w:r>
      <w:r>
        <w:rPr>
          <w:rFonts w:hint="eastAsia" w:ascii="宋体" w:hAnsi="宋体" w:eastAsia="宋体" w:cs="宋体"/>
          <w:b/>
          <w:bCs/>
          <w:color w:val="auto"/>
          <w:spacing w:val="0"/>
          <w:sz w:val="28"/>
          <w:szCs w:val="28"/>
          <w:highlight w:val="none"/>
        </w:rPr>
        <w:t>，单价调整方式：</w:t>
      </w:r>
      <w:r>
        <w:rPr>
          <w:rFonts w:hint="eastAsia" w:ascii="宋体" w:hAnsi="宋体" w:eastAsia="宋体" w:cs="宋体"/>
          <w:b/>
          <w:bCs/>
          <w:color w:val="auto"/>
          <w:spacing w:val="0"/>
          <w:sz w:val="28"/>
          <w:szCs w:val="28"/>
          <w:highlight w:val="none"/>
          <w:u w:val="single"/>
        </w:rPr>
        <w:t xml:space="preserve"> 不作调整</w:t>
      </w:r>
      <w:r>
        <w:rPr>
          <w:rFonts w:hint="eastAsia" w:ascii="宋体" w:hAnsi="宋体" w:eastAsia="宋体" w:cs="宋体"/>
          <w:color w:val="auto"/>
          <w:spacing w:val="0"/>
          <w:sz w:val="28"/>
          <w:szCs w:val="28"/>
          <w:highlight w:val="none"/>
        </w:rPr>
        <w:t>。</w:t>
      </w:r>
    </w:p>
    <w:p w14:paraId="7312039B">
      <w:pPr>
        <w:pStyle w:val="116"/>
        <w:pageBreakBefore w:val="0"/>
        <w:kinsoku/>
        <w:wordWrap w:val="0"/>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399" w:name="_Toc6790"/>
      <w:bookmarkStart w:id="400" w:name="_Toc5634"/>
      <w:bookmarkStart w:id="401" w:name="_Toc23866"/>
      <w:bookmarkStart w:id="402" w:name="_Toc26781"/>
      <w:r>
        <w:rPr>
          <w:rFonts w:hint="eastAsia" w:ascii="宋体" w:hAnsi="宋体" w:eastAsia="宋体" w:cs="宋体"/>
          <w:color w:val="auto"/>
          <w:spacing w:val="0"/>
          <w:sz w:val="28"/>
          <w:szCs w:val="28"/>
          <w:highlight w:val="none"/>
          <w:lang w:eastAsia="zh-CN" w:bidi="en-US"/>
        </w:rPr>
        <w:t>15.4变更的估价原则</w:t>
      </w:r>
      <w:bookmarkEnd w:id="396"/>
      <w:bookmarkEnd w:id="397"/>
      <w:bookmarkEnd w:id="398"/>
      <w:bookmarkEnd w:id="399"/>
      <w:bookmarkEnd w:id="400"/>
      <w:bookmarkEnd w:id="401"/>
      <w:bookmarkEnd w:id="402"/>
    </w:p>
    <w:p w14:paraId="72443E9D">
      <w:pPr>
        <w:pStyle w:val="115"/>
        <w:pageBreakBefore w:val="0"/>
        <w:kinsoku/>
        <w:wordWrap w:val="0"/>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15.4.3</w:t>
      </w:r>
      <w:r>
        <w:rPr>
          <w:rFonts w:hint="eastAsia" w:ascii="宋体" w:hAnsi="宋体" w:eastAsia="宋体" w:cs="宋体"/>
          <w:color w:val="auto"/>
          <w:spacing w:val="0"/>
          <w:sz w:val="28"/>
          <w:szCs w:val="28"/>
          <w:highlight w:val="none"/>
        </w:rPr>
        <w:t>已标价工程量清单中无适用或类似子目的单价，按照以下原则确定：</w:t>
      </w:r>
    </w:p>
    <w:p w14:paraId="10FFEDD3">
      <w:pPr>
        <w:pStyle w:val="115"/>
        <w:pageBreakBefore w:val="0"/>
        <w:kinsoku/>
        <w:wordWrap w:val="0"/>
        <w:overflowPunct/>
        <w:topLinePunct w:val="0"/>
        <w:bidi w:val="0"/>
        <w:spacing w:line="500" w:lineRule="exact"/>
        <w:ind w:left="0" w:right="0" w:firstLine="44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①有定额可套的，套用编制控制价所选定额计算，并乘以中标价下浮系数(中标价下浮系数为中标价与控制价的比值)，其中材料价格有信息价的按当地同期信息价，无信息的由</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、承包人、监理人市场询价确定。</w:t>
      </w:r>
    </w:p>
    <w:p w14:paraId="1E86C51B">
      <w:pPr>
        <w:pStyle w:val="115"/>
        <w:pageBreakBefore w:val="0"/>
        <w:kinsoku/>
        <w:wordWrap/>
        <w:overflowPunct/>
        <w:topLinePunct w:val="0"/>
        <w:bidi w:val="0"/>
        <w:spacing w:line="500" w:lineRule="exact"/>
        <w:ind w:left="0" w:right="0" w:firstLine="44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②无定额可套的，由</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、承包人、监理人市场询价确定。</w:t>
      </w:r>
    </w:p>
    <w:p w14:paraId="75D128AC">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03" w:name="_Toc12393"/>
      <w:bookmarkStart w:id="404" w:name="_Toc6395"/>
      <w:bookmarkStart w:id="405" w:name="bookmark1768"/>
      <w:bookmarkStart w:id="406" w:name="bookmark1766"/>
      <w:bookmarkStart w:id="407" w:name="_Toc17022"/>
      <w:bookmarkStart w:id="408" w:name="_Toc13873"/>
      <w:bookmarkStart w:id="409" w:name="bookmark1767"/>
      <w:bookmarkStart w:id="410" w:name="_Toc10687"/>
      <w:bookmarkStart w:id="411" w:name="bookmark1772"/>
      <w:bookmarkStart w:id="412" w:name="_Toc31535"/>
      <w:bookmarkStart w:id="413" w:name="_Toc28040"/>
      <w:bookmarkStart w:id="414" w:name="_Toc22881"/>
      <w:bookmarkStart w:id="415" w:name="bookmark1770"/>
      <w:bookmarkStart w:id="416" w:name="bookmark1771"/>
      <w:bookmarkStart w:id="417" w:name="_Toc24486"/>
      <w:bookmarkStart w:id="418" w:name="_Toc9647"/>
      <w:bookmarkStart w:id="419" w:name="_Toc13554"/>
      <w:r>
        <w:rPr>
          <w:rFonts w:hint="eastAsia" w:ascii="宋体" w:hAnsi="宋体" w:eastAsia="宋体" w:cs="宋体"/>
          <w:color w:val="auto"/>
          <w:spacing w:val="0"/>
          <w:sz w:val="28"/>
          <w:szCs w:val="28"/>
          <w:highlight w:val="none"/>
          <w:lang w:eastAsia="zh-CN" w:bidi="en-US"/>
        </w:rPr>
        <w:t>15.5承包人的合理化建议</w:t>
      </w:r>
      <w:bookmarkEnd w:id="403"/>
      <w:bookmarkEnd w:id="404"/>
      <w:bookmarkEnd w:id="405"/>
      <w:bookmarkEnd w:id="406"/>
      <w:bookmarkEnd w:id="407"/>
      <w:bookmarkEnd w:id="408"/>
      <w:bookmarkEnd w:id="409"/>
    </w:p>
    <w:p w14:paraId="24DBF49F">
      <w:pPr>
        <w:pStyle w:val="115"/>
        <w:pageBreakBefore w:val="0"/>
        <w:tabs>
          <w:tab w:val="left" w:pos="841"/>
          <w:tab w:val="left" w:pos="6665"/>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bookmarkStart w:id="420" w:name="bookmark1769"/>
      <w:bookmarkEnd w:id="420"/>
      <w:r>
        <w:rPr>
          <w:rFonts w:hint="eastAsia" w:ascii="宋体" w:hAnsi="宋体" w:eastAsia="宋体" w:cs="宋体"/>
          <w:color w:val="auto"/>
          <w:spacing w:val="0"/>
          <w:sz w:val="28"/>
          <w:szCs w:val="28"/>
          <w:highlight w:val="none"/>
          <w:lang w:val="en-US" w:bidi="en-US"/>
        </w:rPr>
        <w:t xml:space="preserve">　　15.5. </w:t>
      </w:r>
      <w:r>
        <w:rPr>
          <w:rFonts w:hint="eastAsia" w:ascii="宋体" w:hAnsi="宋体" w:eastAsia="宋体" w:cs="宋体"/>
          <w:color w:val="auto"/>
          <w:spacing w:val="0"/>
          <w:sz w:val="28"/>
          <w:szCs w:val="28"/>
          <w:highlight w:val="none"/>
        </w:rPr>
        <w:t xml:space="preserve">2承包人实现合理化建议的奖励金额为： </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lang w:val="en-US" w:bidi="en-US"/>
        </w:rPr>
        <w:t>。</w:t>
      </w:r>
    </w:p>
    <w:p w14:paraId="270DEF02">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16 .价格调整</w:t>
      </w:r>
      <w:bookmarkEnd w:id="410"/>
      <w:bookmarkEnd w:id="411"/>
      <w:bookmarkEnd w:id="412"/>
      <w:bookmarkEnd w:id="413"/>
      <w:bookmarkEnd w:id="414"/>
      <w:bookmarkEnd w:id="415"/>
      <w:bookmarkEnd w:id="416"/>
      <w:bookmarkEnd w:id="417"/>
      <w:bookmarkEnd w:id="418"/>
      <w:bookmarkEnd w:id="419"/>
    </w:p>
    <w:p w14:paraId="46207A7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21" w:name="_Toc2115"/>
      <w:bookmarkStart w:id="422" w:name="_Toc1904"/>
      <w:bookmarkStart w:id="423" w:name="_Toc23456"/>
      <w:bookmarkStart w:id="424" w:name="_Toc30226"/>
      <w:bookmarkStart w:id="425" w:name="bookmark1774"/>
      <w:bookmarkStart w:id="426" w:name="bookmark1773"/>
      <w:bookmarkStart w:id="427" w:name="bookmark1775"/>
      <w:r>
        <w:rPr>
          <w:rFonts w:hint="eastAsia" w:ascii="宋体" w:hAnsi="宋体" w:eastAsia="宋体" w:cs="宋体"/>
          <w:color w:val="auto"/>
          <w:spacing w:val="0"/>
          <w:sz w:val="28"/>
          <w:szCs w:val="28"/>
          <w:highlight w:val="none"/>
          <w:lang w:eastAsia="zh-CN" w:bidi="en-US"/>
        </w:rPr>
        <w:t>16.1物价波动引起的价格调整</w:t>
      </w:r>
      <w:bookmarkEnd w:id="421"/>
      <w:bookmarkEnd w:id="422"/>
      <w:bookmarkEnd w:id="423"/>
      <w:bookmarkEnd w:id="424"/>
      <w:bookmarkEnd w:id="425"/>
      <w:bookmarkEnd w:id="426"/>
      <w:bookmarkEnd w:id="427"/>
    </w:p>
    <w:p w14:paraId="37234A91">
      <w:pPr>
        <w:pageBreakBefore w:val="0"/>
        <w:kinsoku/>
        <w:wordWrap/>
        <w:overflowPunct/>
        <w:topLinePunct w:val="0"/>
        <w:bidi w:val="0"/>
        <w:spacing w:line="500" w:lineRule="exact"/>
        <w:ind w:left="0" w:right="0" w:firstLine="48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物价波动引起的价格调整方式：</w:t>
      </w:r>
      <w:r>
        <w:rPr>
          <w:rFonts w:hint="eastAsia" w:ascii="宋体" w:hAnsi="宋体" w:eastAsia="宋体" w:cs="宋体"/>
          <w:b/>
          <w:color w:val="auto"/>
          <w:spacing w:val="0"/>
          <w:sz w:val="28"/>
          <w:szCs w:val="28"/>
          <w:highlight w:val="none"/>
          <w:u w:val="single"/>
        </w:rPr>
        <w:t>本工程因物价波动引起的价格变化不作调整。</w:t>
      </w:r>
    </w:p>
    <w:p w14:paraId="30A3AB9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428" w:name="bookmark1776"/>
      <w:bookmarkEnd w:id="428"/>
      <w:bookmarkStart w:id="429" w:name="bookmark1779"/>
      <w:bookmarkEnd w:id="429"/>
      <w:bookmarkStart w:id="430" w:name="bookmark1777"/>
      <w:bookmarkStart w:id="431" w:name="_Toc24882"/>
      <w:bookmarkStart w:id="432" w:name="_Toc12454"/>
      <w:bookmarkStart w:id="433" w:name="_Toc4565"/>
      <w:bookmarkStart w:id="434" w:name="bookmark1780"/>
      <w:bookmarkStart w:id="435" w:name="_Toc13939"/>
      <w:bookmarkStart w:id="436" w:name="_Toc20772"/>
      <w:bookmarkStart w:id="437" w:name="_Toc20256"/>
      <w:bookmarkStart w:id="438" w:name="_Toc9933"/>
      <w:bookmarkStart w:id="439" w:name="bookmark1778"/>
      <w:r>
        <w:rPr>
          <w:rFonts w:hint="eastAsia" w:ascii="宋体" w:hAnsi="宋体" w:eastAsia="宋体" w:cs="宋体"/>
          <w:color w:val="auto"/>
          <w:spacing w:val="0"/>
          <w:sz w:val="28"/>
          <w:szCs w:val="28"/>
          <w:highlight w:val="none"/>
          <w:lang w:eastAsia="zh-CN"/>
        </w:rPr>
        <w:t>17. 计量与支付</w:t>
      </w:r>
      <w:bookmarkEnd w:id="430"/>
      <w:bookmarkEnd w:id="431"/>
      <w:bookmarkEnd w:id="432"/>
      <w:bookmarkEnd w:id="433"/>
      <w:bookmarkEnd w:id="434"/>
      <w:bookmarkEnd w:id="435"/>
      <w:bookmarkEnd w:id="436"/>
      <w:bookmarkEnd w:id="437"/>
      <w:bookmarkEnd w:id="438"/>
      <w:bookmarkEnd w:id="439"/>
    </w:p>
    <w:p w14:paraId="0639423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40" w:name="bookmark1783"/>
      <w:bookmarkStart w:id="441" w:name="_Toc32008"/>
      <w:bookmarkStart w:id="442" w:name="_Toc25228"/>
      <w:bookmarkStart w:id="443" w:name="bookmark1781"/>
      <w:bookmarkStart w:id="444" w:name="_Toc19352"/>
      <w:bookmarkStart w:id="445" w:name="_Toc11275"/>
      <w:bookmarkStart w:id="446" w:name="bookmark1782"/>
      <w:r>
        <w:rPr>
          <w:rFonts w:hint="eastAsia" w:ascii="宋体" w:hAnsi="宋体" w:eastAsia="宋体" w:cs="宋体"/>
          <w:color w:val="auto"/>
          <w:spacing w:val="0"/>
          <w:sz w:val="28"/>
          <w:szCs w:val="28"/>
          <w:highlight w:val="none"/>
          <w:lang w:eastAsia="zh-CN" w:bidi="en-US"/>
        </w:rPr>
        <w:t>17.2预付款</w:t>
      </w:r>
      <w:bookmarkEnd w:id="440"/>
      <w:bookmarkEnd w:id="441"/>
      <w:bookmarkEnd w:id="442"/>
      <w:bookmarkEnd w:id="443"/>
      <w:bookmarkEnd w:id="444"/>
      <w:bookmarkEnd w:id="445"/>
      <w:bookmarkEnd w:id="446"/>
    </w:p>
    <w:p w14:paraId="3B2DFB58">
      <w:pPr>
        <w:pStyle w:val="117"/>
        <w:pageBreakBefore w:val="0"/>
        <w:kinsoku/>
        <w:wordWrap/>
        <w:overflowPunct/>
        <w:topLinePunct w:val="0"/>
        <w:bidi w:val="0"/>
        <w:spacing w:after="0" w:line="500" w:lineRule="exact"/>
        <w:ind w:left="0" w:right="0" w:firstLine="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　　17.2.1</w:t>
      </w:r>
      <w:r>
        <w:rPr>
          <w:rFonts w:hint="eastAsia" w:ascii="宋体" w:hAnsi="宋体" w:eastAsia="宋体" w:cs="宋体"/>
          <w:color w:val="auto"/>
          <w:spacing w:val="0"/>
          <w:sz w:val="28"/>
          <w:szCs w:val="28"/>
          <w:highlight w:val="none"/>
          <w:lang w:val="zh-CN" w:eastAsia="zh-CN" w:bidi="zh-CN"/>
        </w:rPr>
        <w:t>预付款</w:t>
      </w:r>
    </w:p>
    <w:p w14:paraId="226D3A14">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lang w:eastAsia="zh-CN"/>
        </w:rPr>
      </w:pPr>
      <w:bookmarkStart w:id="447" w:name="bookmark1784"/>
      <w:bookmarkEnd w:id="447"/>
      <w:r>
        <w:rPr>
          <w:rFonts w:hint="eastAsia" w:ascii="宋体" w:hAnsi="宋体" w:eastAsia="宋体" w:cs="宋体"/>
          <w:color w:val="auto"/>
          <w:spacing w:val="0"/>
          <w:sz w:val="28"/>
          <w:szCs w:val="28"/>
          <w:highlight w:val="none"/>
        </w:rPr>
        <w:t>　　(1) 工程预付款的总金额为签约合同价的30%，付款时间应在合同协议书签订后 14 天内，由承包人向</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按规定提交了相应的担保手续，并经监理人出具付款证书报送</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批准，由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报合浦县财政局审批通过后 14 天内国库集中支付</w:t>
      </w:r>
      <w:r>
        <w:rPr>
          <w:rFonts w:hint="eastAsia" w:ascii="宋体" w:hAnsi="宋体" w:eastAsia="宋体" w:cs="宋体"/>
          <w:color w:val="auto"/>
          <w:spacing w:val="0"/>
          <w:sz w:val="28"/>
          <w:szCs w:val="28"/>
          <w:highlight w:val="none"/>
          <w:lang w:eastAsia="zh-CN"/>
        </w:rPr>
        <w:t>。</w:t>
      </w:r>
    </w:p>
    <w:p w14:paraId="0FCBCC29">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rPr>
        <w:t>　　(2)工程材料预付款的额度和预付办法约定为：</w:t>
      </w:r>
      <w:r>
        <w:rPr>
          <w:rFonts w:hint="eastAsia" w:ascii="宋体" w:hAnsi="宋体" w:eastAsia="宋体" w:cs="宋体"/>
          <w:color w:val="auto"/>
          <w:spacing w:val="0"/>
          <w:sz w:val="28"/>
          <w:szCs w:val="28"/>
          <w:highlight w:val="none"/>
          <w:u w:val="single"/>
        </w:rPr>
        <w:t xml:space="preserve"> 本工程无材料预付款</w:t>
      </w:r>
    </w:p>
    <w:p w14:paraId="6FDE22A0">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17.2.2</w:t>
      </w:r>
      <w:r>
        <w:rPr>
          <w:rFonts w:hint="eastAsia" w:ascii="宋体" w:hAnsi="宋体" w:eastAsia="宋体" w:cs="宋体"/>
          <w:color w:val="auto"/>
          <w:spacing w:val="0"/>
          <w:sz w:val="28"/>
          <w:szCs w:val="28"/>
          <w:highlight w:val="none"/>
        </w:rPr>
        <w:t>预付款保函(担保)</w:t>
      </w:r>
    </w:p>
    <w:p w14:paraId="75D2307A">
      <w:pPr>
        <w:pStyle w:val="115"/>
        <w:pageBreakBefore w:val="0"/>
        <w:tabs>
          <w:tab w:val="left" w:pos="5657"/>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(2)工程材料预付款的担保约定为：</w:t>
      </w:r>
      <w:r>
        <w:rPr>
          <w:rFonts w:hint="eastAsia" w:ascii="宋体" w:hAnsi="宋体" w:eastAsia="宋体" w:cs="宋体"/>
          <w:color w:val="auto"/>
          <w:spacing w:val="0"/>
          <w:sz w:val="28"/>
          <w:szCs w:val="28"/>
          <w:highlight w:val="none"/>
          <w:u w:val="single"/>
        </w:rPr>
        <w:t>无</w:t>
      </w:r>
      <w:r>
        <w:rPr>
          <w:rFonts w:hint="eastAsia" w:ascii="宋体" w:hAnsi="宋体" w:eastAsia="宋体" w:cs="宋体"/>
          <w:color w:val="auto"/>
          <w:spacing w:val="0"/>
          <w:sz w:val="28"/>
          <w:szCs w:val="28"/>
          <w:highlight w:val="none"/>
          <w:lang w:val="en-US" w:bidi="en-US"/>
        </w:rPr>
        <w:t>。</w:t>
      </w:r>
    </w:p>
    <w:p w14:paraId="23F569D0">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17.2.3</w:t>
      </w:r>
      <w:r>
        <w:rPr>
          <w:rFonts w:hint="eastAsia" w:ascii="宋体" w:hAnsi="宋体" w:eastAsia="宋体" w:cs="宋体"/>
          <w:color w:val="auto"/>
          <w:spacing w:val="0"/>
          <w:sz w:val="28"/>
          <w:szCs w:val="28"/>
          <w:highlight w:val="none"/>
        </w:rPr>
        <w:t>预付款的扣回与还清</w:t>
      </w:r>
    </w:p>
    <w:p w14:paraId="2E347024">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完成工程量达到合同价的</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u w:val="single"/>
          <w:lang w:val="en-US"/>
        </w:rPr>
        <w:t>3</w:t>
      </w:r>
      <w:r>
        <w:rPr>
          <w:rFonts w:hint="eastAsia" w:ascii="宋体" w:hAnsi="宋体" w:eastAsia="宋体" w:cs="宋体"/>
          <w:color w:val="auto"/>
          <w:spacing w:val="0"/>
          <w:sz w:val="28"/>
          <w:szCs w:val="28"/>
          <w:highlight w:val="none"/>
          <w:u w:val="single"/>
        </w:rPr>
        <w:t xml:space="preserve">0%  </w:t>
      </w:r>
      <w:r>
        <w:rPr>
          <w:rFonts w:hint="eastAsia" w:ascii="宋体" w:hAnsi="宋体" w:eastAsia="宋体" w:cs="宋体"/>
          <w:color w:val="auto"/>
          <w:spacing w:val="0"/>
          <w:sz w:val="28"/>
          <w:szCs w:val="28"/>
          <w:highlight w:val="none"/>
        </w:rPr>
        <w:t>全额抵扣预付款。</w:t>
      </w:r>
    </w:p>
    <w:p w14:paraId="5AA7394A">
      <w:pPr>
        <w:pStyle w:val="115"/>
        <w:pageBreakBefore w:val="0"/>
        <w:tabs>
          <w:tab w:val="left" w:pos="628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(2)工程材料预付款的扣回与还清约定为：</w:t>
      </w:r>
      <w:r>
        <w:rPr>
          <w:rFonts w:hint="eastAsia" w:ascii="宋体" w:hAnsi="宋体" w:eastAsia="宋体" w:cs="宋体"/>
          <w:color w:val="auto"/>
          <w:spacing w:val="0"/>
          <w:sz w:val="28"/>
          <w:szCs w:val="28"/>
          <w:highlight w:val="none"/>
          <w:u w:val="single"/>
        </w:rPr>
        <w:t>无</w:t>
      </w:r>
      <w:r>
        <w:rPr>
          <w:rFonts w:hint="eastAsia" w:ascii="宋体" w:hAnsi="宋体" w:eastAsia="宋体" w:cs="宋体"/>
          <w:color w:val="auto"/>
          <w:spacing w:val="0"/>
          <w:sz w:val="28"/>
          <w:szCs w:val="28"/>
          <w:highlight w:val="none"/>
          <w:lang w:val="en-US" w:bidi="en-US"/>
        </w:rPr>
        <w:t>。</w:t>
      </w:r>
    </w:p>
    <w:p w14:paraId="497CF41F">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17.3.2</w:t>
      </w:r>
      <w:r>
        <w:rPr>
          <w:rFonts w:hint="eastAsia" w:ascii="宋体" w:hAnsi="宋体" w:eastAsia="宋体" w:cs="宋体"/>
          <w:color w:val="auto"/>
          <w:spacing w:val="0"/>
          <w:sz w:val="28"/>
          <w:szCs w:val="28"/>
          <w:highlight w:val="none"/>
        </w:rPr>
        <w:t>进度付款申请单</w:t>
      </w:r>
    </w:p>
    <w:p w14:paraId="53765F58">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承包人提交进度付款申请单的份数：</w:t>
      </w:r>
      <w:r>
        <w:rPr>
          <w:rFonts w:hint="eastAsia" w:ascii="宋体" w:hAnsi="宋体" w:eastAsia="宋体" w:cs="宋体"/>
          <w:color w:val="auto"/>
          <w:spacing w:val="0"/>
          <w:sz w:val="28"/>
          <w:szCs w:val="28"/>
          <w:highlight w:val="none"/>
          <w:u w:val="single"/>
        </w:rPr>
        <w:t xml:space="preserve"> 一式六份</w:t>
      </w:r>
      <w:r>
        <w:rPr>
          <w:rFonts w:hint="eastAsia" w:ascii="宋体" w:hAnsi="宋体" w:eastAsia="宋体" w:cs="宋体"/>
          <w:color w:val="auto"/>
          <w:spacing w:val="0"/>
          <w:sz w:val="28"/>
          <w:szCs w:val="28"/>
          <w:highlight w:val="none"/>
        </w:rPr>
        <w:t>。</w:t>
      </w:r>
    </w:p>
    <w:p w14:paraId="635BB917">
      <w:pPr>
        <w:pStyle w:val="115"/>
        <w:pageBreakBefore w:val="0"/>
        <w:tabs>
          <w:tab w:val="left" w:pos="4613"/>
          <w:tab w:val="left" w:pos="7978"/>
        </w:tabs>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17.3.3</w:t>
      </w:r>
      <w:r>
        <w:rPr>
          <w:rFonts w:hint="eastAsia" w:ascii="宋体" w:hAnsi="宋体" w:eastAsia="宋体" w:cs="宋体"/>
          <w:color w:val="auto"/>
          <w:spacing w:val="0"/>
          <w:sz w:val="28"/>
          <w:szCs w:val="28"/>
          <w:highlight w:val="none"/>
        </w:rPr>
        <w:t>进度付款证书和支付时间</w:t>
      </w:r>
    </w:p>
    <w:p w14:paraId="002AAA14">
      <w:pPr>
        <w:pageBreakBefore w:val="0"/>
        <w:kinsoku/>
        <w:wordWrap/>
        <w:overflowPunct/>
        <w:topLinePunct w:val="0"/>
        <w:bidi w:val="0"/>
        <w:spacing w:line="500" w:lineRule="exact"/>
        <w:ind w:left="0" w:right="0" w:firstLine="474"/>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(2)每期进度款经监理人核实后出具付款证书报送</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批准，由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报合浦县财政局审 批通过后14天内国库集中支付。本款“专用合同条款的约定支付逾期付款违约金”为按中国人民银行规定的同期贷款最高利率计算的逾期付款金额的利息。</w:t>
      </w:r>
    </w:p>
    <w:p w14:paraId="3CFAC8EB">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17.3.5</w:t>
      </w:r>
      <w:r>
        <w:rPr>
          <w:rFonts w:hint="eastAsia" w:ascii="宋体" w:hAnsi="宋体" w:eastAsia="宋体" w:cs="宋体"/>
          <w:color w:val="auto"/>
          <w:spacing w:val="0"/>
          <w:sz w:val="28"/>
          <w:szCs w:val="28"/>
          <w:highlight w:val="none"/>
        </w:rPr>
        <w:t>工程进度付款的支付比例</w:t>
      </w:r>
    </w:p>
    <w:p w14:paraId="67A4E4B8">
      <w:pPr>
        <w:pageBreakBefore w:val="0"/>
        <w:tabs>
          <w:tab w:val="left" w:pos="130"/>
        </w:tabs>
        <w:kinsoku/>
        <w:wordWrap/>
        <w:overflowPunct/>
        <w:topLinePunct w:val="0"/>
        <w:bidi w:val="0"/>
        <w:spacing w:line="500" w:lineRule="exact"/>
        <w:ind w:left="0" w:right="0" w:firstLine="439"/>
        <w:rPr>
          <w:rFonts w:hint="eastAsia" w:ascii="宋体" w:hAnsi="宋体" w:eastAsia="宋体" w:cs="宋体"/>
          <w:color w:val="auto"/>
          <w:spacing w:val="0"/>
          <w:sz w:val="28"/>
          <w:szCs w:val="28"/>
          <w:highlight w:val="none"/>
        </w:rPr>
      </w:pPr>
      <w:bookmarkStart w:id="448" w:name="bookmark1792"/>
      <w:bookmarkStart w:id="449" w:name="bookmark1794"/>
      <w:bookmarkStart w:id="450" w:name="bookmark1793"/>
      <w:r>
        <w:rPr>
          <w:rFonts w:hint="eastAsia" w:ascii="宋体" w:hAnsi="宋体" w:eastAsia="宋体" w:cs="宋体"/>
          <w:color w:val="auto"/>
          <w:spacing w:val="0"/>
          <w:sz w:val="28"/>
          <w:szCs w:val="28"/>
          <w:highlight w:val="none"/>
        </w:rPr>
        <w:t>（1）完成工程量达到合同价的30%全额抵扣预付款，从完成工程量达到合同价的30%(签合同时明确)开始计算和支付工程进度款。从完成工程量达到合同价的30%开始，按每月完成工程量的90%支付工程进度款(每月工程进度款＝合同累计完成金额×90%-工程预付款总金额-累计已支付工程进度款)。工程完工验收合格及办理结算后支付至结算总价的95%，按政府制定的结算审计办法完成第三方结算审计后，工程款支付至审计结算总价的 97%。上述款项的支付时间为资金申请经合浦县财政局审批通过后 14 天内。</w:t>
      </w:r>
    </w:p>
    <w:p w14:paraId="3ADF462B">
      <w:pPr>
        <w:pageBreakBefore w:val="0"/>
        <w:tabs>
          <w:tab w:val="left" w:pos="130"/>
        </w:tabs>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2）本工程最终付款以规定的第三方审计结算总价为依据，工程未完成质保期验收且工程进度款支付超出审计结算总价97%的或工程完成质保期验收但工程进度款支付超出审计结算总价的，承包人必须在规定的第三方出具审计结果后20天内返还超出金额给</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（返还方式由</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指定）。逾期未返还的视为承包人违约，违约金按人民币壹仟元/天计算，同时承包人应承诺放弃在广西水利系统一年的投标资格，</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有权向有关部门申报将承包人纳入不良记录或失信记录。</w:t>
      </w:r>
    </w:p>
    <w:p w14:paraId="72A4E0E6">
      <w:pPr>
        <w:pageBreakBefore w:val="0"/>
        <w:tabs>
          <w:tab w:val="left" w:pos="130"/>
        </w:tabs>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17.3.6 </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所有付款(含预付款) 均转入如下承包人单位基本账户及农民工工资专用账户(签订施工合同时标明，其中80%转入单位基本账户，20%属于农民工工资的部分需转入农民工工资专用账户) ，承包人单位基本账户及农民工工资专用账户发生改变时，承包人应书面通知(法定代表人签字并加盖单位公章)</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w:t>
      </w:r>
    </w:p>
    <w:p w14:paraId="2B345A8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51" w:name="_Toc17180"/>
      <w:bookmarkStart w:id="452" w:name="_Toc23414"/>
      <w:bookmarkStart w:id="453" w:name="_Toc15549"/>
      <w:bookmarkStart w:id="454" w:name="_Toc27868"/>
      <w:r>
        <w:rPr>
          <w:rFonts w:hint="eastAsia" w:ascii="宋体" w:hAnsi="宋体" w:eastAsia="宋体" w:cs="宋体"/>
          <w:color w:val="auto"/>
          <w:spacing w:val="0"/>
          <w:sz w:val="28"/>
          <w:szCs w:val="28"/>
          <w:highlight w:val="none"/>
          <w:lang w:eastAsia="zh-CN" w:bidi="en-US"/>
        </w:rPr>
        <w:t>17.4质量保证金</w:t>
      </w:r>
      <w:bookmarkEnd w:id="448"/>
      <w:bookmarkEnd w:id="449"/>
      <w:bookmarkEnd w:id="450"/>
      <w:bookmarkEnd w:id="451"/>
      <w:bookmarkEnd w:id="452"/>
      <w:bookmarkEnd w:id="453"/>
      <w:bookmarkEnd w:id="454"/>
    </w:p>
    <w:p w14:paraId="0D2A3537">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bookmarkStart w:id="455" w:name="bookmark1795"/>
      <w:bookmarkStart w:id="456" w:name="bookmark1797"/>
      <w:bookmarkStart w:id="457" w:name="bookmark1796"/>
      <w:r>
        <w:rPr>
          <w:rFonts w:hint="eastAsia" w:ascii="宋体" w:hAnsi="宋体" w:eastAsia="宋体" w:cs="宋体"/>
          <w:color w:val="auto"/>
          <w:spacing w:val="0"/>
          <w:sz w:val="28"/>
          <w:szCs w:val="28"/>
          <w:highlight w:val="none"/>
        </w:rPr>
        <w:t>　　17.4.1 审计结算总价的 3%作为工程质量保证金，工程质量保修期满， 经</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、承包人、监理人三方检查无质量缺陷责任后</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承包人提出质量保证金支付申请并经合浦县财政局审批通过后14天内付清。为提高财政资金使用效率，如承包人能提供工程质量保证金保函等担保手续，</w:t>
      </w:r>
      <w:r>
        <w:rPr>
          <w:rFonts w:hint="eastAsia" w:ascii="宋体" w:hAnsi="宋体" w:eastAsia="宋体"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可在收到对应担保手续后提前向承包支付工程质量保证金，质保期满后再按规定程序办理担保退还手续。</w:t>
      </w:r>
    </w:p>
    <w:bookmarkEnd w:id="455"/>
    <w:bookmarkEnd w:id="456"/>
    <w:bookmarkEnd w:id="457"/>
    <w:p w14:paraId="3527A56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58" w:name="bookmark1808"/>
      <w:bookmarkEnd w:id="458"/>
      <w:bookmarkStart w:id="459" w:name="bookmark1801"/>
      <w:bookmarkEnd w:id="459"/>
      <w:bookmarkStart w:id="460" w:name="_Toc18845"/>
      <w:bookmarkStart w:id="461" w:name="_Toc15513"/>
      <w:bookmarkStart w:id="462" w:name="_Toc5610"/>
      <w:bookmarkStart w:id="463" w:name="_Toc30586"/>
      <w:bookmarkStart w:id="464" w:name="_Toc28459"/>
      <w:bookmarkStart w:id="465" w:name="bookmark1807"/>
      <w:bookmarkStart w:id="466" w:name="_Toc20660"/>
      <w:bookmarkStart w:id="467" w:name="_Toc797"/>
      <w:bookmarkStart w:id="468" w:name="_Toc14843"/>
      <w:bookmarkStart w:id="469" w:name="_Toc5698"/>
      <w:bookmarkStart w:id="470" w:name="bookmark1806"/>
      <w:bookmarkStart w:id="471" w:name="bookmark1809"/>
      <w:bookmarkStart w:id="472" w:name="_Toc21819"/>
      <w:bookmarkStart w:id="473" w:name="_Toc30479"/>
      <w:r>
        <w:rPr>
          <w:rFonts w:hint="eastAsia" w:ascii="宋体" w:hAnsi="宋体" w:eastAsia="宋体" w:cs="宋体"/>
          <w:color w:val="auto"/>
          <w:spacing w:val="0"/>
          <w:sz w:val="28"/>
          <w:szCs w:val="28"/>
          <w:highlight w:val="none"/>
          <w:lang w:eastAsia="zh-CN" w:bidi="en-US"/>
        </w:rPr>
        <w:t>17.5竣工（完工）结算</w:t>
      </w:r>
      <w:bookmarkEnd w:id="460"/>
      <w:bookmarkEnd w:id="461"/>
      <w:bookmarkEnd w:id="462"/>
      <w:bookmarkEnd w:id="463"/>
    </w:p>
    <w:p w14:paraId="41ACBC04">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17.5.1</w:t>
      </w:r>
      <w:r>
        <w:rPr>
          <w:rFonts w:hint="eastAsia" w:ascii="宋体" w:hAnsi="宋体" w:eastAsia="宋体" w:cs="宋体"/>
          <w:color w:val="auto"/>
          <w:spacing w:val="0"/>
          <w:sz w:val="28"/>
          <w:szCs w:val="28"/>
          <w:highlight w:val="none"/>
        </w:rPr>
        <w:t>竣工（完工）付款申请单</w:t>
      </w:r>
    </w:p>
    <w:p w14:paraId="769533E7">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bookmarkStart w:id="474" w:name="bookmark1798"/>
      <w:r>
        <w:rPr>
          <w:rFonts w:hint="eastAsia" w:ascii="宋体" w:hAnsi="宋体" w:eastAsia="宋体" w:cs="宋体"/>
          <w:color w:val="auto"/>
          <w:spacing w:val="0"/>
          <w:sz w:val="28"/>
          <w:szCs w:val="28"/>
          <w:highlight w:val="none"/>
        </w:rPr>
        <w:t>　　（</w:t>
      </w:r>
      <w:bookmarkEnd w:id="474"/>
      <w:r>
        <w:rPr>
          <w:rFonts w:hint="eastAsia" w:ascii="宋体" w:hAnsi="宋体" w:eastAsia="宋体" w:cs="宋体"/>
          <w:color w:val="auto"/>
          <w:spacing w:val="0"/>
          <w:sz w:val="28"/>
          <w:szCs w:val="28"/>
          <w:highlight w:val="none"/>
        </w:rPr>
        <w:t>1）承包人应提交竣工付款申请单份数：</w:t>
      </w:r>
      <w:r>
        <w:rPr>
          <w:rFonts w:hint="eastAsia" w:ascii="宋体" w:hAnsi="宋体" w:eastAsia="宋体" w:cs="宋体"/>
          <w:color w:val="auto"/>
          <w:spacing w:val="0"/>
          <w:sz w:val="28"/>
          <w:szCs w:val="28"/>
          <w:highlight w:val="none"/>
          <w:u w:val="single"/>
        </w:rPr>
        <w:t>一式捌份</w:t>
      </w:r>
      <w:r>
        <w:rPr>
          <w:rFonts w:hint="eastAsia" w:ascii="宋体" w:hAnsi="宋体" w:eastAsia="宋体" w:cs="宋体"/>
          <w:color w:val="auto"/>
          <w:spacing w:val="0"/>
          <w:sz w:val="28"/>
          <w:szCs w:val="28"/>
          <w:highlight w:val="none"/>
        </w:rPr>
        <w:t>。</w:t>
      </w:r>
    </w:p>
    <w:p w14:paraId="5F426458">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17.5.3</w:t>
      </w:r>
      <w:r>
        <w:rPr>
          <w:rFonts w:hint="eastAsia" w:ascii="宋体" w:hAnsi="宋体" w:eastAsia="宋体" w:cs="宋体"/>
          <w:color w:val="auto"/>
          <w:spacing w:val="0"/>
          <w:sz w:val="28"/>
          <w:szCs w:val="28"/>
          <w:highlight w:val="none"/>
        </w:rPr>
        <w:t>除按通用合同条款所说的内容外，增加以下内容：</w:t>
      </w:r>
      <w:r>
        <w:rPr>
          <w:rFonts w:hint="eastAsia" w:ascii="宋体" w:hAnsi="宋体" w:eastAsia="宋体" w:cs="宋体"/>
          <w:color w:val="auto"/>
          <w:spacing w:val="0"/>
          <w:sz w:val="28"/>
          <w:szCs w:val="28"/>
          <w:highlight w:val="none"/>
          <w:u w:val="single"/>
        </w:rPr>
        <w:t>最终结算以财政评审结果或审计部门审计结果为准</w:t>
      </w:r>
      <w:r>
        <w:rPr>
          <w:rFonts w:hint="eastAsia" w:ascii="宋体" w:hAnsi="宋体" w:eastAsia="宋体" w:cs="宋体"/>
          <w:color w:val="auto"/>
          <w:spacing w:val="0"/>
          <w:sz w:val="28"/>
          <w:szCs w:val="28"/>
          <w:highlight w:val="none"/>
        </w:rPr>
        <w:t>。</w:t>
      </w:r>
    </w:p>
    <w:p w14:paraId="69E98B59">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xml:space="preserve">　　17.5.4 </w:t>
      </w:r>
      <w:r>
        <w:rPr>
          <w:rFonts w:hint="eastAsia" w:ascii="宋体" w:hAnsi="宋体" w:eastAsia="宋体" w:cs="宋体"/>
          <w:color w:val="auto"/>
          <w:spacing w:val="0"/>
          <w:sz w:val="28"/>
          <w:szCs w:val="28"/>
          <w:highlight w:val="none"/>
        </w:rPr>
        <w:t>承包人应在工程完工后 60 天内提交竣工资料及结算资料。</w:t>
      </w:r>
    </w:p>
    <w:p w14:paraId="2D801D6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75" w:name="_Toc20909"/>
      <w:bookmarkStart w:id="476" w:name="_Toc10060"/>
      <w:bookmarkStart w:id="477" w:name="_Toc27389"/>
      <w:bookmarkStart w:id="478" w:name="bookmark1799"/>
      <w:bookmarkStart w:id="479" w:name="bookmark1800"/>
      <w:bookmarkStart w:id="480" w:name="bookmark1802"/>
      <w:bookmarkStart w:id="481" w:name="_Toc478"/>
      <w:r>
        <w:rPr>
          <w:rFonts w:hint="eastAsia" w:ascii="宋体" w:hAnsi="宋体" w:eastAsia="宋体" w:cs="宋体"/>
          <w:color w:val="auto"/>
          <w:spacing w:val="0"/>
          <w:sz w:val="28"/>
          <w:szCs w:val="28"/>
          <w:highlight w:val="none"/>
          <w:lang w:eastAsia="zh-CN" w:bidi="en-US"/>
        </w:rPr>
        <w:t>17.6最终结清</w:t>
      </w:r>
      <w:bookmarkEnd w:id="475"/>
      <w:bookmarkEnd w:id="476"/>
      <w:bookmarkEnd w:id="477"/>
      <w:bookmarkEnd w:id="478"/>
      <w:bookmarkEnd w:id="479"/>
      <w:bookmarkEnd w:id="480"/>
      <w:bookmarkEnd w:id="481"/>
    </w:p>
    <w:p w14:paraId="66E13350">
      <w:pPr>
        <w:pStyle w:val="115"/>
        <w:pageBreakBefore w:val="0"/>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17.6.1</w:t>
      </w:r>
      <w:r>
        <w:rPr>
          <w:rFonts w:hint="eastAsia" w:ascii="宋体" w:hAnsi="宋体" w:eastAsia="宋体" w:cs="宋体"/>
          <w:color w:val="auto"/>
          <w:spacing w:val="0"/>
          <w:sz w:val="28"/>
          <w:szCs w:val="28"/>
          <w:highlight w:val="none"/>
        </w:rPr>
        <w:t>最终结清申请单</w:t>
      </w:r>
    </w:p>
    <w:p w14:paraId="77AF04A8">
      <w:pPr>
        <w:pStyle w:val="115"/>
        <w:pageBreakBefore w:val="0"/>
        <w:tabs>
          <w:tab w:val="left" w:pos="6077"/>
        </w:tabs>
        <w:kinsoku/>
        <w:wordWrap/>
        <w:overflowPunct/>
        <w:topLinePunct w:val="0"/>
        <w:bidi w:val="0"/>
        <w:spacing w:line="500" w:lineRule="exact"/>
        <w:ind w:left="0" w:right="0" w:firstLine="4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（1）承包人应提交最终结清申请单份数：</w:t>
      </w:r>
      <w:r>
        <w:rPr>
          <w:rFonts w:hint="eastAsia" w:ascii="宋体" w:hAnsi="宋体" w:eastAsia="宋体" w:cs="宋体"/>
          <w:color w:val="auto"/>
          <w:spacing w:val="0"/>
          <w:sz w:val="28"/>
          <w:szCs w:val="28"/>
          <w:highlight w:val="none"/>
          <w:u w:val="single"/>
        </w:rPr>
        <w:t>一式捌份</w:t>
      </w:r>
      <w:r>
        <w:rPr>
          <w:rFonts w:hint="eastAsia" w:ascii="宋体" w:hAnsi="宋体" w:eastAsia="宋体" w:cs="宋体"/>
          <w:color w:val="auto"/>
          <w:spacing w:val="0"/>
          <w:sz w:val="28"/>
          <w:szCs w:val="28"/>
          <w:highlight w:val="none"/>
          <w:lang w:val="en-US" w:bidi="en-US"/>
        </w:rPr>
        <w:t>。</w:t>
      </w:r>
    </w:p>
    <w:p w14:paraId="649852F2">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82" w:name="_Toc24290"/>
      <w:bookmarkStart w:id="483" w:name="bookmark1803"/>
      <w:bookmarkStart w:id="484" w:name="bookmark1805"/>
      <w:bookmarkStart w:id="485" w:name="_Toc19422"/>
      <w:bookmarkStart w:id="486" w:name="_Toc32170"/>
      <w:bookmarkStart w:id="487" w:name="_Toc108"/>
      <w:bookmarkStart w:id="488" w:name="bookmark1804"/>
      <w:r>
        <w:rPr>
          <w:rFonts w:hint="eastAsia" w:ascii="宋体" w:hAnsi="宋体" w:eastAsia="宋体" w:cs="宋体"/>
          <w:color w:val="auto"/>
          <w:spacing w:val="0"/>
          <w:sz w:val="28"/>
          <w:szCs w:val="28"/>
          <w:highlight w:val="none"/>
          <w:lang w:eastAsia="zh-CN" w:bidi="en-US"/>
        </w:rPr>
        <w:t>17.7竣工财务决算</w:t>
      </w:r>
      <w:bookmarkEnd w:id="482"/>
      <w:bookmarkEnd w:id="483"/>
      <w:bookmarkEnd w:id="484"/>
      <w:bookmarkEnd w:id="485"/>
      <w:bookmarkEnd w:id="486"/>
      <w:bookmarkEnd w:id="487"/>
      <w:bookmarkEnd w:id="488"/>
    </w:p>
    <w:p w14:paraId="729966BC">
      <w:pPr>
        <w:pStyle w:val="115"/>
        <w:pageBreakBefore w:val="0"/>
        <w:tabs>
          <w:tab w:val="left" w:pos="6264"/>
        </w:tabs>
        <w:kinsoku/>
        <w:wordWrap/>
        <w:overflowPunct/>
        <w:topLinePunct w:val="0"/>
        <w:bidi w:val="0"/>
        <w:spacing w:line="500" w:lineRule="exact"/>
        <w:ind w:left="0" w:right="0" w:firstLine="4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承包人应为竣工财务决算编制提供的资料：</w:t>
      </w:r>
      <w:r>
        <w:rPr>
          <w:rFonts w:hint="eastAsia" w:ascii="宋体" w:hAnsi="宋体" w:eastAsia="宋体" w:cs="宋体"/>
          <w:color w:val="auto"/>
          <w:spacing w:val="0"/>
          <w:sz w:val="28"/>
          <w:szCs w:val="28"/>
          <w:highlight w:val="none"/>
          <w:u w:val="single"/>
        </w:rPr>
        <w:t>财务决算所需的一切资料</w:t>
      </w:r>
      <w:r>
        <w:rPr>
          <w:rFonts w:hint="eastAsia" w:ascii="宋体" w:hAnsi="宋体" w:eastAsia="宋体" w:cs="宋体"/>
          <w:color w:val="auto"/>
          <w:spacing w:val="0"/>
          <w:sz w:val="28"/>
          <w:szCs w:val="28"/>
          <w:highlight w:val="none"/>
          <w:lang w:val="en-US" w:bidi="en-US"/>
        </w:rPr>
        <w:t>。</w:t>
      </w:r>
    </w:p>
    <w:p w14:paraId="420F8A7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18. 竣工验收（验收）</w:t>
      </w:r>
      <w:bookmarkEnd w:id="464"/>
      <w:bookmarkEnd w:id="465"/>
      <w:bookmarkEnd w:id="466"/>
      <w:bookmarkEnd w:id="467"/>
      <w:bookmarkEnd w:id="468"/>
      <w:bookmarkEnd w:id="469"/>
      <w:bookmarkEnd w:id="470"/>
      <w:bookmarkEnd w:id="471"/>
      <w:bookmarkEnd w:id="472"/>
      <w:bookmarkEnd w:id="473"/>
    </w:p>
    <w:p w14:paraId="0E5AB6AC">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89" w:name="_Toc13482"/>
      <w:bookmarkStart w:id="490" w:name="bookmark1812"/>
      <w:bookmarkStart w:id="491" w:name="_Toc22186"/>
      <w:bookmarkStart w:id="492" w:name="bookmark1811"/>
      <w:bookmarkStart w:id="493" w:name="_Toc81"/>
      <w:bookmarkStart w:id="494" w:name="_Toc8240"/>
      <w:bookmarkStart w:id="495" w:name="bookmark1810"/>
      <w:r>
        <w:rPr>
          <w:rFonts w:hint="eastAsia" w:ascii="宋体" w:hAnsi="宋体" w:eastAsia="宋体" w:cs="宋体"/>
          <w:color w:val="auto"/>
          <w:spacing w:val="0"/>
          <w:sz w:val="28"/>
          <w:szCs w:val="28"/>
          <w:highlight w:val="none"/>
          <w:lang w:eastAsia="zh-CN" w:bidi="en-US"/>
        </w:rPr>
        <w:t>18.1验收工作分类</w:t>
      </w:r>
      <w:bookmarkEnd w:id="489"/>
      <w:bookmarkEnd w:id="490"/>
      <w:bookmarkEnd w:id="491"/>
      <w:bookmarkEnd w:id="492"/>
      <w:bookmarkEnd w:id="493"/>
      <w:bookmarkEnd w:id="494"/>
      <w:bookmarkEnd w:id="495"/>
    </w:p>
    <w:p w14:paraId="668BB3BE">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根据《水利工程建设项目验收管理规定》（水利部令第30号）和《水利水电建设工程验收规程》</w:t>
      </w:r>
      <w:r>
        <w:rPr>
          <w:rFonts w:hint="eastAsia" w:ascii="宋体" w:hAnsi="宋体" w:eastAsia="宋体" w:cs="宋体"/>
          <w:color w:val="auto"/>
          <w:spacing w:val="0"/>
          <w:sz w:val="28"/>
          <w:szCs w:val="28"/>
          <w:highlight w:val="none"/>
          <w:lang w:val="en-US" w:bidi="en-US"/>
        </w:rPr>
        <w:t>（SL223）2008）</w:t>
      </w:r>
      <w:r>
        <w:rPr>
          <w:rFonts w:hint="eastAsia" w:ascii="宋体" w:hAnsi="宋体" w:eastAsia="宋体" w:cs="宋体"/>
          <w:color w:val="auto"/>
          <w:spacing w:val="0"/>
          <w:sz w:val="28"/>
          <w:szCs w:val="28"/>
          <w:highlight w:val="none"/>
        </w:rPr>
        <w:t>的相关规定执行。</w:t>
      </w:r>
    </w:p>
    <w:p w14:paraId="4CA4615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496" w:name="bookmark1813"/>
      <w:bookmarkStart w:id="497" w:name="_Toc24639"/>
      <w:bookmarkStart w:id="498" w:name="_Toc4719"/>
      <w:bookmarkStart w:id="499" w:name="_Toc26914"/>
      <w:bookmarkStart w:id="500" w:name="bookmark1814"/>
      <w:bookmarkStart w:id="501" w:name="bookmark1815"/>
      <w:bookmarkStart w:id="502" w:name="_Toc25695"/>
      <w:bookmarkStart w:id="503" w:name="bookmark1832"/>
      <w:bookmarkStart w:id="504" w:name="bookmark1834"/>
      <w:bookmarkStart w:id="505" w:name="_Toc17742"/>
      <w:bookmarkStart w:id="506" w:name="bookmark1831"/>
      <w:bookmarkStart w:id="507" w:name="_Toc26139"/>
      <w:bookmarkStart w:id="508" w:name="_Toc27504"/>
      <w:bookmarkStart w:id="509" w:name="_Toc13258"/>
      <w:bookmarkStart w:id="510" w:name="_Toc21054"/>
      <w:bookmarkStart w:id="511" w:name="_Toc31214"/>
      <w:bookmarkStart w:id="512" w:name="_Toc24047"/>
      <w:r>
        <w:rPr>
          <w:rFonts w:hint="eastAsia" w:ascii="宋体" w:hAnsi="宋体" w:eastAsia="宋体" w:cs="宋体"/>
          <w:color w:val="auto"/>
          <w:spacing w:val="0"/>
          <w:sz w:val="28"/>
          <w:szCs w:val="28"/>
          <w:highlight w:val="none"/>
          <w:lang w:eastAsia="zh-CN" w:bidi="en-US"/>
        </w:rPr>
        <w:t>18.2分部工程验收</w:t>
      </w:r>
      <w:bookmarkEnd w:id="496"/>
      <w:bookmarkEnd w:id="497"/>
      <w:bookmarkEnd w:id="498"/>
      <w:bookmarkEnd w:id="499"/>
      <w:bookmarkEnd w:id="500"/>
      <w:bookmarkEnd w:id="501"/>
      <w:bookmarkEnd w:id="502"/>
    </w:p>
    <w:p w14:paraId="391B0D44">
      <w:pPr>
        <w:pStyle w:val="115"/>
        <w:pageBreakBefore w:val="0"/>
        <w:tabs>
          <w:tab w:val="left" w:pos="7018"/>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18.2.</w:t>
      </w:r>
      <w:r>
        <w:rPr>
          <w:rFonts w:hint="eastAsia" w:ascii="宋体" w:hAnsi="宋体" w:eastAsia="宋体" w:cs="宋体"/>
          <w:color w:val="auto"/>
          <w:spacing w:val="0"/>
          <w:sz w:val="28"/>
          <w:szCs w:val="28"/>
          <w:highlight w:val="none"/>
        </w:rPr>
        <w:t>2本工程分部工程验收由监理主持。</w:t>
      </w:r>
    </w:p>
    <w:p w14:paraId="3EC16F9D">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13" w:name="_Toc30981"/>
      <w:bookmarkStart w:id="514" w:name="_Toc6454"/>
      <w:bookmarkStart w:id="515" w:name="bookmark1818"/>
      <w:bookmarkStart w:id="516" w:name="_Toc1527"/>
      <w:bookmarkStart w:id="517" w:name="bookmark1817"/>
      <w:bookmarkStart w:id="518" w:name="bookmark1816"/>
      <w:bookmarkStart w:id="519" w:name="_Toc31874"/>
      <w:r>
        <w:rPr>
          <w:rFonts w:hint="eastAsia" w:ascii="宋体" w:hAnsi="宋体" w:eastAsia="宋体" w:cs="宋体"/>
          <w:color w:val="auto"/>
          <w:spacing w:val="0"/>
          <w:sz w:val="28"/>
          <w:szCs w:val="28"/>
          <w:highlight w:val="none"/>
          <w:lang w:eastAsia="zh-CN" w:bidi="en-US"/>
        </w:rPr>
        <w:t>18.3单位工程验收</w:t>
      </w:r>
      <w:bookmarkEnd w:id="513"/>
      <w:bookmarkEnd w:id="514"/>
      <w:bookmarkEnd w:id="515"/>
      <w:bookmarkEnd w:id="516"/>
      <w:bookmarkEnd w:id="517"/>
      <w:bookmarkEnd w:id="518"/>
      <w:bookmarkEnd w:id="519"/>
    </w:p>
    <w:p w14:paraId="539899C9">
      <w:pPr>
        <w:pStyle w:val="115"/>
        <w:pageBreakBefore w:val="0"/>
        <w:tabs>
          <w:tab w:val="left" w:pos="603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18.3.4</w:t>
      </w:r>
      <w:r>
        <w:rPr>
          <w:rFonts w:hint="eastAsia" w:ascii="宋体" w:hAnsi="宋体" w:eastAsia="宋体" w:cs="宋体"/>
          <w:color w:val="auto"/>
          <w:spacing w:val="0"/>
          <w:sz w:val="28"/>
          <w:szCs w:val="28"/>
          <w:highlight w:val="none"/>
        </w:rPr>
        <w:t>提前投入使用的单位工程包括：</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42825E2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20" w:name="_Toc25822"/>
      <w:bookmarkStart w:id="521" w:name="bookmark1821"/>
      <w:bookmarkStart w:id="522" w:name="_Toc19256"/>
      <w:bookmarkStart w:id="523" w:name="bookmark1819"/>
      <w:bookmarkStart w:id="524" w:name="_Toc25983"/>
      <w:bookmarkStart w:id="525" w:name="bookmark1820"/>
      <w:bookmarkStart w:id="526" w:name="_Toc9426"/>
      <w:r>
        <w:rPr>
          <w:rFonts w:hint="eastAsia" w:ascii="宋体" w:hAnsi="宋体" w:eastAsia="宋体" w:cs="宋体"/>
          <w:color w:val="auto"/>
          <w:spacing w:val="0"/>
          <w:sz w:val="28"/>
          <w:szCs w:val="28"/>
          <w:highlight w:val="none"/>
          <w:lang w:eastAsia="zh-CN" w:bidi="en-US"/>
        </w:rPr>
        <w:t>18.5阶段验收</w:t>
      </w:r>
      <w:bookmarkEnd w:id="520"/>
      <w:bookmarkEnd w:id="521"/>
      <w:bookmarkEnd w:id="522"/>
      <w:bookmarkEnd w:id="523"/>
      <w:bookmarkEnd w:id="524"/>
      <w:bookmarkEnd w:id="525"/>
      <w:bookmarkEnd w:id="526"/>
    </w:p>
    <w:p w14:paraId="038B01ED">
      <w:pPr>
        <w:pStyle w:val="115"/>
        <w:pageBreakBefore w:val="0"/>
        <w:tabs>
          <w:tab w:val="left" w:pos="603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18.5.1</w:t>
      </w:r>
      <w:r>
        <w:rPr>
          <w:rFonts w:hint="eastAsia" w:ascii="宋体" w:hAnsi="宋体" w:eastAsia="宋体" w:cs="宋体"/>
          <w:color w:val="auto"/>
          <w:spacing w:val="0"/>
          <w:sz w:val="28"/>
          <w:szCs w:val="28"/>
          <w:highlight w:val="none"/>
        </w:rPr>
        <w:t>本合同工程阶段验收类别包括：</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5F43609B">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27" w:name="_Toc4908"/>
      <w:bookmarkStart w:id="528" w:name="_Toc23508"/>
      <w:bookmarkStart w:id="529" w:name="bookmark1824"/>
      <w:bookmarkStart w:id="530" w:name="_Toc8081"/>
      <w:bookmarkStart w:id="531" w:name="_Toc18691"/>
      <w:bookmarkStart w:id="532" w:name="bookmark1823"/>
      <w:bookmarkStart w:id="533" w:name="bookmark1822"/>
      <w:r>
        <w:rPr>
          <w:rFonts w:hint="eastAsia" w:ascii="宋体" w:hAnsi="宋体" w:eastAsia="宋体" w:cs="宋体"/>
          <w:color w:val="auto"/>
          <w:spacing w:val="0"/>
          <w:sz w:val="28"/>
          <w:szCs w:val="28"/>
          <w:highlight w:val="none"/>
          <w:lang w:eastAsia="zh-CN" w:bidi="en-US"/>
        </w:rPr>
        <w:t>18.6专项验收</w:t>
      </w:r>
      <w:bookmarkEnd w:id="527"/>
      <w:bookmarkEnd w:id="528"/>
      <w:bookmarkEnd w:id="529"/>
      <w:bookmarkEnd w:id="530"/>
      <w:bookmarkEnd w:id="531"/>
      <w:bookmarkEnd w:id="532"/>
      <w:bookmarkEnd w:id="533"/>
    </w:p>
    <w:p w14:paraId="2943A3DD">
      <w:pPr>
        <w:pStyle w:val="115"/>
        <w:pageBreakBefore w:val="0"/>
        <w:tabs>
          <w:tab w:val="left" w:pos="603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18.6.2</w:t>
      </w:r>
      <w:r>
        <w:rPr>
          <w:rFonts w:hint="eastAsia" w:ascii="宋体" w:hAnsi="宋体" w:eastAsia="宋体" w:cs="宋体"/>
          <w:color w:val="auto"/>
          <w:spacing w:val="0"/>
          <w:sz w:val="28"/>
          <w:szCs w:val="28"/>
          <w:highlight w:val="none"/>
        </w:rPr>
        <w:t>本合同工程专项验收类别包括：</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7CA01395">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34" w:name="_Toc17547"/>
      <w:bookmarkStart w:id="535" w:name="_Toc24535"/>
      <w:bookmarkStart w:id="536" w:name="_Toc4680"/>
      <w:bookmarkStart w:id="537" w:name="_Toc13968"/>
      <w:r>
        <w:rPr>
          <w:rFonts w:hint="eastAsia" w:ascii="宋体" w:hAnsi="宋体" w:eastAsia="宋体" w:cs="宋体"/>
          <w:color w:val="auto"/>
          <w:spacing w:val="0"/>
          <w:sz w:val="28"/>
          <w:szCs w:val="28"/>
          <w:highlight w:val="none"/>
          <w:lang w:eastAsia="zh-CN" w:bidi="en-US"/>
        </w:rPr>
        <w:t>18.7 竣工验收</w:t>
      </w:r>
      <w:bookmarkEnd w:id="534"/>
      <w:bookmarkEnd w:id="535"/>
      <w:bookmarkEnd w:id="536"/>
      <w:bookmarkEnd w:id="537"/>
    </w:p>
    <w:p w14:paraId="3AFB622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lang w:bidi="en-US"/>
        </w:rPr>
      </w:pPr>
      <w:r>
        <w:rPr>
          <w:rFonts w:hint="eastAsia" w:ascii="宋体" w:hAnsi="宋体" w:eastAsia="宋体" w:cs="宋体"/>
          <w:color w:val="auto"/>
          <w:spacing w:val="0"/>
          <w:sz w:val="28"/>
          <w:szCs w:val="28"/>
          <w:highlight w:val="none"/>
        </w:rPr>
        <w:t>　　18.7.3 本工程不需要竣工验收技术鉴定。</w:t>
      </w:r>
    </w:p>
    <w:p w14:paraId="57EEBBDE">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38" w:name="bookmark1826"/>
      <w:bookmarkStart w:id="539" w:name="_Toc6953"/>
      <w:bookmarkStart w:id="540" w:name="_Toc14607"/>
      <w:bookmarkStart w:id="541" w:name="bookmark1827"/>
      <w:bookmarkStart w:id="542" w:name="bookmark1825"/>
      <w:bookmarkStart w:id="543" w:name="_Toc21374"/>
      <w:bookmarkStart w:id="544" w:name="_Toc29962"/>
      <w:r>
        <w:rPr>
          <w:rFonts w:hint="eastAsia" w:ascii="宋体" w:hAnsi="宋体" w:eastAsia="宋体" w:cs="宋体"/>
          <w:color w:val="auto"/>
          <w:spacing w:val="0"/>
          <w:sz w:val="28"/>
          <w:szCs w:val="28"/>
          <w:highlight w:val="none"/>
          <w:lang w:eastAsia="zh-CN" w:bidi="en-US"/>
        </w:rPr>
        <w:t>18.8施工期运行</w:t>
      </w:r>
      <w:bookmarkEnd w:id="538"/>
      <w:bookmarkEnd w:id="539"/>
      <w:bookmarkEnd w:id="540"/>
      <w:bookmarkEnd w:id="541"/>
      <w:bookmarkEnd w:id="542"/>
      <w:bookmarkEnd w:id="543"/>
      <w:bookmarkEnd w:id="544"/>
    </w:p>
    <w:p w14:paraId="20985B3B">
      <w:pPr>
        <w:pStyle w:val="115"/>
        <w:pageBreakBefore w:val="0"/>
        <w:tabs>
          <w:tab w:val="left" w:pos="7296"/>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lang w:val="en-US" w:bidi="en-US"/>
        </w:rPr>
      </w:pPr>
      <w:r>
        <w:rPr>
          <w:rFonts w:hint="eastAsia" w:ascii="宋体" w:hAnsi="宋体" w:eastAsia="宋体" w:cs="宋体"/>
          <w:color w:val="auto"/>
          <w:spacing w:val="0"/>
          <w:sz w:val="28"/>
          <w:szCs w:val="28"/>
          <w:highlight w:val="none"/>
          <w:lang w:val="en-US" w:bidi="en-US"/>
        </w:rPr>
        <w:t>　　18.8.1</w:t>
      </w:r>
      <w:r>
        <w:rPr>
          <w:rFonts w:hint="eastAsia" w:ascii="宋体" w:hAnsi="宋体" w:eastAsia="宋体" w:cs="宋体"/>
          <w:color w:val="auto"/>
          <w:spacing w:val="0"/>
          <w:sz w:val="28"/>
          <w:szCs w:val="28"/>
          <w:highlight w:val="none"/>
        </w:rPr>
        <w:t>需要在施工期运行的单位工程或工程设备为：</w:t>
      </w:r>
      <w:r>
        <w:rPr>
          <w:rFonts w:hint="eastAsia" w:ascii="宋体" w:hAnsi="宋体" w:eastAsia="宋体" w:cs="宋体"/>
          <w:color w:val="auto"/>
          <w:spacing w:val="0"/>
          <w:sz w:val="28"/>
          <w:szCs w:val="28"/>
          <w:highlight w:val="none"/>
          <w:u w:val="single"/>
        </w:rPr>
        <w:t>另行商定</w:t>
      </w:r>
      <w:r>
        <w:rPr>
          <w:rFonts w:hint="eastAsia" w:ascii="宋体" w:hAnsi="宋体" w:eastAsia="宋体" w:cs="宋体"/>
          <w:color w:val="auto"/>
          <w:spacing w:val="0"/>
          <w:sz w:val="28"/>
          <w:szCs w:val="28"/>
          <w:highlight w:val="none"/>
          <w:lang w:val="en-US" w:bidi="en-US"/>
        </w:rPr>
        <w:t>。</w:t>
      </w:r>
    </w:p>
    <w:p w14:paraId="20032736">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45" w:name="_Toc12310"/>
      <w:bookmarkStart w:id="546" w:name="_Toc32235"/>
      <w:bookmarkStart w:id="547" w:name="bookmark1830"/>
      <w:bookmarkStart w:id="548" w:name="bookmark1828"/>
      <w:bookmarkStart w:id="549" w:name="_Toc25324"/>
      <w:bookmarkStart w:id="550" w:name="_Toc993"/>
      <w:bookmarkStart w:id="551" w:name="bookmark1829"/>
      <w:r>
        <w:rPr>
          <w:rFonts w:hint="eastAsia" w:ascii="宋体" w:hAnsi="宋体" w:eastAsia="宋体" w:cs="宋体"/>
          <w:color w:val="auto"/>
          <w:spacing w:val="0"/>
          <w:sz w:val="28"/>
          <w:szCs w:val="28"/>
          <w:highlight w:val="none"/>
          <w:lang w:eastAsia="zh-CN" w:bidi="en-US"/>
        </w:rPr>
        <w:t>18.9试运行</w:t>
      </w:r>
      <w:bookmarkEnd w:id="545"/>
      <w:bookmarkEnd w:id="546"/>
      <w:bookmarkEnd w:id="547"/>
      <w:bookmarkEnd w:id="548"/>
      <w:bookmarkEnd w:id="549"/>
      <w:bookmarkEnd w:id="550"/>
      <w:bookmarkEnd w:id="551"/>
    </w:p>
    <w:p w14:paraId="370A9BC9">
      <w:pPr>
        <w:pStyle w:val="115"/>
        <w:pageBreakBefore w:val="0"/>
        <w:tabs>
          <w:tab w:val="left" w:pos="4570"/>
          <w:tab w:val="left" w:pos="7697"/>
        </w:tabs>
        <w:kinsoku/>
        <w:wordWrap/>
        <w:overflowPunct/>
        <w:topLinePunct w:val="0"/>
        <w:bidi w:val="0"/>
        <w:spacing w:line="500" w:lineRule="exact"/>
        <w:ind w:left="0" w:right="0" w:firstLine="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18. 9.1</w:t>
      </w:r>
      <w:r>
        <w:rPr>
          <w:rFonts w:hint="eastAsia" w:ascii="宋体" w:hAnsi="宋体" w:eastAsia="宋体" w:cs="宋体"/>
          <w:color w:val="auto"/>
          <w:spacing w:val="0"/>
          <w:sz w:val="28"/>
          <w:szCs w:val="28"/>
          <w:highlight w:val="none"/>
        </w:rPr>
        <w:t>试运行的组织：</w:t>
      </w:r>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rPr>
        <w:t>；费用承担：</w:t>
      </w:r>
      <w:bookmarkStart w:id="552" w:name="bookmark1833"/>
      <w:bookmarkEnd w:id="552"/>
      <w:r>
        <w:rPr>
          <w:rFonts w:hint="eastAsia" w:ascii="宋体" w:hAnsi="宋体" w:eastAsia="宋体" w:cs="宋体"/>
          <w:color w:val="auto"/>
          <w:spacing w:val="0"/>
          <w:sz w:val="28"/>
          <w:szCs w:val="28"/>
          <w:highlight w:val="none"/>
          <w:u w:val="single"/>
          <w:lang w:val="en-US"/>
        </w:rPr>
        <w:t>/</w:t>
      </w:r>
      <w:r>
        <w:rPr>
          <w:rFonts w:hint="eastAsia" w:ascii="宋体" w:hAnsi="宋体" w:eastAsia="宋体" w:cs="宋体"/>
          <w:color w:val="auto"/>
          <w:spacing w:val="0"/>
          <w:sz w:val="28"/>
          <w:szCs w:val="28"/>
          <w:highlight w:val="none"/>
        </w:rPr>
        <w:t>。</w:t>
      </w:r>
    </w:p>
    <w:p w14:paraId="3AFB75F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19. 缺陷责任与保修责任</w:t>
      </w:r>
      <w:bookmarkEnd w:id="503"/>
      <w:bookmarkEnd w:id="504"/>
      <w:bookmarkEnd w:id="505"/>
      <w:bookmarkEnd w:id="506"/>
      <w:bookmarkEnd w:id="507"/>
      <w:bookmarkEnd w:id="508"/>
      <w:bookmarkEnd w:id="509"/>
      <w:bookmarkEnd w:id="510"/>
      <w:bookmarkEnd w:id="511"/>
      <w:bookmarkEnd w:id="512"/>
    </w:p>
    <w:p w14:paraId="0611541F">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53" w:name="_Toc22207"/>
      <w:bookmarkStart w:id="554" w:name="_Toc28369"/>
      <w:bookmarkStart w:id="555" w:name="_Toc27018"/>
      <w:bookmarkStart w:id="556" w:name="_Toc22862"/>
      <w:bookmarkStart w:id="557" w:name="bookmark1836"/>
      <w:bookmarkStart w:id="558" w:name="bookmark1835"/>
      <w:bookmarkStart w:id="559" w:name="bookmark1837"/>
      <w:r>
        <w:rPr>
          <w:rFonts w:hint="eastAsia" w:ascii="宋体" w:hAnsi="宋体" w:eastAsia="宋体" w:cs="宋体"/>
          <w:color w:val="auto"/>
          <w:spacing w:val="0"/>
          <w:sz w:val="28"/>
          <w:szCs w:val="28"/>
          <w:highlight w:val="none"/>
          <w:lang w:eastAsia="zh-CN" w:bidi="en-US"/>
        </w:rPr>
        <w:t>19.1缺陷责任期（工程质量保修期）的起算时间</w:t>
      </w:r>
      <w:bookmarkEnd w:id="553"/>
      <w:bookmarkEnd w:id="554"/>
      <w:bookmarkEnd w:id="555"/>
      <w:bookmarkEnd w:id="556"/>
      <w:bookmarkEnd w:id="557"/>
      <w:bookmarkEnd w:id="558"/>
      <w:bookmarkEnd w:id="559"/>
    </w:p>
    <w:p w14:paraId="4A41C4A5">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从合同工程完工验收合格后开始计算。</w:t>
      </w:r>
    </w:p>
    <w:p w14:paraId="5357BD9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60" w:name="bookmark1840"/>
      <w:bookmarkEnd w:id="560"/>
      <w:bookmarkStart w:id="561" w:name="_Toc27083"/>
      <w:bookmarkStart w:id="562" w:name="_Toc657"/>
      <w:bookmarkStart w:id="563" w:name="_Toc17664"/>
      <w:bookmarkStart w:id="564" w:name="_Toc25982"/>
      <w:bookmarkStart w:id="565" w:name="_Toc5968"/>
      <w:bookmarkStart w:id="566" w:name="_Toc3197"/>
      <w:bookmarkStart w:id="567" w:name="_Toc23002"/>
      <w:bookmarkStart w:id="568" w:name="_Toc14651"/>
      <w:bookmarkStart w:id="569" w:name="_Toc5944"/>
      <w:bookmarkStart w:id="570" w:name="_Toc615"/>
      <w:bookmarkStart w:id="571" w:name="bookmark1841"/>
      <w:bookmarkStart w:id="572" w:name="_Toc14645"/>
      <w:bookmarkStart w:id="573" w:name="bookmark1838"/>
      <w:bookmarkStart w:id="574" w:name="bookmark1839"/>
      <w:r>
        <w:rPr>
          <w:rFonts w:hint="eastAsia" w:ascii="宋体" w:hAnsi="宋体" w:eastAsia="宋体" w:cs="宋体"/>
          <w:color w:val="auto"/>
          <w:spacing w:val="0"/>
          <w:sz w:val="28"/>
          <w:szCs w:val="28"/>
          <w:highlight w:val="none"/>
          <w:lang w:eastAsia="zh-CN" w:bidi="en-US"/>
        </w:rPr>
        <w:t>19.7 保修责任</w:t>
      </w:r>
      <w:bookmarkEnd w:id="561"/>
      <w:bookmarkEnd w:id="562"/>
      <w:bookmarkEnd w:id="563"/>
      <w:bookmarkEnd w:id="564"/>
    </w:p>
    <w:p w14:paraId="49C60551">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本合同工程的保修期为：</w:t>
      </w:r>
      <w:r>
        <w:rPr>
          <w:rFonts w:hint="eastAsia" w:ascii="宋体" w:hAnsi="宋体" w:eastAsia="宋体" w:cs="宋体"/>
          <w:color w:val="auto"/>
          <w:spacing w:val="0"/>
          <w:sz w:val="28"/>
          <w:szCs w:val="28"/>
          <w:highlight w:val="none"/>
          <w:u w:val="single"/>
        </w:rPr>
        <w:t>1年</w:t>
      </w:r>
      <w:r>
        <w:rPr>
          <w:rFonts w:hint="eastAsia" w:ascii="宋体" w:hAnsi="宋体" w:eastAsia="宋体" w:cs="宋体"/>
          <w:color w:val="auto"/>
          <w:spacing w:val="0"/>
          <w:sz w:val="28"/>
          <w:szCs w:val="28"/>
          <w:highlight w:val="none"/>
        </w:rPr>
        <w:t>。</w:t>
      </w:r>
    </w:p>
    <w:p w14:paraId="27AC493E">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保修范围：</w:t>
      </w:r>
      <w:r>
        <w:rPr>
          <w:rFonts w:hint="eastAsia" w:ascii="宋体" w:hAnsi="宋体" w:eastAsia="宋体" w:cs="宋体"/>
          <w:color w:val="auto"/>
          <w:spacing w:val="0"/>
          <w:sz w:val="28"/>
          <w:szCs w:val="28"/>
          <w:highlight w:val="none"/>
          <w:u w:val="single"/>
        </w:rPr>
        <w:t>合同工程全部内容</w:t>
      </w:r>
      <w:r>
        <w:rPr>
          <w:rFonts w:hint="eastAsia" w:ascii="宋体" w:hAnsi="宋体" w:eastAsia="宋体" w:cs="宋体"/>
          <w:color w:val="auto"/>
          <w:spacing w:val="0"/>
          <w:sz w:val="28"/>
          <w:szCs w:val="28"/>
          <w:highlight w:val="none"/>
        </w:rPr>
        <w:t>。</w:t>
      </w:r>
    </w:p>
    <w:p w14:paraId="2EB72282">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保修责任：</w:t>
      </w:r>
      <w:r>
        <w:rPr>
          <w:rFonts w:hint="eastAsia" w:ascii="宋体" w:hAnsi="宋体" w:eastAsia="宋体" w:cs="宋体"/>
          <w:color w:val="auto"/>
          <w:spacing w:val="0"/>
          <w:sz w:val="28"/>
          <w:szCs w:val="28"/>
          <w:highlight w:val="none"/>
          <w:u w:val="single"/>
        </w:rPr>
        <w:t>由承包人负责并承担相关的一切费用</w:t>
      </w:r>
      <w:r>
        <w:rPr>
          <w:rFonts w:hint="eastAsia" w:ascii="宋体" w:hAnsi="宋体" w:eastAsia="宋体" w:cs="宋体"/>
          <w:color w:val="auto"/>
          <w:spacing w:val="0"/>
          <w:sz w:val="28"/>
          <w:szCs w:val="28"/>
          <w:highlight w:val="none"/>
        </w:rPr>
        <w:t>。</w:t>
      </w:r>
    </w:p>
    <w:p w14:paraId="39FC4F2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20. 保险</w:t>
      </w:r>
      <w:bookmarkEnd w:id="565"/>
      <w:bookmarkEnd w:id="566"/>
      <w:bookmarkEnd w:id="567"/>
      <w:bookmarkEnd w:id="568"/>
      <w:bookmarkEnd w:id="569"/>
      <w:bookmarkEnd w:id="570"/>
      <w:bookmarkEnd w:id="571"/>
      <w:bookmarkEnd w:id="572"/>
    </w:p>
    <w:p w14:paraId="3A0B9B51">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75" w:name="_Toc28963"/>
      <w:bookmarkStart w:id="576" w:name="_Toc19143"/>
      <w:bookmarkStart w:id="577" w:name="_Toc16249"/>
      <w:bookmarkStart w:id="578" w:name="_Toc4653"/>
      <w:bookmarkStart w:id="579" w:name="bookmark1842"/>
      <w:r>
        <w:rPr>
          <w:rFonts w:hint="eastAsia" w:ascii="宋体" w:hAnsi="宋体" w:eastAsia="宋体" w:cs="宋体"/>
          <w:color w:val="auto"/>
          <w:spacing w:val="0"/>
          <w:sz w:val="28"/>
          <w:szCs w:val="28"/>
          <w:highlight w:val="none"/>
          <w:lang w:eastAsia="zh-CN" w:bidi="en-US"/>
        </w:rPr>
        <w:t>20.1工程保险</w:t>
      </w:r>
      <w:bookmarkEnd w:id="573"/>
      <w:bookmarkEnd w:id="574"/>
      <w:bookmarkEnd w:id="575"/>
      <w:bookmarkEnd w:id="576"/>
      <w:bookmarkEnd w:id="577"/>
      <w:bookmarkEnd w:id="578"/>
      <w:bookmarkEnd w:id="579"/>
    </w:p>
    <w:p w14:paraId="211472BB">
      <w:pPr>
        <w:pageBreakBefore w:val="0"/>
        <w:kinsoku/>
        <w:wordWrap/>
        <w:overflowPunct/>
        <w:topLinePunct w:val="0"/>
        <w:bidi w:val="0"/>
        <w:spacing w:line="500" w:lineRule="exact"/>
        <w:ind w:left="0" w:right="0"/>
        <w:rPr>
          <w:rFonts w:hint="eastAsia" w:ascii="宋体" w:hAnsi="宋体" w:eastAsia="宋体" w:cs="宋体"/>
          <w:color w:val="auto"/>
          <w:spacing w:val="0"/>
          <w:sz w:val="28"/>
          <w:szCs w:val="28"/>
          <w:highlight w:val="none"/>
        </w:rPr>
      </w:pPr>
      <w:bookmarkStart w:id="580" w:name="bookmark1844"/>
      <w:bookmarkStart w:id="581" w:name="bookmark1843"/>
      <w:bookmarkStart w:id="582" w:name="bookmark1845"/>
      <w:r>
        <w:rPr>
          <w:rFonts w:hint="eastAsia" w:ascii="宋体" w:hAnsi="宋体" w:eastAsia="宋体" w:cs="宋体"/>
          <w:color w:val="auto"/>
          <w:spacing w:val="0"/>
          <w:kern w:val="0"/>
          <w:sz w:val="28"/>
          <w:szCs w:val="28"/>
          <w:highlight w:val="none"/>
          <w:lang w:val="zh-CN" w:bidi="zh-CN"/>
        </w:rPr>
        <w:t>　　承包人依照有关法律规定参加工伤保险、人身意外保险、第三者责任险等，并负责缴纳保险费。本合同签订之日起7个工作日内，承包人将购买保险的合同、发票等复印件交建设单位备案。</w:t>
      </w:r>
    </w:p>
    <w:bookmarkEnd w:id="580"/>
    <w:bookmarkEnd w:id="581"/>
    <w:bookmarkEnd w:id="582"/>
    <w:p w14:paraId="4DEEC618">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83" w:name="bookmark1854"/>
      <w:bookmarkEnd w:id="583"/>
      <w:bookmarkStart w:id="584" w:name="_Toc31045"/>
      <w:bookmarkStart w:id="585" w:name="_Toc32459"/>
      <w:bookmarkStart w:id="586" w:name="_Toc28480"/>
      <w:bookmarkStart w:id="587" w:name="_Toc5988"/>
      <w:bookmarkStart w:id="588" w:name="bookmark1855"/>
      <w:bookmarkStart w:id="589" w:name="_Toc7430"/>
      <w:bookmarkStart w:id="590" w:name="_Toc13643"/>
      <w:bookmarkStart w:id="591" w:name="_Toc29868"/>
      <w:bookmarkStart w:id="592" w:name="bookmark1852"/>
      <w:bookmarkStart w:id="593" w:name="bookmark1853"/>
      <w:r>
        <w:rPr>
          <w:rFonts w:hint="eastAsia" w:ascii="宋体" w:hAnsi="宋体" w:eastAsia="宋体" w:cs="宋体"/>
          <w:color w:val="auto"/>
          <w:spacing w:val="0"/>
          <w:sz w:val="28"/>
          <w:szCs w:val="28"/>
          <w:highlight w:val="none"/>
          <w:lang w:eastAsia="zh-CN"/>
        </w:rPr>
        <w:t>21. 不可抗力</w:t>
      </w:r>
      <w:bookmarkEnd w:id="584"/>
      <w:bookmarkEnd w:id="585"/>
      <w:bookmarkEnd w:id="586"/>
      <w:bookmarkEnd w:id="587"/>
      <w:bookmarkEnd w:id="588"/>
      <w:bookmarkEnd w:id="589"/>
      <w:bookmarkEnd w:id="590"/>
      <w:bookmarkEnd w:id="591"/>
    </w:p>
    <w:p w14:paraId="5E49C1E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594" w:name="bookmark1856"/>
      <w:bookmarkStart w:id="595" w:name="_Toc15353"/>
      <w:bookmarkStart w:id="596" w:name="_Toc29904"/>
      <w:bookmarkStart w:id="597" w:name="_Toc21384"/>
      <w:bookmarkStart w:id="598" w:name="_Toc6491"/>
      <w:r>
        <w:rPr>
          <w:rFonts w:hint="eastAsia" w:ascii="宋体" w:hAnsi="宋体" w:eastAsia="宋体" w:cs="宋体"/>
          <w:color w:val="auto"/>
          <w:spacing w:val="0"/>
          <w:sz w:val="28"/>
          <w:szCs w:val="28"/>
          <w:highlight w:val="none"/>
          <w:lang w:eastAsia="zh-CN" w:bidi="en-US"/>
        </w:rPr>
        <w:t>21.1不可抗力的确认</w:t>
      </w:r>
      <w:bookmarkEnd w:id="592"/>
      <w:bookmarkEnd w:id="593"/>
      <w:bookmarkEnd w:id="594"/>
      <w:bookmarkEnd w:id="595"/>
      <w:bookmarkEnd w:id="596"/>
      <w:bookmarkEnd w:id="597"/>
      <w:bookmarkEnd w:id="598"/>
    </w:p>
    <w:p w14:paraId="4FB3D364">
      <w:pPr>
        <w:pStyle w:val="115"/>
        <w:pageBreakBefore w:val="0"/>
        <w:kinsoku/>
        <w:wordWrap/>
        <w:overflowPunct/>
        <w:topLinePunct w:val="0"/>
        <w:bidi w:val="0"/>
        <w:spacing w:line="500" w:lineRule="exact"/>
        <w:ind w:left="0" w:right="0" w:firstLine="0"/>
        <w:jc w:val="both"/>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bidi="en-US"/>
        </w:rPr>
        <w:t>　　21.1.1</w:t>
      </w:r>
      <w:r>
        <w:rPr>
          <w:rFonts w:hint="eastAsia" w:ascii="宋体" w:hAnsi="宋体" w:eastAsia="宋体" w:cs="宋体"/>
          <w:color w:val="auto"/>
          <w:spacing w:val="0"/>
          <w:sz w:val="28"/>
          <w:szCs w:val="28"/>
          <w:highlight w:val="none"/>
        </w:rPr>
        <w:t>不可抗力是指承包人和</w:t>
      </w:r>
      <w:r>
        <w:rPr>
          <w:rFonts w:hint="eastAsia" w:cs="宋体"/>
          <w:color w:val="auto"/>
          <w:spacing w:val="0"/>
          <w:sz w:val="28"/>
          <w:szCs w:val="28"/>
          <w:highlight w:val="none"/>
          <w:lang w:eastAsia="zh-CN"/>
        </w:rPr>
        <w:t>建设单位</w:t>
      </w:r>
      <w:r>
        <w:rPr>
          <w:rFonts w:hint="eastAsia" w:ascii="宋体" w:hAnsi="宋体" w:eastAsia="宋体" w:cs="宋体"/>
          <w:color w:val="auto"/>
          <w:spacing w:val="0"/>
          <w:sz w:val="28"/>
          <w:szCs w:val="28"/>
          <w:highlight w:val="none"/>
        </w:rPr>
        <w:t>在订立合同时不可预见，在工程施工过程中不可避免发生并不能克服的自然灾害和社会性突发事件，如地震、海啸、瘟疫、水灾、骚乱、暴动、战争和本合同专用合同条款第</w:t>
      </w:r>
      <w:r>
        <w:rPr>
          <w:rFonts w:hint="eastAsia" w:ascii="宋体" w:hAnsi="宋体" w:eastAsia="宋体" w:cs="宋体"/>
          <w:color w:val="auto"/>
          <w:spacing w:val="0"/>
          <w:sz w:val="28"/>
          <w:szCs w:val="28"/>
          <w:highlight w:val="none"/>
          <w:lang w:val="en-US" w:bidi="en-US"/>
        </w:rPr>
        <w:t xml:space="preserve">11. </w:t>
      </w:r>
      <w:r>
        <w:rPr>
          <w:rFonts w:hint="eastAsia" w:ascii="宋体" w:hAnsi="宋体" w:eastAsia="宋体" w:cs="宋体"/>
          <w:color w:val="auto"/>
          <w:spacing w:val="0"/>
          <w:sz w:val="28"/>
          <w:szCs w:val="28"/>
          <w:highlight w:val="none"/>
        </w:rPr>
        <w:t>4款的约定。</w:t>
      </w:r>
    </w:p>
    <w:p w14:paraId="7BAACFC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599" w:name="_Toc17737"/>
      <w:bookmarkStart w:id="600" w:name="bookmark1859"/>
      <w:bookmarkStart w:id="601" w:name="bookmark1858"/>
      <w:bookmarkStart w:id="602" w:name="_Toc26939"/>
      <w:bookmarkStart w:id="603" w:name="_Toc2281"/>
      <w:bookmarkStart w:id="604" w:name="_Toc23719"/>
      <w:bookmarkStart w:id="605" w:name="_Toc31087"/>
      <w:bookmarkStart w:id="606" w:name="bookmark1857"/>
      <w:bookmarkStart w:id="607" w:name="_Toc27508"/>
      <w:bookmarkStart w:id="608" w:name="_Toc31361"/>
      <w:r>
        <w:rPr>
          <w:rFonts w:hint="eastAsia" w:ascii="宋体" w:hAnsi="宋体" w:eastAsia="宋体" w:cs="宋体"/>
          <w:color w:val="auto"/>
          <w:spacing w:val="0"/>
          <w:sz w:val="28"/>
          <w:szCs w:val="28"/>
          <w:highlight w:val="none"/>
          <w:lang w:eastAsia="zh-CN"/>
        </w:rPr>
        <w:t>24. 争议的解决</w:t>
      </w:r>
      <w:bookmarkEnd w:id="599"/>
      <w:bookmarkEnd w:id="600"/>
      <w:bookmarkEnd w:id="601"/>
      <w:bookmarkEnd w:id="602"/>
      <w:bookmarkEnd w:id="603"/>
      <w:bookmarkEnd w:id="604"/>
      <w:bookmarkEnd w:id="605"/>
      <w:bookmarkEnd w:id="606"/>
      <w:bookmarkEnd w:id="607"/>
      <w:bookmarkEnd w:id="608"/>
    </w:p>
    <w:p w14:paraId="4538AD64">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609" w:name="_Toc11747"/>
      <w:bookmarkStart w:id="610" w:name="_Toc4697"/>
      <w:bookmarkStart w:id="611" w:name="_Toc21951"/>
      <w:bookmarkStart w:id="612" w:name="bookmark1860"/>
      <w:bookmarkStart w:id="613" w:name="bookmark1862"/>
      <w:bookmarkStart w:id="614" w:name="_Toc7055"/>
      <w:bookmarkStart w:id="615" w:name="bookmark1861"/>
      <w:r>
        <w:rPr>
          <w:rFonts w:hint="eastAsia" w:ascii="宋体" w:hAnsi="宋体" w:eastAsia="宋体" w:cs="宋体"/>
          <w:color w:val="auto"/>
          <w:spacing w:val="0"/>
          <w:sz w:val="28"/>
          <w:szCs w:val="28"/>
          <w:highlight w:val="none"/>
          <w:lang w:eastAsia="zh-CN" w:bidi="en-US"/>
        </w:rPr>
        <w:t>24.1争议的解决方式</w:t>
      </w:r>
      <w:bookmarkEnd w:id="609"/>
      <w:bookmarkEnd w:id="610"/>
      <w:bookmarkEnd w:id="611"/>
      <w:bookmarkEnd w:id="612"/>
      <w:bookmarkEnd w:id="613"/>
      <w:bookmarkEnd w:id="614"/>
      <w:bookmarkEnd w:id="615"/>
    </w:p>
    <w:p w14:paraId="3901DFE8">
      <w:pPr>
        <w:pageBreakBefore w:val="0"/>
        <w:kinsoku/>
        <w:wordWrap/>
        <w:overflowPunct/>
        <w:topLinePunct w:val="0"/>
        <w:bidi w:val="0"/>
        <w:spacing w:line="500" w:lineRule="exact"/>
        <w:ind w:left="0" w:right="0" w:firstLine="560" w:firstLineChars="200"/>
        <w:rPr>
          <w:rFonts w:hint="eastAsia" w:ascii="宋体" w:hAnsi="宋体" w:eastAsia="宋体" w:cs="宋体"/>
          <w:color w:val="auto"/>
          <w:spacing w:val="0"/>
          <w:sz w:val="28"/>
          <w:szCs w:val="28"/>
          <w:highlight w:val="none"/>
        </w:rPr>
      </w:pPr>
      <w:bookmarkStart w:id="616" w:name="bookmark1863"/>
      <w:bookmarkStart w:id="617" w:name="bookmark1865"/>
      <w:bookmarkStart w:id="618" w:name="bookmark1864"/>
      <w:bookmarkStart w:id="619" w:name="_Toc30466"/>
      <w:bookmarkStart w:id="620" w:name="_Toc26089"/>
      <w:bookmarkStart w:id="621" w:name="_Toc11294"/>
      <w:r>
        <w:rPr>
          <w:rFonts w:hint="eastAsia" w:ascii="宋体" w:hAnsi="宋体" w:eastAsia="宋体" w:cs="宋体"/>
          <w:color w:val="auto"/>
          <w:spacing w:val="0"/>
          <w:sz w:val="28"/>
          <w:szCs w:val="28"/>
          <w:highlight w:val="none"/>
        </w:rPr>
        <w:t>合同当事人友好协商解决不成、不原提请争议评审或不接受争议评审组意见的，约定的合同争议解决方式为：</w:t>
      </w:r>
      <w:r>
        <w:rPr>
          <w:rFonts w:hint="eastAsia" w:ascii="宋体" w:hAnsi="宋体" w:eastAsia="宋体" w:cs="宋体"/>
          <w:b/>
          <w:color w:val="auto"/>
          <w:spacing w:val="0"/>
          <w:sz w:val="28"/>
          <w:szCs w:val="28"/>
          <w:highlight w:val="none"/>
          <w:u w:val="single"/>
        </w:rPr>
        <w:t>向</w:t>
      </w:r>
      <w:r>
        <w:rPr>
          <w:rFonts w:hint="eastAsia" w:ascii="宋体" w:hAnsi="宋体" w:eastAsia="宋体" w:cs="宋体"/>
          <w:b/>
          <w:color w:val="auto"/>
          <w:spacing w:val="0"/>
          <w:sz w:val="28"/>
          <w:szCs w:val="28"/>
          <w:highlight w:val="none"/>
          <w:u w:val="single"/>
          <w:lang w:eastAsia="zh-CN"/>
        </w:rPr>
        <w:t>建设单位</w:t>
      </w:r>
      <w:r>
        <w:rPr>
          <w:rFonts w:hint="eastAsia" w:ascii="宋体" w:hAnsi="宋体" w:eastAsia="宋体" w:cs="宋体"/>
          <w:b/>
          <w:color w:val="auto"/>
          <w:spacing w:val="0"/>
          <w:sz w:val="28"/>
          <w:szCs w:val="28"/>
          <w:highlight w:val="none"/>
          <w:u w:val="single"/>
        </w:rPr>
        <w:t>所在地的人民法院诉讼。</w:t>
      </w:r>
    </w:p>
    <w:p w14:paraId="10B6E359">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rPr>
      </w:pPr>
      <w:bookmarkStart w:id="622" w:name="_Toc8753"/>
      <w:bookmarkStart w:id="623" w:name="_Toc22033"/>
      <w:bookmarkStart w:id="624" w:name="_Toc24361"/>
      <w:bookmarkStart w:id="625" w:name="_Toc31245"/>
      <w:r>
        <w:rPr>
          <w:rFonts w:hint="eastAsia" w:ascii="宋体" w:hAnsi="宋体" w:eastAsia="宋体" w:cs="宋体"/>
          <w:color w:val="auto"/>
          <w:spacing w:val="0"/>
          <w:sz w:val="28"/>
          <w:szCs w:val="28"/>
          <w:highlight w:val="none"/>
          <w:lang w:eastAsia="zh-CN"/>
        </w:rPr>
        <w:t>25. 附加条款</w:t>
      </w:r>
      <w:bookmarkEnd w:id="616"/>
      <w:bookmarkEnd w:id="617"/>
      <w:bookmarkEnd w:id="618"/>
      <w:bookmarkEnd w:id="619"/>
      <w:bookmarkEnd w:id="620"/>
      <w:bookmarkEnd w:id="621"/>
      <w:bookmarkEnd w:id="622"/>
      <w:bookmarkEnd w:id="623"/>
      <w:bookmarkEnd w:id="624"/>
      <w:bookmarkEnd w:id="625"/>
    </w:p>
    <w:p w14:paraId="7122F4D0">
      <w:pPr>
        <w:pStyle w:val="116"/>
        <w:pageBreakBefore w:val="0"/>
        <w:kinsoku/>
        <w:wordWrap/>
        <w:overflowPunct/>
        <w:topLinePunct w:val="0"/>
        <w:bidi w:val="0"/>
        <w:spacing w:beforeLines="0" w:afterLines="0" w:line="500" w:lineRule="exact"/>
        <w:ind w:left="0" w:right="0"/>
        <w:rPr>
          <w:rFonts w:hint="eastAsia" w:ascii="宋体" w:hAnsi="宋体" w:eastAsia="宋体" w:cs="宋体"/>
          <w:color w:val="auto"/>
          <w:spacing w:val="0"/>
          <w:sz w:val="28"/>
          <w:szCs w:val="28"/>
          <w:highlight w:val="none"/>
          <w:lang w:eastAsia="zh-CN" w:bidi="en-US"/>
        </w:rPr>
      </w:pPr>
      <w:bookmarkStart w:id="626" w:name="bookmark1866"/>
      <w:bookmarkStart w:id="627" w:name="_Toc20422"/>
      <w:bookmarkStart w:id="628" w:name="_Toc14215"/>
      <w:bookmarkStart w:id="629" w:name="_Toc19446"/>
      <w:bookmarkStart w:id="630" w:name="bookmark1868"/>
      <w:bookmarkStart w:id="631" w:name="_Toc18018"/>
      <w:bookmarkStart w:id="632" w:name="bookmark1867"/>
      <w:r>
        <w:rPr>
          <w:rFonts w:hint="eastAsia" w:ascii="宋体" w:hAnsi="宋体" w:eastAsia="宋体" w:cs="宋体"/>
          <w:color w:val="auto"/>
          <w:spacing w:val="0"/>
          <w:sz w:val="28"/>
          <w:szCs w:val="28"/>
          <w:highlight w:val="none"/>
          <w:lang w:eastAsia="zh-CN" w:bidi="en-US"/>
        </w:rPr>
        <w:t>25.1对承包人的要求</w:t>
      </w:r>
      <w:bookmarkEnd w:id="626"/>
      <w:bookmarkEnd w:id="627"/>
      <w:bookmarkEnd w:id="628"/>
      <w:bookmarkEnd w:id="629"/>
      <w:bookmarkEnd w:id="630"/>
      <w:bookmarkEnd w:id="631"/>
      <w:bookmarkEnd w:id="632"/>
    </w:p>
    <w:p w14:paraId="5884599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bookmarkStart w:id="633" w:name="bookmark1869"/>
      <w:bookmarkEnd w:id="633"/>
      <w:r>
        <w:rPr>
          <w:rFonts w:hint="eastAsia" w:ascii="宋体" w:hAnsi="宋体" w:eastAsia="宋体" w:cs="宋体"/>
          <w:color w:val="auto"/>
          <w:spacing w:val="0"/>
          <w:kern w:val="0"/>
          <w:sz w:val="28"/>
          <w:szCs w:val="28"/>
          <w:highlight w:val="none"/>
        </w:rPr>
        <w:t>1、</w:t>
      </w:r>
      <w:r>
        <w:rPr>
          <w:rFonts w:hint="eastAsia" w:ascii="宋体" w:hAnsi="宋体" w:eastAsia="宋体" w:cs="宋体"/>
          <w:bCs/>
          <w:color w:val="auto"/>
          <w:spacing w:val="0"/>
          <w:kern w:val="0"/>
          <w:sz w:val="28"/>
          <w:szCs w:val="28"/>
          <w:highlight w:val="none"/>
        </w:rPr>
        <w:t>因承包人的原因造成施工进度计划拖后，承包人均应按</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和监理人的指示，采取有效措施赶上进度。若施工进度仍然满足不了</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的要求，视为承包人已经构成违约，</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可通知承包人解除合同。</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可在发出通知5天后派员进驻工地直接监管工程，使用承包人设备、临时工程和材料，另行组织人员或委托其他承包人施工，但</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的这一行为不免除承包人按合同规定应负的责任。</w:t>
      </w:r>
    </w:p>
    <w:p w14:paraId="4949A73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2、</w:t>
      </w:r>
      <w:r>
        <w:rPr>
          <w:rFonts w:hint="eastAsia" w:ascii="宋体" w:hAnsi="宋体" w:eastAsia="宋体" w:cs="宋体"/>
          <w:bCs/>
          <w:color w:val="auto"/>
          <w:spacing w:val="0"/>
          <w:kern w:val="0"/>
          <w:sz w:val="28"/>
          <w:szCs w:val="28"/>
          <w:highlight w:val="none"/>
        </w:rPr>
        <w:t>遵守国务院《建设工程质量管理条例》，根据水利部、自治区和水利厅的有关质量管理规定，建立健全质量管理机构，结合工程实际制定完善的可操作性强的质量管理制度，施工质量等级达到合同约定等级。</w:t>
      </w:r>
    </w:p>
    <w:p w14:paraId="45EF932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3</w:t>
      </w:r>
      <w:r>
        <w:rPr>
          <w:rFonts w:hint="eastAsia" w:ascii="宋体" w:hAnsi="宋体" w:eastAsia="宋体" w:cs="宋体"/>
          <w:bCs/>
          <w:color w:val="auto"/>
          <w:spacing w:val="0"/>
          <w:kern w:val="0"/>
          <w:sz w:val="28"/>
          <w:szCs w:val="28"/>
          <w:highlight w:val="none"/>
        </w:rPr>
        <w:t>、按《中华人民共和国生产安全法》、《建设工程安全生产管理条例》、自治区安全生产法规和水利水电工程施工安全操作规程的规定建立健全安全管理机构和安全管理制度，采取安全施工保障措施保障工程施工安全。</w:t>
      </w:r>
    </w:p>
    <w:p w14:paraId="632C9FA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4、</w:t>
      </w:r>
      <w:r>
        <w:rPr>
          <w:rFonts w:hint="eastAsia" w:ascii="宋体" w:hAnsi="宋体" w:eastAsia="宋体" w:cs="宋体"/>
          <w:bCs/>
          <w:color w:val="auto"/>
          <w:spacing w:val="0"/>
          <w:kern w:val="0"/>
          <w:sz w:val="28"/>
          <w:szCs w:val="28"/>
          <w:highlight w:val="none"/>
        </w:rPr>
        <w:t>按有关施工规程规范及本招标文件技术条款进行组织施工并实施施工过程和移交前工程保护措施。</w:t>
      </w:r>
    </w:p>
    <w:p w14:paraId="09AD49BE">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5、</w:t>
      </w:r>
      <w:r>
        <w:rPr>
          <w:rFonts w:hint="eastAsia" w:ascii="宋体" w:hAnsi="宋体" w:eastAsia="宋体" w:cs="宋体"/>
          <w:bCs/>
          <w:color w:val="auto"/>
          <w:spacing w:val="0"/>
          <w:kern w:val="0"/>
          <w:sz w:val="28"/>
          <w:szCs w:val="28"/>
          <w:highlight w:val="none"/>
        </w:rPr>
        <w:t>按水利部《水利系统文明建设工地评审管理办法》创建文明建设工地。</w:t>
      </w:r>
    </w:p>
    <w:p w14:paraId="3B92A71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6、</w:t>
      </w:r>
      <w:r>
        <w:rPr>
          <w:rFonts w:hint="eastAsia" w:ascii="宋体" w:hAnsi="宋体" w:eastAsia="宋体" w:cs="宋体"/>
          <w:bCs/>
          <w:color w:val="auto"/>
          <w:spacing w:val="0"/>
          <w:kern w:val="0"/>
          <w:sz w:val="28"/>
          <w:szCs w:val="28"/>
          <w:highlight w:val="none"/>
        </w:rPr>
        <w:t>承包人违约有以下情况之一者，</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有权采取合同规定的以下措施处理，并视情节轻重处予违约金。</w:t>
      </w:r>
    </w:p>
    <w:p w14:paraId="2E048CE3">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（1）未经</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批准，施工期内承包人调走主要施工技术人员（包括建造师、专业工程师），经发现不及时调回的，违约金额为履约保证金金额的5%～20%（视情节严重而定）。</w:t>
      </w:r>
    </w:p>
    <w:p w14:paraId="5E137A5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（2）未经</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批准，施工期内自行调走主要施工机械，经发现不及时调回的，违约金额为履约保证金金额的5%～20%（视情节严重而定）。</w:t>
      </w:r>
    </w:p>
    <w:p w14:paraId="462C5E3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（3）所有以上违约金额均在承包人的履约保证金（包括银行利息）及计量支付款内扣除，承包人履约保证金被扣除后，由</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从最后一次计量支付时扣相应金额补足履约保证金。</w:t>
      </w:r>
    </w:p>
    <w:p w14:paraId="605BC0C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（4）承包人的人员机械进场必须按照合同书附件或根据工程实际经调整后的人员和机械进场时间表进场，承包人不得任意拖延、调换或减少。主要机械的数量、型号和劳动力、材料的投入，应与合同相符，若</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认为合同规定的进场机械、材料和劳动力不能满足施工进度要求，有权指令承包人增加机械、材料和劳动力投入，承包人不得拒绝。</w:t>
      </w:r>
    </w:p>
    <w:p w14:paraId="333A948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（5）合同签订之日起15日内，承包人无法按合同规定进场全部人员和机械时，作为乙方违约，业主有权解除合同，没收其全部履约保证金，另行发包工程。</w:t>
      </w:r>
    </w:p>
    <w:p w14:paraId="3F874CF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7、</w:t>
      </w:r>
      <w:r>
        <w:rPr>
          <w:rFonts w:hint="eastAsia" w:ascii="宋体" w:hAnsi="宋体" w:eastAsia="宋体" w:cs="宋体"/>
          <w:bCs/>
          <w:color w:val="auto"/>
          <w:spacing w:val="0"/>
          <w:kern w:val="0"/>
          <w:sz w:val="28"/>
          <w:szCs w:val="28"/>
          <w:highlight w:val="none"/>
        </w:rPr>
        <w:t>承包人生活设施及施工场地，应自费配备消防设备，防止火灾发生。</w:t>
      </w:r>
    </w:p>
    <w:p w14:paraId="6271BD2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8、</w:t>
      </w:r>
      <w:r>
        <w:rPr>
          <w:rFonts w:hint="eastAsia" w:ascii="宋体" w:hAnsi="宋体" w:eastAsia="宋体" w:cs="宋体"/>
          <w:bCs/>
          <w:color w:val="auto"/>
          <w:spacing w:val="0"/>
          <w:kern w:val="0"/>
          <w:sz w:val="28"/>
          <w:szCs w:val="28"/>
          <w:highlight w:val="none"/>
        </w:rPr>
        <w:t>承包人使用的劳动力均应进行保险，否则不准安排工作，禁止使用童工。</w:t>
      </w:r>
    </w:p>
    <w:p w14:paraId="6B2F6CB0">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color w:val="auto"/>
          <w:spacing w:val="0"/>
          <w:kern w:val="0"/>
          <w:sz w:val="28"/>
          <w:szCs w:val="28"/>
          <w:highlight w:val="none"/>
        </w:rPr>
        <w:t>9、</w:t>
      </w:r>
      <w:r>
        <w:rPr>
          <w:rFonts w:hint="eastAsia" w:ascii="宋体" w:hAnsi="宋体" w:eastAsia="宋体" w:cs="宋体"/>
          <w:bCs/>
          <w:color w:val="auto"/>
          <w:spacing w:val="0"/>
          <w:kern w:val="0"/>
          <w:sz w:val="28"/>
          <w:szCs w:val="28"/>
          <w:highlight w:val="none"/>
        </w:rPr>
        <w:t>凡竞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94FFFA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10、承包人未能按时完成当月合同进度计划70%工程量的（非承包人原因除外），</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有权自行组织施工，以不超过投标报价的2倍单价扣减承包人的进度款，支付自行组织施工完成的工程款。也有权终止本合同并清退承包人，承包人须在10天内离场，否则</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将强行撤出所有施工设备，所造成的全部损失由承包人承担。</w:t>
      </w:r>
    </w:p>
    <w:p w14:paraId="7C13ED2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11、有关主管部门及</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检查发现问题时，承包人应按要求整改。在规定时间内不进行整改或整改无效的，</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有权终止本施工合同并清退承包人。承包人须在10天内离场，否则</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将强行撤出所有施工设备，所造成的全部损失由承包人承担。</w:t>
      </w:r>
    </w:p>
    <w:p w14:paraId="1440517C">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bCs/>
          <w:color w:val="auto"/>
          <w:spacing w:val="0"/>
          <w:kern w:val="0"/>
          <w:sz w:val="28"/>
          <w:szCs w:val="28"/>
          <w:highlight w:val="none"/>
        </w:rPr>
        <w:t>12、</w:t>
      </w:r>
      <w:r>
        <w:rPr>
          <w:rFonts w:hint="eastAsia" w:ascii="宋体" w:hAnsi="宋体" w:eastAsia="宋体" w:cs="宋体"/>
          <w:color w:val="auto"/>
          <w:spacing w:val="0"/>
          <w:sz w:val="28"/>
          <w:szCs w:val="28"/>
          <w:highlight w:val="none"/>
        </w:rPr>
        <w:t>承诺若出现以下情况，愿意放弃在广西水利系统一年的投标资格：</w:t>
      </w:r>
    </w:p>
    <w:p w14:paraId="115CF4F4">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A、在竞标文件中故意改变工程量的；</w:t>
      </w:r>
    </w:p>
    <w:p w14:paraId="64ED6861">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B、两个投标人报价完全一致的； </w:t>
      </w:r>
    </w:p>
    <w:p w14:paraId="47B80D24">
      <w:pPr>
        <w:pStyle w:val="25"/>
        <w:keepNext w:val="0"/>
        <w:keepLines w:val="0"/>
        <w:pageBreakBefore w:val="0"/>
        <w:widowControl/>
        <w:kinsoku/>
        <w:wordWrap/>
        <w:overflowPunct/>
        <w:topLinePunct w:val="0"/>
        <w:autoSpaceDE w:val="0"/>
        <w:autoSpaceDN w:val="0"/>
        <w:bidi w:val="0"/>
        <w:adjustRightInd w:val="0"/>
        <w:snapToGrid w:val="0"/>
        <w:spacing w:after="0" w:line="500" w:lineRule="exact"/>
        <w:ind w:left="0" w:leftChars="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C、成交后无正当理由不能按合同工期完工的。</w:t>
      </w:r>
    </w:p>
    <w:p w14:paraId="2088A4D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0" w:firstLineChars="193"/>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bCs/>
          <w:color w:val="auto"/>
          <w:spacing w:val="0"/>
          <w:kern w:val="0"/>
          <w:sz w:val="28"/>
          <w:szCs w:val="28"/>
          <w:highlight w:val="none"/>
        </w:rPr>
        <w:t>D、</w:t>
      </w:r>
      <w:r>
        <w:rPr>
          <w:rFonts w:hint="eastAsia" w:ascii="宋体" w:hAnsi="宋体" w:eastAsia="宋体" w:cs="宋体"/>
          <w:color w:val="auto"/>
          <w:spacing w:val="0"/>
          <w:kern w:val="0"/>
          <w:sz w:val="28"/>
          <w:szCs w:val="28"/>
          <w:highlight w:val="none"/>
        </w:rPr>
        <w:t>项目经理、技术负责人、质量检查员、安全员和主要机械设备不符合合同承诺的；</w:t>
      </w:r>
    </w:p>
    <w:p w14:paraId="4C0CD2F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bCs/>
          <w:color w:val="auto"/>
          <w:spacing w:val="0"/>
          <w:kern w:val="0"/>
          <w:sz w:val="28"/>
          <w:szCs w:val="28"/>
          <w:highlight w:val="none"/>
        </w:rPr>
        <w:t>E、</w:t>
      </w:r>
      <w:r>
        <w:rPr>
          <w:rFonts w:hint="eastAsia" w:ascii="宋体" w:hAnsi="宋体" w:eastAsia="宋体" w:cs="宋体"/>
          <w:color w:val="auto"/>
          <w:spacing w:val="0"/>
          <w:kern w:val="0"/>
          <w:sz w:val="28"/>
          <w:szCs w:val="28"/>
          <w:highlight w:val="none"/>
        </w:rPr>
        <w:t>未履行规定手续，擅自变更项目部主要管理人员的；</w:t>
      </w:r>
    </w:p>
    <w:p w14:paraId="2DABD05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0" w:firstLineChars="193"/>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color w:val="auto"/>
          <w:spacing w:val="0"/>
          <w:kern w:val="0"/>
          <w:sz w:val="28"/>
          <w:szCs w:val="28"/>
          <w:highlight w:val="none"/>
        </w:rPr>
        <w:t>F、项目经理无故脱岗，或离岗超过3天未报项目法人批准的，或不能正常履行岗位职责的；</w:t>
      </w:r>
    </w:p>
    <w:p w14:paraId="4831279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40" w:firstLineChars="193"/>
        <w:textAlignment w:val="baseline"/>
        <w:rPr>
          <w:rFonts w:hint="eastAsia" w:ascii="宋体" w:hAnsi="宋体" w:eastAsia="宋体" w:cs="宋体"/>
          <w:color w:val="auto"/>
          <w:spacing w:val="0"/>
          <w:kern w:val="0"/>
          <w:sz w:val="28"/>
          <w:szCs w:val="28"/>
          <w:highlight w:val="none"/>
        </w:rPr>
      </w:pPr>
      <w:r>
        <w:rPr>
          <w:rFonts w:hint="eastAsia" w:ascii="宋体" w:hAnsi="宋体" w:eastAsia="宋体" w:cs="宋体"/>
          <w:bCs/>
          <w:color w:val="auto"/>
          <w:spacing w:val="0"/>
          <w:kern w:val="0"/>
          <w:sz w:val="28"/>
          <w:szCs w:val="28"/>
          <w:highlight w:val="none"/>
        </w:rPr>
        <w:t>G、</w:t>
      </w:r>
      <w:r>
        <w:rPr>
          <w:rFonts w:hint="eastAsia" w:ascii="宋体" w:hAnsi="宋体" w:eastAsia="宋体" w:cs="宋体"/>
          <w:color w:val="auto"/>
          <w:spacing w:val="0"/>
          <w:kern w:val="0"/>
          <w:sz w:val="28"/>
          <w:szCs w:val="28"/>
          <w:highlight w:val="none"/>
        </w:rPr>
        <w:t>不按监理单位要求整改，导致不能及时消除安全事故隐患的；</w:t>
      </w:r>
    </w:p>
    <w:p w14:paraId="79B84E8F">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L、</w:t>
      </w:r>
      <w:r>
        <w:rPr>
          <w:rFonts w:hint="eastAsia" w:ascii="宋体" w:hAnsi="宋体" w:eastAsia="宋体" w:cs="宋体"/>
          <w:color w:val="auto"/>
          <w:spacing w:val="0"/>
          <w:kern w:val="0"/>
          <w:sz w:val="28"/>
          <w:szCs w:val="28"/>
          <w:highlight w:val="none"/>
        </w:rPr>
        <w:t>重要隐蔽工程未经联检就擅自施工的。</w:t>
      </w:r>
    </w:p>
    <w:p w14:paraId="25E977C6">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I、发生重大工程质量或重大安全责任事故的</w:t>
      </w:r>
    </w:p>
    <w:p w14:paraId="0152AD3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Cs/>
          <w:color w:val="auto"/>
          <w:spacing w:val="0"/>
          <w:kern w:val="0"/>
          <w:sz w:val="28"/>
          <w:szCs w:val="28"/>
          <w:highlight w:val="none"/>
        </w:rPr>
        <w:t>13、承包人在签订施工合同时，项目经理、技术负责人必须出席签订合同地点，否则</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有权取消承包人承包资格。</w:t>
      </w:r>
    </w:p>
    <w:p w14:paraId="629B087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25.2</w:t>
      </w:r>
      <w:r>
        <w:rPr>
          <w:rFonts w:hint="eastAsia" w:ascii="宋体" w:hAnsi="宋体" w:eastAsia="宋体" w:cs="宋体"/>
          <w:bCs/>
          <w:color w:val="auto"/>
          <w:spacing w:val="0"/>
          <w:kern w:val="0"/>
          <w:sz w:val="28"/>
          <w:szCs w:val="28"/>
          <w:highlight w:val="none"/>
        </w:rPr>
        <w:t> </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所有付款(含预付款)均转入如下承包人单位基本账户(签订施工合同时标明)，承包人单位基本账户发生改变时，承包人应书面通知（法定代表人签名并加盖单位公章）</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w:t>
      </w:r>
    </w:p>
    <w:p w14:paraId="7F04E71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25.3</w:t>
      </w:r>
      <w:r>
        <w:rPr>
          <w:rFonts w:hint="eastAsia" w:ascii="宋体" w:hAnsi="宋体" w:eastAsia="宋体" w:cs="宋体"/>
          <w:bCs/>
          <w:color w:val="auto"/>
          <w:spacing w:val="0"/>
          <w:kern w:val="0"/>
          <w:sz w:val="28"/>
          <w:szCs w:val="28"/>
          <w:highlight w:val="none"/>
        </w:rPr>
        <w:t>根据</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相关部门的档案管理要求提供施工竣工和结算资料，其中竣工资料5份，结算资料3份，所有资料提供电子档1份。</w:t>
      </w:r>
    </w:p>
    <w:p w14:paraId="63CFA09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25.4</w:t>
      </w:r>
      <w:r>
        <w:rPr>
          <w:rFonts w:hint="eastAsia" w:ascii="宋体" w:hAnsi="宋体" w:eastAsia="宋体" w:cs="宋体"/>
          <w:bCs/>
          <w:color w:val="auto"/>
          <w:spacing w:val="0"/>
          <w:kern w:val="0"/>
          <w:sz w:val="28"/>
          <w:szCs w:val="28"/>
          <w:highlight w:val="none"/>
        </w:rPr>
        <w:t>承包方应在开工前提交所有工程报建报监资料，并按要求办理开工前相应手续，且所有施工签证等相关手续符合当地规范规定；工程过程中涉及的办证由承包方负责并承担相关费用，</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协助承包人办理。</w:t>
      </w:r>
    </w:p>
    <w:p w14:paraId="70A61BE2">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25.5</w:t>
      </w:r>
      <w:r>
        <w:rPr>
          <w:rFonts w:hint="eastAsia" w:ascii="宋体" w:hAnsi="宋体" w:eastAsia="宋体" w:cs="宋体"/>
          <w:bCs/>
          <w:color w:val="auto"/>
          <w:spacing w:val="0"/>
          <w:kern w:val="0"/>
          <w:sz w:val="28"/>
          <w:szCs w:val="28"/>
          <w:highlight w:val="none"/>
        </w:rPr>
        <w:t>承包人须按时参加本工程水土保持和环境保护工程验收，提交本工程工作报告和施工管理报告。</w:t>
      </w:r>
    </w:p>
    <w:p w14:paraId="0C72972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25.6</w:t>
      </w:r>
      <w:r>
        <w:rPr>
          <w:rFonts w:hint="eastAsia" w:ascii="宋体" w:hAnsi="宋体" w:eastAsia="宋体" w:cs="宋体"/>
          <w:bCs/>
          <w:color w:val="auto"/>
          <w:spacing w:val="0"/>
          <w:kern w:val="0"/>
          <w:sz w:val="28"/>
          <w:szCs w:val="28"/>
          <w:highlight w:val="none"/>
        </w:rPr>
        <w:t>工程建设中承包人采购的建筑装修材料需向</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提供采购品牌、型号及样品等参数，经</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同意后才可采购，结算费用按投标单价结算。</w:t>
      </w:r>
    </w:p>
    <w:p w14:paraId="7D57953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25.7</w:t>
      </w:r>
      <w:r>
        <w:rPr>
          <w:rFonts w:hint="eastAsia" w:ascii="宋体" w:hAnsi="宋体" w:eastAsia="宋体" w:cs="宋体"/>
          <w:bCs/>
          <w:color w:val="auto"/>
          <w:spacing w:val="0"/>
          <w:kern w:val="0"/>
          <w:sz w:val="28"/>
          <w:szCs w:val="28"/>
          <w:highlight w:val="none"/>
        </w:rPr>
        <w:t>履约保证金退还时间为工程完工验收合格且工程结算资料通过财政或审计部门审核后30天内。</w:t>
      </w:r>
    </w:p>
    <w:p w14:paraId="7D414A3D">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25.8</w:t>
      </w:r>
      <w:r>
        <w:rPr>
          <w:rFonts w:hint="eastAsia" w:ascii="宋体" w:hAnsi="宋体" w:eastAsia="宋体" w:cs="宋体"/>
          <w:bCs/>
          <w:color w:val="auto"/>
          <w:spacing w:val="0"/>
          <w:kern w:val="0"/>
          <w:sz w:val="28"/>
          <w:szCs w:val="28"/>
          <w:highlight w:val="none"/>
        </w:rPr>
        <w:t>本工程取（弃）土运距费用包含办证费、加盖费、取土费、弃土费、处置费等一切相关费用，综合单价包干使用不作调整。</w:t>
      </w:r>
    </w:p>
    <w:p w14:paraId="799C2A3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25.9</w:t>
      </w:r>
      <w:r>
        <w:rPr>
          <w:rFonts w:hint="eastAsia" w:ascii="宋体" w:hAnsi="宋体" w:eastAsia="宋体" w:cs="宋体"/>
          <w:bCs/>
          <w:color w:val="auto"/>
          <w:spacing w:val="0"/>
          <w:kern w:val="0"/>
          <w:sz w:val="28"/>
          <w:szCs w:val="28"/>
          <w:highlight w:val="none"/>
        </w:rPr>
        <w:t>本工程土方开挖已综合考虑施工条件，如承包人施工过程额外增加人工开挖比例，增加的费用由承包人负责，</w:t>
      </w:r>
      <w:r>
        <w:rPr>
          <w:rFonts w:hint="eastAsia" w:ascii="宋体" w:hAnsi="宋体" w:eastAsia="宋体" w:cs="宋体"/>
          <w:bCs/>
          <w:color w:val="auto"/>
          <w:spacing w:val="0"/>
          <w:kern w:val="0"/>
          <w:sz w:val="28"/>
          <w:szCs w:val="28"/>
          <w:highlight w:val="none"/>
          <w:lang w:eastAsia="zh-CN"/>
        </w:rPr>
        <w:t>建设单位</w:t>
      </w:r>
      <w:r>
        <w:rPr>
          <w:rFonts w:hint="eastAsia" w:ascii="宋体" w:hAnsi="宋体" w:eastAsia="宋体" w:cs="宋体"/>
          <w:bCs/>
          <w:color w:val="auto"/>
          <w:spacing w:val="0"/>
          <w:kern w:val="0"/>
          <w:sz w:val="28"/>
          <w:szCs w:val="28"/>
          <w:highlight w:val="none"/>
        </w:rPr>
        <w:t>不再另行支付。</w:t>
      </w:r>
    </w:p>
    <w:p w14:paraId="6F87CAD3">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25.10</w:t>
      </w:r>
      <w:r>
        <w:rPr>
          <w:rFonts w:hint="eastAsia" w:ascii="宋体" w:hAnsi="宋体" w:eastAsia="宋体" w:cs="宋体"/>
          <w:bCs/>
          <w:color w:val="auto"/>
          <w:spacing w:val="0"/>
          <w:kern w:val="0"/>
          <w:sz w:val="28"/>
          <w:szCs w:val="28"/>
          <w:highlight w:val="none"/>
        </w:rPr>
        <w:t>本工程进场及场内道路维修按项计，总价包干不作调整。</w:t>
      </w:r>
    </w:p>
    <w:p w14:paraId="29A31804">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562" w:firstLineChars="200"/>
        <w:textAlignment w:val="baseline"/>
        <w:rPr>
          <w:rFonts w:hint="eastAsia" w:ascii="宋体" w:hAnsi="宋体" w:eastAsia="宋体" w:cs="宋体"/>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25.11</w:t>
      </w:r>
      <w:r>
        <w:rPr>
          <w:rFonts w:hint="eastAsia" w:ascii="宋体" w:hAnsi="宋体" w:eastAsia="宋体" w:cs="宋体"/>
          <w:bCs/>
          <w:color w:val="auto"/>
          <w:spacing w:val="0"/>
          <w:kern w:val="0"/>
          <w:sz w:val="28"/>
          <w:szCs w:val="28"/>
          <w:highlight w:val="none"/>
        </w:rPr>
        <w:t>本工程专用条款中所指的招标期《北海市建设工程造价信息》为招标控制价采用的《北海市建设工程造价信息》发布信息价。</w:t>
      </w:r>
    </w:p>
    <w:p w14:paraId="534767E3">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hint="eastAsia" w:ascii="宋体" w:hAnsi="宋体" w:eastAsia="宋体" w:cs="宋体"/>
          <w:b/>
          <w:bCs/>
          <w:color w:val="auto"/>
          <w:spacing w:val="0"/>
          <w:kern w:val="0"/>
          <w:sz w:val="28"/>
          <w:szCs w:val="28"/>
          <w:highlight w:val="none"/>
        </w:rPr>
        <w:t xml:space="preserve">25.12 </w:t>
      </w:r>
      <w:r>
        <w:rPr>
          <w:rFonts w:hint="eastAsia" w:ascii="宋体" w:hAnsi="宋体" w:eastAsia="宋体" w:cs="宋体"/>
          <w:bCs/>
          <w:color w:val="auto"/>
          <w:spacing w:val="0"/>
          <w:kern w:val="0"/>
          <w:sz w:val="28"/>
          <w:szCs w:val="28"/>
          <w:highlight w:val="none"/>
        </w:rPr>
        <w:t>本工程招标代理服务费，完工或竣工验收结算审计所发生的正常费用，已包含在投标报价的单价与总价中，由承包人承担。</w:t>
      </w:r>
    </w:p>
    <w:p w14:paraId="534767E4">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6">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p>
    <w:p w14:paraId="534767E7">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534767E8">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634" w:name="_Toc3994508"/>
      <w:bookmarkStart w:id="635" w:name="_Toc176861412"/>
      <w:bookmarkStart w:id="636" w:name="_Toc29416"/>
      <w:r>
        <w:rPr>
          <w:rFonts w:hint="eastAsia" w:ascii="宋体" w:hAnsi="宋体"/>
          <w:b/>
          <w:color w:val="000000" w:themeColor="text1"/>
          <w:kern w:val="0"/>
          <w:sz w:val="44"/>
          <w:szCs w:val="44"/>
          <w:highlight w:val="none"/>
          <w14:textFill>
            <w14:solidFill>
              <w14:schemeClr w14:val="tx1"/>
            </w14:solidFill>
          </w14:textFill>
        </w:rPr>
        <w:t>第七章  评定标准</w:t>
      </w:r>
      <w:bookmarkEnd w:id="634"/>
      <w:bookmarkEnd w:id="635"/>
      <w:bookmarkEnd w:id="636"/>
    </w:p>
    <w:p w14:paraId="534767E9">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A">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B">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C">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D">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E">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EF">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0">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1">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2">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3">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4">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5">
      <w:pPr>
        <w:pStyle w:val="23"/>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34767F6">
      <w:pPr>
        <w:pStyle w:val="23"/>
        <w:spacing w:line="440" w:lineRule="exact"/>
        <w:jc w:val="center"/>
        <w:rPr>
          <w:rFonts w:hAnsi="宋体"/>
          <w:color w:val="000000" w:themeColor="text1"/>
          <w:sz w:val="30"/>
          <w:szCs w:val="30"/>
          <w:highlight w:val="none"/>
          <w14:textFill>
            <w14:solidFill>
              <w14:schemeClr w14:val="tx1"/>
            </w14:solidFill>
          </w14:textFill>
        </w:rPr>
      </w:pPr>
      <w:r>
        <w:rPr>
          <w:rFonts w:ascii="仿宋_GB2312" w:hAnsi="宋体" w:eastAsia="仿宋_GB2312"/>
          <w:b/>
          <w:color w:val="000000" w:themeColor="text1"/>
          <w:kern w:val="0"/>
          <w:sz w:val="32"/>
          <w:szCs w:val="32"/>
          <w:highlight w:val="none"/>
          <w14:textFill>
            <w14:solidFill>
              <w14:schemeClr w14:val="tx1"/>
            </w14:solidFill>
          </w14:textFill>
        </w:rPr>
        <w:br w:type="page"/>
      </w:r>
      <w:r>
        <w:rPr>
          <w:rFonts w:hint="eastAsia" w:hAnsi="宋体"/>
          <w:b/>
          <w:color w:val="000000" w:themeColor="text1"/>
          <w:kern w:val="0"/>
          <w:sz w:val="30"/>
          <w:szCs w:val="30"/>
          <w:highlight w:val="none"/>
          <w14:textFill>
            <w14:solidFill>
              <w14:schemeClr w14:val="tx1"/>
            </w14:solidFill>
          </w14:textFill>
        </w:rPr>
        <w:t>评定标准</w:t>
      </w:r>
    </w:p>
    <w:p w14:paraId="534767F7">
      <w:pPr>
        <w:pStyle w:val="23"/>
        <w:numPr>
          <w:ilvl w:val="0"/>
          <w:numId w:val="7"/>
        </w:numPr>
        <w:adjustRightInd w:val="0"/>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Ansi="宋体"/>
          <w:b/>
          <w:bCs/>
          <w:color w:val="000000" w:themeColor="text1"/>
          <w:sz w:val="24"/>
          <w:szCs w:val="24"/>
          <w:highlight w:val="none"/>
          <w14:textFill>
            <w14:solidFill>
              <w14:schemeClr w14:val="tx1"/>
            </w14:solidFill>
          </w14:textFill>
        </w:rPr>
        <w:t>评标原则</w:t>
      </w:r>
    </w:p>
    <w:p w14:paraId="534767F8">
      <w:pPr>
        <w:pStyle w:val="23"/>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(一)磋商小组组成：本磋商采购项目的磋商小组由采购人代表、技术和经济等方面的专家共3人以上单数组成。其中，专家磋商小组成员不得少于成员总数的三分之二。</w:t>
      </w:r>
    </w:p>
    <w:p w14:paraId="534767F9">
      <w:pPr>
        <w:pStyle w:val="23"/>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(二)评审依据：磋商小组成员将以采购文件为评审依据，对供应商的最终报价、</w:t>
      </w:r>
      <w:r>
        <w:rPr>
          <w:rFonts w:hint="eastAsia" w:hAnsi="宋体" w:cs="宋体"/>
          <w:color w:val="000000" w:themeColor="text1"/>
          <w:sz w:val="24"/>
          <w:highlight w:val="none"/>
          <w14:textFill>
            <w14:solidFill>
              <w14:schemeClr w14:val="tx1"/>
            </w14:solidFill>
          </w14:textFill>
        </w:rPr>
        <w:t>项目管理机构</w:t>
      </w:r>
      <w:r>
        <w:rPr>
          <w:rFonts w:hint="eastAsia" w:hAnsi="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highlight w:val="none"/>
          <w14:textFill>
            <w14:solidFill>
              <w14:schemeClr w14:val="tx1"/>
            </w14:solidFill>
          </w14:textFill>
        </w:rPr>
        <w:t>施工组织设计</w:t>
      </w:r>
      <w:r>
        <w:rPr>
          <w:rFonts w:hint="eastAsia" w:hAnsi="宋体" w:cs="宋体"/>
          <w:color w:val="000000" w:themeColor="text1"/>
          <w:sz w:val="24"/>
          <w:szCs w:val="24"/>
          <w:highlight w:val="none"/>
          <w14:textFill>
            <w14:solidFill>
              <w14:schemeClr w14:val="tx1"/>
            </w14:solidFill>
          </w14:textFill>
        </w:rPr>
        <w:t>等方面内容按百分制打分。</w:t>
      </w:r>
    </w:p>
    <w:p w14:paraId="534767FA">
      <w:pPr>
        <w:pStyle w:val="23"/>
        <w:adjustRightInd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(三)评审方式：以封闭方式进行。</w:t>
      </w:r>
    </w:p>
    <w:p w14:paraId="534767FB">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(四)按《政府采购促进中小企业发展管理办法》(财库〔2020〕46号)的规定，</w:t>
      </w:r>
      <w:r>
        <w:rPr>
          <w:rFonts w:hint="eastAsia" w:ascii="宋体" w:hAnsi="宋体" w:cs="宋体"/>
          <w:color w:val="000000" w:themeColor="text1"/>
          <w:sz w:val="24"/>
          <w:highlight w:val="none"/>
          <w14:textFill>
            <w14:solidFill>
              <w14:schemeClr w14:val="tx1"/>
            </w14:solidFill>
          </w14:textFill>
        </w:rPr>
        <w:t>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的扣除，用扣除后的价格参加评审。中小企业参加政府采购活动，应当出具《中小企业声明函》，否则不得享受相关中小企业扶持政策。</w:t>
      </w:r>
    </w:p>
    <w:p w14:paraId="534767FC">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autoSpaceDE w:val="0"/>
        <w:autoSpaceDN w:val="0"/>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(七)未享受优惠政策的供应商的磋商最终报价即为评审价。</w:t>
      </w:r>
    </w:p>
    <w:p w14:paraId="534767FF">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tbl>
      <w:tblPr>
        <w:tblStyle w:val="38"/>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039"/>
        <w:gridCol w:w="5774"/>
      </w:tblGrid>
      <w:tr w14:paraId="2DD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shd w:val="clear" w:color="auto" w:fill="E6E6E6"/>
            <w:vAlign w:val="center"/>
          </w:tcPr>
          <w:p w14:paraId="6542D140">
            <w:pPr>
              <w:spacing w:line="360" w:lineRule="auto"/>
              <w:jc w:val="center"/>
              <w:rPr>
                <w:rFonts w:ascii="宋体"/>
                <w:color w:val="000000"/>
                <w:sz w:val="24"/>
                <w:highlight w:val="none"/>
              </w:rPr>
            </w:pPr>
            <w:r>
              <w:rPr>
                <w:rFonts w:hint="eastAsia" w:ascii="宋体" w:hAnsi="宋体" w:cs="宋体"/>
                <w:color w:val="000000"/>
                <w:sz w:val="24"/>
                <w:highlight w:val="none"/>
              </w:rPr>
              <w:t>条款号</w:t>
            </w:r>
          </w:p>
        </w:tc>
        <w:tc>
          <w:tcPr>
            <w:tcW w:w="2982" w:type="dxa"/>
            <w:gridSpan w:val="3"/>
            <w:shd w:val="clear" w:color="auto" w:fill="E6E6E6"/>
            <w:vAlign w:val="center"/>
          </w:tcPr>
          <w:p w14:paraId="5EED0D76">
            <w:pPr>
              <w:spacing w:line="360" w:lineRule="auto"/>
              <w:jc w:val="center"/>
              <w:rPr>
                <w:rFonts w:ascii="宋体"/>
                <w:color w:val="000000"/>
                <w:sz w:val="24"/>
                <w:highlight w:val="none"/>
              </w:rPr>
            </w:pPr>
            <w:r>
              <w:rPr>
                <w:rFonts w:hint="eastAsia" w:ascii="宋体" w:hAnsi="宋体" w:cs="宋体"/>
                <w:color w:val="000000"/>
                <w:sz w:val="24"/>
                <w:highlight w:val="none"/>
              </w:rPr>
              <w:t>评审因素</w:t>
            </w:r>
          </w:p>
        </w:tc>
        <w:tc>
          <w:tcPr>
            <w:tcW w:w="5774" w:type="dxa"/>
            <w:shd w:val="clear" w:color="auto" w:fill="E6E6E6"/>
            <w:vAlign w:val="center"/>
          </w:tcPr>
          <w:p w14:paraId="56A75B3C">
            <w:pPr>
              <w:spacing w:line="360" w:lineRule="auto"/>
              <w:jc w:val="center"/>
              <w:rPr>
                <w:rFonts w:ascii="宋体"/>
                <w:color w:val="000000"/>
                <w:sz w:val="24"/>
                <w:highlight w:val="none"/>
              </w:rPr>
            </w:pPr>
            <w:r>
              <w:rPr>
                <w:rFonts w:hint="eastAsia" w:ascii="宋体" w:hAnsi="宋体" w:cs="宋体"/>
                <w:color w:val="000000"/>
                <w:sz w:val="24"/>
                <w:highlight w:val="none"/>
              </w:rPr>
              <w:t>评审标准</w:t>
            </w:r>
          </w:p>
        </w:tc>
      </w:tr>
      <w:tr w14:paraId="3B5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302BEE37">
            <w:pPr>
              <w:spacing w:line="360" w:lineRule="auto"/>
              <w:jc w:val="center"/>
              <w:rPr>
                <w:rFonts w:ascii="宋体"/>
                <w:color w:val="000000"/>
                <w:sz w:val="24"/>
                <w:highlight w:val="none"/>
              </w:rPr>
            </w:pPr>
          </w:p>
          <w:p w14:paraId="200F2BF8">
            <w:pPr>
              <w:spacing w:line="360" w:lineRule="auto"/>
              <w:jc w:val="center"/>
              <w:rPr>
                <w:rFonts w:ascii="宋体"/>
                <w:color w:val="000000"/>
                <w:sz w:val="24"/>
                <w:highlight w:val="none"/>
              </w:rPr>
            </w:pPr>
          </w:p>
          <w:p w14:paraId="31CE0ACD">
            <w:pPr>
              <w:spacing w:line="360" w:lineRule="auto"/>
              <w:jc w:val="center"/>
              <w:rPr>
                <w:rFonts w:ascii="宋体"/>
                <w:color w:val="000000"/>
                <w:sz w:val="24"/>
                <w:highlight w:val="none"/>
              </w:rPr>
            </w:pPr>
          </w:p>
          <w:p w14:paraId="64C212B8">
            <w:pPr>
              <w:spacing w:line="360" w:lineRule="auto"/>
              <w:jc w:val="center"/>
              <w:rPr>
                <w:rFonts w:ascii="宋体"/>
                <w:color w:val="000000"/>
                <w:sz w:val="24"/>
                <w:highlight w:val="none"/>
              </w:rPr>
            </w:pPr>
          </w:p>
          <w:p w14:paraId="765E84A4">
            <w:pPr>
              <w:spacing w:line="360" w:lineRule="auto"/>
              <w:jc w:val="center"/>
              <w:rPr>
                <w:rFonts w:ascii="宋体"/>
                <w:color w:val="000000"/>
                <w:sz w:val="24"/>
                <w:highlight w:val="none"/>
              </w:rPr>
            </w:pPr>
          </w:p>
          <w:p w14:paraId="48F45FD6">
            <w:pPr>
              <w:spacing w:line="360" w:lineRule="auto"/>
              <w:jc w:val="center"/>
              <w:rPr>
                <w:rFonts w:ascii="宋体"/>
                <w:color w:val="000000"/>
                <w:sz w:val="24"/>
                <w:highlight w:val="none"/>
              </w:rPr>
            </w:pPr>
          </w:p>
          <w:p w14:paraId="154198D8">
            <w:pPr>
              <w:spacing w:line="360" w:lineRule="auto"/>
              <w:jc w:val="center"/>
              <w:rPr>
                <w:rFonts w:ascii="宋体"/>
                <w:color w:val="000000"/>
                <w:sz w:val="24"/>
                <w:highlight w:val="none"/>
              </w:rPr>
            </w:pPr>
          </w:p>
          <w:p w14:paraId="7945DC81">
            <w:pPr>
              <w:spacing w:line="360" w:lineRule="auto"/>
              <w:jc w:val="center"/>
              <w:rPr>
                <w:rFonts w:ascii="宋体"/>
                <w:color w:val="000000"/>
                <w:sz w:val="24"/>
                <w:highlight w:val="none"/>
              </w:rPr>
            </w:pPr>
          </w:p>
          <w:p w14:paraId="0BCE458F">
            <w:pPr>
              <w:spacing w:line="360" w:lineRule="auto"/>
              <w:jc w:val="center"/>
              <w:rPr>
                <w:rFonts w:ascii="宋体"/>
                <w:color w:val="000000"/>
                <w:sz w:val="24"/>
                <w:highlight w:val="none"/>
              </w:rPr>
            </w:pPr>
          </w:p>
          <w:p w14:paraId="7C42DBAF">
            <w:pPr>
              <w:spacing w:line="360" w:lineRule="auto"/>
              <w:jc w:val="center"/>
              <w:rPr>
                <w:rFonts w:ascii="宋体"/>
                <w:color w:val="000000"/>
                <w:sz w:val="24"/>
                <w:highlight w:val="none"/>
              </w:rPr>
            </w:pPr>
          </w:p>
          <w:p w14:paraId="00C31DDF">
            <w:pPr>
              <w:spacing w:line="360" w:lineRule="auto"/>
              <w:jc w:val="center"/>
              <w:rPr>
                <w:rFonts w:ascii="宋体"/>
                <w:color w:val="000000"/>
                <w:sz w:val="24"/>
                <w:highlight w:val="none"/>
              </w:rPr>
            </w:pPr>
            <w:r>
              <w:rPr>
                <w:rFonts w:ascii="宋体" w:hAnsi="宋体"/>
                <w:color w:val="000000"/>
                <w:sz w:val="24"/>
                <w:highlight w:val="none"/>
              </w:rPr>
              <w:t>1</w:t>
            </w:r>
          </w:p>
        </w:tc>
        <w:tc>
          <w:tcPr>
            <w:tcW w:w="1031" w:type="dxa"/>
            <w:vMerge w:val="restart"/>
            <w:vAlign w:val="center"/>
          </w:tcPr>
          <w:p w14:paraId="66471CC1">
            <w:pPr>
              <w:spacing w:line="360" w:lineRule="auto"/>
              <w:jc w:val="center"/>
              <w:rPr>
                <w:rFonts w:ascii="宋体"/>
                <w:color w:val="000000"/>
                <w:sz w:val="24"/>
                <w:highlight w:val="none"/>
              </w:rPr>
            </w:pPr>
          </w:p>
          <w:p w14:paraId="2A700E42">
            <w:pPr>
              <w:spacing w:line="360" w:lineRule="auto"/>
              <w:jc w:val="center"/>
              <w:rPr>
                <w:rFonts w:ascii="宋体"/>
                <w:color w:val="000000"/>
                <w:sz w:val="24"/>
                <w:highlight w:val="none"/>
              </w:rPr>
            </w:pPr>
          </w:p>
          <w:p w14:paraId="4A93FDAE">
            <w:pPr>
              <w:spacing w:line="360" w:lineRule="auto"/>
              <w:jc w:val="center"/>
              <w:rPr>
                <w:rFonts w:ascii="宋体"/>
                <w:color w:val="000000"/>
                <w:sz w:val="24"/>
                <w:highlight w:val="none"/>
              </w:rPr>
            </w:pPr>
          </w:p>
          <w:p w14:paraId="71BF8A68">
            <w:pPr>
              <w:spacing w:line="360" w:lineRule="auto"/>
              <w:jc w:val="center"/>
              <w:rPr>
                <w:rFonts w:ascii="宋体"/>
                <w:color w:val="000000"/>
                <w:sz w:val="24"/>
                <w:highlight w:val="none"/>
              </w:rPr>
            </w:pPr>
          </w:p>
          <w:p w14:paraId="2AEE1F72">
            <w:pPr>
              <w:spacing w:line="360" w:lineRule="auto"/>
              <w:jc w:val="center"/>
              <w:rPr>
                <w:rFonts w:ascii="宋体"/>
                <w:color w:val="000000"/>
                <w:sz w:val="24"/>
                <w:highlight w:val="none"/>
              </w:rPr>
            </w:pPr>
          </w:p>
          <w:p w14:paraId="6929FE0D">
            <w:pPr>
              <w:spacing w:line="360" w:lineRule="auto"/>
              <w:jc w:val="center"/>
              <w:rPr>
                <w:rFonts w:ascii="宋体"/>
                <w:color w:val="000000"/>
                <w:sz w:val="24"/>
                <w:highlight w:val="none"/>
              </w:rPr>
            </w:pPr>
          </w:p>
          <w:p w14:paraId="3F72C7C5">
            <w:pPr>
              <w:spacing w:line="360" w:lineRule="auto"/>
              <w:jc w:val="center"/>
              <w:rPr>
                <w:rFonts w:ascii="宋体"/>
                <w:color w:val="000000"/>
                <w:sz w:val="24"/>
                <w:highlight w:val="none"/>
              </w:rPr>
            </w:pPr>
            <w:r>
              <w:rPr>
                <w:rFonts w:hint="eastAsia" w:ascii="宋体" w:hAnsi="宋体"/>
                <w:color w:val="000000"/>
                <w:sz w:val="24"/>
                <w:highlight w:val="none"/>
              </w:rPr>
              <w:t>技术分</w:t>
            </w:r>
          </w:p>
          <w:p w14:paraId="48B12AA8">
            <w:pPr>
              <w:spacing w:line="360" w:lineRule="auto"/>
              <w:jc w:val="center"/>
              <w:rPr>
                <w:rFonts w:ascii="宋体"/>
                <w:color w:val="000000"/>
                <w:sz w:val="24"/>
                <w:highlight w:val="none"/>
              </w:rPr>
            </w:pPr>
          </w:p>
          <w:p w14:paraId="2316775B">
            <w:pPr>
              <w:spacing w:line="360" w:lineRule="auto"/>
              <w:jc w:val="center"/>
              <w:rPr>
                <w:rFonts w:ascii="宋体"/>
                <w:color w:val="000000"/>
                <w:sz w:val="24"/>
                <w:highlight w:val="none"/>
              </w:rPr>
            </w:pPr>
            <w:r>
              <w:rPr>
                <w:rFonts w:hint="eastAsia" w:ascii="宋体" w:hAnsi="宋体" w:cs="宋体"/>
                <w:b/>
                <w:szCs w:val="21"/>
                <w:highlight w:val="none"/>
              </w:rPr>
              <w:t>由磋商小组成员根据供应商提供技术部分内容独立评审、打分</w:t>
            </w:r>
          </w:p>
        </w:tc>
        <w:tc>
          <w:tcPr>
            <w:tcW w:w="912" w:type="dxa"/>
            <w:vMerge w:val="restart"/>
            <w:vAlign w:val="center"/>
          </w:tcPr>
          <w:p w14:paraId="5DDC0545">
            <w:pPr>
              <w:spacing w:line="360" w:lineRule="auto"/>
              <w:jc w:val="center"/>
              <w:rPr>
                <w:rFonts w:ascii="宋体" w:cs="宋体"/>
                <w:color w:val="000000"/>
                <w:sz w:val="24"/>
                <w:highlight w:val="none"/>
              </w:rPr>
            </w:pPr>
          </w:p>
          <w:p w14:paraId="1EF43167">
            <w:pPr>
              <w:spacing w:line="360" w:lineRule="auto"/>
              <w:jc w:val="center"/>
              <w:rPr>
                <w:rFonts w:ascii="宋体" w:cs="宋体"/>
                <w:color w:val="000000"/>
                <w:sz w:val="24"/>
                <w:highlight w:val="none"/>
              </w:rPr>
            </w:pPr>
          </w:p>
          <w:p w14:paraId="5DC9CA5D">
            <w:pPr>
              <w:spacing w:line="360" w:lineRule="auto"/>
              <w:jc w:val="center"/>
              <w:rPr>
                <w:rFonts w:ascii="宋体" w:cs="宋体"/>
                <w:color w:val="000000"/>
                <w:sz w:val="24"/>
                <w:highlight w:val="none"/>
              </w:rPr>
            </w:pPr>
          </w:p>
          <w:p w14:paraId="11985089">
            <w:pPr>
              <w:spacing w:line="360" w:lineRule="auto"/>
              <w:jc w:val="center"/>
              <w:rPr>
                <w:rFonts w:ascii="宋体" w:cs="宋体"/>
                <w:color w:val="000000"/>
                <w:sz w:val="24"/>
                <w:highlight w:val="none"/>
              </w:rPr>
            </w:pPr>
          </w:p>
          <w:p w14:paraId="436E30E8">
            <w:pPr>
              <w:spacing w:line="360" w:lineRule="auto"/>
              <w:jc w:val="center"/>
              <w:rPr>
                <w:rFonts w:ascii="宋体" w:cs="宋体"/>
                <w:color w:val="000000"/>
                <w:sz w:val="24"/>
                <w:highlight w:val="none"/>
              </w:rPr>
            </w:pPr>
          </w:p>
          <w:p w14:paraId="58986278">
            <w:pPr>
              <w:spacing w:line="360" w:lineRule="auto"/>
              <w:jc w:val="center"/>
              <w:rPr>
                <w:rFonts w:ascii="宋体" w:cs="宋体"/>
                <w:color w:val="000000"/>
                <w:sz w:val="24"/>
                <w:highlight w:val="none"/>
              </w:rPr>
            </w:pPr>
          </w:p>
          <w:p w14:paraId="0E7DFA0C">
            <w:pPr>
              <w:spacing w:line="360" w:lineRule="auto"/>
              <w:jc w:val="center"/>
              <w:rPr>
                <w:rFonts w:ascii="宋体" w:cs="宋体"/>
                <w:color w:val="000000"/>
                <w:sz w:val="24"/>
                <w:highlight w:val="none"/>
              </w:rPr>
            </w:pPr>
          </w:p>
          <w:p w14:paraId="2D971D25">
            <w:pPr>
              <w:spacing w:line="360" w:lineRule="auto"/>
              <w:jc w:val="center"/>
              <w:rPr>
                <w:rFonts w:ascii="宋体" w:cs="宋体"/>
                <w:color w:val="000000"/>
                <w:sz w:val="24"/>
                <w:highlight w:val="none"/>
              </w:rPr>
            </w:pPr>
          </w:p>
          <w:p w14:paraId="4DE41506">
            <w:pPr>
              <w:spacing w:line="360" w:lineRule="auto"/>
              <w:jc w:val="center"/>
              <w:rPr>
                <w:rFonts w:hint="eastAsia" w:ascii="宋体" w:eastAsia="宋体"/>
                <w:color w:val="000000"/>
                <w:sz w:val="24"/>
                <w:highlight w:val="none"/>
                <w:lang w:eastAsia="zh-CN"/>
              </w:rPr>
            </w:pPr>
            <w:r>
              <w:rPr>
                <w:rFonts w:hint="eastAsia" w:ascii="宋体" w:hAnsi="宋体" w:cs="宋体"/>
                <w:color w:val="000000"/>
                <w:sz w:val="24"/>
                <w:highlight w:val="none"/>
              </w:rPr>
              <w:t>施工组织设计</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58分</w:t>
            </w:r>
            <w:r>
              <w:rPr>
                <w:rFonts w:hint="eastAsia" w:ascii="宋体" w:hAnsi="宋体" w:cs="宋体"/>
                <w:color w:val="000000"/>
                <w:sz w:val="24"/>
                <w:highlight w:val="none"/>
                <w:lang w:eastAsia="zh-CN"/>
              </w:rPr>
              <w:t>）</w:t>
            </w:r>
          </w:p>
        </w:tc>
        <w:tc>
          <w:tcPr>
            <w:tcW w:w="1039" w:type="dxa"/>
            <w:vAlign w:val="center"/>
          </w:tcPr>
          <w:p w14:paraId="33545E0B">
            <w:pPr>
              <w:spacing w:line="360" w:lineRule="auto"/>
              <w:rPr>
                <w:rFonts w:ascii="宋体" w:cs="宋体"/>
                <w:color w:val="000000"/>
                <w:kern w:val="0"/>
                <w:sz w:val="24"/>
                <w:highlight w:val="none"/>
              </w:rPr>
            </w:pPr>
          </w:p>
          <w:p w14:paraId="680D7B7E">
            <w:pPr>
              <w:spacing w:line="360" w:lineRule="auto"/>
              <w:rPr>
                <w:rFonts w:ascii="宋体" w:cs="宋体"/>
                <w:color w:val="000000"/>
                <w:kern w:val="0"/>
                <w:sz w:val="24"/>
                <w:highlight w:val="none"/>
              </w:rPr>
            </w:pPr>
          </w:p>
          <w:p w14:paraId="166AF523">
            <w:pPr>
              <w:spacing w:line="360" w:lineRule="auto"/>
              <w:rPr>
                <w:rFonts w:ascii="宋体" w:cs="宋体"/>
                <w:color w:val="000000"/>
                <w:kern w:val="0"/>
                <w:sz w:val="24"/>
                <w:highlight w:val="none"/>
              </w:rPr>
            </w:pPr>
          </w:p>
          <w:p w14:paraId="0C91B068">
            <w:pPr>
              <w:spacing w:line="360" w:lineRule="auto"/>
              <w:rPr>
                <w:rFonts w:ascii="宋体"/>
                <w:color w:val="000000"/>
                <w:kern w:val="0"/>
                <w:sz w:val="24"/>
                <w:highlight w:val="none"/>
              </w:rPr>
            </w:pPr>
            <w:r>
              <w:rPr>
                <w:rFonts w:hint="eastAsia" w:ascii="宋体" w:hAnsi="宋体" w:cs="宋体"/>
                <w:color w:val="000000"/>
                <w:kern w:val="0"/>
                <w:sz w:val="24"/>
                <w:highlight w:val="none"/>
              </w:rPr>
              <w:t>主要施工方法</w:t>
            </w:r>
          </w:p>
          <w:p w14:paraId="10A47BF4">
            <w:pPr>
              <w:spacing w:line="360" w:lineRule="auto"/>
              <w:rPr>
                <w:rFonts w:ascii="宋体"/>
                <w:color w:val="00000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9</w:t>
            </w:r>
            <w:r>
              <w:rPr>
                <w:rFonts w:hint="eastAsia" w:ascii="宋体" w:hAnsi="宋体" w:cs="宋体"/>
                <w:color w:val="000000"/>
                <w:kern w:val="0"/>
                <w:sz w:val="24"/>
                <w:highlight w:val="none"/>
              </w:rPr>
              <w:t>分）</w:t>
            </w:r>
          </w:p>
        </w:tc>
        <w:tc>
          <w:tcPr>
            <w:tcW w:w="5774" w:type="dxa"/>
            <w:vAlign w:val="center"/>
          </w:tcPr>
          <w:p w14:paraId="304D0675">
            <w:pPr>
              <w:widowControl/>
              <w:spacing w:line="360" w:lineRule="exact"/>
              <w:rPr>
                <w:rFonts w:ascii="宋体"/>
                <w:color w:val="000000"/>
                <w:sz w:val="24"/>
                <w:highlight w:val="none"/>
              </w:rPr>
            </w:pPr>
            <w:r>
              <w:rPr>
                <w:rFonts w:hint="eastAsia" w:ascii="宋体" w:hAnsi="宋体"/>
                <w:b/>
                <w:bCs/>
                <w:color w:val="000000"/>
                <w:sz w:val="24"/>
                <w:highlight w:val="none"/>
                <w:lang w:val="en-US" w:eastAsia="zh-CN"/>
              </w:rPr>
              <w:t>优</w:t>
            </w:r>
            <w:r>
              <w:rPr>
                <w:rFonts w:hint="eastAsia" w:ascii="宋体" w:hAnsi="宋体"/>
                <w:b/>
                <w:bCs/>
                <w:color w:val="000000"/>
                <w:sz w:val="24"/>
                <w:highlight w:val="none"/>
              </w:rPr>
              <w:t>（</w:t>
            </w:r>
            <w:r>
              <w:rPr>
                <w:rFonts w:ascii="宋体" w:hAnsi="宋体"/>
                <w:b/>
                <w:bCs/>
                <w:color w:val="000000"/>
                <w:sz w:val="24"/>
                <w:highlight w:val="none"/>
              </w:rPr>
              <w:t>9</w:t>
            </w:r>
            <w:r>
              <w:rPr>
                <w:rFonts w:hint="eastAsia" w:ascii="宋体" w:hAnsi="宋体"/>
                <w:b/>
                <w:bCs/>
                <w:color w:val="000000"/>
                <w:sz w:val="24"/>
                <w:highlight w:val="none"/>
              </w:rPr>
              <w:t>分）：</w:t>
            </w:r>
            <w:r>
              <w:rPr>
                <w:rFonts w:hint="eastAsia" w:ascii="宋体" w:hAnsi="宋体"/>
                <w:color w:val="000000"/>
                <w:sz w:val="24"/>
                <w:highlight w:val="none"/>
              </w:rPr>
              <w:t>各主要分部施工方法符合项目实际，有详尽的施工技术方案，工艺先进、方法科学合理、可行，能指导具体施工并确保安全；</w:t>
            </w:r>
            <w:r>
              <w:rPr>
                <w:rFonts w:ascii="宋体" w:hAnsi="宋体"/>
                <w:color w:val="000000"/>
                <w:sz w:val="24"/>
                <w:highlight w:val="none"/>
              </w:rPr>
              <w:t xml:space="preserve"> </w:t>
            </w:r>
          </w:p>
          <w:p w14:paraId="31F70319">
            <w:pPr>
              <w:widowControl/>
              <w:spacing w:line="360" w:lineRule="exact"/>
              <w:rPr>
                <w:rFonts w:ascii="宋体"/>
                <w:color w:val="000000"/>
                <w:sz w:val="24"/>
                <w:highlight w:val="none"/>
              </w:rPr>
            </w:pPr>
            <w:r>
              <w:rPr>
                <w:rFonts w:hint="eastAsia" w:ascii="宋体" w:hAnsi="宋体" w:eastAsia="宋体"/>
                <w:b/>
                <w:bCs/>
                <w:color w:val="000000"/>
                <w:sz w:val="24"/>
                <w:highlight w:val="none"/>
                <w:lang w:val="en-US" w:eastAsia="zh-CN"/>
              </w:rPr>
              <w:t>良（6分）：</w:t>
            </w:r>
            <w:r>
              <w:rPr>
                <w:rFonts w:hint="eastAsia" w:ascii="宋体" w:hAnsi="宋体"/>
                <w:color w:val="000000"/>
                <w:sz w:val="24"/>
                <w:highlight w:val="none"/>
              </w:rPr>
              <w:t>各主要分部施工方法符合项目实际，有详尽的施工技术方案，工艺、方法可行，能指导具体施工并确保安全；</w:t>
            </w:r>
            <w:r>
              <w:rPr>
                <w:rFonts w:ascii="宋体" w:hAnsi="宋体"/>
                <w:color w:val="000000"/>
                <w:sz w:val="24"/>
                <w:highlight w:val="none"/>
              </w:rPr>
              <w:t xml:space="preserve"> </w:t>
            </w:r>
          </w:p>
          <w:p w14:paraId="724EDA0C">
            <w:pPr>
              <w:widowControl/>
              <w:spacing w:line="360" w:lineRule="exact"/>
              <w:rPr>
                <w:rFonts w:ascii="宋体"/>
                <w:color w:val="000000"/>
                <w:sz w:val="24"/>
                <w:highlight w:val="none"/>
              </w:rPr>
            </w:pPr>
            <w:r>
              <w:rPr>
                <w:rFonts w:hint="eastAsia" w:ascii="宋体" w:hAnsi="宋体" w:eastAsia="宋体"/>
                <w:b/>
                <w:bCs/>
                <w:color w:val="000000"/>
                <w:sz w:val="24"/>
                <w:highlight w:val="none"/>
                <w:lang w:val="en-US" w:eastAsia="zh-CN"/>
              </w:rPr>
              <w:t>中（3分）：</w:t>
            </w:r>
            <w:r>
              <w:rPr>
                <w:rFonts w:hint="eastAsia" w:ascii="宋体" w:hAnsi="宋体"/>
                <w:color w:val="000000"/>
                <w:sz w:val="24"/>
                <w:highlight w:val="none"/>
              </w:rPr>
              <w:t>各主要分部施工方法基本符合项目实际，须有施工技术方案，工艺、方法可行，基本能指导具体施工并确保安全；</w:t>
            </w:r>
          </w:p>
          <w:p w14:paraId="56F06440">
            <w:pPr>
              <w:widowControl/>
              <w:spacing w:line="360" w:lineRule="exact"/>
              <w:rPr>
                <w:rFonts w:ascii="宋体"/>
                <w:color w:val="000000"/>
                <w:sz w:val="24"/>
                <w:highlight w:val="none"/>
              </w:rPr>
            </w:pPr>
            <w:r>
              <w:rPr>
                <w:rFonts w:hint="eastAsia" w:ascii="宋体" w:hAnsi="宋体" w:eastAsia="宋体"/>
                <w:b/>
                <w:bCs/>
                <w:color w:val="000000"/>
                <w:sz w:val="24"/>
                <w:highlight w:val="none"/>
                <w:lang w:val="en-US" w:eastAsia="zh-CN"/>
              </w:rPr>
              <w:t>差（0分）：</w:t>
            </w:r>
            <w:r>
              <w:rPr>
                <w:rFonts w:hint="eastAsia" w:ascii="宋体" w:hAnsi="宋体"/>
                <w:color w:val="000000"/>
                <w:sz w:val="24"/>
                <w:highlight w:val="none"/>
              </w:rPr>
              <w:t>各主要分部施工方法不符合项目实际，无详尽的施工技术方案，不能指导具体施工并确保安全；</w:t>
            </w:r>
          </w:p>
        </w:tc>
      </w:tr>
      <w:tr w14:paraId="588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074D945">
            <w:pPr>
              <w:spacing w:line="360" w:lineRule="auto"/>
              <w:jc w:val="center"/>
              <w:rPr>
                <w:rFonts w:ascii="宋体"/>
                <w:color w:val="000000"/>
                <w:sz w:val="24"/>
                <w:highlight w:val="none"/>
              </w:rPr>
            </w:pPr>
          </w:p>
        </w:tc>
        <w:tc>
          <w:tcPr>
            <w:tcW w:w="1031" w:type="dxa"/>
            <w:vMerge w:val="continue"/>
            <w:vAlign w:val="center"/>
          </w:tcPr>
          <w:p w14:paraId="1508DBD2">
            <w:pPr>
              <w:spacing w:line="360" w:lineRule="auto"/>
              <w:jc w:val="center"/>
              <w:rPr>
                <w:rFonts w:ascii="宋体"/>
                <w:color w:val="000000"/>
                <w:sz w:val="24"/>
                <w:highlight w:val="none"/>
              </w:rPr>
            </w:pPr>
          </w:p>
        </w:tc>
        <w:tc>
          <w:tcPr>
            <w:tcW w:w="912" w:type="dxa"/>
            <w:vMerge w:val="continue"/>
            <w:vAlign w:val="center"/>
          </w:tcPr>
          <w:p w14:paraId="60E31271">
            <w:pPr>
              <w:spacing w:line="360" w:lineRule="auto"/>
              <w:jc w:val="center"/>
              <w:rPr>
                <w:rFonts w:ascii="宋体"/>
                <w:color w:val="000000"/>
                <w:sz w:val="24"/>
                <w:highlight w:val="none"/>
              </w:rPr>
            </w:pPr>
          </w:p>
        </w:tc>
        <w:tc>
          <w:tcPr>
            <w:tcW w:w="1039" w:type="dxa"/>
            <w:vAlign w:val="center"/>
          </w:tcPr>
          <w:p w14:paraId="40788E1B">
            <w:pPr>
              <w:widowControl/>
              <w:spacing w:line="360" w:lineRule="auto"/>
              <w:rPr>
                <w:rFonts w:ascii="宋体" w:cs="宋体"/>
                <w:color w:val="000000"/>
                <w:kern w:val="0"/>
                <w:sz w:val="24"/>
                <w:highlight w:val="none"/>
              </w:rPr>
            </w:pPr>
            <w:r>
              <w:rPr>
                <w:rFonts w:hint="eastAsia" w:ascii="宋体" w:hAnsi="宋体" w:cs="宋体"/>
                <w:color w:val="000000"/>
                <w:kern w:val="0"/>
                <w:sz w:val="24"/>
                <w:highlight w:val="none"/>
              </w:rPr>
              <w:t>拟投入的主要物资计划（</w:t>
            </w:r>
            <w:r>
              <w:rPr>
                <w:rFonts w:ascii="宋体" w:hAnsi="宋体" w:cs="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0A884FC2">
            <w:pPr>
              <w:widowControl/>
              <w:spacing w:line="360" w:lineRule="exact"/>
              <w:rPr>
                <w:rFonts w:ascii="宋体"/>
                <w:color w:val="000000"/>
                <w:sz w:val="24"/>
                <w:highlight w:val="none"/>
              </w:rPr>
            </w:pPr>
            <w:r>
              <w:rPr>
                <w:rFonts w:hint="eastAsia" w:ascii="宋体" w:hAnsi="宋体"/>
                <w:b/>
                <w:bCs/>
                <w:color w:val="000000"/>
                <w:sz w:val="24"/>
                <w:highlight w:val="none"/>
                <w:lang w:eastAsia="zh-CN"/>
              </w:rPr>
              <w:t>优</w:t>
            </w:r>
            <w:r>
              <w:rPr>
                <w:rFonts w:hint="eastAsia" w:ascii="宋体" w:hAnsi="宋体"/>
                <w:b/>
                <w:bCs/>
                <w:color w:val="000000"/>
                <w:sz w:val="24"/>
                <w:highlight w:val="none"/>
              </w:rPr>
              <w:t>（</w:t>
            </w:r>
            <w:r>
              <w:rPr>
                <w:rFonts w:ascii="宋体" w:hAnsi="宋体"/>
                <w:b/>
                <w:bCs/>
                <w:color w:val="000000"/>
                <w:sz w:val="24"/>
                <w:highlight w:val="none"/>
              </w:rPr>
              <w:t>6</w:t>
            </w:r>
            <w:r>
              <w:rPr>
                <w:rFonts w:hint="eastAsia" w:ascii="宋体" w:hAnsi="宋体"/>
                <w:b/>
                <w:bCs/>
                <w:color w:val="000000"/>
                <w:sz w:val="24"/>
                <w:highlight w:val="none"/>
              </w:rPr>
              <w:t>分）：</w:t>
            </w:r>
            <w:r>
              <w:rPr>
                <w:rFonts w:hint="eastAsia" w:ascii="宋体" w:hAnsi="宋体"/>
                <w:color w:val="000000"/>
                <w:sz w:val="24"/>
                <w:highlight w:val="none"/>
              </w:rPr>
              <w:t>投入的施工材料有详细的组织计划且计划周密，数量、选型配置、进场时间安排合理，满足施工需要；</w:t>
            </w:r>
            <w:r>
              <w:rPr>
                <w:rFonts w:ascii="宋体" w:hAnsi="宋体"/>
                <w:color w:val="000000"/>
                <w:sz w:val="24"/>
                <w:highlight w:val="none"/>
              </w:rPr>
              <w:t xml:space="preserve"> </w:t>
            </w:r>
          </w:p>
          <w:p w14:paraId="3F0AD1AE">
            <w:pPr>
              <w:widowControl/>
              <w:spacing w:line="360" w:lineRule="exact"/>
              <w:rPr>
                <w:rFonts w:ascii="宋体"/>
                <w:color w:val="000000"/>
                <w:sz w:val="24"/>
                <w:highlight w:val="none"/>
              </w:rPr>
            </w:pPr>
            <w:r>
              <w:rPr>
                <w:rFonts w:hint="eastAsia" w:ascii="宋体" w:hAnsi="宋体"/>
                <w:b/>
                <w:bCs/>
                <w:color w:val="000000"/>
                <w:sz w:val="24"/>
                <w:highlight w:val="none"/>
                <w:lang w:eastAsia="zh-CN"/>
              </w:rPr>
              <w:t>良</w:t>
            </w:r>
            <w:r>
              <w:rPr>
                <w:rFonts w:hint="eastAsia" w:ascii="宋体" w:hAnsi="宋体"/>
                <w:b/>
                <w:bCs/>
                <w:color w:val="000000"/>
                <w:sz w:val="24"/>
                <w:highlight w:val="none"/>
              </w:rPr>
              <w:t>（</w:t>
            </w:r>
            <w:r>
              <w:rPr>
                <w:rFonts w:ascii="宋体" w:hAnsi="宋体"/>
                <w:b/>
                <w:bCs/>
                <w:color w:val="000000"/>
                <w:sz w:val="24"/>
                <w:highlight w:val="none"/>
              </w:rPr>
              <w:t>4</w:t>
            </w:r>
            <w:r>
              <w:rPr>
                <w:rFonts w:hint="eastAsia" w:ascii="宋体" w:hAnsi="宋体"/>
                <w:b/>
                <w:bCs/>
                <w:color w:val="000000"/>
                <w:sz w:val="24"/>
                <w:highlight w:val="none"/>
              </w:rPr>
              <w:t>分）：</w:t>
            </w:r>
            <w:r>
              <w:rPr>
                <w:rFonts w:hint="eastAsia" w:ascii="宋体" w:hAnsi="宋体"/>
                <w:color w:val="000000"/>
                <w:sz w:val="24"/>
                <w:highlight w:val="none"/>
              </w:rPr>
              <w:t>投入的施工材料有详细的组织计划且计划周密，投入计划与进度计划对应，调配投入计划合理、准确，较好满足施工需要。</w:t>
            </w:r>
            <w:r>
              <w:rPr>
                <w:rFonts w:ascii="宋体" w:hAnsi="宋体"/>
                <w:color w:val="000000"/>
                <w:sz w:val="24"/>
                <w:highlight w:val="none"/>
              </w:rPr>
              <w:t xml:space="preserve"> </w:t>
            </w:r>
          </w:p>
          <w:p w14:paraId="717E7617">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投入的施工材料有详细的组织计划，投入计划与进度计划对应，调配投入计划基本合理、准确，基本满足施工需要。</w:t>
            </w:r>
          </w:p>
          <w:p w14:paraId="0106912A">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投入的施工材料无详细组织计划，数量、选型配置、进场时间安排不合理，不能满足施工需要</w:t>
            </w:r>
            <w:r>
              <w:rPr>
                <w:rFonts w:hint="eastAsia" w:ascii="宋体" w:hAnsi="宋体"/>
                <w:b/>
                <w:bCs/>
                <w:color w:val="000000"/>
                <w:sz w:val="24"/>
                <w:highlight w:val="none"/>
              </w:rPr>
              <w:t>或未提供拟投入的主要物资计划。</w:t>
            </w:r>
          </w:p>
        </w:tc>
      </w:tr>
      <w:tr w14:paraId="0C0F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AF1FFC8">
            <w:pPr>
              <w:spacing w:line="360" w:lineRule="auto"/>
              <w:jc w:val="center"/>
              <w:rPr>
                <w:rFonts w:ascii="宋体"/>
                <w:color w:val="000000"/>
                <w:sz w:val="24"/>
                <w:highlight w:val="none"/>
              </w:rPr>
            </w:pPr>
          </w:p>
        </w:tc>
        <w:tc>
          <w:tcPr>
            <w:tcW w:w="1031" w:type="dxa"/>
            <w:vMerge w:val="continue"/>
            <w:vAlign w:val="center"/>
          </w:tcPr>
          <w:p w14:paraId="0D90A4A3">
            <w:pPr>
              <w:spacing w:line="360" w:lineRule="auto"/>
              <w:jc w:val="center"/>
              <w:rPr>
                <w:rFonts w:ascii="宋体"/>
                <w:color w:val="000000"/>
                <w:sz w:val="24"/>
                <w:highlight w:val="none"/>
              </w:rPr>
            </w:pPr>
          </w:p>
        </w:tc>
        <w:tc>
          <w:tcPr>
            <w:tcW w:w="912" w:type="dxa"/>
            <w:vMerge w:val="continue"/>
            <w:vAlign w:val="center"/>
          </w:tcPr>
          <w:p w14:paraId="32A41ADB">
            <w:pPr>
              <w:spacing w:line="360" w:lineRule="auto"/>
              <w:jc w:val="center"/>
              <w:rPr>
                <w:rFonts w:ascii="宋体"/>
                <w:color w:val="000000"/>
                <w:sz w:val="24"/>
                <w:highlight w:val="none"/>
              </w:rPr>
            </w:pPr>
          </w:p>
        </w:tc>
        <w:tc>
          <w:tcPr>
            <w:tcW w:w="1039" w:type="dxa"/>
            <w:vAlign w:val="center"/>
          </w:tcPr>
          <w:p w14:paraId="42B1D0A6">
            <w:pPr>
              <w:widowControl/>
              <w:spacing w:line="360" w:lineRule="auto"/>
              <w:rPr>
                <w:rFonts w:ascii="宋体"/>
                <w:color w:val="000000"/>
                <w:sz w:val="24"/>
                <w:highlight w:val="none"/>
              </w:rPr>
            </w:pPr>
            <w:r>
              <w:rPr>
                <w:rFonts w:hint="eastAsia" w:ascii="宋体" w:hAnsi="宋体" w:cs="宋体"/>
                <w:color w:val="000000"/>
                <w:kern w:val="0"/>
                <w:sz w:val="24"/>
                <w:highlight w:val="none"/>
              </w:rPr>
              <w:t>劳动力安排计划（</w:t>
            </w:r>
            <w:r>
              <w:rPr>
                <w:rFonts w:ascii="宋体" w:hAnsi="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5E7E212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优（6分）：</w:t>
            </w:r>
            <w:r>
              <w:rPr>
                <w:rFonts w:hint="eastAsia" w:ascii="宋体" w:hAnsi="宋体"/>
                <w:color w:val="000000"/>
                <w:sz w:val="24"/>
                <w:highlight w:val="none"/>
              </w:rPr>
              <w:t>各主要施工工序有详细周密的劳动力安排计划，有各工种劳动力安排计划，劳动力投入合理，完全满足施工需要。</w:t>
            </w:r>
            <w:r>
              <w:rPr>
                <w:rFonts w:ascii="宋体" w:hAnsi="宋体"/>
                <w:color w:val="000000"/>
                <w:sz w:val="24"/>
                <w:highlight w:val="none"/>
              </w:rPr>
              <w:t xml:space="preserve"> </w:t>
            </w:r>
          </w:p>
          <w:p w14:paraId="24FADF30">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良（4分）：</w:t>
            </w:r>
            <w:r>
              <w:rPr>
                <w:rFonts w:hint="eastAsia" w:ascii="宋体" w:hAnsi="宋体"/>
                <w:color w:val="000000"/>
                <w:sz w:val="24"/>
                <w:highlight w:val="none"/>
              </w:rPr>
              <w:t>各主要施工工序有劳动力安排计划，有各工种劳动力安排计划，劳动力投入合理，满足施工需要。</w:t>
            </w:r>
            <w:r>
              <w:rPr>
                <w:rFonts w:ascii="宋体" w:hAnsi="宋体"/>
                <w:color w:val="000000"/>
                <w:sz w:val="24"/>
                <w:highlight w:val="none"/>
              </w:rPr>
              <w:t xml:space="preserve"> </w:t>
            </w:r>
          </w:p>
          <w:p w14:paraId="575C7CA7">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各主要施工工序有劳动力安排计划，有各工种劳动力安排计划，劳动力投入</w:t>
            </w:r>
            <w:r>
              <w:rPr>
                <w:rFonts w:hint="eastAsia" w:ascii="宋体" w:hAnsi="宋体"/>
                <w:sz w:val="24"/>
                <w:highlight w:val="none"/>
              </w:rPr>
              <w:t>基本能满足施工需要。</w:t>
            </w:r>
            <w:r>
              <w:rPr>
                <w:rFonts w:ascii="宋体" w:hAnsi="宋体"/>
                <w:color w:val="000000"/>
                <w:sz w:val="24"/>
                <w:highlight w:val="none"/>
              </w:rPr>
              <w:t xml:space="preserve"> </w:t>
            </w:r>
          </w:p>
          <w:p w14:paraId="2734CFE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各主要施工工序劳动力安排计划不全，无各工种劳动力安排计划或计划不全，劳动力投入不合理，不能满足施工需要</w:t>
            </w:r>
            <w:r>
              <w:rPr>
                <w:rFonts w:hint="eastAsia" w:ascii="宋体" w:hAnsi="宋体"/>
                <w:b/>
                <w:bCs/>
                <w:color w:val="000000"/>
                <w:sz w:val="24"/>
                <w:highlight w:val="none"/>
              </w:rPr>
              <w:t>或未提供劳动力安排计划。</w:t>
            </w:r>
          </w:p>
        </w:tc>
      </w:tr>
      <w:tr w14:paraId="3729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747E1B">
            <w:pPr>
              <w:spacing w:line="360" w:lineRule="auto"/>
              <w:jc w:val="center"/>
              <w:rPr>
                <w:rFonts w:ascii="宋体"/>
                <w:color w:val="000000"/>
                <w:sz w:val="24"/>
                <w:highlight w:val="none"/>
              </w:rPr>
            </w:pPr>
          </w:p>
        </w:tc>
        <w:tc>
          <w:tcPr>
            <w:tcW w:w="1031" w:type="dxa"/>
            <w:vMerge w:val="continue"/>
            <w:vAlign w:val="center"/>
          </w:tcPr>
          <w:p w14:paraId="40ECEA8D">
            <w:pPr>
              <w:spacing w:line="360" w:lineRule="auto"/>
              <w:jc w:val="center"/>
              <w:rPr>
                <w:rFonts w:ascii="宋体"/>
                <w:color w:val="000000"/>
                <w:sz w:val="24"/>
                <w:highlight w:val="none"/>
              </w:rPr>
            </w:pPr>
          </w:p>
        </w:tc>
        <w:tc>
          <w:tcPr>
            <w:tcW w:w="912" w:type="dxa"/>
            <w:vMerge w:val="continue"/>
            <w:vAlign w:val="center"/>
          </w:tcPr>
          <w:p w14:paraId="546B1619">
            <w:pPr>
              <w:spacing w:line="360" w:lineRule="auto"/>
              <w:jc w:val="center"/>
              <w:rPr>
                <w:rFonts w:ascii="宋体"/>
                <w:color w:val="000000"/>
                <w:sz w:val="24"/>
                <w:highlight w:val="none"/>
              </w:rPr>
            </w:pPr>
          </w:p>
        </w:tc>
        <w:tc>
          <w:tcPr>
            <w:tcW w:w="1039" w:type="dxa"/>
            <w:vAlign w:val="center"/>
          </w:tcPr>
          <w:p w14:paraId="359B8B49">
            <w:pPr>
              <w:widowControl/>
              <w:spacing w:line="360" w:lineRule="auto"/>
              <w:rPr>
                <w:rFonts w:ascii="宋体" w:cs="宋体"/>
                <w:color w:val="000000"/>
                <w:kern w:val="0"/>
                <w:sz w:val="24"/>
                <w:highlight w:val="none"/>
              </w:rPr>
            </w:pPr>
          </w:p>
          <w:p w14:paraId="1BB04B44">
            <w:pPr>
              <w:widowControl/>
              <w:spacing w:line="360" w:lineRule="auto"/>
              <w:rPr>
                <w:rFonts w:ascii="宋体" w:cs="宋体"/>
                <w:color w:val="000000"/>
                <w:kern w:val="0"/>
                <w:sz w:val="24"/>
                <w:highlight w:val="none"/>
              </w:rPr>
            </w:pPr>
          </w:p>
          <w:p w14:paraId="65052871">
            <w:pPr>
              <w:widowControl/>
              <w:spacing w:line="360" w:lineRule="auto"/>
              <w:rPr>
                <w:rFonts w:ascii="宋体"/>
                <w:color w:val="000000"/>
                <w:sz w:val="24"/>
                <w:highlight w:val="none"/>
              </w:rPr>
            </w:pPr>
            <w:r>
              <w:rPr>
                <w:rFonts w:hint="eastAsia" w:ascii="宋体" w:hAnsi="宋体" w:cs="宋体"/>
                <w:color w:val="000000"/>
                <w:kern w:val="0"/>
                <w:sz w:val="24"/>
                <w:highlight w:val="none"/>
              </w:rPr>
              <w:t>确保工程质量的技术组织措施</w:t>
            </w:r>
            <w:r>
              <w:rPr>
                <w:rFonts w:ascii="宋体" w:hAnsi="宋体" w:cs="宋体"/>
                <w:color w:val="000000"/>
                <w:kern w:val="0"/>
                <w:sz w:val="24"/>
                <w:highlight w:val="none"/>
              </w:rPr>
              <w:t>(9</w:t>
            </w:r>
            <w:r>
              <w:rPr>
                <w:rFonts w:hint="eastAsia" w:ascii="宋体" w:hAnsi="宋体" w:cs="宋体"/>
                <w:color w:val="000000"/>
                <w:kern w:val="0"/>
                <w:sz w:val="24"/>
                <w:highlight w:val="none"/>
              </w:rPr>
              <w:t>分）</w:t>
            </w:r>
          </w:p>
        </w:tc>
        <w:tc>
          <w:tcPr>
            <w:tcW w:w="5774" w:type="dxa"/>
            <w:vAlign w:val="center"/>
          </w:tcPr>
          <w:p w14:paraId="315E679B">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9</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有专门的质量技术管理班子和制度，且人员配备合理，制度健全。主要工序质量技术保证措施和手段科学合理，自控体系完整，能有效保证技术质量，达到承诺的质量标准。</w:t>
            </w:r>
            <w:r>
              <w:rPr>
                <w:rFonts w:ascii="宋体" w:hAnsi="宋体"/>
                <w:color w:val="000000"/>
                <w:sz w:val="24"/>
                <w:highlight w:val="none"/>
              </w:rPr>
              <w:t xml:space="preserve"> </w:t>
            </w:r>
          </w:p>
          <w:p w14:paraId="0D8485CE">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6</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有专门的质量技术管理班子和制度，且人员配备合理，制度健全。主要工序的质量技术保证措施和手段</w:t>
            </w:r>
            <w:r>
              <w:rPr>
                <w:rFonts w:hint="eastAsia" w:ascii="宋体" w:hAnsi="宋体"/>
                <w:color w:val="000000"/>
                <w:sz w:val="24"/>
                <w:highlight w:val="none"/>
                <w:lang w:val="en-US" w:eastAsia="zh-CN"/>
              </w:rPr>
              <w:t>较为合理</w:t>
            </w:r>
            <w:r>
              <w:rPr>
                <w:rFonts w:hint="eastAsia" w:ascii="宋体" w:hAnsi="宋体"/>
                <w:color w:val="000000"/>
                <w:sz w:val="24"/>
                <w:highlight w:val="none"/>
              </w:rPr>
              <w:t>，有自控体系，能有效保证技术质量，达到承诺的质量标准。</w:t>
            </w:r>
            <w:r>
              <w:rPr>
                <w:rFonts w:ascii="宋体" w:hAnsi="宋体"/>
                <w:color w:val="000000"/>
                <w:sz w:val="24"/>
                <w:highlight w:val="none"/>
              </w:rPr>
              <w:t xml:space="preserve"> </w:t>
            </w:r>
          </w:p>
          <w:p w14:paraId="70B10628">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w:t>
            </w:r>
            <w:r>
              <w:rPr>
                <w:rFonts w:hint="eastAsia" w:ascii="宋体" w:hAnsi="宋体"/>
                <w:b/>
                <w:bCs/>
                <w:color w:val="000000"/>
                <w:sz w:val="24"/>
                <w:highlight w:val="none"/>
                <w:lang w:val="en-US" w:eastAsia="zh-CN"/>
              </w:rPr>
              <w:t>3</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有专门的质量技术管理班子和制度，且人员配备基本合理，主要工序的质量技术保证措施和手段，基本保证技术质量，基本达到承诺的质量标准。</w:t>
            </w:r>
          </w:p>
          <w:p w14:paraId="09CC9E46">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有专门的质量技术管理班子和制度，人员配备不合理，制度不健全。主要工序无质量技术保证措施和手段，自控体系不完整，不能有效保证技术质量，达不到承诺的质量标准或</w:t>
            </w:r>
            <w:r>
              <w:rPr>
                <w:rFonts w:hint="eastAsia" w:ascii="宋体" w:hAnsi="宋体"/>
                <w:b/>
                <w:bCs/>
                <w:color w:val="000000"/>
                <w:sz w:val="24"/>
                <w:highlight w:val="none"/>
              </w:rPr>
              <w:t>未提供</w:t>
            </w:r>
            <w:r>
              <w:rPr>
                <w:rFonts w:hint="eastAsia" w:ascii="宋体" w:hAnsi="宋体" w:cs="宋体"/>
                <w:b/>
                <w:bCs/>
                <w:color w:val="000000"/>
                <w:kern w:val="0"/>
                <w:sz w:val="24"/>
                <w:highlight w:val="none"/>
              </w:rPr>
              <w:t>确保工程质量的技术组织措施</w:t>
            </w:r>
            <w:r>
              <w:rPr>
                <w:rFonts w:hint="eastAsia" w:ascii="宋体" w:hAnsi="宋体"/>
                <w:color w:val="000000"/>
                <w:sz w:val="24"/>
                <w:highlight w:val="none"/>
              </w:rPr>
              <w:t>。</w:t>
            </w:r>
          </w:p>
        </w:tc>
      </w:tr>
      <w:tr w14:paraId="2F0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7315903">
            <w:pPr>
              <w:spacing w:line="360" w:lineRule="auto"/>
              <w:jc w:val="center"/>
              <w:rPr>
                <w:rFonts w:ascii="宋体"/>
                <w:color w:val="000000"/>
                <w:sz w:val="24"/>
                <w:highlight w:val="none"/>
              </w:rPr>
            </w:pPr>
          </w:p>
        </w:tc>
        <w:tc>
          <w:tcPr>
            <w:tcW w:w="1031" w:type="dxa"/>
            <w:vMerge w:val="continue"/>
            <w:vAlign w:val="center"/>
          </w:tcPr>
          <w:p w14:paraId="284AA13C">
            <w:pPr>
              <w:spacing w:line="360" w:lineRule="auto"/>
              <w:jc w:val="center"/>
              <w:rPr>
                <w:rFonts w:ascii="宋体"/>
                <w:color w:val="000000"/>
                <w:sz w:val="24"/>
                <w:highlight w:val="none"/>
              </w:rPr>
            </w:pPr>
          </w:p>
        </w:tc>
        <w:tc>
          <w:tcPr>
            <w:tcW w:w="912" w:type="dxa"/>
            <w:vMerge w:val="continue"/>
            <w:vAlign w:val="center"/>
          </w:tcPr>
          <w:p w14:paraId="776ABB1D">
            <w:pPr>
              <w:spacing w:line="360" w:lineRule="auto"/>
              <w:jc w:val="center"/>
              <w:rPr>
                <w:rFonts w:ascii="宋体"/>
                <w:color w:val="000000"/>
                <w:sz w:val="24"/>
                <w:highlight w:val="none"/>
              </w:rPr>
            </w:pPr>
          </w:p>
        </w:tc>
        <w:tc>
          <w:tcPr>
            <w:tcW w:w="1039" w:type="dxa"/>
            <w:vAlign w:val="center"/>
          </w:tcPr>
          <w:p w14:paraId="06EFBCD7">
            <w:pPr>
              <w:widowControl/>
              <w:spacing w:line="360" w:lineRule="auto"/>
              <w:rPr>
                <w:rFonts w:ascii="宋体"/>
                <w:color w:val="000000"/>
                <w:kern w:val="0"/>
                <w:sz w:val="24"/>
                <w:highlight w:val="none"/>
              </w:rPr>
            </w:pPr>
            <w:bookmarkStart w:id="637" w:name="OLE_LINK9"/>
            <w:r>
              <w:rPr>
                <w:rFonts w:hint="eastAsia" w:ascii="宋体" w:hAnsi="宋体" w:cs="宋体"/>
                <w:color w:val="000000"/>
                <w:kern w:val="0"/>
                <w:sz w:val="24"/>
                <w:highlight w:val="none"/>
              </w:rPr>
              <w:t>确保安全生产的技术组织措施</w:t>
            </w:r>
            <w:bookmarkEnd w:id="637"/>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分）</w:t>
            </w:r>
          </w:p>
          <w:p w14:paraId="4AC4EB51">
            <w:pPr>
              <w:widowControl/>
              <w:spacing w:line="360" w:lineRule="auto"/>
              <w:rPr>
                <w:rFonts w:ascii="宋体"/>
                <w:color w:val="000000"/>
                <w:sz w:val="24"/>
                <w:highlight w:val="none"/>
              </w:rPr>
            </w:pPr>
          </w:p>
        </w:tc>
        <w:tc>
          <w:tcPr>
            <w:tcW w:w="5774" w:type="dxa"/>
            <w:vAlign w:val="center"/>
          </w:tcPr>
          <w:p w14:paraId="29DD0DCC">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6</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安全管理人员和制度，且人员配备合理，制度健全，各道工序安全技术措施针对性强，确保工程质量的技术组织措施符合实际且满足有关安全技术标准要求。现场防火、应急救援、社会治安安全措施得力。</w:t>
            </w:r>
            <w:r>
              <w:rPr>
                <w:rFonts w:ascii="宋体" w:hAnsi="宋体"/>
                <w:color w:val="000000"/>
                <w:sz w:val="24"/>
                <w:highlight w:val="none"/>
              </w:rPr>
              <w:t xml:space="preserve"> </w:t>
            </w:r>
          </w:p>
          <w:p w14:paraId="5693464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4</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有专门的安全管理人员和制度，人员配备合理，制度健全，各道工序安全技术措施有针对性，基本满足有关安全技术标准要求。现场防火、应急救援、社会治安安全措施合理。</w:t>
            </w:r>
            <w:r>
              <w:rPr>
                <w:rFonts w:ascii="宋体" w:hAnsi="宋体"/>
                <w:color w:val="000000"/>
                <w:sz w:val="24"/>
                <w:highlight w:val="none"/>
              </w:rPr>
              <w:t xml:space="preserve"> </w:t>
            </w:r>
          </w:p>
          <w:p w14:paraId="4A062526">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w:t>
            </w:r>
            <w:r>
              <w:rPr>
                <w:rFonts w:hint="eastAsia" w:ascii="宋体" w:hAnsi="宋体"/>
                <w:b/>
                <w:bCs/>
                <w:color w:val="000000"/>
                <w:sz w:val="24"/>
                <w:highlight w:val="none"/>
                <w:lang w:val="en-US" w:eastAsia="zh-CN"/>
              </w:rPr>
              <w:t>2</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有专门的安全管理人员和制度，管理人员配备合理，制度健全，各道工序安全技术措施针对性不强，基本满足有关安全技术标准要求。现场防火、应急救援、社会治安安全措施合理。</w:t>
            </w:r>
            <w:r>
              <w:rPr>
                <w:rFonts w:ascii="宋体" w:hAnsi="宋体"/>
                <w:color w:val="000000"/>
                <w:sz w:val="24"/>
                <w:highlight w:val="none"/>
              </w:rPr>
              <w:t xml:space="preserve"> </w:t>
            </w:r>
          </w:p>
          <w:p w14:paraId="00EA2366">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有专门的安全管理人员和制度，人员配备不合理，制度不健全，各道工序安全技术措施针无对性，不满足有关安全技术标准要求。现场防火、应急救援、社会治安安全措施不得力</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确保安全生产的技术组织措施</w:t>
            </w:r>
            <w:r>
              <w:rPr>
                <w:rFonts w:hint="eastAsia" w:ascii="宋体" w:hAnsi="宋体"/>
                <w:color w:val="000000"/>
                <w:sz w:val="24"/>
                <w:highlight w:val="none"/>
              </w:rPr>
              <w:t>。</w:t>
            </w:r>
          </w:p>
        </w:tc>
      </w:tr>
      <w:tr w14:paraId="56BD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A9A6669">
            <w:pPr>
              <w:spacing w:line="360" w:lineRule="auto"/>
              <w:jc w:val="center"/>
              <w:rPr>
                <w:rFonts w:ascii="宋体"/>
                <w:color w:val="000000"/>
                <w:sz w:val="24"/>
                <w:highlight w:val="none"/>
              </w:rPr>
            </w:pPr>
          </w:p>
        </w:tc>
        <w:tc>
          <w:tcPr>
            <w:tcW w:w="1031" w:type="dxa"/>
            <w:vMerge w:val="continue"/>
            <w:vAlign w:val="center"/>
          </w:tcPr>
          <w:p w14:paraId="5987AA79">
            <w:pPr>
              <w:spacing w:line="360" w:lineRule="auto"/>
              <w:jc w:val="center"/>
              <w:rPr>
                <w:rFonts w:ascii="宋体"/>
                <w:color w:val="000000"/>
                <w:sz w:val="24"/>
                <w:highlight w:val="none"/>
              </w:rPr>
            </w:pPr>
          </w:p>
        </w:tc>
        <w:tc>
          <w:tcPr>
            <w:tcW w:w="912" w:type="dxa"/>
            <w:vMerge w:val="continue"/>
            <w:vAlign w:val="center"/>
          </w:tcPr>
          <w:p w14:paraId="54069ADE">
            <w:pPr>
              <w:spacing w:line="360" w:lineRule="auto"/>
              <w:jc w:val="center"/>
              <w:rPr>
                <w:rFonts w:ascii="宋体"/>
                <w:color w:val="000000"/>
                <w:sz w:val="24"/>
                <w:highlight w:val="none"/>
              </w:rPr>
            </w:pPr>
          </w:p>
        </w:tc>
        <w:tc>
          <w:tcPr>
            <w:tcW w:w="1039" w:type="dxa"/>
            <w:vAlign w:val="center"/>
          </w:tcPr>
          <w:p w14:paraId="19D8601D">
            <w:pPr>
              <w:widowControl/>
              <w:spacing w:line="360" w:lineRule="auto"/>
              <w:rPr>
                <w:rFonts w:ascii="宋体"/>
                <w:color w:val="000000"/>
                <w:sz w:val="24"/>
                <w:highlight w:val="none"/>
              </w:rPr>
            </w:pPr>
            <w:r>
              <w:rPr>
                <w:rFonts w:hint="eastAsia" w:ascii="宋体" w:hAnsi="宋体" w:cs="宋体"/>
                <w:color w:val="000000"/>
                <w:kern w:val="0"/>
                <w:sz w:val="24"/>
                <w:highlight w:val="none"/>
              </w:rPr>
              <w:t>确保工期的技术组织措施（</w:t>
            </w:r>
            <w:r>
              <w:rPr>
                <w:rFonts w:ascii="宋体" w:hAnsi="宋体" w:cs="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060EA16B">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优（6分）：</w:t>
            </w:r>
            <w:r>
              <w:rPr>
                <w:rFonts w:hint="eastAsia" w:ascii="宋体" w:hAnsi="宋体"/>
                <w:color w:val="000000"/>
                <w:sz w:val="24"/>
                <w:highlight w:val="none"/>
              </w:rPr>
              <w:t>技术组织措施的方法或方案完善有效、更优化、切实可行的作出深入分析，完整周全，主要内容的编制思路明晰，利于项目实际。</w:t>
            </w:r>
            <w:r>
              <w:rPr>
                <w:rFonts w:ascii="宋体" w:hAnsi="宋体"/>
                <w:color w:val="000000"/>
                <w:sz w:val="24"/>
                <w:highlight w:val="none"/>
              </w:rPr>
              <w:t xml:space="preserve"> </w:t>
            </w:r>
          </w:p>
          <w:p w14:paraId="03EAA013">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良（4分）：</w:t>
            </w:r>
            <w:r>
              <w:rPr>
                <w:rFonts w:hint="eastAsia" w:ascii="宋体" w:hAnsi="宋体"/>
                <w:color w:val="000000"/>
                <w:sz w:val="24"/>
                <w:highlight w:val="none"/>
              </w:rPr>
              <w:t>技术组织措施的方法或方案完善有效、更优化、切实可行的作出深入分析，完整较周全，主要内容的编制思路明晰，符合项目实际。</w:t>
            </w:r>
            <w:r>
              <w:rPr>
                <w:rFonts w:ascii="宋体" w:hAnsi="宋体"/>
                <w:color w:val="000000"/>
                <w:sz w:val="24"/>
                <w:highlight w:val="none"/>
              </w:rPr>
              <w:t xml:space="preserve"> </w:t>
            </w:r>
          </w:p>
          <w:p w14:paraId="417DA488">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技术组织措施的方法或方案完善有效、更优化、切实可行的作出深入分析，较完整较周全，主要内容的编制思路合理，符合项目实际。</w:t>
            </w:r>
            <w:r>
              <w:rPr>
                <w:rFonts w:ascii="宋体" w:hAnsi="宋体"/>
                <w:color w:val="000000"/>
                <w:sz w:val="24"/>
                <w:highlight w:val="none"/>
              </w:rPr>
              <w:t xml:space="preserve"> </w:t>
            </w:r>
          </w:p>
          <w:p w14:paraId="2B9C53C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技术组织措施的方法或方案不完善，主要内容的编制思路不合理，不符合项目实际</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确保工期的技术组织措施</w:t>
            </w:r>
            <w:r>
              <w:rPr>
                <w:rFonts w:hint="eastAsia" w:ascii="宋体" w:hAnsi="宋体"/>
                <w:color w:val="000000"/>
                <w:sz w:val="24"/>
                <w:highlight w:val="none"/>
              </w:rPr>
              <w:t>。</w:t>
            </w:r>
          </w:p>
        </w:tc>
      </w:tr>
      <w:tr w14:paraId="377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5E675E6">
            <w:pPr>
              <w:spacing w:line="360" w:lineRule="auto"/>
              <w:jc w:val="center"/>
              <w:rPr>
                <w:rFonts w:ascii="宋体"/>
                <w:color w:val="000000"/>
                <w:sz w:val="24"/>
                <w:highlight w:val="none"/>
              </w:rPr>
            </w:pPr>
          </w:p>
        </w:tc>
        <w:tc>
          <w:tcPr>
            <w:tcW w:w="1031" w:type="dxa"/>
            <w:vMerge w:val="continue"/>
            <w:vAlign w:val="center"/>
          </w:tcPr>
          <w:p w14:paraId="462AC4EF">
            <w:pPr>
              <w:spacing w:line="360" w:lineRule="auto"/>
              <w:jc w:val="center"/>
              <w:rPr>
                <w:rFonts w:ascii="宋体"/>
                <w:color w:val="000000"/>
                <w:sz w:val="24"/>
                <w:highlight w:val="none"/>
              </w:rPr>
            </w:pPr>
          </w:p>
        </w:tc>
        <w:tc>
          <w:tcPr>
            <w:tcW w:w="912" w:type="dxa"/>
            <w:vMerge w:val="continue"/>
            <w:vAlign w:val="center"/>
          </w:tcPr>
          <w:p w14:paraId="3B40FCCA">
            <w:pPr>
              <w:spacing w:line="360" w:lineRule="auto"/>
              <w:jc w:val="center"/>
              <w:rPr>
                <w:rFonts w:ascii="宋体"/>
                <w:color w:val="000000"/>
                <w:sz w:val="24"/>
                <w:highlight w:val="none"/>
              </w:rPr>
            </w:pPr>
          </w:p>
        </w:tc>
        <w:tc>
          <w:tcPr>
            <w:tcW w:w="1039" w:type="dxa"/>
            <w:vAlign w:val="center"/>
          </w:tcPr>
          <w:p w14:paraId="4C54A499">
            <w:pPr>
              <w:widowControl/>
              <w:spacing w:line="360" w:lineRule="auto"/>
              <w:rPr>
                <w:rFonts w:ascii="宋体" w:cs="宋体"/>
                <w:color w:val="000000"/>
                <w:kern w:val="0"/>
                <w:sz w:val="24"/>
                <w:highlight w:val="none"/>
              </w:rPr>
            </w:pPr>
          </w:p>
          <w:p w14:paraId="06DA5958">
            <w:pPr>
              <w:widowControl/>
              <w:spacing w:line="360" w:lineRule="auto"/>
              <w:rPr>
                <w:rFonts w:ascii="宋体"/>
                <w:color w:val="000000"/>
                <w:sz w:val="24"/>
                <w:highlight w:val="none"/>
              </w:rPr>
            </w:pPr>
            <w:r>
              <w:rPr>
                <w:rFonts w:hint="eastAsia" w:ascii="宋体" w:hAnsi="宋体" w:cs="宋体"/>
                <w:color w:val="000000"/>
                <w:kern w:val="0"/>
                <w:sz w:val="24"/>
                <w:highlight w:val="none"/>
              </w:rPr>
              <w:t>确保文明施工的技术组织措施（</w:t>
            </w:r>
            <w:r>
              <w:rPr>
                <w:rFonts w:ascii="宋体" w:hAnsi="宋体"/>
                <w:color w:val="000000"/>
                <w:kern w:val="0"/>
                <w:sz w:val="24"/>
                <w:highlight w:val="none"/>
              </w:rPr>
              <w:t>6</w:t>
            </w:r>
            <w:r>
              <w:rPr>
                <w:rFonts w:hint="eastAsia" w:ascii="宋体" w:hAnsi="宋体" w:cs="宋体"/>
                <w:color w:val="000000"/>
                <w:kern w:val="0"/>
                <w:sz w:val="24"/>
                <w:highlight w:val="none"/>
              </w:rPr>
              <w:t>分）</w:t>
            </w:r>
          </w:p>
        </w:tc>
        <w:tc>
          <w:tcPr>
            <w:tcW w:w="5774" w:type="dxa"/>
            <w:vAlign w:val="center"/>
          </w:tcPr>
          <w:p w14:paraId="788F84B9">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优（6分）：</w:t>
            </w:r>
            <w:r>
              <w:rPr>
                <w:rFonts w:hint="eastAsia" w:ascii="宋体" w:hAnsi="宋体"/>
                <w:color w:val="000000"/>
                <w:sz w:val="24"/>
                <w:highlight w:val="none"/>
              </w:rPr>
              <w:t>针对本工程项目特点，有现场文明施工、环境保护措施，且措施内容达到合格标准并符合要求。各项措施周全、具体、有效。有具体实现现场文明施工目标的承诺。</w:t>
            </w:r>
            <w:r>
              <w:rPr>
                <w:rFonts w:ascii="宋体" w:hAnsi="宋体"/>
                <w:color w:val="000000"/>
                <w:sz w:val="24"/>
                <w:highlight w:val="none"/>
              </w:rPr>
              <w:t xml:space="preserve"> </w:t>
            </w:r>
          </w:p>
          <w:p w14:paraId="08707AFE">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良（4分）：</w:t>
            </w:r>
            <w:r>
              <w:rPr>
                <w:rFonts w:hint="eastAsia" w:ascii="宋体" w:hAnsi="宋体"/>
                <w:color w:val="000000"/>
                <w:sz w:val="24"/>
                <w:highlight w:val="none"/>
              </w:rPr>
              <w:t>针对本工程项目特点，有现场文明施工、环境保护措施，且措施内容达到合格标准并符合要求。各项措施基本全面、有效。有具体实现现场文明施工目标的承诺。</w:t>
            </w:r>
            <w:r>
              <w:rPr>
                <w:rFonts w:ascii="宋体" w:hAnsi="宋体"/>
                <w:color w:val="000000"/>
                <w:sz w:val="24"/>
                <w:highlight w:val="none"/>
              </w:rPr>
              <w:t xml:space="preserve"> </w:t>
            </w:r>
          </w:p>
          <w:p w14:paraId="73AA881A">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中（2分）：</w:t>
            </w:r>
            <w:r>
              <w:rPr>
                <w:rFonts w:hint="eastAsia" w:ascii="宋体" w:hAnsi="宋体"/>
                <w:color w:val="000000"/>
                <w:sz w:val="24"/>
                <w:highlight w:val="none"/>
              </w:rPr>
              <w:t>针对本工程项目特点，有现场文明施工、环境保护措施，且措施内容基本达到合格标准并基本符合要求。各项措施基本可行。有具体实现现场文明施工目标的承诺。</w:t>
            </w:r>
            <w:r>
              <w:rPr>
                <w:rFonts w:ascii="宋体" w:hAnsi="宋体"/>
                <w:color w:val="000000"/>
                <w:sz w:val="24"/>
                <w:highlight w:val="none"/>
              </w:rPr>
              <w:t xml:space="preserve"> </w:t>
            </w:r>
          </w:p>
          <w:p w14:paraId="028549F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针对本工程项目特点，有现场文明施工、环境保护措施，但措施内容没有达到合格标准并不符合要求。各项措施不合理。没有具体实现现场文明施工目标的承诺</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确保文明施工的技术组织措施</w:t>
            </w:r>
            <w:r>
              <w:rPr>
                <w:rFonts w:hint="eastAsia" w:ascii="宋体" w:hAnsi="宋体"/>
                <w:color w:val="000000"/>
                <w:sz w:val="24"/>
                <w:highlight w:val="none"/>
              </w:rPr>
              <w:t>。</w:t>
            </w:r>
          </w:p>
        </w:tc>
      </w:tr>
      <w:tr w14:paraId="554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0258B36">
            <w:pPr>
              <w:spacing w:line="360" w:lineRule="auto"/>
              <w:jc w:val="center"/>
              <w:rPr>
                <w:rFonts w:ascii="宋体"/>
                <w:color w:val="000000"/>
                <w:sz w:val="24"/>
                <w:highlight w:val="none"/>
              </w:rPr>
            </w:pPr>
          </w:p>
        </w:tc>
        <w:tc>
          <w:tcPr>
            <w:tcW w:w="1031" w:type="dxa"/>
            <w:vMerge w:val="continue"/>
            <w:vAlign w:val="center"/>
          </w:tcPr>
          <w:p w14:paraId="30AA4BB6">
            <w:pPr>
              <w:spacing w:line="360" w:lineRule="auto"/>
              <w:jc w:val="center"/>
              <w:rPr>
                <w:rFonts w:ascii="宋体"/>
                <w:color w:val="000000"/>
                <w:sz w:val="24"/>
                <w:highlight w:val="none"/>
              </w:rPr>
            </w:pPr>
          </w:p>
        </w:tc>
        <w:tc>
          <w:tcPr>
            <w:tcW w:w="912" w:type="dxa"/>
            <w:vMerge w:val="continue"/>
            <w:vAlign w:val="center"/>
          </w:tcPr>
          <w:p w14:paraId="6311C5F9">
            <w:pPr>
              <w:spacing w:line="360" w:lineRule="auto"/>
              <w:jc w:val="center"/>
              <w:rPr>
                <w:rFonts w:ascii="宋体"/>
                <w:color w:val="000000"/>
                <w:sz w:val="24"/>
                <w:highlight w:val="none"/>
              </w:rPr>
            </w:pPr>
          </w:p>
        </w:tc>
        <w:tc>
          <w:tcPr>
            <w:tcW w:w="1039" w:type="dxa"/>
            <w:vAlign w:val="center"/>
          </w:tcPr>
          <w:p w14:paraId="5C4DB4B5">
            <w:pPr>
              <w:widowControl/>
              <w:spacing w:line="360" w:lineRule="auto"/>
              <w:rPr>
                <w:rFonts w:ascii="宋体"/>
                <w:color w:val="000000"/>
                <w:sz w:val="24"/>
                <w:highlight w:val="none"/>
              </w:rPr>
            </w:pPr>
            <w:r>
              <w:rPr>
                <w:rFonts w:hint="eastAsia" w:ascii="宋体" w:hAnsi="宋体" w:cs="宋体"/>
                <w:color w:val="000000"/>
                <w:kern w:val="0"/>
                <w:sz w:val="24"/>
                <w:highlight w:val="none"/>
              </w:rPr>
              <w:t>工程施工的重点和难点及保证措施（</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分）</w:t>
            </w:r>
          </w:p>
        </w:tc>
        <w:tc>
          <w:tcPr>
            <w:tcW w:w="5774" w:type="dxa"/>
            <w:vAlign w:val="center"/>
          </w:tcPr>
          <w:p w14:paraId="6484FC1D">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6</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针对本工程的特点，阐述本工程的重点和难点，解决重点和难点问题的方法科学合理。</w:t>
            </w:r>
            <w:r>
              <w:rPr>
                <w:rFonts w:ascii="宋体" w:hAnsi="宋体"/>
                <w:color w:val="000000"/>
                <w:sz w:val="24"/>
                <w:highlight w:val="none"/>
              </w:rPr>
              <w:t xml:space="preserve"> </w:t>
            </w:r>
          </w:p>
          <w:p w14:paraId="04C39EB5">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4</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针对本工程的特点，阐述本工程的重点和难点，解决重点和难点问题的方法合理。</w:t>
            </w:r>
            <w:r>
              <w:rPr>
                <w:rFonts w:ascii="宋体" w:hAnsi="宋体"/>
                <w:color w:val="000000"/>
                <w:sz w:val="24"/>
                <w:highlight w:val="none"/>
              </w:rPr>
              <w:t xml:space="preserve"> </w:t>
            </w:r>
          </w:p>
          <w:p w14:paraId="06CDA862">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中（</w:t>
            </w:r>
            <w:r>
              <w:rPr>
                <w:rFonts w:hint="eastAsia" w:ascii="宋体" w:hAnsi="宋体"/>
                <w:b/>
                <w:bCs/>
                <w:color w:val="000000"/>
                <w:sz w:val="24"/>
                <w:highlight w:val="none"/>
                <w:lang w:val="en-US" w:eastAsia="zh-CN"/>
              </w:rPr>
              <w:t>2</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针对本工程的特点，阐述本工程的重点和难点，解决重点和难点问题的方法基本合理。</w:t>
            </w:r>
            <w:r>
              <w:rPr>
                <w:rFonts w:ascii="宋体" w:hAnsi="宋体"/>
                <w:color w:val="000000"/>
                <w:sz w:val="24"/>
                <w:highlight w:val="none"/>
              </w:rPr>
              <w:t xml:space="preserve"> </w:t>
            </w:r>
          </w:p>
          <w:p w14:paraId="5D8B758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针对本工程的特点，阐述本工程的重点和难点，解决重点和难点问题的方法不合理</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工程施工的重点和难点及保证措施</w:t>
            </w:r>
            <w:r>
              <w:rPr>
                <w:rFonts w:hint="eastAsia" w:ascii="宋体" w:hAnsi="宋体"/>
                <w:b/>
                <w:bCs/>
                <w:color w:val="000000"/>
                <w:sz w:val="24"/>
                <w:highlight w:val="none"/>
              </w:rPr>
              <w:t>。</w:t>
            </w:r>
          </w:p>
        </w:tc>
      </w:tr>
      <w:tr w14:paraId="55FA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E944097">
            <w:pPr>
              <w:spacing w:line="360" w:lineRule="auto"/>
              <w:jc w:val="center"/>
              <w:rPr>
                <w:rFonts w:ascii="宋体"/>
                <w:color w:val="000000"/>
                <w:sz w:val="24"/>
                <w:highlight w:val="none"/>
              </w:rPr>
            </w:pPr>
          </w:p>
        </w:tc>
        <w:tc>
          <w:tcPr>
            <w:tcW w:w="1031" w:type="dxa"/>
            <w:vMerge w:val="continue"/>
            <w:vAlign w:val="center"/>
          </w:tcPr>
          <w:p w14:paraId="6AEE1F15">
            <w:pPr>
              <w:spacing w:line="360" w:lineRule="auto"/>
              <w:jc w:val="center"/>
              <w:rPr>
                <w:rFonts w:ascii="宋体"/>
                <w:color w:val="000000"/>
                <w:sz w:val="24"/>
                <w:highlight w:val="none"/>
              </w:rPr>
            </w:pPr>
          </w:p>
        </w:tc>
        <w:tc>
          <w:tcPr>
            <w:tcW w:w="912" w:type="dxa"/>
            <w:vMerge w:val="continue"/>
            <w:vAlign w:val="center"/>
          </w:tcPr>
          <w:p w14:paraId="669E8E26">
            <w:pPr>
              <w:spacing w:line="360" w:lineRule="auto"/>
              <w:jc w:val="center"/>
              <w:rPr>
                <w:rFonts w:ascii="宋体"/>
                <w:color w:val="000000"/>
                <w:sz w:val="24"/>
                <w:highlight w:val="none"/>
              </w:rPr>
            </w:pPr>
          </w:p>
        </w:tc>
        <w:tc>
          <w:tcPr>
            <w:tcW w:w="1039" w:type="dxa"/>
            <w:vAlign w:val="center"/>
          </w:tcPr>
          <w:p w14:paraId="3C6DB4EF">
            <w:pPr>
              <w:widowControl/>
              <w:spacing w:line="360" w:lineRule="auto"/>
              <w:rPr>
                <w:rFonts w:ascii="宋体"/>
                <w:color w:val="000000"/>
                <w:sz w:val="24"/>
                <w:highlight w:val="none"/>
              </w:rPr>
            </w:pPr>
            <w:r>
              <w:rPr>
                <w:rFonts w:hint="eastAsia" w:ascii="宋体" w:hAnsi="宋体" w:cs="宋体"/>
                <w:color w:val="000000"/>
                <w:kern w:val="0"/>
                <w:sz w:val="24"/>
                <w:highlight w:val="none"/>
              </w:rPr>
              <w:t>施工总平面布置图（</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分）</w:t>
            </w:r>
          </w:p>
        </w:tc>
        <w:tc>
          <w:tcPr>
            <w:tcW w:w="5774" w:type="dxa"/>
            <w:vAlign w:val="center"/>
          </w:tcPr>
          <w:p w14:paraId="57F1E1B8">
            <w:pPr>
              <w:widowControl/>
              <w:spacing w:line="360" w:lineRule="exact"/>
              <w:rPr>
                <w:rFonts w:ascii="宋体" w:hAnsi="宋体"/>
                <w:color w:val="000000"/>
                <w:sz w:val="24"/>
                <w:highlight w:val="none"/>
              </w:rPr>
            </w:pPr>
            <w:r>
              <w:rPr>
                <w:rFonts w:hint="eastAsia" w:ascii="宋体" w:hAnsi="宋体" w:eastAsia="宋体"/>
                <w:b/>
                <w:bCs/>
                <w:color w:val="000000"/>
                <w:sz w:val="24"/>
                <w:highlight w:val="none"/>
                <w:lang w:eastAsia="zh-CN"/>
              </w:rPr>
              <w:t>优（</w:t>
            </w:r>
            <w:r>
              <w:rPr>
                <w:rFonts w:hint="eastAsia" w:ascii="宋体" w:hAnsi="宋体"/>
                <w:b/>
                <w:bCs/>
                <w:color w:val="000000"/>
                <w:sz w:val="24"/>
                <w:highlight w:val="none"/>
                <w:lang w:val="en-US" w:eastAsia="zh-CN"/>
              </w:rPr>
              <w:t>4</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总体布置有针对性、合理，很好满足施工需要，符合安全、文明生产要求。</w:t>
            </w:r>
            <w:r>
              <w:rPr>
                <w:rFonts w:ascii="宋体" w:hAnsi="宋体"/>
                <w:color w:val="000000"/>
                <w:sz w:val="24"/>
                <w:highlight w:val="none"/>
              </w:rPr>
              <w:t xml:space="preserve"> </w:t>
            </w:r>
          </w:p>
          <w:p w14:paraId="1B598B15">
            <w:pPr>
              <w:widowControl/>
              <w:spacing w:line="360" w:lineRule="exact"/>
              <w:rPr>
                <w:rFonts w:ascii="宋体" w:hAnsi="宋体"/>
                <w:color w:val="000000"/>
                <w:sz w:val="24"/>
                <w:highlight w:val="none"/>
              </w:rPr>
            </w:pPr>
            <w:r>
              <w:rPr>
                <w:rFonts w:hint="eastAsia" w:ascii="宋体" w:hAnsi="宋体" w:eastAsia="宋体"/>
                <w:b/>
                <w:bCs/>
                <w:color w:val="000000"/>
                <w:sz w:val="24"/>
                <w:highlight w:val="none"/>
                <w:lang w:eastAsia="zh-CN"/>
              </w:rPr>
              <w:t>良（</w:t>
            </w:r>
            <w:r>
              <w:rPr>
                <w:rFonts w:hint="eastAsia" w:ascii="宋体" w:hAnsi="宋体"/>
                <w:b/>
                <w:bCs/>
                <w:color w:val="000000"/>
                <w:sz w:val="24"/>
                <w:highlight w:val="none"/>
                <w:lang w:val="en-US" w:eastAsia="zh-CN"/>
              </w:rPr>
              <w:t>2</w:t>
            </w:r>
            <w:r>
              <w:rPr>
                <w:rFonts w:hint="eastAsia" w:ascii="宋体" w:hAnsi="宋体" w:eastAsia="宋体"/>
                <w:b/>
                <w:bCs/>
                <w:color w:val="000000"/>
                <w:sz w:val="24"/>
                <w:highlight w:val="none"/>
                <w:lang w:eastAsia="zh-CN"/>
              </w:rPr>
              <w:t>分）：</w:t>
            </w:r>
            <w:r>
              <w:rPr>
                <w:rFonts w:hint="eastAsia" w:ascii="宋体" w:hAnsi="宋体"/>
                <w:color w:val="000000"/>
                <w:sz w:val="24"/>
                <w:highlight w:val="none"/>
              </w:rPr>
              <w:t>总体布置合理，能满足施工需要，符合安全、文明生产要求。</w:t>
            </w:r>
            <w:r>
              <w:rPr>
                <w:rFonts w:ascii="宋体" w:hAnsi="宋体"/>
                <w:color w:val="000000"/>
                <w:sz w:val="24"/>
                <w:highlight w:val="none"/>
              </w:rPr>
              <w:t xml:space="preserve"> </w:t>
            </w:r>
          </w:p>
          <w:p w14:paraId="594A75D0">
            <w:pPr>
              <w:widowControl/>
              <w:spacing w:line="360" w:lineRule="exact"/>
              <w:rPr>
                <w:rFonts w:ascii="宋体" w:hAnsi="宋体"/>
                <w:color w:val="000000"/>
                <w:sz w:val="24"/>
                <w:highlight w:val="none"/>
              </w:rPr>
            </w:pPr>
            <w:r>
              <w:rPr>
                <w:rFonts w:hint="eastAsia" w:ascii="宋体" w:hAnsi="宋体" w:eastAsia="宋体"/>
                <w:b/>
                <w:bCs/>
                <w:color w:val="000000"/>
                <w:sz w:val="24"/>
                <w:highlight w:val="none"/>
                <w:lang w:eastAsia="zh-CN"/>
              </w:rPr>
              <w:t>中（1分）：</w:t>
            </w:r>
            <w:r>
              <w:rPr>
                <w:rFonts w:hint="eastAsia" w:ascii="宋体" w:hAnsi="宋体"/>
                <w:color w:val="000000"/>
                <w:sz w:val="24"/>
                <w:highlight w:val="none"/>
              </w:rPr>
              <w:t>总体布置能满足施工需要，基本符合安全、文明生产要求。</w:t>
            </w:r>
            <w:r>
              <w:rPr>
                <w:rFonts w:ascii="宋体" w:hAnsi="宋体"/>
                <w:color w:val="000000"/>
                <w:sz w:val="24"/>
                <w:highlight w:val="none"/>
              </w:rPr>
              <w:t xml:space="preserve"> </w:t>
            </w:r>
          </w:p>
          <w:p w14:paraId="4E4AFF2F">
            <w:pPr>
              <w:widowControl/>
              <w:spacing w:line="360" w:lineRule="exact"/>
              <w:rPr>
                <w:rFonts w:ascii="宋体"/>
                <w:color w:val="000000"/>
                <w:sz w:val="24"/>
                <w:highlight w:val="none"/>
              </w:rPr>
            </w:pPr>
            <w:r>
              <w:rPr>
                <w:rFonts w:hint="eastAsia" w:ascii="宋体" w:hAnsi="宋体" w:eastAsia="宋体"/>
                <w:b/>
                <w:bCs/>
                <w:color w:val="000000"/>
                <w:sz w:val="24"/>
                <w:highlight w:val="none"/>
                <w:lang w:eastAsia="zh-CN"/>
              </w:rPr>
              <w:t>差（0分）：</w:t>
            </w:r>
            <w:r>
              <w:rPr>
                <w:rFonts w:hint="eastAsia" w:ascii="宋体" w:hAnsi="宋体"/>
                <w:color w:val="000000"/>
                <w:sz w:val="24"/>
                <w:highlight w:val="none"/>
              </w:rPr>
              <w:t>总体布置不合理，不符合安全、文明生产要求</w:t>
            </w:r>
            <w:r>
              <w:rPr>
                <w:rFonts w:hint="eastAsia" w:ascii="宋体" w:hAnsi="宋体"/>
                <w:b/>
                <w:bCs/>
                <w:color w:val="000000"/>
                <w:sz w:val="24"/>
                <w:highlight w:val="none"/>
              </w:rPr>
              <w:t>或未提供</w:t>
            </w:r>
            <w:r>
              <w:rPr>
                <w:rFonts w:hint="eastAsia" w:ascii="宋体" w:hAnsi="宋体" w:cs="宋体"/>
                <w:b/>
                <w:bCs/>
                <w:color w:val="000000"/>
                <w:kern w:val="0"/>
                <w:sz w:val="24"/>
                <w:highlight w:val="none"/>
              </w:rPr>
              <w:t>施工总平面布置图</w:t>
            </w:r>
            <w:r>
              <w:rPr>
                <w:rFonts w:hint="eastAsia" w:ascii="宋体" w:hAnsi="宋体"/>
                <w:color w:val="000000"/>
                <w:sz w:val="24"/>
                <w:highlight w:val="none"/>
              </w:rPr>
              <w:t>。</w:t>
            </w:r>
          </w:p>
        </w:tc>
      </w:tr>
      <w:tr w14:paraId="0DF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363E1710">
            <w:pPr>
              <w:spacing w:line="360" w:lineRule="auto"/>
              <w:jc w:val="center"/>
              <w:rPr>
                <w:rFonts w:ascii="宋体"/>
                <w:color w:val="000000"/>
                <w:sz w:val="24"/>
                <w:highlight w:val="none"/>
              </w:rPr>
            </w:pPr>
            <w:r>
              <w:rPr>
                <w:rFonts w:ascii="宋体" w:hAnsi="宋体"/>
                <w:color w:val="000000"/>
                <w:sz w:val="24"/>
                <w:highlight w:val="none"/>
              </w:rPr>
              <w:t>2</w:t>
            </w:r>
          </w:p>
        </w:tc>
        <w:tc>
          <w:tcPr>
            <w:tcW w:w="1031" w:type="dxa"/>
            <w:vAlign w:val="center"/>
          </w:tcPr>
          <w:p w14:paraId="46F5EC3E">
            <w:pPr>
              <w:spacing w:line="360" w:lineRule="auto"/>
              <w:jc w:val="center"/>
              <w:rPr>
                <w:rFonts w:ascii="宋体"/>
                <w:color w:val="0000FF"/>
                <w:sz w:val="24"/>
                <w:highlight w:val="none"/>
              </w:rPr>
            </w:pPr>
            <w:r>
              <w:rPr>
                <w:rFonts w:hint="eastAsia" w:ascii="宋体" w:hAnsi="宋体" w:cs="宋体"/>
                <w:color w:val="0000FF"/>
                <w:sz w:val="24"/>
                <w:highlight w:val="none"/>
              </w:rPr>
              <w:t>报价分</w:t>
            </w:r>
          </w:p>
          <w:p w14:paraId="79CCB4F6">
            <w:pPr>
              <w:spacing w:line="360" w:lineRule="auto"/>
              <w:jc w:val="center"/>
              <w:rPr>
                <w:rFonts w:ascii="宋体"/>
                <w:color w:val="0000FF"/>
                <w:sz w:val="24"/>
                <w:highlight w:val="none"/>
              </w:rPr>
            </w:pPr>
            <w:r>
              <w:rPr>
                <w:rFonts w:ascii="宋体" w:hAnsi="宋体"/>
                <w:color w:val="0000FF"/>
                <w:sz w:val="24"/>
                <w:highlight w:val="none"/>
              </w:rPr>
              <w:t>(3</w:t>
            </w:r>
            <w:r>
              <w:rPr>
                <w:rFonts w:ascii="宋体"/>
                <w:color w:val="0000FF"/>
                <w:sz w:val="24"/>
                <w:highlight w:val="none"/>
              </w:rPr>
              <w:t>0</w:t>
            </w:r>
            <w:r>
              <w:rPr>
                <w:rFonts w:hint="eastAsia" w:ascii="宋体" w:hAnsi="宋体"/>
                <w:color w:val="0000FF"/>
                <w:sz w:val="24"/>
                <w:highlight w:val="none"/>
              </w:rPr>
              <w:t>分</w:t>
            </w:r>
            <w:r>
              <w:rPr>
                <w:rFonts w:ascii="宋体" w:hAnsi="宋体"/>
                <w:color w:val="0000FF"/>
                <w:sz w:val="24"/>
                <w:highlight w:val="none"/>
              </w:rPr>
              <w:t>)</w:t>
            </w:r>
          </w:p>
        </w:tc>
        <w:tc>
          <w:tcPr>
            <w:tcW w:w="7725" w:type="dxa"/>
            <w:gridSpan w:val="3"/>
            <w:vAlign w:val="center"/>
          </w:tcPr>
          <w:p w14:paraId="45FC03DC">
            <w:pPr>
              <w:spacing w:line="360" w:lineRule="auto"/>
              <w:rPr>
                <w:rFonts w:ascii="宋体"/>
                <w:color w:val="0000FF"/>
                <w:sz w:val="24"/>
                <w:highlight w:val="none"/>
              </w:rPr>
            </w:pPr>
            <w:r>
              <w:rPr>
                <w:rFonts w:hint="eastAsia" w:ascii="宋体" w:hAnsi="宋体"/>
                <w:color w:val="0000FF"/>
                <w:sz w:val="24"/>
                <w:highlight w:val="none"/>
              </w:rPr>
              <w:t>价格分：</w:t>
            </w:r>
            <w:r>
              <w:rPr>
                <w:rFonts w:ascii="宋体" w:hAnsi="宋体"/>
                <w:color w:val="0000FF"/>
                <w:sz w:val="24"/>
                <w:highlight w:val="none"/>
              </w:rPr>
              <w:t>3</w:t>
            </w:r>
            <w:r>
              <w:rPr>
                <w:rFonts w:ascii="宋体"/>
                <w:color w:val="0000FF"/>
                <w:sz w:val="24"/>
                <w:highlight w:val="none"/>
              </w:rPr>
              <w:t>0</w:t>
            </w:r>
            <w:r>
              <w:rPr>
                <w:rFonts w:hint="eastAsia" w:ascii="宋体" w:hAnsi="宋体"/>
                <w:color w:val="0000FF"/>
                <w:sz w:val="24"/>
                <w:highlight w:val="none"/>
              </w:rPr>
              <w:t>分</w:t>
            </w:r>
          </w:p>
          <w:p w14:paraId="200614A6">
            <w:pPr>
              <w:spacing w:line="360" w:lineRule="auto"/>
              <w:ind w:firstLine="480" w:firstLineChars="200"/>
              <w:rPr>
                <w:rFonts w:ascii="宋体"/>
                <w:color w:val="0000FF"/>
                <w:sz w:val="24"/>
                <w:highlight w:val="none"/>
              </w:rPr>
            </w:pPr>
            <w:r>
              <w:rPr>
                <w:rFonts w:hint="eastAsia" w:ascii="宋体" w:hAnsi="宋体"/>
                <w:color w:val="0000FF"/>
                <w:sz w:val="24"/>
                <w:highlight w:val="none"/>
              </w:rPr>
              <w:t>有效磋商报价的最低价作为评标基准价，其最低报价为满分；按［某磋商报价得分</w:t>
            </w:r>
            <w:r>
              <w:rPr>
                <w:rFonts w:ascii="宋体" w:hAnsi="宋体"/>
                <w:color w:val="0000FF"/>
                <w:sz w:val="24"/>
                <w:highlight w:val="none"/>
              </w:rPr>
              <w:t>=</w:t>
            </w:r>
            <w:r>
              <w:rPr>
                <w:rFonts w:hint="eastAsia" w:ascii="宋体" w:hAnsi="宋体"/>
                <w:color w:val="0000FF"/>
                <w:sz w:val="24"/>
                <w:highlight w:val="none"/>
              </w:rPr>
              <w:t>（磋商基准价</w:t>
            </w:r>
            <w:r>
              <w:rPr>
                <w:rFonts w:ascii="宋体" w:hAnsi="宋体"/>
                <w:color w:val="0000FF"/>
                <w:sz w:val="24"/>
                <w:highlight w:val="none"/>
              </w:rPr>
              <w:t>/</w:t>
            </w:r>
            <w:r>
              <w:rPr>
                <w:rFonts w:hint="eastAsia" w:ascii="宋体" w:hAnsi="宋体"/>
                <w:color w:val="0000FF"/>
                <w:sz w:val="24"/>
                <w:highlight w:val="none"/>
              </w:rPr>
              <w:t>磋商报价）</w:t>
            </w:r>
            <w:r>
              <w:rPr>
                <w:rFonts w:ascii="宋体" w:hAnsi="宋体"/>
                <w:color w:val="0000FF"/>
                <w:sz w:val="24"/>
                <w:highlight w:val="none"/>
              </w:rPr>
              <w:t>*3</w:t>
            </w:r>
            <w:r>
              <w:rPr>
                <w:rFonts w:ascii="宋体"/>
                <w:color w:val="0000FF"/>
                <w:sz w:val="24"/>
                <w:highlight w:val="none"/>
              </w:rPr>
              <w:t>0</w:t>
            </w:r>
            <w:r>
              <w:rPr>
                <w:rFonts w:hint="eastAsia" w:ascii="宋体" w:hAnsi="宋体"/>
                <w:color w:val="0000FF"/>
                <w:sz w:val="24"/>
                <w:highlight w:val="none"/>
              </w:rPr>
              <w:t>］的计算公式计算。</w:t>
            </w:r>
          </w:p>
          <w:p w14:paraId="6E3B4F20">
            <w:pPr>
              <w:spacing w:line="360" w:lineRule="auto"/>
              <w:ind w:firstLine="480" w:firstLineChars="200"/>
              <w:rPr>
                <w:rFonts w:ascii="宋体"/>
                <w:color w:val="0000FF"/>
                <w:sz w:val="24"/>
                <w:highlight w:val="none"/>
              </w:rPr>
            </w:pPr>
            <w:r>
              <w:rPr>
                <w:rFonts w:hint="eastAsia" w:ascii="宋体" w:hAnsi="宋体"/>
                <w:color w:val="0000FF"/>
                <w:sz w:val="24"/>
                <w:highlight w:val="none"/>
              </w:rPr>
              <w:t>评审过程中，不得去掉报价中的最高报价和最低报价。</w:t>
            </w:r>
          </w:p>
          <w:p w14:paraId="016574B5">
            <w:pPr>
              <w:spacing w:line="360" w:lineRule="auto"/>
              <w:ind w:firstLine="480" w:firstLineChars="200"/>
              <w:rPr>
                <w:rFonts w:ascii="宋体" w:cs="宋体"/>
                <w:bCs/>
                <w:color w:val="0000FF"/>
                <w:sz w:val="24"/>
                <w:highlight w:val="none"/>
              </w:rPr>
            </w:pPr>
            <w:r>
              <w:rPr>
                <w:rFonts w:hint="eastAsia" w:ascii="宋体" w:hAnsi="宋体" w:cs="宋体"/>
                <w:bCs/>
                <w:color w:val="0000FF"/>
                <w:sz w:val="24"/>
                <w:highlight w:val="none"/>
              </w:rPr>
              <w:t>（</w:t>
            </w:r>
            <w:r>
              <w:rPr>
                <w:rFonts w:ascii="宋体" w:hAnsi="宋体" w:cs="宋体"/>
                <w:bCs/>
                <w:color w:val="0000FF"/>
                <w:sz w:val="24"/>
                <w:highlight w:val="none"/>
              </w:rPr>
              <w:t>1</w:t>
            </w:r>
            <w:r>
              <w:rPr>
                <w:rFonts w:hint="eastAsia" w:ascii="宋体" w:hAnsi="宋体" w:cs="宋体"/>
                <w:bCs/>
                <w:color w:val="0000FF"/>
                <w:sz w:val="24"/>
                <w:highlight w:val="none"/>
              </w:rPr>
              <w:t>）本项目为专门面向中小企业采购的项目，按照《政府采购促进中小企业发展管理办法》（财库〔</w:t>
            </w:r>
            <w:r>
              <w:rPr>
                <w:rFonts w:ascii="宋体" w:hAnsi="宋体" w:cs="宋体"/>
                <w:bCs/>
                <w:color w:val="0000FF"/>
                <w:sz w:val="24"/>
                <w:highlight w:val="none"/>
              </w:rPr>
              <w:t>2020</w:t>
            </w:r>
            <w:r>
              <w:rPr>
                <w:rFonts w:hint="eastAsia" w:ascii="宋体" w:hAnsi="宋体" w:cs="宋体"/>
                <w:bCs/>
                <w:color w:val="0000FF"/>
                <w:sz w:val="24"/>
                <w:highlight w:val="none"/>
              </w:rPr>
              <w:t>〕</w:t>
            </w:r>
            <w:r>
              <w:rPr>
                <w:rFonts w:ascii="宋体" w:hAnsi="宋体" w:cs="宋体"/>
                <w:bCs/>
                <w:color w:val="0000FF"/>
                <w:sz w:val="24"/>
                <w:highlight w:val="none"/>
              </w:rPr>
              <w:t xml:space="preserve">46 </w:t>
            </w:r>
            <w:r>
              <w:rPr>
                <w:rFonts w:hint="eastAsia" w:ascii="宋体" w:hAnsi="宋体" w:cs="宋体"/>
                <w:bCs/>
                <w:color w:val="0000FF"/>
                <w:sz w:val="24"/>
                <w:highlight w:val="none"/>
              </w:rPr>
              <w:t>号）的规定，对供应商的磋商报价不再执行价格评审优惠的扶持政策。</w:t>
            </w:r>
          </w:p>
          <w:p w14:paraId="03783736">
            <w:pPr>
              <w:spacing w:line="360" w:lineRule="auto"/>
              <w:ind w:firstLine="480" w:firstLineChars="200"/>
              <w:rPr>
                <w:rFonts w:ascii="宋体" w:cs="宋体"/>
                <w:bCs/>
                <w:color w:val="0000FF"/>
                <w:sz w:val="24"/>
                <w:highlight w:val="none"/>
              </w:rPr>
            </w:pPr>
            <w:r>
              <w:rPr>
                <w:rFonts w:hint="eastAsia" w:ascii="宋体" w:hAnsi="宋体" w:cs="宋体"/>
                <w:bCs/>
                <w:color w:val="0000FF"/>
                <w:sz w:val="24"/>
                <w:highlight w:val="none"/>
              </w:rPr>
              <w:t>（</w:t>
            </w:r>
            <w:r>
              <w:rPr>
                <w:rFonts w:ascii="宋体" w:hAnsi="宋体" w:cs="宋体"/>
                <w:bCs/>
                <w:color w:val="0000FF"/>
                <w:sz w:val="24"/>
                <w:highlight w:val="none"/>
              </w:rPr>
              <w:t>2</w:t>
            </w:r>
            <w:r>
              <w:rPr>
                <w:rFonts w:hint="eastAsia" w:ascii="宋体" w:hAnsi="宋体" w:cs="宋体"/>
                <w:bCs/>
                <w:color w:val="0000FF"/>
                <w:sz w:val="24"/>
                <w:highlight w:val="none"/>
              </w:rPr>
              <w:t>）磋商供应商提供企业按《关于政府采购支持监狱企业发展有关问题的通知》</w:t>
            </w:r>
            <w:r>
              <w:rPr>
                <w:rFonts w:ascii="宋体" w:hAnsi="宋体" w:cs="宋体"/>
                <w:bCs/>
                <w:color w:val="0000FF"/>
                <w:sz w:val="24"/>
                <w:highlight w:val="none"/>
              </w:rPr>
              <w:t>(</w:t>
            </w:r>
            <w:r>
              <w:rPr>
                <w:rFonts w:hint="eastAsia" w:ascii="宋体" w:hAnsi="宋体" w:cs="宋体"/>
                <w:bCs/>
                <w:color w:val="0000FF"/>
                <w:sz w:val="24"/>
                <w:highlight w:val="none"/>
              </w:rPr>
              <w:t>财库〔</w:t>
            </w:r>
            <w:r>
              <w:rPr>
                <w:rFonts w:ascii="宋体" w:hAnsi="宋体" w:cs="宋体"/>
                <w:bCs/>
                <w:color w:val="0000FF"/>
                <w:sz w:val="24"/>
                <w:highlight w:val="none"/>
              </w:rPr>
              <w:t>2014</w:t>
            </w:r>
            <w:r>
              <w:rPr>
                <w:rFonts w:hint="eastAsia" w:ascii="宋体" w:hAnsi="宋体" w:cs="宋体"/>
                <w:bCs/>
                <w:color w:val="0000FF"/>
                <w:sz w:val="24"/>
                <w:highlight w:val="none"/>
              </w:rPr>
              <w:t>〕</w:t>
            </w:r>
            <w:r>
              <w:rPr>
                <w:rFonts w:ascii="宋体" w:hAnsi="宋体" w:cs="宋体"/>
                <w:bCs/>
                <w:color w:val="0000FF"/>
                <w:sz w:val="24"/>
                <w:highlight w:val="none"/>
              </w:rPr>
              <w:t xml:space="preserve">68 </w:t>
            </w:r>
            <w:r>
              <w:rPr>
                <w:rFonts w:hint="eastAsia" w:ascii="宋体" w:hAnsi="宋体" w:cs="宋体"/>
                <w:bCs/>
                <w:color w:val="0000FF"/>
                <w:sz w:val="24"/>
                <w:highlight w:val="none"/>
              </w:rPr>
              <w:t>号</w:t>
            </w:r>
            <w:r>
              <w:rPr>
                <w:rFonts w:ascii="宋体" w:hAnsi="宋体" w:cs="宋体"/>
                <w:bCs/>
                <w:color w:val="0000FF"/>
                <w:sz w:val="24"/>
                <w:highlight w:val="none"/>
              </w:rPr>
              <w:t>)</w:t>
            </w:r>
            <w:r>
              <w:rPr>
                <w:rFonts w:hint="eastAsia" w:ascii="宋体" w:hAnsi="宋体" w:cs="宋体"/>
                <w:bCs/>
                <w:color w:val="0000FF"/>
                <w:sz w:val="24"/>
                <w:highlight w:val="none"/>
              </w:rPr>
              <w:t>认定为监狱企业的，在政府采购活动中，监狱企业视同小型、微型企业。监狱企业以提供由省级以上监狱管理局、戒毒管理局</w:t>
            </w:r>
            <w:r>
              <w:rPr>
                <w:rFonts w:ascii="宋体" w:hAnsi="宋体" w:cs="宋体"/>
                <w:bCs/>
                <w:color w:val="0000FF"/>
                <w:sz w:val="24"/>
                <w:highlight w:val="none"/>
              </w:rPr>
              <w:t>(</w:t>
            </w:r>
            <w:r>
              <w:rPr>
                <w:rFonts w:hint="eastAsia" w:ascii="宋体" w:hAnsi="宋体" w:cs="宋体"/>
                <w:bCs/>
                <w:color w:val="0000FF"/>
                <w:sz w:val="24"/>
                <w:highlight w:val="none"/>
              </w:rPr>
              <w:t>含新疆生产建设兵团</w:t>
            </w:r>
            <w:r>
              <w:rPr>
                <w:rFonts w:ascii="宋体" w:hAnsi="宋体" w:cs="宋体"/>
                <w:bCs/>
                <w:color w:val="0000FF"/>
                <w:sz w:val="24"/>
                <w:highlight w:val="none"/>
              </w:rPr>
              <w:t>)</w:t>
            </w:r>
            <w:r>
              <w:rPr>
                <w:rFonts w:hint="eastAsia" w:ascii="宋体" w:hAnsi="宋体" w:cs="宋体"/>
                <w:bCs/>
                <w:color w:val="0000FF"/>
                <w:sz w:val="24"/>
                <w:highlight w:val="none"/>
              </w:rPr>
              <w:t>出具的属于监狱企业的证明文件为准。</w:t>
            </w:r>
          </w:p>
          <w:p w14:paraId="12520AB6">
            <w:pPr>
              <w:spacing w:line="360" w:lineRule="auto"/>
              <w:ind w:firstLine="480" w:firstLineChars="200"/>
              <w:rPr>
                <w:rFonts w:ascii="宋体"/>
                <w:color w:val="0000FF"/>
                <w:sz w:val="24"/>
                <w:highlight w:val="none"/>
              </w:rPr>
            </w:pPr>
            <w:r>
              <w:rPr>
                <w:rFonts w:hint="eastAsia" w:ascii="宋体" w:hAnsi="宋体" w:cs="宋体"/>
                <w:bCs/>
                <w:color w:val="0000FF"/>
                <w:sz w:val="24"/>
                <w:highlight w:val="none"/>
              </w:rPr>
              <w:t>（</w:t>
            </w:r>
            <w:r>
              <w:rPr>
                <w:rFonts w:ascii="宋体" w:hAnsi="宋体" w:cs="宋体"/>
                <w:bCs/>
                <w:color w:val="0000FF"/>
                <w:sz w:val="24"/>
                <w:highlight w:val="none"/>
              </w:rPr>
              <w:t>3</w:t>
            </w:r>
            <w:r>
              <w:rPr>
                <w:rFonts w:hint="eastAsia" w:ascii="宋体" w:hAnsi="宋体" w:cs="宋体"/>
                <w:bCs/>
                <w:color w:val="0000FF"/>
                <w:sz w:val="24"/>
                <w:highlight w:val="none"/>
              </w:rPr>
              <w:t>）磋商供应商提供企业按《关于促进残疾人就业政府采购政策的通知》</w:t>
            </w:r>
            <w:r>
              <w:rPr>
                <w:rFonts w:ascii="宋体" w:hAnsi="宋体" w:cs="宋体"/>
                <w:bCs/>
                <w:color w:val="0000FF"/>
                <w:sz w:val="24"/>
                <w:highlight w:val="none"/>
              </w:rPr>
              <w:t>(</w:t>
            </w:r>
            <w:r>
              <w:rPr>
                <w:rFonts w:hint="eastAsia" w:ascii="宋体" w:hAnsi="宋体" w:cs="宋体"/>
                <w:bCs/>
                <w:color w:val="0000FF"/>
                <w:sz w:val="24"/>
                <w:highlight w:val="none"/>
              </w:rPr>
              <w:t>财库〔</w:t>
            </w:r>
            <w:r>
              <w:rPr>
                <w:rFonts w:ascii="宋体" w:hAnsi="宋体" w:cs="宋体"/>
                <w:bCs/>
                <w:color w:val="0000FF"/>
                <w:sz w:val="24"/>
                <w:highlight w:val="none"/>
              </w:rPr>
              <w:t>2017</w:t>
            </w:r>
            <w:r>
              <w:rPr>
                <w:rFonts w:hint="eastAsia" w:ascii="宋体" w:hAnsi="宋体" w:cs="宋体"/>
                <w:bCs/>
                <w:color w:val="0000FF"/>
                <w:sz w:val="24"/>
                <w:highlight w:val="none"/>
              </w:rPr>
              <w:t>〕</w:t>
            </w:r>
            <w:r>
              <w:rPr>
                <w:rFonts w:ascii="宋体" w:hAnsi="宋体" w:cs="宋体"/>
                <w:bCs/>
                <w:color w:val="0000FF"/>
                <w:sz w:val="24"/>
                <w:highlight w:val="none"/>
              </w:rPr>
              <w:t>141</w:t>
            </w:r>
            <w:r>
              <w:rPr>
                <w:rFonts w:hint="eastAsia" w:ascii="宋体" w:hAnsi="宋体" w:cs="宋体"/>
                <w:bCs/>
                <w:color w:val="0000FF"/>
                <w:sz w:val="24"/>
                <w:highlight w:val="none"/>
              </w:rPr>
              <w:t>号</w:t>
            </w:r>
            <w:r>
              <w:rPr>
                <w:rFonts w:ascii="宋体" w:hAnsi="宋体" w:cs="宋体"/>
                <w:bCs/>
                <w:color w:val="0000FF"/>
                <w:sz w:val="24"/>
                <w:highlight w:val="none"/>
              </w:rPr>
              <w:t>)</w:t>
            </w:r>
            <w:r>
              <w:rPr>
                <w:rFonts w:hint="eastAsia" w:ascii="宋体" w:hAnsi="宋体" w:cs="宋体"/>
                <w:bCs/>
                <w:color w:val="0000FF"/>
                <w:sz w:val="24"/>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14:paraId="2233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0" w:type="dxa"/>
            <w:vAlign w:val="center"/>
          </w:tcPr>
          <w:p w14:paraId="650A4885">
            <w:pPr>
              <w:spacing w:line="360" w:lineRule="auto"/>
              <w:jc w:val="center"/>
              <w:rPr>
                <w:rFonts w:ascii="宋体"/>
                <w:color w:val="000000"/>
                <w:sz w:val="24"/>
                <w:highlight w:val="none"/>
              </w:rPr>
            </w:pPr>
            <w:r>
              <w:rPr>
                <w:rFonts w:ascii="宋体" w:hAnsi="宋体"/>
                <w:color w:val="000000"/>
                <w:sz w:val="24"/>
                <w:highlight w:val="none"/>
              </w:rPr>
              <w:t>3</w:t>
            </w:r>
          </w:p>
        </w:tc>
        <w:tc>
          <w:tcPr>
            <w:tcW w:w="1031" w:type="dxa"/>
            <w:vAlign w:val="center"/>
          </w:tcPr>
          <w:p w14:paraId="5F90FD21">
            <w:pPr>
              <w:spacing w:line="360" w:lineRule="auto"/>
              <w:jc w:val="center"/>
              <w:rPr>
                <w:rFonts w:ascii="宋体" w:cs="宋体"/>
                <w:color w:val="000000"/>
                <w:sz w:val="24"/>
                <w:highlight w:val="none"/>
              </w:rPr>
            </w:pPr>
            <w:r>
              <w:rPr>
                <w:rFonts w:hint="eastAsia" w:ascii="宋体" w:hAnsi="宋体" w:cs="宋体"/>
                <w:color w:val="000000"/>
                <w:sz w:val="24"/>
                <w:highlight w:val="none"/>
              </w:rPr>
              <w:t>商务分</w:t>
            </w:r>
          </w:p>
          <w:p w14:paraId="663594FE">
            <w:pPr>
              <w:spacing w:line="360" w:lineRule="auto"/>
              <w:jc w:val="center"/>
              <w:rPr>
                <w:rFonts w:ascii="宋体"/>
                <w:color w:val="000000"/>
                <w:sz w:val="24"/>
                <w:highlight w:val="none"/>
              </w:rPr>
            </w:pPr>
            <w:r>
              <w:rPr>
                <w:rFonts w:ascii="宋体" w:hAnsi="宋体" w:cs="宋体"/>
                <w:color w:val="000000"/>
                <w:sz w:val="24"/>
                <w:highlight w:val="none"/>
              </w:rPr>
              <w:t>(</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分</w:t>
            </w:r>
            <w:r>
              <w:rPr>
                <w:rFonts w:ascii="宋体" w:hAnsi="宋体" w:cs="宋体"/>
                <w:color w:val="000000"/>
                <w:sz w:val="24"/>
                <w:highlight w:val="none"/>
              </w:rPr>
              <w:t>)</w:t>
            </w:r>
          </w:p>
        </w:tc>
        <w:tc>
          <w:tcPr>
            <w:tcW w:w="7725" w:type="dxa"/>
            <w:gridSpan w:val="3"/>
            <w:vAlign w:val="center"/>
          </w:tcPr>
          <w:p w14:paraId="301092E7">
            <w:pPr>
              <w:spacing w:line="380" w:lineRule="exact"/>
              <w:rPr>
                <w:rFonts w:ascii="宋体"/>
                <w:b/>
                <w:color w:val="000000"/>
                <w:sz w:val="24"/>
                <w:highlight w:val="none"/>
              </w:rPr>
            </w:pPr>
            <w:r>
              <w:rPr>
                <w:rFonts w:hint="eastAsia" w:ascii="宋体" w:hAnsi="宋体"/>
                <w:b/>
                <w:kern w:val="0"/>
                <w:szCs w:val="18"/>
                <w:highlight w:val="none"/>
                <w:lang w:val="en-US" w:eastAsia="zh-CN"/>
              </w:rPr>
              <w:t>1.</w:t>
            </w:r>
            <w:r>
              <w:rPr>
                <w:rFonts w:hint="eastAsia" w:ascii="宋体" w:hAnsi="宋体"/>
                <w:b/>
                <w:color w:val="000000"/>
                <w:sz w:val="24"/>
                <w:highlight w:val="none"/>
              </w:rPr>
              <w:t>业绩分（满分</w:t>
            </w:r>
            <w:r>
              <w:rPr>
                <w:rFonts w:hint="eastAsia" w:ascii="宋体" w:hAnsi="宋体"/>
                <w:b/>
                <w:color w:val="000000"/>
                <w:sz w:val="24"/>
                <w:highlight w:val="none"/>
                <w:lang w:val="en-US" w:eastAsia="zh-CN"/>
              </w:rPr>
              <w:t>5</w:t>
            </w:r>
            <w:r>
              <w:rPr>
                <w:rFonts w:hint="eastAsia" w:ascii="宋体" w:hAnsi="宋体"/>
                <w:b/>
                <w:color w:val="000000"/>
                <w:sz w:val="24"/>
                <w:highlight w:val="none"/>
              </w:rPr>
              <w:t>分）</w:t>
            </w:r>
          </w:p>
          <w:p w14:paraId="19732AA8">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2022 年 1 月 1 日至提交响应文件截止日供应商承接过</w:t>
            </w:r>
            <w:r>
              <w:rPr>
                <w:rFonts w:hint="eastAsia" w:ascii="宋体" w:hAnsi="宋体"/>
                <w:color w:val="000000"/>
                <w:sz w:val="24"/>
                <w:highlight w:val="none"/>
                <w:lang w:val="en-US" w:eastAsia="zh-CN"/>
              </w:rPr>
              <w:t>类似</w:t>
            </w:r>
            <w:r>
              <w:rPr>
                <w:rFonts w:hint="eastAsia" w:ascii="宋体" w:hAnsi="宋体"/>
                <w:color w:val="000000"/>
                <w:sz w:val="24"/>
                <w:highlight w:val="none"/>
              </w:rPr>
              <w:t>项目业绩，每提供 1 份符合要求的业绩得 1 分，满分 5 分。</w:t>
            </w:r>
          </w:p>
          <w:p w14:paraId="051B101A">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(注：类似工程</w:t>
            </w:r>
            <w:r>
              <w:rPr>
                <w:rFonts w:hint="eastAsia" w:ascii="宋体" w:hAnsi="宋体"/>
                <w:color w:val="000000"/>
                <w:sz w:val="24"/>
                <w:highlight w:val="none"/>
                <w:lang w:val="en-US" w:eastAsia="zh-CN"/>
              </w:rPr>
              <w:t>是指水利水电工程项目，</w:t>
            </w:r>
            <w:r>
              <w:rPr>
                <w:rFonts w:hint="eastAsia" w:ascii="宋体" w:hAnsi="宋体"/>
                <w:color w:val="000000"/>
                <w:sz w:val="24"/>
                <w:highlight w:val="none"/>
              </w:rPr>
              <w:t>项目业绩须提供中标(成交)通知书或合同等证明材料，日期以中标(成交)通知书或合同签订时间为准，复印件加盖供应商公章)。</w:t>
            </w:r>
          </w:p>
          <w:p w14:paraId="2B2EFC15">
            <w:pPr>
              <w:widowControl/>
              <w:spacing w:line="380" w:lineRule="exact"/>
              <w:jc w:val="left"/>
              <w:rPr>
                <w:rFonts w:hint="default" w:ascii="宋体" w:hAnsi="宋体"/>
                <w:b/>
                <w:bCs/>
                <w:color w:val="000000"/>
                <w:sz w:val="24"/>
                <w:highlight w:val="none"/>
                <w:lang w:val="en-US" w:eastAsia="zh-CN"/>
              </w:rPr>
            </w:pPr>
            <w:r>
              <w:rPr>
                <w:rFonts w:hint="eastAsia" w:ascii="宋体" w:hAnsi="宋体"/>
                <w:b/>
                <w:bCs/>
                <w:color w:val="000000"/>
                <w:sz w:val="24"/>
                <w:highlight w:val="none"/>
                <w:lang w:val="en-US" w:eastAsia="zh-CN"/>
              </w:rPr>
              <w:t>2.项目经理任职资格与业绩等（4分）</w:t>
            </w:r>
          </w:p>
          <w:p w14:paraId="6F357872">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拟派任项目经理（或注册建造师）必须与资格审查合格通过的项目经理（或注册建造师）在名称、专业、资格等方面一致。</w:t>
            </w:r>
          </w:p>
          <w:p w14:paraId="44F76ABB">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项目经理</w:t>
            </w:r>
            <w:r>
              <w:rPr>
                <w:rFonts w:hint="eastAsia" w:ascii="宋体" w:hAnsi="宋体"/>
                <w:color w:val="000000"/>
                <w:sz w:val="24"/>
                <w:highlight w:val="none"/>
                <w:lang w:val="en-US" w:eastAsia="zh-CN"/>
              </w:rPr>
              <w:t>职称</w:t>
            </w:r>
            <w:r>
              <w:rPr>
                <w:rFonts w:hint="eastAsia" w:ascii="宋体" w:hAnsi="宋体"/>
                <w:color w:val="000000"/>
                <w:sz w:val="24"/>
                <w:highlight w:val="none"/>
              </w:rPr>
              <w:t>：具备水利水电工程</w:t>
            </w:r>
            <w:r>
              <w:rPr>
                <w:rFonts w:hint="eastAsia" w:ascii="宋体" w:hAnsi="宋体"/>
                <w:color w:val="000000"/>
                <w:sz w:val="24"/>
                <w:highlight w:val="none"/>
                <w:lang w:val="en-US" w:eastAsia="zh-CN"/>
              </w:rPr>
              <w:t>中级职称的得1分，</w:t>
            </w:r>
            <w:r>
              <w:rPr>
                <w:rFonts w:hint="eastAsia" w:ascii="宋体" w:hAnsi="宋体"/>
                <w:color w:val="000000"/>
                <w:sz w:val="24"/>
                <w:highlight w:val="none"/>
              </w:rPr>
              <w:t>具备水利水电工程</w:t>
            </w:r>
            <w:r>
              <w:rPr>
                <w:rFonts w:hint="eastAsia" w:ascii="宋体" w:hAnsi="宋体"/>
                <w:color w:val="000000"/>
                <w:sz w:val="24"/>
                <w:highlight w:val="none"/>
                <w:lang w:val="en-US" w:eastAsia="zh-CN"/>
              </w:rPr>
              <w:t>副高级及以上职称的</w:t>
            </w:r>
            <w:r>
              <w:rPr>
                <w:rFonts w:hint="eastAsia" w:ascii="宋体" w:hAnsi="宋体"/>
                <w:color w:val="000000"/>
                <w:sz w:val="24"/>
                <w:highlight w:val="none"/>
              </w:rPr>
              <w:t>得</w:t>
            </w:r>
            <w:r>
              <w:rPr>
                <w:rFonts w:hint="eastAsia" w:ascii="宋体" w:hAnsi="宋体"/>
                <w:color w:val="000000"/>
                <w:sz w:val="24"/>
                <w:highlight w:val="none"/>
                <w:lang w:val="en-US" w:eastAsia="zh-CN"/>
              </w:rPr>
              <w:t>2</w:t>
            </w:r>
            <w:r>
              <w:rPr>
                <w:rFonts w:hint="eastAsia" w:ascii="宋体" w:hAnsi="宋体"/>
                <w:color w:val="000000"/>
                <w:sz w:val="24"/>
                <w:highlight w:val="none"/>
              </w:rPr>
              <w:t>分；</w:t>
            </w:r>
          </w:p>
          <w:p w14:paraId="7FD0FE2C">
            <w:pPr>
              <w:widowControl/>
              <w:spacing w:line="380" w:lineRule="exact"/>
              <w:ind w:firstLine="480" w:firstLineChars="200"/>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（2）项目经理业绩：项目经理具有类似项目业绩的，每具备一个得1分，满分2分。</w:t>
            </w:r>
          </w:p>
          <w:p w14:paraId="71191F18">
            <w:pPr>
              <w:widowControl/>
              <w:spacing w:line="380" w:lineRule="exact"/>
              <w:ind w:firstLine="480" w:firstLineChars="200"/>
              <w:jc w:val="left"/>
              <w:rPr>
                <w:rFonts w:hint="eastAsia" w:ascii="宋体" w:hAnsi="宋体"/>
                <w:b/>
                <w:bCs/>
                <w:color w:val="000000"/>
                <w:sz w:val="24"/>
                <w:highlight w:val="none"/>
                <w:lang w:val="en-US" w:eastAsia="zh-CN"/>
              </w:rPr>
            </w:pPr>
            <w:r>
              <w:rPr>
                <w:rFonts w:hint="eastAsia" w:ascii="宋体" w:hAnsi="宋体"/>
                <w:color w:val="000000"/>
                <w:sz w:val="24"/>
                <w:highlight w:val="none"/>
              </w:rPr>
              <w:t>(注：类似工程</w:t>
            </w:r>
            <w:r>
              <w:rPr>
                <w:rFonts w:hint="eastAsia" w:ascii="宋体" w:hAnsi="宋体"/>
                <w:color w:val="000000"/>
                <w:sz w:val="24"/>
                <w:highlight w:val="none"/>
                <w:lang w:val="en-US" w:eastAsia="zh-CN"/>
              </w:rPr>
              <w:t>是指水利水电工程项目，</w:t>
            </w:r>
            <w:r>
              <w:rPr>
                <w:rFonts w:hint="eastAsia" w:ascii="宋体" w:hAnsi="宋体"/>
                <w:color w:val="000000"/>
                <w:sz w:val="24"/>
                <w:highlight w:val="none"/>
              </w:rPr>
              <w:t>项目业绩须提供中标(成交)通知书或合同等证明材料，日期以中标(成交)通知书或合同签订时间为准，复印件加盖供应商公章</w:t>
            </w:r>
            <w:r>
              <w:rPr>
                <w:rFonts w:hint="eastAsia" w:ascii="宋体" w:hAnsi="宋体"/>
                <w:color w:val="000000"/>
                <w:sz w:val="24"/>
                <w:highlight w:val="none"/>
                <w:lang w:eastAsia="zh-CN"/>
              </w:rPr>
              <w:t>，</w:t>
            </w:r>
            <w:r>
              <w:rPr>
                <w:rFonts w:hint="eastAsia" w:ascii="宋体" w:hAnsi="宋体"/>
                <w:b/>
                <w:bCs/>
                <w:color w:val="000000"/>
                <w:sz w:val="24"/>
                <w:highlight w:val="none"/>
                <w:lang w:val="en-US" w:eastAsia="zh-CN"/>
              </w:rPr>
              <w:t>项目经理业绩与公司业绩重复的，不重复得分</w:t>
            </w:r>
            <w:r>
              <w:rPr>
                <w:rFonts w:hint="eastAsia" w:ascii="宋体" w:hAnsi="宋体"/>
                <w:color w:val="000000"/>
                <w:sz w:val="24"/>
                <w:highlight w:val="none"/>
              </w:rPr>
              <w:t>)。</w:t>
            </w:r>
          </w:p>
          <w:p w14:paraId="4167AE4E">
            <w:pPr>
              <w:widowControl/>
              <w:spacing w:line="380" w:lineRule="exact"/>
              <w:jc w:val="left"/>
              <w:rPr>
                <w:rFonts w:ascii="宋体"/>
                <w:b/>
                <w:bCs/>
                <w:color w:val="000000"/>
                <w:sz w:val="24"/>
                <w:highlight w:val="none"/>
              </w:rPr>
            </w:pPr>
            <w:r>
              <w:rPr>
                <w:rFonts w:hint="eastAsia" w:ascii="宋体" w:hAnsi="宋体"/>
                <w:b/>
                <w:bCs/>
                <w:color w:val="000000"/>
                <w:sz w:val="24"/>
                <w:highlight w:val="none"/>
                <w:lang w:val="en-US" w:eastAsia="zh-CN"/>
              </w:rPr>
              <w:t>3.</w:t>
            </w:r>
            <w:r>
              <w:rPr>
                <w:rFonts w:hint="eastAsia" w:ascii="宋体" w:hAnsi="宋体"/>
                <w:b/>
                <w:bCs/>
                <w:color w:val="000000"/>
                <w:sz w:val="24"/>
                <w:highlight w:val="none"/>
              </w:rPr>
              <w:t>团队人员分（满分</w:t>
            </w:r>
            <w:r>
              <w:rPr>
                <w:rFonts w:hint="eastAsia" w:ascii="宋体" w:hAnsi="宋体"/>
                <w:b/>
                <w:bCs/>
                <w:color w:val="000000"/>
                <w:sz w:val="24"/>
                <w:highlight w:val="none"/>
                <w:lang w:val="en-US" w:eastAsia="zh-CN"/>
              </w:rPr>
              <w:t>3</w:t>
            </w:r>
            <w:r>
              <w:rPr>
                <w:rFonts w:hint="eastAsia" w:ascii="宋体" w:hAnsi="宋体"/>
                <w:b/>
                <w:bCs/>
                <w:color w:val="000000"/>
                <w:sz w:val="24"/>
                <w:highlight w:val="none"/>
              </w:rPr>
              <w:t>分）</w:t>
            </w:r>
          </w:p>
          <w:p w14:paraId="2B0ED5C1">
            <w:pPr>
              <w:widowControl/>
              <w:spacing w:line="380" w:lineRule="exact"/>
              <w:ind w:firstLine="480" w:firstLineChars="200"/>
              <w:jc w:val="left"/>
              <w:rPr>
                <w:rFonts w:hint="eastAsia" w:ascii="宋体" w:hAnsi="宋体"/>
                <w:color w:val="000000"/>
                <w:sz w:val="24"/>
                <w:highlight w:val="none"/>
              </w:rPr>
            </w:pPr>
            <w:r>
              <w:rPr>
                <w:rFonts w:hint="eastAsia" w:ascii="宋体" w:hAnsi="宋体"/>
                <w:color w:val="000000"/>
                <w:sz w:val="24"/>
                <w:highlight w:val="none"/>
              </w:rPr>
              <w:t>人员齐备、专业配套，具备相关岗位证书，拟派驻本项目的技术负责人应具有中级及以上职称证件，安全员、施工员、质量员、材料员、资料员应具有相应岗位资格证书，且拟投入的项目管理人员符合国家及广西壮族自治区的规定</w:t>
            </w:r>
            <w:r>
              <w:rPr>
                <w:rFonts w:hint="eastAsia" w:ascii="宋体" w:hAnsi="宋体"/>
                <w:color w:val="000000"/>
                <w:sz w:val="24"/>
                <w:highlight w:val="none"/>
                <w:lang w:eastAsia="zh-CN"/>
              </w:rPr>
              <w:t>，</w:t>
            </w:r>
            <w:r>
              <w:rPr>
                <w:rFonts w:hint="eastAsia" w:ascii="宋体" w:hAnsi="宋体"/>
                <w:color w:val="000000"/>
                <w:sz w:val="24"/>
                <w:highlight w:val="none"/>
              </w:rPr>
              <w:t>按以下标准计分：</w:t>
            </w:r>
          </w:p>
          <w:p w14:paraId="42E50F86">
            <w:pPr>
              <w:widowControl/>
              <w:spacing w:line="380" w:lineRule="exact"/>
              <w:ind w:firstLine="480" w:firstLineChars="200"/>
              <w:jc w:val="left"/>
              <w:rPr>
                <w:rFonts w:asci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拟投入本工程的安全员、施工员、质量员、材料员、资料员具有初级职称的，每人得0.5分，中级及以上职称的每人得1分，满分</w:t>
            </w:r>
            <w:r>
              <w:rPr>
                <w:rFonts w:hint="eastAsia" w:ascii="宋体" w:hAnsi="宋体"/>
                <w:color w:val="000000"/>
                <w:sz w:val="24"/>
                <w:highlight w:val="none"/>
                <w:lang w:val="en-US" w:eastAsia="zh-CN"/>
              </w:rPr>
              <w:t>3</w:t>
            </w:r>
            <w:r>
              <w:rPr>
                <w:rFonts w:hint="eastAsia" w:ascii="宋体" w:hAnsi="宋体"/>
                <w:color w:val="000000"/>
                <w:sz w:val="24"/>
                <w:highlight w:val="none"/>
              </w:rPr>
              <w:t>分。</w:t>
            </w:r>
          </w:p>
        </w:tc>
      </w:tr>
      <w:tr w14:paraId="6D81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811" w:type="dxa"/>
            <w:gridSpan w:val="2"/>
            <w:vAlign w:val="center"/>
          </w:tcPr>
          <w:p w14:paraId="3541072E">
            <w:pPr>
              <w:spacing w:line="360" w:lineRule="auto"/>
              <w:jc w:val="center"/>
              <w:rPr>
                <w:rFonts w:ascii="宋体" w:cs="宋体"/>
                <w:color w:val="000000"/>
                <w:sz w:val="24"/>
                <w:highlight w:val="none"/>
              </w:rPr>
            </w:pPr>
            <w:r>
              <w:rPr>
                <w:rFonts w:hint="eastAsia" w:ascii="宋体" w:hAnsi="宋体" w:cs="宋体"/>
                <w:color w:val="000000"/>
                <w:sz w:val="24"/>
                <w:highlight w:val="none"/>
              </w:rPr>
              <w:t>磋商供应商汇总得分</w:t>
            </w:r>
          </w:p>
          <w:p w14:paraId="4DE1F3EC">
            <w:pPr>
              <w:spacing w:line="360" w:lineRule="auto"/>
              <w:jc w:val="center"/>
              <w:rPr>
                <w:rFonts w:ascii="宋体"/>
                <w:color w:val="000000"/>
                <w:sz w:val="24"/>
                <w:highlight w:val="none"/>
              </w:rPr>
            </w:pPr>
            <w:r>
              <w:rPr>
                <w:rFonts w:hint="eastAsia" w:ascii="宋体" w:hAnsi="宋体" w:cs="宋体"/>
                <w:color w:val="000000"/>
                <w:sz w:val="24"/>
                <w:highlight w:val="none"/>
              </w:rPr>
              <w:t>（满分</w:t>
            </w:r>
            <w:r>
              <w:rPr>
                <w:rFonts w:ascii="宋体" w:hAnsi="宋体" w:cs="宋体"/>
                <w:color w:val="000000"/>
                <w:sz w:val="24"/>
                <w:highlight w:val="none"/>
              </w:rPr>
              <w:t>100</w:t>
            </w:r>
            <w:r>
              <w:rPr>
                <w:rFonts w:hint="eastAsia" w:ascii="宋体" w:hAnsi="宋体" w:cs="宋体"/>
                <w:color w:val="000000"/>
                <w:sz w:val="24"/>
                <w:highlight w:val="none"/>
              </w:rPr>
              <w:t>分）</w:t>
            </w:r>
          </w:p>
        </w:tc>
        <w:tc>
          <w:tcPr>
            <w:tcW w:w="7725" w:type="dxa"/>
            <w:gridSpan w:val="3"/>
            <w:vAlign w:val="center"/>
          </w:tcPr>
          <w:p w14:paraId="198F52CF">
            <w:pPr>
              <w:spacing w:line="360" w:lineRule="auto"/>
              <w:jc w:val="center"/>
              <w:rPr>
                <w:rFonts w:ascii="宋体"/>
                <w:color w:val="000000"/>
                <w:sz w:val="24"/>
                <w:highlight w:val="none"/>
              </w:rPr>
            </w:pPr>
            <w:r>
              <w:rPr>
                <w:rFonts w:hint="eastAsia" w:ascii="宋体" w:hAnsi="宋体" w:cs="宋体"/>
                <w:color w:val="000000"/>
                <w:sz w:val="24"/>
                <w:highlight w:val="none"/>
              </w:rPr>
              <w:t>磋商供应商汇总得分</w:t>
            </w:r>
            <w:r>
              <w:rPr>
                <w:rFonts w:ascii="宋体" w:hAnsi="宋体"/>
                <w:color w:val="000000"/>
                <w:sz w:val="24"/>
                <w:highlight w:val="none"/>
              </w:rPr>
              <w:t>=</w:t>
            </w:r>
            <w:r>
              <w:rPr>
                <w:rFonts w:ascii="宋体" w:hAnsi="宋体" w:cs="宋体"/>
                <w:color w:val="000000"/>
                <w:sz w:val="24"/>
                <w:highlight w:val="none"/>
              </w:rPr>
              <w:t xml:space="preserve"> </w:t>
            </w:r>
            <w:r>
              <w:rPr>
                <w:rFonts w:hint="eastAsia" w:ascii="宋体" w:hAnsi="宋体" w:cs="宋体"/>
                <w:color w:val="000000"/>
                <w:sz w:val="24"/>
                <w:highlight w:val="none"/>
              </w:rPr>
              <w:t>技术分</w:t>
            </w:r>
            <w:r>
              <w:rPr>
                <w:rFonts w:ascii="宋体" w:hAnsi="宋体" w:cs="宋体"/>
                <w:color w:val="000000"/>
                <w:sz w:val="24"/>
                <w:highlight w:val="none"/>
              </w:rPr>
              <w:t xml:space="preserve"> </w:t>
            </w:r>
            <w:r>
              <w:rPr>
                <w:rFonts w:ascii="宋体" w:hAnsi="宋体"/>
                <w:color w:val="000000"/>
                <w:sz w:val="24"/>
                <w:highlight w:val="none"/>
              </w:rPr>
              <w:t>+</w:t>
            </w:r>
            <w:r>
              <w:rPr>
                <w:rFonts w:hint="eastAsia" w:ascii="宋体" w:hAnsi="宋体" w:cs="宋体"/>
                <w:color w:val="000000"/>
                <w:sz w:val="24"/>
                <w:highlight w:val="none"/>
              </w:rPr>
              <w:t>商务分</w:t>
            </w:r>
            <w:r>
              <w:rPr>
                <w:rFonts w:ascii="宋体" w:hAnsi="宋体" w:cs="宋体"/>
                <w:color w:val="000000"/>
                <w:sz w:val="24"/>
                <w:highlight w:val="none"/>
              </w:rPr>
              <w:t xml:space="preserve"> +</w:t>
            </w:r>
            <w:r>
              <w:rPr>
                <w:rFonts w:hint="eastAsia" w:ascii="宋体" w:hAnsi="宋体" w:cs="宋体"/>
                <w:color w:val="000000"/>
                <w:sz w:val="24"/>
                <w:highlight w:val="none"/>
              </w:rPr>
              <w:t>报价分</w:t>
            </w:r>
          </w:p>
        </w:tc>
      </w:tr>
      <w:tr w14:paraId="41D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536" w:type="dxa"/>
            <w:gridSpan w:val="5"/>
            <w:vAlign w:val="center"/>
          </w:tcPr>
          <w:p w14:paraId="2133D431">
            <w:pPr>
              <w:spacing w:line="360" w:lineRule="auto"/>
              <w:rPr>
                <w:rFonts w:ascii="宋体"/>
                <w:color w:val="000000"/>
                <w:sz w:val="24"/>
                <w:highlight w:val="none"/>
              </w:rPr>
            </w:pPr>
            <w:r>
              <w:rPr>
                <w:rFonts w:hint="eastAsia" w:ascii="宋体" w:hAnsi="宋体"/>
                <w:color w:val="000000"/>
                <w:sz w:val="24"/>
                <w:highlight w:val="none"/>
              </w:rPr>
              <w:t>评标方法的设定要求：</w:t>
            </w:r>
          </w:p>
          <w:p w14:paraId="600C5684">
            <w:pPr>
              <w:spacing w:line="360" w:lineRule="auto"/>
              <w:ind w:firstLine="480" w:firstLineChars="200"/>
              <w:rPr>
                <w:rFonts w:asci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采购人应当建立公平竞争审查机制，制定评标方法，应当进行公平竞争审查，促进市场公平竞争，优化营商环境，建设全国统一大市场。制定的评标方法不得设置限制公平竞争的评审因素。</w:t>
            </w:r>
          </w:p>
          <w:p w14:paraId="7EC63001">
            <w:pPr>
              <w:spacing w:line="360" w:lineRule="auto"/>
              <w:ind w:firstLine="480" w:firstLineChars="200"/>
              <w:rPr>
                <w:rFonts w:asci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3FBC63BA">
            <w:pPr>
              <w:spacing w:line="360" w:lineRule="auto"/>
              <w:ind w:firstLine="480" w:firstLineChars="200"/>
              <w:rPr>
                <w:rFonts w:asci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4DE73DAC">
            <w:pPr>
              <w:spacing w:line="360" w:lineRule="auto"/>
              <w:ind w:firstLine="480" w:firstLineChars="200"/>
              <w:rPr>
                <w:rFonts w:asci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评审因素不得设置《北海市政府采购负面清单》所禁止的条款。</w:t>
            </w:r>
          </w:p>
          <w:p w14:paraId="18B85C07">
            <w:pPr>
              <w:spacing w:line="360" w:lineRule="auto"/>
              <w:ind w:firstLine="480" w:firstLineChars="200"/>
              <w:rPr>
                <w:rFonts w:asci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1C0D9636">
            <w:pPr>
              <w:spacing w:line="360" w:lineRule="auto"/>
              <w:ind w:firstLine="480" w:firstLineChars="200"/>
              <w:rPr>
                <w:rFonts w:ascii="宋体" w:cs="宋体"/>
                <w:color w:val="000000"/>
                <w:sz w:val="24"/>
                <w:highlight w:val="none"/>
              </w:rPr>
            </w:pPr>
            <w:r>
              <w:rPr>
                <w:rFonts w:ascii="宋体" w:hAnsi="宋体"/>
                <w:color w:val="000000"/>
                <w:sz w:val="24"/>
                <w:highlight w:val="none"/>
              </w:rPr>
              <w:t>6.</w:t>
            </w:r>
            <w:r>
              <w:rPr>
                <w:rFonts w:hint="eastAsia" w:ascii="宋体" w:hAnsi="宋体"/>
                <w:color w:val="000000"/>
                <w:sz w:val="24"/>
                <w:highlight w:val="none"/>
              </w:rPr>
              <w:t>评审因素要严格落实以下政府采购政策：（</w:t>
            </w:r>
            <w:r>
              <w:rPr>
                <w:rFonts w:ascii="宋体" w:hAnsi="宋体"/>
                <w:color w:val="000000"/>
                <w:sz w:val="24"/>
                <w:highlight w:val="none"/>
              </w:rPr>
              <w:t>1</w:t>
            </w:r>
            <w:r>
              <w:rPr>
                <w:rFonts w:hint="eastAsia" w:ascii="宋体" w:hAnsi="宋体"/>
                <w:color w:val="000000"/>
                <w:sz w:val="24"/>
                <w:highlight w:val="none"/>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000000"/>
                <w:sz w:val="24"/>
                <w:highlight w:val="none"/>
              </w:rPr>
              <w:t>2</w:t>
            </w:r>
            <w:r>
              <w:rPr>
                <w:rFonts w:hint="eastAsia" w:ascii="宋体" w:hAnsi="宋体"/>
                <w:color w:val="000000"/>
                <w:sz w:val="24"/>
                <w:highlight w:val="none"/>
              </w:rPr>
              <w:t>）支持绿色发展：落实强制采购节能产品、鼓励节能政策；鼓励环保政策；推广使用绿色包装；采购绿色建材等。（</w:t>
            </w:r>
            <w:r>
              <w:rPr>
                <w:rFonts w:ascii="宋体" w:hAnsi="宋体"/>
                <w:color w:val="000000"/>
                <w:sz w:val="24"/>
                <w:highlight w:val="none"/>
              </w:rPr>
              <w:t>3</w:t>
            </w:r>
            <w:r>
              <w:rPr>
                <w:rFonts w:hint="eastAsia" w:ascii="宋体" w:hAnsi="宋体"/>
                <w:color w:val="000000"/>
                <w:sz w:val="24"/>
                <w:highlight w:val="none"/>
              </w:rPr>
              <w:t>）支持中小企业发展：采购限额标准以上，</w:t>
            </w:r>
            <w:r>
              <w:rPr>
                <w:rFonts w:ascii="宋体" w:hAnsi="宋体"/>
                <w:color w:val="000000"/>
                <w:sz w:val="24"/>
                <w:highlight w:val="none"/>
              </w:rPr>
              <w:t xml:space="preserve">200 </w:t>
            </w:r>
            <w:r>
              <w:rPr>
                <w:rFonts w:hint="eastAsia" w:ascii="宋体" w:hAnsi="宋体"/>
                <w:color w:val="000000"/>
                <w:sz w:val="24"/>
                <w:highlight w:val="none"/>
              </w:rPr>
              <w:t>万元以下的货物和服务采购项目、</w:t>
            </w:r>
            <w:r>
              <w:rPr>
                <w:rFonts w:ascii="宋体" w:hAnsi="宋体"/>
                <w:color w:val="000000"/>
                <w:sz w:val="24"/>
                <w:highlight w:val="none"/>
              </w:rPr>
              <w:t>400</w:t>
            </w:r>
            <w:r>
              <w:rPr>
                <w:rFonts w:hint="eastAsia" w:ascii="宋体" w:hAnsi="宋体"/>
                <w:color w:val="000000"/>
                <w:sz w:val="24"/>
                <w:highlight w:val="none"/>
              </w:rPr>
              <w:t>万元以下的工程采购项目，适宜由中小企业提供的，采购人应当专门面向中小企业采购。超过</w:t>
            </w:r>
            <w:r>
              <w:rPr>
                <w:rFonts w:ascii="宋体" w:hAnsi="宋体"/>
                <w:color w:val="000000"/>
                <w:sz w:val="24"/>
                <w:highlight w:val="none"/>
              </w:rPr>
              <w:t xml:space="preserve"> 200</w:t>
            </w:r>
            <w:r>
              <w:rPr>
                <w:rFonts w:hint="eastAsia" w:ascii="宋体" w:hAnsi="宋体"/>
                <w:color w:val="000000"/>
                <w:sz w:val="24"/>
                <w:highlight w:val="none"/>
              </w:rPr>
              <w:t>万元的货物和服务采购项目、超过</w:t>
            </w:r>
            <w:r>
              <w:rPr>
                <w:rFonts w:ascii="宋体" w:hAnsi="宋体"/>
                <w:color w:val="000000"/>
                <w:sz w:val="24"/>
                <w:highlight w:val="none"/>
              </w:rPr>
              <w:t xml:space="preserve">400 </w:t>
            </w:r>
            <w:r>
              <w:rPr>
                <w:rFonts w:hint="eastAsia" w:ascii="宋体" w:hAnsi="宋体"/>
                <w:color w:val="000000"/>
                <w:sz w:val="24"/>
                <w:highlight w:val="none"/>
              </w:rPr>
              <w:t>万元的工程采购项目中适宜由中小企业提供的，预留该部分采购项目预算总额的</w:t>
            </w:r>
            <w:r>
              <w:rPr>
                <w:rFonts w:ascii="宋体" w:hAnsi="宋体"/>
                <w:color w:val="000000"/>
                <w:sz w:val="24"/>
                <w:highlight w:val="none"/>
              </w:rPr>
              <w:t xml:space="preserve"> 30%</w:t>
            </w:r>
            <w:r>
              <w:rPr>
                <w:rFonts w:hint="eastAsia" w:ascii="宋体" w:hAnsi="宋体"/>
                <w:color w:val="000000"/>
                <w:sz w:val="24"/>
                <w:highlight w:val="none"/>
              </w:rPr>
              <w:t>以上专门面向中小企业采购，其中预留给小微企业的比例不低于</w:t>
            </w:r>
            <w:r>
              <w:rPr>
                <w:rFonts w:ascii="宋体" w:hAnsi="宋体"/>
                <w:color w:val="000000"/>
                <w:sz w:val="24"/>
                <w:highlight w:val="none"/>
              </w:rPr>
              <w:t>60%</w:t>
            </w:r>
            <w:r>
              <w:rPr>
                <w:rFonts w:hint="eastAsia" w:ascii="宋体" w:hAnsi="宋体"/>
                <w:color w:val="000000"/>
                <w:sz w:val="24"/>
                <w:highlight w:val="none"/>
              </w:rPr>
              <w:t>。对于未预留份额专门面向中小企业采购的政府采购项目，以及预留份额政府采购项目中的非预留部分标项，对小型和微型企业的磋商报价给予</w:t>
            </w:r>
            <w:r>
              <w:rPr>
                <w:rFonts w:ascii="宋体" w:hAnsi="宋体"/>
                <w:color w:val="000000"/>
                <w:sz w:val="24"/>
                <w:highlight w:val="none"/>
              </w:rPr>
              <w:t>3%</w:t>
            </w:r>
            <w:r>
              <w:rPr>
                <w:rFonts w:ascii="宋体" w:hAnsi="宋体" w:cs="宋体"/>
                <w:color w:val="000000"/>
                <w:sz w:val="24"/>
                <w:highlight w:val="none"/>
              </w:rPr>
              <w:t>—</w:t>
            </w:r>
            <w:r>
              <w:rPr>
                <w:rFonts w:ascii="宋体" w:hAnsi="宋体"/>
                <w:color w:val="000000"/>
                <w:sz w:val="24"/>
                <w:highlight w:val="none"/>
              </w:rPr>
              <w:t>5%</w:t>
            </w:r>
            <w:r>
              <w:rPr>
                <w:rFonts w:hint="eastAsia" w:ascii="宋体" w:hAnsi="宋体"/>
                <w:color w:val="000000"/>
                <w:sz w:val="24"/>
                <w:highlight w:val="none"/>
              </w:rPr>
              <w:t>的扣除，用扣除后的价格参与评审。（</w:t>
            </w:r>
            <w:r>
              <w:rPr>
                <w:rFonts w:ascii="宋体" w:hAnsi="宋体"/>
                <w:color w:val="000000"/>
                <w:sz w:val="24"/>
                <w:highlight w:val="none"/>
              </w:rPr>
              <w:t>4</w:t>
            </w:r>
            <w:r>
              <w:rPr>
                <w:rFonts w:hint="eastAsia" w:ascii="宋体" w:hAnsi="宋体"/>
                <w:color w:val="000000"/>
                <w:sz w:val="24"/>
                <w:highlight w:val="none"/>
              </w:rPr>
              <w:t>）支持监狱企业、残疾人福利性单位发展：监狱企业、残疾人福利性单位视同小型和微型企业。（</w:t>
            </w:r>
            <w:r>
              <w:rPr>
                <w:rFonts w:ascii="宋体" w:hAnsi="宋体"/>
                <w:color w:val="000000"/>
                <w:sz w:val="24"/>
                <w:highlight w:val="none"/>
              </w:rPr>
              <w:t>5</w:t>
            </w:r>
            <w:r>
              <w:rPr>
                <w:rFonts w:hint="eastAsia" w:ascii="宋体" w:hAnsi="宋体"/>
                <w:color w:val="000000"/>
                <w:sz w:val="24"/>
                <w:highlight w:val="none"/>
              </w:rPr>
              <w:t>）支持创新发展：优先采购被认定为首台套产品和“制造精品”的自主创新产品。（</w:t>
            </w:r>
            <w:r>
              <w:rPr>
                <w:rFonts w:ascii="宋体" w:hAnsi="宋体"/>
                <w:color w:val="000000"/>
                <w:sz w:val="24"/>
                <w:highlight w:val="none"/>
              </w:rPr>
              <w:t>6</w:t>
            </w:r>
            <w:r>
              <w:rPr>
                <w:rFonts w:hint="eastAsia" w:ascii="宋体" w:hAnsi="宋体"/>
                <w:color w:val="000000"/>
                <w:sz w:val="24"/>
                <w:highlight w:val="none"/>
              </w:rPr>
              <w:t>）平等对待内外资企业和符合条件的破产重整企业。</w:t>
            </w:r>
          </w:p>
        </w:tc>
      </w:tr>
    </w:tbl>
    <w:p w14:paraId="11AFD988">
      <w:pPr>
        <w:spacing w:line="360" w:lineRule="auto"/>
        <w:rPr>
          <w:rFonts w:hint="eastAsia" w:ascii="宋体" w:hAnsi="宋体"/>
          <w:b/>
          <w:bCs/>
          <w:color w:val="000000" w:themeColor="text1"/>
          <w:sz w:val="24"/>
          <w:highlight w:val="none"/>
          <w14:textFill>
            <w14:solidFill>
              <w14:schemeClr w14:val="tx1"/>
            </w14:solidFill>
          </w14:textFill>
        </w:rPr>
      </w:pPr>
    </w:p>
    <w:p w14:paraId="53476889">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三、推荐成交候选供应商原则</w:t>
      </w:r>
    </w:p>
    <w:p w14:paraId="534768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3"/>
        <w:adjustRightIn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四、</w:t>
      </w:r>
      <w:r>
        <w:rPr>
          <w:rFonts w:hAnsi="宋体"/>
          <w:b/>
          <w:bCs/>
          <w:color w:val="000000" w:themeColor="text1"/>
          <w:sz w:val="24"/>
          <w:szCs w:val="24"/>
          <w:highlight w:val="none"/>
          <w14:textFill>
            <w14:solidFill>
              <w14:schemeClr w14:val="tx1"/>
            </w14:solidFill>
          </w14:textFill>
        </w:rPr>
        <w:t>成交标准：</w:t>
      </w:r>
    </w:p>
    <w:p w14:paraId="534768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6"/>
        <w:widowControl/>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6"/>
        <w:widowControl/>
        <w:ind w:firstLine="480"/>
        <w:rPr>
          <w:rFonts w:hint="eastAsia" w:ascii="宋体" w:hAnsi="宋体"/>
          <w:color w:val="000000" w:themeColor="text1"/>
          <w:sz w:val="24"/>
          <w:highlight w:val="none"/>
          <w14:textFill>
            <w14:solidFill>
              <w14:schemeClr w14:val="tx1"/>
            </w14:solidFill>
          </w14:textFill>
        </w:rPr>
      </w:pPr>
    </w:p>
    <w:sectPr>
      <w:headerReference r:id="rId9" w:type="default"/>
      <w:footerReference r:id="rId10"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altName w:val="Meiryo UI"/>
    <w:panose1 w:val="02020609040205080304"/>
    <w:charset w:val="80"/>
    <w:family w:val="modern"/>
    <w:pitch w:val="default"/>
    <w:sig w:usb0="00000000" w:usb1="00000000" w:usb2="08000012" w:usb3="00000000" w:csb0="0002009F" w:csb1="00000000"/>
  </w:font>
  <w:font w:name="Meiryo UI">
    <w:panose1 w:val="020B0604030504040204"/>
    <w:charset w:val="80"/>
    <w:family w:val="auto"/>
    <w:pitch w:val="default"/>
    <w:sig w:usb0="E10102FF" w:usb1="EAC7FFFF" w:usb2="00010012" w:usb3="00000000" w:csb0="6002009F" w:csb1="DFD70000"/>
  </w:font>
  <w:font w:name="方正小标宋简体">
    <w:panose1 w:val="03000509000000000000"/>
    <w:charset w:val="86"/>
    <w:family w:val="script"/>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7"/>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AF">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4768AF">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47689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7"/>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0">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4768B0">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3476899">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15570"/>
              <wp:effectExtent l="0" t="0" r="0" b="0"/>
              <wp:wrapNone/>
              <wp:docPr id="11" name="文本框 5121"/>
              <wp:cNvGraphicFramePr/>
              <a:graphic xmlns:a="http://schemas.openxmlformats.org/drawingml/2006/main">
                <a:graphicData uri="http://schemas.microsoft.com/office/word/2010/wordprocessingShape">
                  <wps:wsp>
                    <wps:cNvSpPr txBox="1"/>
                    <wps:spPr>
                      <a:xfrm>
                        <a:off x="0" y="0"/>
                        <a:ext cx="247650" cy="115570"/>
                      </a:xfrm>
                      <a:prstGeom prst="rect">
                        <a:avLst/>
                      </a:prstGeom>
                      <a:noFill/>
                      <a:ln>
                        <a:noFill/>
                      </a:ln>
                    </wps:spPr>
                    <wps:txbx>
                      <w:txbxContent>
                        <w:p w14:paraId="38293BCA">
                          <w:pPr>
                            <w:pStyle w:val="27"/>
                            <w:jc w:val="center"/>
                          </w:pPr>
                          <w:r>
                            <w:fldChar w:fldCharType="begin"/>
                          </w:r>
                          <w:r>
                            <w:instrText xml:space="preserve"> PAGE  \* MERGEFORMAT </w:instrText>
                          </w:r>
                          <w:r>
                            <w:fldChar w:fldCharType="separate"/>
                          </w:r>
                          <w:r>
                            <w:t>58</w:t>
                          </w:r>
                          <w:r>
                            <w:fldChar w:fldCharType="end"/>
                          </w:r>
                        </w:p>
                      </w:txbxContent>
                    </wps:txbx>
                    <wps:bodyPr wrap="square" lIns="0" tIns="0" rIns="0" bIns="0"/>
                  </wps:wsp>
                </a:graphicData>
              </a:graphic>
            </wp:anchor>
          </w:drawing>
        </mc:Choice>
        <mc:Fallback>
          <w:pict>
            <v:shape id="文本框 5121" o:spid="_x0000_s1026" o:spt="202" type="#_x0000_t202" style="position:absolute;left:0pt;margin-top:0pt;height:9.1pt;width:19.5pt;mso-position-horizontal:center;mso-position-horizontal-relative:margin;z-index:251662336;mso-width-relative:page;mso-height-relative:page;" filled="f" stroked="f" coordsize="21600,21600" o:gfxdata="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ArXp0wAAAAMBAAAPAAAAAAAAAAEAIAAAACIAAABkcnMvZG93bnJldi54bWxQSwEC&#10;FAAUAAAACACHTuJAOiMaCMABAAB3AwAADgAAAAAAAAABACAAAAAiAQAAZHJzL2Uyb0RvYy54bWxQ&#10;SwUGAAAAAAYABgBZAQAAVAUAAAAA&#10;">
              <v:fill on="f" focussize="0,0"/>
              <v:stroke on="f"/>
              <v:imagedata o:title=""/>
              <o:lock v:ext="edit" aspectratio="f"/>
              <v:textbox inset="0mm,0mm,0mm,0mm">
                <w:txbxContent>
                  <w:p w14:paraId="38293BCA">
                    <w:pPr>
                      <w:pStyle w:val="27"/>
                      <w:jc w:val="cente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1550">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79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7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0CC58">
                          <w:pPr>
                            <w:pStyle w:val="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7pt;mso-position-horizontal:center;mso-position-horizontal-relative:margin;z-index:251663360;mso-width-relative:page;mso-height-relative:page;" filled="f" stroked="f" coordsize="21600,21600" o:gfxdata="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q5L+9QAAAAEAQAADwAAAAAAAAABACAAAAAiAAAAZHJzL2Rvd25yZXYu&#10;eG1sUEsBAhQAFAAAAAgAh07iQNDNBq44AgAAYQQAAA4AAAAAAAAAAQAgAAAAIwEAAGRycy9lMm9E&#10;b2MueG1sUEsFBgAAAAAGAAYAWQEAAM0FAAAAAA==&#10;">
              <v:fill on="f" focussize="0,0"/>
              <v:stroke on="f" weight="0.5pt"/>
              <v:imagedata o:title=""/>
              <o:lock v:ext="edit" aspectratio="f"/>
              <v:textbox inset="0mm,0mm,0mm,0mm" style="mso-fit-shape-to-text:t;">
                <w:txbxContent>
                  <w:p w14:paraId="70D0CC58">
                    <w:pPr>
                      <w:pStyle w:val="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7"/>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4">
                          <w:pPr>
                            <w:pStyle w:val="27"/>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4768B4">
                    <w:pPr>
                      <w:pStyle w:val="27"/>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p w14:paraId="534768A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jc w:val="righ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CE976"/>
    <w:multiLevelType w:val="singleLevel"/>
    <w:tmpl w:val="F53CE976"/>
    <w:lvl w:ilvl="0" w:tentative="0">
      <w:start w:val="1"/>
      <w:numFmt w:val="chineseCounting"/>
      <w:suff w:val="nothing"/>
      <w:lvlText w:val="%1、"/>
      <w:lvlJc w:val="left"/>
      <w:rPr>
        <w:rFonts w:hint="eastAsia"/>
      </w:rPr>
    </w:lvl>
  </w:abstractNum>
  <w:abstractNum w:abstractNumId="1">
    <w:nsid w:val="00003F82"/>
    <w:multiLevelType w:val="multilevel"/>
    <w:tmpl w:val="00003F82"/>
    <w:lvl w:ilvl="0" w:tentative="0">
      <w:start w:val="1"/>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2">
    <w:nsid w:val="476F2858"/>
    <w:multiLevelType w:val="multilevel"/>
    <w:tmpl w:val="476F2858"/>
    <w:lvl w:ilvl="0" w:tentative="0">
      <w:start w:val="1"/>
      <w:numFmt w:val="japaneseCounting"/>
      <w:lvlText w:val="%1、"/>
      <w:lvlJc w:val="left"/>
      <w:pPr>
        <w:tabs>
          <w:tab w:val="left" w:pos="720"/>
        </w:tabs>
        <w:ind w:left="720" w:hanging="7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D844C20"/>
    <w:multiLevelType w:val="singleLevel"/>
    <w:tmpl w:val="4D844C20"/>
    <w:lvl w:ilvl="0" w:tentative="0">
      <w:start w:val="10"/>
      <w:numFmt w:val="chineseCounting"/>
      <w:suff w:val="nothing"/>
      <w:lvlText w:val="%1、"/>
      <w:lvlJc w:val="left"/>
      <w:rPr>
        <w:rFonts w:hint="eastAsia"/>
      </w:rPr>
    </w:lvl>
  </w:abstractNum>
  <w:abstractNum w:abstractNumId="4">
    <w:nsid w:val="4F7D1618"/>
    <w:multiLevelType w:val="singleLevel"/>
    <w:tmpl w:val="4F7D1618"/>
    <w:lvl w:ilvl="0" w:tentative="0">
      <w:start w:val="6"/>
      <w:numFmt w:val="decimal"/>
      <w:suff w:val="nothing"/>
      <w:lvlText w:val="（%1）"/>
      <w:lvlJc w:val="left"/>
    </w:lvl>
  </w:abstractNum>
  <w:abstractNum w:abstractNumId="5">
    <w:nsid w:val="5DF9E985"/>
    <w:multiLevelType w:val="singleLevel"/>
    <w:tmpl w:val="5DF9E985"/>
    <w:lvl w:ilvl="0" w:tentative="0">
      <w:start w:val="1"/>
      <w:numFmt w:val="chineseCounting"/>
      <w:suff w:val="nothing"/>
      <w:lvlText w:val="%1、"/>
      <w:lvlJc w:val="left"/>
      <w:rPr>
        <w:rFonts w:hint="eastAsia"/>
      </w:rPr>
    </w:lvl>
  </w:abstractNum>
  <w:abstractNum w:abstractNumId="6">
    <w:nsid w:val="7763323E"/>
    <w:multiLevelType w:val="singleLevel"/>
    <w:tmpl w:val="7763323E"/>
    <w:lvl w:ilvl="0" w:tentative="0">
      <w:start w:val="1"/>
      <w:numFmt w:val="decimal"/>
      <w:lvlText w:val="(%1)"/>
      <w:lvlJc w:val="left"/>
      <w:rPr>
        <w:rFonts w:hint="default"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CN" w:eastAsia="zh-CN" w:bidi="zh-CN"/>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0C6FE1"/>
    <w:rsid w:val="02BB2E31"/>
    <w:rsid w:val="02C67B7D"/>
    <w:rsid w:val="03092820"/>
    <w:rsid w:val="03142B81"/>
    <w:rsid w:val="04402271"/>
    <w:rsid w:val="046F7C71"/>
    <w:rsid w:val="04BF763A"/>
    <w:rsid w:val="063C21FE"/>
    <w:rsid w:val="066E00E7"/>
    <w:rsid w:val="07447F1A"/>
    <w:rsid w:val="0762247A"/>
    <w:rsid w:val="07830364"/>
    <w:rsid w:val="07E01DA1"/>
    <w:rsid w:val="08195BC2"/>
    <w:rsid w:val="08345FF5"/>
    <w:rsid w:val="083A51B0"/>
    <w:rsid w:val="0869507A"/>
    <w:rsid w:val="08A41020"/>
    <w:rsid w:val="08A77585"/>
    <w:rsid w:val="099866AB"/>
    <w:rsid w:val="09A1314D"/>
    <w:rsid w:val="09DC429A"/>
    <w:rsid w:val="0A3A3F77"/>
    <w:rsid w:val="0A560D2F"/>
    <w:rsid w:val="0A571E72"/>
    <w:rsid w:val="0AB25FDF"/>
    <w:rsid w:val="0B36413F"/>
    <w:rsid w:val="0B875353"/>
    <w:rsid w:val="0BAD6045"/>
    <w:rsid w:val="0C444E98"/>
    <w:rsid w:val="0CA95119"/>
    <w:rsid w:val="0CBB589F"/>
    <w:rsid w:val="0D046532"/>
    <w:rsid w:val="0D6D128A"/>
    <w:rsid w:val="0D717D74"/>
    <w:rsid w:val="0DF63CF6"/>
    <w:rsid w:val="0E531613"/>
    <w:rsid w:val="0EC93126"/>
    <w:rsid w:val="0F28786B"/>
    <w:rsid w:val="0FBD6FC9"/>
    <w:rsid w:val="100729BD"/>
    <w:rsid w:val="10192EC5"/>
    <w:rsid w:val="106A62DE"/>
    <w:rsid w:val="108D1597"/>
    <w:rsid w:val="10910C08"/>
    <w:rsid w:val="10962649"/>
    <w:rsid w:val="10FF00DF"/>
    <w:rsid w:val="11BF0BD4"/>
    <w:rsid w:val="11F4023B"/>
    <w:rsid w:val="12777691"/>
    <w:rsid w:val="12D35F9F"/>
    <w:rsid w:val="13631AD8"/>
    <w:rsid w:val="1371023C"/>
    <w:rsid w:val="13BB36C2"/>
    <w:rsid w:val="13DD21A1"/>
    <w:rsid w:val="14514B71"/>
    <w:rsid w:val="14612D82"/>
    <w:rsid w:val="151C5656"/>
    <w:rsid w:val="15471DC4"/>
    <w:rsid w:val="15B01683"/>
    <w:rsid w:val="16506066"/>
    <w:rsid w:val="165322D8"/>
    <w:rsid w:val="16545A4F"/>
    <w:rsid w:val="185C4DBF"/>
    <w:rsid w:val="18824071"/>
    <w:rsid w:val="18C87DAE"/>
    <w:rsid w:val="18CE3E98"/>
    <w:rsid w:val="19212219"/>
    <w:rsid w:val="195C5947"/>
    <w:rsid w:val="1A437A32"/>
    <w:rsid w:val="1AE968D2"/>
    <w:rsid w:val="1B3531B6"/>
    <w:rsid w:val="1C0C134A"/>
    <w:rsid w:val="1C274BC0"/>
    <w:rsid w:val="1C55307C"/>
    <w:rsid w:val="1C70201E"/>
    <w:rsid w:val="1C811B0F"/>
    <w:rsid w:val="1CA522C0"/>
    <w:rsid w:val="1CBF5FD1"/>
    <w:rsid w:val="1CDB1E2E"/>
    <w:rsid w:val="1D3F35B6"/>
    <w:rsid w:val="1D8D218F"/>
    <w:rsid w:val="1DB72FAB"/>
    <w:rsid w:val="1DCC5F20"/>
    <w:rsid w:val="1E6F722C"/>
    <w:rsid w:val="1ECC70CB"/>
    <w:rsid w:val="1F2D7B6A"/>
    <w:rsid w:val="1F7E78B7"/>
    <w:rsid w:val="20244E58"/>
    <w:rsid w:val="203A2177"/>
    <w:rsid w:val="20F93691"/>
    <w:rsid w:val="21D818E3"/>
    <w:rsid w:val="226002BD"/>
    <w:rsid w:val="22AB1FDA"/>
    <w:rsid w:val="22B831B5"/>
    <w:rsid w:val="230010F2"/>
    <w:rsid w:val="235516D6"/>
    <w:rsid w:val="237920D6"/>
    <w:rsid w:val="24500DB5"/>
    <w:rsid w:val="24730DB4"/>
    <w:rsid w:val="24786F1A"/>
    <w:rsid w:val="24D61AF1"/>
    <w:rsid w:val="25F27417"/>
    <w:rsid w:val="26390E3F"/>
    <w:rsid w:val="27623EF4"/>
    <w:rsid w:val="286E522A"/>
    <w:rsid w:val="28754BE8"/>
    <w:rsid w:val="28A10C81"/>
    <w:rsid w:val="290B77F3"/>
    <w:rsid w:val="291A4434"/>
    <w:rsid w:val="291A7D1A"/>
    <w:rsid w:val="298A3181"/>
    <w:rsid w:val="29E7300B"/>
    <w:rsid w:val="2A0D657B"/>
    <w:rsid w:val="2A654C0D"/>
    <w:rsid w:val="2AD34510"/>
    <w:rsid w:val="2AEF7E60"/>
    <w:rsid w:val="2B276439"/>
    <w:rsid w:val="2B6F18D5"/>
    <w:rsid w:val="2BB1567F"/>
    <w:rsid w:val="2BF51305"/>
    <w:rsid w:val="2CD2008C"/>
    <w:rsid w:val="2CEE7A2B"/>
    <w:rsid w:val="2D160442"/>
    <w:rsid w:val="2D7D3FBE"/>
    <w:rsid w:val="2DD10148"/>
    <w:rsid w:val="2E3436CC"/>
    <w:rsid w:val="2E402DEC"/>
    <w:rsid w:val="2EC932E4"/>
    <w:rsid w:val="2ECD4F05"/>
    <w:rsid w:val="2EE97857"/>
    <w:rsid w:val="2F2A6C72"/>
    <w:rsid w:val="2F8E3429"/>
    <w:rsid w:val="302A5A00"/>
    <w:rsid w:val="304F13CF"/>
    <w:rsid w:val="304F36B8"/>
    <w:rsid w:val="30C6397A"/>
    <w:rsid w:val="30CF0188"/>
    <w:rsid w:val="31440600"/>
    <w:rsid w:val="31692CF6"/>
    <w:rsid w:val="31E247E4"/>
    <w:rsid w:val="32925A20"/>
    <w:rsid w:val="32CB178B"/>
    <w:rsid w:val="332C7409"/>
    <w:rsid w:val="33770F5C"/>
    <w:rsid w:val="337771AE"/>
    <w:rsid w:val="33E415C3"/>
    <w:rsid w:val="344D7365"/>
    <w:rsid w:val="349C48BF"/>
    <w:rsid w:val="34F65C8A"/>
    <w:rsid w:val="350A761F"/>
    <w:rsid w:val="35355A35"/>
    <w:rsid w:val="354C773B"/>
    <w:rsid w:val="356B3A25"/>
    <w:rsid w:val="359804A9"/>
    <w:rsid w:val="35EB5C31"/>
    <w:rsid w:val="3697668C"/>
    <w:rsid w:val="36F23DEC"/>
    <w:rsid w:val="379E46E5"/>
    <w:rsid w:val="37CB124E"/>
    <w:rsid w:val="392C4AB5"/>
    <w:rsid w:val="39CC42E8"/>
    <w:rsid w:val="39D569F4"/>
    <w:rsid w:val="3A337E96"/>
    <w:rsid w:val="3A726921"/>
    <w:rsid w:val="3AD85907"/>
    <w:rsid w:val="3B042080"/>
    <w:rsid w:val="3B141786"/>
    <w:rsid w:val="3B2A3D28"/>
    <w:rsid w:val="3B6A39B8"/>
    <w:rsid w:val="3BBE3297"/>
    <w:rsid w:val="3BED7B49"/>
    <w:rsid w:val="3C463BC1"/>
    <w:rsid w:val="3CE12FC6"/>
    <w:rsid w:val="3D2D7451"/>
    <w:rsid w:val="3D3E703A"/>
    <w:rsid w:val="3D960162"/>
    <w:rsid w:val="3DCB1735"/>
    <w:rsid w:val="3DE3154A"/>
    <w:rsid w:val="3E946E66"/>
    <w:rsid w:val="3F136CC1"/>
    <w:rsid w:val="3F1E2BD3"/>
    <w:rsid w:val="3FB57F40"/>
    <w:rsid w:val="3FEB437C"/>
    <w:rsid w:val="3FFC1167"/>
    <w:rsid w:val="401B184F"/>
    <w:rsid w:val="402D7572"/>
    <w:rsid w:val="40A6476D"/>
    <w:rsid w:val="41200C5E"/>
    <w:rsid w:val="41D9053F"/>
    <w:rsid w:val="424879BD"/>
    <w:rsid w:val="427261A5"/>
    <w:rsid w:val="428D09FF"/>
    <w:rsid w:val="42B43694"/>
    <w:rsid w:val="43566DE0"/>
    <w:rsid w:val="43EF4B3E"/>
    <w:rsid w:val="44184095"/>
    <w:rsid w:val="44B475B0"/>
    <w:rsid w:val="45030045"/>
    <w:rsid w:val="452847AC"/>
    <w:rsid w:val="453A647B"/>
    <w:rsid w:val="45A56FE6"/>
    <w:rsid w:val="465143D8"/>
    <w:rsid w:val="46F1437B"/>
    <w:rsid w:val="46F52E39"/>
    <w:rsid w:val="47846478"/>
    <w:rsid w:val="47BE388F"/>
    <w:rsid w:val="482F688A"/>
    <w:rsid w:val="48D465E9"/>
    <w:rsid w:val="49E705D6"/>
    <w:rsid w:val="49FC1D63"/>
    <w:rsid w:val="4AA172EB"/>
    <w:rsid w:val="4AF54CB9"/>
    <w:rsid w:val="4B4E06F9"/>
    <w:rsid w:val="4BD444F6"/>
    <w:rsid w:val="4C2F5C2C"/>
    <w:rsid w:val="4C343BAC"/>
    <w:rsid w:val="4D23359C"/>
    <w:rsid w:val="4D2A3DAE"/>
    <w:rsid w:val="4D8E03AE"/>
    <w:rsid w:val="4E092CA1"/>
    <w:rsid w:val="4E8938D8"/>
    <w:rsid w:val="4F7C696E"/>
    <w:rsid w:val="4F870321"/>
    <w:rsid w:val="50285660"/>
    <w:rsid w:val="50311835"/>
    <w:rsid w:val="513444D8"/>
    <w:rsid w:val="51C85281"/>
    <w:rsid w:val="520C314D"/>
    <w:rsid w:val="528E426D"/>
    <w:rsid w:val="52A42F98"/>
    <w:rsid w:val="52CF1AED"/>
    <w:rsid w:val="531401FE"/>
    <w:rsid w:val="532A472A"/>
    <w:rsid w:val="534E1882"/>
    <w:rsid w:val="536A0BEE"/>
    <w:rsid w:val="53FB4523"/>
    <w:rsid w:val="54112C0C"/>
    <w:rsid w:val="54C76671"/>
    <w:rsid w:val="550270C7"/>
    <w:rsid w:val="55BF316C"/>
    <w:rsid w:val="560E03C2"/>
    <w:rsid w:val="56466840"/>
    <w:rsid w:val="570003CC"/>
    <w:rsid w:val="57625E19"/>
    <w:rsid w:val="57F86096"/>
    <w:rsid w:val="584D027A"/>
    <w:rsid w:val="588779F5"/>
    <w:rsid w:val="58942C74"/>
    <w:rsid w:val="58BD5BDC"/>
    <w:rsid w:val="58E85104"/>
    <w:rsid w:val="58EF1AF9"/>
    <w:rsid w:val="590823FE"/>
    <w:rsid w:val="59B14918"/>
    <w:rsid w:val="59DE1D92"/>
    <w:rsid w:val="5A201A9E"/>
    <w:rsid w:val="5BB66216"/>
    <w:rsid w:val="5BEF64F8"/>
    <w:rsid w:val="5CEE7E81"/>
    <w:rsid w:val="5CF22ACD"/>
    <w:rsid w:val="5DDD54D0"/>
    <w:rsid w:val="5DE03BD9"/>
    <w:rsid w:val="5E1C432A"/>
    <w:rsid w:val="5E3C1C92"/>
    <w:rsid w:val="5E4F0557"/>
    <w:rsid w:val="5E907E2E"/>
    <w:rsid w:val="5EEB267A"/>
    <w:rsid w:val="5F0C11C3"/>
    <w:rsid w:val="600F470A"/>
    <w:rsid w:val="60310561"/>
    <w:rsid w:val="607406E4"/>
    <w:rsid w:val="60C9689C"/>
    <w:rsid w:val="60E60B56"/>
    <w:rsid w:val="612D1C31"/>
    <w:rsid w:val="61C4751D"/>
    <w:rsid w:val="622151FD"/>
    <w:rsid w:val="625B2AF7"/>
    <w:rsid w:val="632321DB"/>
    <w:rsid w:val="636D06F5"/>
    <w:rsid w:val="63790315"/>
    <w:rsid w:val="63A848C4"/>
    <w:rsid w:val="641F4158"/>
    <w:rsid w:val="646330D4"/>
    <w:rsid w:val="646B26B9"/>
    <w:rsid w:val="64A60B9F"/>
    <w:rsid w:val="64A97E58"/>
    <w:rsid w:val="64B7470B"/>
    <w:rsid w:val="65470D3C"/>
    <w:rsid w:val="655B7E2E"/>
    <w:rsid w:val="6568103E"/>
    <w:rsid w:val="658832E0"/>
    <w:rsid w:val="66213C5D"/>
    <w:rsid w:val="66946BFE"/>
    <w:rsid w:val="67944AE4"/>
    <w:rsid w:val="67A11B51"/>
    <w:rsid w:val="682A79D5"/>
    <w:rsid w:val="683D1CDF"/>
    <w:rsid w:val="684E5A28"/>
    <w:rsid w:val="692C3B2F"/>
    <w:rsid w:val="696F474E"/>
    <w:rsid w:val="6A0D45D1"/>
    <w:rsid w:val="6A464B0A"/>
    <w:rsid w:val="6A8E62F4"/>
    <w:rsid w:val="6AE723D6"/>
    <w:rsid w:val="6AF458A9"/>
    <w:rsid w:val="6B057607"/>
    <w:rsid w:val="6B0C5E52"/>
    <w:rsid w:val="6B1031B7"/>
    <w:rsid w:val="6BAE7BA3"/>
    <w:rsid w:val="6C520DDD"/>
    <w:rsid w:val="6C676C46"/>
    <w:rsid w:val="6C8C7431"/>
    <w:rsid w:val="6C91243C"/>
    <w:rsid w:val="6CE46DB3"/>
    <w:rsid w:val="6D3E5EEB"/>
    <w:rsid w:val="6D6A5AEC"/>
    <w:rsid w:val="6D8A7447"/>
    <w:rsid w:val="6DA54E42"/>
    <w:rsid w:val="6DF332FA"/>
    <w:rsid w:val="6E213A2A"/>
    <w:rsid w:val="6E737F96"/>
    <w:rsid w:val="6E9F158A"/>
    <w:rsid w:val="6EEC6AC2"/>
    <w:rsid w:val="6F241583"/>
    <w:rsid w:val="6F97125C"/>
    <w:rsid w:val="70825BF9"/>
    <w:rsid w:val="70F745F5"/>
    <w:rsid w:val="721C4A9F"/>
    <w:rsid w:val="73595954"/>
    <w:rsid w:val="73AA26AC"/>
    <w:rsid w:val="740551C4"/>
    <w:rsid w:val="740F250F"/>
    <w:rsid w:val="74423EA2"/>
    <w:rsid w:val="744C3F3F"/>
    <w:rsid w:val="74720851"/>
    <w:rsid w:val="74B829EC"/>
    <w:rsid w:val="74F3461E"/>
    <w:rsid w:val="750E6C6B"/>
    <w:rsid w:val="7590657C"/>
    <w:rsid w:val="75A77BCA"/>
    <w:rsid w:val="75F20A95"/>
    <w:rsid w:val="763615F8"/>
    <w:rsid w:val="765B3F2D"/>
    <w:rsid w:val="76BD3590"/>
    <w:rsid w:val="77BC475C"/>
    <w:rsid w:val="781F6A99"/>
    <w:rsid w:val="78C170AE"/>
    <w:rsid w:val="78C30E55"/>
    <w:rsid w:val="79224DC2"/>
    <w:rsid w:val="79843D42"/>
    <w:rsid w:val="798661F3"/>
    <w:rsid w:val="79CB1296"/>
    <w:rsid w:val="7A00361B"/>
    <w:rsid w:val="7A0667FB"/>
    <w:rsid w:val="7B1D1075"/>
    <w:rsid w:val="7B4D4A4A"/>
    <w:rsid w:val="7C7174B1"/>
    <w:rsid w:val="7D6D04F4"/>
    <w:rsid w:val="7E0B52F5"/>
    <w:rsid w:val="7E1F5A45"/>
    <w:rsid w:val="7E360AD2"/>
    <w:rsid w:val="7E612DF3"/>
    <w:rsid w:val="7E706900"/>
    <w:rsid w:val="7E7D28D3"/>
    <w:rsid w:val="7E7E09BD"/>
    <w:rsid w:val="7E8A1255"/>
    <w:rsid w:val="7F0030C0"/>
    <w:rsid w:val="7F071B2D"/>
    <w:rsid w:val="7F9D4566"/>
    <w:rsid w:val="7FA2692E"/>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4"/>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55"/>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eastAsia="Calibri"/>
      <w:bCs/>
      <w:spacing w:val="10"/>
      <w:kern w:val="0"/>
    </w:rPr>
  </w:style>
  <w:style w:type="paragraph" w:styleId="3">
    <w:name w:val="Body Text Indent"/>
    <w:basedOn w:val="1"/>
    <w:link w:val="58"/>
    <w:qFormat/>
    <w:uiPriority w:val="0"/>
    <w:pPr>
      <w:ind w:firstLine="830" w:firstLineChars="352"/>
    </w:pPr>
    <w:rPr>
      <w:rFonts w:ascii="仿宋_GB2312" w:eastAsia="仿宋_GB2312"/>
      <w:sz w:val="32"/>
      <w:szCs w:val="20"/>
    </w:rPr>
  </w:style>
  <w:style w:type="paragraph" w:styleId="4">
    <w:name w:val="Body Text"/>
    <w:basedOn w:val="1"/>
    <w:next w:val="1"/>
    <w:link w:val="57"/>
    <w:qFormat/>
    <w:uiPriority w:val="0"/>
    <w:pPr>
      <w:spacing w:line="380" w:lineRule="exact"/>
    </w:pPr>
    <w:rPr>
      <w:sz w:val="24"/>
    </w:rPr>
  </w:style>
  <w:style w:type="paragraph" w:styleId="10">
    <w:name w:val="Normal Indent"/>
    <w:basedOn w:val="1"/>
    <w:link w:val="56"/>
    <w:qFormat/>
    <w:uiPriority w:val="0"/>
    <w:pPr>
      <w:ind w:firstLine="420"/>
    </w:pPr>
    <w:rPr>
      <w:szCs w:val="20"/>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semiHidden/>
    <w:qFormat/>
    <w:uiPriority w:val="0"/>
    <w:pPr>
      <w:shd w:val="clear" w:color="auto" w:fill="000080"/>
    </w:pPr>
  </w:style>
  <w:style w:type="paragraph" w:styleId="19">
    <w:name w:val="annotation text"/>
    <w:basedOn w:val="1"/>
    <w:qFormat/>
    <w:uiPriority w:val="0"/>
    <w:pPr>
      <w:jc w:val="left"/>
    </w:pPr>
  </w:style>
  <w:style w:type="paragraph" w:styleId="20">
    <w:name w:val="Body Text 3"/>
    <w:basedOn w:val="1"/>
    <w:qFormat/>
    <w:uiPriority w:val="0"/>
    <w:pPr>
      <w:spacing w:line="500" w:lineRule="exact"/>
    </w:pPr>
    <w:rPr>
      <w:b/>
      <w:bCs/>
      <w:sz w:val="24"/>
    </w:rPr>
  </w:style>
  <w:style w:type="paragraph" w:styleId="21">
    <w:name w:val="List Number 3"/>
    <w:basedOn w:val="1"/>
    <w:qFormat/>
    <w:uiPriority w:val="0"/>
    <w:pPr>
      <w:numPr>
        <w:ilvl w:val="0"/>
        <w:numId w:val="1"/>
      </w:numPr>
      <w:tabs>
        <w:tab w:val="left" w:pos="1200"/>
        <w:tab w:val="clear" w:pos="360"/>
      </w:tabs>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9"/>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link w:val="60"/>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link w:val="61"/>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62"/>
    <w:qFormat/>
    <w:uiPriority w:val="0"/>
    <w:pPr>
      <w:spacing w:after="120" w:line="240" w:lineRule="auto"/>
      <w:ind w:firstLine="420" w:firstLineChars="100"/>
    </w:pPr>
    <w:rPr>
      <w:sz w:val="21"/>
    </w:rPr>
  </w:style>
  <w:style w:type="paragraph" w:styleId="37">
    <w:name w:val="Body Text First Indent 2"/>
    <w:basedOn w:val="3"/>
    <w:link w:val="63"/>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HTML Sample"/>
    <w:basedOn w:val="40"/>
    <w:qFormat/>
    <w:uiPriority w:val="0"/>
    <w:rPr>
      <w:rFonts w:ascii="Courier New" w:hAnsi="Courier New"/>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6">
    <w:name w:val="正文文本缩进_0"/>
    <w:basedOn w:val="47"/>
    <w:qFormat/>
    <w:uiPriority w:val="99"/>
    <w:pPr>
      <w:spacing w:before="240" w:line="360" w:lineRule="auto"/>
      <w:ind w:firstLine="552" w:firstLineChars="263"/>
    </w:pPr>
    <w:rPr>
      <w:rFonts w:ascii="宋体"/>
    </w:rPr>
  </w:style>
  <w:style w:type="paragraph" w:customStyle="1" w:styleId="47">
    <w:name w:val="正文_2"/>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页脚_2"/>
    <w:basedOn w:val="49"/>
    <w:unhideWhenUsed/>
    <w:qFormat/>
    <w:uiPriority w:val="99"/>
    <w:pPr>
      <w:tabs>
        <w:tab w:val="center" w:pos="4153"/>
        <w:tab w:val="right" w:pos="8306"/>
      </w:tabs>
      <w:snapToGrid w:val="0"/>
      <w:jc w:val="left"/>
    </w:pPr>
    <w:rPr>
      <w:sz w:val="18"/>
      <w:szCs w:val="18"/>
    </w:rPr>
  </w:style>
  <w:style w:type="paragraph" w:customStyle="1" w:styleId="49">
    <w:name w:val="正文_2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页脚_1"/>
    <w:basedOn w:val="49"/>
    <w:unhideWhenUsed/>
    <w:qFormat/>
    <w:uiPriority w:val="99"/>
    <w:pPr>
      <w:tabs>
        <w:tab w:val="center" w:pos="4153"/>
        <w:tab w:val="right" w:pos="8306"/>
      </w:tabs>
      <w:snapToGrid w:val="0"/>
      <w:jc w:val="left"/>
    </w:pPr>
    <w:rPr>
      <w:sz w:val="18"/>
      <w:szCs w:val="18"/>
    </w:rPr>
  </w:style>
  <w:style w:type="paragraph" w:customStyle="1" w:styleId="51">
    <w:name w:val="正文文本_0"/>
    <w:basedOn w:val="47"/>
    <w:next w:val="47"/>
    <w:qFormat/>
    <w:uiPriority w:val="99"/>
    <w:pPr>
      <w:adjustRightInd w:val="0"/>
      <w:spacing w:after="60" w:line="360" w:lineRule="atLeast"/>
      <w:ind w:left="72" w:leftChars="30" w:right="30" w:rightChars="30"/>
      <w:jc w:val="center"/>
      <w:textAlignment w:val="baseline"/>
    </w:pPr>
    <w:rPr>
      <w:sz w:val="22"/>
    </w:rPr>
  </w:style>
  <w:style w:type="character" w:customStyle="1" w:styleId="52">
    <w:name w:val="标题 1 字符"/>
    <w:link w:val="5"/>
    <w:qFormat/>
    <w:uiPriority w:val="0"/>
    <w:rPr>
      <w:rFonts w:eastAsia="宋体"/>
      <w:b/>
      <w:bCs/>
      <w:kern w:val="44"/>
      <w:sz w:val="44"/>
      <w:szCs w:val="44"/>
      <w:lang w:val="en-US" w:eastAsia="zh-CN" w:bidi="ar-SA"/>
    </w:rPr>
  </w:style>
  <w:style w:type="character" w:customStyle="1" w:styleId="53">
    <w:name w:val="标题 2 字符"/>
    <w:link w:val="6"/>
    <w:qFormat/>
    <w:uiPriority w:val="9"/>
    <w:rPr>
      <w:rFonts w:ascii="Arial" w:hAnsi="Arial" w:eastAsia="黑体"/>
      <w:b/>
      <w:bCs/>
      <w:kern w:val="2"/>
      <w:sz w:val="32"/>
      <w:szCs w:val="32"/>
    </w:rPr>
  </w:style>
  <w:style w:type="character" w:customStyle="1" w:styleId="54">
    <w:name w:val="标题 3 字符"/>
    <w:link w:val="7"/>
    <w:qFormat/>
    <w:uiPriority w:val="0"/>
    <w:rPr>
      <w:rFonts w:ascii="Calibri" w:hAnsi="Calibri" w:eastAsia="宋体"/>
      <w:b/>
      <w:bCs/>
      <w:kern w:val="2"/>
      <w:sz w:val="32"/>
      <w:szCs w:val="32"/>
      <w:lang w:val="en-US" w:eastAsia="zh-CN" w:bidi="ar-SA"/>
    </w:rPr>
  </w:style>
  <w:style w:type="character" w:customStyle="1" w:styleId="55">
    <w:name w:val="标题 4 字符"/>
    <w:link w:val="8"/>
    <w:qFormat/>
    <w:uiPriority w:val="0"/>
    <w:rPr>
      <w:rFonts w:ascii="黑体" w:hAnsi="黑体" w:eastAsia="黑体"/>
      <w:b/>
      <w:bCs/>
      <w:kern w:val="2"/>
      <w:sz w:val="24"/>
      <w:szCs w:val="24"/>
    </w:rPr>
  </w:style>
  <w:style w:type="character" w:customStyle="1" w:styleId="56">
    <w:name w:val="正文缩进 字符"/>
    <w:link w:val="10"/>
    <w:qFormat/>
    <w:locked/>
    <w:uiPriority w:val="0"/>
    <w:rPr>
      <w:kern w:val="2"/>
      <w:sz w:val="21"/>
    </w:rPr>
  </w:style>
  <w:style w:type="character" w:customStyle="1" w:styleId="57">
    <w:name w:val="正文文本 字符"/>
    <w:link w:val="4"/>
    <w:qFormat/>
    <w:uiPriority w:val="0"/>
    <w:rPr>
      <w:kern w:val="2"/>
      <w:sz w:val="24"/>
      <w:szCs w:val="24"/>
    </w:rPr>
  </w:style>
  <w:style w:type="character" w:customStyle="1" w:styleId="58">
    <w:name w:val="正文文本缩进 字符"/>
    <w:link w:val="3"/>
    <w:qFormat/>
    <w:uiPriority w:val="0"/>
    <w:rPr>
      <w:rFonts w:ascii="仿宋_GB2312" w:eastAsia="仿宋_GB2312"/>
      <w:kern w:val="2"/>
      <w:sz w:val="32"/>
    </w:rPr>
  </w:style>
  <w:style w:type="character" w:customStyle="1" w:styleId="59">
    <w:name w:val="纯文本 字符"/>
    <w:link w:val="23"/>
    <w:qFormat/>
    <w:uiPriority w:val="0"/>
    <w:rPr>
      <w:rFonts w:ascii="宋体" w:hAnsi="Courier New" w:eastAsia="宋体" w:cs="Courier New"/>
      <w:kern w:val="2"/>
      <w:sz w:val="21"/>
      <w:szCs w:val="21"/>
      <w:lang w:val="en-US" w:eastAsia="zh-CN" w:bidi="ar-SA"/>
    </w:rPr>
  </w:style>
  <w:style w:type="character" w:customStyle="1" w:styleId="60">
    <w:name w:val="正文文本缩进 2 字符"/>
    <w:link w:val="25"/>
    <w:qFormat/>
    <w:uiPriority w:val="0"/>
    <w:rPr>
      <w:kern w:val="2"/>
      <w:sz w:val="32"/>
    </w:rPr>
  </w:style>
  <w:style w:type="character" w:customStyle="1" w:styleId="61">
    <w:name w:val="页脚 字符"/>
    <w:link w:val="27"/>
    <w:qFormat/>
    <w:uiPriority w:val="0"/>
    <w:rPr>
      <w:kern w:val="2"/>
      <w:sz w:val="18"/>
      <w:szCs w:val="18"/>
    </w:rPr>
  </w:style>
  <w:style w:type="character" w:customStyle="1" w:styleId="62">
    <w:name w:val="正文文本首行缩进 字符"/>
    <w:link w:val="36"/>
    <w:qFormat/>
    <w:uiPriority w:val="0"/>
    <w:rPr>
      <w:kern w:val="2"/>
      <w:sz w:val="21"/>
      <w:szCs w:val="24"/>
    </w:rPr>
  </w:style>
  <w:style w:type="character" w:customStyle="1" w:styleId="63">
    <w:name w:val="正文文本首行缩进 2 字符"/>
    <w:link w:val="37"/>
    <w:qFormat/>
    <w:uiPriority w:val="0"/>
    <w:rPr>
      <w:rFonts w:ascii="仿宋_GB2312" w:eastAsia="仿宋_GB2312"/>
      <w:kern w:val="2"/>
      <w:sz w:val="21"/>
      <w:szCs w:val="24"/>
    </w:rPr>
  </w:style>
  <w:style w:type="character" w:customStyle="1" w:styleId="64">
    <w:name w:val="font21"/>
    <w:qFormat/>
    <w:uiPriority w:val="0"/>
    <w:rPr>
      <w:rFonts w:hint="default" w:ascii="仿宋_GB2312" w:eastAsia="仿宋_GB2312" w:cs="仿宋_GB2312"/>
      <w:b/>
      <w:color w:val="000000"/>
      <w:sz w:val="24"/>
      <w:szCs w:val="24"/>
      <w:u w:val="none"/>
    </w:rPr>
  </w:style>
  <w:style w:type="character" w:customStyle="1" w:styleId="65">
    <w:name w:val="纯文本 Char1"/>
    <w:qFormat/>
    <w:uiPriority w:val="0"/>
    <w:rPr>
      <w:rFonts w:ascii="宋体" w:hAnsi="Courier New" w:eastAsia="宋体" w:cs="Courier New"/>
      <w:szCs w:val="21"/>
    </w:rPr>
  </w:style>
  <w:style w:type="character" w:customStyle="1" w:styleId="66">
    <w:name w:val="param-name param-explain"/>
    <w:qFormat/>
    <w:uiPriority w:val="0"/>
  </w:style>
  <w:style w:type="character" w:customStyle="1" w:styleId="67">
    <w:name w:val="1ji Char"/>
    <w:link w:val="68"/>
    <w:qFormat/>
    <w:uiPriority w:val="0"/>
    <w:rPr>
      <w:rFonts w:ascii="宋体" w:hAnsi="宋体" w:eastAsia="宋体"/>
      <w:b/>
      <w:bCs/>
      <w:kern w:val="44"/>
      <w:sz w:val="36"/>
      <w:szCs w:val="44"/>
      <w:lang w:val="en-US" w:eastAsia="zh-CN" w:bidi="ar-SA"/>
    </w:rPr>
  </w:style>
  <w:style w:type="paragraph" w:customStyle="1" w:styleId="68">
    <w:name w:val="1ji"/>
    <w:basedOn w:val="5"/>
    <w:link w:val="67"/>
    <w:qFormat/>
    <w:uiPriority w:val="0"/>
    <w:pPr>
      <w:keepLines w:val="0"/>
      <w:widowControl/>
      <w:spacing w:before="0" w:after="0" w:line="240" w:lineRule="auto"/>
      <w:jc w:val="center"/>
    </w:pPr>
    <w:rPr>
      <w:rFonts w:ascii="宋体" w:hAnsi="宋体"/>
      <w:sz w:val="36"/>
    </w:rPr>
  </w:style>
  <w:style w:type="character" w:customStyle="1" w:styleId="69">
    <w:name w:val="普通文字 Char Char2"/>
    <w:qFormat/>
    <w:uiPriority w:val="0"/>
    <w:rPr>
      <w:rFonts w:ascii="宋体" w:hAnsi="Courier New" w:eastAsia="宋体"/>
      <w:kern w:val="2"/>
      <w:sz w:val="21"/>
      <w:lang w:val="en-US" w:eastAsia="zh-CN" w:bidi="ar-SA"/>
    </w:rPr>
  </w:style>
  <w:style w:type="character" w:customStyle="1" w:styleId="70">
    <w:name w:val="10"/>
    <w:qFormat/>
    <w:uiPriority w:val="0"/>
    <w:rPr>
      <w:rFonts w:hint="default" w:ascii="Times New Roman" w:hAnsi="Times New Roman" w:cs="Times New Roman"/>
    </w:rPr>
  </w:style>
  <w:style w:type="character" w:customStyle="1" w:styleId="71">
    <w:name w:val="font11"/>
    <w:qFormat/>
    <w:uiPriority w:val="0"/>
    <w:rPr>
      <w:rFonts w:hint="eastAsia" w:ascii="宋体" w:hAnsi="宋体" w:eastAsia="宋体" w:cs="宋体"/>
      <w:color w:val="000000"/>
      <w:sz w:val="20"/>
      <w:szCs w:val="20"/>
      <w:u w:val="none"/>
    </w:rPr>
  </w:style>
  <w:style w:type="character" w:customStyle="1" w:styleId="72">
    <w:name w:val="apple-converted-space"/>
    <w:qFormat/>
    <w:uiPriority w:val="0"/>
  </w:style>
  <w:style w:type="character" w:customStyle="1" w:styleId="73">
    <w:name w:val="mark"/>
    <w:qFormat/>
    <w:uiPriority w:val="0"/>
  </w:style>
  <w:style w:type="character" w:customStyle="1" w:styleId="74">
    <w:name w:val="15"/>
    <w:qFormat/>
    <w:uiPriority w:val="0"/>
    <w:rPr>
      <w:rFonts w:hint="default" w:ascii="Times New Roman" w:hAnsi="Times New Roman"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列出段落1"/>
    <w:basedOn w:val="1"/>
    <w:qFormat/>
    <w:uiPriority w:val="0"/>
    <w:pPr>
      <w:ind w:firstLine="420" w:firstLineChars="200"/>
    </w:pPr>
    <w:rPr>
      <w:szCs w:val="20"/>
    </w:rPr>
  </w:style>
  <w:style w:type="paragraph" w:customStyle="1" w:styleId="77">
    <w:name w:val="1"/>
    <w:basedOn w:val="1"/>
    <w:next w:val="23"/>
    <w:qFormat/>
    <w:uiPriority w:val="0"/>
    <w:rPr>
      <w:rFonts w:ascii="宋体" w:hAnsi="Courier New"/>
      <w:szCs w:val="20"/>
    </w:rPr>
  </w:style>
  <w:style w:type="paragraph" w:customStyle="1" w:styleId="78">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9">
    <w:name w:val="正文段"/>
    <w:basedOn w:val="1"/>
    <w:qFormat/>
    <w:uiPriority w:val="0"/>
    <w:pPr>
      <w:widowControl/>
      <w:snapToGrid w:val="0"/>
      <w:spacing w:after="50" w:afterLines="50"/>
      <w:ind w:firstLine="200" w:firstLineChars="200"/>
    </w:pPr>
    <w:rPr>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2">
    <w:name w:val="_Style 34"/>
    <w:basedOn w:val="18"/>
    <w:qFormat/>
    <w:uiPriority w:val="0"/>
    <w:pPr>
      <w:widowControl/>
      <w:ind w:firstLine="454"/>
      <w:jc w:val="left"/>
    </w:pPr>
  </w:style>
  <w:style w:type="paragraph" w:customStyle="1" w:styleId="83">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4">
    <w:name w:val="_Style 5"/>
    <w:basedOn w:val="1"/>
    <w:qFormat/>
    <w:uiPriority w:val="0"/>
    <w:pPr>
      <w:spacing w:after="78" w:afterLines="25"/>
    </w:pPr>
    <w:rPr>
      <w:rFonts w:ascii="Arial" w:hAnsi="Arial"/>
    </w:rPr>
  </w:style>
  <w:style w:type="paragraph" w:customStyle="1" w:styleId="85">
    <w:name w:val="Char"/>
    <w:basedOn w:val="18"/>
    <w:qFormat/>
    <w:uiPriority w:val="0"/>
    <w:pPr>
      <w:widowControl/>
      <w:ind w:firstLine="454"/>
      <w:jc w:val="left"/>
    </w:pPr>
    <w:rPr>
      <w:rFonts w:ascii="Tahoma" w:hAnsi="Tahoma" w:cs="宋体"/>
      <w:kern w:val="0"/>
      <w:sz w:val="24"/>
      <w:szCs w:val="20"/>
    </w:rPr>
  </w:style>
  <w:style w:type="paragraph" w:customStyle="1" w:styleId="86">
    <w:name w:val="msolistparagraph"/>
    <w:basedOn w:val="1"/>
    <w:qFormat/>
    <w:uiPriority w:val="0"/>
    <w:pPr>
      <w:spacing w:line="360" w:lineRule="auto"/>
      <w:ind w:firstLine="420" w:firstLineChars="200"/>
    </w:pPr>
    <w:rPr>
      <w:sz w:val="28"/>
    </w:rPr>
  </w:style>
  <w:style w:type="paragraph" w:customStyle="1" w:styleId="8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8">
    <w:name w:val="Char Char Char"/>
    <w:basedOn w:val="18"/>
    <w:qFormat/>
    <w:uiPriority w:val="0"/>
    <w:pPr>
      <w:snapToGrid w:val="0"/>
    </w:pPr>
    <w:rPr>
      <w:rFonts w:ascii="Calibri" w:hAnsi="Calibri"/>
      <w:sz w:val="28"/>
      <w:szCs w:val="20"/>
    </w:rPr>
  </w:style>
  <w:style w:type="paragraph" w:customStyle="1" w:styleId="89">
    <w:name w:val="_Style 341"/>
    <w:basedOn w:val="18"/>
    <w:qFormat/>
    <w:uiPriority w:val="0"/>
    <w:pPr>
      <w:widowControl/>
      <w:ind w:firstLine="454"/>
      <w:jc w:val="left"/>
    </w:pPr>
  </w:style>
  <w:style w:type="paragraph" w:customStyle="1" w:styleId="90">
    <w:name w:val="Char1"/>
    <w:basedOn w:val="18"/>
    <w:qFormat/>
    <w:uiPriority w:val="0"/>
    <w:pPr>
      <w:widowControl/>
      <w:ind w:firstLine="454"/>
      <w:jc w:val="left"/>
    </w:pPr>
    <w:rPr>
      <w:rFonts w:ascii="Tahoma" w:hAnsi="Tahoma" w:cs="宋体"/>
      <w:kern w:val="0"/>
      <w:sz w:val="24"/>
      <w:szCs w:val="20"/>
    </w:rPr>
  </w:style>
  <w:style w:type="paragraph" w:styleId="91">
    <w:name w:val="List Paragraph"/>
    <w:basedOn w:val="1"/>
    <w:qFormat/>
    <w:uiPriority w:val="34"/>
    <w:pPr>
      <w:ind w:firstLine="420" w:firstLineChars="200"/>
    </w:pPr>
    <w:rPr>
      <w:rFonts w:ascii="Book Antiqua" w:hAnsi="Book Antiqua" w:cs="Book Antiqu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标题 2 + 宋体"/>
    <w:basedOn w:val="6"/>
    <w:qFormat/>
    <w:uiPriority w:val="0"/>
    <w:pPr>
      <w:tabs>
        <w:tab w:val="left" w:pos="360"/>
      </w:tabs>
    </w:pPr>
    <w:rPr>
      <w:rFonts w:ascii="宋体" w:hAnsi="宋体" w:eastAsia="宋体"/>
      <w:sz w:val="30"/>
    </w:rPr>
  </w:style>
  <w:style w:type="paragraph" w:customStyle="1" w:styleId="9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正文2"/>
    <w:basedOn w:val="1"/>
    <w:link w:val="97"/>
    <w:qFormat/>
    <w:uiPriority w:val="0"/>
    <w:pPr>
      <w:adjustRightInd w:val="0"/>
      <w:spacing w:before="156" w:line="360" w:lineRule="auto"/>
      <w:ind w:firstLine="510" w:firstLineChars="200"/>
    </w:pPr>
    <w:rPr>
      <w:sz w:val="24"/>
      <w:szCs w:val="20"/>
    </w:rPr>
  </w:style>
  <w:style w:type="character" w:customStyle="1" w:styleId="97">
    <w:name w:val="正文2 Char Char"/>
    <w:link w:val="96"/>
    <w:qFormat/>
    <w:uiPriority w:val="0"/>
    <w:rPr>
      <w:kern w:val="2"/>
      <w:sz w:val="24"/>
    </w:rPr>
  </w:style>
  <w:style w:type="table" w:customStyle="1" w:styleId="98">
    <w:name w:val="网格型1"/>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3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 Char"/>
    <w:link w:val="101"/>
    <w:qFormat/>
    <w:locked/>
    <w:uiPriority w:val="0"/>
    <w:rPr>
      <w:rFonts w:ascii="宋体" w:hAnsi="宋体"/>
      <w:sz w:val="24"/>
    </w:rPr>
  </w:style>
  <w:style w:type="paragraph" w:customStyle="1" w:styleId="101">
    <w:name w:val="*正文"/>
    <w:basedOn w:val="1"/>
    <w:link w:val="100"/>
    <w:qFormat/>
    <w:uiPriority w:val="0"/>
    <w:pPr>
      <w:adjustRightInd w:val="0"/>
      <w:snapToGrid w:val="0"/>
      <w:spacing w:line="360" w:lineRule="auto"/>
      <w:ind w:firstLine="482"/>
      <w:jc w:val="left"/>
    </w:pPr>
    <w:rPr>
      <w:rFonts w:ascii="宋体" w:hAnsi="宋体"/>
      <w:kern w:val="0"/>
      <w:sz w:val="24"/>
      <w:szCs w:val="20"/>
    </w:rPr>
  </w:style>
  <w:style w:type="paragraph" w:customStyle="1" w:styleId="102">
    <w:name w:val="Table Text"/>
    <w:basedOn w:val="1"/>
    <w:semiHidden/>
    <w:qFormat/>
    <w:uiPriority w:val="0"/>
    <w:rPr>
      <w:rFonts w:ascii="宋体" w:hAnsi="宋体" w:cs="宋体"/>
      <w:sz w:val="20"/>
      <w:szCs w:val="20"/>
      <w:lang w:eastAsia="en-US"/>
    </w:rPr>
  </w:style>
  <w:style w:type="paragraph" w:customStyle="1" w:styleId="103">
    <w:name w:val="正文呀2_0"/>
    <w:basedOn w:val="104"/>
    <w:qFormat/>
    <w:uiPriority w:val="0"/>
    <w:rPr>
      <w:rFonts w:ascii="Calibri" w:hAnsi="Calibri"/>
      <w:kern w:val="0"/>
      <w:sz w:val="20"/>
    </w:rPr>
  </w:style>
  <w:style w:type="paragraph" w:customStyle="1" w:styleId="104">
    <w:name w:val="正文呀_0"/>
    <w:basedOn w:val="47"/>
    <w:qFormat/>
    <w:uiPriority w:val="0"/>
    <w:pPr>
      <w:spacing w:line="420" w:lineRule="exact"/>
      <w:ind w:firstLine="420" w:firstLineChars="200"/>
    </w:pPr>
    <w:rPr>
      <w:rFonts w:ascii="宋体" w:hAnsi="宋体"/>
      <w:szCs w:val="21"/>
    </w:rPr>
  </w:style>
  <w:style w:type="paragraph" w:customStyle="1" w:styleId="105">
    <w:name w:val="正文呀2_1"/>
    <w:basedOn w:val="104"/>
    <w:qFormat/>
    <w:uiPriority w:val="0"/>
  </w:style>
  <w:style w:type="paragraph" w:customStyle="1" w:styleId="10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2_1"/>
    <w:basedOn w:val="108"/>
    <w:qFormat/>
    <w:uiPriority w:val="0"/>
    <w:rPr>
      <w:szCs w:val="22"/>
    </w:rPr>
  </w:style>
  <w:style w:type="paragraph" w:customStyle="1" w:styleId="108">
    <w:name w:val="正文_2_2"/>
    <w:basedOn w:val="49"/>
    <w:qFormat/>
    <w:uiPriority w:val="0"/>
    <w:rPr>
      <w:szCs w:val="21"/>
    </w:rPr>
  </w:style>
  <w:style w:type="paragraph" w:customStyle="1" w:styleId="109">
    <w:name w:val="正文_3"/>
    <w:next w:val="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表格文字_0"/>
    <w:basedOn w:val="111"/>
    <w:next w:val="112"/>
    <w:qFormat/>
    <w:uiPriority w:val="0"/>
    <w:pPr>
      <w:adjustRightInd w:val="0"/>
      <w:snapToGrid w:val="0"/>
      <w:jc w:val="center"/>
    </w:pPr>
    <w:rPr>
      <w:rFonts w:ascii="Times New Roman" w:hAnsi="Times New Roman"/>
      <w:kern w:val="0"/>
      <w:sz w:val="24"/>
      <w:szCs w:val="24"/>
    </w:rPr>
  </w:style>
  <w:style w:type="paragraph" w:customStyle="1" w:styleId="111">
    <w:name w:val="正文文本缩进_1"/>
    <w:basedOn w:val="109"/>
    <w:unhideWhenUsed/>
    <w:qFormat/>
    <w:uiPriority w:val="99"/>
    <w:pPr>
      <w:spacing w:after="120"/>
      <w:ind w:left="420" w:leftChars="200"/>
    </w:pPr>
  </w:style>
  <w:style w:type="paragraph" w:customStyle="1" w:styleId="112">
    <w:name w:val="正文文本_1"/>
    <w:basedOn w:val="109"/>
    <w:next w:val="109"/>
    <w:qFormat/>
    <w:uiPriority w:val="99"/>
    <w:pPr>
      <w:spacing w:after="120"/>
    </w:pPr>
    <w:rPr>
      <w:rFonts w:ascii="Times New Roman" w:hAnsi="Times New Roman"/>
      <w:szCs w:val="24"/>
    </w:rPr>
  </w:style>
  <w:style w:type="paragraph" w:customStyle="1" w:styleId="113">
    <w:name w:val="Normal_0"/>
    <w:qFormat/>
    <w:uiPriority w:val="0"/>
    <w:rPr>
      <w:rFonts w:ascii="Times New Roman" w:hAnsi="Times New Roman" w:eastAsia="Times New Roman" w:cs="Times New Roman"/>
      <w:sz w:val="24"/>
      <w:szCs w:val="24"/>
      <w:lang w:val="en-US" w:eastAsia="zh-CN" w:bidi="ar-SA"/>
    </w:rPr>
  </w:style>
  <w:style w:type="paragraph" w:customStyle="1" w:styleId="114">
    <w:name w:val="标题 2_1"/>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5">
    <w:name w:val="Body text|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6">
    <w:name w:val="标题 3_1"/>
    <w:basedOn w:val="47"/>
    <w:next w:val="47"/>
    <w:qFormat/>
    <w:uiPriority w:val="0"/>
    <w:pPr>
      <w:keepNext/>
      <w:keepLines/>
      <w:spacing w:before="240" w:after="120"/>
      <w:outlineLvl w:val="2"/>
    </w:pPr>
    <w:rPr>
      <w:rFonts w:eastAsia="宋体"/>
      <w:b/>
      <w:color w:val="auto"/>
      <w:sz w:val="32"/>
      <w:szCs w:val="20"/>
      <w:lang w:bidi="ar-SA"/>
    </w:rPr>
  </w:style>
  <w:style w:type="paragraph" w:customStyle="1" w:styleId="117">
    <w:name w:val="Body text|2_0"/>
    <w:basedOn w:val="47"/>
    <w:qFormat/>
    <w:uiPriority w:val="0"/>
    <w:pPr>
      <w:spacing w:after="30"/>
      <w:ind w:firstLine="420"/>
    </w:pPr>
    <w:rPr>
      <w:rFonts w:eastAsia="宋体"/>
      <w:color w:val="auto"/>
      <w:sz w:val="20"/>
      <w:szCs w:val="20"/>
      <w:lang w:bidi="ar-SA"/>
    </w:rPr>
  </w:style>
  <w:style w:type="paragraph" w:customStyle="1" w:styleId="118">
    <w:name w:val="Other|1_1"/>
    <w:basedOn w:val="47"/>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9">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0">
    <w:name w:val="Body text|1_0_0"/>
    <w:basedOn w:val="49"/>
    <w:qFormat/>
    <w:uiPriority w:val="0"/>
    <w:pPr>
      <w:spacing w:line="360" w:lineRule="auto"/>
      <w:ind w:firstLine="400"/>
    </w:pPr>
    <w:rPr>
      <w:rFonts w:ascii="宋体" w:hAnsi="宋体" w:cs="宋体"/>
      <w:sz w:val="20"/>
      <w:szCs w:val="20"/>
      <w:lang w:val="zh-CN" w:bidi="zh-CN"/>
    </w:rPr>
  </w:style>
  <w:style w:type="paragraph" w:customStyle="1" w:styleId="121">
    <w:name w:val="正文_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22">
    <w:name w:val="标题 2_0"/>
    <w:basedOn w:val="47"/>
    <w:next w:val="47"/>
    <w:qFormat/>
    <w:uiPriority w:val="0"/>
    <w:pPr>
      <w:keepLines/>
      <w:spacing w:before="240" w:after="120" w:line="416" w:lineRule="auto"/>
      <w:jc w:val="center"/>
      <w:outlineLvl w:val="1"/>
    </w:pPr>
    <w:rPr>
      <w:rFonts w:ascii="宋体" w:hAnsi="宋体" w:eastAsia="黑体" w:cs="宋体"/>
      <w:b/>
      <w:bCs/>
      <w:sz w:val="36"/>
      <w:szCs w:val="21"/>
    </w:rPr>
  </w:style>
  <w:style w:type="character" w:customStyle="1" w:styleId="123">
    <w:name w:val="标题 1 Char"/>
    <w:link w:val="5"/>
    <w:qFormat/>
    <w:uiPriority w:val="0"/>
    <w:rPr>
      <w:rFonts w:ascii="宋体" w:hAnsi="宋体" w:eastAsia="宋体" w:cs="宋体"/>
      <w:b/>
      <w:kern w:val="44"/>
      <w:sz w:val="44"/>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104</Pages>
  <Words>12539</Words>
  <Characters>14077</Characters>
  <Lines>474</Lines>
  <Paragraphs>133</Paragraphs>
  <TotalTime>29</TotalTime>
  <ScaleCrop>false</ScaleCrop>
  <LinksUpToDate>false</LinksUpToDate>
  <CharactersWithSpaces>14355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夏天</cp:lastModifiedBy>
  <cp:lastPrinted>2021-08-15T09:50:00Z</cp:lastPrinted>
  <dcterms:modified xsi:type="dcterms:W3CDTF">2025-12-30T09:16:41Z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8FE7566DB6CE4421BE86ECC699C1DA9B_13</vt:lpwstr>
  </property>
  <property fmtid="{D5CDD505-2E9C-101B-9397-08002B2CF9AE}" pid="4" name="KSOTemplateDocerSaveRecord">
    <vt:lpwstr>eyJoZGlkIjoiNTgxMmYyY2FhMjIzMTM5YTkyMzBmMzMzZWQ1NWJjZjEiLCJ1c2VySWQiOiI1NzU3NDg0MzcifQ==</vt:lpwstr>
  </property>
</Properties>
</file>