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E9617C">
      <w:pPr>
        <w:pStyle w:val="4"/>
        <w:spacing w:line="271" w:lineRule="auto"/>
        <w:rPr>
          <w:rFonts w:asciiTheme="minorEastAsia" w:hAnsiTheme="minorEastAsia" w:eastAsiaTheme="minorEastAsia"/>
          <w:color w:val="auto"/>
          <w:highlight w:val="none"/>
        </w:rPr>
      </w:pPr>
      <w:bookmarkStart w:id="638" w:name="_GoBack"/>
    </w:p>
    <w:p w14:paraId="3A4589A9">
      <w:pPr>
        <w:pStyle w:val="4"/>
        <w:spacing w:line="271" w:lineRule="auto"/>
        <w:rPr>
          <w:rFonts w:asciiTheme="minorEastAsia" w:hAnsiTheme="minorEastAsia" w:eastAsiaTheme="minorEastAsia"/>
          <w:color w:val="auto"/>
          <w:sz w:val="52"/>
          <w:szCs w:val="52"/>
          <w:highlight w:val="none"/>
          <w:lang w:eastAsia="zh-CN"/>
        </w:rPr>
      </w:pPr>
    </w:p>
    <w:p w14:paraId="5EE96180">
      <w:pPr>
        <w:spacing w:before="116" w:line="223" w:lineRule="auto"/>
        <w:jc w:val="center"/>
        <w:rPr>
          <w:rFonts w:hint="eastAsia" w:cs="宋体" w:asciiTheme="minorEastAsia" w:hAnsiTheme="minorEastAsia" w:eastAsiaTheme="minorEastAsia"/>
          <w:b/>
          <w:bCs/>
          <w:color w:val="auto"/>
          <w:spacing w:val="4"/>
          <w:sz w:val="52"/>
          <w:szCs w:val="52"/>
          <w:highlight w:val="none"/>
          <w:lang w:eastAsia="zh-CN"/>
        </w:rPr>
      </w:pPr>
      <w:r>
        <w:rPr>
          <w:rFonts w:hint="eastAsia" w:cs="宋体" w:asciiTheme="minorEastAsia" w:hAnsiTheme="minorEastAsia" w:eastAsiaTheme="minorEastAsia"/>
          <w:b/>
          <w:bCs/>
          <w:color w:val="auto"/>
          <w:spacing w:val="4"/>
          <w:sz w:val="52"/>
          <w:szCs w:val="52"/>
          <w:highlight w:val="none"/>
          <w:lang w:val="en-US" w:eastAsia="zh-CN"/>
        </w:rPr>
        <w:t xml:space="preserve">  </w:t>
      </w:r>
      <w:r>
        <w:rPr>
          <w:rFonts w:hint="eastAsia" w:cs="宋体" w:asciiTheme="minorEastAsia" w:hAnsiTheme="minorEastAsia" w:eastAsiaTheme="minorEastAsia"/>
          <w:b/>
          <w:bCs/>
          <w:color w:val="auto"/>
          <w:spacing w:val="4"/>
          <w:sz w:val="52"/>
          <w:szCs w:val="52"/>
          <w:highlight w:val="none"/>
          <w:lang w:eastAsia="zh-CN"/>
        </w:rPr>
        <w:t>合浦县田寮水库标准化创建工程（土建部分）</w:t>
      </w:r>
    </w:p>
    <w:p w14:paraId="1F97559B">
      <w:pPr>
        <w:spacing w:before="116" w:line="223" w:lineRule="auto"/>
        <w:jc w:val="both"/>
        <w:rPr>
          <w:rFonts w:hint="eastAsia" w:cs="宋体" w:asciiTheme="minorEastAsia" w:hAnsiTheme="minorEastAsia" w:eastAsiaTheme="minorEastAsia"/>
          <w:b/>
          <w:bCs/>
          <w:color w:val="auto"/>
          <w:spacing w:val="4"/>
          <w:sz w:val="52"/>
          <w:szCs w:val="52"/>
          <w:highlight w:val="none"/>
          <w:lang w:eastAsia="zh-CN"/>
        </w:rPr>
      </w:pPr>
    </w:p>
    <w:p w14:paraId="5EE96181">
      <w:pPr>
        <w:spacing w:before="116" w:line="223" w:lineRule="auto"/>
        <w:jc w:val="center"/>
        <w:rPr>
          <w:rFonts w:cs="宋体" w:asciiTheme="minorEastAsia" w:hAnsiTheme="minorEastAsia" w:eastAsiaTheme="minorEastAsia"/>
          <w:color w:val="auto"/>
          <w:sz w:val="71"/>
          <w:szCs w:val="71"/>
          <w:highlight w:val="none"/>
          <w:lang w:eastAsia="zh-CN"/>
        </w:rPr>
      </w:pPr>
      <w:r>
        <w:rPr>
          <w:rFonts w:cs="宋体" w:asciiTheme="minorEastAsia" w:hAnsiTheme="minorEastAsia" w:eastAsiaTheme="minorEastAsia"/>
          <w:b/>
          <w:bCs/>
          <w:color w:val="auto"/>
          <w:spacing w:val="-25"/>
          <w:sz w:val="71"/>
          <w:szCs w:val="71"/>
          <w:highlight w:val="none"/>
          <w:lang w:eastAsia="zh-CN"/>
        </w:rPr>
        <w:t>竞争性</w:t>
      </w:r>
      <w:r>
        <w:rPr>
          <w:rFonts w:hint="eastAsia" w:cs="宋体" w:asciiTheme="minorEastAsia" w:hAnsiTheme="minorEastAsia" w:eastAsiaTheme="minorEastAsia"/>
          <w:b/>
          <w:bCs/>
          <w:color w:val="auto"/>
          <w:spacing w:val="-25"/>
          <w:sz w:val="71"/>
          <w:szCs w:val="71"/>
          <w:highlight w:val="none"/>
          <w:lang w:val="en-US" w:eastAsia="zh-CN"/>
        </w:rPr>
        <w:t>磋商</w:t>
      </w:r>
      <w:r>
        <w:rPr>
          <w:rFonts w:cs="宋体" w:asciiTheme="minorEastAsia" w:hAnsiTheme="minorEastAsia" w:eastAsiaTheme="minorEastAsia"/>
          <w:b/>
          <w:bCs/>
          <w:color w:val="auto"/>
          <w:spacing w:val="-25"/>
          <w:sz w:val="71"/>
          <w:szCs w:val="71"/>
          <w:highlight w:val="none"/>
          <w:lang w:eastAsia="zh-CN"/>
        </w:rPr>
        <w:t>文件</w:t>
      </w:r>
    </w:p>
    <w:p w14:paraId="5EE96182">
      <w:pPr>
        <w:spacing w:before="63" w:line="225" w:lineRule="auto"/>
        <w:ind w:left="3529"/>
        <w:rPr>
          <w:rFonts w:cs="宋体" w:asciiTheme="minorEastAsia" w:hAnsiTheme="minorEastAsia" w:eastAsiaTheme="minorEastAsia"/>
          <w:color w:val="auto"/>
          <w:sz w:val="43"/>
          <w:szCs w:val="43"/>
          <w:highlight w:val="none"/>
          <w:lang w:eastAsia="zh-CN"/>
        </w:rPr>
      </w:pPr>
      <w:r>
        <w:rPr>
          <w:rFonts w:cs="宋体" w:asciiTheme="minorEastAsia" w:hAnsiTheme="minorEastAsia" w:eastAsiaTheme="minorEastAsia"/>
          <w:b/>
          <w:bCs/>
          <w:color w:val="auto"/>
          <w:spacing w:val="-1"/>
          <w:sz w:val="43"/>
          <w:szCs w:val="43"/>
          <w:highlight w:val="none"/>
          <w:lang w:eastAsia="zh-CN"/>
        </w:rPr>
        <w:t>（电子交易）</w:t>
      </w:r>
    </w:p>
    <w:p w14:paraId="5EE96183">
      <w:pPr>
        <w:pStyle w:val="4"/>
        <w:spacing w:line="266" w:lineRule="auto"/>
        <w:rPr>
          <w:rFonts w:asciiTheme="minorEastAsia" w:hAnsiTheme="minorEastAsia" w:eastAsiaTheme="minorEastAsia"/>
          <w:color w:val="auto"/>
          <w:highlight w:val="none"/>
          <w:lang w:eastAsia="zh-CN"/>
        </w:rPr>
      </w:pPr>
    </w:p>
    <w:p w14:paraId="5EE96184">
      <w:pPr>
        <w:pStyle w:val="4"/>
        <w:spacing w:line="267" w:lineRule="auto"/>
        <w:rPr>
          <w:rFonts w:asciiTheme="minorEastAsia" w:hAnsiTheme="minorEastAsia" w:eastAsiaTheme="minorEastAsia"/>
          <w:color w:val="auto"/>
          <w:highlight w:val="none"/>
          <w:lang w:eastAsia="zh-CN"/>
        </w:rPr>
      </w:pPr>
    </w:p>
    <w:p w14:paraId="5EE96185">
      <w:pPr>
        <w:pStyle w:val="4"/>
        <w:spacing w:line="267" w:lineRule="auto"/>
        <w:rPr>
          <w:rFonts w:asciiTheme="minorEastAsia" w:hAnsiTheme="minorEastAsia" w:eastAsiaTheme="minorEastAsia"/>
          <w:color w:val="auto"/>
          <w:highlight w:val="none"/>
          <w:lang w:eastAsia="zh-CN"/>
        </w:rPr>
      </w:pPr>
    </w:p>
    <w:p w14:paraId="09214414">
      <w:pPr>
        <w:adjustRightInd w:val="0"/>
        <w:snapToGrid w:val="0"/>
        <w:spacing w:line="360" w:lineRule="auto"/>
        <w:ind w:firstLine="2086" w:firstLineChars="700"/>
        <w:jc w:val="both"/>
        <w:rPr>
          <w:rFonts w:cs="宋体" w:asciiTheme="minorEastAsia" w:hAnsiTheme="minorEastAsia" w:eastAsiaTheme="minorEastAsia"/>
          <w:color w:val="auto"/>
          <w:spacing w:val="-1"/>
          <w:sz w:val="30"/>
          <w:szCs w:val="30"/>
          <w:highlight w:val="none"/>
          <w:lang w:eastAsia="zh-CN"/>
        </w:rPr>
      </w:pPr>
      <w:r>
        <w:rPr>
          <w:rFonts w:cs="宋体" w:asciiTheme="minorEastAsia" w:hAnsiTheme="minorEastAsia" w:eastAsiaTheme="minorEastAsia"/>
          <w:color w:val="auto"/>
          <w:spacing w:val="-1"/>
          <w:sz w:val="30"/>
          <w:szCs w:val="30"/>
          <w:highlight w:val="none"/>
          <w:lang w:eastAsia="zh-CN"/>
        </w:rPr>
        <w:t>项目编号：</w:t>
      </w:r>
      <w:r>
        <w:rPr>
          <w:rFonts w:hint="eastAsia" w:cs="宋体" w:asciiTheme="minorEastAsia" w:hAnsiTheme="minorEastAsia" w:eastAsiaTheme="minorEastAsia"/>
          <w:color w:val="auto"/>
          <w:spacing w:val="-1"/>
          <w:sz w:val="30"/>
          <w:szCs w:val="30"/>
          <w:highlight w:val="none"/>
          <w:lang w:eastAsia="zh-CN"/>
        </w:rPr>
        <w:t>BHZC2026-C2-210001-ZZYG</w:t>
      </w:r>
    </w:p>
    <w:p w14:paraId="06E9946A">
      <w:pPr>
        <w:adjustRightInd w:val="0"/>
        <w:snapToGrid w:val="0"/>
        <w:spacing w:line="360" w:lineRule="auto"/>
        <w:jc w:val="center"/>
        <w:rPr>
          <w:rFonts w:hint="eastAsia" w:cs="宋体" w:asciiTheme="minorEastAsia" w:hAnsiTheme="minorEastAsia" w:eastAsiaTheme="minorEastAsia"/>
          <w:color w:val="auto"/>
          <w:sz w:val="30"/>
          <w:szCs w:val="30"/>
          <w:highlight w:val="none"/>
          <w:lang w:eastAsia="zh-CN"/>
        </w:rPr>
      </w:pPr>
    </w:p>
    <w:p w14:paraId="5EE96187">
      <w:pPr>
        <w:pStyle w:val="4"/>
        <w:spacing w:line="250" w:lineRule="auto"/>
        <w:rPr>
          <w:rFonts w:asciiTheme="minorEastAsia" w:hAnsiTheme="minorEastAsia" w:eastAsiaTheme="minorEastAsia"/>
          <w:color w:val="auto"/>
          <w:highlight w:val="none"/>
          <w:lang w:eastAsia="zh-CN"/>
        </w:rPr>
      </w:pPr>
    </w:p>
    <w:p w14:paraId="5EE96188">
      <w:pPr>
        <w:pStyle w:val="4"/>
        <w:spacing w:line="250" w:lineRule="auto"/>
        <w:rPr>
          <w:rFonts w:asciiTheme="minorEastAsia" w:hAnsiTheme="minorEastAsia" w:eastAsiaTheme="minorEastAsia"/>
          <w:color w:val="auto"/>
          <w:highlight w:val="none"/>
          <w:lang w:eastAsia="zh-CN"/>
        </w:rPr>
      </w:pPr>
    </w:p>
    <w:p w14:paraId="5EE9618A">
      <w:pPr>
        <w:pStyle w:val="4"/>
        <w:spacing w:line="250" w:lineRule="auto"/>
        <w:rPr>
          <w:rFonts w:asciiTheme="minorEastAsia" w:hAnsiTheme="minorEastAsia" w:eastAsiaTheme="minorEastAsia"/>
          <w:color w:val="auto"/>
          <w:highlight w:val="none"/>
          <w:lang w:eastAsia="zh-CN"/>
        </w:rPr>
      </w:pPr>
    </w:p>
    <w:p w14:paraId="5EE9618B">
      <w:pPr>
        <w:pStyle w:val="4"/>
        <w:spacing w:line="251" w:lineRule="auto"/>
        <w:jc w:val="center"/>
        <w:rPr>
          <w:rFonts w:asciiTheme="minorEastAsia" w:hAnsiTheme="minorEastAsia" w:eastAsiaTheme="minorEastAsia"/>
          <w:color w:val="auto"/>
          <w:highlight w:val="none"/>
          <w:lang w:eastAsia="zh-CN"/>
        </w:rPr>
      </w:pPr>
    </w:p>
    <w:p w14:paraId="5EE9618C">
      <w:pPr>
        <w:pStyle w:val="4"/>
        <w:spacing w:line="251" w:lineRule="auto"/>
        <w:rPr>
          <w:rFonts w:asciiTheme="minorEastAsia" w:hAnsiTheme="minorEastAsia" w:eastAsiaTheme="minorEastAsia"/>
          <w:color w:val="auto"/>
          <w:highlight w:val="none"/>
          <w:lang w:eastAsia="zh-CN"/>
        </w:rPr>
      </w:pPr>
    </w:p>
    <w:p w14:paraId="5EE9618D">
      <w:pPr>
        <w:pStyle w:val="4"/>
        <w:spacing w:line="251" w:lineRule="auto"/>
        <w:rPr>
          <w:rFonts w:asciiTheme="minorEastAsia" w:hAnsiTheme="minorEastAsia" w:eastAsiaTheme="minorEastAsia"/>
          <w:color w:val="auto"/>
          <w:highlight w:val="none"/>
          <w:lang w:eastAsia="zh-CN"/>
        </w:rPr>
      </w:pPr>
    </w:p>
    <w:p w14:paraId="5EE9618E">
      <w:pPr>
        <w:pStyle w:val="4"/>
        <w:spacing w:line="251" w:lineRule="auto"/>
        <w:rPr>
          <w:rFonts w:asciiTheme="minorEastAsia" w:hAnsiTheme="minorEastAsia" w:eastAsiaTheme="minorEastAsia"/>
          <w:color w:val="auto"/>
          <w:highlight w:val="none"/>
          <w:lang w:eastAsia="zh-CN"/>
        </w:rPr>
      </w:pPr>
    </w:p>
    <w:p w14:paraId="5EE9618F">
      <w:pPr>
        <w:pStyle w:val="4"/>
        <w:spacing w:line="251" w:lineRule="auto"/>
        <w:rPr>
          <w:rFonts w:asciiTheme="minorEastAsia" w:hAnsiTheme="minorEastAsia" w:eastAsiaTheme="minorEastAsia"/>
          <w:color w:val="auto"/>
          <w:highlight w:val="none"/>
          <w:lang w:eastAsia="zh-CN"/>
        </w:rPr>
      </w:pPr>
    </w:p>
    <w:p w14:paraId="5EE96190">
      <w:pPr>
        <w:pStyle w:val="4"/>
        <w:spacing w:line="251" w:lineRule="auto"/>
        <w:rPr>
          <w:rFonts w:asciiTheme="minorEastAsia" w:hAnsiTheme="minorEastAsia" w:eastAsiaTheme="minorEastAsia"/>
          <w:color w:val="auto"/>
          <w:highlight w:val="none"/>
          <w:lang w:eastAsia="zh-CN"/>
        </w:rPr>
      </w:pPr>
    </w:p>
    <w:p w14:paraId="5EE96191">
      <w:pPr>
        <w:pStyle w:val="4"/>
        <w:spacing w:line="251" w:lineRule="auto"/>
        <w:rPr>
          <w:rFonts w:asciiTheme="minorEastAsia" w:hAnsiTheme="minorEastAsia" w:eastAsiaTheme="minorEastAsia"/>
          <w:color w:val="auto"/>
          <w:highlight w:val="none"/>
          <w:lang w:eastAsia="zh-CN"/>
        </w:rPr>
      </w:pPr>
    </w:p>
    <w:p w14:paraId="5EE96192">
      <w:pPr>
        <w:spacing w:before="101" w:line="225" w:lineRule="auto"/>
        <w:jc w:val="center"/>
        <w:rPr>
          <w:rFonts w:cs="宋体" w:asciiTheme="minorEastAsia" w:hAnsiTheme="minorEastAsia" w:eastAsiaTheme="minorEastAsia"/>
          <w:color w:val="auto"/>
          <w:sz w:val="31"/>
          <w:szCs w:val="31"/>
          <w:highlight w:val="none"/>
          <w:lang w:eastAsia="zh-CN"/>
        </w:rPr>
      </w:pPr>
      <w:r>
        <w:rPr>
          <w:rFonts w:hint="eastAsia" w:cs="宋体" w:asciiTheme="minorEastAsia" w:hAnsiTheme="minorEastAsia" w:eastAsiaTheme="minorEastAsia"/>
          <w:color w:val="auto"/>
          <w:spacing w:val="8"/>
          <w:sz w:val="31"/>
          <w:szCs w:val="31"/>
          <w:highlight w:val="none"/>
          <w:lang w:eastAsia="zh-CN"/>
        </w:rPr>
        <w:t>合浦县水利局</w:t>
      </w:r>
    </w:p>
    <w:p w14:paraId="5EE96193">
      <w:pPr>
        <w:spacing w:before="245" w:line="225" w:lineRule="auto"/>
        <w:jc w:val="center"/>
        <w:rPr>
          <w:rFonts w:cs="宋体" w:asciiTheme="minorEastAsia" w:hAnsiTheme="minorEastAsia" w:eastAsiaTheme="minorEastAsia"/>
          <w:color w:val="auto"/>
          <w:sz w:val="31"/>
          <w:szCs w:val="31"/>
          <w:highlight w:val="none"/>
          <w:lang w:eastAsia="zh-CN"/>
        </w:rPr>
      </w:pPr>
      <w:r>
        <w:rPr>
          <w:rFonts w:hint="eastAsia" w:cs="宋体" w:asciiTheme="minorEastAsia" w:hAnsiTheme="minorEastAsia" w:eastAsiaTheme="minorEastAsia"/>
          <w:color w:val="auto"/>
          <w:spacing w:val="8"/>
          <w:sz w:val="31"/>
          <w:szCs w:val="31"/>
          <w:highlight w:val="none"/>
          <w:lang w:eastAsia="zh-CN"/>
        </w:rPr>
        <w:t>广西中之元工程管理有限公司</w:t>
      </w:r>
    </w:p>
    <w:p w14:paraId="7270D0A4">
      <w:pPr>
        <w:spacing w:before="243" w:line="225" w:lineRule="auto"/>
        <w:ind w:left="3717"/>
        <w:rPr>
          <w:rFonts w:hint="default" w:cs="宋体" w:asciiTheme="minorEastAsia" w:hAnsiTheme="minorEastAsia" w:eastAsiaTheme="minorEastAsia"/>
          <w:color w:val="auto"/>
          <w:sz w:val="31"/>
          <w:szCs w:val="31"/>
          <w:highlight w:val="none"/>
          <w:lang w:val="en-US" w:eastAsia="zh-CN"/>
        </w:rPr>
      </w:pPr>
      <w:r>
        <w:rPr>
          <w:rFonts w:cs="宋体" w:asciiTheme="minorEastAsia" w:hAnsiTheme="minorEastAsia" w:eastAsiaTheme="minorEastAsia"/>
          <w:color w:val="auto"/>
          <w:spacing w:val="7"/>
          <w:sz w:val="31"/>
          <w:szCs w:val="31"/>
          <w:highlight w:val="none"/>
          <w:lang w:eastAsia="zh-CN"/>
        </w:rPr>
        <w:t>二〇二</w:t>
      </w:r>
      <w:r>
        <w:rPr>
          <w:rFonts w:hint="eastAsia" w:cs="宋体" w:asciiTheme="minorEastAsia" w:hAnsiTheme="minorEastAsia" w:eastAsiaTheme="minorEastAsia"/>
          <w:color w:val="auto"/>
          <w:spacing w:val="7"/>
          <w:sz w:val="31"/>
          <w:szCs w:val="31"/>
          <w:highlight w:val="none"/>
          <w:lang w:eastAsia="zh-CN"/>
        </w:rPr>
        <w:t>六</w:t>
      </w:r>
      <w:r>
        <w:rPr>
          <w:rFonts w:cs="宋体" w:asciiTheme="minorEastAsia" w:hAnsiTheme="minorEastAsia" w:eastAsiaTheme="minorEastAsia"/>
          <w:color w:val="auto"/>
          <w:spacing w:val="7"/>
          <w:sz w:val="31"/>
          <w:szCs w:val="31"/>
          <w:highlight w:val="none"/>
          <w:lang w:eastAsia="zh-CN"/>
        </w:rPr>
        <w:t>年</w:t>
      </w:r>
      <w:r>
        <w:rPr>
          <w:rFonts w:hint="eastAsia" w:cs="宋体" w:asciiTheme="minorEastAsia" w:hAnsiTheme="minorEastAsia" w:eastAsiaTheme="minorEastAsia"/>
          <w:color w:val="auto"/>
          <w:spacing w:val="7"/>
          <w:sz w:val="31"/>
          <w:szCs w:val="31"/>
          <w:highlight w:val="none"/>
          <w:lang w:val="en-US" w:eastAsia="zh-CN"/>
        </w:rPr>
        <w:t>一月</w:t>
      </w:r>
    </w:p>
    <w:p w14:paraId="5EE96195">
      <w:pPr>
        <w:spacing w:line="225" w:lineRule="auto"/>
        <w:rPr>
          <w:rFonts w:cs="宋体" w:asciiTheme="minorEastAsia" w:hAnsiTheme="minorEastAsia" w:eastAsiaTheme="minorEastAsia"/>
          <w:color w:val="auto"/>
          <w:sz w:val="31"/>
          <w:szCs w:val="31"/>
          <w:highlight w:val="none"/>
          <w:lang w:eastAsia="zh-CN"/>
        </w:rPr>
        <w:sectPr>
          <w:footerReference r:id="rId4" w:type="first"/>
          <w:headerReference r:id="rId3" w:type="default"/>
          <w:pgSz w:w="11906" w:h="16839"/>
          <w:pgMar w:top="1440" w:right="1304" w:bottom="1440" w:left="1304" w:header="850" w:footer="992" w:gutter="0"/>
          <w:cols w:space="720" w:num="1"/>
          <w:docGrid w:linePitch="286" w:charSpace="0"/>
        </w:sectPr>
      </w:pPr>
    </w:p>
    <w:p w14:paraId="53475A1A">
      <w:pPr>
        <w:spacing w:line="800" w:lineRule="exact"/>
        <w:jc w:val="center"/>
        <w:rPr>
          <w:rFonts w:ascii="黑体" w:hAnsi="Courier New" w:eastAsia="黑体" w:cs="Courier New"/>
          <w:color w:val="auto"/>
          <w:sz w:val="48"/>
          <w:szCs w:val="48"/>
          <w:highlight w:val="none"/>
        </w:rPr>
      </w:pPr>
      <w:r>
        <w:rPr>
          <w:rFonts w:hint="eastAsia" w:ascii="黑体" w:hAnsi="Courier New" w:eastAsia="黑体" w:cs="Courier New"/>
          <w:color w:val="auto"/>
          <w:sz w:val="48"/>
          <w:szCs w:val="48"/>
          <w:highlight w:val="none"/>
        </w:rPr>
        <w:t>目   录</w:t>
      </w:r>
    </w:p>
    <w:p w14:paraId="53475A1C">
      <w:pPr>
        <w:spacing w:line="400" w:lineRule="exact"/>
        <w:rPr>
          <w:rFonts w:ascii="仿宋_GB2312" w:hAnsi="宋体" w:eastAsia="仿宋_GB2312"/>
          <w:b/>
          <w:color w:val="auto"/>
          <w:sz w:val="32"/>
          <w:szCs w:val="32"/>
          <w:highlight w:val="none"/>
        </w:rPr>
      </w:pPr>
    </w:p>
    <w:p w14:paraId="53475A1D">
      <w:pPr>
        <w:pStyle w:val="29"/>
        <w:tabs>
          <w:tab w:val="right" w:leader="dot" w:pos="9288"/>
        </w:tabs>
        <w:spacing w:line="360" w:lineRule="auto"/>
        <w:rPr>
          <w:rFonts w:ascii="宋体" w:hAnsi="宋体"/>
          <w:color w:val="auto"/>
          <w:sz w:val="32"/>
          <w:szCs w:val="32"/>
          <w:highlight w:val="none"/>
        </w:rPr>
      </w:pPr>
      <w:r>
        <w:rPr>
          <w:rFonts w:ascii="宋体" w:hAnsi="宋体" w:cs="Courier New"/>
          <w:bCs/>
          <w:color w:val="auto"/>
          <w:spacing w:val="4"/>
          <w:sz w:val="32"/>
          <w:szCs w:val="32"/>
          <w:highlight w:val="none"/>
        </w:rPr>
        <w:fldChar w:fldCharType="begin"/>
      </w:r>
      <w:r>
        <w:rPr>
          <w:rFonts w:ascii="宋体" w:hAnsi="宋体" w:cs="Courier New"/>
          <w:bCs/>
          <w:color w:val="auto"/>
          <w:spacing w:val="4"/>
          <w:sz w:val="32"/>
          <w:szCs w:val="32"/>
          <w:highlight w:val="none"/>
        </w:rPr>
        <w:instrText xml:space="preserve"> </w:instrText>
      </w:r>
      <w:r>
        <w:rPr>
          <w:rFonts w:hint="eastAsia" w:ascii="宋体" w:hAnsi="宋体" w:cs="Courier New"/>
          <w:bCs/>
          <w:color w:val="auto"/>
          <w:spacing w:val="4"/>
          <w:sz w:val="32"/>
          <w:szCs w:val="32"/>
          <w:highlight w:val="none"/>
        </w:rPr>
        <w:instrText xml:space="preserve">TOC \o "1-2" \h \z \u</w:instrText>
      </w:r>
      <w:r>
        <w:rPr>
          <w:rFonts w:ascii="宋体" w:hAnsi="宋体" w:cs="Courier New"/>
          <w:bCs/>
          <w:color w:val="auto"/>
          <w:spacing w:val="4"/>
          <w:sz w:val="32"/>
          <w:szCs w:val="32"/>
          <w:highlight w:val="none"/>
        </w:rPr>
        <w:instrText xml:space="preserve"> </w:instrText>
      </w:r>
      <w:r>
        <w:rPr>
          <w:rFonts w:ascii="宋体" w:hAnsi="宋体" w:cs="Courier New"/>
          <w:bCs/>
          <w:color w:val="auto"/>
          <w:spacing w:val="4"/>
          <w:sz w:val="32"/>
          <w:szCs w:val="32"/>
          <w:highlight w:val="none"/>
        </w:rPr>
        <w:fldChar w:fldCharType="separate"/>
      </w:r>
      <w:r>
        <w:rPr>
          <w:color w:val="auto"/>
          <w:highlight w:val="none"/>
        </w:rPr>
        <w:fldChar w:fldCharType="begin"/>
      </w:r>
      <w:r>
        <w:rPr>
          <w:color w:val="auto"/>
          <w:highlight w:val="none"/>
        </w:rPr>
        <w:instrText xml:space="preserve"> HYPERLINK \l "_Toc176861406" </w:instrText>
      </w:r>
      <w:r>
        <w:rPr>
          <w:color w:val="auto"/>
          <w:highlight w:val="none"/>
        </w:rPr>
        <w:fldChar w:fldCharType="separate"/>
      </w:r>
      <w:r>
        <w:rPr>
          <w:rStyle w:val="43"/>
          <w:rFonts w:hint="eastAsia" w:ascii="宋体" w:hAnsi="宋体"/>
          <w:color w:val="auto"/>
          <w:sz w:val="32"/>
          <w:szCs w:val="32"/>
          <w:highlight w:val="none"/>
        </w:rPr>
        <w:t>第一章</w:t>
      </w:r>
      <w:r>
        <w:rPr>
          <w:rStyle w:val="43"/>
          <w:rFonts w:ascii="宋体" w:hAnsi="宋体"/>
          <w:color w:val="auto"/>
          <w:sz w:val="32"/>
          <w:szCs w:val="32"/>
          <w:highlight w:val="none"/>
        </w:rPr>
        <w:t xml:space="preserve">  </w:t>
      </w:r>
      <w:r>
        <w:rPr>
          <w:rStyle w:val="43"/>
          <w:rFonts w:hint="eastAsia" w:ascii="宋体" w:hAnsi="宋体"/>
          <w:color w:val="auto"/>
          <w:sz w:val="32"/>
          <w:szCs w:val="32"/>
          <w:highlight w:val="none"/>
        </w:rPr>
        <w:t>竞争性磋商公告</w:t>
      </w:r>
      <w:r>
        <w:rPr>
          <w:rFonts w:ascii="宋体" w:hAnsi="宋体"/>
          <w:color w:val="auto"/>
          <w:sz w:val="32"/>
          <w:szCs w:val="32"/>
          <w:highlight w:val="none"/>
        </w:rPr>
        <w:tab/>
      </w:r>
      <w:r>
        <w:rPr>
          <w:rFonts w:ascii="宋体" w:hAnsi="宋体"/>
          <w:color w:val="auto"/>
          <w:sz w:val="32"/>
          <w:szCs w:val="32"/>
          <w:highlight w:val="none"/>
        </w:rPr>
        <w:fldChar w:fldCharType="begin"/>
      </w:r>
      <w:r>
        <w:rPr>
          <w:rFonts w:ascii="宋体" w:hAnsi="宋体"/>
          <w:color w:val="auto"/>
          <w:sz w:val="32"/>
          <w:szCs w:val="32"/>
          <w:highlight w:val="none"/>
        </w:rPr>
        <w:instrText xml:space="preserve"> PAGEREF _Toc176861406 \h </w:instrText>
      </w:r>
      <w:r>
        <w:rPr>
          <w:rFonts w:ascii="宋体" w:hAnsi="宋体"/>
          <w:color w:val="auto"/>
          <w:sz w:val="32"/>
          <w:szCs w:val="32"/>
          <w:highlight w:val="none"/>
        </w:rPr>
        <w:fldChar w:fldCharType="separate"/>
      </w:r>
      <w:r>
        <w:rPr>
          <w:rFonts w:ascii="宋体" w:hAnsi="宋体"/>
          <w:color w:val="auto"/>
          <w:sz w:val="32"/>
          <w:szCs w:val="32"/>
          <w:highlight w:val="none"/>
        </w:rPr>
        <w:t>2</w:t>
      </w:r>
      <w:r>
        <w:rPr>
          <w:rFonts w:ascii="宋体" w:hAnsi="宋体"/>
          <w:color w:val="auto"/>
          <w:sz w:val="32"/>
          <w:szCs w:val="32"/>
          <w:highlight w:val="none"/>
        </w:rPr>
        <w:fldChar w:fldCharType="end"/>
      </w:r>
      <w:r>
        <w:rPr>
          <w:rFonts w:ascii="宋体" w:hAnsi="宋体"/>
          <w:color w:val="auto"/>
          <w:sz w:val="32"/>
          <w:szCs w:val="32"/>
          <w:highlight w:val="none"/>
        </w:rPr>
        <w:fldChar w:fldCharType="end"/>
      </w:r>
    </w:p>
    <w:p w14:paraId="53475A1E">
      <w:pPr>
        <w:pStyle w:val="29"/>
        <w:tabs>
          <w:tab w:val="right" w:leader="dot" w:pos="9288"/>
        </w:tabs>
        <w:spacing w:line="360" w:lineRule="auto"/>
        <w:rPr>
          <w:rFonts w:ascii="宋体" w:hAnsi="宋体"/>
          <w:color w:val="auto"/>
          <w:sz w:val="32"/>
          <w:szCs w:val="32"/>
          <w:highlight w:val="none"/>
        </w:rPr>
      </w:pPr>
      <w:r>
        <w:rPr>
          <w:color w:val="auto"/>
          <w:highlight w:val="none"/>
        </w:rPr>
        <w:fldChar w:fldCharType="begin"/>
      </w:r>
      <w:r>
        <w:rPr>
          <w:color w:val="auto"/>
          <w:highlight w:val="none"/>
        </w:rPr>
        <w:instrText xml:space="preserve"> HYPERLINK \l "_Toc176861407" </w:instrText>
      </w:r>
      <w:r>
        <w:rPr>
          <w:color w:val="auto"/>
          <w:highlight w:val="none"/>
        </w:rPr>
        <w:fldChar w:fldCharType="separate"/>
      </w:r>
      <w:r>
        <w:rPr>
          <w:rStyle w:val="43"/>
          <w:rFonts w:hint="eastAsia" w:ascii="宋体" w:hAnsi="宋体"/>
          <w:color w:val="auto"/>
          <w:sz w:val="32"/>
          <w:szCs w:val="32"/>
          <w:highlight w:val="none"/>
        </w:rPr>
        <w:t>第二章</w:t>
      </w:r>
      <w:r>
        <w:rPr>
          <w:rStyle w:val="43"/>
          <w:rFonts w:ascii="宋体" w:hAnsi="宋体"/>
          <w:color w:val="auto"/>
          <w:sz w:val="32"/>
          <w:szCs w:val="32"/>
          <w:highlight w:val="none"/>
        </w:rPr>
        <w:t xml:space="preserve">  </w:t>
      </w:r>
      <w:r>
        <w:rPr>
          <w:rStyle w:val="43"/>
          <w:rFonts w:hint="eastAsia" w:ascii="宋体" w:hAnsi="宋体"/>
          <w:color w:val="auto"/>
          <w:sz w:val="32"/>
          <w:szCs w:val="32"/>
          <w:highlight w:val="none"/>
        </w:rPr>
        <w:t>磋商供应商须知</w:t>
      </w:r>
      <w:r>
        <w:rPr>
          <w:rFonts w:ascii="宋体" w:hAnsi="宋体"/>
          <w:color w:val="auto"/>
          <w:sz w:val="32"/>
          <w:szCs w:val="32"/>
          <w:highlight w:val="none"/>
        </w:rPr>
        <w:tab/>
      </w:r>
      <w:r>
        <w:rPr>
          <w:rFonts w:ascii="宋体" w:hAnsi="宋体"/>
          <w:color w:val="auto"/>
          <w:sz w:val="32"/>
          <w:szCs w:val="32"/>
          <w:highlight w:val="none"/>
        </w:rPr>
        <w:fldChar w:fldCharType="begin"/>
      </w:r>
      <w:r>
        <w:rPr>
          <w:rFonts w:ascii="宋体" w:hAnsi="宋体"/>
          <w:color w:val="auto"/>
          <w:sz w:val="32"/>
          <w:szCs w:val="32"/>
          <w:highlight w:val="none"/>
        </w:rPr>
        <w:instrText xml:space="preserve"> PAGEREF _Toc176861407 \h </w:instrText>
      </w:r>
      <w:r>
        <w:rPr>
          <w:rFonts w:ascii="宋体" w:hAnsi="宋体"/>
          <w:color w:val="auto"/>
          <w:sz w:val="32"/>
          <w:szCs w:val="32"/>
          <w:highlight w:val="none"/>
        </w:rPr>
        <w:fldChar w:fldCharType="separate"/>
      </w:r>
      <w:r>
        <w:rPr>
          <w:rFonts w:ascii="宋体" w:hAnsi="宋体"/>
          <w:color w:val="auto"/>
          <w:sz w:val="32"/>
          <w:szCs w:val="32"/>
          <w:highlight w:val="none"/>
        </w:rPr>
        <w:t>7</w:t>
      </w:r>
      <w:r>
        <w:rPr>
          <w:rFonts w:ascii="宋体" w:hAnsi="宋体"/>
          <w:color w:val="auto"/>
          <w:sz w:val="32"/>
          <w:szCs w:val="32"/>
          <w:highlight w:val="none"/>
        </w:rPr>
        <w:fldChar w:fldCharType="end"/>
      </w:r>
      <w:r>
        <w:rPr>
          <w:rFonts w:ascii="宋体" w:hAnsi="宋体"/>
          <w:color w:val="auto"/>
          <w:sz w:val="32"/>
          <w:szCs w:val="32"/>
          <w:highlight w:val="none"/>
        </w:rPr>
        <w:fldChar w:fldCharType="end"/>
      </w:r>
    </w:p>
    <w:p w14:paraId="53475A1F">
      <w:pPr>
        <w:pStyle w:val="29"/>
        <w:tabs>
          <w:tab w:val="right" w:leader="dot" w:pos="9288"/>
        </w:tabs>
        <w:spacing w:line="360" w:lineRule="auto"/>
        <w:rPr>
          <w:rFonts w:ascii="宋体" w:hAnsi="宋体"/>
          <w:color w:val="auto"/>
          <w:sz w:val="32"/>
          <w:szCs w:val="32"/>
          <w:highlight w:val="none"/>
        </w:rPr>
      </w:pPr>
      <w:r>
        <w:rPr>
          <w:color w:val="auto"/>
          <w:highlight w:val="none"/>
        </w:rPr>
        <w:fldChar w:fldCharType="begin"/>
      </w:r>
      <w:r>
        <w:rPr>
          <w:color w:val="auto"/>
          <w:highlight w:val="none"/>
        </w:rPr>
        <w:instrText xml:space="preserve"> HYPERLINK \l "_Toc176861408" </w:instrText>
      </w:r>
      <w:r>
        <w:rPr>
          <w:color w:val="auto"/>
          <w:highlight w:val="none"/>
        </w:rPr>
        <w:fldChar w:fldCharType="separate"/>
      </w:r>
      <w:r>
        <w:rPr>
          <w:rStyle w:val="43"/>
          <w:rFonts w:hint="eastAsia" w:ascii="宋体" w:hAnsi="宋体"/>
          <w:color w:val="auto"/>
          <w:sz w:val="32"/>
          <w:szCs w:val="32"/>
          <w:highlight w:val="none"/>
        </w:rPr>
        <w:t>第三章</w:t>
      </w:r>
      <w:r>
        <w:rPr>
          <w:rStyle w:val="43"/>
          <w:rFonts w:ascii="宋体" w:hAnsi="宋体"/>
          <w:color w:val="auto"/>
          <w:sz w:val="32"/>
          <w:szCs w:val="32"/>
          <w:highlight w:val="none"/>
        </w:rPr>
        <w:t xml:space="preserve">  </w:t>
      </w:r>
      <w:r>
        <w:rPr>
          <w:rStyle w:val="43"/>
          <w:rFonts w:hint="eastAsia" w:ascii="宋体" w:hAnsi="宋体"/>
          <w:color w:val="auto"/>
          <w:sz w:val="32"/>
          <w:szCs w:val="32"/>
          <w:highlight w:val="none"/>
        </w:rPr>
        <w:t>竞争性磋商响应文件格式</w:t>
      </w:r>
      <w:r>
        <w:rPr>
          <w:rFonts w:ascii="宋体" w:hAnsi="宋体"/>
          <w:color w:val="auto"/>
          <w:sz w:val="32"/>
          <w:szCs w:val="32"/>
          <w:highlight w:val="none"/>
        </w:rPr>
        <w:tab/>
      </w:r>
      <w:r>
        <w:rPr>
          <w:rFonts w:ascii="宋体" w:hAnsi="宋体"/>
          <w:color w:val="auto"/>
          <w:sz w:val="32"/>
          <w:szCs w:val="32"/>
          <w:highlight w:val="none"/>
        </w:rPr>
        <w:fldChar w:fldCharType="begin"/>
      </w:r>
      <w:r>
        <w:rPr>
          <w:rFonts w:ascii="宋体" w:hAnsi="宋体"/>
          <w:color w:val="auto"/>
          <w:sz w:val="32"/>
          <w:szCs w:val="32"/>
          <w:highlight w:val="none"/>
        </w:rPr>
        <w:instrText xml:space="preserve"> PAGEREF _Toc176861408 \h </w:instrText>
      </w:r>
      <w:r>
        <w:rPr>
          <w:rFonts w:ascii="宋体" w:hAnsi="宋体"/>
          <w:color w:val="auto"/>
          <w:sz w:val="32"/>
          <w:szCs w:val="32"/>
          <w:highlight w:val="none"/>
        </w:rPr>
        <w:fldChar w:fldCharType="separate"/>
      </w:r>
      <w:r>
        <w:rPr>
          <w:rFonts w:ascii="宋体" w:hAnsi="宋体"/>
          <w:color w:val="auto"/>
          <w:sz w:val="32"/>
          <w:szCs w:val="32"/>
          <w:highlight w:val="none"/>
        </w:rPr>
        <w:t>32</w:t>
      </w:r>
      <w:r>
        <w:rPr>
          <w:rFonts w:ascii="宋体" w:hAnsi="宋体"/>
          <w:color w:val="auto"/>
          <w:sz w:val="32"/>
          <w:szCs w:val="32"/>
          <w:highlight w:val="none"/>
        </w:rPr>
        <w:fldChar w:fldCharType="end"/>
      </w:r>
      <w:r>
        <w:rPr>
          <w:rFonts w:ascii="宋体" w:hAnsi="宋体"/>
          <w:color w:val="auto"/>
          <w:sz w:val="32"/>
          <w:szCs w:val="32"/>
          <w:highlight w:val="none"/>
        </w:rPr>
        <w:fldChar w:fldCharType="end"/>
      </w:r>
    </w:p>
    <w:p w14:paraId="53475A20">
      <w:pPr>
        <w:pStyle w:val="29"/>
        <w:tabs>
          <w:tab w:val="right" w:leader="dot" w:pos="9288"/>
        </w:tabs>
        <w:spacing w:line="360" w:lineRule="auto"/>
        <w:rPr>
          <w:rFonts w:ascii="宋体" w:hAnsi="宋体"/>
          <w:color w:val="auto"/>
          <w:sz w:val="32"/>
          <w:szCs w:val="32"/>
          <w:highlight w:val="none"/>
        </w:rPr>
      </w:pPr>
      <w:r>
        <w:rPr>
          <w:color w:val="auto"/>
          <w:highlight w:val="none"/>
        </w:rPr>
        <w:fldChar w:fldCharType="begin"/>
      </w:r>
      <w:r>
        <w:rPr>
          <w:color w:val="auto"/>
          <w:highlight w:val="none"/>
        </w:rPr>
        <w:instrText xml:space="preserve"> HYPERLINK \l "_Toc176861409" </w:instrText>
      </w:r>
      <w:r>
        <w:rPr>
          <w:color w:val="auto"/>
          <w:highlight w:val="none"/>
        </w:rPr>
        <w:fldChar w:fldCharType="separate"/>
      </w:r>
      <w:r>
        <w:rPr>
          <w:rStyle w:val="43"/>
          <w:rFonts w:hint="eastAsia" w:ascii="宋体" w:hAnsi="宋体"/>
          <w:color w:val="auto"/>
          <w:sz w:val="32"/>
          <w:szCs w:val="32"/>
          <w:highlight w:val="none"/>
        </w:rPr>
        <w:t>第四章</w:t>
      </w:r>
      <w:r>
        <w:rPr>
          <w:rStyle w:val="43"/>
          <w:rFonts w:ascii="宋体" w:hAnsi="宋体"/>
          <w:color w:val="auto"/>
          <w:sz w:val="32"/>
          <w:szCs w:val="32"/>
          <w:highlight w:val="none"/>
        </w:rPr>
        <w:t xml:space="preserve">  </w:t>
      </w:r>
      <w:r>
        <w:rPr>
          <w:rStyle w:val="43"/>
          <w:rFonts w:hint="eastAsia" w:ascii="宋体" w:hAnsi="宋体"/>
          <w:color w:val="auto"/>
          <w:sz w:val="32"/>
          <w:szCs w:val="32"/>
          <w:highlight w:val="none"/>
        </w:rPr>
        <w:t>采购项目需求</w:t>
      </w:r>
      <w:r>
        <w:rPr>
          <w:rFonts w:ascii="宋体" w:hAnsi="宋体"/>
          <w:color w:val="auto"/>
          <w:sz w:val="32"/>
          <w:szCs w:val="32"/>
          <w:highlight w:val="none"/>
        </w:rPr>
        <w:tab/>
      </w:r>
      <w:r>
        <w:rPr>
          <w:rFonts w:ascii="宋体" w:hAnsi="宋体"/>
          <w:color w:val="auto"/>
          <w:sz w:val="32"/>
          <w:szCs w:val="32"/>
          <w:highlight w:val="none"/>
        </w:rPr>
        <w:fldChar w:fldCharType="begin"/>
      </w:r>
      <w:r>
        <w:rPr>
          <w:rFonts w:ascii="宋体" w:hAnsi="宋体"/>
          <w:color w:val="auto"/>
          <w:sz w:val="32"/>
          <w:szCs w:val="32"/>
          <w:highlight w:val="none"/>
        </w:rPr>
        <w:instrText xml:space="preserve"> PAGEREF _Toc176861409 \h </w:instrText>
      </w:r>
      <w:r>
        <w:rPr>
          <w:rFonts w:ascii="宋体" w:hAnsi="宋体"/>
          <w:color w:val="auto"/>
          <w:sz w:val="32"/>
          <w:szCs w:val="32"/>
          <w:highlight w:val="none"/>
        </w:rPr>
        <w:fldChar w:fldCharType="separate"/>
      </w:r>
      <w:r>
        <w:rPr>
          <w:rFonts w:ascii="宋体" w:hAnsi="宋体"/>
          <w:color w:val="auto"/>
          <w:sz w:val="32"/>
          <w:szCs w:val="32"/>
          <w:highlight w:val="none"/>
        </w:rPr>
        <w:t>64</w:t>
      </w:r>
      <w:r>
        <w:rPr>
          <w:rFonts w:ascii="宋体" w:hAnsi="宋体"/>
          <w:color w:val="auto"/>
          <w:sz w:val="32"/>
          <w:szCs w:val="32"/>
          <w:highlight w:val="none"/>
        </w:rPr>
        <w:fldChar w:fldCharType="end"/>
      </w:r>
      <w:r>
        <w:rPr>
          <w:rFonts w:ascii="宋体" w:hAnsi="宋体"/>
          <w:color w:val="auto"/>
          <w:sz w:val="32"/>
          <w:szCs w:val="32"/>
          <w:highlight w:val="none"/>
        </w:rPr>
        <w:fldChar w:fldCharType="end"/>
      </w:r>
    </w:p>
    <w:p w14:paraId="53475A21">
      <w:pPr>
        <w:pStyle w:val="29"/>
        <w:tabs>
          <w:tab w:val="right" w:leader="dot" w:pos="9288"/>
        </w:tabs>
        <w:spacing w:line="360" w:lineRule="auto"/>
        <w:rPr>
          <w:rFonts w:ascii="宋体" w:hAnsi="宋体"/>
          <w:color w:val="auto"/>
          <w:sz w:val="32"/>
          <w:szCs w:val="32"/>
          <w:highlight w:val="none"/>
        </w:rPr>
      </w:pPr>
      <w:r>
        <w:rPr>
          <w:color w:val="auto"/>
          <w:highlight w:val="none"/>
        </w:rPr>
        <w:fldChar w:fldCharType="begin"/>
      </w:r>
      <w:r>
        <w:rPr>
          <w:color w:val="auto"/>
          <w:highlight w:val="none"/>
        </w:rPr>
        <w:instrText xml:space="preserve"> HYPERLINK \l "_Toc176861410" </w:instrText>
      </w:r>
      <w:r>
        <w:rPr>
          <w:color w:val="auto"/>
          <w:highlight w:val="none"/>
        </w:rPr>
        <w:fldChar w:fldCharType="separate"/>
      </w:r>
      <w:r>
        <w:rPr>
          <w:rStyle w:val="43"/>
          <w:rFonts w:hint="eastAsia" w:ascii="宋体" w:hAnsi="宋体"/>
          <w:color w:val="auto"/>
          <w:sz w:val="32"/>
          <w:szCs w:val="32"/>
          <w:highlight w:val="none"/>
        </w:rPr>
        <w:t>第五章</w:t>
      </w:r>
      <w:r>
        <w:rPr>
          <w:rStyle w:val="43"/>
          <w:rFonts w:ascii="宋体" w:hAnsi="宋体"/>
          <w:color w:val="auto"/>
          <w:sz w:val="32"/>
          <w:szCs w:val="32"/>
          <w:highlight w:val="none"/>
        </w:rPr>
        <w:t xml:space="preserve">  </w:t>
      </w:r>
      <w:r>
        <w:rPr>
          <w:rStyle w:val="43"/>
          <w:rFonts w:hint="eastAsia" w:ascii="宋体" w:hAnsi="宋体"/>
          <w:color w:val="auto"/>
          <w:sz w:val="32"/>
          <w:szCs w:val="32"/>
          <w:highlight w:val="none"/>
        </w:rPr>
        <w:t>工程量清单及图纸</w:t>
      </w:r>
      <w:r>
        <w:rPr>
          <w:rFonts w:ascii="宋体" w:hAnsi="宋体"/>
          <w:color w:val="auto"/>
          <w:sz w:val="32"/>
          <w:szCs w:val="32"/>
          <w:highlight w:val="none"/>
        </w:rPr>
        <w:tab/>
      </w:r>
      <w:r>
        <w:rPr>
          <w:rFonts w:ascii="宋体" w:hAnsi="宋体"/>
          <w:color w:val="auto"/>
          <w:sz w:val="32"/>
          <w:szCs w:val="32"/>
          <w:highlight w:val="none"/>
        </w:rPr>
        <w:fldChar w:fldCharType="begin"/>
      </w:r>
      <w:r>
        <w:rPr>
          <w:rFonts w:ascii="宋体" w:hAnsi="宋体"/>
          <w:color w:val="auto"/>
          <w:sz w:val="32"/>
          <w:szCs w:val="32"/>
          <w:highlight w:val="none"/>
        </w:rPr>
        <w:instrText xml:space="preserve"> PAGEREF _Toc176861410 \h </w:instrText>
      </w:r>
      <w:r>
        <w:rPr>
          <w:rFonts w:ascii="宋体" w:hAnsi="宋体"/>
          <w:color w:val="auto"/>
          <w:sz w:val="32"/>
          <w:szCs w:val="32"/>
          <w:highlight w:val="none"/>
        </w:rPr>
        <w:fldChar w:fldCharType="separate"/>
      </w:r>
      <w:r>
        <w:rPr>
          <w:rFonts w:ascii="宋体" w:hAnsi="宋体"/>
          <w:color w:val="auto"/>
          <w:sz w:val="32"/>
          <w:szCs w:val="32"/>
          <w:highlight w:val="none"/>
        </w:rPr>
        <w:t>67</w:t>
      </w:r>
      <w:r>
        <w:rPr>
          <w:rFonts w:ascii="宋体" w:hAnsi="宋体"/>
          <w:color w:val="auto"/>
          <w:sz w:val="32"/>
          <w:szCs w:val="32"/>
          <w:highlight w:val="none"/>
        </w:rPr>
        <w:fldChar w:fldCharType="end"/>
      </w:r>
      <w:r>
        <w:rPr>
          <w:rFonts w:ascii="宋体" w:hAnsi="宋体"/>
          <w:color w:val="auto"/>
          <w:sz w:val="32"/>
          <w:szCs w:val="32"/>
          <w:highlight w:val="none"/>
        </w:rPr>
        <w:fldChar w:fldCharType="end"/>
      </w:r>
    </w:p>
    <w:p w14:paraId="53475A22">
      <w:pPr>
        <w:pStyle w:val="29"/>
        <w:tabs>
          <w:tab w:val="right" w:leader="dot" w:pos="9288"/>
        </w:tabs>
        <w:spacing w:line="360" w:lineRule="auto"/>
        <w:rPr>
          <w:rFonts w:ascii="宋体" w:hAnsi="宋体"/>
          <w:color w:val="auto"/>
          <w:sz w:val="32"/>
          <w:szCs w:val="32"/>
          <w:highlight w:val="none"/>
        </w:rPr>
      </w:pPr>
      <w:r>
        <w:rPr>
          <w:color w:val="auto"/>
          <w:highlight w:val="none"/>
        </w:rPr>
        <w:fldChar w:fldCharType="begin"/>
      </w:r>
      <w:r>
        <w:rPr>
          <w:color w:val="auto"/>
          <w:highlight w:val="none"/>
        </w:rPr>
        <w:instrText xml:space="preserve"> HYPERLINK \l "_Toc176861411" </w:instrText>
      </w:r>
      <w:r>
        <w:rPr>
          <w:color w:val="auto"/>
          <w:highlight w:val="none"/>
        </w:rPr>
        <w:fldChar w:fldCharType="separate"/>
      </w:r>
      <w:r>
        <w:rPr>
          <w:rStyle w:val="43"/>
          <w:rFonts w:hint="eastAsia" w:ascii="宋体" w:hAnsi="宋体"/>
          <w:color w:val="auto"/>
          <w:kern w:val="0"/>
          <w:sz w:val="32"/>
          <w:szCs w:val="32"/>
          <w:highlight w:val="none"/>
        </w:rPr>
        <w:t>第六章</w:t>
      </w:r>
      <w:r>
        <w:rPr>
          <w:rStyle w:val="43"/>
          <w:rFonts w:ascii="宋体" w:hAnsi="宋体"/>
          <w:color w:val="auto"/>
          <w:kern w:val="0"/>
          <w:sz w:val="32"/>
          <w:szCs w:val="32"/>
          <w:highlight w:val="none"/>
        </w:rPr>
        <w:t xml:space="preserve">  </w:t>
      </w:r>
      <w:r>
        <w:rPr>
          <w:rStyle w:val="43"/>
          <w:rFonts w:hint="eastAsia" w:ascii="宋体" w:hAnsi="宋体"/>
          <w:color w:val="auto"/>
          <w:kern w:val="0"/>
          <w:sz w:val="32"/>
          <w:szCs w:val="32"/>
          <w:highlight w:val="none"/>
        </w:rPr>
        <w:t>合同格式</w:t>
      </w:r>
      <w:r>
        <w:rPr>
          <w:rFonts w:ascii="宋体" w:hAnsi="宋体"/>
          <w:color w:val="auto"/>
          <w:sz w:val="32"/>
          <w:szCs w:val="32"/>
          <w:highlight w:val="none"/>
        </w:rPr>
        <w:tab/>
      </w:r>
      <w:r>
        <w:rPr>
          <w:rFonts w:ascii="宋体" w:hAnsi="宋体"/>
          <w:color w:val="auto"/>
          <w:sz w:val="32"/>
          <w:szCs w:val="32"/>
          <w:highlight w:val="none"/>
        </w:rPr>
        <w:fldChar w:fldCharType="begin"/>
      </w:r>
      <w:r>
        <w:rPr>
          <w:rFonts w:ascii="宋体" w:hAnsi="宋体"/>
          <w:color w:val="auto"/>
          <w:sz w:val="32"/>
          <w:szCs w:val="32"/>
          <w:highlight w:val="none"/>
        </w:rPr>
        <w:instrText xml:space="preserve"> PAGEREF _Toc176861411 \h </w:instrText>
      </w:r>
      <w:r>
        <w:rPr>
          <w:rFonts w:ascii="宋体" w:hAnsi="宋体"/>
          <w:color w:val="auto"/>
          <w:sz w:val="32"/>
          <w:szCs w:val="32"/>
          <w:highlight w:val="none"/>
        </w:rPr>
        <w:fldChar w:fldCharType="separate"/>
      </w:r>
      <w:r>
        <w:rPr>
          <w:rFonts w:ascii="宋体" w:hAnsi="宋体"/>
          <w:color w:val="auto"/>
          <w:sz w:val="32"/>
          <w:szCs w:val="32"/>
          <w:highlight w:val="none"/>
        </w:rPr>
        <w:t>68</w:t>
      </w:r>
      <w:r>
        <w:rPr>
          <w:rFonts w:ascii="宋体" w:hAnsi="宋体"/>
          <w:color w:val="auto"/>
          <w:sz w:val="32"/>
          <w:szCs w:val="32"/>
          <w:highlight w:val="none"/>
        </w:rPr>
        <w:fldChar w:fldCharType="end"/>
      </w:r>
      <w:r>
        <w:rPr>
          <w:rFonts w:ascii="宋体" w:hAnsi="宋体"/>
          <w:color w:val="auto"/>
          <w:sz w:val="32"/>
          <w:szCs w:val="32"/>
          <w:highlight w:val="none"/>
        </w:rPr>
        <w:fldChar w:fldCharType="end"/>
      </w:r>
    </w:p>
    <w:p w14:paraId="53475A23">
      <w:pPr>
        <w:pStyle w:val="29"/>
        <w:tabs>
          <w:tab w:val="right" w:leader="dot" w:pos="9288"/>
        </w:tabs>
        <w:spacing w:line="360" w:lineRule="auto"/>
        <w:rPr>
          <w:rFonts w:ascii="宋体" w:hAnsi="宋体"/>
          <w:color w:val="auto"/>
          <w:sz w:val="32"/>
          <w:szCs w:val="32"/>
          <w:highlight w:val="none"/>
        </w:rPr>
      </w:pPr>
      <w:r>
        <w:rPr>
          <w:color w:val="auto"/>
          <w:highlight w:val="none"/>
        </w:rPr>
        <w:fldChar w:fldCharType="begin"/>
      </w:r>
      <w:r>
        <w:rPr>
          <w:color w:val="auto"/>
          <w:highlight w:val="none"/>
        </w:rPr>
        <w:instrText xml:space="preserve"> HYPERLINK \l "_Toc176861412" </w:instrText>
      </w:r>
      <w:r>
        <w:rPr>
          <w:color w:val="auto"/>
          <w:highlight w:val="none"/>
        </w:rPr>
        <w:fldChar w:fldCharType="separate"/>
      </w:r>
      <w:r>
        <w:rPr>
          <w:rStyle w:val="43"/>
          <w:rFonts w:hint="eastAsia" w:ascii="宋体" w:hAnsi="宋体"/>
          <w:color w:val="auto"/>
          <w:kern w:val="0"/>
          <w:sz w:val="32"/>
          <w:szCs w:val="32"/>
          <w:highlight w:val="none"/>
        </w:rPr>
        <w:t>第七章</w:t>
      </w:r>
      <w:r>
        <w:rPr>
          <w:rStyle w:val="43"/>
          <w:rFonts w:ascii="宋体" w:hAnsi="宋体"/>
          <w:color w:val="auto"/>
          <w:kern w:val="0"/>
          <w:sz w:val="32"/>
          <w:szCs w:val="32"/>
          <w:highlight w:val="none"/>
        </w:rPr>
        <w:t xml:space="preserve">  </w:t>
      </w:r>
      <w:r>
        <w:rPr>
          <w:rStyle w:val="43"/>
          <w:rFonts w:hint="eastAsia" w:ascii="宋体" w:hAnsi="宋体"/>
          <w:color w:val="auto"/>
          <w:kern w:val="0"/>
          <w:sz w:val="32"/>
          <w:szCs w:val="32"/>
          <w:highlight w:val="none"/>
        </w:rPr>
        <w:t>评定标准</w:t>
      </w:r>
      <w:r>
        <w:rPr>
          <w:rFonts w:ascii="宋体" w:hAnsi="宋体"/>
          <w:color w:val="auto"/>
          <w:sz w:val="32"/>
          <w:szCs w:val="32"/>
          <w:highlight w:val="none"/>
        </w:rPr>
        <w:tab/>
      </w:r>
      <w:r>
        <w:rPr>
          <w:rFonts w:ascii="宋体" w:hAnsi="宋体"/>
          <w:color w:val="auto"/>
          <w:sz w:val="32"/>
          <w:szCs w:val="32"/>
          <w:highlight w:val="none"/>
        </w:rPr>
        <w:fldChar w:fldCharType="begin"/>
      </w:r>
      <w:r>
        <w:rPr>
          <w:rFonts w:ascii="宋体" w:hAnsi="宋体"/>
          <w:color w:val="auto"/>
          <w:sz w:val="32"/>
          <w:szCs w:val="32"/>
          <w:highlight w:val="none"/>
        </w:rPr>
        <w:instrText xml:space="preserve"> PAGEREF _Toc176861412 \h </w:instrText>
      </w:r>
      <w:r>
        <w:rPr>
          <w:rFonts w:ascii="宋体" w:hAnsi="宋体"/>
          <w:color w:val="auto"/>
          <w:sz w:val="32"/>
          <w:szCs w:val="32"/>
          <w:highlight w:val="none"/>
        </w:rPr>
        <w:fldChar w:fldCharType="separate"/>
      </w:r>
      <w:r>
        <w:rPr>
          <w:rFonts w:ascii="宋体" w:hAnsi="宋体"/>
          <w:color w:val="auto"/>
          <w:sz w:val="32"/>
          <w:szCs w:val="32"/>
          <w:highlight w:val="none"/>
        </w:rPr>
        <w:t>95</w:t>
      </w:r>
      <w:r>
        <w:rPr>
          <w:rFonts w:ascii="宋体" w:hAnsi="宋体"/>
          <w:color w:val="auto"/>
          <w:sz w:val="32"/>
          <w:szCs w:val="32"/>
          <w:highlight w:val="none"/>
        </w:rPr>
        <w:fldChar w:fldCharType="end"/>
      </w:r>
      <w:r>
        <w:rPr>
          <w:rFonts w:ascii="宋体" w:hAnsi="宋体"/>
          <w:color w:val="auto"/>
          <w:sz w:val="32"/>
          <w:szCs w:val="32"/>
          <w:highlight w:val="none"/>
        </w:rPr>
        <w:fldChar w:fldCharType="end"/>
      </w:r>
    </w:p>
    <w:p w14:paraId="53475A24">
      <w:pPr>
        <w:spacing w:line="360" w:lineRule="auto"/>
        <w:jc w:val="center"/>
        <w:rPr>
          <w:rFonts w:ascii="仿宋_GB2312" w:hAnsi="宋体" w:eastAsia="仿宋_GB2312"/>
          <w:b/>
          <w:color w:val="auto"/>
          <w:sz w:val="32"/>
          <w:szCs w:val="32"/>
          <w:highlight w:val="none"/>
        </w:rPr>
      </w:pPr>
      <w:r>
        <w:rPr>
          <w:rFonts w:ascii="宋体" w:hAnsi="宋体" w:cs="Courier New"/>
          <w:bCs/>
          <w:color w:val="auto"/>
          <w:spacing w:val="4"/>
          <w:sz w:val="32"/>
          <w:szCs w:val="32"/>
          <w:highlight w:val="none"/>
        </w:rPr>
        <w:fldChar w:fldCharType="end"/>
      </w:r>
    </w:p>
    <w:p w14:paraId="53475A25">
      <w:pPr>
        <w:spacing w:line="400" w:lineRule="exact"/>
        <w:jc w:val="center"/>
        <w:rPr>
          <w:rFonts w:ascii="仿宋_GB2312" w:hAnsi="宋体" w:eastAsia="仿宋_GB2312"/>
          <w:b/>
          <w:color w:val="auto"/>
          <w:sz w:val="32"/>
          <w:szCs w:val="32"/>
          <w:highlight w:val="none"/>
        </w:rPr>
      </w:pPr>
    </w:p>
    <w:p w14:paraId="53475A26">
      <w:pPr>
        <w:spacing w:line="400" w:lineRule="exact"/>
        <w:jc w:val="center"/>
        <w:rPr>
          <w:rFonts w:ascii="仿宋_GB2312" w:hAnsi="宋体" w:eastAsia="仿宋_GB2312"/>
          <w:b/>
          <w:color w:val="auto"/>
          <w:sz w:val="32"/>
          <w:szCs w:val="32"/>
          <w:highlight w:val="none"/>
        </w:rPr>
      </w:pPr>
    </w:p>
    <w:p w14:paraId="53475A27">
      <w:pPr>
        <w:spacing w:line="400" w:lineRule="exact"/>
        <w:jc w:val="center"/>
        <w:rPr>
          <w:rFonts w:ascii="仿宋_GB2312" w:hAnsi="宋体" w:eastAsia="仿宋_GB2312"/>
          <w:b/>
          <w:color w:val="auto"/>
          <w:sz w:val="32"/>
          <w:szCs w:val="32"/>
          <w:highlight w:val="none"/>
        </w:rPr>
      </w:pPr>
    </w:p>
    <w:p w14:paraId="53475A28">
      <w:pPr>
        <w:spacing w:line="400" w:lineRule="exact"/>
        <w:jc w:val="center"/>
        <w:rPr>
          <w:rFonts w:ascii="仿宋_GB2312" w:hAnsi="宋体" w:eastAsia="仿宋_GB2312"/>
          <w:b/>
          <w:color w:val="auto"/>
          <w:sz w:val="32"/>
          <w:szCs w:val="32"/>
          <w:highlight w:val="none"/>
        </w:rPr>
      </w:pPr>
    </w:p>
    <w:p w14:paraId="53475A29">
      <w:pPr>
        <w:spacing w:line="400" w:lineRule="exact"/>
        <w:jc w:val="center"/>
        <w:rPr>
          <w:rFonts w:ascii="仿宋_GB2312" w:hAnsi="宋体" w:eastAsia="仿宋_GB2312"/>
          <w:b/>
          <w:color w:val="auto"/>
          <w:sz w:val="32"/>
          <w:szCs w:val="32"/>
          <w:highlight w:val="none"/>
        </w:rPr>
      </w:pPr>
    </w:p>
    <w:p w14:paraId="53475A2A">
      <w:pPr>
        <w:spacing w:line="400" w:lineRule="exact"/>
        <w:jc w:val="center"/>
        <w:rPr>
          <w:rFonts w:ascii="仿宋_GB2312" w:hAnsi="宋体" w:eastAsia="仿宋_GB2312"/>
          <w:b/>
          <w:color w:val="auto"/>
          <w:sz w:val="32"/>
          <w:szCs w:val="32"/>
          <w:highlight w:val="none"/>
        </w:rPr>
      </w:pPr>
    </w:p>
    <w:p w14:paraId="53475A2B">
      <w:pPr>
        <w:spacing w:line="400" w:lineRule="exact"/>
        <w:jc w:val="center"/>
        <w:rPr>
          <w:rFonts w:ascii="仿宋_GB2312" w:hAnsi="宋体" w:eastAsia="仿宋_GB2312"/>
          <w:b/>
          <w:color w:val="auto"/>
          <w:sz w:val="32"/>
          <w:szCs w:val="32"/>
          <w:highlight w:val="none"/>
        </w:rPr>
      </w:pPr>
    </w:p>
    <w:p w14:paraId="53475A2C">
      <w:pPr>
        <w:spacing w:line="400" w:lineRule="exact"/>
        <w:jc w:val="center"/>
        <w:rPr>
          <w:rFonts w:ascii="仿宋_GB2312" w:hAnsi="宋体" w:eastAsia="仿宋_GB2312"/>
          <w:b/>
          <w:color w:val="auto"/>
          <w:sz w:val="32"/>
          <w:szCs w:val="32"/>
          <w:highlight w:val="none"/>
        </w:rPr>
      </w:pPr>
    </w:p>
    <w:p w14:paraId="53475A2D">
      <w:pPr>
        <w:spacing w:line="400" w:lineRule="exact"/>
        <w:jc w:val="center"/>
        <w:rPr>
          <w:rFonts w:ascii="仿宋_GB2312" w:hAnsi="宋体" w:eastAsia="仿宋_GB2312"/>
          <w:b/>
          <w:color w:val="auto"/>
          <w:sz w:val="32"/>
          <w:szCs w:val="32"/>
          <w:highlight w:val="none"/>
        </w:rPr>
      </w:pPr>
    </w:p>
    <w:p w14:paraId="53475A2E">
      <w:pPr>
        <w:spacing w:line="400" w:lineRule="exact"/>
        <w:rPr>
          <w:rFonts w:ascii="仿宋_GB2312" w:hAnsi="宋体" w:eastAsia="仿宋_GB2312"/>
          <w:b/>
          <w:color w:val="auto"/>
          <w:sz w:val="32"/>
          <w:szCs w:val="32"/>
          <w:highlight w:val="none"/>
        </w:rPr>
      </w:pPr>
    </w:p>
    <w:p w14:paraId="53475A2F">
      <w:pPr>
        <w:spacing w:line="400" w:lineRule="exact"/>
        <w:rPr>
          <w:rFonts w:ascii="仿宋_GB2312" w:hAnsi="宋体" w:eastAsia="仿宋_GB2312"/>
          <w:b/>
          <w:color w:val="auto"/>
          <w:sz w:val="32"/>
          <w:szCs w:val="32"/>
          <w:highlight w:val="none"/>
        </w:rPr>
        <w:sectPr>
          <w:headerReference r:id="rId5" w:type="default"/>
          <w:footerReference r:id="rId6" w:type="default"/>
          <w:pgSz w:w="11906" w:h="16838"/>
          <w:pgMar w:top="1474" w:right="1304" w:bottom="1134" w:left="1304" w:header="851" w:footer="992" w:gutter="0"/>
          <w:pgNumType w:start="1"/>
          <w:cols w:space="720" w:num="1"/>
          <w:docGrid w:type="lines" w:linePitch="312" w:charSpace="0"/>
        </w:sectPr>
      </w:pPr>
    </w:p>
    <w:p w14:paraId="53475A30">
      <w:pPr>
        <w:pStyle w:val="4"/>
        <w:rPr>
          <w:color w:val="auto"/>
          <w:highlight w:val="none"/>
        </w:rPr>
      </w:pPr>
    </w:p>
    <w:p w14:paraId="53475A31">
      <w:pPr>
        <w:spacing w:line="400" w:lineRule="exact"/>
        <w:rPr>
          <w:rFonts w:ascii="仿宋_GB2312" w:hAnsi="宋体" w:eastAsia="仿宋_GB2312"/>
          <w:b/>
          <w:color w:val="auto"/>
          <w:sz w:val="32"/>
          <w:szCs w:val="32"/>
          <w:highlight w:val="none"/>
        </w:rPr>
      </w:pPr>
    </w:p>
    <w:p w14:paraId="53475A32">
      <w:pPr>
        <w:spacing w:line="400" w:lineRule="exact"/>
        <w:rPr>
          <w:rFonts w:ascii="仿宋_GB2312" w:hAnsi="宋体" w:eastAsia="仿宋_GB2312"/>
          <w:b/>
          <w:color w:val="auto"/>
          <w:sz w:val="32"/>
          <w:szCs w:val="32"/>
          <w:highlight w:val="none"/>
        </w:rPr>
      </w:pPr>
    </w:p>
    <w:p w14:paraId="53475A33">
      <w:pPr>
        <w:spacing w:line="400" w:lineRule="exact"/>
        <w:rPr>
          <w:rFonts w:ascii="仿宋_GB2312" w:hAnsi="宋体" w:eastAsia="仿宋_GB2312"/>
          <w:b/>
          <w:color w:val="auto"/>
          <w:sz w:val="32"/>
          <w:szCs w:val="32"/>
          <w:highlight w:val="none"/>
        </w:rPr>
      </w:pPr>
    </w:p>
    <w:p w14:paraId="53475A34">
      <w:pPr>
        <w:spacing w:line="400" w:lineRule="exact"/>
        <w:rPr>
          <w:rFonts w:ascii="仿宋_GB2312" w:hAnsi="宋体" w:eastAsia="仿宋_GB2312"/>
          <w:b/>
          <w:color w:val="auto"/>
          <w:sz w:val="32"/>
          <w:szCs w:val="32"/>
          <w:highlight w:val="none"/>
        </w:rPr>
      </w:pPr>
    </w:p>
    <w:p w14:paraId="53475A35">
      <w:pPr>
        <w:spacing w:line="400" w:lineRule="exact"/>
        <w:jc w:val="center"/>
        <w:rPr>
          <w:rFonts w:ascii="黑体" w:hAnsi="宋体" w:eastAsia="黑体"/>
          <w:b/>
          <w:color w:val="auto"/>
          <w:sz w:val="32"/>
          <w:szCs w:val="32"/>
          <w:highlight w:val="none"/>
        </w:rPr>
      </w:pPr>
    </w:p>
    <w:p w14:paraId="53475A36">
      <w:pPr>
        <w:spacing w:line="400" w:lineRule="exact"/>
        <w:jc w:val="center"/>
        <w:rPr>
          <w:rFonts w:ascii="黑体" w:hAnsi="宋体" w:eastAsia="黑体"/>
          <w:b/>
          <w:color w:val="auto"/>
          <w:sz w:val="32"/>
          <w:szCs w:val="32"/>
          <w:highlight w:val="none"/>
        </w:rPr>
      </w:pPr>
    </w:p>
    <w:p w14:paraId="53475A37">
      <w:pPr>
        <w:spacing w:line="400" w:lineRule="exact"/>
        <w:jc w:val="center"/>
        <w:rPr>
          <w:rFonts w:ascii="黑体" w:hAnsi="宋体" w:eastAsia="黑体"/>
          <w:b/>
          <w:color w:val="auto"/>
          <w:sz w:val="32"/>
          <w:szCs w:val="32"/>
          <w:highlight w:val="none"/>
        </w:rPr>
      </w:pPr>
    </w:p>
    <w:p w14:paraId="53475A38">
      <w:pPr>
        <w:spacing w:line="400" w:lineRule="exact"/>
        <w:jc w:val="center"/>
        <w:rPr>
          <w:rFonts w:ascii="黑体" w:hAnsi="宋体" w:eastAsia="黑体"/>
          <w:b/>
          <w:color w:val="auto"/>
          <w:sz w:val="32"/>
          <w:szCs w:val="32"/>
          <w:highlight w:val="none"/>
        </w:rPr>
      </w:pPr>
    </w:p>
    <w:p w14:paraId="53475A39">
      <w:pPr>
        <w:pStyle w:val="4"/>
        <w:rPr>
          <w:color w:val="auto"/>
          <w:highlight w:val="none"/>
        </w:rPr>
      </w:pPr>
    </w:p>
    <w:p w14:paraId="53475A3A">
      <w:pPr>
        <w:spacing w:line="400" w:lineRule="exact"/>
        <w:jc w:val="center"/>
        <w:rPr>
          <w:rFonts w:ascii="黑体" w:hAnsi="宋体" w:eastAsia="黑体"/>
          <w:b/>
          <w:color w:val="auto"/>
          <w:sz w:val="32"/>
          <w:szCs w:val="32"/>
          <w:highlight w:val="none"/>
        </w:rPr>
      </w:pPr>
    </w:p>
    <w:p w14:paraId="53475A3B">
      <w:pPr>
        <w:spacing w:line="400" w:lineRule="exact"/>
        <w:jc w:val="center"/>
        <w:rPr>
          <w:rFonts w:ascii="黑体" w:hAnsi="宋体" w:eastAsia="黑体"/>
          <w:b/>
          <w:color w:val="auto"/>
          <w:sz w:val="32"/>
          <w:szCs w:val="32"/>
          <w:highlight w:val="none"/>
        </w:rPr>
      </w:pPr>
    </w:p>
    <w:p w14:paraId="53475A3C">
      <w:pPr>
        <w:spacing w:line="400" w:lineRule="exact"/>
        <w:jc w:val="center"/>
        <w:rPr>
          <w:rFonts w:ascii="黑体" w:hAnsi="宋体" w:eastAsia="黑体"/>
          <w:b/>
          <w:color w:val="auto"/>
          <w:sz w:val="32"/>
          <w:szCs w:val="32"/>
          <w:highlight w:val="none"/>
        </w:rPr>
      </w:pPr>
    </w:p>
    <w:p w14:paraId="53475A3D">
      <w:pPr>
        <w:spacing w:line="600" w:lineRule="exact"/>
        <w:jc w:val="center"/>
        <w:outlineLvl w:val="0"/>
        <w:rPr>
          <w:rFonts w:ascii="宋体" w:hAnsi="宋体"/>
          <w:b/>
          <w:color w:val="auto"/>
          <w:sz w:val="44"/>
          <w:szCs w:val="44"/>
          <w:highlight w:val="none"/>
        </w:rPr>
      </w:pPr>
      <w:bookmarkStart w:id="0" w:name="_Toc3994503"/>
      <w:bookmarkStart w:id="1" w:name="_Toc23639"/>
      <w:bookmarkStart w:id="2" w:name="_Toc176861406"/>
      <w:r>
        <w:rPr>
          <w:rFonts w:hint="eastAsia" w:ascii="宋体" w:hAnsi="宋体"/>
          <w:b/>
          <w:color w:val="auto"/>
          <w:sz w:val="44"/>
          <w:szCs w:val="44"/>
          <w:highlight w:val="none"/>
        </w:rPr>
        <w:t>第一章  竞争性磋商公告</w:t>
      </w:r>
      <w:bookmarkEnd w:id="0"/>
      <w:bookmarkEnd w:id="1"/>
      <w:bookmarkEnd w:id="2"/>
    </w:p>
    <w:p w14:paraId="53475A3E">
      <w:pPr>
        <w:spacing w:line="400" w:lineRule="exact"/>
        <w:jc w:val="center"/>
        <w:rPr>
          <w:rFonts w:ascii="黑体" w:hAnsi="宋体" w:eastAsia="黑体"/>
          <w:b/>
          <w:color w:val="auto"/>
          <w:sz w:val="32"/>
          <w:szCs w:val="32"/>
          <w:highlight w:val="none"/>
        </w:rPr>
      </w:pPr>
    </w:p>
    <w:p w14:paraId="53475A3F">
      <w:pPr>
        <w:spacing w:line="400" w:lineRule="exact"/>
        <w:jc w:val="center"/>
        <w:rPr>
          <w:rFonts w:ascii="黑体" w:hAnsi="宋体" w:eastAsia="黑体"/>
          <w:b/>
          <w:color w:val="auto"/>
          <w:sz w:val="32"/>
          <w:szCs w:val="32"/>
          <w:highlight w:val="none"/>
        </w:rPr>
      </w:pPr>
    </w:p>
    <w:p w14:paraId="53475A40">
      <w:pPr>
        <w:spacing w:line="400" w:lineRule="exact"/>
        <w:jc w:val="center"/>
        <w:rPr>
          <w:rFonts w:ascii="黑体" w:hAnsi="宋体" w:eastAsia="黑体"/>
          <w:b/>
          <w:color w:val="auto"/>
          <w:sz w:val="32"/>
          <w:szCs w:val="32"/>
          <w:highlight w:val="none"/>
        </w:rPr>
      </w:pPr>
    </w:p>
    <w:p w14:paraId="53475A41">
      <w:pPr>
        <w:spacing w:line="400" w:lineRule="exact"/>
        <w:jc w:val="center"/>
        <w:rPr>
          <w:rFonts w:ascii="黑体" w:hAnsi="宋体" w:eastAsia="黑体"/>
          <w:b/>
          <w:color w:val="auto"/>
          <w:sz w:val="32"/>
          <w:szCs w:val="32"/>
          <w:highlight w:val="none"/>
        </w:rPr>
      </w:pPr>
    </w:p>
    <w:p w14:paraId="53475A42">
      <w:pPr>
        <w:spacing w:line="400" w:lineRule="exact"/>
        <w:jc w:val="center"/>
        <w:rPr>
          <w:rFonts w:ascii="黑体" w:hAnsi="宋体" w:eastAsia="黑体"/>
          <w:b/>
          <w:color w:val="auto"/>
          <w:sz w:val="32"/>
          <w:szCs w:val="32"/>
          <w:highlight w:val="none"/>
        </w:rPr>
      </w:pPr>
    </w:p>
    <w:p w14:paraId="53475A43">
      <w:pPr>
        <w:spacing w:line="400" w:lineRule="exact"/>
        <w:jc w:val="center"/>
        <w:rPr>
          <w:rFonts w:ascii="黑体" w:hAnsi="宋体" w:eastAsia="黑体"/>
          <w:b/>
          <w:color w:val="auto"/>
          <w:sz w:val="32"/>
          <w:szCs w:val="32"/>
          <w:highlight w:val="none"/>
        </w:rPr>
      </w:pPr>
    </w:p>
    <w:p w14:paraId="53475A44">
      <w:pPr>
        <w:spacing w:line="400" w:lineRule="exact"/>
        <w:jc w:val="center"/>
        <w:rPr>
          <w:rFonts w:ascii="黑体" w:hAnsi="宋体" w:eastAsia="黑体"/>
          <w:b/>
          <w:color w:val="auto"/>
          <w:sz w:val="32"/>
          <w:szCs w:val="32"/>
          <w:highlight w:val="none"/>
        </w:rPr>
      </w:pPr>
    </w:p>
    <w:p w14:paraId="53475A45">
      <w:pPr>
        <w:spacing w:line="400" w:lineRule="exact"/>
        <w:jc w:val="center"/>
        <w:rPr>
          <w:rFonts w:ascii="黑体" w:hAnsi="宋体" w:eastAsia="黑体"/>
          <w:b/>
          <w:color w:val="auto"/>
          <w:sz w:val="32"/>
          <w:szCs w:val="32"/>
          <w:highlight w:val="none"/>
        </w:rPr>
      </w:pPr>
    </w:p>
    <w:p w14:paraId="53475A46">
      <w:pPr>
        <w:spacing w:line="400" w:lineRule="exact"/>
        <w:jc w:val="center"/>
        <w:rPr>
          <w:rFonts w:ascii="黑体" w:hAnsi="宋体" w:eastAsia="黑体"/>
          <w:b/>
          <w:color w:val="auto"/>
          <w:sz w:val="32"/>
          <w:szCs w:val="32"/>
          <w:highlight w:val="none"/>
        </w:rPr>
      </w:pPr>
    </w:p>
    <w:p w14:paraId="53475A47">
      <w:pPr>
        <w:spacing w:line="400" w:lineRule="exact"/>
        <w:jc w:val="center"/>
        <w:rPr>
          <w:rFonts w:ascii="黑体" w:hAnsi="宋体" w:eastAsia="黑体"/>
          <w:b/>
          <w:color w:val="auto"/>
          <w:sz w:val="32"/>
          <w:szCs w:val="32"/>
          <w:highlight w:val="none"/>
        </w:rPr>
      </w:pPr>
    </w:p>
    <w:p w14:paraId="53475A48">
      <w:pPr>
        <w:spacing w:line="400" w:lineRule="exact"/>
        <w:jc w:val="center"/>
        <w:rPr>
          <w:rFonts w:ascii="黑体" w:hAnsi="宋体" w:eastAsia="黑体"/>
          <w:b/>
          <w:color w:val="auto"/>
          <w:sz w:val="32"/>
          <w:szCs w:val="32"/>
          <w:highlight w:val="none"/>
        </w:rPr>
      </w:pPr>
    </w:p>
    <w:p w14:paraId="53475A49">
      <w:pPr>
        <w:spacing w:line="400" w:lineRule="exact"/>
        <w:jc w:val="center"/>
        <w:rPr>
          <w:rFonts w:ascii="黑体" w:hAnsi="宋体" w:eastAsia="黑体"/>
          <w:b/>
          <w:color w:val="auto"/>
          <w:sz w:val="32"/>
          <w:szCs w:val="32"/>
          <w:highlight w:val="none"/>
        </w:rPr>
      </w:pPr>
    </w:p>
    <w:p w14:paraId="53475A4A">
      <w:pPr>
        <w:spacing w:line="400" w:lineRule="exact"/>
        <w:rPr>
          <w:rFonts w:ascii="黑体" w:hAnsi="宋体" w:eastAsia="黑体"/>
          <w:b/>
          <w:color w:val="auto"/>
          <w:sz w:val="32"/>
          <w:szCs w:val="32"/>
          <w:highlight w:val="none"/>
        </w:rPr>
      </w:pPr>
    </w:p>
    <w:p w14:paraId="53475A4B">
      <w:pPr>
        <w:tabs>
          <w:tab w:val="left" w:pos="9639"/>
          <w:tab w:val="left" w:pos="9746"/>
        </w:tabs>
        <w:adjustRightInd w:val="0"/>
        <w:snapToGrid w:val="0"/>
        <w:spacing w:line="360" w:lineRule="auto"/>
        <w:jc w:val="center"/>
        <w:rPr>
          <w:rFonts w:hAnsi="宋体" w:cs="宋体"/>
          <w:bCs/>
          <w:color w:val="auto"/>
          <w:kern w:val="0"/>
          <w:szCs w:val="21"/>
          <w:highlight w:val="none"/>
        </w:rPr>
      </w:pPr>
      <w:r>
        <w:rPr>
          <w:rFonts w:hAnsi="宋体" w:cs="宋体"/>
          <w:bCs/>
          <w:color w:val="auto"/>
          <w:kern w:val="0"/>
          <w:szCs w:val="21"/>
          <w:highlight w:val="none"/>
        </w:rPr>
        <w:br w:type="page"/>
      </w:r>
    </w:p>
    <w:p w14:paraId="53475A4C">
      <w:pPr>
        <w:spacing w:line="440" w:lineRule="exact"/>
        <w:ind w:right="-307" w:rightChars="-146"/>
        <w:jc w:val="center"/>
        <w:rPr>
          <w:b/>
          <w:color w:val="auto"/>
          <w:sz w:val="30"/>
          <w:szCs w:val="30"/>
          <w:highlight w:val="none"/>
        </w:rPr>
      </w:pPr>
      <w:r>
        <w:rPr>
          <w:rFonts w:hint="eastAsia"/>
          <w:b/>
          <w:color w:val="auto"/>
          <w:sz w:val="30"/>
          <w:szCs w:val="30"/>
          <w:highlight w:val="none"/>
          <w:lang w:eastAsia="zh-CN"/>
        </w:rPr>
        <w:t>广西中之元工程管理有限公司</w:t>
      </w:r>
      <w:r>
        <w:rPr>
          <w:rFonts w:hint="eastAsia"/>
          <w:b/>
          <w:color w:val="auto"/>
          <w:sz w:val="30"/>
          <w:szCs w:val="30"/>
          <w:highlight w:val="none"/>
        </w:rPr>
        <w:t>关于</w:t>
      </w:r>
      <w:r>
        <w:rPr>
          <w:rFonts w:hint="eastAsia"/>
          <w:b/>
          <w:color w:val="auto"/>
          <w:sz w:val="30"/>
          <w:szCs w:val="30"/>
          <w:highlight w:val="none"/>
          <w:lang w:eastAsia="zh-CN"/>
        </w:rPr>
        <w:t>合浦县田寮水库标准化创建工程（土建部分）</w:t>
      </w:r>
      <w:r>
        <w:rPr>
          <w:rFonts w:hint="eastAsia"/>
          <w:b/>
          <w:color w:val="auto"/>
          <w:sz w:val="30"/>
          <w:szCs w:val="30"/>
          <w:highlight w:val="none"/>
        </w:rPr>
        <w:t>竞争性磋商采购公告（远程异地评标）</w:t>
      </w:r>
    </w:p>
    <w:p w14:paraId="53475A4D">
      <w:pPr>
        <w:tabs>
          <w:tab w:val="left" w:pos="9639"/>
          <w:tab w:val="left" w:pos="9746"/>
        </w:tabs>
        <w:adjustRightInd w:val="0"/>
        <w:snapToGrid w:val="0"/>
        <w:ind w:firstLine="420" w:firstLineChars="200"/>
        <w:rPr>
          <w:rFonts w:ascii="宋体" w:hAnsi="宋体" w:cs="宋体"/>
          <w:color w:val="auto"/>
          <w:kern w:val="0"/>
          <w:szCs w:val="21"/>
          <w:highlight w:val="none"/>
        </w:rPr>
      </w:pPr>
    </w:p>
    <w:tbl>
      <w:tblPr>
        <w:tblStyle w:val="3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33"/>
      </w:tblGrid>
      <w:tr w14:paraId="53475A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5" w:hRule="atLeast"/>
        </w:trPr>
        <w:tc>
          <w:tcPr>
            <w:tcW w:w="9962" w:type="dxa"/>
          </w:tcPr>
          <w:p w14:paraId="53475A4E">
            <w:pPr>
              <w:tabs>
                <w:tab w:val="left" w:pos="9639"/>
                <w:tab w:val="left" w:pos="9746"/>
              </w:tabs>
              <w:adjustRightInd w:val="0"/>
              <w:snapToGrid w:val="0"/>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项目概况</w:t>
            </w:r>
          </w:p>
          <w:p w14:paraId="53475A4F">
            <w:pPr>
              <w:tabs>
                <w:tab w:val="left" w:pos="9639"/>
                <w:tab w:val="left" w:pos="9746"/>
              </w:tabs>
              <w:adjustRightInd w:val="0"/>
              <w:snapToGrid w:val="0"/>
              <w:spacing w:line="360" w:lineRule="auto"/>
              <w:ind w:left="105" w:leftChars="50" w:firstLine="360" w:firstLineChars="150"/>
              <w:rPr>
                <w:rFonts w:ascii="宋体" w:hAnsi="宋体" w:cs="宋体"/>
                <w:color w:val="auto"/>
                <w:kern w:val="0"/>
                <w:szCs w:val="21"/>
                <w:highlight w:val="none"/>
              </w:rPr>
            </w:pPr>
            <w:r>
              <w:rPr>
                <w:rFonts w:hint="eastAsia" w:ascii="宋体" w:hAnsi="宋体" w:cs="宋体"/>
                <w:color w:val="auto"/>
                <w:kern w:val="0"/>
                <w:sz w:val="24"/>
                <w:highlight w:val="none"/>
                <w:u w:val="single"/>
                <w:lang w:eastAsia="zh-CN"/>
              </w:rPr>
              <w:t>合浦县田寮水库标准化创建工程（土建部分）</w:t>
            </w:r>
            <w:r>
              <w:rPr>
                <w:rFonts w:hint="eastAsia" w:ascii="宋体" w:hAnsi="宋体" w:cs="宋体"/>
                <w:color w:val="auto"/>
                <w:kern w:val="0"/>
                <w:sz w:val="24"/>
                <w:highlight w:val="none"/>
              </w:rPr>
              <w:t>采购项目的潜在供应商应在广西政府采购云平台（https</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rPr>
              <w:t>//www.gcy.zfcg.gxzf.gov.cn/）获取采购文件，并</w:t>
            </w:r>
            <w:r>
              <w:rPr>
                <w:rFonts w:hint="eastAsia" w:ascii="宋体" w:hAnsi="宋体" w:cs="宋体"/>
                <w:color w:val="auto"/>
                <w:kern w:val="0"/>
                <w:sz w:val="24"/>
                <w:highlight w:val="none"/>
              </w:rPr>
              <w:t>于</w:t>
            </w:r>
            <w:r>
              <w:rPr>
                <w:rFonts w:hint="eastAsia" w:ascii="宋体" w:hAnsi="宋体" w:cs="宋体"/>
                <w:color w:val="auto"/>
                <w:kern w:val="0"/>
                <w:sz w:val="24"/>
                <w:highlight w:val="none"/>
                <w:u w:val="single"/>
                <w:lang w:eastAsia="zh-CN"/>
              </w:rPr>
              <w:t>202</w:t>
            </w:r>
            <w:r>
              <w:rPr>
                <w:rFonts w:hint="eastAsia" w:ascii="宋体" w:hAnsi="宋体" w:cs="宋体"/>
                <w:color w:val="auto"/>
                <w:kern w:val="0"/>
                <w:sz w:val="24"/>
                <w:highlight w:val="none"/>
                <w:u w:val="single"/>
                <w:lang w:val="en-US" w:eastAsia="zh-CN"/>
              </w:rPr>
              <w:t>6</w:t>
            </w:r>
            <w:r>
              <w:rPr>
                <w:rFonts w:hint="eastAsia" w:ascii="宋体" w:hAnsi="宋体" w:cs="宋体"/>
                <w:color w:val="auto"/>
                <w:kern w:val="0"/>
                <w:sz w:val="24"/>
                <w:highlight w:val="none"/>
                <w:u w:val="single"/>
                <w:lang w:eastAsia="zh-CN"/>
              </w:rPr>
              <w:t>年</w:t>
            </w:r>
            <w:r>
              <w:rPr>
                <w:rFonts w:hint="eastAsia" w:ascii="宋体" w:hAnsi="宋体" w:cs="宋体"/>
                <w:color w:val="auto"/>
                <w:kern w:val="0"/>
                <w:sz w:val="24"/>
                <w:highlight w:val="none"/>
                <w:u w:val="single"/>
                <w:lang w:val="en-US" w:eastAsia="zh-CN"/>
              </w:rPr>
              <w:t>1</w:t>
            </w:r>
            <w:r>
              <w:rPr>
                <w:rFonts w:hint="eastAsia" w:ascii="宋体" w:hAnsi="宋体" w:cs="宋体"/>
                <w:color w:val="auto"/>
                <w:kern w:val="0"/>
                <w:sz w:val="24"/>
                <w:highlight w:val="none"/>
                <w:u w:val="single"/>
                <w:lang w:eastAsia="zh-CN"/>
              </w:rPr>
              <w:t>月</w:t>
            </w:r>
            <w:r>
              <w:rPr>
                <w:rFonts w:hint="eastAsia" w:ascii="宋体" w:hAnsi="宋体" w:cs="宋体"/>
                <w:color w:val="auto"/>
                <w:kern w:val="0"/>
                <w:sz w:val="24"/>
                <w:highlight w:val="none"/>
                <w:u w:val="single"/>
                <w:lang w:val="en-US" w:eastAsia="zh-CN"/>
              </w:rPr>
              <w:t xml:space="preserve">26 </w:t>
            </w:r>
            <w:r>
              <w:rPr>
                <w:rFonts w:hint="eastAsia" w:ascii="宋体" w:hAnsi="宋体" w:cs="宋体"/>
                <w:color w:val="auto"/>
                <w:kern w:val="0"/>
                <w:sz w:val="24"/>
                <w:highlight w:val="none"/>
                <w:u w:val="single"/>
                <w:lang w:eastAsia="zh-CN"/>
              </w:rPr>
              <w:t>日09：00</w:t>
            </w:r>
            <w:r>
              <w:rPr>
                <w:rFonts w:hint="eastAsia" w:ascii="宋体" w:hAnsi="宋体" w:cs="宋体"/>
                <w:color w:val="auto"/>
                <w:kern w:val="0"/>
                <w:sz w:val="24"/>
                <w:highlight w:val="none"/>
              </w:rPr>
              <w:t>（北京时间）</w:t>
            </w:r>
            <w:r>
              <w:rPr>
                <w:rFonts w:hint="eastAsia" w:ascii="宋体" w:hAnsi="宋体" w:cs="宋体"/>
                <w:color w:val="auto"/>
                <w:kern w:val="0"/>
                <w:sz w:val="24"/>
                <w:highlight w:val="none"/>
              </w:rPr>
              <w:t>前提交响应文件。</w:t>
            </w:r>
          </w:p>
        </w:tc>
      </w:tr>
    </w:tbl>
    <w:p w14:paraId="53475A51">
      <w:pPr>
        <w:tabs>
          <w:tab w:val="left" w:pos="9639"/>
          <w:tab w:val="left" w:pos="9746"/>
        </w:tabs>
        <w:adjustRightInd w:val="0"/>
        <w:snapToGrid w:val="0"/>
        <w:rPr>
          <w:rFonts w:ascii="宋体" w:hAnsi="宋体" w:cs="宋体"/>
          <w:color w:val="auto"/>
          <w:kern w:val="0"/>
          <w:szCs w:val="21"/>
          <w:highlight w:val="none"/>
        </w:rPr>
      </w:pPr>
    </w:p>
    <w:p w14:paraId="53475A52">
      <w:pPr>
        <w:tabs>
          <w:tab w:val="left" w:pos="9639"/>
          <w:tab w:val="left" w:pos="9746"/>
        </w:tabs>
        <w:adjustRightInd w:val="0"/>
        <w:snapToGrid w:val="0"/>
        <w:spacing w:line="360" w:lineRule="auto"/>
        <w:rPr>
          <w:rFonts w:ascii="宋体" w:hAnsi="宋体" w:cs="宋体"/>
          <w:b/>
          <w:color w:val="auto"/>
          <w:kern w:val="0"/>
          <w:sz w:val="24"/>
          <w:highlight w:val="none"/>
        </w:rPr>
      </w:pPr>
      <w:r>
        <w:rPr>
          <w:rFonts w:hint="eastAsia" w:ascii="宋体" w:hAnsi="宋体" w:cs="宋体"/>
          <w:b/>
          <w:color w:val="auto"/>
          <w:kern w:val="0"/>
          <w:sz w:val="24"/>
          <w:highlight w:val="none"/>
        </w:rPr>
        <w:t>一、项目基本情况</w:t>
      </w:r>
    </w:p>
    <w:p w14:paraId="53475A53">
      <w:pPr>
        <w:adjustRightInd w:val="0"/>
        <w:spacing w:line="360" w:lineRule="auto"/>
        <w:ind w:firstLine="480" w:firstLineChars="200"/>
        <w:rPr>
          <w:rFonts w:hint="eastAsia" w:ascii="宋体" w:hAnsi="宋体"/>
          <w:color w:val="auto"/>
          <w:sz w:val="24"/>
          <w:highlight w:val="none"/>
          <w:lang w:eastAsia="zh-CN"/>
        </w:rPr>
      </w:pPr>
      <w:r>
        <w:rPr>
          <w:rFonts w:hint="eastAsia" w:ascii="宋体" w:hAnsi="宋体"/>
          <w:color w:val="auto"/>
          <w:sz w:val="24"/>
          <w:highlight w:val="none"/>
          <w:lang w:eastAsia="zh-CN"/>
        </w:rPr>
        <w:t>项目编号：BHZC2026-C2-210001-ZZYG</w:t>
      </w:r>
    </w:p>
    <w:p w14:paraId="53475A54">
      <w:pPr>
        <w:adjustRightInd w:val="0"/>
        <w:spacing w:line="360" w:lineRule="auto"/>
        <w:ind w:firstLine="480" w:firstLineChars="200"/>
        <w:rPr>
          <w:rFonts w:hint="eastAsia" w:ascii="宋体" w:hAnsi="宋体" w:eastAsia="宋体"/>
          <w:color w:val="auto"/>
          <w:sz w:val="24"/>
          <w:highlight w:val="none"/>
          <w:lang w:eastAsia="zh-CN"/>
        </w:rPr>
      </w:pPr>
      <w:r>
        <w:rPr>
          <w:rFonts w:hint="eastAsia" w:ascii="宋体" w:hAnsi="宋体"/>
          <w:color w:val="auto"/>
          <w:sz w:val="24"/>
          <w:highlight w:val="none"/>
        </w:rPr>
        <w:t>项目名称：</w:t>
      </w:r>
      <w:r>
        <w:rPr>
          <w:rFonts w:hint="eastAsia" w:ascii="宋体" w:hAnsi="宋体"/>
          <w:color w:val="auto"/>
          <w:sz w:val="24"/>
          <w:highlight w:val="none"/>
          <w:lang w:eastAsia="zh-CN"/>
        </w:rPr>
        <w:t>合浦县田寮水库标准化创建工程（土建部分）</w:t>
      </w:r>
    </w:p>
    <w:p w14:paraId="53475A55">
      <w:pPr>
        <w:adjustRightIn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采购方式：竞争性磋商</w:t>
      </w:r>
    </w:p>
    <w:p w14:paraId="49E843D1">
      <w:pPr>
        <w:adjustRightInd w:val="0"/>
        <w:spacing w:line="360" w:lineRule="auto"/>
        <w:ind w:firstLine="480" w:firstLineChars="200"/>
        <w:rPr>
          <w:rFonts w:hint="eastAsia" w:ascii="宋体" w:hAnsi="宋体"/>
          <w:color w:val="auto"/>
          <w:sz w:val="24"/>
          <w:highlight w:val="none"/>
          <w:lang w:eastAsia="zh-CN"/>
        </w:rPr>
      </w:pPr>
      <w:r>
        <w:rPr>
          <w:rFonts w:hint="eastAsia" w:ascii="宋体" w:hAnsi="宋体"/>
          <w:color w:val="auto"/>
          <w:sz w:val="24"/>
          <w:highlight w:val="none"/>
          <w:lang w:eastAsia="zh-CN"/>
        </w:rPr>
        <w:t>预算金额（元）：</w:t>
      </w:r>
      <w:r>
        <w:rPr>
          <w:rFonts w:hint="eastAsia" w:ascii="宋体" w:hAnsi="宋体"/>
          <w:color w:val="auto"/>
          <w:sz w:val="24"/>
          <w:highlight w:val="none"/>
          <w:lang w:val="en-US" w:eastAsia="zh-CN"/>
        </w:rPr>
        <w:t>693612.25</w:t>
      </w:r>
    </w:p>
    <w:p w14:paraId="5E077C28">
      <w:pPr>
        <w:adjustRightInd w:val="0"/>
        <w:spacing w:line="360" w:lineRule="auto"/>
        <w:ind w:firstLine="480" w:firstLineChars="200"/>
        <w:rPr>
          <w:rFonts w:hint="default" w:ascii="宋体" w:hAnsi="宋体"/>
          <w:color w:val="auto"/>
          <w:sz w:val="24"/>
          <w:highlight w:val="none"/>
          <w:lang w:val="en-US" w:eastAsia="zh-CN"/>
        </w:rPr>
      </w:pPr>
      <w:r>
        <w:rPr>
          <w:rFonts w:hint="eastAsia" w:ascii="宋体" w:hAnsi="宋体"/>
          <w:color w:val="auto"/>
          <w:sz w:val="24"/>
          <w:highlight w:val="none"/>
          <w:lang w:val="en-US" w:eastAsia="zh-CN"/>
        </w:rPr>
        <w:t>采购需求：合浦县田寮水库标准化创建工程（土建部分）位于位于合浦县沙田镇，建设内容为改建；管理房及大院改造；坝体维修养护；大坝放水涵下游渠道三面光；水库宣传牌制作安装及配备物资</w:t>
      </w:r>
      <w:r>
        <w:rPr>
          <w:rFonts w:hint="eastAsia" w:ascii="宋体" w:hAnsi="宋体"/>
          <w:color w:val="auto"/>
          <w:sz w:val="24"/>
          <w:highlight w:val="none"/>
          <w:lang w:eastAsia="zh-CN"/>
        </w:rPr>
        <w:t>。具体内容详见磋商文件，工程量清单及图纸。</w:t>
      </w:r>
    </w:p>
    <w:p w14:paraId="53475A58">
      <w:pPr>
        <w:adjustRightIn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工期</w:t>
      </w:r>
      <w:r>
        <w:rPr>
          <w:rFonts w:hint="eastAsia" w:ascii="宋体" w:hAnsi="宋体"/>
          <w:color w:val="auto"/>
          <w:sz w:val="24"/>
          <w:highlight w:val="none"/>
          <w:lang w:eastAsia="zh-CN"/>
        </w:rPr>
        <w:t>：监理签发的开工日起</w:t>
      </w:r>
      <w:r>
        <w:rPr>
          <w:rFonts w:hint="eastAsia" w:ascii="宋体" w:hAnsi="宋体"/>
          <w:color w:val="auto"/>
          <w:sz w:val="24"/>
          <w:highlight w:val="none"/>
          <w:lang w:val="en-US" w:eastAsia="zh-CN"/>
        </w:rPr>
        <w:t>90</w:t>
      </w:r>
      <w:r>
        <w:rPr>
          <w:rFonts w:hint="eastAsia" w:ascii="宋体" w:hAnsi="宋体"/>
          <w:color w:val="auto"/>
          <w:sz w:val="24"/>
          <w:highlight w:val="none"/>
          <w:lang w:eastAsia="zh-CN"/>
        </w:rPr>
        <w:t>日历天内完成</w:t>
      </w:r>
      <w:r>
        <w:rPr>
          <w:rFonts w:hint="eastAsia" w:ascii="宋体" w:hAnsi="宋体"/>
          <w:color w:val="auto"/>
          <w:sz w:val="24"/>
          <w:highlight w:val="none"/>
        </w:rPr>
        <w:t>。</w:t>
      </w:r>
    </w:p>
    <w:p w14:paraId="53475A5D">
      <w:pPr>
        <w:adjustRightIn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最高限价（如有）：</w:t>
      </w:r>
      <w:r>
        <w:rPr>
          <w:rFonts w:hint="eastAsia" w:ascii="宋体" w:hAnsi="宋体"/>
          <w:color w:val="auto"/>
          <w:sz w:val="24"/>
          <w:highlight w:val="none"/>
          <w:lang w:val="en-US" w:eastAsia="zh-CN"/>
        </w:rPr>
        <w:t>693612.25</w:t>
      </w:r>
    </w:p>
    <w:p w14:paraId="143CB0F2">
      <w:pPr>
        <w:adjustRightInd w:val="0"/>
        <w:spacing w:line="360" w:lineRule="auto"/>
        <w:ind w:firstLine="480" w:firstLineChars="200"/>
        <w:rPr>
          <w:rFonts w:ascii="宋体" w:hAnsi="宋体"/>
          <w:color w:val="auto"/>
          <w:sz w:val="24"/>
          <w:highlight w:val="none"/>
          <w:u w:val="single"/>
        </w:rPr>
      </w:pPr>
      <w:r>
        <w:rPr>
          <w:rFonts w:hint="eastAsia" w:ascii="宋体" w:hAnsi="宋体"/>
          <w:color w:val="auto"/>
          <w:sz w:val="24"/>
          <w:highlight w:val="none"/>
        </w:rPr>
        <w:t>合同履行期限：</w:t>
      </w:r>
      <w:r>
        <w:rPr>
          <w:rFonts w:hint="eastAsia" w:hAnsi="宋体" w:cs="宋体"/>
          <w:bCs/>
          <w:color w:val="auto"/>
          <w:sz w:val="24"/>
          <w:highlight w:val="none"/>
          <w:lang w:eastAsia="zh-CN"/>
        </w:rPr>
        <w:t>监理签发的开工日起</w:t>
      </w:r>
      <w:r>
        <w:rPr>
          <w:rFonts w:hint="eastAsia" w:hAnsi="宋体" w:cs="宋体"/>
          <w:bCs/>
          <w:color w:val="auto"/>
          <w:sz w:val="24"/>
          <w:highlight w:val="none"/>
          <w:lang w:val="en-US" w:eastAsia="zh-CN"/>
        </w:rPr>
        <w:t>90</w:t>
      </w:r>
      <w:r>
        <w:rPr>
          <w:rFonts w:hint="eastAsia" w:hAnsi="宋体" w:cs="宋体"/>
          <w:bCs/>
          <w:color w:val="auto"/>
          <w:sz w:val="24"/>
          <w:highlight w:val="none"/>
          <w:lang w:eastAsia="zh-CN"/>
        </w:rPr>
        <w:t>日历天内完成。</w:t>
      </w:r>
    </w:p>
    <w:p w14:paraId="5A3B1CBC">
      <w:pPr>
        <w:adjustRightInd w:val="0"/>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本项目是否接受联合体磋商：</w:t>
      </w:r>
      <w:r>
        <w:rPr>
          <w:rFonts w:ascii="Wingdings" w:hAnsi="Wingdings" w:eastAsia="Wingdings" w:cs="Wingdings"/>
          <w:color w:val="auto"/>
          <w:sz w:val="24"/>
          <w:szCs w:val="24"/>
          <w:highlight w:val="none"/>
        </w:rPr>
        <w:sym w:font="Wingdings" w:char="00FE"/>
      </w:r>
      <w:r>
        <w:rPr>
          <w:rFonts w:hint="eastAsia" w:ascii="宋体" w:hAnsi="宋体"/>
          <w:color w:val="auto"/>
          <w:sz w:val="24"/>
          <w:highlight w:val="none"/>
        </w:rPr>
        <w:t>否。</w:t>
      </w:r>
    </w:p>
    <w:p w14:paraId="53475A61">
      <w:pPr>
        <w:tabs>
          <w:tab w:val="left" w:pos="9639"/>
          <w:tab w:val="left" w:pos="9746"/>
        </w:tabs>
        <w:adjustRightInd w:val="0"/>
        <w:snapToGrid w:val="0"/>
        <w:spacing w:line="360" w:lineRule="auto"/>
        <w:rPr>
          <w:rFonts w:ascii="宋体" w:hAnsi="宋体" w:cs="宋体"/>
          <w:b/>
          <w:color w:val="auto"/>
          <w:kern w:val="0"/>
          <w:sz w:val="24"/>
          <w:highlight w:val="none"/>
        </w:rPr>
      </w:pPr>
      <w:r>
        <w:rPr>
          <w:rFonts w:hint="eastAsia" w:ascii="宋体" w:hAnsi="宋体" w:cs="宋体"/>
          <w:b/>
          <w:color w:val="auto"/>
          <w:kern w:val="0"/>
          <w:sz w:val="24"/>
          <w:highlight w:val="none"/>
        </w:rPr>
        <w:t>二、申请人的资格要求</w:t>
      </w:r>
    </w:p>
    <w:p w14:paraId="53475A62">
      <w:pPr>
        <w:adjustRightIn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1.满足《中华人民共和国政府采购法》第二十二条规定；未被“信用中国” （www.creditchina.gov.cn)、中国政府采购网（www.ccgp.gov.cn）列入失信被执行人、重大税收违法案件当事人名单、政府采购严重违法失信行为记录名单；</w:t>
      </w:r>
    </w:p>
    <w:p w14:paraId="53475A63">
      <w:pPr>
        <w:adjustRightIn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2.落实政府采购政策需满足的资格要求：</w:t>
      </w:r>
      <w:r>
        <w:rPr>
          <w:rFonts w:hint="eastAsia" w:ascii="宋体" w:hAnsi="宋体"/>
          <w:color w:val="auto"/>
          <w:sz w:val="24"/>
          <w:highlight w:val="none"/>
          <w:lang w:eastAsia="zh-CN"/>
        </w:rPr>
        <w:t>本项目为专门面向中小企业采购</w:t>
      </w:r>
      <w:r>
        <w:rPr>
          <w:rFonts w:hint="eastAsia" w:ascii="宋体" w:hAnsi="宋体"/>
          <w:color w:val="auto"/>
          <w:sz w:val="24"/>
          <w:highlight w:val="none"/>
        </w:rPr>
        <w:t>，工程的施工单位为符合政策要求的中小企业（中小微企业，监狱企业、残疾人福利单位视同小型和微型企业）；</w:t>
      </w:r>
    </w:p>
    <w:p w14:paraId="2B783ED9">
      <w:pPr>
        <w:adjustRightInd w:val="0"/>
        <w:spacing w:line="360" w:lineRule="auto"/>
        <w:ind w:firstLine="480" w:firstLineChars="200"/>
        <w:rPr>
          <w:rFonts w:hint="eastAsia" w:ascii="宋体" w:hAnsi="宋体"/>
          <w:color w:val="auto"/>
          <w:sz w:val="24"/>
          <w:highlight w:val="none"/>
          <w:lang w:eastAsia="zh-CN"/>
        </w:rPr>
      </w:pPr>
      <w:r>
        <w:rPr>
          <w:rFonts w:hint="eastAsia" w:ascii="宋体" w:hAnsi="宋体"/>
          <w:color w:val="auto"/>
          <w:sz w:val="24"/>
          <w:highlight w:val="none"/>
        </w:rPr>
        <w:t>3.本项目的特定资格要求：</w:t>
      </w:r>
      <w:r>
        <w:rPr>
          <w:rFonts w:hint="eastAsia" w:ascii="宋体" w:hAnsi="宋体"/>
          <w:color w:val="auto"/>
          <w:sz w:val="24"/>
          <w:highlight w:val="none"/>
          <w:lang w:eastAsia="zh-CN"/>
        </w:rPr>
        <w:t>具备有效的水利水电工程施工总承包三级(含)以上资质，并具备有效的安全生产许可证书。其中，供应商拟派项目经理须具备水利水电工程专业二级(含)以上专业注册建造师执业资格，具备有效的省级或省级以上水行政主管部门或其授权部门(机构)颁发的B类安全生产考核合格证书；</w:t>
      </w:r>
    </w:p>
    <w:p w14:paraId="53475A64">
      <w:pPr>
        <w:adjustRightInd w:val="0"/>
        <w:spacing w:line="360" w:lineRule="auto"/>
        <w:ind w:firstLine="480" w:firstLineChars="200"/>
        <w:rPr>
          <w:rFonts w:ascii="宋体" w:hAnsi="宋体"/>
          <w:color w:val="auto"/>
          <w:sz w:val="24"/>
          <w:highlight w:val="none"/>
        </w:rPr>
      </w:pPr>
      <w:r>
        <w:rPr>
          <w:rFonts w:hint="eastAsia" w:ascii="宋体" w:hAnsi="宋体"/>
          <w:color w:val="auto"/>
          <w:sz w:val="24"/>
          <w:highlight w:val="none"/>
          <w:lang w:val="en-US" w:eastAsia="zh-CN"/>
        </w:rPr>
        <w:t>4</w:t>
      </w:r>
      <w:r>
        <w:rPr>
          <w:rFonts w:hint="eastAsia" w:ascii="宋体" w:hAnsi="宋体"/>
          <w:color w:val="auto"/>
          <w:sz w:val="24"/>
          <w:highlight w:val="none"/>
          <w:lang w:eastAsia="zh-CN"/>
        </w:rPr>
        <w:t xml:space="preserve">.单位负责人为同一人或者存在直接控股、管理关系的不同供应商，不得参加同一合同项下的政府采购活动；为采购项目提供整体设计、规范编制或者项目管理、监理、检测等服务后不得再参加该采购项目的其他采购活动。 </w:t>
      </w:r>
    </w:p>
    <w:p w14:paraId="53475A65">
      <w:pPr>
        <w:spacing w:line="360" w:lineRule="auto"/>
        <w:rPr>
          <w:rFonts w:ascii="宋体" w:hAnsi="宋体" w:cs="宋体"/>
          <w:b/>
          <w:color w:val="auto"/>
          <w:kern w:val="0"/>
          <w:sz w:val="24"/>
          <w:highlight w:val="none"/>
        </w:rPr>
      </w:pPr>
      <w:r>
        <w:rPr>
          <w:rFonts w:hint="eastAsia" w:ascii="宋体" w:hAnsi="宋体" w:cs="宋体"/>
          <w:b/>
          <w:color w:val="auto"/>
          <w:kern w:val="0"/>
          <w:sz w:val="24"/>
          <w:highlight w:val="none"/>
        </w:rPr>
        <w:t>三、获取采购文件</w:t>
      </w:r>
    </w:p>
    <w:p w14:paraId="53475A66">
      <w:pPr>
        <w:adjustRightInd w:val="0"/>
        <w:spacing w:line="360" w:lineRule="auto"/>
        <w:ind w:firstLine="540"/>
        <w:rPr>
          <w:rFonts w:ascii="宋体" w:hAnsi="宋体" w:cs="宋体"/>
          <w:color w:val="auto"/>
          <w:sz w:val="24"/>
          <w:highlight w:val="none"/>
        </w:rPr>
      </w:pPr>
      <w:r>
        <w:rPr>
          <w:rFonts w:hint="eastAsia" w:ascii="宋体" w:hAnsi="宋体" w:cs="宋体"/>
          <w:b/>
          <w:color w:val="auto"/>
          <w:sz w:val="24"/>
          <w:highlight w:val="none"/>
        </w:rPr>
        <w:t>时间：</w:t>
      </w:r>
      <w:r>
        <w:rPr>
          <w:rFonts w:hint="eastAsia" w:ascii="宋体" w:hAnsi="宋体" w:cs="宋体"/>
          <w:color w:val="auto"/>
          <w:sz w:val="24"/>
          <w:highlight w:val="none"/>
          <w:lang w:eastAsia="zh-CN"/>
        </w:rPr>
        <w:t>202</w:t>
      </w:r>
      <w:r>
        <w:rPr>
          <w:rFonts w:hint="eastAsia" w:ascii="宋体" w:hAnsi="宋体" w:cs="宋体"/>
          <w:color w:val="auto"/>
          <w:sz w:val="24"/>
          <w:highlight w:val="none"/>
          <w:lang w:val="en-US" w:eastAsia="zh-CN"/>
        </w:rPr>
        <w:t>6</w:t>
      </w:r>
      <w:r>
        <w:rPr>
          <w:rFonts w:hint="eastAsia" w:ascii="宋体" w:hAnsi="宋体" w:cs="宋体"/>
          <w:color w:val="auto"/>
          <w:sz w:val="24"/>
          <w:highlight w:val="none"/>
          <w:lang w:eastAsia="zh-CN"/>
        </w:rPr>
        <w:t>年</w:t>
      </w:r>
      <w:r>
        <w:rPr>
          <w:rFonts w:hint="eastAsia" w:ascii="宋体" w:hAnsi="宋体" w:cs="宋体"/>
          <w:color w:val="auto"/>
          <w:sz w:val="24"/>
          <w:highlight w:val="none"/>
          <w:lang w:val="en-US" w:eastAsia="zh-CN"/>
        </w:rPr>
        <w:t xml:space="preserve">1 </w:t>
      </w:r>
      <w:r>
        <w:rPr>
          <w:rFonts w:hint="eastAsia" w:ascii="宋体" w:hAnsi="宋体" w:cs="宋体"/>
          <w:color w:val="auto"/>
          <w:sz w:val="24"/>
          <w:highlight w:val="none"/>
          <w:lang w:eastAsia="zh-CN"/>
        </w:rPr>
        <w:t>月</w:t>
      </w:r>
      <w:r>
        <w:rPr>
          <w:rFonts w:hint="eastAsia" w:ascii="宋体" w:hAnsi="宋体" w:cs="宋体"/>
          <w:color w:val="auto"/>
          <w:sz w:val="24"/>
          <w:highlight w:val="none"/>
          <w:lang w:val="en-US" w:eastAsia="zh-CN"/>
        </w:rPr>
        <w:t>14</w:t>
      </w:r>
      <w:r>
        <w:rPr>
          <w:rFonts w:hint="eastAsia" w:ascii="宋体" w:hAnsi="宋体" w:cs="宋体"/>
          <w:color w:val="auto"/>
          <w:sz w:val="24"/>
          <w:highlight w:val="none"/>
          <w:lang w:eastAsia="zh-CN"/>
        </w:rPr>
        <w:t>日</w:t>
      </w:r>
      <w:r>
        <w:rPr>
          <w:rFonts w:hint="eastAsia" w:ascii="宋体" w:hAnsi="宋体" w:cs="宋体"/>
          <w:color w:val="auto"/>
          <w:sz w:val="24"/>
          <w:highlight w:val="none"/>
        </w:rPr>
        <w:t>至</w:t>
      </w:r>
      <w:r>
        <w:rPr>
          <w:rFonts w:hint="eastAsia" w:ascii="宋体" w:hAnsi="宋体" w:cs="宋体"/>
          <w:color w:val="auto"/>
          <w:sz w:val="24"/>
          <w:highlight w:val="none"/>
          <w:lang w:eastAsia="zh-CN"/>
        </w:rPr>
        <w:t>202</w:t>
      </w:r>
      <w:r>
        <w:rPr>
          <w:rFonts w:hint="eastAsia" w:ascii="宋体" w:hAnsi="宋体" w:cs="宋体"/>
          <w:color w:val="auto"/>
          <w:sz w:val="24"/>
          <w:highlight w:val="none"/>
          <w:lang w:val="en-US" w:eastAsia="zh-CN"/>
        </w:rPr>
        <w:t>6</w:t>
      </w:r>
      <w:r>
        <w:rPr>
          <w:rFonts w:hint="eastAsia" w:ascii="宋体" w:hAnsi="宋体" w:cs="宋体"/>
          <w:color w:val="auto"/>
          <w:sz w:val="24"/>
          <w:highlight w:val="none"/>
          <w:lang w:eastAsia="zh-CN"/>
        </w:rPr>
        <w:t>年</w:t>
      </w:r>
      <w:r>
        <w:rPr>
          <w:rFonts w:hint="eastAsia" w:ascii="宋体" w:hAnsi="宋体" w:cs="宋体"/>
          <w:color w:val="auto"/>
          <w:sz w:val="24"/>
          <w:highlight w:val="none"/>
          <w:lang w:val="en-US" w:eastAsia="zh-CN"/>
        </w:rPr>
        <w:t>1</w:t>
      </w:r>
      <w:r>
        <w:rPr>
          <w:rFonts w:hint="eastAsia" w:ascii="宋体" w:hAnsi="宋体" w:cs="宋体"/>
          <w:color w:val="auto"/>
          <w:sz w:val="24"/>
          <w:highlight w:val="none"/>
          <w:lang w:eastAsia="zh-CN"/>
        </w:rPr>
        <w:t>月</w:t>
      </w:r>
      <w:r>
        <w:rPr>
          <w:rFonts w:hint="eastAsia" w:ascii="宋体" w:hAnsi="宋体" w:cs="宋体"/>
          <w:color w:val="auto"/>
          <w:sz w:val="24"/>
          <w:highlight w:val="none"/>
          <w:lang w:val="en-US" w:eastAsia="zh-CN"/>
        </w:rPr>
        <w:t>21</w:t>
      </w:r>
      <w:r>
        <w:rPr>
          <w:rFonts w:hint="eastAsia" w:ascii="宋体" w:hAnsi="宋体" w:cs="宋体"/>
          <w:color w:val="auto"/>
          <w:sz w:val="24"/>
          <w:highlight w:val="none"/>
          <w:lang w:eastAsia="zh-CN"/>
        </w:rPr>
        <w:t>日</w:t>
      </w:r>
      <w:r>
        <w:rPr>
          <w:rFonts w:hint="eastAsia" w:ascii="宋体" w:hAnsi="宋体" w:cs="宋体"/>
          <w:color w:val="auto"/>
          <w:sz w:val="24"/>
          <w:highlight w:val="none"/>
        </w:rPr>
        <w:t>，每天上午</w:t>
      </w:r>
      <w:r>
        <w:rPr>
          <w:rFonts w:hint="eastAsia" w:ascii="宋体" w:hAnsi="宋体"/>
          <w:color w:val="auto"/>
          <w:sz w:val="24"/>
          <w:highlight w:val="none"/>
        </w:rPr>
        <w:t>00</w:t>
      </w:r>
      <w:r>
        <w:rPr>
          <w:rFonts w:hint="eastAsia" w:ascii="宋体" w:hAnsi="宋体"/>
          <w:color w:val="auto"/>
          <w:sz w:val="24"/>
          <w:highlight w:val="none"/>
          <w:lang w:eastAsia="zh-CN"/>
        </w:rPr>
        <w:t>：</w:t>
      </w:r>
      <w:r>
        <w:rPr>
          <w:rFonts w:hint="eastAsia" w:ascii="宋体" w:hAnsi="宋体"/>
          <w:color w:val="auto"/>
          <w:sz w:val="24"/>
          <w:highlight w:val="none"/>
        </w:rPr>
        <w:t>00至12</w:t>
      </w:r>
      <w:r>
        <w:rPr>
          <w:rFonts w:hint="eastAsia" w:ascii="宋体" w:hAnsi="宋体"/>
          <w:color w:val="auto"/>
          <w:sz w:val="24"/>
          <w:highlight w:val="none"/>
          <w:lang w:eastAsia="zh-CN"/>
        </w:rPr>
        <w:t>：</w:t>
      </w:r>
      <w:r>
        <w:rPr>
          <w:rFonts w:hint="eastAsia" w:ascii="宋体" w:hAnsi="宋体"/>
          <w:color w:val="auto"/>
          <w:sz w:val="24"/>
          <w:highlight w:val="none"/>
        </w:rPr>
        <w:t>00 ，下午12</w:t>
      </w:r>
      <w:r>
        <w:rPr>
          <w:rFonts w:hint="eastAsia" w:ascii="宋体" w:hAnsi="宋体"/>
          <w:color w:val="auto"/>
          <w:sz w:val="24"/>
          <w:highlight w:val="none"/>
          <w:lang w:eastAsia="zh-CN"/>
        </w:rPr>
        <w:t>：</w:t>
      </w:r>
      <w:r>
        <w:rPr>
          <w:rFonts w:hint="eastAsia" w:ascii="宋体" w:hAnsi="宋体"/>
          <w:color w:val="auto"/>
          <w:sz w:val="24"/>
          <w:highlight w:val="none"/>
        </w:rPr>
        <w:t>00至23</w:t>
      </w:r>
      <w:r>
        <w:rPr>
          <w:rFonts w:hint="eastAsia" w:ascii="宋体" w:hAnsi="宋体"/>
          <w:color w:val="auto"/>
          <w:sz w:val="24"/>
          <w:highlight w:val="none"/>
          <w:lang w:eastAsia="zh-CN"/>
        </w:rPr>
        <w:t>：</w:t>
      </w:r>
      <w:r>
        <w:rPr>
          <w:rFonts w:hint="eastAsia" w:ascii="宋体" w:hAnsi="宋体"/>
          <w:color w:val="auto"/>
          <w:sz w:val="24"/>
          <w:highlight w:val="none"/>
        </w:rPr>
        <w:t>59</w:t>
      </w:r>
      <w:r>
        <w:rPr>
          <w:rFonts w:hint="eastAsia" w:ascii="宋体" w:hAnsi="宋体" w:cs="宋体"/>
          <w:color w:val="auto"/>
          <w:sz w:val="24"/>
          <w:highlight w:val="none"/>
        </w:rPr>
        <w:t>（北京时间，法定节假日除外）；</w:t>
      </w:r>
    </w:p>
    <w:p w14:paraId="53475A67">
      <w:pPr>
        <w:adjustRightInd w:val="0"/>
        <w:spacing w:line="360" w:lineRule="auto"/>
        <w:ind w:firstLine="540"/>
        <w:rPr>
          <w:rFonts w:ascii="宋体" w:hAnsi="宋体" w:cs="宋体"/>
          <w:color w:val="auto"/>
          <w:sz w:val="28"/>
          <w:szCs w:val="28"/>
          <w:highlight w:val="none"/>
          <w:u w:val="single"/>
        </w:rPr>
      </w:pPr>
      <w:r>
        <w:rPr>
          <w:rFonts w:hint="eastAsia" w:ascii="宋体" w:hAnsi="宋体" w:cs="宋体"/>
          <w:b/>
          <w:color w:val="auto"/>
          <w:sz w:val="24"/>
          <w:highlight w:val="none"/>
        </w:rPr>
        <w:t>地点（网址）：</w:t>
      </w:r>
      <w:r>
        <w:rPr>
          <w:rFonts w:hint="eastAsia" w:ascii="宋体" w:hAnsi="宋体" w:cs="宋体"/>
          <w:color w:val="auto"/>
          <w:sz w:val="24"/>
          <w:highlight w:val="none"/>
        </w:rPr>
        <w:t>广西政府采购云平台（https</w:t>
      </w:r>
      <w:r>
        <w:rPr>
          <w:rFonts w:hint="eastAsia" w:ascii="宋体" w:hAnsi="宋体" w:cs="宋体"/>
          <w:color w:val="auto"/>
          <w:sz w:val="24"/>
          <w:highlight w:val="none"/>
          <w:lang w:eastAsia="zh-CN"/>
        </w:rPr>
        <w:t>：</w:t>
      </w:r>
      <w:r>
        <w:rPr>
          <w:rFonts w:hint="eastAsia" w:ascii="宋体" w:hAnsi="宋体" w:cs="宋体"/>
          <w:color w:val="auto"/>
          <w:sz w:val="24"/>
          <w:highlight w:val="none"/>
        </w:rPr>
        <w:t>//www.gcy.zfcg.gxzf.gov.cn/）</w:t>
      </w:r>
    </w:p>
    <w:p w14:paraId="53475A68">
      <w:pPr>
        <w:adjustRightInd w:val="0"/>
        <w:spacing w:line="360" w:lineRule="auto"/>
        <w:ind w:firstLine="540"/>
        <w:rPr>
          <w:rFonts w:ascii="宋体" w:hAnsi="宋体" w:cs="宋体"/>
          <w:color w:val="auto"/>
          <w:sz w:val="24"/>
          <w:highlight w:val="none"/>
          <w:u w:val="single"/>
        </w:rPr>
      </w:pPr>
      <w:r>
        <w:rPr>
          <w:rFonts w:hint="eastAsia" w:ascii="宋体" w:hAnsi="宋体" w:cs="宋体"/>
          <w:b/>
          <w:color w:val="auto"/>
          <w:sz w:val="24"/>
          <w:highlight w:val="none"/>
        </w:rPr>
        <w:t>方式：</w:t>
      </w:r>
      <w:r>
        <w:rPr>
          <w:rFonts w:hint="eastAsia" w:ascii="宋体" w:hAnsi="宋体" w:cs="宋体"/>
          <w:color w:val="auto"/>
          <w:sz w:val="24"/>
          <w:highlight w:val="none"/>
        </w:rPr>
        <w:t>供应商登录广西政府采购云平台（https</w:t>
      </w:r>
      <w:r>
        <w:rPr>
          <w:rFonts w:hint="eastAsia" w:ascii="宋体" w:hAnsi="宋体" w:cs="宋体"/>
          <w:color w:val="auto"/>
          <w:sz w:val="24"/>
          <w:highlight w:val="none"/>
          <w:lang w:eastAsia="zh-CN"/>
        </w:rPr>
        <w:t>：</w:t>
      </w:r>
      <w:r>
        <w:rPr>
          <w:rFonts w:hint="eastAsia" w:ascii="宋体" w:hAnsi="宋体" w:cs="宋体"/>
          <w:color w:val="auto"/>
          <w:sz w:val="24"/>
          <w:highlight w:val="none"/>
        </w:rPr>
        <w:t>//www.gcy.zfcg.gxzf.gov.cn/）在线申请获取采购文件（进入“项目采购”应用，在获取采购文件菜单中选择项目，申请获取采购文件）。</w:t>
      </w:r>
    </w:p>
    <w:p w14:paraId="53475A69">
      <w:pPr>
        <w:adjustRightInd w:val="0"/>
        <w:spacing w:line="360" w:lineRule="auto"/>
        <w:ind w:firstLine="540"/>
        <w:rPr>
          <w:rFonts w:ascii="宋体" w:hAnsi="宋体" w:cs="宋体"/>
          <w:color w:val="auto"/>
          <w:sz w:val="28"/>
          <w:szCs w:val="28"/>
          <w:highlight w:val="none"/>
        </w:rPr>
      </w:pPr>
      <w:r>
        <w:rPr>
          <w:rFonts w:hint="eastAsia" w:ascii="宋体" w:hAnsi="宋体" w:cs="宋体"/>
          <w:b/>
          <w:color w:val="auto"/>
          <w:sz w:val="24"/>
          <w:highlight w:val="none"/>
        </w:rPr>
        <w:t>售价：</w:t>
      </w:r>
      <w:r>
        <w:rPr>
          <w:rFonts w:hint="eastAsia" w:ascii="宋体" w:hAnsi="宋体" w:cs="仿宋_GB2312"/>
          <w:color w:val="auto"/>
          <w:sz w:val="24"/>
          <w:highlight w:val="none"/>
        </w:rPr>
        <w:t>0。</w:t>
      </w:r>
    </w:p>
    <w:p w14:paraId="53475A6A">
      <w:pPr>
        <w:adjustRightInd w:val="0"/>
        <w:snapToGrid w:val="0"/>
        <w:spacing w:line="360" w:lineRule="auto"/>
        <w:jc w:val="left"/>
        <w:rPr>
          <w:rFonts w:ascii="宋体" w:hAnsi="宋体"/>
          <w:b/>
          <w:color w:val="auto"/>
          <w:kern w:val="0"/>
          <w:sz w:val="24"/>
          <w:szCs w:val="20"/>
          <w:highlight w:val="none"/>
        </w:rPr>
      </w:pPr>
      <w:bookmarkStart w:id="3" w:name="_Toc28359015"/>
      <w:bookmarkStart w:id="4" w:name="_Toc35393801"/>
      <w:bookmarkStart w:id="5" w:name="_Toc35393632"/>
      <w:bookmarkStart w:id="6" w:name="_Toc28359092"/>
      <w:r>
        <w:rPr>
          <w:rFonts w:hint="eastAsia" w:ascii="宋体" w:hAnsi="宋体"/>
          <w:b/>
          <w:color w:val="auto"/>
          <w:kern w:val="0"/>
          <w:sz w:val="24"/>
          <w:szCs w:val="20"/>
          <w:highlight w:val="none"/>
        </w:rPr>
        <w:t>四、响应文件提交</w:t>
      </w:r>
      <w:bookmarkEnd w:id="3"/>
      <w:bookmarkEnd w:id="4"/>
      <w:bookmarkEnd w:id="5"/>
      <w:bookmarkEnd w:id="6"/>
    </w:p>
    <w:p w14:paraId="53475A6B">
      <w:pPr>
        <w:adjustRightInd w:val="0"/>
        <w:spacing w:line="360" w:lineRule="auto"/>
        <w:ind w:firstLine="480" w:firstLineChars="200"/>
        <w:rPr>
          <w:rFonts w:ascii="宋体" w:hAnsi="宋体"/>
          <w:bCs/>
          <w:color w:val="auto"/>
          <w:sz w:val="24"/>
          <w:highlight w:val="none"/>
          <w:u w:val="single"/>
        </w:rPr>
      </w:pPr>
      <w:r>
        <w:rPr>
          <w:rFonts w:hint="eastAsia" w:ascii="宋体" w:hAnsi="宋体"/>
          <w:color w:val="auto"/>
          <w:sz w:val="24"/>
          <w:highlight w:val="none"/>
        </w:rPr>
        <w:t>截止时间：</w:t>
      </w:r>
      <w:r>
        <w:rPr>
          <w:rFonts w:hint="eastAsia" w:ascii="宋体" w:hAnsi="宋体" w:cs="宋体"/>
          <w:color w:val="auto"/>
          <w:kern w:val="0"/>
          <w:sz w:val="24"/>
          <w:highlight w:val="none"/>
          <w:u w:val="single"/>
          <w:lang w:eastAsia="zh-CN"/>
        </w:rPr>
        <w:t>202</w:t>
      </w:r>
      <w:r>
        <w:rPr>
          <w:rFonts w:hint="eastAsia" w:ascii="宋体" w:hAnsi="宋体" w:cs="宋体"/>
          <w:color w:val="auto"/>
          <w:kern w:val="0"/>
          <w:sz w:val="24"/>
          <w:highlight w:val="none"/>
          <w:u w:val="single"/>
          <w:lang w:val="en-US" w:eastAsia="zh-CN"/>
        </w:rPr>
        <w:t>6</w:t>
      </w:r>
      <w:r>
        <w:rPr>
          <w:rFonts w:hint="eastAsia" w:ascii="宋体" w:hAnsi="宋体" w:cs="宋体"/>
          <w:color w:val="auto"/>
          <w:kern w:val="0"/>
          <w:sz w:val="24"/>
          <w:highlight w:val="none"/>
          <w:u w:val="single"/>
          <w:lang w:eastAsia="zh-CN"/>
        </w:rPr>
        <w:t>年</w:t>
      </w:r>
      <w:r>
        <w:rPr>
          <w:rFonts w:hint="eastAsia" w:ascii="宋体" w:hAnsi="宋体" w:cs="宋体"/>
          <w:color w:val="auto"/>
          <w:kern w:val="0"/>
          <w:sz w:val="24"/>
          <w:highlight w:val="none"/>
          <w:u w:val="single"/>
          <w:lang w:val="en-US" w:eastAsia="zh-CN"/>
        </w:rPr>
        <w:t>1</w:t>
      </w:r>
      <w:r>
        <w:rPr>
          <w:rFonts w:hint="eastAsia" w:ascii="宋体" w:hAnsi="宋体" w:cs="宋体"/>
          <w:color w:val="auto"/>
          <w:kern w:val="0"/>
          <w:sz w:val="24"/>
          <w:highlight w:val="none"/>
          <w:u w:val="single"/>
          <w:lang w:eastAsia="zh-CN"/>
        </w:rPr>
        <w:t>月</w:t>
      </w:r>
      <w:r>
        <w:rPr>
          <w:rFonts w:hint="eastAsia" w:ascii="宋体" w:hAnsi="宋体" w:cs="宋体"/>
          <w:color w:val="auto"/>
          <w:kern w:val="0"/>
          <w:sz w:val="24"/>
          <w:highlight w:val="none"/>
          <w:u w:val="single"/>
          <w:lang w:val="en-US" w:eastAsia="zh-CN"/>
        </w:rPr>
        <w:t>26</w:t>
      </w:r>
      <w:r>
        <w:rPr>
          <w:rFonts w:hint="eastAsia" w:ascii="宋体" w:hAnsi="宋体" w:cs="宋体"/>
          <w:color w:val="auto"/>
          <w:kern w:val="0"/>
          <w:sz w:val="24"/>
          <w:highlight w:val="none"/>
          <w:u w:val="single"/>
          <w:lang w:eastAsia="zh-CN"/>
        </w:rPr>
        <w:t>日09：</w:t>
      </w:r>
      <w:r>
        <w:rPr>
          <w:rFonts w:hint="eastAsia" w:ascii="宋体" w:hAnsi="宋体" w:cs="宋体"/>
          <w:color w:val="auto"/>
          <w:kern w:val="0"/>
          <w:sz w:val="24"/>
          <w:highlight w:val="none"/>
          <w:u w:val="single"/>
          <w:lang w:val="en-US" w:eastAsia="zh-CN"/>
        </w:rPr>
        <w:t>00</w:t>
      </w:r>
      <w:r>
        <w:rPr>
          <w:rFonts w:hint="eastAsia" w:ascii="宋体" w:hAnsi="宋体"/>
          <w:bCs/>
          <w:color w:val="auto"/>
          <w:sz w:val="24"/>
          <w:highlight w:val="none"/>
        </w:rPr>
        <w:t>（北京时间）</w:t>
      </w:r>
    </w:p>
    <w:p w14:paraId="53475A6C">
      <w:pPr>
        <w:adjustRightInd w:val="0"/>
        <w:spacing w:line="360" w:lineRule="auto"/>
        <w:ind w:firstLine="480" w:firstLineChars="200"/>
        <w:rPr>
          <w:rFonts w:ascii="宋体" w:hAnsi="宋体"/>
          <w:bCs/>
          <w:color w:val="auto"/>
          <w:sz w:val="24"/>
          <w:highlight w:val="none"/>
          <w:u w:val="single"/>
        </w:rPr>
      </w:pPr>
      <w:r>
        <w:rPr>
          <w:rFonts w:hint="eastAsia" w:ascii="宋体" w:hAnsi="宋体"/>
          <w:color w:val="auto"/>
          <w:sz w:val="24"/>
          <w:highlight w:val="none"/>
        </w:rPr>
        <w:t>地点：</w:t>
      </w:r>
      <w:r>
        <w:rPr>
          <w:rFonts w:hint="eastAsia" w:ascii="宋体" w:hAnsi="宋体" w:cs="宋体"/>
          <w:color w:val="auto"/>
          <w:sz w:val="24"/>
          <w:highlight w:val="none"/>
        </w:rPr>
        <w:t>广西政府采购云平台（https</w:t>
      </w:r>
      <w:r>
        <w:rPr>
          <w:rFonts w:hint="eastAsia" w:ascii="宋体" w:hAnsi="宋体" w:cs="宋体"/>
          <w:color w:val="auto"/>
          <w:sz w:val="24"/>
          <w:highlight w:val="none"/>
          <w:lang w:eastAsia="zh-CN"/>
        </w:rPr>
        <w:t>：</w:t>
      </w:r>
      <w:r>
        <w:rPr>
          <w:rFonts w:hint="eastAsia" w:ascii="宋体" w:hAnsi="宋体" w:cs="宋体"/>
          <w:color w:val="auto"/>
          <w:sz w:val="24"/>
          <w:highlight w:val="none"/>
        </w:rPr>
        <w:t>//www.gcy.zfcg.gxzf.gov.cn/）</w:t>
      </w:r>
    </w:p>
    <w:p w14:paraId="53475A6D">
      <w:pPr>
        <w:adjustRightInd w:val="0"/>
        <w:snapToGrid w:val="0"/>
        <w:spacing w:line="360" w:lineRule="auto"/>
        <w:jc w:val="left"/>
        <w:rPr>
          <w:rFonts w:ascii="宋体" w:hAnsi="宋体"/>
          <w:b/>
          <w:color w:val="auto"/>
          <w:kern w:val="0"/>
          <w:sz w:val="24"/>
          <w:szCs w:val="20"/>
          <w:highlight w:val="none"/>
        </w:rPr>
      </w:pPr>
      <w:bookmarkStart w:id="7" w:name="_Toc28359016"/>
      <w:bookmarkStart w:id="8" w:name="_Toc35393802"/>
      <w:bookmarkStart w:id="9" w:name="_Toc28359093"/>
      <w:bookmarkStart w:id="10" w:name="_Toc35393633"/>
      <w:r>
        <w:rPr>
          <w:rFonts w:hint="eastAsia" w:ascii="宋体" w:hAnsi="宋体"/>
          <w:b/>
          <w:color w:val="auto"/>
          <w:kern w:val="0"/>
          <w:sz w:val="24"/>
          <w:szCs w:val="20"/>
          <w:highlight w:val="none"/>
        </w:rPr>
        <w:t>五、响应文件开启</w:t>
      </w:r>
      <w:bookmarkEnd w:id="7"/>
      <w:bookmarkEnd w:id="8"/>
      <w:bookmarkEnd w:id="9"/>
      <w:bookmarkEnd w:id="10"/>
    </w:p>
    <w:p w14:paraId="53475A6E">
      <w:pPr>
        <w:adjustRightInd w:val="0"/>
        <w:spacing w:line="360" w:lineRule="auto"/>
        <w:ind w:firstLine="480" w:firstLineChars="200"/>
        <w:rPr>
          <w:rFonts w:ascii="宋体" w:hAnsi="宋体"/>
          <w:bCs/>
          <w:color w:val="auto"/>
          <w:sz w:val="24"/>
          <w:highlight w:val="none"/>
          <w:u w:val="single"/>
        </w:rPr>
      </w:pPr>
      <w:r>
        <w:rPr>
          <w:rFonts w:hint="eastAsia" w:ascii="宋体" w:hAnsi="宋体"/>
          <w:color w:val="auto"/>
          <w:sz w:val="24"/>
          <w:highlight w:val="none"/>
        </w:rPr>
        <w:t>时间：</w:t>
      </w:r>
      <w:r>
        <w:rPr>
          <w:rFonts w:hint="eastAsia" w:ascii="宋体" w:hAnsi="宋体" w:cs="宋体"/>
          <w:color w:val="auto"/>
          <w:kern w:val="0"/>
          <w:sz w:val="24"/>
          <w:highlight w:val="none"/>
          <w:u w:val="single"/>
          <w:lang w:eastAsia="zh-CN"/>
        </w:rPr>
        <w:t>202</w:t>
      </w:r>
      <w:r>
        <w:rPr>
          <w:rFonts w:hint="eastAsia" w:ascii="宋体" w:hAnsi="宋体" w:cs="宋体"/>
          <w:color w:val="auto"/>
          <w:kern w:val="0"/>
          <w:sz w:val="24"/>
          <w:highlight w:val="none"/>
          <w:u w:val="single"/>
          <w:lang w:val="en-US" w:eastAsia="zh-CN"/>
        </w:rPr>
        <w:t>6</w:t>
      </w:r>
      <w:r>
        <w:rPr>
          <w:rFonts w:hint="eastAsia" w:ascii="宋体" w:hAnsi="宋体" w:cs="宋体"/>
          <w:color w:val="auto"/>
          <w:kern w:val="0"/>
          <w:sz w:val="24"/>
          <w:highlight w:val="none"/>
          <w:u w:val="single"/>
          <w:lang w:eastAsia="zh-CN"/>
        </w:rPr>
        <w:t>年</w:t>
      </w:r>
      <w:r>
        <w:rPr>
          <w:rFonts w:hint="eastAsia" w:ascii="宋体" w:hAnsi="宋体" w:cs="宋体"/>
          <w:color w:val="auto"/>
          <w:kern w:val="0"/>
          <w:sz w:val="24"/>
          <w:highlight w:val="none"/>
          <w:u w:val="single"/>
          <w:lang w:val="en-US" w:eastAsia="zh-CN"/>
        </w:rPr>
        <w:t>1</w:t>
      </w:r>
      <w:r>
        <w:rPr>
          <w:rFonts w:hint="eastAsia" w:ascii="宋体" w:hAnsi="宋体" w:cs="宋体"/>
          <w:color w:val="auto"/>
          <w:kern w:val="0"/>
          <w:sz w:val="24"/>
          <w:highlight w:val="none"/>
          <w:u w:val="single"/>
          <w:lang w:eastAsia="zh-CN"/>
        </w:rPr>
        <w:t>月</w:t>
      </w:r>
      <w:r>
        <w:rPr>
          <w:rFonts w:hint="eastAsia" w:ascii="宋体" w:hAnsi="宋体" w:cs="宋体"/>
          <w:color w:val="auto"/>
          <w:kern w:val="0"/>
          <w:sz w:val="24"/>
          <w:highlight w:val="none"/>
          <w:u w:val="single"/>
          <w:lang w:val="en-US" w:eastAsia="zh-CN"/>
        </w:rPr>
        <w:t>26</w:t>
      </w:r>
      <w:r>
        <w:rPr>
          <w:rFonts w:hint="eastAsia" w:ascii="宋体" w:hAnsi="宋体" w:cs="宋体"/>
          <w:color w:val="auto"/>
          <w:kern w:val="0"/>
          <w:sz w:val="24"/>
          <w:highlight w:val="none"/>
          <w:u w:val="single"/>
          <w:lang w:eastAsia="zh-CN"/>
        </w:rPr>
        <w:t>日09：</w:t>
      </w:r>
      <w:r>
        <w:rPr>
          <w:rFonts w:hint="eastAsia" w:ascii="宋体" w:hAnsi="宋体" w:cs="宋体"/>
          <w:color w:val="auto"/>
          <w:kern w:val="0"/>
          <w:sz w:val="24"/>
          <w:highlight w:val="none"/>
          <w:u w:val="single"/>
          <w:lang w:val="en-US" w:eastAsia="zh-CN"/>
        </w:rPr>
        <w:t>00</w:t>
      </w:r>
      <w:r>
        <w:rPr>
          <w:rFonts w:hint="eastAsia" w:ascii="宋体" w:hAnsi="宋体"/>
          <w:bCs/>
          <w:color w:val="auto"/>
          <w:sz w:val="24"/>
          <w:highlight w:val="none"/>
        </w:rPr>
        <w:t>（北京时间）</w:t>
      </w:r>
    </w:p>
    <w:p w14:paraId="53475A6F">
      <w:pPr>
        <w:adjustRightInd w:val="0"/>
        <w:spacing w:line="360" w:lineRule="auto"/>
        <w:ind w:firstLine="480" w:firstLineChars="200"/>
        <w:rPr>
          <w:rFonts w:ascii="宋体" w:hAnsi="宋体"/>
          <w:bCs/>
          <w:color w:val="auto"/>
          <w:sz w:val="24"/>
          <w:highlight w:val="none"/>
          <w:u w:val="single"/>
        </w:rPr>
      </w:pPr>
      <w:r>
        <w:rPr>
          <w:rFonts w:hint="eastAsia" w:ascii="宋体" w:hAnsi="宋体"/>
          <w:color w:val="auto"/>
          <w:sz w:val="24"/>
          <w:highlight w:val="none"/>
        </w:rPr>
        <w:t>地点：</w:t>
      </w:r>
      <w:r>
        <w:rPr>
          <w:rFonts w:hint="eastAsia" w:ascii="宋体" w:hAnsi="宋体" w:cs="宋体"/>
          <w:color w:val="auto"/>
          <w:sz w:val="24"/>
          <w:highlight w:val="none"/>
        </w:rPr>
        <w:t>广西政府采购云平台（https</w:t>
      </w:r>
      <w:r>
        <w:rPr>
          <w:rFonts w:hint="eastAsia" w:ascii="宋体" w:hAnsi="宋体" w:cs="宋体"/>
          <w:color w:val="auto"/>
          <w:sz w:val="24"/>
          <w:highlight w:val="none"/>
          <w:lang w:eastAsia="zh-CN"/>
        </w:rPr>
        <w:t>：</w:t>
      </w:r>
      <w:r>
        <w:rPr>
          <w:rFonts w:hint="eastAsia" w:ascii="宋体" w:hAnsi="宋体" w:cs="宋体"/>
          <w:color w:val="auto"/>
          <w:sz w:val="24"/>
          <w:highlight w:val="none"/>
        </w:rPr>
        <w:t>//www.gcy.zfcg.gxzf.gov.cn/）</w:t>
      </w:r>
    </w:p>
    <w:p w14:paraId="53475A70">
      <w:pPr>
        <w:adjustRightInd w:val="0"/>
        <w:snapToGrid w:val="0"/>
        <w:spacing w:line="360" w:lineRule="auto"/>
        <w:jc w:val="left"/>
        <w:rPr>
          <w:rFonts w:ascii="宋体" w:hAnsi="宋体"/>
          <w:b/>
          <w:color w:val="auto"/>
          <w:kern w:val="0"/>
          <w:sz w:val="24"/>
          <w:szCs w:val="20"/>
          <w:highlight w:val="none"/>
        </w:rPr>
      </w:pPr>
      <w:bookmarkStart w:id="11" w:name="_Toc35393803"/>
      <w:bookmarkStart w:id="12" w:name="_Toc28359094"/>
      <w:bookmarkStart w:id="13" w:name="_Toc35393634"/>
      <w:bookmarkStart w:id="14" w:name="_Toc28359017"/>
      <w:r>
        <w:rPr>
          <w:rFonts w:hint="eastAsia" w:ascii="宋体" w:hAnsi="宋体"/>
          <w:b/>
          <w:color w:val="auto"/>
          <w:kern w:val="0"/>
          <w:sz w:val="24"/>
          <w:szCs w:val="20"/>
          <w:highlight w:val="none"/>
        </w:rPr>
        <w:t>六、公告期限</w:t>
      </w:r>
      <w:bookmarkEnd w:id="11"/>
      <w:bookmarkEnd w:id="12"/>
      <w:bookmarkEnd w:id="13"/>
      <w:bookmarkEnd w:id="14"/>
    </w:p>
    <w:p w14:paraId="53475A71">
      <w:pPr>
        <w:adjustRightInd w:val="0"/>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自本公告发布之日起5个工作日。</w:t>
      </w:r>
    </w:p>
    <w:p w14:paraId="53475A72">
      <w:pPr>
        <w:adjustRightInd w:val="0"/>
        <w:snapToGrid w:val="0"/>
        <w:spacing w:line="360" w:lineRule="auto"/>
        <w:jc w:val="left"/>
        <w:rPr>
          <w:rFonts w:ascii="宋体" w:hAnsi="宋体"/>
          <w:b/>
          <w:color w:val="auto"/>
          <w:kern w:val="0"/>
          <w:sz w:val="24"/>
          <w:szCs w:val="20"/>
          <w:highlight w:val="none"/>
        </w:rPr>
      </w:pPr>
      <w:bookmarkStart w:id="15" w:name="_Toc35393635"/>
      <w:bookmarkStart w:id="16" w:name="_Toc35393804"/>
      <w:r>
        <w:rPr>
          <w:rFonts w:hint="eastAsia" w:ascii="宋体" w:hAnsi="宋体"/>
          <w:b/>
          <w:color w:val="auto"/>
          <w:kern w:val="0"/>
          <w:sz w:val="24"/>
          <w:szCs w:val="20"/>
          <w:highlight w:val="none"/>
        </w:rPr>
        <w:t>七、其他补充事宜</w:t>
      </w:r>
      <w:bookmarkEnd w:id="15"/>
      <w:bookmarkEnd w:id="16"/>
    </w:p>
    <w:p w14:paraId="53475A73">
      <w:pPr>
        <w:adjustRightIn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1.磋商保证金：本项目不收取磋商保证金。</w:t>
      </w:r>
    </w:p>
    <w:p w14:paraId="53475A74">
      <w:pPr>
        <w:adjustRightIn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本项目需要落实的政府采购政策：（1）支持采用本国产品：政府采购应当采购本国产品，确需采购进口产品的，实行审核管理。优先采购向我国企业转让技术、与我国企业签订消化吸收再创新方案的供应商的进口产品。（2）支持绿色发展：落实强制采购节能产品、鼓励节能政策；鼓励环保政策；推广使用绿色包装；采购绿色建材等。（3）支持中小企业发展：采购限额标准以上，200 万元以下的货物和服务采购项目、400万元以下的工程采购项目，适宜由中小企业提供的，采购人应当专门面向中小企业采购。超过 200万元的货物和服务采购项目、超过400 万元的工程采购项目中适宜由中小企业提供的，预留该部分采购项目预算总额的 30%以上专门面向中小企业采购，其中预留给小微企业的比例不低于60%。对于未预留份额专门面向中小企业采购的政府采购工程项目，以及预留份额政府采购工程项目中的非预留部分标项，对小型和微型企业的磋商报价给予3%-5%的扣除，用扣除后的价格参与评审。（4）支持监狱企业、残疾人福利性单位发展：监狱企业、残疾人福利性单位视同小型和微型企业。（5）支持创新发展：优先采购被认定为首台套产品和“制造精品”的自主创新产品。（6）平等对待内外资企业和符合条件的破产重整企业。</w:t>
      </w:r>
    </w:p>
    <w:p w14:paraId="53475A75">
      <w:pPr>
        <w:adjustRightInd w:val="0"/>
        <w:spacing w:line="360" w:lineRule="auto"/>
        <w:ind w:firstLine="480" w:firstLineChars="200"/>
        <w:rPr>
          <w:color w:val="auto"/>
          <w:highlight w:val="none"/>
        </w:rPr>
      </w:pPr>
      <w:r>
        <w:rPr>
          <w:rFonts w:hint="eastAsia" w:ascii="宋体" w:hAnsi="宋体" w:cs="宋体"/>
          <w:snapToGrid w:val="0"/>
          <w:color w:val="auto"/>
          <w:kern w:val="28"/>
          <w:sz w:val="24"/>
          <w:highlight w:val="none"/>
        </w:rPr>
        <w:t>3.为支持和促进中小企业发展，进一步发挥政府采购政策功能，北海市财政局与北海市工业和信息化局共同出台了《关于贯彻落实政府采购领域促进中小企业发展措施的通知》，供应商若有融资意向，详见《关于贯彻落实政府采购领域促进中小企业发展措施的通知》，或登录北海市政府采购中心网站自助查询。供应商成交后也可在“广西政府采购云”平台申请政采贷：操作路径：登录广西政府采购云平台-金融服务中心-【融资服务】，可在热门申请中选择产品直接申请。</w:t>
      </w:r>
    </w:p>
    <w:p w14:paraId="53475A76">
      <w:pPr>
        <w:adjustRightIn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4.网上公告媒体查询：中国政府采购网(http</w:t>
      </w:r>
      <w:r>
        <w:rPr>
          <w:rFonts w:hint="eastAsia" w:ascii="宋体" w:hAnsi="宋体" w:cs="宋体"/>
          <w:color w:val="auto"/>
          <w:sz w:val="24"/>
          <w:highlight w:val="none"/>
          <w:lang w:eastAsia="zh-CN"/>
        </w:rPr>
        <w:t>：</w:t>
      </w:r>
      <w:r>
        <w:rPr>
          <w:rFonts w:hint="eastAsia" w:ascii="宋体" w:hAnsi="宋体" w:cs="宋体"/>
          <w:color w:val="auto"/>
          <w:sz w:val="24"/>
          <w:highlight w:val="none"/>
        </w:rPr>
        <w:t>//www.ccgp.gov.cn/)、广西政府采购网(http</w:t>
      </w:r>
      <w:r>
        <w:rPr>
          <w:rFonts w:hint="eastAsia" w:ascii="宋体" w:hAnsi="宋体" w:cs="宋体"/>
          <w:color w:val="auto"/>
          <w:sz w:val="24"/>
          <w:highlight w:val="none"/>
          <w:lang w:eastAsia="zh-CN"/>
        </w:rPr>
        <w:t>：</w:t>
      </w:r>
      <w:r>
        <w:rPr>
          <w:rFonts w:hint="eastAsia" w:ascii="宋体" w:hAnsi="宋体" w:cs="宋体"/>
          <w:color w:val="auto"/>
          <w:sz w:val="24"/>
          <w:highlight w:val="none"/>
        </w:rPr>
        <w:t>//www.ccgp-guangxi.gov.cn/)。</w:t>
      </w:r>
    </w:p>
    <w:p w14:paraId="53475A77">
      <w:pPr>
        <w:adjustRightIn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本项目通过广西政府采购云平台实行在线投标响应（电子投标），为确保网上操作合法、有效和安全，磋商供应商应当在磋商截止时间前完成在“广西政府采购云平台”的身份认证，确保在电子投标过程中能够对相关数据电文进行加密和使用电子签章。使用“广西政府采购云平台电子交易客户端”需要提前申领CA数字证书，CA证书申请操作指南下载地址（网上申请方式见网址：http</w:t>
      </w:r>
      <w:r>
        <w:rPr>
          <w:rFonts w:hint="eastAsia" w:ascii="宋体" w:hAnsi="宋体" w:cs="宋体"/>
          <w:color w:val="auto"/>
          <w:sz w:val="24"/>
          <w:highlight w:val="none"/>
          <w:lang w:eastAsia="zh-CN"/>
        </w:rPr>
        <w:t>：</w:t>
      </w:r>
      <w:r>
        <w:rPr>
          <w:rFonts w:hint="eastAsia" w:ascii="宋体" w:hAnsi="宋体" w:cs="宋体"/>
          <w:color w:val="auto"/>
          <w:sz w:val="24"/>
          <w:highlight w:val="none"/>
        </w:rPr>
        <w:t>//www.ccgp-guangxi.gov.cn/luban/detail?parentId=66479&amp;articleId=pSO9fZ16UrkQX4GkrKyqiA==&amp;utm=luban.luban-PC-38919.1085-pc-wsg-guangxi-secondPage-front.1.2e18f760d69611ed8f2cc9701088ccbf）（广西政府采购网）或（现场办理：https</w:t>
      </w:r>
      <w:r>
        <w:rPr>
          <w:rFonts w:hint="eastAsia" w:ascii="宋体" w:hAnsi="宋体" w:cs="宋体"/>
          <w:color w:val="auto"/>
          <w:sz w:val="24"/>
          <w:highlight w:val="none"/>
          <w:lang w:eastAsia="zh-CN"/>
        </w:rPr>
        <w:t>：</w:t>
      </w:r>
      <w:r>
        <w:rPr>
          <w:rFonts w:hint="eastAsia" w:ascii="宋体" w:hAnsi="宋体" w:cs="宋体"/>
          <w:color w:val="auto"/>
          <w:sz w:val="24"/>
          <w:highlight w:val="none"/>
        </w:rPr>
        <w:t>//www.gxca.com.cn/detail/detail?articleId=1546808615271264258&amp;classifyId=1546335737551556610&amp;pid=1546335679795990530（广西壮族自治区数字证书认证中心）。</w:t>
      </w:r>
    </w:p>
    <w:p w14:paraId="53475A78">
      <w:pPr>
        <w:adjustRightIn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6.各供应商通过广西政府采购云平台参与政府采购项目投标需下载使用新版客户端，新版客户端下载路径：广西政府采购网（http</w:t>
      </w:r>
      <w:r>
        <w:rPr>
          <w:rFonts w:hint="eastAsia" w:ascii="宋体" w:hAnsi="宋体" w:cs="宋体"/>
          <w:color w:val="auto"/>
          <w:sz w:val="24"/>
          <w:highlight w:val="none"/>
          <w:lang w:eastAsia="zh-CN"/>
        </w:rPr>
        <w:t>：</w:t>
      </w:r>
      <w:r>
        <w:rPr>
          <w:rFonts w:hint="eastAsia" w:ascii="宋体" w:hAnsi="宋体" w:cs="宋体"/>
          <w:color w:val="auto"/>
          <w:sz w:val="24"/>
          <w:highlight w:val="none"/>
        </w:rPr>
        <w:t>//zfcg.gxzf.gov.cn/）—办事服务—下载专区—广西政府采购云平台新版客户端。电子响应文件制作与投送教程请登录广西政府采购云平台“服务中心-帮助文档-项目采购-操作流程-电子招投标-政府采购项目电子交易管理操作指南-供应商”。</w:t>
      </w:r>
    </w:p>
    <w:p w14:paraId="53475A79">
      <w:pPr>
        <w:adjustRightIn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7.单位负责人为同一人或者存在直接控股、管理关系的不同供应商，不得参加同一合同项下的政府采购活动；为采购项目提供整体设计、规范编制或者项目管理、监理、检测等服务后不得再参加该采购项目的其他采购活动。</w:t>
      </w:r>
    </w:p>
    <w:p w14:paraId="53475A7A">
      <w:pPr>
        <w:adjustRightInd w:val="0"/>
        <w:spacing w:line="360" w:lineRule="auto"/>
        <w:ind w:firstLine="480" w:firstLineChars="200"/>
        <w:rPr>
          <w:rFonts w:hint="eastAsia" w:ascii="宋体" w:hAnsi="宋体" w:eastAsia="宋体" w:cs="宋体"/>
          <w:color w:val="auto"/>
          <w:sz w:val="24"/>
          <w:highlight w:val="none"/>
          <w:lang w:eastAsia="zh-CN"/>
        </w:rPr>
      </w:pPr>
      <w:r>
        <w:rPr>
          <w:rFonts w:hint="eastAsia" w:ascii="宋体" w:hAnsi="宋体" w:cs="宋体"/>
          <w:color w:val="auto"/>
          <w:sz w:val="24"/>
          <w:highlight w:val="none"/>
        </w:rPr>
        <w:t>8.本项目采用远程异地评审</w:t>
      </w:r>
      <w:r>
        <w:rPr>
          <w:rFonts w:hint="eastAsia" w:ascii="宋体" w:hAnsi="宋体" w:cs="宋体"/>
          <w:color w:val="auto"/>
          <w:sz w:val="24"/>
          <w:highlight w:val="none"/>
          <w:lang w:eastAsia="zh-CN"/>
        </w:rPr>
        <w:t>。</w:t>
      </w:r>
    </w:p>
    <w:p w14:paraId="53475A7B">
      <w:pPr>
        <w:adjustRightInd w:val="0"/>
        <w:snapToGrid w:val="0"/>
        <w:spacing w:line="360" w:lineRule="auto"/>
        <w:jc w:val="left"/>
        <w:rPr>
          <w:rFonts w:ascii="宋体" w:hAnsi="宋体"/>
          <w:b/>
          <w:color w:val="auto"/>
          <w:kern w:val="0"/>
          <w:sz w:val="24"/>
          <w:szCs w:val="20"/>
          <w:highlight w:val="none"/>
        </w:rPr>
      </w:pPr>
      <w:bookmarkStart w:id="17" w:name="_Toc35393636"/>
      <w:bookmarkStart w:id="18" w:name="_Toc28359018"/>
      <w:bookmarkStart w:id="19" w:name="_Toc35393805"/>
      <w:bookmarkStart w:id="20" w:name="_Toc28359095"/>
      <w:r>
        <w:rPr>
          <w:rFonts w:hint="eastAsia" w:ascii="宋体" w:hAnsi="宋体"/>
          <w:b/>
          <w:color w:val="auto"/>
          <w:kern w:val="0"/>
          <w:sz w:val="24"/>
          <w:szCs w:val="20"/>
          <w:highlight w:val="none"/>
        </w:rPr>
        <w:t>八、凡对本次采购提出询问、质疑、投诉，请按以下方式联系</w:t>
      </w:r>
      <w:bookmarkEnd w:id="17"/>
      <w:bookmarkEnd w:id="18"/>
      <w:bookmarkEnd w:id="19"/>
      <w:bookmarkEnd w:id="20"/>
    </w:p>
    <w:p w14:paraId="53475A7C">
      <w:pPr>
        <w:adjustRightInd w:val="0"/>
        <w:spacing w:line="360" w:lineRule="auto"/>
        <w:ind w:firstLine="480"/>
        <w:rPr>
          <w:rFonts w:ascii="宋体" w:hAnsi="宋体" w:cs="宋体"/>
          <w:color w:val="auto"/>
          <w:sz w:val="24"/>
          <w:highlight w:val="none"/>
        </w:rPr>
      </w:pPr>
      <w:r>
        <w:rPr>
          <w:rFonts w:hint="eastAsia" w:ascii="宋体" w:hAnsi="宋体" w:cs="宋体"/>
          <w:color w:val="auto"/>
          <w:sz w:val="24"/>
          <w:highlight w:val="none"/>
        </w:rPr>
        <w:t>1.采购人信息</w:t>
      </w:r>
    </w:p>
    <w:p w14:paraId="53475A7D">
      <w:pPr>
        <w:adjustRightInd w:val="0"/>
        <w:spacing w:line="360" w:lineRule="auto"/>
        <w:ind w:firstLine="480"/>
        <w:rPr>
          <w:rFonts w:ascii="宋体" w:hAnsi="宋体" w:cs="宋体"/>
          <w:color w:val="auto"/>
          <w:sz w:val="24"/>
          <w:highlight w:val="none"/>
        </w:rPr>
      </w:pPr>
      <w:r>
        <w:rPr>
          <w:rFonts w:hint="eastAsia" w:ascii="宋体" w:hAnsi="宋体" w:cs="宋体"/>
          <w:color w:val="auto"/>
          <w:sz w:val="24"/>
          <w:highlight w:val="none"/>
        </w:rPr>
        <w:t>名    称：</w:t>
      </w:r>
      <w:r>
        <w:rPr>
          <w:rFonts w:hint="eastAsia" w:ascii="宋体" w:hAnsi="宋体" w:cs="宋体"/>
          <w:color w:val="auto"/>
          <w:sz w:val="24"/>
          <w:highlight w:val="none"/>
          <w:lang w:eastAsia="zh-CN"/>
        </w:rPr>
        <w:t>合浦县水利局</w:t>
      </w:r>
      <w:r>
        <w:rPr>
          <w:rFonts w:hint="eastAsia" w:ascii="宋体" w:hAnsi="宋体" w:cs="宋体"/>
          <w:color w:val="auto"/>
          <w:sz w:val="24"/>
          <w:highlight w:val="none"/>
        </w:rPr>
        <w:t xml:space="preserve"> </w:t>
      </w:r>
    </w:p>
    <w:p w14:paraId="53475A7E">
      <w:pPr>
        <w:adjustRightInd w:val="0"/>
        <w:spacing w:line="360" w:lineRule="auto"/>
        <w:rPr>
          <w:rFonts w:ascii="宋体" w:hAnsi="宋体" w:cs="宋体"/>
          <w:color w:val="auto"/>
          <w:sz w:val="24"/>
          <w:highlight w:val="none"/>
        </w:rPr>
      </w:pPr>
      <w:r>
        <w:rPr>
          <w:rFonts w:hint="eastAsia" w:ascii="宋体" w:hAnsi="宋体" w:cs="宋体"/>
          <w:color w:val="auto"/>
          <w:sz w:val="24"/>
          <w:highlight w:val="none"/>
        </w:rPr>
        <w:t xml:space="preserve">    地    址：</w:t>
      </w:r>
      <w:r>
        <w:rPr>
          <w:rFonts w:hint="eastAsia" w:ascii="宋体" w:hAnsi="宋体" w:cs="宋体"/>
          <w:color w:val="auto"/>
          <w:sz w:val="24"/>
          <w:highlight w:val="none"/>
          <w:lang w:eastAsia="zh-CN"/>
        </w:rPr>
        <w:t>合浦县廉州镇南乐街69号</w:t>
      </w:r>
      <w:r>
        <w:rPr>
          <w:rFonts w:hint="eastAsia" w:ascii="宋体" w:hAnsi="宋体" w:cs="宋体"/>
          <w:color w:val="auto"/>
          <w:sz w:val="24"/>
          <w:highlight w:val="none"/>
        </w:rPr>
        <w:t xml:space="preserve">   </w:t>
      </w:r>
    </w:p>
    <w:p w14:paraId="53475A7F">
      <w:pPr>
        <w:adjustRightInd w:val="0"/>
        <w:spacing w:line="360" w:lineRule="auto"/>
        <w:ind w:firstLine="480"/>
        <w:rPr>
          <w:rFonts w:ascii="宋体" w:hAnsi="宋体" w:cs="宋体"/>
          <w:color w:val="auto"/>
          <w:sz w:val="24"/>
          <w:highlight w:val="none"/>
        </w:rPr>
      </w:pPr>
      <w:r>
        <w:rPr>
          <w:rFonts w:hint="eastAsia" w:ascii="宋体" w:hAnsi="宋体" w:cs="宋体"/>
          <w:color w:val="auto"/>
          <w:sz w:val="24"/>
          <w:highlight w:val="none"/>
        </w:rPr>
        <w:t>项目联系人：</w:t>
      </w:r>
      <w:r>
        <w:rPr>
          <w:rFonts w:hint="eastAsia" w:ascii="宋体" w:hAnsi="宋体" w:cs="宋体"/>
          <w:color w:val="auto"/>
          <w:sz w:val="24"/>
          <w:highlight w:val="none"/>
          <w:lang w:eastAsia="zh-CN"/>
        </w:rPr>
        <w:t>郑正聪</w:t>
      </w:r>
      <w:r>
        <w:rPr>
          <w:rFonts w:hint="eastAsia" w:ascii="宋体" w:hAnsi="宋体" w:cs="宋体"/>
          <w:color w:val="auto"/>
          <w:sz w:val="24"/>
          <w:highlight w:val="none"/>
        </w:rPr>
        <w:t xml:space="preserve"> </w:t>
      </w:r>
    </w:p>
    <w:p w14:paraId="53475A80">
      <w:pPr>
        <w:adjustRightInd w:val="0"/>
        <w:spacing w:line="360" w:lineRule="auto"/>
        <w:rPr>
          <w:rFonts w:hint="eastAsia" w:ascii="宋体" w:hAnsi="宋体" w:eastAsia="宋体" w:cs="宋体"/>
          <w:color w:val="auto"/>
          <w:sz w:val="24"/>
          <w:highlight w:val="none"/>
          <w:lang w:eastAsia="zh-CN"/>
        </w:rPr>
      </w:pPr>
      <w:r>
        <w:rPr>
          <w:rFonts w:hint="eastAsia" w:ascii="宋体" w:hAnsi="宋体" w:cs="宋体"/>
          <w:color w:val="auto"/>
          <w:sz w:val="24"/>
          <w:highlight w:val="none"/>
        </w:rPr>
        <w:t xml:space="preserve">    项目联系方式：0779-7285590 </w:t>
      </w:r>
    </w:p>
    <w:p w14:paraId="53475A81">
      <w:pPr>
        <w:adjustRightInd w:val="0"/>
        <w:spacing w:line="360" w:lineRule="auto"/>
        <w:rPr>
          <w:rFonts w:ascii="宋体" w:hAnsi="宋体" w:cs="宋体"/>
          <w:color w:val="auto"/>
          <w:sz w:val="24"/>
          <w:highlight w:val="none"/>
        </w:rPr>
      </w:pPr>
      <w:r>
        <w:rPr>
          <w:rFonts w:hint="eastAsia" w:ascii="宋体" w:hAnsi="宋体" w:cs="宋体"/>
          <w:color w:val="auto"/>
          <w:sz w:val="24"/>
          <w:highlight w:val="none"/>
        </w:rPr>
        <w:t xml:space="preserve">    2.采购代理机构信息            </w:t>
      </w:r>
    </w:p>
    <w:p w14:paraId="0203D1E4">
      <w:pPr>
        <w:adjustRightIn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 xml:space="preserve">名    称：广西中之元工程管理有限公司             </w:t>
      </w:r>
    </w:p>
    <w:p w14:paraId="50DD1CC4">
      <w:pPr>
        <w:adjustRightInd w:val="0"/>
        <w:spacing w:line="360" w:lineRule="auto"/>
        <w:rPr>
          <w:rFonts w:ascii="宋体" w:hAnsi="宋体"/>
          <w:color w:val="auto"/>
          <w:sz w:val="24"/>
          <w:highlight w:val="none"/>
        </w:rPr>
      </w:pPr>
      <w:r>
        <w:rPr>
          <w:rFonts w:hint="eastAsia" w:ascii="宋体" w:hAnsi="宋体"/>
          <w:color w:val="auto"/>
          <w:sz w:val="24"/>
          <w:highlight w:val="none"/>
        </w:rPr>
        <w:t xml:space="preserve">    地    址：北海市合浦县文昌新城二幢9号楼 </w:t>
      </w:r>
      <w:r>
        <w:rPr>
          <w:rFonts w:ascii="宋体" w:hAnsi="宋体"/>
          <w:color w:val="auto"/>
          <w:sz w:val="24"/>
          <w:highlight w:val="none"/>
        </w:rPr>
        <w:t xml:space="preserve"> </w:t>
      </w:r>
    </w:p>
    <w:p w14:paraId="4BACBA8A">
      <w:pPr>
        <w:adjustRightInd w:val="0"/>
        <w:spacing w:line="360" w:lineRule="auto"/>
        <w:rPr>
          <w:rFonts w:hint="eastAsia" w:ascii="宋体" w:hAnsi="宋体" w:eastAsia="宋体"/>
          <w:color w:val="auto"/>
          <w:sz w:val="24"/>
          <w:highlight w:val="none"/>
          <w:lang w:eastAsia="zh-CN"/>
        </w:rPr>
      </w:pPr>
      <w:r>
        <w:rPr>
          <w:rFonts w:hint="eastAsia" w:ascii="宋体" w:hAnsi="宋体"/>
          <w:color w:val="auto"/>
          <w:sz w:val="24"/>
          <w:highlight w:val="none"/>
        </w:rPr>
        <w:t xml:space="preserve">    项目联系人：</w:t>
      </w:r>
      <w:r>
        <w:rPr>
          <w:rFonts w:hint="eastAsia" w:ascii="宋体" w:hAnsi="宋体"/>
          <w:color w:val="auto"/>
          <w:sz w:val="24"/>
          <w:highlight w:val="none"/>
          <w:lang w:eastAsia="zh-CN"/>
        </w:rPr>
        <w:t>庞雪</w:t>
      </w:r>
    </w:p>
    <w:p w14:paraId="491040E5">
      <w:pPr>
        <w:adjustRightInd w:val="0"/>
        <w:spacing w:line="360" w:lineRule="auto"/>
        <w:rPr>
          <w:rFonts w:ascii="宋体" w:hAnsi="宋体"/>
          <w:color w:val="auto"/>
          <w:sz w:val="24"/>
          <w:highlight w:val="none"/>
        </w:rPr>
      </w:pPr>
      <w:r>
        <w:rPr>
          <w:rFonts w:hint="eastAsia" w:ascii="宋体" w:hAnsi="宋体"/>
          <w:color w:val="auto"/>
          <w:sz w:val="24"/>
          <w:highlight w:val="none"/>
        </w:rPr>
        <w:t xml:space="preserve">    项目联系方式：</w:t>
      </w:r>
      <w:r>
        <w:rPr>
          <w:rFonts w:hint="eastAsia" w:ascii="宋体" w:hAnsi="宋体"/>
          <w:color w:val="auto"/>
          <w:sz w:val="24"/>
          <w:highlight w:val="none"/>
          <w:lang w:val="en-US" w:eastAsia="zh-CN"/>
        </w:rPr>
        <w:t>0779-7200788</w:t>
      </w:r>
      <w:r>
        <w:rPr>
          <w:rFonts w:hint="eastAsia" w:ascii="宋体" w:hAnsi="宋体"/>
          <w:color w:val="auto"/>
          <w:sz w:val="24"/>
          <w:highlight w:val="none"/>
        </w:rPr>
        <w:t xml:space="preserve"> </w:t>
      </w:r>
    </w:p>
    <w:p w14:paraId="38ADBA95">
      <w:pPr>
        <w:tabs>
          <w:tab w:val="left" w:pos="9639"/>
          <w:tab w:val="left" w:pos="9746"/>
        </w:tabs>
        <w:adjustRightInd w:val="0"/>
        <w:snapToGrid w:val="0"/>
        <w:rPr>
          <w:rFonts w:ascii="宋体" w:hAnsi="宋体" w:cs="宋体"/>
          <w:color w:val="auto"/>
          <w:kern w:val="0"/>
          <w:szCs w:val="21"/>
          <w:highlight w:val="none"/>
        </w:rPr>
      </w:pPr>
    </w:p>
    <w:p w14:paraId="58F446D8">
      <w:pPr>
        <w:adjustRightInd w:val="0"/>
        <w:spacing w:line="360" w:lineRule="auto"/>
        <w:rPr>
          <w:rFonts w:hint="eastAsia" w:ascii="宋体" w:hAnsi="宋体"/>
          <w:color w:val="auto"/>
          <w:sz w:val="24"/>
          <w:highlight w:val="none"/>
        </w:rPr>
      </w:pPr>
    </w:p>
    <w:p w14:paraId="66EA73FE">
      <w:pPr>
        <w:adjustRightInd w:val="0"/>
        <w:spacing w:line="360" w:lineRule="auto"/>
        <w:rPr>
          <w:rFonts w:hint="eastAsia" w:ascii="宋体" w:hAnsi="宋体"/>
          <w:color w:val="auto"/>
          <w:sz w:val="24"/>
          <w:highlight w:val="none"/>
        </w:rPr>
      </w:pPr>
      <w:r>
        <w:rPr>
          <w:rFonts w:hint="eastAsia" w:ascii="宋体" w:hAnsi="宋体"/>
          <w:color w:val="auto"/>
          <w:sz w:val="24"/>
          <w:highlight w:val="none"/>
        </w:rPr>
        <w:t xml:space="preserve">采购人：                                        </w:t>
      </w:r>
      <w:r>
        <w:rPr>
          <w:rFonts w:hint="eastAsia" w:ascii="宋体" w:hAnsi="宋体"/>
          <w:color w:val="auto"/>
          <w:sz w:val="24"/>
          <w:highlight w:val="none"/>
          <w:lang w:val="en-US" w:eastAsia="zh-CN"/>
        </w:rPr>
        <w:t xml:space="preserve">  </w:t>
      </w:r>
      <w:r>
        <w:rPr>
          <w:rFonts w:hint="eastAsia" w:ascii="宋体" w:hAnsi="宋体"/>
          <w:color w:val="auto"/>
          <w:sz w:val="24"/>
          <w:highlight w:val="none"/>
        </w:rPr>
        <w:t>采购代理机构：</w:t>
      </w:r>
    </w:p>
    <w:p w14:paraId="5CA3BB34">
      <w:pPr>
        <w:adjustRightInd w:val="0"/>
        <w:spacing w:line="360" w:lineRule="auto"/>
        <w:rPr>
          <w:rFonts w:hint="eastAsia" w:ascii="宋体" w:hAnsi="宋体"/>
          <w:color w:val="auto"/>
          <w:sz w:val="24"/>
          <w:highlight w:val="none"/>
        </w:rPr>
      </w:pPr>
      <w:r>
        <w:rPr>
          <w:rFonts w:hint="eastAsia" w:ascii="宋体" w:hAnsi="宋体"/>
          <w:color w:val="auto"/>
          <w:sz w:val="24"/>
          <w:highlight w:val="none"/>
          <w:lang w:eastAsia="zh-CN"/>
        </w:rPr>
        <w:t>合浦县水利局</w:t>
      </w:r>
      <w:r>
        <w:rPr>
          <w:rFonts w:hint="eastAsia" w:ascii="宋体" w:hAnsi="宋体"/>
          <w:color w:val="auto"/>
          <w:sz w:val="24"/>
          <w:highlight w:val="none"/>
        </w:rPr>
        <w:t xml:space="preserve">                            </w:t>
      </w:r>
      <w:r>
        <w:rPr>
          <w:rFonts w:hint="eastAsia" w:ascii="宋体" w:hAnsi="宋体"/>
          <w:color w:val="auto"/>
          <w:sz w:val="24"/>
          <w:highlight w:val="none"/>
          <w:lang w:val="en-US" w:eastAsia="zh-CN"/>
        </w:rPr>
        <w:t xml:space="preserve">          </w:t>
      </w:r>
      <w:r>
        <w:rPr>
          <w:rFonts w:hint="eastAsia" w:ascii="宋体" w:hAnsi="宋体"/>
          <w:color w:val="auto"/>
          <w:sz w:val="24"/>
          <w:highlight w:val="none"/>
        </w:rPr>
        <w:t xml:space="preserve">广西中之元工程管理有限公司                          </w:t>
      </w:r>
    </w:p>
    <w:p w14:paraId="60BA6679">
      <w:pPr>
        <w:adjustRightInd w:val="0"/>
        <w:spacing w:line="360" w:lineRule="auto"/>
        <w:rPr>
          <w:rFonts w:hint="eastAsia" w:ascii="宋体" w:hAnsi="宋体"/>
          <w:color w:val="auto"/>
          <w:sz w:val="24"/>
          <w:highlight w:val="none"/>
        </w:rPr>
      </w:pPr>
      <w:r>
        <w:rPr>
          <w:rFonts w:hint="eastAsia" w:ascii="宋体" w:hAnsi="宋体"/>
          <w:color w:val="auto"/>
          <w:sz w:val="24"/>
          <w:highlight w:val="none"/>
        </w:rPr>
        <w:t>202</w:t>
      </w:r>
      <w:r>
        <w:rPr>
          <w:rFonts w:hint="eastAsia" w:ascii="宋体" w:hAnsi="宋体"/>
          <w:color w:val="auto"/>
          <w:sz w:val="24"/>
          <w:highlight w:val="none"/>
          <w:lang w:val="en-US" w:eastAsia="zh-CN"/>
        </w:rPr>
        <w:t>6</w:t>
      </w:r>
      <w:r>
        <w:rPr>
          <w:rFonts w:hint="eastAsia" w:ascii="宋体" w:hAnsi="宋体"/>
          <w:color w:val="auto"/>
          <w:sz w:val="24"/>
          <w:highlight w:val="none"/>
        </w:rPr>
        <w:t>年</w:t>
      </w:r>
      <w:r>
        <w:rPr>
          <w:rFonts w:hint="eastAsia" w:ascii="宋体" w:hAnsi="宋体"/>
          <w:color w:val="auto"/>
          <w:sz w:val="24"/>
          <w:highlight w:val="none"/>
          <w:lang w:val="en-US" w:eastAsia="zh-CN"/>
        </w:rPr>
        <w:t>1</w:t>
      </w:r>
      <w:r>
        <w:rPr>
          <w:rFonts w:hint="eastAsia" w:ascii="宋体" w:hAnsi="宋体"/>
          <w:color w:val="auto"/>
          <w:sz w:val="24"/>
          <w:highlight w:val="none"/>
        </w:rPr>
        <w:t>月</w:t>
      </w:r>
      <w:r>
        <w:rPr>
          <w:rFonts w:hint="eastAsia" w:ascii="宋体" w:hAnsi="宋体"/>
          <w:color w:val="auto"/>
          <w:sz w:val="24"/>
          <w:highlight w:val="none"/>
          <w:lang w:val="en-US" w:eastAsia="zh-CN"/>
        </w:rPr>
        <w:t>14</w:t>
      </w:r>
      <w:r>
        <w:rPr>
          <w:rFonts w:hint="eastAsia" w:ascii="宋体" w:hAnsi="宋体"/>
          <w:color w:val="auto"/>
          <w:sz w:val="24"/>
          <w:highlight w:val="none"/>
        </w:rPr>
        <w:t xml:space="preserve">日                                </w:t>
      </w:r>
      <w:r>
        <w:rPr>
          <w:rFonts w:hint="eastAsia" w:ascii="宋体" w:hAnsi="宋体"/>
          <w:color w:val="auto"/>
          <w:sz w:val="24"/>
          <w:highlight w:val="none"/>
          <w:lang w:val="en-US" w:eastAsia="zh-CN"/>
        </w:rPr>
        <w:t xml:space="preserve"> </w:t>
      </w:r>
      <w:r>
        <w:rPr>
          <w:rFonts w:hint="eastAsia" w:ascii="宋体" w:hAnsi="宋体"/>
          <w:color w:val="auto"/>
          <w:sz w:val="24"/>
          <w:highlight w:val="none"/>
        </w:rPr>
        <w:t xml:space="preserve"> 202</w:t>
      </w:r>
      <w:r>
        <w:rPr>
          <w:rFonts w:hint="eastAsia" w:ascii="宋体" w:hAnsi="宋体"/>
          <w:color w:val="auto"/>
          <w:sz w:val="24"/>
          <w:highlight w:val="none"/>
          <w:lang w:val="en-US" w:eastAsia="zh-CN"/>
        </w:rPr>
        <w:t>6</w:t>
      </w:r>
      <w:r>
        <w:rPr>
          <w:rFonts w:hint="eastAsia" w:ascii="宋体" w:hAnsi="宋体"/>
          <w:color w:val="auto"/>
          <w:sz w:val="24"/>
          <w:highlight w:val="none"/>
        </w:rPr>
        <w:t>年</w:t>
      </w:r>
      <w:r>
        <w:rPr>
          <w:rFonts w:hint="eastAsia" w:ascii="宋体" w:hAnsi="宋体"/>
          <w:color w:val="auto"/>
          <w:sz w:val="24"/>
          <w:highlight w:val="none"/>
          <w:lang w:val="en-US" w:eastAsia="zh-CN"/>
        </w:rPr>
        <w:t>1</w:t>
      </w:r>
      <w:r>
        <w:rPr>
          <w:rFonts w:hint="eastAsia" w:ascii="宋体" w:hAnsi="宋体"/>
          <w:color w:val="auto"/>
          <w:sz w:val="24"/>
          <w:highlight w:val="none"/>
        </w:rPr>
        <w:t>月</w:t>
      </w:r>
      <w:r>
        <w:rPr>
          <w:rFonts w:hint="eastAsia" w:ascii="宋体" w:hAnsi="宋体"/>
          <w:color w:val="auto"/>
          <w:sz w:val="24"/>
          <w:highlight w:val="none"/>
          <w:lang w:val="en-US" w:eastAsia="zh-CN"/>
        </w:rPr>
        <w:t>14</w:t>
      </w:r>
      <w:r>
        <w:rPr>
          <w:rFonts w:hint="eastAsia" w:ascii="宋体" w:hAnsi="宋体"/>
          <w:color w:val="auto"/>
          <w:sz w:val="24"/>
          <w:highlight w:val="none"/>
        </w:rPr>
        <w:t>日</w:t>
      </w:r>
    </w:p>
    <w:p w14:paraId="745DED1E">
      <w:pPr>
        <w:tabs>
          <w:tab w:val="left" w:pos="9639"/>
          <w:tab w:val="left" w:pos="9746"/>
        </w:tabs>
        <w:adjustRightInd w:val="0"/>
        <w:snapToGrid w:val="0"/>
        <w:ind w:firstLine="420" w:firstLineChars="200"/>
        <w:rPr>
          <w:rFonts w:ascii="宋体" w:hAnsi="宋体" w:cs="宋体"/>
          <w:color w:val="auto"/>
          <w:kern w:val="0"/>
          <w:szCs w:val="21"/>
          <w:highlight w:val="none"/>
        </w:rPr>
      </w:pPr>
    </w:p>
    <w:p w14:paraId="53475A89">
      <w:pPr>
        <w:tabs>
          <w:tab w:val="left" w:pos="9639"/>
          <w:tab w:val="left" w:pos="9746"/>
        </w:tabs>
        <w:adjustRightInd w:val="0"/>
        <w:snapToGrid w:val="0"/>
        <w:spacing w:line="260" w:lineRule="exact"/>
        <w:ind w:firstLine="6972" w:firstLineChars="3320"/>
        <w:rPr>
          <w:rFonts w:ascii="仿宋_GB2312" w:hAnsi="宋体" w:eastAsia="仿宋_GB2312"/>
          <w:b/>
          <w:color w:val="auto"/>
          <w:sz w:val="32"/>
          <w:szCs w:val="32"/>
          <w:highlight w:val="none"/>
        </w:rPr>
      </w:pPr>
      <w:r>
        <w:rPr>
          <w:rFonts w:hAnsi="宋体" w:cs="宋体"/>
          <w:color w:val="auto"/>
          <w:kern w:val="0"/>
          <w:szCs w:val="21"/>
          <w:highlight w:val="none"/>
        </w:rPr>
        <w:br w:type="page"/>
      </w:r>
    </w:p>
    <w:p w14:paraId="53475A8A">
      <w:pPr>
        <w:spacing w:line="400" w:lineRule="exact"/>
        <w:jc w:val="center"/>
        <w:rPr>
          <w:rFonts w:ascii="仿宋_GB2312" w:hAnsi="宋体" w:eastAsia="仿宋_GB2312"/>
          <w:b/>
          <w:color w:val="auto"/>
          <w:sz w:val="32"/>
          <w:szCs w:val="32"/>
          <w:highlight w:val="none"/>
        </w:rPr>
      </w:pPr>
    </w:p>
    <w:p w14:paraId="53475A8B">
      <w:pPr>
        <w:spacing w:line="400" w:lineRule="exact"/>
        <w:jc w:val="center"/>
        <w:rPr>
          <w:rFonts w:ascii="仿宋_GB2312" w:hAnsi="宋体" w:eastAsia="仿宋_GB2312"/>
          <w:b/>
          <w:color w:val="auto"/>
          <w:sz w:val="32"/>
          <w:szCs w:val="32"/>
          <w:highlight w:val="none"/>
        </w:rPr>
      </w:pPr>
    </w:p>
    <w:p w14:paraId="53475A8C">
      <w:pPr>
        <w:spacing w:line="400" w:lineRule="exact"/>
        <w:jc w:val="center"/>
        <w:rPr>
          <w:rFonts w:ascii="仿宋_GB2312" w:hAnsi="宋体" w:eastAsia="仿宋_GB2312"/>
          <w:b/>
          <w:color w:val="auto"/>
          <w:sz w:val="32"/>
          <w:szCs w:val="32"/>
          <w:highlight w:val="none"/>
        </w:rPr>
      </w:pPr>
    </w:p>
    <w:p w14:paraId="53475A8D">
      <w:pPr>
        <w:spacing w:line="400" w:lineRule="exact"/>
        <w:jc w:val="center"/>
        <w:rPr>
          <w:rFonts w:ascii="仿宋_GB2312" w:hAnsi="宋体" w:eastAsia="仿宋_GB2312"/>
          <w:b/>
          <w:color w:val="auto"/>
          <w:sz w:val="32"/>
          <w:szCs w:val="32"/>
          <w:highlight w:val="none"/>
        </w:rPr>
      </w:pPr>
    </w:p>
    <w:p w14:paraId="53475A8E">
      <w:pPr>
        <w:spacing w:line="400" w:lineRule="exact"/>
        <w:jc w:val="center"/>
        <w:rPr>
          <w:rFonts w:ascii="仿宋_GB2312" w:hAnsi="宋体" w:eastAsia="仿宋_GB2312"/>
          <w:b/>
          <w:color w:val="auto"/>
          <w:sz w:val="32"/>
          <w:szCs w:val="32"/>
          <w:highlight w:val="none"/>
        </w:rPr>
      </w:pPr>
    </w:p>
    <w:p w14:paraId="53475A8F">
      <w:pPr>
        <w:spacing w:line="400" w:lineRule="exact"/>
        <w:jc w:val="center"/>
        <w:rPr>
          <w:rFonts w:ascii="仿宋_GB2312" w:hAnsi="宋体" w:eastAsia="仿宋_GB2312"/>
          <w:b/>
          <w:color w:val="auto"/>
          <w:sz w:val="32"/>
          <w:szCs w:val="32"/>
          <w:highlight w:val="none"/>
        </w:rPr>
      </w:pPr>
    </w:p>
    <w:p w14:paraId="53475A90">
      <w:pPr>
        <w:spacing w:line="400" w:lineRule="exact"/>
        <w:jc w:val="center"/>
        <w:rPr>
          <w:rFonts w:ascii="仿宋_GB2312" w:hAnsi="宋体" w:eastAsia="仿宋_GB2312"/>
          <w:b/>
          <w:color w:val="auto"/>
          <w:sz w:val="32"/>
          <w:szCs w:val="32"/>
          <w:highlight w:val="none"/>
        </w:rPr>
      </w:pPr>
    </w:p>
    <w:p w14:paraId="53475A91">
      <w:pPr>
        <w:spacing w:line="400" w:lineRule="exact"/>
        <w:jc w:val="center"/>
        <w:rPr>
          <w:rFonts w:ascii="仿宋_GB2312" w:hAnsi="宋体" w:eastAsia="仿宋_GB2312"/>
          <w:b/>
          <w:color w:val="auto"/>
          <w:sz w:val="32"/>
          <w:szCs w:val="32"/>
          <w:highlight w:val="none"/>
        </w:rPr>
      </w:pPr>
    </w:p>
    <w:p w14:paraId="53475A92">
      <w:pPr>
        <w:spacing w:line="400" w:lineRule="exact"/>
        <w:jc w:val="center"/>
        <w:rPr>
          <w:rFonts w:ascii="仿宋_GB2312" w:hAnsi="宋体" w:eastAsia="仿宋_GB2312"/>
          <w:b/>
          <w:color w:val="auto"/>
          <w:sz w:val="32"/>
          <w:szCs w:val="32"/>
          <w:highlight w:val="none"/>
        </w:rPr>
      </w:pPr>
    </w:p>
    <w:p w14:paraId="53475A93">
      <w:pPr>
        <w:spacing w:line="400" w:lineRule="exact"/>
        <w:jc w:val="center"/>
        <w:rPr>
          <w:rFonts w:ascii="仿宋_GB2312" w:hAnsi="宋体" w:eastAsia="仿宋_GB2312"/>
          <w:b/>
          <w:color w:val="auto"/>
          <w:sz w:val="32"/>
          <w:szCs w:val="32"/>
          <w:highlight w:val="none"/>
        </w:rPr>
      </w:pPr>
    </w:p>
    <w:p w14:paraId="53475A94">
      <w:pPr>
        <w:spacing w:line="400" w:lineRule="exact"/>
        <w:jc w:val="center"/>
        <w:rPr>
          <w:rFonts w:ascii="仿宋_GB2312" w:hAnsi="宋体" w:eastAsia="仿宋_GB2312"/>
          <w:b/>
          <w:color w:val="auto"/>
          <w:sz w:val="32"/>
          <w:szCs w:val="32"/>
          <w:highlight w:val="none"/>
        </w:rPr>
      </w:pPr>
    </w:p>
    <w:p w14:paraId="53475A95">
      <w:pPr>
        <w:spacing w:line="400" w:lineRule="exact"/>
        <w:jc w:val="center"/>
        <w:rPr>
          <w:rFonts w:ascii="仿宋_GB2312" w:hAnsi="宋体" w:eastAsia="仿宋_GB2312"/>
          <w:b/>
          <w:color w:val="auto"/>
          <w:sz w:val="32"/>
          <w:szCs w:val="32"/>
          <w:highlight w:val="none"/>
        </w:rPr>
      </w:pPr>
    </w:p>
    <w:p w14:paraId="53475A96">
      <w:pPr>
        <w:spacing w:line="600" w:lineRule="exact"/>
        <w:jc w:val="center"/>
        <w:outlineLvl w:val="0"/>
        <w:rPr>
          <w:rFonts w:ascii="宋体" w:hAnsi="宋体"/>
          <w:b/>
          <w:color w:val="auto"/>
          <w:sz w:val="44"/>
          <w:szCs w:val="44"/>
          <w:highlight w:val="none"/>
        </w:rPr>
      </w:pPr>
      <w:bookmarkStart w:id="21" w:name="_Toc176861407"/>
      <w:bookmarkStart w:id="22" w:name="_Toc3994504"/>
      <w:bookmarkStart w:id="23" w:name="_Toc3943"/>
      <w:r>
        <w:rPr>
          <w:rFonts w:hint="eastAsia" w:ascii="宋体" w:hAnsi="宋体"/>
          <w:b/>
          <w:color w:val="auto"/>
          <w:sz w:val="44"/>
          <w:szCs w:val="44"/>
          <w:highlight w:val="none"/>
        </w:rPr>
        <w:t>第二章  磋商供应商须知</w:t>
      </w:r>
      <w:bookmarkEnd w:id="21"/>
      <w:bookmarkEnd w:id="22"/>
      <w:bookmarkEnd w:id="23"/>
    </w:p>
    <w:p w14:paraId="53475A97">
      <w:pPr>
        <w:spacing w:line="400" w:lineRule="exact"/>
        <w:jc w:val="center"/>
        <w:rPr>
          <w:rFonts w:ascii="仿宋_GB2312" w:hAnsi="宋体" w:eastAsia="仿宋_GB2312"/>
          <w:b/>
          <w:color w:val="auto"/>
          <w:sz w:val="32"/>
          <w:szCs w:val="32"/>
          <w:highlight w:val="none"/>
        </w:rPr>
      </w:pPr>
    </w:p>
    <w:p w14:paraId="53475A98">
      <w:pPr>
        <w:spacing w:line="400" w:lineRule="exact"/>
        <w:jc w:val="center"/>
        <w:rPr>
          <w:rFonts w:ascii="仿宋_GB2312" w:hAnsi="宋体" w:eastAsia="仿宋_GB2312"/>
          <w:b/>
          <w:color w:val="auto"/>
          <w:sz w:val="32"/>
          <w:szCs w:val="32"/>
          <w:highlight w:val="none"/>
        </w:rPr>
      </w:pPr>
    </w:p>
    <w:p w14:paraId="53475A99">
      <w:pPr>
        <w:spacing w:line="400" w:lineRule="exact"/>
        <w:jc w:val="center"/>
        <w:rPr>
          <w:rFonts w:ascii="仿宋_GB2312" w:hAnsi="宋体" w:eastAsia="仿宋_GB2312"/>
          <w:b/>
          <w:color w:val="auto"/>
          <w:sz w:val="32"/>
          <w:szCs w:val="32"/>
          <w:highlight w:val="none"/>
        </w:rPr>
      </w:pPr>
    </w:p>
    <w:p w14:paraId="53475A9A">
      <w:pPr>
        <w:spacing w:line="400" w:lineRule="exact"/>
        <w:jc w:val="center"/>
        <w:rPr>
          <w:rFonts w:ascii="仿宋_GB2312" w:hAnsi="宋体" w:eastAsia="仿宋_GB2312"/>
          <w:b/>
          <w:color w:val="auto"/>
          <w:sz w:val="32"/>
          <w:szCs w:val="32"/>
          <w:highlight w:val="none"/>
        </w:rPr>
      </w:pPr>
    </w:p>
    <w:p w14:paraId="53475A9B">
      <w:pPr>
        <w:spacing w:line="400" w:lineRule="exact"/>
        <w:jc w:val="center"/>
        <w:rPr>
          <w:rFonts w:ascii="仿宋_GB2312" w:hAnsi="宋体" w:eastAsia="仿宋_GB2312"/>
          <w:b/>
          <w:color w:val="auto"/>
          <w:sz w:val="32"/>
          <w:szCs w:val="32"/>
          <w:highlight w:val="none"/>
        </w:rPr>
      </w:pPr>
    </w:p>
    <w:p w14:paraId="53475AA1">
      <w:pPr>
        <w:spacing w:line="400" w:lineRule="exact"/>
        <w:jc w:val="both"/>
        <w:rPr>
          <w:rFonts w:ascii="仿宋_GB2312" w:hAnsi="宋体" w:eastAsia="仿宋_GB2312"/>
          <w:b/>
          <w:color w:val="auto"/>
          <w:sz w:val="32"/>
          <w:szCs w:val="32"/>
          <w:highlight w:val="none"/>
        </w:rPr>
      </w:pPr>
    </w:p>
    <w:p w14:paraId="53475AAA">
      <w:pPr>
        <w:rPr>
          <w:color w:val="auto"/>
          <w:highlight w:val="none"/>
        </w:rPr>
      </w:pPr>
    </w:p>
    <w:p w14:paraId="53475AAB">
      <w:pPr>
        <w:pStyle w:val="4"/>
        <w:rPr>
          <w:color w:val="auto"/>
          <w:highlight w:val="none"/>
        </w:rPr>
      </w:pPr>
    </w:p>
    <w:p w14:paraId="53475AAC">
      <w:pPr>
        <w:spacing w:line="400" w:lineRule="exact"/>
        <w:rPr>
          <w:rFonts w:ascii="仿宋_GB2312" w:hAnsi="宋体" w:eastAsia="仿宋_GB2312"/>
          <w:b/>
          <w:color w:val="auto"/>
          <w:sz w:val="32"/>
          <w:szCs w:val="32"/>
          <w:highlight w:val="none"/>
        </w:rPr>
      </w:pPr>
    </w:p>
    <w:p w14:paraId="369529E9">
      <w:pPr>
        <w:rPr>
          <w:rFonts w:hint="eastAsia" w:ascii="宋体" w:hAnsi="宋体"/>
          <w:b/>
          <w:color w:val="auto"/>
          <w:sz w:val="32"/>
          <w:szCs w:val="32"/>
          <w:highlight w:val="none"/>
        </w:rPr>
      </w:pPr>
      <w:r>
        <w:rPr>
          <w:rFonts w:hint="eastAsia" w:ascii="宋体" w:hAnsi="宋体"/>
          <w:b/>
          <w:color w:val="auto"/>
          <w:sz w:val="32"/>
          <w:szCs w:val="32"/>
          <w:highlight w:val="none"/>
        </w:rPr>
        <w:br w:type="page"/>
      </w:r>
    </w:p>
    <w:p w14:paraId="53475AAD">
      <w:pPr>
        <w:spacing w:line="400" w:lineRule="exact"/>
        <w:jc w:val="center"/>
        <w:rPr>
          <w:rFonts w:ascii="宋体" w:hAnsi="宋体"/>
          <w:b/>
          <w:color w:val="auto"/>
          <w:sz w:val="32"/>
          <w:szCs w:val="32"/>
          <w:highlight w:val="none"/>
        </w:rPr>
      </w:pPr>
      <w:r>
        <w:rPr>
          <w:rFonts w:hint="eastAsia" w:ascii="宋体" w:hAnsi="宋体"/>
          <w:b/>
          <w:color w:val="auto"/>
          <w:sz w:val="32"/>
          <w:szCs w:val="32"/>
          <w:highlight w:val="none"/>
        </w:rPr>
        <w:t>磋商</w:t>
      </w:r>
      <w:r>
        <w:rPr>
          <w:rFonts w:ascii="宋体" w:hAnsi="宋体"/>
          <w:b/>
          <w:color w:val="auto"/>
          <w:sz w:val="32"/>
          <w:szCs w:val="32"/>
          <w:highlight w:val="none"/>
        </w:rPr>
        <w:t>供应商须知前附表</w:t>
      </w:r>
    </w:p>
    <w:tbl>
      <w:tblPr>
        <w:tblStyle w:val="38"/>
        <w:tblW w:w="107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7"/>
        <w:gridCol w:w="1284"/>
        <w:gridCol w:w="8781"/>
      </w:tblGrid>
      <w:tr w14:paraId="53475A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637" w:type="dxa"/>
            <w:vAlign w:val="center"/>
          </w:tcPr>
          <w:p w14:paraId="53475AAE">
            <w:pPr>
              <w:pStyle w:val="77"/>
              <w:spacing w:line="360" w:lineRule="auto"/>
              <w:jc w:val="center"/>
              <w:rPr>
                <w:rFonts w:hAnsi="宋体"/>
                <w:color w:val="auto"/>
                <w:sz w:val="24"/>
                <w:szCs w:val="24"/>
                <w:highlight w:val="none"/>
              </w:rPr>
            </w:pPr>
            <w:r>
              <w:rPr>
                <w:rFonts w:hint="eastAsia" w:hAnsi="宋体"/>
                <w:color w:val="auto"/>
                <w:sz w:val="24"/>
                <w:szCs w:val="24"/>
                <w:highlight w:val="none"/>
              </w:rPr>
              <w:t>序号</w:t>
            </w:r>
          </w:p>
        </w:tc>
        <w:tc>
          <w:tcPr>
            <w:tcW w:w="1284" w:type="dxa"/>
            <w:vAlign w:val="center"/>
          </w:tcPr>
          <w:p w14:paraId="53475AAF">
            <w:pPr>
              <w:pStyle w:val="77"/>
              <w:spacing w:line="360" w:lineRule="auto"/>
              <w:jc w:val="center"/>
              <w:rPr>
                <w:rFonts w:hAnsi="宋体"/>
                <w:color w:val="auto"/>
                <w:sz w:val="24"/>
                <w:szCs w:val="24"/>
                <w:highlight w:val="none"/>
              </w:rPr>
            </w:pPr>
            <w:r>
              <w:rPr>
                <w:rFonts w:hint="eastAsia" w:hAnsi="宋体"/>
                <w:color w:val="auto"/>
                <w:sz w:val="24"/>
                <w:szCs w:val="24"/>
                <w:highlight w:val="none"/>
              </w:rPr>
              <w:t>名称</w:t>
            </w:r>
          </w:p>
        </w:tc>
        <w:tc>
          <w:tcPr>
            <w:tcW w:w="8781" w:type="dxa"/>
            <w:vAlign w:val="center"/>
          </w:tcPr>
          <w:p w14:paraId="53475AB0">
            <w:pPr>
              <w:pStyle w:val="77"/>
              <w:spacing w:line="360" w:lineRule="auto"/>
              <w:jc w:val="center"/>
              <w:rPr>
                <w:rFonts w:hAnsi="宋体"/>
                <w:color w:val="auto"/>
                <w:sz w:val="24"/>
                <w:szCs w:val="24"/>
                <w:highlight w:val="none"/>
              </w:rPr>
            </w:pPr>
            <w:r>
              <w:rPr>
                <w:rFonts w:hint="eastAsia" w:hAnsi="宋体"/>
                <w:color w:val="auto"/>
                <w:sz w:val="24"/>
                <w:szCs w:val="24"/>
                <w:highlight w:val="none"/>
              </w:rPr>
              <w:t>内    容</w:t>
            </w:r>
          </w:p>
        </w:tc>
      </w:tr>
      <w:tr w14:paraId="53475A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9" w:hRule="atLeast"/>
          <w:jc w:val="center"/>
        </w:trPr>
        <w:tc>
          <w:tcPr>
            <w:tcW w:w="637" w:type="dxa"/>
            <w:vAlign w:val="center"/>
          </w:tcPr>
          <w:p w14:paraId="53475AB2">
            <w:pPr>
              <w:pStyle w:val="77"/>
              <w:spacing w:line="360" w:lineRule="auto"/>
              <w:jc w:val="center"/>
              <w:rPr>
                <w:rFonts w:hAnsi="宋体"/>
                <w:color w:val="auto"/>
                <w:sz w:val="24"/>
                <w:szCs w:val="24"/>
                <w:highlight w:val="none"/>
              </w:rPr>
            </w:pPr>
            <w:r>
              <w:rPr>
                <w:rFonts w:hint="eastAsia" w:hAnsi="宋体"/>
                <w:color w:val="auto"/>
                <w:sz w:val="24"/>
                <w:szCs w:val="24"/>
                <w:highlight w:val="none"/>
              </w:rPr>
              <w:t>1</w:t>
            </w:r>
          </w:p>
        </w:tc>
        <w:tc>
          <w:tcPr>
            <w:tcW w:w="1284" w:type="dxa"/>
            <w:vAlign w:val="center"/>
          </w:tcPr>
          <w:p w14:paraId="53475AB3">
            <w:pPr>
              <w:pStyle w:val="77"/>
              <w:spacing w:line="360" w:lineRule="auto"/>
              <w:jc w:val="center"/>
              <w:rPr>
                <w:rFonts w:hAnsi="宋体"/>
                <w:color w:val="auto"/>
                <w:sz w:val="24"/>
                <w:szCs w:val="24"/>
                <w:highlight w:val="none"/>
              </w:rPr>
            </w:pPr>
            <w:r>
              <w:rPr>
                <w:rFonts w:hint="eastAsia" w:hAnsi="宋体"/>
                <w:color w:val="auto"/>
                <w:sz w:val="24"/>
                <w:szCs w:val="24"/>
                <w:highlight w:val="none"/>
              </w:rPr>
              <w:t>项目名称及编号</w:t>
            </w:r>
          </w:p>
        </w:tc>
        <w:tc>
          <w:tcPr>
            <w:tcW w:w="8781" w:type="dxa"/>
            <w:vAlign w:val="center"/>
          </w:tcPr>
          <w:p w14:paraId="53475AB4">
            <w:pPr>
              <w:spacing w:line="360" w:lineRule="auto"/>
              <w:rPr>
                <w:rFonts w:hint="eastAsia" w:ascii="宋体" w:hAnsi="宋体" w:eastAsia="宋体" w:cs="宋体"/>
                <w:color w:val="auto"/>
                <w:spacing w:val="2"/>
                <w:sz w:val="24"/>
                <w:highlight w:val="none"/>
                <w:lang w:eastAsia="zh-CN"/>
              </w:rPr>
            </w:pPr>
            <w:r>
              <w:rPr>
                <w:rFonts w:hint="eastAsia" w:ascii="宋体" w:hAnsi="宋体" w:cs="宋体"/>
                <w:color w:val="auto"/>
                <w:spacing w:val="2"/>
                <w:sz w:val="24"/>
                <w:highlight w:val="none"/>
              </w:rPr>
              <w:t>工程名称：</w:t>
            </w:r>
            <w:r>
              <w:rPr>
                <w:rFonts w:hint="eastAsia" w:ascii="宋体" w:hAnsi="宋体" w:cs="宋体"/>
                <w:color w:val="auto"/>
                <w:spacing w:val="2"/>
                <w:sz w:val="24"/>
                <w:highlight w:val="none"/>
                <w:lang w:eastAsia="zh-CN"/>
              </w:rPr>
              <w:t>合浦县田寮水库标准化创建工程（土建部分）</w:t>
            </w:r>
          </w:p>
          <w:p w14:paraId="53475AB5">
            <w:pPr>
              <w:spacing w:line="360" w:lineRule="auto"/>
              <w:rPr>
                <w:rFonts w:hint="eastAsia" w:ascii="宋体" w:hAnsi="宋体" w:eastAsia="宋体" w:cs="宋体"/>
                <w:color w:val="auto"/>
                <w:spacing w:val="2"/>
                <w:sz w:val="24"/>
                <w:highlight w:val="none"/>
                <w:lang w:eastAsia="zh-CN"/>
              </w:rPr>
            </w:pPr>
            <w:r>
              <w:rPr>
                <w:rFonts w:hint="eastAsia" w:ascii="宋体" w:hAnsi="宋体" w:cs="宋体"/>
                <w:color w:val="auto"/>
                <w:spacing w:val="2"/>
                <w:sz w:val="24"/>
                <w:highlight w:val="none"/>
              </w:rPr>
              <w:t>项目编号：BHZC2026-C2-210001-ZZYG</w:t>
            </w:r>
          </w:p>
          <w:p w14:paraId="53475AB6">
            <w:pPr>
              <w:spacing w:line="360" w:lineRule="auto"/>
              <w:rPr>
                <w:rFonts w:ascii="宋体" w:hAnsi="宋体" w:cs="宋体"/>
                <w:color w:val="auto"/>
                <w:sz w:val="24"/>
                <w:highlight w:val="none"/>
              </w:rPr>
            </w:pPr>
            <w:r>
              <w:rPr>
                <w:rFonts w:hint="eastAsia" w:ascii="宋体" w:hAnsi="宋体" w:cs="宋体"/>
                <w:color w:val="auto"/>
                <w:spacing w:val="2"/>
                <w:sz w:val="24"/>
                <w:highlight w:val="none"/>
              </w:rPr>
              <w:t>建设地点：</w:t>
            </w:r>
            <w:r>
              <w:rPr>
                <w:rFonts w:hint="eastAsia" w:ascii="宋体" w:hAnsi="宋体" w:cs="宋体"/>
                <w:color w:val="auto"/>
                <w:spacing w:val="2"/>
                <w:sz w:val="24"/>
                <w:highlight w:val="none"/>
                <w:lang w:val="en-US" w:eastAsia="zh-CN"/>
              </w:rPr>
              <w:t>合浦县沙田镇</w:t>
            </w:r>
          </w:p>
          <w:p w14:paraId="53475AB7">
            <w:pPr>
              <w:spacing w:line="360" w:lineRule="auto"/>
              <w:rPr>
                <w:rFonts w:ascii="宋体" w:hAnsi="宋体" w:cs="宋体"/>
                <w:color w:val="auto"/>
                <w:spacing w:val="2"/>
                <w:sz w:val="24"/>
                <w:highlight w:val="none"/>
              </w:rPr>
            </w:pPr>
            <w:r>
              <w:rPr>
                <w:rFonts w:hint="eastAsia" w:ascii="宋体" w:hAnsi="宋体" w:cs="宋体"/>
                <w:color w:val="auto"/>
                <w:spacing w:val="2"/>
                <w:sz w:val="24"/>
                <w:highlight w:val="none"/>
              </w:rPr>
              <w:t>发包方式：包工包料</w:t>
            </w:r>
          </w:p>
          <w:p w14:paraId="53475AB8">
            <w:pPr>
              <w:spacing w:line="360" w:lineRule="auto"/>
              <w:rPr>
                <w:rFonts w:ascii="宋体" w:hAnsi="宋体" w:cs="宋体"/>
                <w:color w:val="auto"/>
                <w:spacing w:val="2"/>
                <w:sz w:val="24"/>
                <w:highlight w:val="none"/>
              </w:rPr>
            </w:pPr>
            <w:r>
              <w:rPr>
                <w:rFonts w:hint="eastAsia" w:ascii="宋体" w:hAnsi="宋体" w:cs="宋体"/>
                <w:color w:val="auto"/>
                <w:spacing w:val="2"/>
                <w:sz w:val="24"/>
                <w:highlight w:val="none"/>
              </w:rPr>
              <w:t>工程质量要求：达到国家工程施工验收规范合格标准</w:t>
            </w:r>
          </w:p>
          <w:p w14:paraId="53475AB9">
            <w:pPr>
              <w:spacing w:line="360" w:lineRule="auto"/>
              <w:rPr>
                <w:rFonts w:ascii="宋体" w:hAnsi="宋体" w:cs="宋体"/>
                <w:color w:val="auto"/>
                <w:spacing w:val="2"/>
                <w:sz w:val="24"/>
                <w:highlight w:val="none"/>
              </w:rPr>
            </w:pPr>
            <w:r>
              <w:rPr>
                <w:rFonts w:hint="eastAsia" w:ascii="宋体" w:hAnsi="宋体" w:cs="宋体"/>
                <w:color w:val="auto"/>
                <w:spacing w:val="2"/>
                <w:sz w:val="24"/>
                <w:highlight w:val="none"/>
              </w:rPr>
              <w:t>要求工期：</w:t>
            </w:r>
            <w:r>
              <w:rPr>
                <w:rFonts w:hint="eastAsia" w:ascii="宋体" w:hAnsi="宋体" w:cs="宋体"/>
                <w:color w:val="auto"/>
                <w:spacing w:val="2"/>
                <w:sz w:val="24"/>
                <w:highlight w:val="none"/>
                <w:lang w:eastAsia="zh-CN"/>
              </w:rPr>
              <w:t>监理签发的开工日起</w:t>
            </w:r>
            <w:r>
              <w:rPr>
                <w:rFonts w:hint="eastAsia" w:ascii="宋体" w:hAnsi="宋体" w:cs="宋体"/>
                <w:color w:val="auto"/>
                <w:spacing w:val="2"/>
                <w:sz w:val="24"/>
                <w:highlight w:val="none"/>
                <w:lang w:val="en-US" w:eastAsia="zh-CN"/>
              </w:rPr>
              <w:t>90</w:t>
            </w:r>
            <w:r>
              <w:rPr>
                <w:rFonts w:hint="eastAsia" w:ascii="宋体" w:hAnsi="宋体" w:cs="宋体"/>
                <w:color w:val="auto"/>
                <w:spacing w:val="2"/>
                <w:sz w:val="24"/>
                <w:highlight w:val="none"/>
                <w:lang w:eastAsia="zh-CN"/>
              </w:rPr>
              <w:t>日历天内完成</w:t>
            </w:r>
            <w:r>
              <w:rPr>
                <w:rFonts w:hint="eastAsia" w:ascii="宋体" w:hAnsi="宋体" w:cs="宋体"/>
                <w:color w:val="auto"/>
                <w:spacing w:val="2"/>
                <w:sz w:val="24"/>
                <w:highlight w:val="none"/>
              </w:rPr>
              <w:t xml:space="preserve"> </w:t>
            </w:r>
          </w:p>
          <w:p w14:paraId="53475ABA">
            <w:pPr>
              <w:pStyle w:val="77"/>
              <w:spacing w:line="360" w:lineRule="auto"/>
              <w:rPr>
                <w:rFonts w:hAnsi="宋体"/>
                <w:color w:val="auto"/>
                <w:sz w:val="24"/>
                <w:szCs w:val="24"/>
                <w:highlight w:val="none"/>
              </w:rPr>
            </w:pPr>
            <w:r>
              <w:rPr>
                <w:rFonts w:hint="eastAsia" w:hAnsi="宋体" w:cs="宋体"/>
                <w:color w:val="auto"/>
                <w:spacing w:val="2"/>
                <w:sz w:val="24"/>
                <w:szCs w:val="24"/>
                <w:highlight w:val="none"/>
              </w:rPr>
              <w:t>采购范围：</w:t>
            </w:r>
            <w:r>
              <w:rPr>
                <w:rFonts w:hint="eastAsia" w:hAnsi="宋体" w:cs="宋体"/>
                <w:color w:val="auto"/>
                <w:spacing w:val="2"/>
                <w:sz w:val="24"/>
                <w:szCs w:val="24"/>
                <w:highlight w:val="none"/>
              </w:rPr>
              <w:t>施工图纸及工程量清单所包含的全部内容。</w:t>
            </w:r>
            <w:r>
              <w:rPr>
                <w:rFonts w:hint="eastAsia" w:hAnsi="宋体" w:cs="宋体"/>
                <w:color w:val="auto"/>
                <w:spacing w:val="2"/>
                <w:sz w:val="24"/>
                <w:szCs w:val="24"/>
                <w:highlight w:val="none"/>
              </w:rPr>
              <w:t xml:space="preserve"> </w:t>
            </w:r>
          </w:p>
        </w:tc>
      </w:tr>
      <w:tr w14:paraId="53475A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9" w:hRule="atLeast"/>
          <w:jc w:val="center"/>
        </w:trPr>
        <w:tc>
          <w:tcPr>
            <w:tcW w:w="637" w:type="dxa"/>
            <w:vAlign w:val="center"/>
          </w:tcPr>
          <w:p w14:paraId="53475ABC">
            <w:pPr>
              <w:pStyle w:val="77"/>
              <w:spacing w:line="360" w:lineRule="auto"/>
              <w:jc w:val="center"/>
              <w:rPr>
                <w:rFonts w:hAnsi="宋体"/>
                <w:color w:val="auto"/>
                <w:sz w:val="24"/>
                <w:szCs w:val="24"/>
                <w:highlight w:val="none"/>
              </w:rPr>
            </w:pPr>
            <w:r>
              <w:rPr>
                <w:rFonts w:hint="eastAsia" w:hAnsi="宋体"/>
                <w:color w:val="auto"/>
                <w:sz w:val="24"/>
                <w:szCs w:val="24"/>
                <w:highlight w:val="none"/>
              </w:rPr>
              <w:t>2</w:t>
            </w:r>
          </w:p>
        </w:tc>
        <w:tc>
          <w:tcPr>
            <w:tcW w:w="1284" w:type="dxa"/>
            <w:vAlign w:val="center"/>
          </w:tcPr>
          <w:p w14:paraId="53475ABD">
            <w:pPr>
              <w:pStyle w:val="77"/>
              <w:spacing w:line="360" w:lineRule="auto"/>
              <w:rPr>
                <w:rFonts w:hAnsi="宋体"/>
                <w:color w:val="auto"/>
                <w:sz w:val="24"/>
                <w:szCs w:val="24"/>
                <w:highlight w:val="none"/>
              </w:rPr>
            </w:pPr>
            <w:r>
              <w:rPr>
                <w:rFonts w:hint="eastAsia" w:hAnsi="宋体"/>
                <w:color w:val="auto"/>
                <w:sz w:val="24"/>
                <w:szCs w:val="24"/>
                <w:highlight w:val="none"/>
              </w:rPr>
              <w:t>资金来源</w:t>
            </w:r>
          </w:p>
        </w:tc>
        <w:tc>
          <w:tcPr>
            <w:tcW w:w="8781" w:type="dxa"/>
            <w:vAlign w:val="center"/>
          </w:tcPr>
          <w:p w14:paraId="53475ABE">
            <w:pPr>
              <w:spacing w:line="360" w:lineRule="auto"/>
              <w:rPr>
                <w:rFonts w:ascii="宋体" w:hAnsi="宋体" w:cs="宋体"/>
                <w:color w:val="auto"/>
                <w:spacing w:val="2"/>
                <w:sz w:val="24"/>
                <w:highlight w:val="none"/>
              </w:rPr>
            </w:pPr>
            <w:r>
              <w:rPr>
                <w:rFonts w:hint="eastAsia" w:ascii="宋体" w:hAnsi="宋体" w:cs="宋体"/>
                <w:color w:val="auto"/>
                <w:spacing w:val="2"/>
                <w:sz w:val="24"/>
                <w:highlight w:val="none"/>
              </w:rPr>
              <w:t>本工程的资金来源为</w:t>
            </w:r>
            <w:r>
              <w:rPr>
                <w:rFonts w:hint="eastAsia" w:ascii="宋体" w:hAnsi="宋体" w:cs="宋体"/>
                <w:color w:val="auto"/>
                <w:spacing w:val="2"/>
                <w:sz w:val="24"/>
                <w:highlight w:val="none"/>
                <w:u w:val="single"/>
              </w:rPr>
              <w:t xml:space="preserve"> 财政资金 </w:t>
            </w:r>
            <w:r>
              <w:rPr>
                <w:rFonts w:hint="eastAsia" w:ascii="宋体" w:hAnsi="宋体" w:cs="宋体"/>
                <w:color w:val="auto"/>
                <w:spacing w:val="2"/>
                <w:sz w:val="24"/>
                <w:highlight w:val="none"/>
              </w:rPr>
              <w:t>，资金已落实，并将资金用于本工程合同项下的合格支付。</w:t>
            </w:r>
          </w:p>
          <w:p w14:paraId="53475ABF">
            <w:pPr>
              <w:pStyle w:val="77"/>
              <w:spacing w:line="360" w:lineRule="auto"/>
              <w:rPr>
                <w:rFonts w:hint="default" w:hAnsi="宋体" w:eastAsia="宋体" w:cs="宋体"/>
                <w:color w:val="auto"/>
                <w:spacing w:val="2"/>
                <w:sz w:val="24"/>
                <w:szCs w:val="24"/>
                <w:highlight w:val="none"/>
                <w:lang w:val="en-US" w:eastAsia="zh-CN"/>
              </w:rPr>
            </w:pPr>
            <w:r>
              <w:rPr>
                <w:rFonts w:hint="eastAsia" w:hAnsi="宋体" w:cs="宋体"/>
                <w:color w:val="auto"/>
                <w:spacing w:val="2"/>
                <w:sz w:val="24"/>
                <w:szCs w:val="24"/>
                <w:highlight w:val="none"/>
              </w:rPr>
              <w:t>本项目采购预算控制价（包含建安劳保费）</w:t>
            </w:r>
            <w:r>
              <w:rPr>
                <w:rFonts w:hint="eastAsia" w:hAnsi="宋体" w:cs="宋体"/>
                <w:color w:val="auto"/>
                <w:spacing w:val="2"/>
                <w:sz w:val="24"/>
                <w:szCs w:val="24"/>
                <w:highlight w:val="none"/>
                <w:lang w:eastAsia="zh-CN"/>
              </w:rPr>
              <w:t>：</w:t>
            </w:r>
            <w:r>
              <w:rPr>
                <w:rFonts w:hint="eastAsia" w:hAnsi="宋体"/>
                <w:color w:val="auto"/>
                <w:sz w:val="24"/>
                <w:highlight w:val="none"/>
                <w:lang w:val="en-US" w:eastAsia="zh-CN"/>
              </w:rPr>
              <w:t>693612.25</w:t>
            </w:r>
            <w:r>
              <w:rPr>
                <w:rFonts w:hint="eastAsia" w:hAnsi="宋体"/>
                <w:color w:val="auto"/>
                <w:sz w:val="24"/>
                <w:highlight w:val="none"/>
                <w:lang w:val="en-US" w:eastAsia="zh-CN"/>
              </w:rPr>
              <w:t>元</w:t>
            </w:r>
          </w:p>
        </w:tc>
      </w:tr>
      <w:tr w14:paraId="53475A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9" w:hRule="atLeast"/>
          <w:jc w:val="center"/>
        </w:trPr>
        <w:tc>
          <w:tcPr>
            <w:tcW w:w="637" w:type="dxa"/>
            <w:vAlign w:val="center"/>
          </w:tcPr>
          <w:p w14:paraId="53475AC1">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3</w:t>
            </w:r>
          </w:p>
        </w:tc>
        <w:tc>
          <w:tcPr>
            <w:tcW w:w="1284" w:type="dxa"/>
            <w:vAlign w:val="center"/>
          </w:tcPr>
          <w:p w14:paraId="53475AC2">
            <w:pPr>
              <w:pStyle w:val="101"/>
              <w:ind w:firstLine="0"/>
              <w:jc w:val="center"/>
              <w:rPr>
                <w:color w:val="auto"/>
                <w:highlight w:val="none"/>
              </w:rPr>
            </w:pPr>
            <w:r>
              <w:rPr>
                <w:rFonts w:hint="eastAsia"/>
                <w:color w:val="auto"/>
                <w:highlight w:val="none"/>
              </w:rPr>
              <w:t>采购标的及其对应的中小企业划分标准所属行业</w:t>
            </w:r>
          </w:p>
        </w:tc>
        <w:tc>
          <w:tcPr>
            <w:tcW w:w="8781" w:type="dxa"/>
            <w:vAlign w:val="center"/>
          </w:tcPr>
          <w:p w14:paraId="53475AC3">
            <w:pPr>
              <w:pStyle w:val="101"/>
              <w:ind w:firstLine="0"/>
              <w:rPr>
                <w:color w:val="auto"/>
                <w:highlight w:val="none"/>
              </w:rPr>
            </w:pPr>
            <w:r>
              <w:rPr>
                <w:rFonts w:hint="eastAsia"/>
                <w:color w:val="auto"/>
                <w:highlight w:val="none"/>
              </w:rPr>
              <w:t>（1）标的：</w:t>
            </w:r>
            <w:r>
              <w:rPr>
                <w:rFonts w:hint="eastAsia"/>
                <w:color w:val="auto"/>
                <w:highlight w:val="none"/>
                <w:u w:val="single"/>
              </w:rPr>
              <w:t xml:space="preserve"> </w:t>
            </w:r>
            <w:r>
              <w:rPr>
                <w:rFonts w:hint="eastAsia"/>
                <w:color w:val="auto"/>
                <w:highlight w:val="none"/>
                <w:u w:val="single"/>
                <w:lang w:eastAsia="zh-CN"/>
              </w:rPr>
              <w:t>合浦县田寮水库标准化创建工程（土建部分）</w:t>
            </w:r>
            <w:r>
              <w:rPr>
                <w:rFonts w:hint="eastAsia"/>
                <w:color w:val="auto"/>
                <w:highlight w:val="none"/>
                <w:u w:val="single"/>
              </w:rPr>
              <w:t xml:space="preserve"> </w:t>
            </w:r>
            <w:r>
              <w:rPr>
                <w:rFonts w:hint="eastAsia"/>
                <w:color w:val="auto"/>
                <w:highlight w:val="none"/>
              </w:rPr>
              <w:t>，属于</w:t>
            </w:r>
            <w:r>
              <w:rPr>
                <w:rFonts w:hint="eastAsia"/>
                <w:color w:val="auto"/>
                <w:highlight w:val="none"/>
                <w:u w:val="single"/>
              </w:rPr>
              <w:t xml:space="preserve"> 建筑业 </w:t>
            </w:r>
            <w:r>
              <w:rPr>
                <w:rFonts w:hint="eastAsia"/>
                <w:color w:val="auto"/>
                <w:highlight w:val="none"/>
              </w:rPr>
              <w:t>行业；</w:t>
            </w:r>
          </w:p>
        </w:tc>
      </w:tr>
      <w:tr w14:paraId="53475A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637" w:type="dxa"/>
            <w:vAlign w:val="center"/>
          </w:tcPr>
          <w:p w14:paraId="53475AC5">
            <w:pPr>
              <w:pStyle w:val="77"/>
              <w:spacing w:line="360" w:lineRule="auto"/>
              <w:jc w:val="center"/>
              <w:rPr>
                <w:rFonts w:hAnsi="宋体"/>
                <w:color w:val="auto"/>
                <w:sz w:val="24"/>
                <w:szCs w:val="24"/>
                <w:highlight w:val="none"/>
              </w:rPr>
            </w:pPr>
            <w:r>
              <w:rPr>
                <w:rFonts w:hint="eastAsia" w:hAnsi="宋体"/>
                <w:color w:val="auto"/>
                <w:sz w:val="24"/>
                <w:szCs w:val="24"/>
                <w:highlight w:val="none"/>
              </w:rPr>
              <w:t>4</w:t>
            </w:r>
          </w:p>
        </w:tc>
        <w:tc>
          <w:tcPr>
            <w:tcW w:w="1284" w:type="dxa"/>
            <w:vAlign w:val="center"/>
          </w:tcPr>
          <w:p w14:paraId="53475AC6">
            <w:pPr>
              <w:pStyle w:val="77"/>
              <w:spacing w:line="360" w:lineRule="auto"/>
              <w:jc w:val="center"/>
              <w:rPr>
                <w:rFonts w:hAnsi="宋体"/>
                <w:color w:val="auto"/>
                <w:sz w:val="24"/>
                <w:szCs w:val="24"/>
                <w:highlight w:val="none"/>
              </w:rPr>
            </w:pPr>
            <w:r>
              <w:rPr>
                <w:rFonts w:hint="eastAsia" w:hAnsi="宋体"/>
                <w:color w:val="auto"/>
                <w:sz w:val="24"/>
                <w:szCs w:val="24"/>
                <w:highlight w:val="none"/>
              </w:rPr>
              <w:t>磋商供应商资格</w:t>
            </w:r>
          </w:p>
        </w:tc>
        <w:tc>
          <w:tcPr>
            <w:tcW w:w="8781" w:type="dxa"/>
            <w:vAlign w:val="center"/>
          </w:tcPr>
          <w:p w14:paraId="53475AC7">
            <w:pPr>
              <w:widowControl/>
              <w:adjustRightInd w:val="0"/>
              <w:snapToGrid w:val="0"/>
              <w:spacing w:line="360" w:lineRule="auto"/>
              <w:rPr>
                <w:rFonts w:ascii="宋体" w:hAnsi="宋体"/>
                <w:color w:val="auto"/>
                <w:sz w:val="24"/>
                <w:highlight w:val="none"/>
              </w:rPr>
            </w:pPr>
            <w:r>
              <w:rPr>
                <w:rFonts w:hint="eastAsia" w:ascii="宋体" w:hAnsi="宋体"/>
                <w:color w:val="auto"/>
                <w:sz w:val="24"/>
                <w:highlight w:val="none"/>
              </w:rPr>
              <w:t>磋商供应商资格要求：</w:t>
            </w:r>
          </w:p>
          <w:p w14:paraId="0CC2CFC0">
            <w:pPr>
              <w:adjustRightInd w:val="0"/>
              <w:spacing w:line="360" w:lineRule="auto"/>
              <w:ind w:firstLine="480" w:firstLineChars="200"/>
              <w:rPr>
                <w:rFonts w:hint="eastAsia" w:ascii="宋体" w:hAnsi="宋体"/>
                <w:color w:val="auto"/>
                <w:sz w:val="24"/>
                <w:highlight w:val="none"/>
                <w:lang w:eastAsia="zh-CN"/>
              </w:rPr>
            </w:pPr>
            <w:r>
              <w:rPr>
                <w:rFonts w:hint="eastAsia" w:ascii="宋体" w:hAnsi="宋体"/>
                <w:color w:val="auto"/>
                <w:sz w:val="24"/>
                <w:highlight w:val="none"/>
                <w:lang w:eastAsia="zh-CN"/>
              </w:rPr>
              <w:t>1.满足《中华人民共和国政府采购法》第二十二条规定；未被“信用中国” （www.creditchina.gov.cn)、中国政府采购网（www.ccgp.gov.cn）列入失信被执行人、重大税收违法案件当事人名单、政府采购严重违法失信行为记录名单；</w:t>
            </w:r>
          </w:p>
          <w:p w14:paraId="6DD98FF1">
            <w:pPr>
              <w:adjustRightInd w:val="0"/>
              <w:spacing w:line="360" w:lineRule="auto"/>
              <w:ind w:firstLine="480" w:firstLineChars="200"/>
              <w:rPr>
                <w:rFonts w:hint="eastAsia" w:ascii="宋体" w:hAnsi="宋体"/>
                <w:color w:val="auto"/>
                <w:sz w:val="24"/>
                <w:highlight w:val="none"/>
                <w:lang w:eastAsia="zh-CN"/>
              </w:rPr>
            </w:pPr>
            <w:r>
              <w:rPr>
                <w:rFonts w:hint="eastAsia" w:ascii="宋体" w:hAnsi="宋体"/>
                <w:color w:val="auto"/>
                <w:sz w:val="24"/>
                <w:highlight w:val="none"/>
                <w:lang w:eastAsia="zh-CN"/>
              </w:rPr>
              <w:t>2.落实政府采购政策需满足的资格要求：本项目为专门面向中小企业采购，工程的施工单位为符合政策要求的中小企业（中小微企业，监狱企业、残疾人福利单位视同小型和微型企业）；</w:t>
            </w:r>
          </w:p>
          <w:p w14:paraId="6B5271A9">
            <w:pPr>
              <w:adjustRightInd w:val="0"/>
              <w:spacing w:line="360" w:lineRule="auto"/>
              <w:ind w:firstLine="480" w:firstLineChars="200"/>
              <w:rPr>
                <w:rFonts w:hint="eastAsia" w:ascii="宋体" w:hAnsi="宋体"/>
                <w:color w:val="auto"/>
                <w:sz w:val="24"/>
                <w:highlight w:val="none"/>
                <w:lang w:eastAsia="zh-CN"/>
              </w:rPr>
            </w:pPr>
            <w:r>
              <w:rPr>
                <w:rFonts w:hint="eastAsia" w:ascii="宋体" w:hAnsi="宋体"/>
                <w:color w:val="auto"/>
                <w:sz w:val="24"/>
                <w:highlight w:val="none"/>
                <w:lang w:eastAsia="zh-CN"/>
              </w:rPr>
              <w:t>3.本项目的特定资格要求：具备有效的水利水电工程施工总承包三级(含)以上资质，并具备有效的安全生产许可证书。其中，供应商拟派项目经理须具备水利水电工程专业二级(含)以上专业注册建造师执业资格，具备有效的省级或省级以上水行政主管部门或其授权部门(机构)颁发的B类安全生产考核合格证书；</w:t>
            </w:r>
          </w:p>
          <w:p w14:paraId="53475ACA">
            <w:pPr>
              <w:adjustRightInd w:val="0"/>
              <w:spacing w:line="360" w:lineRule="auto"/>
              <w:ind w:firstLine="480" w:firstLineChars="200"/>
              <w:rPr>
                <w:rFonts w:hint="eastAsia" w:ascii="宋体" w:hAnsi="宋体" w:eastAsia="宋体" w:cs="宋体"/>
                <w:color w:val="auto"/>
                <w:sz w:val="24"/>
                <w:highlight w:val="none"/>
                <w:lang w:eastAsia="zh-CN"/>
              </w:rPr>
            </w:pPr>
            <w:r>
              <w:rPr>
                <w:rFonts w:hint="eastAsia" w:ascii="宋体" w:hAnsi="宋体"/>
                <w:color w:val="auto"/>
                <w:sz w:val="24"/>
                <w:highlight w:val="none"/>
                <w:lang w:eastAsia="zh-CN"/>
              </w:rPr>
              <w:t>4.单位负责人为同一人或者存在直接控股、管理关系的不同供应商，不得参加同一合同项下的政府采购活动；为采购项目提供整体设计、规范编制或者项目管理、监理、检测等服务后不得再参加该采购项目的其他采购活动。</w:t>
            </w:r>
          </w:p>
        </w:tc>
      </w:tr>
      <w:tr w14:paraId="53475A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637" w:type="dxa"/>
            <w:vAlign w:val="center"/>
          </w:tcPr>
          <w:p w14:paraId="53475ACC">
            <w:pPr>
              <w:pStyle w:val="77"/>
              <w:spacing w:line="360" w:lineRule="auto"/>
              <w:jc w:val="center"/>
              <w:rPr>
                <w:rFonts w:hAnsi="宋体"/>
                <w:color w:val="auto"/>
                <w:sz w:val="24"/>
                <w:szCs w:val="24"/>
                <w:highlight w:val="none"/>
              </w:rPr>
            </w:pPr>
            <w:r>
              <w:rPr>
                <w:rFonts w:hint="eastAsia" w:hAnsi="宋体"/>
                <w:color w:val="auto"/>
                <w:sz w:val="24"/>
                <w:szCs w:val="24"/>
                <w:highlight w:val="none"/>
              </w:rPr>
              <w:t>5</w:t>
            </w:r>
          </w:p>
        </w:tc>
        <w:tc>
          <w:tcPr>
            <w:tcW w:w="1284" w:type="dxa"/>
            <w:vAlign w:val="center"/>
          </w:tcPr>
          <w:p w14:paraId="53475ACD">
            <w:pPr>
              <w:pStyle w:val="77"/>
              <w:spacing w:line="360" w:lineRule="auto"/>
              <w:jc w:val="center"/>
              <w:rPr>
                <w:rFonts w:hAnsi="宋体"/>
                <w:color w:val="auto"/>
                <w:sz w:val="24"/>
                <w:szCs w:val="24"/>
                <w:highlight w:val="none"/>
              </w:rPr>
            </w:pPr>
            <w:r>
              <w:rPr>
                <w:rFonts w:hint="eastAsia" w:hAnsi="宋体" w:cs="宋体"/>
                <w:b/>
                <w:color w:val="auto"/>
                <w:sz w:val="24"/>
                <w:szCs w:val="24"/>
                <w:highlight w:val="none"/>
              </w:rPr>
              <w:t>磋商保证金</w:t>
            </w:r>
          </w:p>
        </w:tc>
        <w:tc>
          <w:tcPr>
            <w:tcW w:w="8781" w:type="dxa"/>
            <w:tcBorders>
              <w:top w:val="single" w:color="auto" w:sz="4" w:space="0"/>
              <w:left w:val="single" w:color="auto" w:sz="4" w:space="0"/>
              <w:bottom w:val="single" w:color="auto" w:sz="4" w:space="0"/>
              <w:right w:val="single" w:color="auto" w:sz="4" w:space="0"/>
            </w:tcBorders>
            <w:vAlign w:val="center"/>
          </w:tcPr>
          <w:p w14:paraId="53475ACE">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本项目不收取磋商保证金。</w:t>
            </w:r>
          </w:p>
        </w:tc>
      </w:tr>
      <w:tr w14:paraId="53475A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637" w:type="dxa"/>
            <w:vAlign w:val="center"/>
          </w:tcPr>
          <w:p w14:paraId="53475AD0">
            <w:pPr>
              <w:pStyle w:val="77"/>
              <w:spacing w:line="360" w:lineRule="auto"/>
              <w:jc w:val="center"/>
              <w:rPr>
                <w:rFonts w:hAnsi="宋体"/>
                <w:color w:val="auto"/>
                <w:sz w:val="24"/>
                <w:szCs w:val="24"/>
                <w:highlight w:val="none"/>
              </w:rPr>
            </w:pPr>
            <w:r>
              <w:rPr>
                <w:rFonts w:hint="eastAsia" w:hAnsi="宋体"/>
                <w:color w:val="auto"/>
                <w:sz w:val="24"/>
                <w:szCs w:val="24"/>
                <w:highlight w:val="none"/>
              </w:rPr>
              <w:t>6</w:t>
            </w:r>
          </w:p>
        </w:tc>
        <w:tc>
          <w:tcPr>
            <w:tcW w:w="1284" w:type="dxa"/>
            <w:vAlign w:val="center"/>
          </w:tcPr>
          <w:p w14:paraId="53475AD1">
            <w:pPr>
              <w:pStyle w:val="77"/>
              <w:spacing w:line="360" w:lineRule="auto"/>
              <w:jc w:val="center"/>
              <w:rPr>
                <w:rFonts w:hAnsi="宋体"/>
                <w:color w:val="auto"/>
                <w:sz w:val="24"/>
                <w:szCs w:val="24"/>
                <w:highlight w:val="none"/>
              </w:rPr>
            </w:pPr>
            <w:r>
              <w:rPr>
                <w:rFonts w:hint="eastAsia" w:hAnsi="宋体" w:cs="宋体"/>
                <w:b/>
                <w:bCs/>
                <w:color w:val="auto"/>
                <w:sz w:val="24"/>
                <w:szCs w:val="24"/>
                <w:highlight w:val="none"/>
              </w:rPr>
              <w:t>分包</w:t>
            </w:r>
          </w:p>
        </w:tc>
        <w:tc>
          <w:tcPr>
            <w:tcW w:w="8781" w:type="dxa"/>
            <w:tcBorders>
              <w:top w:val="single" w:color="auto" w:sz="4" w:space="0"/>
              <w:left w:val="single" w:color="auto" w:sz="4" w:space="0"/>
              <w:bottom w:val="single" w:color="auto" w:sz="4" w:space="0"/>
              <w:right w:val="single" w:color="auto" w:sz="4" w:space="0"/>
            </w:tcBorders>
            <w:vAlign w:val="center"/>
          </w:tcPr>
          <w:p w14:paraId="53475AD2">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sym w:font="Wingdings" w:char="00A8"/>
            </w:r>
            <w:r>
              <w:rPr>
                <w:rFonts w:hint="eastAsia" w:ascii="宋体" w:hAnsi="宋体" w:cs="宋体"/>
                <w:color w:val="auto"/>
                <w:sz w:val="24"/>
                <w:highlight w:val="none"/>
              </w:rPr>
              <w:t>A同意将非主体、非关键性的工作分包。</w:t>
            </w:r>
          </w:p>
          <w:p w14:paraId="53475AD3">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sym w:font="Wingdings" w:char="00FE"/>
            </w:r>
            <w:r>
              <w:rPr>
                <w:rFonts w:hint="eastAsia" w:ascii="宋体" w:hAnsi="宋体" w:cs="宋体"/>
                <w:color w:val="auto"/>
                <w:sz w:val="24"/>
                <w:highlight w:val="none"/>
              </w:rPr>
              <w:t>B不同意分包。</w:t>
            </w:r>
          </w:p>
        </w:tc>
      </w:tr>
      <w:tr w14:paraId="53475A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637" w:type="dxa"/>
            <w:vAlign w:val="center"/>
          </w:tcPr>
          <w:p w14:paraId="53475AD5">
            <w:pPr>
              <w:pStyle w:val="77"/>
              <w:spacing w:line="360" w:lineRule="auto"/>
              <w:jc w:val="center"/>
              <w:rPr>
                <w:rFonts w:hAnsi="宋体"/>
                <w:color w:val="auto"/>
                <w:sz w:val="24"/>
                <w:szCs w:val="24"/>
                <w:highlight w:val="none"/>
              </w:rPr>
            </w:pPr>
            <w:r>
              <w:rPr>
                <w:rFonts w:hint="eastAsia" w:hAnsi="宋体"/>
                <w:color w:val="auto"/>
                <w:sz w:val="24"/>
                <w:szCs w:val="24"/>
                <w:highlight w:val="none"/>
              </w:rPr>
              <w:t>7</w:t>
            </w:r>
          </w:p>
        </w:tc>
        <w:tc>
          <w:tcPr>
            <w:tcW w:w="1284" w:type="dxa"/>
            <w:vAlign w:val="center"/>
          </w:tcPr>
          <w:p w14:paraId="53475AD6">
            <w:pPr>
              <w:pStyle w:val="77"/>
              <w:spacing w:line="360" w:lineRule="auto"/>
              <w:jc w:val="center"/>
              <w:rPr>
                <w:rFonts w:hAnsi="宋体"/>
                <w:color w:val="auto"/>
                <w:sz w:val="24"/>
                <w:szCs w:val="24"/>
                <w:highlight w:val="none"/>
              </w:rPr>
            </w:pPr>
            <w:r>
              <w:rPr>
                <w:rFonts w:hint="eastAsia" w:hAnsi="宋体"/>
                <w:color w:val="auto"/>
                <w:sz w:val="24"/>
                <w:szCs w:val="24"/>
                <w:highlight w:val="none"/>
              </w:rPr>
              <w:t>报价要求</w:t>
            </w:r>
          </w:p>
        </w:tc>
        <w:tc>
          <w:tcPr>
            <w:tcW w:w="8781" w:type="dxa"/>
            <w:vAlign w:val="center"/>
          </w:tcPr>
          <w:p w14:paraId="53475AD7">
            <w:pPr>
              <w:widowControl/>
              <w:adjustRightInd w:val="0"/>
              <w:snapToGrid w:val="0"/>
              <w:spacing w:line="360" w:lineRule="auto"/>
              <w:rPr>
                <w:rFonts w:ascii="宋体" w:hAnsi="宋体"/>
                <w:color w:val="auto"/>
                <w:sz w:val="24"/>
                <w:highlight w:val="none"/>
              </w:rPr>
            </w:pPr>
            <w:r>
              <w:rPr>
                <w:rFonts w:hint="eastAsia" w:ascii="宋体" w:hAnsi="宋体"/>
                <w:color w:val="auto"/>
                <w:kern w:val="0"/>
                <w:sz w:val="24"/>
                <w:highlight w:val="none"/>
              </w:rPr>
              <w:t>供应商应就《采购需求》中所有的服务内容作完整唯一报价。</w:t>
            </w:r>
          </w:p>
        </w:tc>
      </w:tr>
      <w:tr w14:paraId="53475A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2" w:hRule="atLeast"/>
          <w:jc w:val="center"/>
        </w:trPr>
        <w:tc>
          <w:tcPr>
            <w:tcW w:w="637" w:type="dxa"/>
            <w:vAlign w:val="center"/>
          </w:tcPr>
          <w:p w14:paraId="53475AD9">
            <w:pPr>
              <w:pStyle w:val="77"/>
              <w:spacing w:line="360" w:lineRule="auto"/>
              <w:jc w:val="center"/>
              <w:rPr>
                <w:rFonts w:hAnsi="宋体"/>
                <w:color w:val="auto"/>
                <w:sz w:val="24"/>
                <w:szCs w:val="24"/>
                <w:highlight w:val="none"/>
              </w:rPr>
            </w:pPr>
            <w:r>
              <w:rPr>
                <w:rFonts w:hint="eastAsia" w:hAnsi="宋体"/>
                <w:color w:val="auto"/>
                <w:sz w:val="24"/>
                <w:szCs w:val="24"/>
                <w:highlight w:val="none"/>
              </w:rPr>
              <w:t>8</w:t>
            </w:r>
          </w:p>
        </w:tc>
        <w:tc>
          <w:tcPr>
            <w:tcW w:w="1284" w:type="dxa"/>
            <w:vAlign w:val="center"/>
          </w:tcPr>
          <w:p w14:paraId="53475ADA">
            <w:pPr>
              <w:pStyle w:val="77"/>
              <w:spacing w:line="360" w:lineRule="auto"/>
              <w:jc w:val="center"/>
              <w:rPr>
                <w:rFonts w:hAnsi="宋体"/>
                <w:color w:val="auto"/>
                <w:sz w:val="24"/>
                <w:szCs w:val="24"/>
                <w:highlight w:val="none"/>
              </w:rPr>
            </w:pPr>
            <w:r>
              <w:rPr>
                <w:rFonts w:hint="eastAsia" w:hAnsi="宋体"/>
                <w:color w:val="auto"/>
                <w:sz w:val="24"/>
                <w:szCs w:val="24"/>
                <w:highlight w:val="none"/>
              </w:rPr>
              <w:t>磋商前准备</w:t>
            </w:r>
          </w:p>
        </w:tc>
        <w:tc>
          <w:tcPr>
            <w:tcW w:w="8781" w:type="dxa"/>
            <w:vAlign w:val="center"/>
          </w:tcPr>
          <w:p w14:paraId="53475ADB">
            <w:pPr>
              <w:widowControl/>
              <w:adjustRightInd w:val="0"/>
              <w:snapToGrid w:val="0"/>
              <w:spacing w:line="360" w:lineRule="auto"/>
              <w:rPr>
                <w:rFonts w:ascii="宋体" w:hAnsi="宋体"/>
                <w:color w:val="auto"/>
                <w:kern w:val="0"/>
                <w:sz w:val="24"/>
                <w:highlight w:val="none"/>
              </w:rPr>
            </w:pPr>
            <w:r>
              <w:rPr>
                <w:rFonts w:hint="eastAsia" w:ascii="宋体" w:hAnsi="宋体"/>
                <w:color w:val="auto"/>
                <w:kern w:val="0"/>
                <w:sz w:val="24"/>
                <w:highlight w:val="none"/>
              </w:rPr>
              <w:t>1.</w:t>
            </w:r>
            <w:r>
              <w:rPr>
                <w:rFonts w:ascii="宋体" w:hAnsi="宋体"/>
                <w:color w:val="auto"/>
                <w:kern w:val="0"/>
                <w:sz w:val="24"/>
                <w:highlight w:val="none"/>
              </w:rPr>
              <w:t>本项目实行网上</w:t>
            </w:r>
            <w:r>
              <w:rPr>
                <w:rFonts w:hint="eastAsia" w:ascii="宋体" w:hAnsi="宋体"/>
                <w:color w:val="auto"/>
                <w:kern w:val="0"/>
                <w:sz w:val="24"/>
                <w:highlight w:val="none"/>
              </w:rPr>
              <w:t>磋商</w:t>
            </w:r>
            <w:r>
              <w:rPr>
                <w:rFonts w:ascii="宋体" w:hAnsi="宋体"/>
                <w:color w:val="auto"/>
                <w:kern w:val="0"/>
                <w:sz w:val="24"/>
                <w:highlight w:val="none"/>
              </w:rPr>
              <w:t>，采用电子</w:t>
            </w:r>
            <w:r>
              <w:rPr>
                <w:rFonts w:hint="eastAsia" w:ascii="宋体" w:hAnsi="宋体"/>
                <w:color w:val="auto"/>
                <w:kern w:val="0"/>
                <w:sz w:val="24"/>
                <w:highlight w:val="none"/>
              </w:rPr>
              <w:t>磋商响应</w:t>
            </w:r>
            <w:r>
              <w:rPr>
                <w:rFonts w:ascii="宋体" w:hAnsi="宋体"/>
                <w:color w:val="auto"/>
                <w:kern w:val="0"/>
                <w:sz w:val="24"/>
                <w:highlight w:val="none"/>
              </w:rPr>
              <w:t>文件。若供应商参与</w:t>
            </w:r>
            <w:r>
              <w:rPr>
                <w:rFonts w:hint="eastAsia" w:ascii="宋体" w:hAnsi="宋体"/>
                <w:color w:val="auto"/>
                <w:kern w:val="0"/>
                <w:sz w:val="24"/>
                <w:highlight w:val="none"/>
              </w:rPr>
              <w:t>磋商</w:t>
            </w:r>
            <w:r>
              <w:rPr>
                <w:rFonts w:ascii="宋体" w:hAnsi="宋体"/>
                <w:color w:val="auto"/>
                <w:kern w:val="0"/>
                <w:sz w:val="24"/>
                <w:highlight w:val="none"/>
              </w:rPr>
              <w:t>，自行承担</w:t>
            </w:r>
            <w:r>
              <w:rPr>
                <w:rFonts w:hint="eastAsia" w:ascii="宋体" w:hAnsi="宋体"/>
                <w:color w:val="auto"/>
                <w:kern w:val="0"/>
                <w:sz w:val="24"/>
                <w:highlight w:val="none"/>
              </w:rPr>
              <w:t>磋商</w:t>
            </w:r>
            <w:r>
              <w:rPr>
                <w:rFonts w:ascii="宋体" w:hAnsi="宋体"/>
                <w:color w:val="auto"/>
                <w:kern w:val="0"/>
                <w:sz w:val="24"/>
                <w:highlight w:val="none"/>
              </w:rPr>
              <w:t>一切费用</w:t>
            </w:r>
            <w:r>
              <w:rPr>
                <w:rFonts w:hint="eastAsia" w:ascii="宋体" w:hAnsi="宋体"/>
                <w:color w:val="auto"/>
                <w:kern w:val="0"/>
                <w:sz w:val="24"/>
                <w:highlight w:val="none"/>
              </w:rPr>
              <w:t>。</w:t>
            </w:r>
          </w:p>
          <w:p w14:paraId="53475ADC">
            <w:pPr>
              <w:widowControl/>
              <w:adjustRightInd w:val="0"/>
              <w:snapToGrid w:val="0"/>
              <w:spacing w:line="360" w:lineRule="auto"/>
              <w:rPr>
                <w:rFonts w:ascii="宋体" w:hAnsi="宋体"/>
                <w:color w:val="auto"/>
                <w:kern w:val="0"/>
                <w:sz w:val="24"/>
                <w:highlight w:val="none"/>
              </w:rPr>
            </w:pPr>
            <w:r>
              <w:rPr>
                <w:rFonts w:hint="eastAsia" w:ascii="宋体" w:hAnsi="宋体"/>
                <w:color w:val="auto"/>
                <w:kern w:val="0"/>
                <w:sz w:val="24"/>
                <w:highlight w:val="none"/>
              </w:rPr>
              <w:t>2.</w:t>
            </w:r>
            <w:r>
              <w:rPr>
                <w:rFonts w:ascii="宋体" w:hAnsi="宋体"/>
                <w:color w:val="auto"/>
                <w:kern w:val="0"/>
                <w:sz w:val="24"/>
                <w:highlight w:val="none"/>
              </w:rPr>
              <w:t>各供应商应在</w:t>
            </w:r>
            <w:r>
              <w:rPr>
                <w:rFonts w:hint="eastAsia" w:ascii="宋体" w:hAnsi="宋体"/>
                <w:color w:val="auto"/>
                <w:kern w:val="0"/>
                <w:sz w:val="24"/>
                <w:highlight w:val="none"/>
              </w:rPr>
              <w:t>截</w:t>
            </w:r>
            <w:r>
              <w:rPr>
                <w:rFonts w:ascii="宋体" w:hAnsi="宋体"/>
                <w:color w:val="auto"/>
                <w:kern w:val="0"/>
                <w:sz w:val="24"/>
                <w:highlight w:val="none"/>
              </w:rPr>
              <w:t>标前应确保成为</w:t>
            </w:r>
            <w:r>
              <w:rPr>
                <w:rFonts w:hint="eastAsia" w:ascii="宋体" w:hAnsi="宋体"/>
                <w:color w:val="auto"/>
                <w:kern w:val="0"/>
                <w:sz w:val="24"/>
                <w:highlight w:val="none"/>
              </w:rPr>
              <w:t>“广西政府采购云平台”</w:t>
            </w:r>
            <w:r>
              <w:rPr>
                <w:rFonts w:ascii="宋体" w:hAnsi="宋体"/>
                <w:color w:val="auto"/>
                <w:kern w:val="0"/>
                <w:sz w:val="24"/>
                <w:highlight w:val="none"/>
              </w:rPr>
              <w:t>正式注册入库供应商，并完成CA数字证书</w:t>
            </w:r>
            <w:r>
              <w:rPr>
                <w:rFonts w:hint="eastAsia" w:ascii="宋体" w:hAnsi="宋体"/>
                <w:color w:val="auto"/>
                <w:kern w:val="0"/>
                <w:sz w:val="24"/>
                <w:highlight w:val="none"/>
              </w:rPr>
              <w:t>申领</w:t>
            </w:r>
            <w:r>
              <w:rPr>
                <w:rFonts w:ascii="宋体" w:hAnsi="宋体"/>
                <w:color w:val="auto"/>
                <w:kern w:val="0"/>
                <w:sz w:val="24"/>
                <w:highlight w:val="none"/>
              </w:rPr>
              <w:t>。因未注册入库、未办理CA数字证书等原因造成无法</w:t>
            </w:r>
            <w:r>
              <w:rPr>
                <w:rFonts w:hint="eastAsia" w:ascii="宋体" w:hAnsi="宋体"/>
                <w:color w:val="auto"/>
                <w:kern w:val="0"/>
                <w:sz w:val="24"/>
                <w:highlight w:val="none"/>
              </w:rPr>
              <w:t>磋商</w:t>
            </w:r>
            <w:r>
              <w:rPr>
                <w:rFonts w:ascii="宋体" w:hAnsi="宋体"/>
                <w:color w:val="auto"/>
                <w:kern w:val="0"/>
                <w:sz w:val="24"/>
                <w:highlight w:val="none"/>
              </w:rPr>
              <w:t>或</w:t>
            </w:r>
            <w:r>
              <w:rPr>
                <w:rFonts w:hint="eastAsia" w:ascii="宋体" w:hAnsi="宋体"/>
                <w:color w:val="auto"/>
                <w:kern w:val="0"/>
                <w:sz w:val="24"/>
                <w:highlight w:val="none"/>
              </w:rPr>
              <w:t>磋商</w:t>
            </w:r>
            <w:r>
              <w:rPr>
                <w:rFonts w:ascii="宋体" w:hAnsi="宋体"/>
                <w:color w:val="auto"/>
                <w:kern w:val="0"/>
                <w:sz w:val="24"/>
                <w:highlight w:val="none"/>
              </w:rPr>
              <w:t>失败等后果由供应商自行承担。</w:t>
            </w:r>
          </w:p>
          <w:p w14:paraId="53475ADD">
            <w:pPr>
              <w:widowControl/>
              <w:adjustRightInd w:val="0"/>
              <w:snapToGrid w:val="0"/>
              <w:spacing w:line="360" w:lineRule="auto"/>
              <w:rPr>
                <w:rFonts w:ascii="宋体" w:hAnsi="宋体"/>
                <w:color w:val="auto"/>
                <w:kern w:val="0"/>
                <w:sz w:val="24"/>
                <w:highlight w:val="none"/>
              </w:rPr>
            </w:pPr>
            <w:r>
              <w:rPr>
                <w:rFonts w:hint="eastAsia" w:ascii="宋体" w:hAnsi="宋体"/>
                <w:color w:val="auto"/>
                <w:kern w:val="0"/>
                <w:sz w:val="24"/>
                <w:highlight w:val="none"/>
              </w:rPr>
              <w:t>3.</w:t>
            </w:r>
            <w:r>
              <w:rPr>
                <w:rFonts w:ascii="宋体" w:hAnsi="宋体"/>
                <w:color w:val="auto"/>
                <w:kern w:val="0"/>
                <w:sz w:val="24"/>
                <w:highlight w:val="none"/>
              </w:rPr>
              <w:t>供应商将</w:t>
            </w:r>
            <w:r>
              <w:rPr>
                <w:rFonts w:hint="eastAsia" w:ascii="宋体" w:hAnsi="宋体"/>
                <w:color w:val="auto"/>
                <w:kern w:val="0"/>
                <w:sz w:val="24"/>
                <w:highlight w:val="none"/>
              </w:rPr>
              <w:t>广西政府采购云平台</w:t>
            </w:r>
            <w:r>
              <w:rPr>
                <w:rFonts w:ascii="宋体" w:hAnsi="宋体"/>
                <w:color w:val="auto"/>
                <w:kern w:val="0"/>
                <w:sz w:val="24"/>
                <w:highlight w:val="none"/>
              </w:rPr>
              <w:t>电子交易客户端下载、安装完成后，可通过账号密码或CA登录客户端进行</w:t>
            </w:r>
            <w:r>
              <w:rPr>
                <w:rFonts w:hint="eastAsia" w:ascii="宋体" w:hAnsi="宋体"/>
                <w:color w:val="auto"/>
                <w:kern w:val="0"/>
                <w:sz w:val="24"/>
                <w:highlight w:val="none"/>
              </w:rPr>
              <w:t>磋商响应</w:t>
            </w:r>
            <w:r>
              <w:rPr>
                <w:rFonts w:ascii="宋体" w:hAnsi="宋体"/>
                <w:color w:val="auto"/>
                <w:kern w:val="0"/>
                <w:sz w:val="24"/>
                <w:highlight w:val="none"/>
              </w:rPr>
              <w:t>文件制作。</w:t>
            </w:r>
            <w:r>
              <w:rPr>
                <w:rFonts w:hint="eastAsia" w:ascii="宋体" w:hAnsi="宋体"/>
                <w:color w:val="auto"/>
                <w:kern w:val="0"/>
                <w:sz w:val="24"/>
                <w:highlight w:val="none"/>
              </w:rPr>
              <w:t>新版客户端下载路径：广西政府采购网（http</w:t>
            </w:r>
            <w:r>
              <w:rPr>
                <w:rFonts w:hint="eastAsia" w:ascii="宋体" w:hAnsi="宋体"/>
                <w:color w:val="auto"/>
                <w:kern w:val="0"/>
                <w:sz w:val="24"/>
                <w:highlight w:val="none"/>
                <w:lang w:eastAsia="zh-CN"/>
              </w:rPr>
              <w:t>：</w:t>
            </w:r>
            <w:r>
              <w:rPr>
                <w:rFonts w:hint="eastAsia" w:ascii="宋体" w:hAnsi="宋体"/>
                <w:color w:val="auto"/>
                <w:kern w:val="0"/>
                <w:sz w:val="24"/>
                <w:highlight w:val="none"/>
              </w:rPr>
              <w:t>//zfcg.gxzf.gov.cn/）—办事服务—下载专区—广西政府采购云平台新版客户端。原在广西政府采购云平台注册的临时供应商需在新平台启用后重新注册登记。如有问题可拨打广西政府采购云平台客户服务热线</w:t>
            </w:r>
            <w:r>
              <w:rPr>
                <w:rFonts w:ascii="宋体" w:hAnsi="宋体"/>
                <w:color w:val="auto"/>
                <w:kern w:val="0"/>
                <w:sz w:val="24"/>
                <w:highlight w:val="none"/>
              </w:rPr>
              <w:t>95763</w:t>
            </w:r>
            <w:r>
              <w:rPr>
                <w:rFonts w:hint="eastAsia" w:ascii="宋体" w:hAnsi="宋体"/>
                <w:color w:val="auto"/>
                <w:kern w:val="0"/>
                <w:sz w:val="24"/>
                <w:highlight w:val="none"/>
              </w:rPr>
              <w:t>进行咨询。</w:t>
            </w:r>
          </w:p>
          <w:p w14:paraId="53475ADE">
            <w:pPr>
              <w:widowControl/>
              <w:adjustRightInd w:val="0"/>
              <w:snapToGrid w:val="0"/>
              <w:spacing w:line="360" w:lineRule="auto"/>
              <w:rPr>
                <w:rFonts w:ascii="宋体" w:hAnsi="宋体"/>
                <w:color w:val="auto"/>
                <w:kern w:val="0"/>
                <w:sz w:val="24"/>
                <w:highlight w:val="none"/>
              </w:rPr>
            </w:pPr>
            <w:r>
              <w:rPr>
                <w:rFonts w:hint="eastAsia" w:ascii="宋体" w:hAnsi="宋体"/>
                <w:color w:val="auto"/>
                <w:kern w:val="0"/>
                <w:sz w:val="24"/>
                <w:highlight w:val="none"/>
              </w:rPr>
              <w:t>4.通过“广西政府采购云平台”上传递交的“电子加密磋商响应文件”无法按时解密，视为磋商响应文件撤回，磋商无效。</w:t>
            </w:r>
          </w:p>
        </w:tc>
      </w:tr>
      <w:tr w14:paraId="53475A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3" w:hRule="atLeast"/>
          <w:jc w:val="center"/>
        </w:trPr>
        <w:tc>
          <w:tcPr>
            <w:tcW w:w="637" w:type="dxa"/>
            <w:vAlign w:val="center"/>
          </w:tcPr>
          <w:p w14:paraId="53475AE0">
            <w:pPr>
              <w:pStyle w:val="77"/>
              <w:spacing w:line="360" w:lineRule="auto"/>
              <w:jc w:val="center"/>
              <w:rPr>
                <w:rFonts w:hAnsi="宋体"/>
                <w:color w:val="auto"/>
                <w:sz w:val="24"/>
                <w:szCs w:val="24"/>
                <w:highlight w:val="none"/>
              </w:rPr>
            </w:pPr>
            <w:r>
              <w:rPr>
                <w:rFonts w:hint="eastAsia" w:hAnsi="宋体"/>
                <w:color w:val="auto"/>
                <w:sz w:val="24"/>
                <w:szCs w:val="24"/>
                <w:highlight w:val="none"/>
              </w:rPr>
              <w:t>9</w:t>
            </w:r>
          </w:p>
        </w:tc>
        <w:tc>
          <w:tcPr>
            <w:tcW w:w="1284" w:type="dxa"/>
            <w:vAlign w:val="center"/>
          </w:tcPr>
          <w:p w14:paraId="53475AE1">
            <w:pPr>
              <w:pStyle w:val="77"/>
              <w:spacing w:line="360" w:lineRule="auto"/>
              <w:jc w:val="center"/>
              <w:rPr>
                <w:rFonts w:hAnsi="宋体"/>
                <w:color w:val="auto"/>
                <w:sz w:val="24"/>
                <w:szCs w:val="24"/>
                <w:highlight w:val="none"/>
              </w:rPr>
            </w:pPr>
            <w:r>
              <w:rPr>
                <w:rFonts w:hint="eastAsia" w:hAnsi="宋体"/>
                <w:color w:val="auto"/>
                <w:sz w:val="24"/>
                <w:szCs w:val="24"/>
                <w:highlight w:val="none"/>
              </w:rPr>
              <w:t>响应文件递交截止时间</w:t>
            </w:r>
          </w:p>
        </w:tc>
        <w:tc>
          <w:tcPr>
            <w:tcW w:w="8781" w:type="dxa"/>
            <w:vAlign w:val="center"/>
          </w:tcPr>
          <w:p w14:paraId="53475AE2">
            <w:pPr>
              <w:widowControl/>
              <w:adjustRightInd w:val="0"/>
              <w:snapToGrid w:val="0"/>
              <w:spacing w:line="360" w:lineRule="auto"/>
              <w:rPr>
                <w:rFonts w:ascii="宋体" w:hAnsi="宋体"/>
                <w:color w:val="auto"/>
                <w:kern w:val="0"/>
                <w:sz w:val="24"/>
                <w:highlight w:val="none"/>
              </w:rPr>
            </w:pPr>
            <w:r>
              <w:rPr>
                <w:rFonts w:hint="eastAsia" w:ascii="宋体" w:hAnsi="宋体"/>
                <w:color w:val="auto"/>
                <w:kern w:val="0"/>
                <w:sz w:val="24"/>
                <w:highlight w:val="none"/>
              </w:rPr>
              <w:t>响应文件递交截止时间：</w:t>
            </w:r>
            <w:r>
              <w:rPr>
                <w:rFonts w:hint="eastAsia" w:ascii="宋体" w:hAnsi="宋体"/>
                <w:color w:val="auto"/>
                <w:kern w:val="0"/>
                <w:sz w:val="24"/>
                <w:highlight w:val="none"/>
                <w:lang w:eastAsia="zh-CN"/>
              </w:rPr>
              <w:t>202</w:t>
            </w:r>
            <w:r>
              <w:rPr>
                <w:rFonts w:hint="eastAsia" w:ascii="宋体" w:hAnsi="宋体"/>
                <w:color w:val="auto"/>
                <w:kern w:val="0"/>
                <w:sz w:val="24"/>
                <w:highlight w:val="none"/>
                <w:lang w:val="en-US" w:eastAsia="zh-CN"/>
              </w:rPr>
              <w:t>6</w:t>
            </w:r>
            <w:r>
              <w:rPr>
                <w:rFonts w:hint="eastAsia" w:ascii="宋体" w:hAnsi="宋体"/>
                <w:color w:val="auto"/>
                <w:kern w:val="0"/>
                <w:sz w:val="24"/>
                <w:highlight w:val="none"/>
                <w:lang w:eastAsia="zh-CN"/>
              </w:rPr>
              <w:t>年</w:t>
            </w:r>
            <w:r>
              <w:rPr>
                <w:rFonts w:hint="eastAsia" w:ascii="宋体" w:hAnsi="宋体"/>
                <w:color w:val="auto"/>
                <w:kern w:val="0"/>
                <w:sz w:val="24"/>
                <w:highlight w:val="none"/>
                <w:lang w:val="en-US" w:eastAsia="zh-CN"/>
              </w:rPr>
              <w:t>1</w:t>
            </w:r>
            <w:r>
              <w:rPr>
                <w:rFonts w:hint="eastAsia" w:ascii="宋体" w:hAnsi="宋体"/>
                <w:color w:val="auto"/>
                <w:kern w:val="0"/>
                <w:sz w:val="24"/>
                <w:highlight w:val="none"/>
                <w:lang w:eastAsia="zh-CN"/>
              </w:rPr>
              <w:t>月</w:t>
            </w:r>
            <w:r>
              <w:rPr>
                <w:rFonts w:hint="eastAsia" w:ascii="宋体" w:hAnsi="宋体"/>
                <w:color w:val="auto"/>
                <w:kern w:val="0"/>
                <w:sz w:val="24"/>
                <w:highlight w:val="none"/>
                <w:lang w:val="en-US" w:eastAsia="zh-CN"/>
              </w:rPr>
              <w:t>26</w:t>
            </w:r>
            <w:r>
              <w:rPr>
                <w:rFonts w:hint="eastAsia" w:ascii="宋体" w:hAnsi="宋体"/>
                <w:color w:val="auto"/>
                <w:kern w:val="0"/>
                <w:sz w:val="24"/>
                <w:highlight w:val="none"/>
                <w:lang w:eastAsia="zh-CN"/>
              </w:rPr>
              <w:t>日09：00</w:t>
            </w:r>
            <w:r>
              <w:rPr>
                <w:rFonts w:hint="eastAsia" w:ascii="宋体" w:hAnsi="宋体" w:cs="宋体"/>
                <w:color w:val="auto"/>
                <w:kern w:val="0"/>
                <w:sz w:val="24"/>
                <w:highlight w:val="none"/>
              </w:rPr>
              <w:t>之前将电</w:t>
            </w:r>
            <w:r>
              <w:rPr>
                <w:rFonts w:hint="eastAsia" w:ascii="宋体" w:hAnsi="宋体"/>
                <w:color w:val="auto"/>
                <w:kern w:val="0"/>
                <w:sz w:val="24"/>
                <w:highlight w:val="none"/>
              </w:rPr>
              <w:t>子磋商响应文件上传到广西政府采购云平台。应按照本项目磋商文件和广西政府采购云平台的要求编制、加密传输磋商响应文件。供应商在使用系统进行评审的过程中遇到涉及平台使用的任何问题，可致电广西政府采购云平台技术支持热线咨询，联系方式：</w:t>
            </w:r>
            <w:r>
              <w:rPr>
                <w:rFonts w:ascii="宋体" w:hAnsi="宋体"/>
                <w:color w:val="auto"/>
                <w:kern w:val="0"/>
                <w:sz w:val="24"/>
                <w:highlight w:val="none"/>
              </w:rPr>
              <w:t>95763</w:t>
            </w:r>
            <w:r>
              <w:rPr>
                <w:rFonts w:hint="eastAsia" w:ascii="宋体" w:hAnsi="宋体"/>
                <w:color w:val="auto"/>
                <w:kern w:val="0"/>
                <w:sz w:val="24"/>
                <w:highlight w:val="none"/>
              </w:rPr>
              <w:t>。</w:t>
            </w:r>
          </w:p>
        </w:tc>
      </w:tr>
      <w:tr w14:paraId="53475A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637" w:type="dxa"/>
            <w:vAlign w:val="center"/>
          </w:tcPr>
          <w:p w14:paraId="53475AE4">
            <w:pPr>
              <w:pStyle w:val="77"/>
              <w:spacing w:line="360" w:lineRule="auto"/>
              <w:jc w:val="center"/>
              <w:rPr>
                <w:rFonts w:hAnsi="宋体"/>
                <w:color w:val="auto"/>
                <w:sz w:val="24"/>
                <w:szCs w:val="24"/>
                <w:highlight w:val="none"/>
              </w:rPr>
            </w:pPr>
            <w:r>
              <w:rPr>
                <w:rFonts w:hint="eastAsia" w:hAnsi="宋体"/>
                <w:color w:val="auto"/>
                <w:sz w:val="24"/>
                <w:szCs w:val="24"/>
                <w:highlight w:val="none"/>
              </w:rPr>
              <w:t>10</w:t>
            </w:r>
          </w:p>
        </w:tc>
        <w:tc>
          <w:tcPr>
            <w:tcW w:w="1284" w:type="dxa"/>
            <w:vAlign w:val="center"/>
          </w:tcPr>
          <w:p w14:paraId="53475AE5">
            <w:pPr>
              <w:pStyle w:val="23"/>
              <w:spacing w:line="360" w:lineRule="auto"/>
              <w:jc w:val="center"/>
              <w:rPr>
                <w:rFonts w:hAnsi="宋体"/>
                <w:color w:val="auto"/>
                <w:sz w:val="24"/>
                <w:szCs w:val="24"/>
                <w:highlight w:val="none"/>
              </w:rPr>
            </w:pPr>
            <w:r>
              <w:rPr>
                <w:rFonts w:hint="eastAsia" w:hAnsi="宋体"/>
                <w:color w:val="auto"/>
                <w:sz w:val="24"/>
                <w:szCs w:val="24"/>
                <w:highlight w:val="none"/>
              </w:rPr>
              <w:t>有效期</w:t>
            </w:r>
          </w:p>
        </w:tc>
        <w:tc>
          <w:tcPr>
            <w:tcW w:w="8781" w:type="dxa"/>
            <w:vAlign w:val="center"/>
          </w:tcPr>
          <w:p w14:paraId="53475AE6">
            <w:pPr>
              <w:widowControl/>
              <w:adjustRightInd w:val="0"/>
              <w:snapToGrid w:val="0"/>
              <w:spacing w:line="360" w:lineRule="auto"/>
              <w:rPr>
                <w:rFonts w:ascii="宋体" w:hAnsi="宋体"/>
                <w:color w:val="auto"/>
                <w:sz w:val="24"/>
                <w:highlight w:val="none"/>
              </w:rPr>
            </w:pPr>
            <w:r>
              <w:rPr>
                <w:rFonts w:hint="eastAsia" w:ascii="宋体" w:hAnsi="宋体"/>
                <w:color w:val="auto"/>
                <w:kern w:val="0"/>
                <w:sz w:val="24"/>
                <w:highlight w:val="none"/>
              </w:rPr>
              <w:t>响应文件有效期：响应文件递交截止日期后六十日。</w:t>
            </w:r>
          </w:p>
        </w:tc>
      </w:tr>
      <w:tr w14:paraId="53475A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637" w:type="dxa"/>
            <w:vAlign w:val="center"/>
          </w:tcPr>
          <w:p w14:paraId="53475AE8">
            <w:pPr>
              <w:pStyle w:val="77"/>
              <w:spacing w:line="360" w:lineRule="auto"/>
              <w:jc w:val="center"/>
              <w:rPr>
                <w:rFonts w:hAnsi="宋体"/>
                <w:color w:val="auto"/>
                <w:sz w:val="24"/>
                <w:szCs w:val="24"/>
                <w:highlight w:val="none"/>
              </w:rPr>
            </w:pPr>
            <w:r>
              <w:rPr>
                <w:rFonts w:hint="eastAsia" w:hAnsi="宋体"/>
                <w:color w:val="auto"/>
                <w:sz w:val="24"/>
                <w:szCs w:val="24"/>
                <w:highlight w:val="none"/>
              </w:rPr>
              <w:t>11</w:t>
            </w:r>
          </w:p>
        </w:tc>
        <w:tc>
          <w:tcPr>
            <w:tcW w:w="1284" w:type="dxa"/>
            <w:vAlign w:val="center"/>
          </w:tcPr>
          <w:p w14:paraId="53475AE9">
            <w:pPr>
              <w:overflowPunct w:val="0"/>
              <w:spacing w:line="360" w:lineRule="auto"/>
              <w:jc w:val="center"/>
              <w:rPr>
                <w:rFonts w:ascii="宋体" w:hAnsi="宋体" w:cs="Courier New"/>
                <w:color w:val="auto"/>
                <w:sz w:val="24"/>
                <w:highlight w:val="none"/>
              </w:rPr>
            </w:pPr>
            <w:r>
              <w:rPr>
                <w:rFonts w:hint="eastAsia" w:ascii="宋体" w:hAnsi="宋体" w:cs="Courier New"/>
                <w:color w:val="auto"/>
                <w:sz w:val="24"/>
                <w:highlight w:val="none"/>
              </w:rPr>
              <w:t>磋商响应文件解密时间</w:t>
            </w:r>
          </w:p>
        </w:tc>
        <w:tc>
          <w:tcPr>
            <w:tcW w:w="8781" w:type="dxa"/>
            <w:vAlign w:val="center"/>
          </w:tcPr>
          <w:p w14:paraId="53475AEA">
            <w:pPr>
              <w:widowControl/>
              <w:adjustRightInd w:val="0"/>
              <w:snapToGrid w:val="0"/>
              <w:spacing w:line="360" w:lineRule="auto"/>
              <w:rPr>
                <w:rFonts w:ascii="宋体" w:hAnsi="宋体" w:cs="Courier New"/>
                <w:color w:val="auto"/>
                <w:sz w:val="24"/>
                <w:highlight w:val="none"/>
              </w:rPr>
            </w:pPr>
            <w:r>
              <w:rPr>
                <w:rFonts w:hint="eastAsia" w:ascii="宋体" w:hAnsi="宋体"/>
                <w:color w:val="auto"/>
                <w:kern w:val="0"/>
                <w:sz w:val="24"/>
                <w:highlight w:val="none"/>
              </w:rPr>
              <w:t>截标时间后30分钟内磋商供应商可以登录广西政府采购云平台，用“项目采购-开标评标”功能进行解密磋商文件。若磋商供应商在规定时间内无法解密或解密失败，视为磋商响应文件撤回，磋商无效。</w:t>
            </w:r>
          </w:p>
        </w:tc>
      </w:tr>
      <w:tr w14:paraId="53475A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637" w:type="dxa"/>
            <w:vAlign w:val="center"/>
          </w:tcPr>
          <w:p w14:paraId="53475AEC">
            <w:pPr>
              <w:pStyle w:val="77"/>
              <w:spacing w:line="360" w:lineRule="auto"/>
              <w:jc w:val="center"/>
              <w:rPr>
                <w:rFonts w:hAnsi="宋体"/>
                <w:color w:val="auto"/>
                <w:sz w:val="24"/>
                <w:szCs w:val="24"/>
                <w:highlight w:val="none"/>
              </w:rPr>
            </w:pPr>
            <w:r>
              <w:rPr>
                <w:rFonts w:hint="eastAsia" w:hAnsi="宋体"/>
                <w:color w:val="auto"/>
                <w:sz w:val="24"/>
                <w:szCs w:val="24"/>
                <w:highlight w:val="none"/>
              </w:rPr>
              <w:t>12</w:t>
            </w:r>
          </w:p>
        </w:tc>
        <w:tc>
          <w:tcPr>
            <w:tcW w:w="1284" w:type="dxa"/>
            <w:vAlign w:val="center"/>
          </w:tcPr>
          <w:p w14:paraId="53475AED">
            <w:pPr>
              <w:pStyle w:val="77"/>
              <w:spacing w:line="360" w:lineRule="auto"/>
              <w:jc w:val="center"/>
              <w:rPr>
                <w:rFonts w:hAnsi="宋体"/>
                <w:color w:val="auto"/>
                <w:sz w:val="24"/>
                <w:szCs w:val="24"/>
                <w:highlight w:val="none"/>
              </w:rPr>
            </w:pPr>
            <w:r>
              <w:rPr>
                <w:rFonts w:hint="eastAsia" w:hAnsi="宋体"/>
                <w:color w:val="auto"/>
                <w:sz w:val="24"/>
                <w:szCs w:val="24"/>
                <w:highlight w:val="none"/>
              </w:rPr>
              <w:t>评审方法</w:t>
            </w:r>
          </w:p>
        </w:tc>
        <w:tc>
          <w:tcPr>
            <w:tcW w:w="8781" w:type="dxa"/>
            <w:vAlign w:val="center"/>
          </w:tcPr>
          <w:p w14:paraId="53475AEE">
            <w:pPr>
              <w:pStyle w:val="77"/>
              <w:spacing w:line="360" w:lineRule="auto"/>
              <w:rPr>
                <w:rFonts w:hAnsi="宋体"/>
                <w:color w:val="auto"/>
                <w:sz w:val="24"/>
                <w:szCs w:val="24"/>
                <w:highlight w:val="none"/>
              </w:rPr>
            </w:pPr>
            <w:r>
              <w:rPr>
                <w:rFonts w:hint="eastAsia" w:hAnsi="宋体"/>
                <w:color w:val="auto"/>
                <w:sz w:val="24"/>
                <w:szCs w:val="24"/>
                <w:highlight w:val="none"/>
              </w:rPr>
              <w:t>评审方法：综合评分法（详细见第六章）</w:t>
            </w:r>
          </w:p>
        </w:tc>
      </w:tr>
      <w:tr w14:paraId="53475A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637" w:type="dxa"/>
            <w:vAlign w:val="center"/>
          </w:tcPr>
          <w:p w14:paraId="53475AF0">
            <w:pPr>
              <w:pStyle w:val="77"/>
              <w:spacing w:line="360" w:lineRule="auto"/>
              <w:jc w:val="center"/>
              <w:rPr>
                <w:rFonts w:hAnsi="宋体"/>
                <w:color w:val="auto"/>
                <w:sz w:val="24"/>
                <w:szCs w:val="24"/>
                <w:highlight w:val="none"/>
              </w:rPr>
            </w:pPr>
            <w:r>
              <w:rPr>
                <w:rFonts w:hint="eastAsia" w:hAnsi="宋体"/>
                <w:color w:val="auto"/>
                <w:sz w:val="24"/>
                <w:szCs w:val="24"/>
                <w:highlight w:val="none"/>
              </w:rPr>
              <w:t>13</w:t>
            </w:r>
          </w:p>
        </w:tc>
        <w:tc>
          <w:tcPr>
            <w:tcW w:w="1284" w:type="dxa"/>
            <w:vAlign w:val="center"/>
          </w:tcPr>
          <w:p w14:paraId="53475AF1">
            <w:pPr>
              <w:pStyle w:val="77"/>
              <w:spacing w:line="360" w:lineRule="auto"/>
              <w:jc w:val="center"/>
              <w:rPr>
                <w:rFonts w:hAnsi="宋体"/>
                <w:bCs/>
                <w:color w:val="auto"/>
                <w:sz w:val="24"/>
                <w:szCs w:val="24"/>
                <w:highlight w:val="none"/>
              </w:rPr>
            </w:pPr>
            <w:r>
              <w:rPr>
                <w:rFonts w:hint="eastAsia" w:hAnsi="宋体"/>
                <w:bCs/>
                <w:color w:val="auto"/>
                <w:sz w:val="24"/>
                <w:szCs w:val="24"/>
                <w:highlight w:val="none"/>
              </w:rPr>
              <w:t>成交</w:t>
            </w:r>
            <w:r>
              <w:rPr>
                <w:rFonts w:hAnsi="宋体"/>
                <w:bCs/>
                <w:color w:val="auto"/>
                <w:sz w:val="24"/>
                <w:szCs w:val="24"/>
                <w:highlight w:val="none"/>
              </w:rPr>
              <w:t>结果</w:t>
            </w:r>
          </w:p>
        </w:tc>
        <w:tc>
          <w:tcPr>
            <w:tcW w:w="8781" w:type="dxa"/>
            <w:tcBorders>
              <w:top w:val="single" w:color="auto" w:sz="4" w:space="0"/>
              <w:left w:val="single" w:color="auto" w:sz="4" w:space="0"/>
              <w:bottom w:val="single" w:color="auto" w:sz="4" w:space="0"/>
              <w:right w:val="single" w:color="auto" w:sz="4" w:space="0"/>
            </w:tcBorders>
            <w:vAlign w:val="center"/>
          </w:tcPr>
          <w:p w14:paraId="53475AF2">
            <w:pPr>
              <w:autoSpaceDE w:val="0"/>
              <w:autoSpaceDN w:val="0"/>
              <w:snapToGrid w:val="0"/>
              <w:spacing w:line="360" w:lineRule="auto"/>
              <w:textAlignment w:val="bottom"/>
              <w:rPr>
                <w:rFonts w:ascii="宋体" w:hAnsi="宋体" w:cs="宋体"/>
                <w:color w:val="auto"/>
                <w:sz w:val="24"/>
                <w:highlight w:val="none"/>
              </w:rPr>
            </w:pPr>
            <w:r>
              <w:rPr>
                <w:rFonts w:hint="eastAsia" w:ascii="宋体" w:hAnsi="宋体" w:cs="宋体"/>
                <w:b/>
                <w:bCs/>
                <w:color w:val="auto"/>
                <w:sz w:val="24"/>
                <w:highlight w:val="none"/>
              </w:rPr>
              <w:t>成交通知书及成交公告：</w:t>
            </w:r>
            <w:r>
              <w:rPr>
                <w:rFonts w:hint="eastAsia" w:ascii="宋体" w:hAnsi="宋体" w:cs="宋体"/>
                <w:color w:val="auto"/>
                <w:sz w:val="24"/>
                <w:highlight w:val="none"/>
              </w:rPr>
              <w:t>采购代理机构在采购人依法确定成交人之日起2个工作日内发出成交通知书，并在</w:t>
            </w:r>
            <w:r>
              <w:rPr>
                <w:rFonts w:hint="eastAsia" w:ascii="宋体" w:hAnsi="宋体" w:cs="宋体"/>
                <w:color w:val="auto"/>
                <w:sz w:val="24"/>
                <w:highlight w:val="none"/>
                <w:lang w:eastAsia="zh-CN"/>
              </w:rPr>
              <w:t>中国政府采购网(http：//www.ccgp.gov.cn/)、广西政府采购网(http：//www.ccgp-guangxi.gov.cn/)</w:t>
            </w:r>
            <w:r>
              <w:rPr>
                <w:rFonts w:hint="eastAsia" w:ascii="宋体" w:hAnsi="宋体" w:cs="宋体"/>
                <w:color w:val="auto"/>
                <w:sz w:val="24"/>
                <w:highlight w:val="none"/>
              </w:rPr>
              <w:t>发布成交公告。</w:t>
            </w:r>
          </w:p>
          <w:p w14:paraId="53475AF3">
            <w:pPr>
              <w:autoSpaceDE w:val="0"/>
              <w:autoSpaceDN w:val="0"/>
              <w:snapToGrid w:val="0"/>
              <w:spacing w:line="360" w:lineRule="auto"/>
              <w:textAlignment w:val="bottom"/>
              <w:rPr>
                <w:rFonts w:ascii="宋体" w:hAnsi="宋体" w:cs="宋体"/>
                <w:color w:val="auto"/>
                <w:sz w:val="24"/>
                <w:highlight w:val="none"/>
              </w:rPr>
            </w:pPr>
            <w:r>
              <w:rPr>
                <w:rFonts w:hint="eastAsia" w:ascii="宋体" w:hAnsi="宋体" w:cs="宋体"/>
                <w:b/>
                <w:bCs/>
                <w:color w:val="auto"/>
                <w:sz w:val="24"/>
                <w:highlight w:val="none"/>
              </w:rPr>
              <w:t>中小企业信用融资：</w:t>
            </w:r>
            <w:r>
              <w:rPr>
                <w:rFonts w:hint="eastAsia" w:ascii="宋体" w:hAnsi="宋体" w:cs="宋体"/>
                <w:color w:val="auto"/>
                <w:sz w:val="24"/>
                <w:highlight w:val="none"/>
              </w:rPr>
              <w:t>为支持和促进中小企业发展，进一步发挥政府采购政策功能，北海市财政局与北海市工业和信息化局共同出台了《关于贯彻落实政府采购领域促进中小企业发展措施的通知》，供应商若有融资意向，详见《关于贯彻落实政府采购领域促进中小企业发展措施的通知》，或登录采购人/采购代理机构网站自助查询。</w:t>
            </w:r>
          </w:p>
          <w:p w14:paraId="53475AF4">
            <w:pPr>
              <w:autoSpaceDE w:val="0"/>
              <w:autoSpaceDN w:val="0"/>
              <w:snapToGrid w:val="0"/>
              <w:spacing w:line="360" w:lineRule="auto"/>
              <w:textAlignment w:val="bottom"/>
              <w:rPr>
                <w:rFonts w:ascii="宋体" w:hAnsi="宋体" w:cs="宋体"/>
                <w:color w:val="auto"/>
                <w:sz w:val="24"/>
                <w:highlight w:val="none"/>
              </w:rPr>
            </w:pPr>
            <w:r>
              <w:rPr>
                <w:rFonts w:hint="eastAsia" w:ascii="宋体" w:hAnsi="宋体" w:cs="宋体"/>
                <w:color w:val="auto"/>
                <w:sz w:val="24"/>
                <w:highlight w:val="none"/>
              </w:rPr>
              <w:t>供应商成交后也可在“广西政府采购云平台”申请政采贷：操作路径：登录广西政府采购云平台-金融服务中心-【融资服务】，可在热门申请中选择产品直接申请。</w:t>
            </w:r>
          </w:p>
        </w:tc>
      </w:tr>
      <w:tr w14:paraId="53475A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jc w:val="center"/>
        </w:trPr>
        <w:tc>
          <w:tcPr>
            <w:tcW w:w="637" w:type="dxa"/>
            <w:vAlign w:val="center"/>
          </w:tcPr>
          <w:p w14:paraId="53475AF6">
            <w:pPr>
              <w:pStyle w:val="77"/>
              <w:spacing w:line="360" w:lineRule="auto"/>
              <w:jc w:val="center"/>
              <w:rPr>
                <w:rFonts w:hAnsi="宋体"/>
                <w:color w:val="auto"/>
                <w:sz w:val="24"/>
                <w:szCs w:val="24"/>
                <w:highlight w:val="none"/>
              </w:rPr>
            </w:pPr>
            <w:r>
              <w:rPr>
                <w:rFonts w:hint="eastAsia" w:hAnsi="宋体"/>
                <w:color w:val="auto"/>
                <w:sz w:val="24"/>
                <w:szCs w:val="24"/>
                <w:highlight w:val="none"/>
              </w:rPr>
              <w:t>14</w:t>
            </w:r>
          </w:p>
        </w:tc>
        <w:tc>
          <w:tcPr>
            <w:tcW w:w="1284" w:type="dxa"/>
            <w:vAlign w:val="center"/>
          </w:tcPr>
          <w:p w14:paraId="53475AF7">
            <w:pPr>
              <w:pStyle w:val="77"/>
              <w:spacing w:line="360" w:lineRule="auto"/>
              <w:jc w:val="center"/>
              <w:rPr>
                <w:rFonts w:hAnsi="宋体"/>
                <w:bCs/>
                <w:color w:val="auto"/>
                <w:sz w:val="24"/>
                <w:szCs w:val="24"/>
                <w:highlight w:val="none"/>
              </w:rPr>
            </w:pPr>
            <w:r>
              <w:rPr>
                <w:rFonts w:hint="eastAsia" w:hAnsi="宋体" w:cs="宋体"/>
                <w:b/>
                <w:bCs/>
                <w:color w:val="auto"/>
                <w:sz w:val="24"/>
                <w:szCs w:val="24"/>
                <w:highlight w:val="none"/>
              </w:rPr>
              <w:t>签订合同</w:t>
            </w:r>
          </w:p>
        </w:tc>
        <w:tc>
          <w:tcPr>
            <w:tcW w:w="8781" w:type="dxa"/>
            <w:tcBorders>
              <w:top w:val="single" w:color="auto" w:sz="4" w:space="0"/>
              <w:left w:val="single" w:color="auto" w:sz="4" w:space="0"/>
              <w:bottom w:val="single" w:color="auto" w:sz="4" w:space="0"/>
              <w:right w:val="single" w:color="auto" w:sz="4" w:space="0"/>
            </w:tcBorders>
            <w:vAlign w:val="center"/>
          </w:tcPr>
          <w:p w14:paraId="53475AF8">
            <w:pPr>
              <w:autoSpaceDE w:val="0"/>
              <w:autoSpaceDN w:val="0"/>
              <w:snapToGrid w:val="0"/>
              <w:spacing w:line="360" w:lineRule="auto"/>
              <w:textAlignment w:val="bottom"/>
              <w:rPr>
                <w:rFonts w:ascii="宋体" w:hAnsi="宋体" w:cs="宋体"/>
                <w:color w:val="auto"/>
                <w:sz w:val="24"/>
                <w:highlight w:val="none"/>
              </w:rPr>
            </w:pPr>
            <w:r>
              <w:rPr>
                <w:rFonts w:hint="eastAsia" w:ascii="宋体" w:hAnsi="宋体" w:cs="宋体"/>
                <w:color w:val="auto"/>
                <w:sz w:val="24"/>
                <w:highlight w:val="none"/>
              </w:rPr>
              <w:t>自成交通知书发出之日起，原则上要求</w:t>
            </w:r>
            <w:r>
              <w:rPr>
                <w:rFonts w:ascii="宋体" w:hAnsi="宋体" w:cs="宋体"/>
                <w:color w:val="auto"/>
                <w:sz w:val="24"/>
                <w:highlight w:val="none"/>
              </w:rPr>
              <w:t>25</w:t>
            </w:r>
            <w:r>
              <w:rPr>
                <w:rFonts w:hint="eastAsia" w:ascii="宋体" w:hAnsi="宋体" w:cs="宋体"/>
                <w:color w:val="auto"/>
                <w:sz w:val="24"/>
                <w:highlight w:val="none"/>
              </w:rPr>
              <w:t>日内签订（项目实施过程中出现质疑或投诉的情形除外）。</w:t>
            </w:r>
          </w:p>
        </w:tc>
      </w:tr>
      <w:tr w14:paraId="53475A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637" w:type="dxa"/>
            <w:vAlign w:val="center"/>
          </w:tcPr>
          <w:p w14:paraId="53475AFA">
            <w:pPr>
              <w:pStyle w:val="77"/>
              <w:spacing w:line="360" w:lineRule="auto"/>
              <w:jc w:val="center"/>
              <w:rPr>
                <w:rFonts w:hAnsi="宋体"/>
                <w:color w:val="auto"/>
                <w:sz w:val="24"/>
                <w:szCs w:val="24"/>
                <w:highlight w:val="none"/>
              </w:rPr>
            </w:pPr>
            <w:r>
              <w:rPr>
                <w:rFonts w:hint="eastAsia" w:hAnsi="宋体"/>
                <w:color w:val="auto"/>
                <w:sz w:val="24"/>
                <w:szCs w:val="24"/>
                <w:highlight w:val="none"/>
              </w:rPr>
              <w:t>15</w:t>
            </w:r>
          </w:p>
        </w:tc>
        <w:tc>
          <w:tcPr>
            <w:tcW w:w="1284" w:type="dxa"/>
            <w:vAlign w:val="center"/>
          </w:tcPr>
          <w:p w14:paraId="53475AFB">
            <w:pPr>
              <w:pStyle w:val="77"/>
              <w:spacing w:line="360" w:lineRule="auto"/>
              <w:jc w:val="center"/>
              <w:rPr>
                <w:rFonts w:hAnsi="宋体"/>
                <w:bCs/>
                <w:color w:val="auto"/>
                <w:sz w:val="24"/>
                <w:szCs w:val="24"/>
                <w:highlight w:val="none"/>
              </w:rPr>
            </w:pPr>
            <w:r>
              <w:rPr>
                <w:rFonts w:hint="eastAsia" w:hAnsi="宋体" w:cs="宋体"/>
                <w:b/>
                <w:color w:val="auto"/>
                <w:sz w:val="24"/>
                <w:szCs w:val="24"/>
                <w:highlight w:val="none"/>
              </w:rPr>
              <w:t>电子签名</w:t>
            </w:r>
          </w:p>
        </w:tc>
        <w:tc>
          <w:tcPr>
            <w:tcW w:w="8781" w:type="dxa"/>
            <w:vAlign w:val="center"/>
          </w:tcPr>
          <w:p w14:paraId="53475AFC">
            <w:pPr>
              <w:pStyle w:val="23"/>
              <w:adjustRightInd w:val="0"/>
              <w:snapToGrid w:val="0"/>
              <w:spacing w:line="360" w:lineRule="auto"/>
              <w:rPr>
                <w:rFonts w:hAnsi="宋体" w:cs="宋体"/>
                <w:b/>
                <w:color w:val="auto"/>
                <w:sz w:val="24"/>
                <w:szCs w:val="24"/>
                <w:highlight w:val="none"/>
              </w:rPr>
            </w:pPr>
            <w:r>
              <w:rPr>
                <w:rFonts w:hint="eastAsia" w:hAnsi="宋体" w:cs="宋体"/>
                <w:b/>
                <w:color w:val="auto"/>
                <w:sz w:val="24"/>
                <w:szCs w:val="24"/>
                <w:highlight w:val="none"/>
              </w:rPr>
              <w:t>“电子签名”系指数据电文中以电子形式所含、所附用于识别签名人身份并表明签名人认可其中内容的数据；“公章”系指单位法定名称章。因特殊原因需要使用冠以法定名称的业务专用章的，提交响应文件时须提供《业务专用章使用说明函》。磋商文件对响应文件签字、盖章的要求适用于电子签名。</w:t>
            </w:r>
          </w:p>
          <w:p w14:paraId="53475AFD">
            <w:pPr>
              <w:pStyle w:val="23"/>
              <w:adjustRightInd w:val="0"/>
              <w:snapToGrid w:val="0"/>
              <w:spacing w:line="360" w:lineRule="auto"/>
              <w:rPr>
                <w:rFonts w:hAnsi="宋体"/>
                <w:bCs/>
                <w:color w:val="auto"/>
                <w:sz w:val="24"/>
                <w:szCs w:val="24"/>
                <w:highlight w:val="none"/>
              </w:rPr>
            </w:pPr>
            <w:r>
              <w:rPr>
                <w:rFonts w:hint="eastAsia" w:hAnsi="宋体" w:cs="宋体"/>
                <w:b/>
                <w:color w:val="auto"/>
                <w:sz w:val="24"/>
                <w:szCs w:val="24"/>
                <w:highlight w:val="none"/>
              </w:rPr>
              <w:t>本文件所涉及的法定代表人（负责人）或其委托代理人签名的内容，可以是供应商的法定代表人（负责人）或其委托代理人的电子签名；如果供应商没有法定代表人（负责人）或其委托代理人的电子签名，供应商也可以线下签名或盖姓名章后扫描上传。电子响应文件加盖公章部分均采用CA签章。</w:t>
            </w:r>
          </w:p>
        </w:tc>
      </w:tr>
      <w:tr w14:paraId="53475B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637" w:type="dxa"/>
            <w:vAlign w:val="center"/>
          </w:tcPr>
          <w:p w14:paraId="53475AFF">
            <w:pPr>
              <w:pStyle w:val="77"/>
              <w:spacing w:line="360" w:lineRule="auto"/>
              <w:jc w:val="center"/>
              <w:rPr>
                <w:rFonts w:hAnsi="宋体"/>
                <w:color w:val="auto"/>
                <w:sz w:val="24"/>
                <w:szCs w:val="24"/>
                <w:highlight w:val="none"/>
              </w:rPr>
            </w:pPr>
            <w:r>
              <w:rPr>
                <w:rFonts w:hint="eastAsia" w:hAnsi="宋体"/>
                <w:color w:val="auto"/>
                <w:sz w:val="24"/>
                <w:szCs w:val="24"/>
                <w:highlight w:val="none"/>
              </w:rPr>
              <w:t>16</w:t>
            </w:r>
          </w:p>
        </w:tc>
        <w:tc>
          <w:tcPr>
            <w:tcW w:w="1284" w:type="dxa"/>
            <w:vAlign w:val="center"/>
          </w:tcPr>
          <w:p w14:paraId="53475B00">
            <w:pPr>
              <w:pStyle w:val="77"/>
              <w:spacing w:line="360" w:lineRule="auto"/>
              <w:jc w:val="center"/>
              <w:rPr>
                <w:rFonts w:hAnsi="宋体"/>
                <w:color w:val="auto"/>
                <w:sz w:val="24"/>
                <w:szCs w:val="24"/>
                <w:highlight w:val="none"/>
              </w:rPr>
            </w:pPr>
            <w:r>
              <w:rPr>
                <w:rFonts w:hint="eastAsia" w:hAnsi="宋体"/>
                <w:bCs/>
                <w:color w:val="auto"/>
                <w:sz w:val="24"/>
                <w:szCs w:val="24"/>
                <w:highlight w:val="none"/>
              </w:rPr>
              <w:t>质疑及投诉联系方式</w:t>
            </w:r>
          </w:p>
        </w:tc>
        <w:tc>
          <w:tcPr>
            <w:tcW w:w="8781" w:type="dxa"/>
            <w:vAlign w:val="center"/>
          </w:tcPr>
          <w:p w14:paraId="53475B01">
            <w:pPr>
              <w:pStyle w:val="23"/>
              <w:adjustRightInd w:val="0"/>
              <w:snapToGrid w:val="0"/>
              <w:spacing w:line="360" w:lineRule="auto"/>
              <w:rPr>
                <w:rFonts w:hAnsi="宋体"/>
                <w:bCs/>
                <w:color w:val="auto"/>
                <w:sz w:val="24"/>
                <w:szCs w:val="24"/>
                <w:highlight w:val="none"/>
              </w:rPr>
            </w:pPr>
            <w:r>
              <w:rPr>
                <w:rFonts w:hint="eastAsia" w:hAnsi="宋体"/>
                <w:bCs/>
                <w:color w:val="auto"/>
                <w:sz w:val="24"/>
                <w:szCs w:val="24"/>
                <w:highlight w:val="none"/>
              </w:rPr>
              <w:t>质疑联系部门及电话为：</w:t>
            </w:r>
            <w:r>
              <w:rPr>
                <w:rFonts w:hint="eastAsia" w:hAnsi="宋体"/>
                <w:bCs/>
                <w:color w:val="auto"/>
                <w:sz w:val="24"/>
                <w:szCs w:val="24"/>
                <w:highlight w:val="none"/>
                <w:u w:val="none"/>
                <w:lang w:eastAsia="zh-CN"/>
              </w:rPr>
              <w:t>广西中之元工程管理有限公司</w:t>
            </w:r>
            <w:r>
              <w:rPr>
                <w:rFonts w:hint="eastAsia" w:hAnsi="宋体"/>
                <w:bCs/>
                <w:color w:val="auto"/>
                <w:sz w:val="24"/>
                <w:szCs w:val="24"/>
                <w:highlight w:val="none"/>
                <w:u w:val="none"/>
              </w:rPr>
              <w:t xml:space="preserve"> </w:t>
            </w:r>
            <w:r>
              <w:rPr>
                <w:rFonts w:hint="eastAsia" w:hAnsi="宋体"/>
                <w:bCs/>
                <w:color w:val="auto"/>
                <w:sz w:val="24"/>
                <w:szCs w:val="24"/>
                <w:highlight w:val="none"/>
                <w:u w:val="none"/>
                <w:lang w:val="en-US" w:eastAsia="zh-CN"/>
              </w:rPr>
              <w:t xml:space="preserve">     </w:t>
            </w:r>
            <w:r>
              <w:rPr>
                <w:rFonts w:hint="eastAsia" w:hAnsi="宋体"/>
                <w:bCs/>
                <w:color w:val="auto"/>
                <w:sz w:val="24"/>
                <w:szCs w:val="24"/>
                <w:highlight w:val="none"/>
                <w:u w:val="none"/>
                <w:lang w:eastAsia="zh-CN"/>
              </w:rPr>
              <w:t>0779-7200788</w:t>
            </w:r>
            <w:r>
              <w:rPr>
                <w:rFonts w:hint="eastAsia" w:hAnsi="宋体"/>
                <w:bCs/>
                <w:color w:val="auto"/>
                <w:sz w:val="24"/>
                <w:szCs w:val="24"/>
                <w:highlight w:val="none"/>
                <w:u w:val="none"/>
              </w:rPr>
              <w:t xml:space="preserve"> </w:t>
            </w:r>
          </w:p>
          <w:p w14:paraId="53475B02">
            <w:pPr>
              <w:pStyle w:val="23"/>
              <w:adjustRightInd w:val="0"/>
              <w:snapToGrid w:val="0"/>
              <w:spacing w:line="360" w:lineRule="auto"/>
              <w:rPr>
                <w:rFonts w:hAnsi="宋体"/>
                <w:bCs/>
                <w:color w:val="auto"/>
                <w:sz w:val="24"/>
                <w:szCs w:val="24"/>
                <w:highlight w:val="none"/>
              </w:rPr>
            </w:pPr>
            <w:r>
              <w:rPr>
                <w:rFonts w:hint="eastAsia" w:hAnsi="宋体"/>
                <w:bCs/>
                <w:color w:val="auto"/>
                <w:sz w:val="24"/>
                <w:szCs w:val="24"/>
                <w:highlight w:val="none"/>
              </w:rPr>
              <w:t>投诉联系部门及电话为：合浦县</w:t>
            </w:r>
            <w:r>
              <w:rPr>
                <w:rFonts w:hint="eastAsia" w:hAnsi="宋体"/>
                <w:bCs/>
                <w:color w:val="auto"/>
                <w:sz w:val="24"/>
                <w:szCs w:val="24"/>
                <w:highlight w:val="none"/>
                <w:lang w:eastAsia="zh-CN"/>
              </w:rPr>
              <w:t>财政局政府采购监督管理股</w:t>
            </w:r>
            <w:r>
              <w:rPr>
                <w:rFonts w:hint="eastAsia" w:hAnsi="宋体"/>
                <w:bCs/>
                <w:color w:val="auto"/>
                <w:sz w:val="24"/>
                <w:szCs w:val="24"/>
                <w:highlight w:val="none"/>
              </w:rPr>
              <w:t xml:space="preserve"> </w:t>
            </w:r>
            <w:r>
              <w:rPr>
                <w:rFonts w:hint="eastAsia" w:hAnsi="宋体"/>
                <w:bCs/>
                <w:color w:val="auto"/>
                <w:sz w:val="24"/>
                <w:szCs w:val="24"/>
                <w:highlight w:val="none"/>
                <w:lang w:val="en-US" w:eastAsia="zh-CN"/>
              </w:rPr>
              <w:t xml:space="preserve"> </w:t>
            </w:r>
            <w:r>
              <w:rPr>
                <w:rFonts w:hint="eastAsia" w:hAnsi="宋体"/>
                <w:bCs/>
                <w:color w:val="auto"/>
                <w:sz w:val="24"/>
                <w:szCs w:val="24"/>
                <w:highlight w:val="none"/>
              </w:rPr>
              <w:t>0779-</w:t>
            </w:r>
            <w:r>
              <w:rPr>
                <w:rFonts w:hint="eastAsia" w:hAnsi="宋体"/>
                <w:bCs/>
                <w:color w:val="auto"/>
                <w:sz w:val="24"/>
                <w:szCs w:val="24"/>
                <w:highlight w:val="none"/>
                <w:lang w:eastAsia="zh-CN"/>
              </w:rPr>
              <w:t>7200908</w:t>
            </w:r>
            <w:r>
              <w:rPr>
                <w:rFonts w:hint="eastAsia" w:hAnsi="宋体"/>
                <w:bCs/>
                <w:color w:val="auto"/>
                <w:sz w:val="24"/>
                <w:szCs w:val="24"/>
                <w:highlight w:val="none"/>
              </w:rPr>
              <w:t xml:space="preserve"> </w:t>
            </w:r>
          </w:p>
        </w:tc>
      </w:tr>
    </w:tbl>
    <w:p w14:paraId="53475B04">
      <w:pPr>
        <w:spacing w:line="360" w:lineRule="auto"/>
        <w:ind w:firstLine="482" w:firstLineChars="200"/>
        <w:jc w:val="center"/>
        <w:rPr>
          <w:rFonts w:ascii="宋体" w:hAnsi="宋体"/>
          <w:b/>
          <w:color w:val="auto"/>
          <w:sz w:val="24"/>
          <w:highlight w:val="none"/>
        </w:rPr>
      </w:pPr>
    </w:p>
    <w:p w14:paraId="2D677A80">
      <w:pPr>
        <w:rPr>
          <w:rFonts w:hint="eastAsia" w:ascii="宋体" w:hAnsi="宋体"/>
          <w:b/>
          <w:color w:val="auto"/>
          <w:sz w:val="32"/>
          <w:szCs w:val="32"/>
          <w:highlight w:val="none"/>
        </w:rPr>
      </w:pPr>
      <w:r>
        <w:rPr>
          <w:rFonts w:hint="eastAsia" w:ascii="宋体" w:hAnsi="宋体"/>
          <w:b/>
          <w:color w:val="auto"/>
          <w:sz w:val="32"/>
          <w:szCs w:val="32"/>
          <w:highlight w:val="none"/>
        </w:rPr>
        <w:br w:type="page"/>
      </w:r>
    </w:p>
    <w:p w14:paraId="53475B05">
      <w:pPr>
        <w:spacing w:line="360" w:lineRule="auto"/>
        <w:ind w:firstLine="643" w:firstLineChars="200"/>
        <w:jc w:val="center"/>
        <w:rPr>
          <w:rFonts w:ascii="宋体" w:hAnsi="宋体"/>
          <w:b/>
          <w:color w:val="auto"/>
          <w:sz w:val="32"/>
          <w:szCs w:val="32"/>
          <w:highlight w:val="none"/>
        </w:rPr>
      </w:pPr>
      <w:r>
        <w:rPr>
          <w:rFonts w:hint="eastAsia" w:ascii="宋体" w:hAnsi="宋体"/>
          <w:b/>
          <w:color w:val="auto"/>
          <w:sz w:val="32"/>
          <w:szCs w:val="32"/>
          <w:highlight w:val="none"/>
        </w:rPr>
        <w:t>磋商</w:t>
      </w:r>
      <w:r>
        <w:rPr>
          <w:rFonts w:ascii="宋体" w:hAnsi="宋体"/>
          <w:b/>
          <w:color w:val="auto"/>
          <w:sz w:val="32"/>
          <w:szCs w:val="32"/>
          <w:highlight w:val="none"/>
        </w:rPr>
        <w:t>供应商须知</w:t>
      </w:r>
    </w:p>
    <w:p w14:paraId="53475B06">
      <w:pPr>
        <w:spacing w:line="360" w:lineRule="auto"/>
        <w:ind w:firstLine="480" w:firstLineChars="200"/>
        <w:rPr>
          <w:rFonts w:ascii="宋体" w:hAnsi="宋体"/>
          <w:color w:val="auto"/>
          <w:sz w:val="24"/>
          <w:highlight w:val="none"/>
        </w:rPr>
      </w:pPr>
    </w:p>
    <w:p w14:paraId="53475B07">
      <w:pPr>
        <w:adjustRightInd w:val="0"/>
        <w:snapToGrid w:val="0"/>
        <w:spacing w:line="360" w:lineRule="auto"/>
        <w:ind w:firstLine="482" w:firstLineChars="200"/>
        <w:rPr>
          <w:rFonts w:ascii="宋体" w:hAnsi="宋体"/>
          <w:b/>
          <w:color w:val="auto"/>
          <w:sz w:val="24"/>
          <w:highlight w:val="none"/>
        </w:rPr>
      </w:pPr>
      <w:r>
        <w:rPr>
          <w:rFonts w:hint="eastAsia" w:ascii="宋体" w:hAnsi="宋体"/>
          <w:b/>
          <w:color w:val="auto"/>
          <w:sz w:val="24"/>
          <w:highlight w:val="none"/>
        </w:rPr>
        <w:t>一、总　则</w:t>
      </w:r>
    </w:p>
    <w:p w14:paraId="53475B08">
      <w:pPr>
        <w:snapToGrid w:val="0"/>
        <w:spacing w:line="360" w:lineRule="auto"/>
        <w:ind w:firstLine="482" w:firstLineChars="200"/>
        <w:jc w:val="left"/>
        <w:rPr>
          <w:rFonts w:ascii="宋体" w:hAnsi="宋体" w:cs="宋体"/>
          <w:b/>
          <w:color w:val="auto"/>
          <w:sz w:val="24"/>
          <w:highlight w:val="none"/>
        </w:rPr>
      </w:pPr>
      <w:bookmarkStart w:id="24" w:name="_Toc254970668"/>
      <w:bookmarkStart w:id="25" w:name="_Toc254970527"/>
      <w:r>
        <w:rPr>
          <w:rFonts w:hint="eastAsia" w:ascii="宋体" w:hAnsi="宋体" w:cs="宋体"/>
          <w:b/>
          <w:color w:val="auto"/>
          <w:sz w:val="24"/>
          <w:highlight w:val="none"/>
        </w:rPr>
        <w:t>1.适用范围</w:t>
      </w:r>
      <w:bookmarkEnd w:id="24"/>
      <w:bookmarkEnd w:id="25"/>
    </w:p>
    <w:p w14:paraId="53475B09">
      <w:pPr>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本磋商文件适用于本项目的磋商、响应、评审、定标、验收、合同履约、付款等行为（法律、法规另有规定的，从其规定）。</w:t>
      </w:r>
    </w:p>
    <w:p w14:paraId="53475B0A">
      <w:pPr>
        <w:snapToGrid w:val="0"/>
        <w:spacing w:line="360" w:lineRule="auto"/>
        <w:ind w:firstLine="482" w:firstLineChars="200"/>
        <w:jc w:val="left"/>
        <w:rPr>
          <w:rFonts w:ascii="宋体" w:hAnsi="宋体" w:cs="宋体"/>
          <w:b/>
          <w:color w:val="auto"/>
          <w:sz w:val="24"/>
          <w:highlight w:val="none"/>
        </w:rPr>
      </w:pPr>
      <w:bookmarkStart w:id="26" w:name="_Toc254970669"/>
      <w:bookmarkStart w:id="27" w:name="_Toc254970528"/>
      <w:r>
        <w:rPr>
          <w:rFonts w:hint="eastAsia" w:ascii="宋体" w:hAnsi="宋体" w:cs="宋体"/>
          <w:b/>
          <w:color w:val="auto"/>
          <w:sz w:val="24"/>
          <w:highlight w:val="none"/>
        </w:rPr>
        <w:t>2.定义</w:t>
      </w:r>
      <w:bookmarkEnd w:id="26"/>
      <w:bookmarkEnd w:id="27"/>
    </w:p>
    <w:p w14:paraId="53475B0B">
      <w:pPr>
        <w:snapToGrid w:val="0"/>
        <w:spacing w:line="360" w:lineRule="auto"/>
        <w:ind w:firstLine="480" w:firstLineChars="200"/>
        <w:jc w:val="left"/>
        <w:rPr>
          <w:rFonts w:ascii="宋体" w:hAnsi="宋体" w:cs="宋体"/>
          <w:color w:val="auto"/>
          <w:sz w:val="24"/>
          <w:highlight w:val="none"/>
        </w:rPr>
      </w:pPr>
      <w:r>
        <w:rPr>
          <w:rFonts w:ascii="宋体" w:hAnsi="宋体" w:cs="宋体"/>
          <w:color w:val="auto"/>
          <w:sz w:val="24"/>
          <w:highlight w:val="none"/>
        </w:rPr>
        <w:t>2.</w:t>
      </w:r>
      <w:r>
        <w:rPr>
          <w:rFonts w:hint="eastAsia" w:ascii="宋体" w:hAnsi="宋体" w:cs="宋体"/>
          <w:color w:val="auto"/>
          <w:sz w:val="24"/>
          <w:highlight w:val="none"/>
        </w:rPr>
        <w:t>1“采购人”系指组织本次磋商的采购单位。</w:t>
      </w:r>
    </w:p>
    <w:p w14:paraId="53475B0C">
      <w:pPr>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2.</w:t>
      </w:r>
      <w:r>
        <w:rPr>
          <w:rFonts w:ascii="宋体" w:hAnsi="宋体" w:cs="宋体"/>
          <w:color w:val="auto"/>
          <w:sz w:val="24"/>
          <w:highlight w:val="none"/>
        </w:rPr>
        <w:t>2</w:t>
      </w:r>
      <w:r>
        <w:rPr>
          <w:rFonts w:hint="eastAsia" w:ascii="宋体" w:hAnsi="宋体" w:cs="宋体"/>
          <w:color w:val="auto"/>
          <w:sz w:val="24"/>
          <w:highlight w:val="none"/>
        </w:rPr>
        <w:t>“采购代理机构”系指组织本次磋商的采购代理机构（以下简称“</w:t>
      </w:r>
      <w:r>
        <w:rPr>
          <w:rFonts w:hint="eastAsia" w:ascii="宋体" w:hAnsi="宋体"/>
          <w:color w:val="auto"/>
          <w:sz w:val="24"/>
          <w:highlight w:val="none"/>
        </w:rPr>
        <w:t>本代理机构</w:t>
      </w:r>
      <w:r>
        <w:rPr>
          <w:rFonts w:hint="eastAsia" w:ascii="宋体" w:hAnsi="宋体" w:cs="宋体"/>
          <w:color w:val="auto"/>
          <w:sz w:val="24"/>
          <w:highlight w:val="none"/>
        </w:rPr>
        <w:t>”）。</w:t>
      </w:r>
    </w:p>
    <w:p w14:paraId="53475B0D">
      <w:pPr>
        <w:snapToGrid w:val="0"/>
        <w:spacing w:line="360" w:lineRule="auto"/>
        <w:ind w:firstLine="480" w:firstLineChars="200"/>
        <w:jc w:val="left"/>
        <w:rPr>
          <w:rFonts w:ascii="宋体" w:hAnsi="宋体" w:cs="宋体"/>
          <w:color w:val="auto"/>
          <w:sz w:val="24"/>
          <w:highlight w:val="none"/>
        </w:rPr>
      </w:pPr>
      <w:r>
        <w:rPr>
          <w:rFonts w:ascii="宋体" w:hAnsi="宋体" w:cs="宋体"/>
          <w:color w:val="auto"/>
          <w:sz w:val="24"/>
          <w:highlight w:val="none"/>
        </w:rPr>
        <w:t>2.3</w:t>
      </w:r>
      <w:r>
        <w:rPr>
          <w:rFonts w:hint="eastAsia" w:ascii="宋体" w:hAnsi="宋体" w:cs="宋体"/>
          <w:color w:val="auto"/>
          <w:sz w:val="24"/>
          <w:highlight w:val="none"/>
        </w:rPr>
        <w:t>“磋商供应商”系指响应磋商、参加磋商竞争的法人、其他组织或者自然人。</w:t>
      </w:r>
    </w:p>
    <w:p w14:paraId="53475B0E">
      <w:pPr>
        <w:snapToGrid w:val="0"/>
        <w:spacing w:line="360" w:lineRule="auto"/>
        <w:ind w:firstLine="480" w:firstLineChars="200"/>
        <w:jc w:val="left"/>
        <w:rPr>
          <w:rFonts w:ascii="宋体" w:hAnsi="宋体" w:cs="宋体"/>
          <w:color w:val="auto"/>
          <w:sz w:val="24"/>
          <w:highlight w:val="none"/>
        </w:rPr>
      </w:pPr>
      <w:r>
        <w:rPr>
          <w:rFonts w:ascii="宋体" w:hAnsi="宋体" w:cs="宋体"/>
          <w:color w:val="auto"/>
          <w:sz w:val="24"/>
          <w:highlight w:val="none"/>
        </w:rPr>
        <w:t>2.</w:t>
      </w:r>
      <w:r>
        <w:rPr>
          <w:rFonts w:hint="eastAsia" w:ascii="宋体" w:hAnsi="宋体" w:cs="宋体"/>
          <w:color w:val="auto"/>
          <w:sz w:val="24"/>
          <w:highlight w:val="none"/>
        </w:rPr>
        <w:t>4“工程”是指建设工程，包括建筑物和构筑物的新建、改建、扩建、装修、拆除、修缮等。</w:t>
      </w:r>
    </w:p>
    <w:p w14:paraId="53475B0F">
      <w:pPr>
        <w:snapToGrid w:val="0"/>
        <w:spacing w:line="360" w:lineRule="auto"/>
        <w:ind w:firstLine="480" w:firstLineChars="200"/>
        <w:jc w:val="left"/>
        <w:rPr>
          <w:rFonts w:ascii="宋体" w:hAnsi="宋体" w:cs="宋体"/>
          <w:color w:val="auto"/>
          <w:sz w:val="24"/>
          <w:highlight w:val="none"/>
        </w:rPr>
      </w:pPr>
      <w:r>
        <w:rPr>
          <w:rFonts w:ascii="宋体" w:hAnsi="宋体" w:cs="宋体"/>
          <w:color w:val="auto"/>
          <w:sz w:val="24"/>
          <w:highlight w:val="none"/>
        </w:rPr>
        <w:t>2.</w:t>
      </w:r>
      <w:r>
        <w:rPr>
          <w:rFonts w:hint="eastAsia" w:ascii="宋体" w:hAnsi="宋体" w:cs="宋体"/>
          <w:color w:val="auto"/>
          <w:sz w:val="24"/>
          <w:highlight w:val="none"/>
        </w:rPr>
        <w:t>5“项目”系指磋商供应商按竞争性磋商文件规定向采购人提供的产品和服务。</w:t>
      </w:r>
    </w:p>
    <w:p w14:paraId="53475B10">
      <w:pPr>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2.6“书面形式”包括信函、传真、电报等。</w:t>
      </w:r>
    </w:p>
    <w:p w14:paraId="53475B11">
      <w:pPr>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2.7“▲”系指实质性要求条款。</w:t>
      </w:r>
    </w:p>
    <w:p w14:paraId="53475B12">
      <w:pPr>
        <w:adjustRightInd w:val="0"/>
        <w:snapToGrid w:val="0"/>
        <w:spacing w:line="360" w:lineRule="auto"/>
        <w:ind w:firstLine="482" w:firstLineChars="200"/>
        <w:rPr>
          <w:rFonts w:ascii="宋体" w:hAnsi="宋体"/>
          <w:b/>
          <w:color w:val="auto"/>
          <w:sz w:val="24"/>
          <w:highlight w:val="none"/>
        </w:rPr>
      </w:pPr>
      <w:r>
        <w:rPr>
          <w:rFonts w:hint="eastAsia" w:ascii="宋体" w:hAnsi="宋体"/>
          <w:b/>
          <w:color w:val="auto"/>
          <w:sz w:val="24"/>
          <w:highlight w:val="none"/>
        </w:rPr>
        <w:t>3. 供应商的基本条件</w:t>
      </w:r>
    </w:p>
    <w:p w14:paraId="53475B13">
      <w:pPr>
        <w:pStyle w:val="23"/>
        <w:adjustRightInd w:val="0"/>
        <w:snapToGrid w:val="0"/>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3.1满足《中华人民共和国政府采购法》第二十二条规定；</w:t>
      </w:r>
    </w:p>
    <w:p w14:paraId="53475B14">
      <w:pPr>
        <w:pStyle w:val="23"/>
        <w:adjustRightInd w:val="0"/>
        <w:snapToGrid w:val="0"/>
        <w:spacing w:line="360" w:lineRule="auto"/>
        <w:ind w:firstLine="480" w:firstLineChars="200"/>
        <w:rPr>
          <w:rFonts w:hint="default" w:hAnsi="宋体" w:cs="宋体"/>
          <w:color w:val="auto"/>
          <w:sz w:val="24"/>
          <w:szCs w:val="24"/>
          <w:highlight w:val="none"/>
          <w:lang w:val="en-US"/>
        </w:rPr>
      </w:pPr>
      <w:r>
        <w:rPr>
          <w:rFonts w:hint="eastAsia" w:hAnsi="宋体" w:cs="宋体"/>
          <w:color w:val="auto"/>
          <w:sz w:val="24"/>
          <w:szCs w:val="24"/>
          <w:highlight w:val="none"/>
        </w:rPr>
        <w:t>3.2落实政府采购政策需满足的资格要求：</w:t>
      </w:r>
      <w:r>
        <w:rPr>
          <w:rFonts w:hint="eastAsia" w:hAnsi="宋体" w:cs="宋体"/>
          <w:color w:val="auto"/>
          <w:sz w:val="24"/>
          <w:szCs w:val="24"/>
          <w:highlight w:val="none"/>
          <w:lang w:val="en-US" w:eastAsia="zh-CN"/>
        </w:rPr>
        <w:t>见采购公告。</w:t>
      </w:r>
    </w:p>
    <w:p w14:paraId="53475B15">
      <w:pPr>
        <w:pStyle w:val="23"/>
        <w:adjustRightInd w:val="0"/>
        <w:snapToGrid w:val="0"/>
        <w:spacing w:line="360" w:lineRule="auto"/>
        <w:ind w:firstLine="480" w:firstLineChars="200"/>
        <w:rPr>
          <w:rFonts w:hint="eastAsia" w:hAnsi="宋体" w:eastAsia="宋体" w:cs="宋体"/>
          <w:color w:val="auto"/>
          <w:sz w:val="24"/>
          <w:szCs w:val="24"/>
          <w:highlight w:val="none"/>
          <w:lang w:eastAsia="zh-CN"/>
        </w:rPr>
      </w:pPr>
      <w:r>
        <w:rPr>
          <w:rFonts w:hint="eastAsia" w:hAnsi="宋体" w:cs="宋体"/>
          <w:color w:val="auto"/>
          <w:sz w:val="24"/>
          <w:szCs w:val="24"/>
          <w:highlight w:val="none"/>
        </w:rPr>
        <w:t>3.3本项目的特定资格要求：</w:t>
      </w:r>
      <w:r>
        <w:rPr>
          <w:rFonts w:hint="eastAsia" w:hAnsi="宋体" w:cs="宋体"/>
          <w:color w:val="auto"/>
          <w:sz w:val="24"/>
          <w:szCs w:val="24"/>
          <w:highlight w:val="none"/>
          <w:lang w:val="en-US" w:eastAsia="zh-CN"/>
        </w:rPr>
        <w:t>见采购公告</w:t>
      </w:r>
      <w:r>
        <w:rPr>
          <w:rFonts w:hint="eastAsia" w:hAnsi="宋体" w:cs="宋体"/>
          <w:color w:val="auto"/>
          <w:sz w:val="24"/>
          <w:szCs w:val="24"/>
          <w:highlight w:val="none"/>
          <w:lang w:eastAsia="zh-CN"/>
        </w:rPr>
        <w:t xml:space="preserve">。 </w:t>
      </w:r>
    </w:p>
    <w:p w14:paraId="53475B16">
      <w:pPr>
        <w:adjustRightInd w:val="0"/>
        <w:snapToGrid w:val="0"/>
        <w:spacing w:line="360" w:lineRule="auto"/>
        <w:ind w:firstLine="482" w:firstLineChars="200"/>
        <w:rPr>
          <w:rFonts w:ascii="宋体" w:hAnsi="宋体"/>
          <w:b/>
          <w:color w:val="auto"/>
          <w:sz w:val="24"/>
          <w:highlight w:val="none"/>
        </w:rPr>
      </w:pPr>
      <w:r>
        <w:rPr>
          <w:rFonts w:hint="eastAsia" w:ascii="宋体" w:hAnsi="宋体"/>
          <w:b/>
          <w:color w:val="auto"/>
          <w:sz w:val="24"/>
          <w:highlight w:val="none"/>
        </w:rPr>
        <w:t>4.需要落实的政府采购政策</w:t>
      </w:r>
    </w:p>
    <w:p w14:paraId="53475B17">
      <w:pPr>
        <w:adjustRightInd w:val="0"/>
        <w:spacing w:line="360" w:lineRule="auto"/>
        <w:ind w:firstLine="482" w:firstLineChars="200"/>
        <w:rPr>
          <w:rFonts w:ascii="宋体" w:hAnsi="宋体"/>
          <w:b/>
          <w:color w:val="auto"/>
          <w:sz w:val="24"/>
          <w:highlight w:val="none"/>
        </w:rPr>
      </w:pPr>
      <w:r>
        <w:rPr>
          <w:rFonts w:hint="eastAsia" w:ascii="宋体" w:hAnsi="宋体"/>
          <w:b/>
          <w:color w:val="auto"/>
          <w:sz w:val="24"/>
          <w:highlight w:val="none"/>
        </w:rPr>
        <w:t>4.1是否允许采购进口产品要求</w:t>
      </w:r>
    </w:p>
    <w:p w14:paraId="53475B18">
      <w:pPr>
        <w:adjustRightInd w:val="0"/>
        <w:spacing w:line="360" w:lineRule="auto"/>
        <w:ind w:firstLine="480" w:firstLineChars="200"/>
        <w:rPr>
          <w:rFonts w:ascii="宋体" w:hAnsi="宋体"/>
          <w:color w:val="auto"/>
          <w:sz w:val="24"/>
          <w:szCs w:val="20"/>
          <w:highlight w:val="none"/>
        </w:rPr>
      </w:pPr>
      <w:r>
        <w:rPr>
          <w:rFonts w:hint="eastAsia" w:ascii="宋体" w:hAnsi="宋体"/>
          <w:color w:val="auto"/>
          <w:sz w:val="24"/>
          <w:szCs w:val="20"/>
          <w:highlight w:val="none"/>
        </w:rPr>
        <w:t>本项目原则上采购本国生产的货物、工程和服务，不允许采购进口产品。除非采购人采购进口产品，已经在采购活动开始前向财政部门提出申请并获得财政部门审核同意，且在采购需求中明确规定可以采购进口产品（但如果因信息不对称等原因，仍有满足需求的国内产品要求参与采购竞争的，采购人、采购代理机构不会对其加以限制，仍将按照公平竞争原则实施采购）</w:t>
      </w:r>
      <w:r>
        <w:rPr>
          <w:rFonts w:hint="eastAsia" w:ascii="宋体" w:hAnsi="宋体" w:cs="宋体"/>
          <w:color w:val="auto"/>
          <w:sz w:val="24"/>
          <w:szCs w:val="20"/>
          <w:highlight w:val="none"/>
        </w:rPr>
        <w:t>；</w:t>
      </w:r>
      <w:r>
        <w:rPr>
          <w:rFonts w:hint="eastAsia" w:ascii="宋体" w:hAnsi="宋体" w:cs="宋体"/>
          <w:color w:val="auto"/>
          <w:kern w:val="0"/>
          <w:sz w:val="24"/>
          <w:szCs w:val="20"/>
          <w:highlight w:val="none"/>
        </w:rPr>
        <w:t>优先采购向我国企业转让技术、与我国企业签订消化吸收再创新方案的供应商的进口产品</w:t>
      </w:r>
      <w:r>
        <w:rPr>
          <w:rFonts w:hint="eastAsia" w:ascii="宋体" w:hAnsi="宋体"/>
          <w:color w:val="auto"/>
          <w:sz w:val="24"/>
          <w:szCs w:val="20"/>
          <w:highlight w:val="none"/>
        </w:rPr>
        <w:t>。</w:t>
      </w:r>
    </w:p>
    <w:p w14:paraId="53475B19">
      <w:pPr>
        <w:adjustRightInd w:val="0"/>
        <w:spacing w:line="360" w:lineRule="auto"/>
        <w:ind w:firstLine="482" w:firstLineChars="200"/>
        <w:rPr>
          <w:rFonts w:ascii="宋体" w:hAnsi="宋体"/>
          <w:b/>
          <w:color w:val="auto"/>
          <w:sz w:val="24"/>
          <w:highlight w:val="none"/>
        </w:rPr>
      </w:pPr>
      <w:r>
        <w:rPr>
          <w:rFonts w:hint="eastAsia" w:ascii="宋体" w:hAnsi="宋体"/>
          <w:b/>
          <w:color w:val="auto"/>
          <w:sz w:val="24"/>
          <w:highlight w:val="none"/>
        </w:rPr>
        <w:t>4.2支持绿色发展</w:t>
      </w:r>
    </w:p>
    <w:p w14:paraId="53475B1A">
      <w:pPr>
        <w:adjustRightInd w:val="0"/>
        <w:spacing w:line="360" w:lineRule="auto"/>
        <w:ind w:firstLine="480" w:firstLineChars="200"/>
        <w:rPr>
          <w:rFonts w:ascii="宋体" w:hAnsi="宋体" w:cs="宋体"/>
          <w:b/>
          <w:color w:val="auto"/>
          <w:sz w:val="24"/>
          <w:highlight w:val="none"/>
        </w:rPr>
      </w:pPr>
      <w:r>
        <w:rPr>
          <w:rFonts w:hint="eastAsia" w:ascii="宋体" w:hAnsi="宋体" w:cs="宋体"/>
          <w:color w:val="auto"/>
          <w:sz w:val="24"/>
          <w:highlight w:val="none"/>
        </w:rPr>
        <w:t>4.2.1采购人拟采购的产品属于品目清单范围的，采购人及其委托的采购代理机构将依据国家确定的认证机构出具的、处于有效期之内的节能产品、环境标志产品认证证书，对获得证书的产品实施政府优先采购或强制采购。供应商须按采磋商文件要求提供相关产品认证证书。</w:t>
      </w:r>
      <w:r>
        <w:rPr>
          <w:rFonts w:hint="eastAsia" w:ascii="宋体" w:hAnsi="宋体" w:cs="宋体"/>
          <w:b/>
          <w:color w:val="auto"/>
          <w:sz w:val="24"/>
          <w:highlight w:val="none"/>
        </w:rPr>
        <w:t>▲采购人拟采购的产品属于政府强制采购的节能产品品目清单范围的，供应商相应的响应产品未获得国家确定的认证机构出具的、处于有效期之内的节能产品认证证书的，响应无效。</w:t>
      </w:r>
    </w:p>
    <w:p w14:paraId="53475B1B">
      <w:pPr>
        <w:adjustRightIn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4.2.2纳入政府采购管理的修缮、装修类项目采购建材的，鼓励采购单位将绿色建材性能、指标等作为实质性条件纳入采购文件和合同，具体性能指标要求参考相关绿色建材政府采购需求标准。</w:t>
      </w:r>
    </w:p>
    <w:p w14:paraId="53475B1C">
      <w:pPr>
        <w:adjustRightIn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4.2.3为助力打好污染防治攻坚战，推广使用绿色包装，政府采购货物、工程和服务项目中涉及商品包装和快递包装的，供应商提供产品及相关快递服务的具体包装要求要参考《商品包装政府采购需求标准（试行）》、《快递包装政府采购需求标准（试行）》。鼓励采购单位优先采购秸秆环保板材等资源综合利用产品。鼓励采购单位优先采购绿色物流配送服务、提供新能源交通工具的租赁服务。</w:t>
      </w:r>
    </w:p>
    <w:p w14:paraId="53475B1D">
      <w:pPr>
        <w:adjustRightIn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w:t>
      </w:r>
      <w:r>
        <w:rPr>
          <w:rFonts w:ascii="宋体" w:hAnsi="宋体" w:cs="宋体"/>
          <w:color w:val="auto"/>
          <w:sz w:val="24"/>
          <w:highlight w:val="none"/>
        </w:rPr>
        <w:t xml:space="preserve">2.4 </w:t>
      </w:r>
      <w:r>
        <w:rPr>
          <w:rFonts w:hint="eastAsia" w:ascii="宋体" w:hAnsi="宋体" w:cs="宋体"/>
          <w:color w:val="auto"/>
          <w:sz w:val="24"/>
          <w:highlight w:val="none"/>
        </w:rPr>
        <w:t>鼓励供应商在参加政府采购过程中开展绿色设计、选择绿色材料、打造绿色制造工艺、开展绿色运输、做好废弃产品回收处理，实现产品全周期的绿色环保。鼓励采购单位对其提高预付款比例、免收履约保证金。</w:t>
      </w:r>
    </w:p>
    <w:p w14:paraId="53475B1E">
      <w:pPr>
        <w:adjustRightInd w:val="0"/>
        <w:spacing w:line="360" w:lineRule="auto"/>
        <w:ind w:firstLine="482" w:firstLineChars="200"/>
        <w:rPr>
          <w:rFonts w:ascii="宋体" w:hAnsi="宋体"/>
          <w:b/>
          <w:color w:val="auto"/>
          <w:sz w:val="24"/>
          <w:highlight w:val="none"/>
        </w:rPr>
      </w:pPr>
      <w:r>
        <w:rPr>
          <w:rFonts w:hint="eastAsia" w:ascii="宋体" w:hAnsi="宋体"/>
          <w:b/>
          <w:color w:val="auto"/>
          <w:sz w:val="24"/>
          <w:highlight w:val="none"/>
        </w:rPr>
        <w:t>4.3支持中小企业发展。</w:t>
      </w:r>
    </w:p>
    <w:p w14:paraId="53475B1F">
      <w:pPr>
        <w:adjustRightIn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4.3.1中小企业，是指在中华人民共和国境内依法设立，依据国务院批准的中小企业划分标准确定的中型企业、小型企业和微型企业，但与大企业的负责人为同一人，或者与大企业存在直接控股、管理关系的除外。</w:t>
      </w:r>
    </w:p>
    <w:p w14:paraId="53475B20">
      <w:pPr>
        <w:adjustRightIn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符合中小企业划分标准的个体工商户，在政府采购活动中视同中小企业。</w:t>
      </w:r>
    </w:p>
    <w:p w14:paraId="53475B21">
      <w:pPr>
        <w:widowControl/>
        <w:adjustRightInd w:val="0"/>
        <w:spacing w:line="360" w:lineRule="auto"/>
        <w:ind w:firstLine="480" w:firstLineChars="200"/>
        <w:jc w:val="left"/>
        <w:rPr>
          <w:rFonts w:ascii="宋体" w:hAnsi="宋体" w:cs="宋体"/>
          <w:color w:val="auto"/>
          <w:kern w:val="0"/>
          <w:sz w:val="24"/>
          <w:highlight w:val="none"/>
        </w:rPr>
      </w:pPr>
      <w:r>
        <w:rPr>
          <w:rFonts w:hint="eastAsia" w:ascii="宋体" w:hAnsi="宋体" w:cs="宋体"/>
          <w:bCs/>
          <w:color w:val="auto"/>
          <w:sz w:val="24"/>
          <w:highlight w:val="none"/>
        </w:rPr>
        <w:t>4.</w:t>
      </w:r>
      <w:r>
        <w:rPr>
          <w:rFonts w:ascii="宋体" w:hAnsi="宋体" w:cs="宋体"/>
          <w:bCs/>
          <w:color w:val="auto"/>
          <w:sz w:val="24"/>
          <w:highlight w:val="none"/>
        </w:rPr>
        <w:t>3.2</w:t>
      </w:r>
      <w:r>
        <w:rPr>
          <w:rFonts w:hint="eastAsia" w:ascii="宋体" w:hAnsi="宋体" w:cs="宋体"/>
          <w:color w:val="auto"/>
          <w:kern w:val="0"/>
          <w:sz w:val="24"/>
          <w:highlight w:val="none"/>
        </w:rPr>
        <w:t>在政府采购活动中，服务类项目采购，服务由中小企业承接，即提供服务的人员为中小企业依照《中华人民共和国劳动合同法》订立劳动合同的从业人员，享受中小企业扶持政策。</w:t>
      </w:r>
    </w:p>
    <w:p w14:paraId="53475B22">
      <w:pPr>
        <w:widowControl/>
        <w:adjustRightInd w:val="0"/>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以联合体形式参加政府采购活动，联合体各方均为中小企业的，联合体视同中小企业。其中，联合体各方均为小微企业的，联合体视同小微企业。</w:t>
      </w:r>
    </w:p>
    <w:p w14:paraId="53475B23">
      <w:pPr>
        <w:adjustRightIn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4.3.3对于未预留份额专门面向中小企业采购的政府采购工程项目，以及预留份额政府采购工程项目中的非预留部分标项，对小型和微型企业的最后报价给予3%</w:t>
      </w:r>
      <w:r>
        <w:rPr>
          <w:rFonts w:ascii="宋体" w:hAnsi="宋体" w:cs="宋体"/>
          <w:color w:val="auto"/>
          <w:sz w:val="24"/>
          <w:highlight w:val="none"/>
        </w:rPr>
        <w:t>—</w:t>
      </w:r>
      <w:r>
        <w:rPr>
          <w:rFonts w:hint="eastAsia" w:ascii="宋体" w:hAnsi="宋体" w:cs="宋体"/>
          <w:color w:val="auto"/>
          <w:sz w:val="24"/>
          <w:highlight w:val="none"/>
        </w:rPr>
        <w:t>5%的扣除，用扣除后的价格参与评审。接受大中型企业与小微企业组成联合体或者允许大中型企业向一家或者多家小微企业分包的政府采购项目，对于联合协议或者分包意向协议约定小微企业的合同份额占到合同总金额30%以上的，对联合体或者大中型企业的最后报价给予</w:t>
      </w:r>
      <w:r>
        <w:rPr>
          <w:rFonts w:ascii="宋体" w:hAnsi="宋体" w:cs="宋体"/>
          <w:color w:val="auto"/>
          <w:sz w:val="24"/>
          <w:highlight w:val="none"/>
        </w:rPr>
        <w:t>1%—2%</w:t>
      </w:r>
      <w:r>
        <w:rPr>
          <w:rFonts w:hint="eastAsia" w:ascii="宋体" w:hAnsi="宋体" w:cs="宋体"/>
          <w:color w:val="auto"/>
          <w:sz w:val="24"/>
          <w:highlight w:val="none"/>
        </w:rPr>
        <w:t>的扣除，用扣除后的价格参加评审。组成联合体或者接受分包的小微企业与联合体内其他企业、分包企业之间存在直接控股、管理关系的，不享受价格扣除优惠政策。</w:t>
      </w:r>
    </w:p>
    <w:p w14:paraId="53475B24">
      <w:pPr>
        <w:adjustRightIn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4.3.4符合《关于促进残疾人就业政府采购政策的通知》（财库〔2017〕141号）规定的条件并提供《残疾人福利性单位声明函》（附件</w:t>
      </w:r>
      <w:r>
        <w:rPr>
          <w:rFonts w:ascii="宋体" w:hAnsi="宋体" w:cs="宋体"/>
          <w:color w:val="auto"/>
          <w:sz w:val="24"/>
          <w:highlight w:val="none"/>
        </w:rPr>
        <w:t>3</w:t>
      </w:r>
      <w:r>
        <w:rPr>
          <w:rFonts w:hint="eastAsia" w:ascii="宋体" w:hAnsi="宋体" w:cs="宋体"/>
          <w:color w:val="auto"/>
          <w:sz w:val="24"/>
          <w:highlight w:val="none"/>
        </w:rPr>
        <w:t>）的残疾人福利性单位视同小型、微型企业；</w:t>
      </w:r>
    </w:p>
    <w:p w14:paraId="53475B25">
      <w:pPr>
        <w:adjustRightIn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4.3.5符合《关于政府采购支持监狱企业发展有关问题的通知》（财库〔2014〕68号）规定的监狱企业并提供由省级以上监狱管理局、戒毒管理局（含新疆生产建设兵团）出具的属于监狱企业证明文件的，视同为小型、微型企业。</w:t>
      </w:r>
    </w:p>
    <w:p w14:paraId="53475B26">
      <w:pPr>
        <w:adjustRightIn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4.3.6可享受中小企业扶持政策的供应商应按照磋商文件格式要求提供《中小企业声明函》，供应商提供的《中小企业声明函》与实际情况不符的，不享受中小企业扶持政策。声明内容不实的，属于提供虚假材料谋取中标、成交的，依法承担法律责任。</w:t>
      </w:r>
    </w:p>
    <w:p w14:paraId="53475B27">
      <w:pPr>
        <w:adjustRightIn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4.3.7中小企业享受扶持政策获得政府采购合同的，小微企业不得将合同分包给大中型企业，中型企业不得将合同分包给大型企业。</w:t>
      </w:r>
    </w:p>
    <w:p w14:paraId="53475B28">
      <w:pPr>
        <w:adjustRightInd w:val="0"/>
        <w:spacing w:line="360" w:lineRule="auto"/>
        <w:ind w:firstLine="482" w:firstLineChars="200"/>
        <w:rPr>
          <w:rFonts w:ascii="宋体" w:hAnsi="宋体" w:cs="宋体"/>
          <w:b/>
          <w:color w:val="auto"/>
          <w:sz w:val="24"/>
          <w:highlight w:val="none"/>
        </w:rPr>
      </w:pPr>
      <w:r>
        <w:rPr>
          <w:rFonts w:hint="eastAsia" w:ascii="宋体" w:hAnsi="宋体" w:cs="宋体"/>
          <w:b/>
          <w:color w:val="auto"/>
          <w:sz w:val="24"/>
          <w:highlight w:val="none"/>
        </w:rPr>
        <w:t>4.5</w:t>
      </w:r>
      <w:r>
        <w:rPr>
          <w:rFonts w:hint="eastAsia" w:ascii="宋体" w:hAnsi="宋体" w:cs="宋体"/>
          <w:b/>
          <w:bCs/>
          <w:color w:val="auto"/>
          <w:sz w:val="24"/>
          <w:highlight w:val="none"/>
        </w:rPr>
        <w:t>支持创新发展</w:t>
      </w:r>
    </w:p>
    <w:p w14:paraId="53475B29">
      <w:pPr>
        <w:adjustRightIn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4.5.1 采购人优先采购被认定为首台套产品和“制造精品”的自主创新产品。</w:t>
      </w:r>
    </w:p>
    <w:p w14:paraId="53475B2A">
      <w:pPr>
        <w:adjustRightIn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4.5.2首台套产品被纳入《首台套产品推广应用指导目录》之日起3年内，以及产品核心技术高于国内领先水平，并具有明晰自主知识产权的“制造精品”产品，自认定之日起2年内视同已具备相应销售业绩，参加政府采购活动时业绩分值为满分。</w:t>
      </w:r>
    </w:p>
    <w:p w14:paraId="53475B2B">
      <w:pPr>
        <w:adjustRightInd w:val="0"/>
        <w:spacing w:line="360" w:lineRule="auto"/>
        <w:ind w:firstLine="482" w:firstLineChars="200"/>
        <w:rPr>
          <w:rFonts w:ascii="宋体" w:hAnsi="宋体" w:cs="宋体"/>
          <w:b/>
          <w:color w:val="auto"/>
          <w:sz w:val="24"/>
          <w:highlight w:val="none"/>
        </w:rPr>
      </w:pPr>
      <w:r>
        <w:rPr>
          <w:rFonts w:hint="eastAsia" w:ascii="宋体" w:hAnsi="宋体" w:cs="宋体"/>
          <w:b/>
          <w:color w:val="auto"/>
          <w:sz w:val="24"/>
          <w:highlight w:val="none"/>
        </w:rPr>
        <w:t>4.6平等对待内外资企业</w:t>
      </w:r>
    </w:p>
    <w:p w14:paraId="53475B2C">
      <w:pPr>
        <w:adjustRightIn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政府采购依法对内外资企业在中国境内生产的产品（包括提供的服务）平等对待，不论其供应商是内资还是外资企业，均应依法保障其平等参与政府采购活动的权利。不得以所有制形式、组织形式、股权结构、投资者国别、产品品牌以及其他不合理的条件对供应商予以限定。平等对待内外资企业，切实保障企业公平竞争，平等维护企业的合法利益。</w:t>
      </w:r>
    </w:p>
    <w:p w14:paraId="53475B2D">
      <w:pPr>
        <w:adjustRightInd w:val="0"/>
        <w:snapToGrid w:val="0"/>
        <w:spacing w:line="360" w:lineRule="auto"/>
        <w:ind w:firstLine="482" w:firstLineChars="200"/>
        <w:jc w:val="left"/>
        <w:rPr>
          <w:rFonts w:ascii="宋体" w:hAnsi="宋体"/>
          <w:b/>
          <w:bCs/>
          <w:color w:val="auto"/>
          <w:kern w:val="0"/>
          <w:sz w:val="24"/>
          <w:szCs w:val="20"/>
          <w:highlight w:val="none"/>
        </w:rPr>
      </w:pPr>
      <w:r>
        <w:rPr>
          <w:rFonts w:hint="eastAsia" w:ascii="宋体" w:hAnsi="宋体" w:cs="宋体"/>
          <w:b/>
          <w:color w:val="auto"/>
          <w:kern w:val="0"/>
          <w:sz w:val="24"/>
          <w:szCs w:val="20"/>
          <w:highlight w:val="none"/>
        </w:rPr>
        <w:t>4.7</w:t>
      </w:r>
      <w:r>
        <w:rPr>
          <w:rFonts w:hint="eastAsia" w:ascii="宋体" w:hAnsi="宋体"/>
          <w:b/>
          <w:color w:val="auto"/>
          <w:kern w:val="0"/>
          <w:sz w:val="24"/>
          <w:szCs w:val="20"/>
          <w:highlight w:val="none"/>
        </w:rPr>
        <w:t>平等对待符合条件的破产重整企业</w:t>
      </w:r>
    </w:p>
    <w:p w14:paraId="53475B2E">
      <w:pPr>
        <w:adjustRightInd w:val="0"/>
        <w:snapToGrid w:val="0"/>
        <w:spacing w:line="360" w:lineRule="auto"/>
        <w:ind w:firstLine="482"/>
        <w:jc w:val="left"/>
        <w:rPr>
          <w:rFonts w:ascii="宋体" w:hAnsi="宋体"/>
          <w:color w:val="auto"/>
          <w:kern w:val="0"/>
          <w:sz w:val="24"/>
          <w:szCs w:val="20"/>
          <w:highlight w:val="none"/>
        </w:rPr>
      </w:pPr>
      <w:r>
        <w:rPr>
          <w:rFonts w:hint="eastAsia" w:ascii="宋体" w:hAnsi="宋体" w:cs="宋体"/>
          <w:color w:val="auto"/>
          <w:kern w:val="0"/>
          <w:sz w:val="24"/>
          <w:szCs w:val="20"/>
          <w:highlight w:val="none"/>
        </w:rPr>
        <w:t>平等对待符合条件的破产重整企业，切实保障企业公平竞争，平等维护企业的合法利益。</w:t>
      </w:r>
    </w:p>
    <w:p w14:paraId="53475B2F">
      <w:pPr>
        <w:widowControl/>
        <w:adjustRightInd w:val="0"/>
        <w:snapToGrid w:val="0"/>
        <w:spacing w:line="360" w:lineRule="auto"/>
        <w:ind w:firstLine="482" w:firstLineChars="200"/>
        <w:jc w:val="left"/>
        <w:rPr>
          <w:rFonts w:ascii="宋体" w:hAnsi="宋体"/>
          <w:b/>
          <w:color w:val="auto"/>
          <w:sz w:val="24"/>
          <w:highlight w:val="none"/>
        </w:rPr>
      </w:pPr>
      <w:r>
        <w:rPr>
          <w:rFonts w:hint="eastAsia" w:ascii="宋体" w:hAnsi="宋体"/>
          <w:b/>
          <w:color w:val="auto"/>
          <w:sz w:val="24"/>
          <w:highlight w:val="none"/>
        </w:rPr>
        <w:t>5.联合体磋商</w:t>
      </w:r>
    </w:p>
    <w:p w14:paraId="53475B30">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本标项不接受联合体磋商。</w:t>
      </w:r>
    </w:p>
    <w:p w14:paraId="53475B31">
      <w:pPr>
        <w:adjustRightInd w:val="0"/>
        <w:snapToGrid w:val="0"/>
        <w:spacing w:line="360" w:lineRule="auto"/>
        <w:ind w:firstLine="482" w:firstLineChars="200"/>
        <w:rPr>
          <w:rFonts w:ascii="宋体" w:hAnsi="宋体"/>
          <w:b/>
          <w:color w:val="auto"/>
          <w:sz w:val="24"/>
          <w:highlight w:val="none"/>
        </w:rPr>
      </w:pPr>
      <w:r>
        <w:rPr>
          <w:rFonts w:hint="eastAsia" w:ascii="宋体" w:hAnsi="宋体"/>
          <w:b/>
          <w:color w:val="auto"/>
          <w:sz w:val="24"/>
          <w:highlight w:val="none"/>
        </w:rPr>
        <w:t>6. 磋商费用、竞争性磋商公告、竞争性磋商文件的澄清和修改</w:t>
      </w:r>
    </w:p>
    <w:p w14:paraId="53475B32">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6.1磋商费用：供应商应自行承担所有与编写和提交竞争性磋商响应文件有关的费用，不论磋商结果如何，采购人和本代理机构在任何情况下无义务和责任承担此类费用。</w:t>
      </w:r>
    </w:p>
    <w:p w14:paraId="53475B33">
      <w:pPr>
        <w:pStyle w:val="23"/>
        <w:adjustRightInd w:val="0"/>
        <w:snapToGrid w:val="0"/>
        <w:spacing w:line="360" w:lineRule="auto"/>
        <w:ind w:firstLine="480" w:firstLineChars="200"/>
        <w:rPr>
          <w:rFonts w:hAnsi="宋体"/>
          <w:color w:val="auto"/>
          <w:sz w:val="24"/>
          <w:szCs w:val="24"/>
          <w:highlight w:val="none"/>
        </w:rPr>
      </w:pPr>
      <w:r>
        <w:rPr>
          <w:rFonts w:hint="eastAsia" w:hAnsi="宋体"/>
          <w:color w:val="auto"/>
          <w:sz w:val="24"/>
          <w:szCs w:val="24"/>
          <w:highlight w:val="none"/>
        </w:rPr>
        <w:t>6.2竞争性磋商公告：见</w:t>
      </w:r>
      <w:r>
        <w:rPr>
          <w:rFonts w:hint="eastAsia" w:hAnsi="宋体" w:cs="宋体"/>
          <w:color w:val="auto"/>
          <w:sz w:val="24"/>
          <w:szCs w:val="24"/>
          <w:highlight w:val="none"/>
          <w:lang w:eastAsia="zh-CN"/>
        </w:rPr>
        <w:t>中国政府采购网(http：//www.ccgp.gov.cn/)、广西政府采购网(http：//www.ccgp-guangxi.gov.cn/)</w:t>
      </w:r>
      <w:r>
        <w:rPr>
          <w:rFonts w:hint="eastAsia" w:hAnsi="宋体" w:cs="宋体"/>
          <w:color w:val="auto"/>
          <w:sz w:val="24"/>
          <w:szCs w:val="24"/>
          <w:highlight w:val="none"/>
        </w:rPr>
        <w:t>。</w:t>
      </w:r>
    </w:p>
    <w:p w14:paraId="53475B34">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6.3竞争性磋商文件的澄清和修改：</w:t>
      </w:r>
    </w:p>
    <w:p w14:paraId="53475B35">
      <w:pPr>
        <w:pStyle w:val="23"/>
        <w:adjustRightInd w:val="0"/>
        <w:snapToGrid w:val="0"/>
        <w:spacing w:line="360" w:lineRule="auto"/>
        <w:ind w:firstLine="480" w:firstLineChars="200"/>
        <w:rPr>
          <w:rFonts w:hAnsi="宋体"/>
          <w:color w:val="auto"/>
          <w:sz w:val="24"/>
          <w:szCs w:val="24"/>
          <w:highlight w:val="none"/>
        </w:rPr>
      </w:pPr>
      <w:r>
        <w:rPr>
          <w:rFonts w:hint="eastAsia" w:hAnsi="宋体"/>
          <w:color w:val="auto"/>
          <w:sz w:val="24"/>
          <w:szCs w:val="24"/>
          <w:highlight w:val="none"/>
        </w:rPr>
        <w:t>6.3.1</w:t>
      </w:r>
      <w:r>
        <w:rPr>
          <w:rFonts w:hint="eastAsia" w:hAnsi="宋体"/>
          <w:bCs/>
          <w:color w:val="auto"/>
          <w:sz w:val="24"/>
          <w:szCs w:val="24"/>
          <w:highlight w:val="none"/>
        </w:rPr>
        <w:t>供应商应认真审核《采购需求》中的服务要求，如发现采购需求中服务要求有误或要求不合理的，供应商必须在规定的时间前要求澄清，否则，由此产生的后果由供应商负责。</w:t>
      </w:r>
    </w:p>
    <w:p w14:paraId="53475B36">
      <w:pPr>
        <w:pStyle w:val="23"/>
        <w:adjustRightInd w:val="0"/>
        <w:snapToGrid w:val="0"/>
        <w:spacing w:line="360" w:lineRule="auto"/>
        <w:ind w:firstLine="480" w:firstLineChars="200"/>
        <w:rPr>
          <w:rFonts w:hAnsi="宋体"/>
          <w:color w:val="auto"/>
          <w:sz w:val="24"/>
          <w:szCs w:val="24"/>
          <w:highlight w:val="none"/>
        </w:rPr>
      </w:pPr>
      <w:r>
        <w:rPr>
          <w:rFonts w:hint="eastAsia" w:hAnsi="宋体"/>
          <w:color w:val="auto"/>
          <w:sz w:val="24"/>
          <w:szCs w:val="24"/>
          <w:highlight w:val="none"/>
        </w:rPr>
        <w:t>6.3.2任何要求澄清竞争性磋商文件的供应商，均应在响应文件递交截止日期三日前的正常工作时间以书面形式通知本代理机构，同时认定其他澄清方式为无效。本代理机构将以书面形式予以答复。</w:t>
      </w:r>
    </w:p>
    <w:p w14:paraId="53475B37">
      <w:pPr>
        <w:widowControl/>
        <w:adjustRightInd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6.3.3本代理机构对已发出的磋商文件进行必要澄清或者修改的，在竞争性磋商文件要求提交竞争性磋商响应文件截止时间五日前（不足五日顺延），在</w:t>
      </w:r>
      <w:r>
        <w:rPr>
          <w:rFonts w:hint="eastAsia" w:ascii="宋体" w:hAnsi="宋体" w:cs="宋体"/>
          <w:color w:val="auto"/>
          <w:sz w:val="24"/>
          <w:highlight w:val="none"/>
          <w:lang w:eastAsia="zh-CN"/>
        </w:rPr>
        <w:t>中国政府采购网(http：//www.ccgp.gov.cn/)、广西政府采购网(http：//www.ccgp-guangxi.gov.cn/)</w:t>
      </w:r>
      <w:r>
        <w:rPr>
          <w:rFonts w:hint="eastAsia" w:ascii="宋体" w:hAnsi="宋体"/>
          <w:color w:val="auto"/>
          <w:sz w:val="24"/>
          <w:highlight w:val="none"/>
        </w:rPr>
        <w:t>上发布更正公告，并以书面形式通知所有竞争性磋商文件收受人。该澄清或者修改的内容为竞争性磋商文件的组成部分。</w:t>
      </w:r>
    </w:p>
    <w:p w14:paraId="53475B38">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6.3.4本代理机构可视具体情况，延长响应文件递交截止时间和开标时间。本代理机构至少在竞争性磋商文件要求提交竞争性磋商响应文件的截止时间一日前，将变更时间书面通知所有竞争性磋商文件收受人，并在</w:t>
      </w:r>
      <w:r>
        <w:rPr>
          <w:rFonts w:hint="eastAsia" w:ascii="宋体" w:hAnsi="宋体" w:cs="宋体"/>
          <w:color w:val="auto"/>
          <w:sz w:val="24"/>
          <w:highlight w:val="none"/>
          <w:lang w:eastAsia="zh-CN"/>
        </w:rPr>
        <w:t>中国政府采购网(http：//www.ccgp.gov.cn/)、广西壮族自治区政府采购网(http：//www.ccgp-guangxi.gov.cn/)、北海市政府采购监管网（https：//bhzfcg.zcygov.cn/）</w:t>
      </w:r>
      <w:r>
        <w:rPr>
          <w:rFonts w:hint="eastAsia" w:ascii="宋体" w:hAnsi="宋体"/>
          <w:color w:val="auto"/>
          <w:sz w:val="24"/>
          <w:highlight w:val="none"/>
        </w:rPr>
        <w:t>上发布变更公告。</w:t>
      </w:r>
    </w:p>
    <w:p w14:paraId="53475B39">
      <w:pPr>
        <w:adjustRightInd w:val="0"/>
        <w:snapToGrid w:val="0"/>
        <w:spacing w:line="360" w:lineRule="auto"/>
        <w:ind w:firstLine="482" w:firstLineChars="200"/>
        <w:rPr>
          <w:rFonts w:ascii="宋体" w:hAnsi="宋体"/>
          <w:b/>
          <w:color w:val="auto"/>
          <w:sz w:val="24"/>
          <w:highlight w:val="none"/>
        </w:rPr>
      </w:pPr>
      <w:r>
        <w:rPr>
          <w:rFonts w:hint="eastAsia" w:ascii="宋体" w:hAnsi="宋体"/>
          <w:b/>
          <w:color w:val="auto"/>
          <w:sz w:val="24"/>
          <w:highlight w:val="none"/>
        </w:rPr>
        <w:t>二、竞争性磋商响应文件的编制</w:t>
      </w:r>
    </w:p>
    <w:p w14:paraId="53475B3A">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7. 竞争性磋商响应文件编制基本要求</w:t>
      </w:r>
    </w:p>
    <w:p w14:paraId="53475B3B">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7.1</w:t>
      </w:r>
      <w:r>
        <w:rPr>
          <w:rFonts w:ascii="宋体" w:hAnsi="宋体"/>
          <w:color w:val="auto"/>
          <w:sz w:val="24"/>
          <w:highlight w:val="none"/>
        </w:rPr>
        <w:t>本项目实行电子</w:t>
      </w:r>
      <w:r>
        <w:rPr>
          <w:rFonts w:hint="eastAsia" w:ascii="宋体" w:hAnsi="宋体"/>
          <w:color w:val="auto"/>
          <w:sz w:val="24"/>
          <w:highlight w:val="none"/>
        </w:rPr>
        <w:t>磋商</w:t>
      </w:r>
      <w:r>
        <w:rPr>
          <w:rFonts w:ascii="宋体" w:hAnsi="宋体"/>
          <w:color w:val="auto"/>
          <w:sz w:val="24"/>
          <w:highlight w:val="none"/>
        </w:rPr>
        <w:t>，供应商应准备电子</w:t>
      </w:r>
      <w:r>
        <w:rPr>
          <w:rFonts w:hint="eastAsia" w:ascii="宋体" w:hAnsi="宋体"/>
          <w:color w:val="auto"/>
          <w:sz w:val="24"/>
          <w:highlight w:val="none"/>
        </w:rPr>
        <w:t>磋商</w:t>
      </w:r>
      <w:r>
        <w:rPr>
          <w:rFonts w:ascii="宋体" w:hAnsi="宋体"/>
          <w:color w:val="auto"/>
          <w:sz w:val="24"/>
          <w:highlight w:val="none"/>
        </w:rPr>
        <w:t>响应文件：</w:t>
      </w:r>
    </w:p>
    <w:p w14:paraId="53475B3C">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7.1.1</w:t>
      </w:r>
      <w:r>
        <w:rPr>
          <w:rFonts w:ascii="宋体" w:hAnsi="宋体"/>
          <w:color w:val="auto"/>
          <w:sz w:val="24"/>
          <w:highlight w:val="none"/>
        </w:rPr>
        <w:t>电子响应文件按广西政府采购云平台平台</w:t>
      </w:r>
      <w:r>
        <w:rPr>
          <w:rFonts w:hint="eastAsia" w:ascii="宋体" w:hAnsi="宋体"/>
          <w:color w:val="auto"/>
          <w:sz w:val="24"/>
          <w:highlight w:val="none"/>
        </w:rPr>
        <w:t>要求</w:t>
      </w:r>
      <w:r>
        <w:rPr>
          <w:rFonts w:ascii="宋体" w:hAnsi="宋体"/>
          <w:color w:val="auto"/>
          <w:sz w:val="24"/>
          <w:highlight w:val="none"/>
        </w:rPr>
        <w:t>及本磋商文件要求制作、加密并递交。具体操作流程</w:t>
      </w:r>
      <w:r>
        <w:rPr>
          <w:rFonts w:hint="eastAsia" w:ascii="宋体" w:hAnsi="宋体"/>
          <w:color w:val="auto"/>
          <w:sz w:val="24"/>
          <w:highlight w:val="none"/>
        </w:rPr>
        <w:t>可参考</w:t>
      </w:r>
      <w:r>
        <w:rPr>
          <w:rFonts w:ascii="宋体" w:hAnsi="宋体"/>
          <w:color w:val="auto"/>
          <w:sz w:val="24"/>
          <w:highlight w:val="none"/>
        </w:rPr>
        <w:t>《</w:t>
      </w:r>
      <w:r>
        <w:rPr>
          <w:rFonts w:hint="eastAsia" w:ascii="宋体" w:hAnsi="宋体"/>
          <w:color w:val="auto"/>
          <w:sz w:val="24"/>
          <w:highlight w:val="none"/>
        </w:rPr>
        <w:t>政府采购</w:t>
      </w:r>
      <w:r>
        <w:rPr>
          <w:rFonts w:ascii="宋体" w:hAnsi="宋体"/>
          <w:color w:val="auto"/>
          <w:sz w:val="24"/>
          <w:highlight w:val="none"/>
        </w:rPr>
        <w:t>项目电子交易管理操作指南</w:t>
      </w:r>
      <w:r>
        <w:rPr>
          <w:rFonts w:hint="eastAsia" w:ascii="宋体" w:hAnsi="宋体"/>
          <w:color w:val="auto"/>
          <w:sz w:val="24"/>
          <w:highlight w:val="none"/>
        </w:rPr>
        <w:t>-</w:t>
      </w:r>
      <w:r>
        <w:rPr>
          <w:rFonts w:ascii="宋体" w:hAnsi="宋体"/>
          <w:color w:val="auto"/>
          <w:sz w:val="24"/>
          <w:highlight w:val="none"/>
        </w:rPr>
        <w:t>供应商》</w:t>
      </w:r>
      <w:r>
        <w:rPr>
          <w:rFonts w:hint="eastAsia" w:ascii="宋体" w:hAnsi="宋体"/>
          <w:color w:val="auto"/>
          <w:sz w:val="24"/>
          <w:highlight w:val="none"/>
        </w:rPr>
        <w:t>，</w:t>
      </w:r>
      <w:r>
        <w:rPr>
          <w:rFonts w:ascii="宋体" w:hAnsi="宋体"/>
          <w:color w:val="auto"/>
          <w:sz w:val="24"/>
          <w:highlight w:val="none"/>
        </w:rPr>
        <w:t>指南可在</w:t>
      </w:r>
      <w:r>
        <w:rPr>
          <w:rFonts w:hint="eastAsia" w:ascii="宋体" w:hAnsi="宋体"/>
          <w:color w:val="auto"/>
          <w:sz w:val="24"/>
          <w:highlight w:val="none"/>
        </w:rPr>
        <w:t>广西政府采购网进行查阅。</w:t>
      </w:r>
    </w:p>
    <w:p w14:paraId="53475B3D">
      <w:pPr>
        <w:adjustRightInd w:val="0"/>
        <w:snapToGrid w:val="0"/>
        <w:spacing w:line="360" w:lineRule="auto"/>
        <w:ind w:firstLine="480" w:firstLineChars="200"/>
        <w:rPr>
          <w:rFonts w:ascii="宋体" w:hAnsi="宋体"/>
          <w:color w:val="auto"/>
          <w:sz w:val="24"/>
          <w:highlight w:val="none"/>
        </w:rPr>
      </w:pPr>
      <w:r>
        <w:rPr>
          <w:rFonts w:ascii="宋体" w:hAnsi="宋体"/>
          <w:color w:val="auto"/>
          <w:sz w:val="24"/>
          <w:highlight w:val="none"/>
        </w:rPr>
        <w:t>▲</w:t>
      </w:r>
      <w:r>
        <w:rPr>
          <w:rFonts w:hint="eastAsia" w:ascii="宋体" w:hAnsi="宋体"/>
          <w:color w:val="auto"/>
          <w:sz w:val="24"/>
          <w:highlight w:val="none"/>
        </w:rPr>
        <w:t>7.1.3磋商响应</w:t>
      </w:r>
      <w:r>
        <w:rPr>
          <w:rFonts w:ascii="宋体" w:hAnsi="宋体"/>
          <w:color w:val="auto"/>
          <w:sz w:val="24"/>
          <w:highlight w:val="none"/>
        </w:rPr>
        <w:t>文件</w:t>
      </w:r>
      <w:r>
        <w:rPr>
          <w:rFonts w:hint="eastAsia" w:ascii="宋体" w:hAnsi="宋体"/>
          <w:color w:val="auto"/>
          <w:sz w:val="24"/>
          <w:highlight w:val="none"/>
        </w:rPr>
        <w:t>解密</w:t>
      </w:r>
      <w:r>
        <w:rPr>
          <w:rFonts w:ascii="宋体" w:hAnsi="宋体"/>
          <w:color w:val="auto"/>
          <w:sz w:val="24"/>
          <w:highlight w:val="none"/>
        </w:rPr>
        <w:t>：</w:t>
      </w:r>
      <w:r>
        <w:rPr>
          <w:rFonts w:hint="eastAsia" w:ascii="宋体" w:hAnsi="宋体"/>
          <w:color w:val="auto"/>
          <w:sz w:val="24"/>
          <w:highlight w:val="none"/>
        </w:rPr>
        <w:t>若磋商供应商在规定时间内无法解密或解密失败，视为磋商响应文件撤回，磋商无效。</w:t>
      </w:r>
    </w:p>
    <w:p w14:paraId="53475B3E">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7.2供应商提交的竞争性磋商响应文件以及供应商与代理机构和采购人就有关磋商的所有来往函电均应使用中文。供应商提交的支持文件和印刷的文献可以使用别的语言，但其相应内容必须附有中文翻译文本，在解释竞争性磋商响应文件时以翻译文本为主。</w:t>
      </w:r>
    </w:p>
    <w:p w14:paraId="53475B3F">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7.3供应商应认真阅读、并充分理解本文件的全部内容（包括所有的澄清、更改、补充、答疑等内容），承诺并履行本文件中各项条款规定及要求。</w:t>
      </w:r>
    </w:p>
    <w:p w14:paraId="53475B40">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7.4竞争性磋商响应文件必须按本文件的全部内容，包括所有的澄清、更改、补充、答疑等内容及附件进行编制。</w:t>
      </w:r>
    </w:p>
    <w:p w14:paraId="53475B41">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7.5如因供应商只填写和提供了本文件要求的部分内容和附件，而给磋商小组评审造成困难，其可能导致的结果和责任由供应商自行承担。</w:t>
      </w:r>
    </w:p>
    <w:p w14:paraId="53475B42">
      <w:pPr>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7.6全面实行全流程电子化采购后进一步精简评标事项和环节，梳理采购流程，取消原件审查、核对等环节。资格条件证明材料、业绩证明、授权书等材料均以电子采购文件为评审依据，供应商须对所对所提供材料的真实性和一致性负责。</w:t>
      </w:r>
    </w:p>
    <w:p w14:paraId="53475B43">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7.7竞争性磋商响应文件的组成：竞争性磋商响应文件应分为资格文件、价格文件和商务技术文件组成。</w:t>
      </w:r>
      <w:r>
        <w:rPr>
          <w:rFonts w:ascii="宋体" w:hAnsi="宋体"/>
          <w:color w:val="auto"/>
          <w:sz w:val="24"/>
          <w:highlight w:val="none"/>
        </w:rPr>
        <w:t>供应商应仔细阅读磋商采购文件的所有内容，按磋商采购文件的要求，详细编制磋商响应文件。</w:t>
      </w:r>
    </w:p>
    <w:p w14:paraId="53475B44">
      <w:pPr>
        <w:adjustRightInd w:val="0"/>
        <w:snapToGrid w:val="0"/>
        <w:spacing w:line="360" w:lineRule="auto"/>
        <w:ind w:firstLine="482" w:firstLineChars="200"/>
        <w:rPr>
          <w:rFonts w:ascii="宋体" w:hAnsi="宋体"/>
          <w:b/>
          <w:color w:val="auto"/>
          <w:sz w:val="24"/>
          <w:highlight w:val="none"/>
        </w:rPr>
      </w:pPr>
      <w:r>
        <w:rPr>
          <w:rFonts w:hint="eastAsia" w:ascii="宋体" w:hAnsi="宋体"/>
          <w:b/>
          <w:color w:val="auto"/>
          <w:sz w:val="24"/>
          <w:highlight w:val="none"/>
        </w:rPr>
        <w:t>7.7.1资格文件</w:t>
      </w:r>
    </w:p>
    <w:p w14:paraId="5396ADAE">
      <w:pPr>
        <w:spacing w:before="179" w:line="219" w:lineRule="auto"/>
        <w:ind w:left="498"/>
        <w:rPr>
          <w:rFonts w:ascii="宋体" w:hAnsi="宋体" w:eastAsia="宋体" w:cs="宋体"/>
          <w:color w:val="auto"/>
          <w:sz w:val="24"/>
          <w:szCs w:val="24"/>
          <w:highlight w:val="none"/>
        </w:rPr>
      </w:pPr>
      <w:r>
        <w:rPr>
          <w:rFonts w:ascii="宋体" w:hAnsi="宋体" w:eastAsia="宋体" w:cs="宋体"/>
          <w:b/>
          <w:bCs/>
          <w:color w:val="auto"/>
          <w:spacing w:val="-1"/>
          <w:sz w:val="24"/>
          <w:szCs w:val="24"/>
          <w:highlight w:val="none"/>
        </w:rPr>
        <w:t>▲</w:t>
      </w:r>
      <w:r>
        <w:rPr>
          <w:rFonts w:ascii="宋体" w:hAnsi="宋体" w:eastAsia="宋体" w:cs="宋体"/>
          <w:color w:val="auto"/>
          <w:spacing w:val="-1"/>
          <w:sz w:val="24"/>
          <w:szCs w:val="24"/>
          <w:highlight w:val="none"/>
        </w:rPr>
        <w:t>（1）北海市政府采购供应商信用承诺函</w:t>
      </w:r>
      <w:r>
        <w:rPr>
          <w:rFonts w:ascii="宋体" w:hAnsi="宋体" w:eastAsia="宋体" w:cs="宋体"/>
          <w:b/>
          <w:bCs/>
          <w:color w:val="auto"/>
          <w:spacing w:val="-2"/>
          <w:sz w:val="24"/>
          <w:szCs w:val="24"/>
          <w:highlight w:val="none"/>
        </w:rPr>
        <w:t>（必须提供，格式见第三章）</w:t>
      </w:r>
    </w:p>
    <w:p w14:paraId="2151DEAB">
      <w:pPr>
        <w:spacing w:before="183" w:line="359" w:lineRule="auto"/>
        <w:ind w:left="9" w:right="16" w:firstLine="488"/>
        <w:rPr>
          <w:rFonts w:ascii="宋体" w:hAnsi="宋体" w:eastAsia="宋体" w:cs="宋体"/>
          <w:color w:val="auto"/>
          <w:sz w:val="24"/>
          <w:szCs w:val="24"/>
          <w:highlight w:val="none"/>
        </w:rPr>
      </w:pPr>
      <w:r>
        <w:rPr>
          <w:rFonts w:ascii="宋体" w:hAnsi="宋体" w:eastAsia="宋体" w:cs="宋体"/>
          <w:b/>
          <w:bCs/>
          <w:color w:val="auto"/>
          <w:spacing w:val="-2"/>
          <w:sz w:val="24"/>
          <w:szCs w:val="24"/>
          <w:highlight w:val="none"/>
        </w:rPr>
        <w:t>▲</w:t>
      </w:r>
      <w:r>
        <w:rPr>
          <w:rFonts w:ascii="宋体" w:hAnsi="宋体" w:eastAsia="宋体" w:cs="宋体"/>
          <w:color w:val="auto"/>
          <w:spacing w:val="-2"/>
          <w:sz w:val="24"/>
          <w:szCs w:val="24"/>
          <w:highlight w:val="none"/>
        </w:rPr>
        <w:t>（2）磋商供应商</w:t>
      </w:r>
      <w:r>
        <w:rPr>
          <w:rFonts w:hint="eastAsia" w:ascii="宋体" w:hAnsi="宋体" w:eastAsia="宋体" w:cs="宋体"/>
          <w:color w:val="auto"/>
          <w:spacing w:val="-2"/>
          <w:sz w:val="24"/>
          <w:szCs w:val="24"/>
          <w:highlight w:val="none"/>
        </w:rPr>
        <w:t>有效的水利水电工程施工总承包</w:t>
      </w:r>
      <w:r>
        <w:rPr>
          <w:rFonts w:hint="eastAsia" w:ascii="宋体" w:hAnsi="宋体" w:cs="宋体"/>
          <w:color w:val="auto"/>
          <w:spacing w:val="-2"/>
          <w:sz w:val="24"/>
          <w:szCs w:val="24"/>
          <w:highlight w:val="none"/>
          <w:lang w:eastAsia="zh-CN"/>
        </w:rPr>
        <w:t>三</w:t>
      </w:r>
      <w:r>
        <w:rPr>
          <w:rFonts w:hint="eastAsia" w:ascii="宋体" w:hAnsi="宋体" w:eastAsia="宋体" w:cs="宋体"/>
          <w:color w:val="auto"/>
          <w:spacing w:val="-2"/>
          <w:sz w:val="24"/>
          <w:szCs w:val="24"/>
          <w:highlight w:val="none"/>
        </w:rPr>
        <w:t>级（含）以上资质证书复印件、供应商有效的安全生产许可证复印件</w:t>
      </w:r>
      <w:r>
        <w:rPr>
          <w:rFonts w:ascii="宋体" w:hAnsi="宋体" w:eastAsia="宋体" w:cs="宋体"/>
          <w:b/>
          <w:bCs/>
          <w:color w:val="auto"/>
          <w:spacing w:val="-1"/>
          <w:sz w:val="24"/>
          <w:szCs w:val="24"/>
          <w:highlight w:val="none"/>
        </w:rPr>
        <w:t>（必须提供）</w:t>
      </w:r>
    </w:p>
    <w:p w14:paraId="40BE00C9">
      <w:pPr>
        <w:spacing w:before="1" w:line="359" w:lineRule="auto"/>
        <w:ind w:left="8" w:firstLine="489"/>
        <w:rPr>
          <w:rFonts w:ascii="宋体" w:hAnsi="宋体" w:eastAsia="宋体" w:cs="宋体"/>
          <w:b/>
          <w:bCs/>
          <w:color w:val="auto"/>
          <w:sz w:val="24"/>
          <w:szCs w:val="24"/>
          <w:highlight w:val="none"/>
        </w:rPr>
      </w:pPr>
      <w:r>
        <w:rPr>
          <w:rFonts w:ascii="宋体" w:hAnsi="宋体" w:eastAsia="宋体" w:cs="宋体"/>
          <w:b/>
          <w:bCs/>
          <w:color w:val="auto"/>
          <w:spacing w:val="-1"/>
          <w:sz w:val="24"/>
          <w:szCs w:val="24"/>
          <w:highlight w:val="none"/>
        </w:rPr>
        <w:t>▲</w:t>
      </w:r>
      <w:r>
        <w:rPr>
          <w:rFonts w:ascii="宋体" w:hAnsi="宋体" w:eastAsia="宋体" w:cs="宋体"/>
          <w:color w:val="auto"/>
          <w:spacing w:val="-1"/>
          <w:sz w:val="24"/>
          <w:szCs w:val="24"/>
          <w:highlight w:val="none"/>
        </w:rPr>
        <w:t>（3）供应商拟派的项目经理须具备水利水电工程专业二级(含)</w:t>
      </w:r>
      <w:r>
        <w:rPr>
          <w:rFonts w:ascii="宋体" w:hAnsi="宋体" w:eastAsia="宋体" w:cs="宋体"/>
          <w:color w:val="auto"/>
          <w:spacing w:val="-2"/>
          <w:sz w:val="24"/>
          <w:szCs w:val="24"/>
          <w:highlight w:val="none"/>
        </w:rPr>
        <w:t>以上注册建造师执</w:t>
      </w:r>
      <w:r>
        <w:rPr>
          <w:rFonts w:ascii="宋体" w:hAnsi="宋体" w:eastAsia="宋体" w:cs="宋体"/>
          <w:color w:val="auto"/>
          <w:spacing w:val="-3"/>
          <w:sz w:val="24"/>
          <w:szCs w:val="24"/>
          <w:highlight w:val="none"/>
        </w:rPr>
        <w:t>业资格证书复印件及有效的安全生产考核合格证书（B</w:t>
      </w:r>
      <w:r>
        <w:rPr>
          <w:rFonts w:ascii="宋体" w:hAnsi="宋体" w:eastAsia="宋体" w:cs="宋体"/>
          <w:color w:val="auto"/>
          <w:spacing w:val="-37"/>
          <w:sz w:val="24"/>
          <w:szCs w:val="24"/>
          <w:highlight w:val="none"/>
        </w:rPr>
        <w:t xml:space="preserve"> </w:t>
      </w:r>
      <w:r>
        <w:rPr>
          <w:rFonts w:ascii="宋体" w:hAnsi="宋体" w:eastAsia="宋体" w:cs="宋体"/>
          <w:color w:val="auto"/>
          <w:spacing w:val="-3"/>
          <w:sz w:val="24"/>
          <w:szCs w:val="24"/>
          <w:highlight w:val="none"/>
        </w:rPr>
        <w:t>类）复印件。同时提供拟投入本项</w:t>
      </w:r>
      <w:r>
        <w:rPr>
          <w:rFonts w:ascii="宋体" w:hAnsi="宋体" w:eastAsia="宋体" w:cs="宋体"/>
          <w:color w:val="auto"/>
          <w:spacing w:val="2"/>
          <w:sz w:val="24"/>
          <w:szCs w:val="24"/>
          <w:highlight w:val="none"/>
        </w:rPr>
        <w:t>目的项目经理无在建、已中标（成交）未开工或已列为其他项目中标（成交）候选人第</w:t>
      </w:r>
      <w:r>
        <w:rPr>
          <w:rFonts w:ascii="宋体" w:hAnsi="宋体" w:eastAsia="宋体" w:cs="宋体"/>
          <w:color w:val="auto"/>
          <w:sz w:val="24"/>
          <w:szCs w:val="24"/>
          <w:highlight w:val="none"/>
        </w:rPr>
        <w:t>一名的情况的承诺函（格式自拟</w:t>
      </w:r>
      <w:r>
        <w:rPr>
          <w:rFonts w:ascii="宋体" w:hAnsi="宋体" w:eastAsia="宋体" w:cs="宋体"/>
          <w:color w:val="auto"/>
          <w:spacing w:val="-10"/>
          <w:sz w:val="24"/>
          <w:szCs w:val="24"/>
          <w:highlight w:val="none"/>
        </w:rPr>
        <w:t>）</w:t>
      </w:r>
      <w:r>
        <w:rPr>
          <w:rFonts w:ascii="宋体" w:hAnsi="宋体" w:eastAsia="宋体" w:cs="宋体"/>
          <w:b/>
          <w:bCs/>
          <w:color w:val="auto"/>
          <w:spacing w:val="-10"/>
          <w:sz w:val="24"/>
          <w:szCs w:val="24"/>
          <w:highlight w:val="none"/>
        </w:rPr>
        <w:t>（</w:t>
      </w:r>
      <w:r>
        <w:rPr>
          <w:rFonts w:ascii="宋体" w:hAnsi="宋体" w:eastAsia="宋体" w:cs="宋体"/>
          <w:b/>
          <w:bCs/>
          <w:color w:val="auto"/>
          <w:sz w:val="24"/>
          <w:szCs w:val="24"/>
          <w:highlight w:val="none"/>
        </w:rPr>
        <w:t>必须提供）</w:t>
      </w:r>
    </w:p>
    <w:p w14:paraId="3CD5C181">
      <w:pPr>
        <w:spacing w:before="1" w:line="359" w:lineRule="auto"/>
        <w:ind w:left="8" w:firstLine="489"/>
        <w:rPr>
          <w:rFonts w:hint="default" w:ascii="宋体" w:hAnsi="宋体" w:eastAsia="宋体" w:cs="宋体"/>
          <w:b/>
          <w:bCs/>
          <w:color w:val="auto"/>
          <w:sz w:val="24"/>
          <w:szCs w:val="24"/>
          <w:highlight w:val="none"/>
          <w:lang w:val="en-US"/>
        </w:rPr>
      </w:pPr>
      <w:r>
        <w:rPr>
          <w:rFonts w:ascii="宋体" w:hAnsi="宋体" w:eastAsia="宋体" w:cs="宋体"/>
          <w:b/>
          <w:bCs/>
          <w:color w:val="auto"/>
          <w:spacing w:val="-1"/>
          <w:sz w:val="24"/>
          <w:szCs w:val="24"/>
          <w:highlight w:val="none"/>
        </w:rPr>
        <w:t>▲</w:t>
      </w:r>
      <w:r>
        <w:rPr>
          <w:rFonts w:ascii="宋体" w:hAnsi="宋体" w:eastAsia="宋体" w:cs="宋体"/>
          <w:color w:val="auto"/>
          <w:spacing w:val="-1"/>
          <w:sz w:val="24"/>
          <w:szCs w:val="24"/>
          <w:highlight w:val="none"/>
        </w:rPr>
        <w:t>（</w:t>
      </w:r>
      <w:r>
        <w:rPr>
          <w:rFonts w:hint="eastAsia" w:ascii="宋体" w:hAnsi="宋体" w:cs="宋体"/>
          <w:color w:val="auto"/>
          <w:spacing w:val="-1"/>
          <w:sz w:val="24"/>
          <w:szCs w:val="24"/>
          <w:highlight w:val="none"/>
          <w:lang w:val="en-US" w:eastAsia="zh-CN"/>
        </w:rPr>
        <w:t>4</w:t>
      </w:r>
      <w:r>
        <w:rPr>
          <w:rFonts w:ascii="宋体" w:hAnsi="宋体" w:eastAsia="宋体" w:cs="宋体"/>
          <w:color w:val="auto"/>
          <w:spacing w:val="-1"/>
          <w:sz w:val="24"/>
          <w:szCs w:val="24"/>
          <w:highlight w:val="none"/>
        </w:rPr>
        <w:t>）</w:t>
      </w:r>
      <w:r>
        <w:rPr>
          <w:rFonts w:hint="eastAsia" w:ascii="宋体" w:hAnsi="宋体" w:eastAsia="宋体" w:cs="宋体"/>
          <w:b w:val="0"/>
          <w:bCs w:val="0"/>
          <w:color w:val="auto"/>
          <w:sz w:val="24"/>
          <w:szCs w:val="24"/>
          <w:highlight w:val="none"/>
          <w:lang w:eastAsia="zh-CN"/>
        </w:rPr>
        <w:t>专职安全员要求：专职安全员须具备有效的省级或省级以上行政主管部门或其授权部门(机构)颁发的</w:t>
      </w:r>
      <w:r>
        <w:rPr>
          <w:rFonts w:ascii="宋体" w:hAnsi="宋体" w:eastAsia="宋体" w:cs="宋体"/>
          <w:b w:val="0"/>
          <w:bCs w:val="0"/>
          <w:color w:val="auto"/>
          <w:sz w:val="24"/>
          <w:szCs w:val="24"/>
          <w:highlight w:val="none"/>
          <w:lang w:eastAsia="zh-CN"/>
        </w:rPr>
        <w:t>C</w:t>
      </w:r>
      <w:r>
        <w:rPr>
          <w:rFonts w:hint="eastAsia" w:ascii="宋体" w:hAnsi="宋体" w:eastAsia="宋体" w:cs="宋体"/>
          <w:b w:val="0"/>
          <w:bCs w:val="0"/>
          <w:color w:val="auto"/>
          <w:sz w:val="24"/>
          <w:szCs w:val="24"/>
          <w:highlight w:val="none"/>
          <w:lang w:eastAsia="zh-CN"/>
        </w:rPr>
        <w:t>类安全生产考核合格证书</w:t>
      </w:r>
      <w:r>
        <w:rPr>
          <w:rFonts w:hint="eastAsia" w:ascii="宋体" w:hAnsi="宋体" w:cs="宋体"/>
          <w:b w:val="0"/>
          <w:bCs w:val="0"/>
          <w:color w:val="auto"/>
          <w:sz w:val="24"/>
          <w:szCs w:val="24"/>
          <w:highlight w:val="none"/>
          <w:lang w:val="en-US" w:eastAsia="zh-CN"/>
        </w:rPr>
        <w:t>。</w:t>
      </w:r>
      <w:r>
        <w:rPr>
          <w:rFonts w:ascii="宋体" w:hAnsi="宋体" w:eastAsia="宋体" w:cs="宋体"/>
          <w:b/>
          <w:bCs/>
          <w:color w:val="auto"/>
          <w:spacing w:val="-10"/>
          <w:sz w:val="24"/>
          <w:szCs w:val="24"/>
          <w:highlight w:val="none"/>
        </w:rPr>
        <w:t>（</w:t>
      </w:r>
      <w:r>
        <w:rPr>
          <w:rFonts w:ascii="宋体" w:hAnsi="宋体" w:eastAsia="宋体" w:cs="宋体"/>
          <w:b/>
          <w:bCs/>
          <w:color w:val="auto"/>
          <w:sz w:val="24"/>
          <w:szCs w:val="24"/>
          <w:highlight w:val="none"/>
        </w:rPr>
        <w:t>必须提供）</w:t>
      </w:r>
    </w:p>
    <w:p w14:paraId="53475B49">
      <w:pPr>
        <w:adjustRightInd w:val="0"/>
        <w:snapToGrid w:val="0"/>
        <w:spacing w:line="360" w:lineRule="auto"/>
        <w:ind w:firstLine="482" w:firstLineChars="200"/>
        <w:rPr>
          <w:rFonts w:ascii="宋体" w:hAnsi="宋体"/>
          <w:color w:val="auto"/>
          <w:sz w:val="24"/>
          <w:highlight w:val="none"/>
        </w:rPr>
      </w:pPr>
      <w:r>
        <w:rPr>
          <w:rFonts w:hint="eastAsia" w:ascii="宋体" w:hAnsi="宋体"/>
          <w:b/>
          <w:bCs/>
          <w:color w:val="auto"/>
          <w:sz w:val="24"/>
          <w:highlight w:val="none"/>
        </w:rPr>
        <w:t>▲</w:t>
      </w:r>
      <w:r>
        <w:rPr>
          <w:rFonts w:hint="eastAsia" w:ascii="宋体" w:hAnsi="宋体"/>
          <w:color w:val="auto"/>
          <w:sz w:val="24"/>
          <w:highlight w:val="none"/>
        </w:rPr>
        <w:t>（</w:t>
      </w:r>
      <w:r>
        <w:rPr>
          <w:rFonts w:hint="eastAsia" w:ascii="宋体" w:hAnsi="宋体"/>
          <w:color w:val="auto"/>
          <w:sz w:val="24"/>
          <w:highlight w:val="none"/>
          <w:lang w:val="en-US" w:eastAsia="zh-CN"/>
        </w:rPr>
        <w:t>5</w:t>
      </w:r>
      <w:r>
        <w:rPr>
          <w:rFonts w:hint="eastAsia" w:ascii="宋体" w:hAnsi="宋体"/>
          <w:color w:val="auto"/>
          <w:sz w:val="24"/>
          <w:highlight w:val="none"/>
        </w:rPr>
        <w:t>）</w:t>
      </w:r>
      <w:r>
        <w:rPr>
          <w:rFonts w:hint="eastAsia" w:ascii="宋体" w:hAnsi="宋体"/>
          <w:color w:val="auto"/>
          <w:sz w:val="24"/>
          <w:highlight w:val="none"/>
        </w:rPr>
        <w:t>《中小企业声明函》或者《残疾人福利性单位声明函》或者省级以上监狱管理局、戒毒管理局(含新疆生产建设兵团)出具的属于监狱企业的证明文件扫描件</w:t>
      </w:r>
      <w:r>
        <w:rPr>
          <w:rFonts w:hint="eastAsia" w:ascii="宋体" w:hAnsi="宋体"/>
          <w:b/>
          <w:bCs/>
          <w:color w:val="auto"/>
          <w:sz w:val="24"/>
          <w:highlight w:val="none"/>
        </w:rPr>
        <w:t>（必须提供，格式见第三章）。</w:t>
      </w:r>
    </w:p>
    <w:p w14:paraId="53475B4A">
      <w:pPr>
        <w:adjustRightInd w:val="0"/>
        <w:snapToGrid w:val="0"/>
        <w:spacing w:line="360" w:lineRule="auto"/>
        <w:ind w:firstLine="482" w:firstLineChars="200"/>
        <w:rPr>
          <w:rFonts w:ascii="宋体" w:hAnsi="宋体"/>
          <w:b/>
          <w:color w:val="auto"/>
          <w:sz w:val="24"/>
          <w:highlight w:val="none"/>
        </w:rPr>
      </w:pPr>
      <w:r>
        <w:rPr>
          <w:rFonts w:hint="eastAsia" w:ascii="宋体" w:hAnsi="宋体"/>
          <w:b/>
          <w:color w:val="auto"/>
          <w:sz w:val="24"/>
          <w:highlight w:val="none"/>
        </w:rPr>
        <w:t>7.7.2价格文件</w:t>
      </w:r>
    </w:p>
    <w:p w14:paraId="53475B4B">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▲（1）竞标函及竞标函附录</w:t>
      </w:r>
      <w:r>
        <w:rPr>
          <w:rFonts w:hint="eastAsia" w:ascii="宋体" w:hAnsi="宋体"/>
          <w:b/>
          <w:bCs/>
          <w:color w:val="auto"/>
          <w:sz w:val="24"/>
          <w:highlight w:val="none"/>
        </w:rPr>
        <w:t>（必须提供，格式见第三章）</w:t>
      </w:r>
      <w:r>
        <w:rPr>
          <w:rFonts w:hint="eastAsia" w:ascii="宋体" w:hAnsi="宋体"/>
          <w:b/>
          <w:color w:val="auto"/>
          <w:sz w:val="24"/>
          <w:highlight w:val="none"/>
        </w:rPr>
        <w:t>；</w:t>
      </w:r>
    </w:p>
    <w:p w14:paraId="53475B4C">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▲（2）竞标报价表</w:t>
      </w:r>
      <w:r>
        <w:rPr>
          <w:rFonts w:hint="eastAsia" w:ascii="宋体" w:hAnsi="宋体"/>
          <w:b/>
          <w:color w:val="auto"/>
          <w:sz w:val="24"/>
          <w:highlight w:val="none"/>
        </w:rPr>
        <w:t>（必须提供，格式见第三章）；</w:t>
      </w:r>
    </w:p>
    <w:p w14:paraId="53475B4D">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▲（3）已标价工程量清单</w:t>
      </w:r>
      <w:r>
        <w:rPr>
          <w:rFonts w:hint="eastAsia" w:ascii="宋体" w:hAnsi="宋体"/>
          <w:b/>
          <w:color w:val="auto"/>
          <w:sz w:val="24"/>
          <w:highlight w:val="none"/>
        </w:rPr>
        <w:t>（必须提供，格式见第三章）；</w:t>
      </w:r>
    </w:p>
    <w:p w14:paraId="53475B4E">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（4）供应商认为需要提供的其他有关资料。</w:t>
      </w:r>
    </w:p>
    <w:p w14:paraId="53475B4F">
      <w:pPr>
        <w:adjustRightInd w:val="0"/>
        <w:snapToGrid w:val="0"/>
        <w:spacing w:line="360" w:lineRule="auto"/>
        <w:ind w:firstLine="482" w:firstLineChars="200"/>
        <w:rPr>
          <w:rFonts w:ascii="宋体" w:hAnsi="宋体"/>
          <w:color w:val="auto"/>
          <w:sz w:val="24"/>
          <w:highlight w:val="none"/>
        </w:rPr>
      </w:pPr>
      <w:r>
        <w:rPr>
          <w:rFonts w:hint="eastAsia" w:ascii="宋体" w:hAnsi="宋体"/>
          <w:b/>
          <w:color w:val="auto"/>
          <w:sz w:val="24"/>
          <w:highlight w:val="none"/>
        </w:rPr>
        <w:t>7.7.3 商务技术文件</w:t>
      </w:r>
      <w:r>
        <w:rPr>
          <w:rFonts w:hint="eastAsia" w:ascii="宋体" w:hAnsi="宋体"/>
          <w:color w:val="auto"/>
          <w:sz w:val="24"/>
          <w:highlight w:val="none"/>
        </w:rPr>
        <w:t>（应该有的必须提供,如未提供,磋商小组有权拒绝其磋商响应文件）。</w:t>
      </w:r>
    </w:p>
    <w:p w14:paraId="53475B50">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▲（1）磋商书</w:t>
      </w:r>
      <w:r>
        <w:rPr>
          <w:rFonts w:hint="eastAsia" w:ascii="宋体" w:hAnsi="宋体"/>
          <w:b/>
          <w:color w:val="auto"/>
          <w:sz w:val="24"/>
          <w:highlight w:val="none"/>
        </w:rPr>
        <w:t>（必须提供，格式见第三章）；</w:t>
      </w:r>
    </w:p>
    <w:p w14:paraId="53475B51">
      <w:pPr>
        <w:adjustRightInd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▲（2）法定代表人（负责人）授权委托书和委托代理人身份证复印件</w:t>
      </w:r>
      <w:r>
        <w:rPr>
          <w:rFonts w:hint="eastAsia" w:ascii="宋体" w:hAnsi="宋体"/>
          <w:b/>
          <w:bCs/>
          <w:color w:val="auto"/>
          <w:sz w:val="24"/>
          <w:highlight w:val="none"/>
        </w:rPr>
        <w:t>（</w:t>
      </w:r>
      <w:r>
        <w:rPr>
          <w:rFonts w:hint="eastAsia" w:ascii="宋体" w:hAnsi="宋体"/>
          <w:b/>
          <w:color w:val="auto"/>
          <w:sz w:val="24"/>
          <w:highlight w:val="none"/>
        </w:rPr>
        <w:t>格式见第三章,</w:t>
      </w:r>
      <w:r>
        <w:rPr>
          <w:rFonts w:hint="eastAsia" w:ascii="宋体" w:hAnsi="宋体"/>
          <w:b/>
          <w:bCs/>
          <w:color w:val="auto"/>
          <w:sz w:val="24"/>
          <w:highlight w:val="none"/>
        </w:rPr>
        <w:t>委托代理时必须提供）</w:t>
      </w:r>
      <w:r>
        <w:rPr>
          <w:rFonts w:hint="eastAsia" w:ascii="宋体" w:hAnsi="宋体"/>
          <w:color w:val="auto"/>
          <w:sz w:val="24"/>
          <w:highlight w:val="none"/>
        </w:rPr>
        <w:t>，法定代表人（负责人）参加磋商时，提供法定代表人（负责人）身份证明书和身份证复印件</w:t>
      </w:r>
      <w:r>
        <w:rPr>
          <w:rFonts w:hint="eastAsia" w:ascii="宋体" w:hAnsi="宋体"/>
          <w:b/>
          <w:bCs/>
          <w:color w:val="auto"/>
          <w:sz w:val="24"/>
          <w:highlight w:val="none"/>
        </w:rPr>
        <w:t>（</w:t>
      </w:r>
      <w:r>
        <w:rPr>
          <w:rFonts w:hint="eastAsia" w:ascii="宋体" w:hAnsi="宋体"/>
          <w:b/>
          <w:color w:val="auto"/>
          <w:sz w:val="24"/>
          <w:highlight w:val="none"/>
        </w:rPr>
        <w:t>格式见第三章,</w:t>
      </w:r>
      <w:r>
        <w:rPr>
          <w:rFonts w:hint="eastAsia" w:ascii="宋体" w:hAnsi="宋体"/>
          <w:b/>
          <w:bCs/>
          <w:color w:val="auto"/>
          <w:sz w:val="24"/>
          <w:highlight w:val="none"/>
        </w:rPr>
        <w:t>必须提供）</w:t>
      </w:r>
      <w:r>
        <w:rPr>
          <w:rFonts w:hint="eastAsia" w:ascii="宋体" w:hAnsi="宋体"/>
          <w:color w:val="auto"/>
          <w:sz w:val="24"/>
          <w:highlight w:val="none"/>
        </w:rPr>
        <w:t>；</w:t>
      </w:r>
    </w:p>
    <w:p w14:paraId="53475B52">
      <w:pPr>
        <w:adjustRightInd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▲（3）承诺函</w:t>
      </w:r>
      <w:r>
        <w:rPr>
          <w:rFonts w:hint="eastAsia" w:ascii="宋体" w:hAnsi="宋体"/>
          <w:b/>
          <w:color w:val="auto"/>
          <w:sz w:val="24"/>
          <w:highlight w:val="none"/>
        </w:rPr>
        <w:t>（必须提供，格式见第三章）；</w:t>
      </w:r>
      <w:r>
        <w:rPr>
          <w:rFonts w:hint="eastAsia" w:ascii="宋体" w:hAnsi="宋体"/>
          <w:color w:val="auto"/>
          <w:sz w:val="24"/>
          <w:highlight w:val="none"/>
        </w:rPr>
        <w:t xml:space="preserve"> </w:t>
      </w:r>
    </w:p>
    <w:p w14:paraId="53475B53">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▲（4）</w:t>
      </w:r>
      <w:r>
        <w:rPr>
          <w:rFonts w:hint="eastAsia" w:ascii="宋体" w:hAnsi="宋体" w:cs="宋体"/>
          <w:snapToGrid w:val="0"/>
          <w:color w:val="auto"/>
          <w:spacing w:val="-1"/>
          <w:kern w:val="0"/>
          <w:sz w:val="24"/>
          <w:highlight w:val="none"/>
        </w:rPr>
        <w:t>施工组织设计</w:t>
      </w:r>
      <w:r>
        <w:rPr>
          <w:rFonts w:hint="eastAsia" w:ascii="宋体" w:hAnsi="宋体" w:cs="宋体"/>
          <w:b/>
          <w:bCs/>
          <w:snapToGrid w:val="0"/>
          <w:color w:val="auto"/>
          <w:spacing w:val="-1"/>
          <w:kern w:val="0"/>
          <w:sz w:val="24"/>
          <w:highlight w:val="none"/>
        </w:rPr>
        <w:t>(</w:t>
      </w:r>
      <w:r>
        <w:rPr>
          <w:rFonts w:hint="eastAsia" w:ascii="宋体" w:hAnsi="宋体"/>
          <w:b/>
          <w:color w:val="auto"/>
          <w:sz w:val="24"/>
          <w:highlight w:val="none"/>
        </w:rPr>
        <w:t>必须提供，格式</w:t>
      </w:r>
      <w:r>
        <w:rPr>
          <w:rFonts w:hint="eastAsia" w:ascii="宋体" w:hAnsi="宋体"/>
          <w:b/>
          <w:bCs/>
          <w:color w:val="auto"/>
          <w:sz w:val="24"/>
          <w:highlight w:val="none"/>
        </w:rPr>
        <w:t>自拟）</w:t>
      </w:r>
      <w:r>
        <w:rPr>
          <w:rFonts w:hint="eastAsia" w:ascii="宋体" w:hAnsi="宋体"/>
          <w:b/>
          <w:color w:val="auto"/>
          <w:sz w:val="24"/>
          <w:highlight w:val="none"/>
        </w:rPr>
        <w:t>；</w:t>
      </w:r>
    </w:p>
    <w:p w14:paraId="53475B54">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w:t>
      </w:r>
      <w:r>
        <w:rPr>
          <w:rFonts w:hint="eastAsia" w:ascii="宋体" w:hAnsi="宋体"/>
          <w:color w:val="auto"/>
          <w:sz w:val="24"/>
          <w:highlight w:val="none"/>
        </w:rPr>
        <w:t>（5）项目管理机构配备情况表及主要人员简历表</w:t>
      </w:r>
      <w:r>
        <w:rPr>
          <w:rFonts w:hint="eastAsia" w:ascii="宋体" w:hAnsi="宋体"/>
          <w:color w:val="auto"/>
          <w:sz w:val="24"/>
          <w:highlight w:val="none"/>
          <w:lang w:eastAsia="zh-CN"/>
        </w:rPr>
        <w:t>，项目管理机构人员配置最低要求：项目经理1人、技术负责人1人、施工员1人、安全员1人、质量员1人；必须提供项目管理机构所有人员有效资格证、近一个月（2025年</w:t>
      </w:r>
      <w:r>
        <w:rPr>
          <w:rFonts w:hint="eastAsia" w:ascii="宋体" w:hAnsi="宋体"/>
          <w:color w:val="auto"/>
          <w:sz w:val="24"/>
          <w:highlight w:val="none"/>
          <w:lang w:val="en-US" w:eastAsia="zh-CN"/>
        </w:rPr>
        <w:t>10</w:t>
      </w:r>
      <w:r>
        <w:rPr>
          <w:rFonts w:hint="eastAsia" w:ascii="宋体" w:hAnsi="宋体"/>
          <w:color w:val="auto"/>
          <w:sz w:val="24"/>
          <w:highlight w:val="none"/>
          <w:lang w:eastAsia="zh-CN"/>
        </w:rPr>
        <w:t>月至投标截止时间止任意一个月）（从取得营业执照时间起到</w:t>
      </w:r>
      <w:r>
        <w:rPr>
          <w:rFonts w:hint="eastAsia" w:ascii="宋体" w:hAnsi="宋体"/>
          <w:color w:val="auto"/>
          <w:sz w:val="24"/>
          <w:highlight w:val="none"/>
          <w:lang w:val="en-US" w:eastAsia="zh-CN"/>
        </w:rPr>
        <w:t>磋商</w:t>
      </w:r>
      <w:r>
        <w:rPr>
          <w:rFonts w:hint="eastAsia" w:ascii="宋体" w:hAnsi="宋体"/>
          <w:color w:val="auto"/>
          <w:sz w:val="24"/>
          <w:highlight w:val="none"/>
          <w:lang w:eastAsia="zh-CN"/>
        </w:rPr>
        <w:t>截止时间为止不足要求月数的只需提供从取得营业执照起的证明材料）在现任职单位依法缴纳社会保险证明材料</w:t>
      </w:r>
      <w:r>
        <w:rPr>
          <w:rFonts w:hint="eastAsia" w:ascii="宋体" w:hAnsi="宋体"/>
          <w:b/>
          <w:color w:val="auto"/>
          <w:sz w:val="24"/>
          <w:highlight w:val="none"/>
        </w:rPr>
        <w:t>（必须提供，格式见第三章）</w:t>
      </w:r>
      <w:r>
        <w:rPr>
          <w:rFonts w:hint="eastAsia" w:ascii="宋体" w:hAnsi="宋体"/>
          <w:color w:val="auto"/>
          <w:sz w:val="24"/>
          <w:highlight w:val="none"/>
        </w:rPr>
        <w:t>；</w:t>
      </w:r>
    </w:p>
    <w:p w14:paraId="53475B55">
      <w:pPr>
        <w:numPr>
          <w:ilvl w:val="0"/>
          <w:numId w:val="2"/>
        </w:numPr>
        <w:adjustRightInd w:val="0"/>
        <w:snapToGrid w:val="0"/>
        <w:spacing w:line="360" w:lineRule="auto"/>
        <w:ind w:firstLine="476" w:firstLineChars="200"/>
        <w:rPr>
          <w:rFonts w:ascii="宋体" w:hAnsi="宋体"/>
          <w:color w:val="auto"/>
          <w:sz w:val="24"/>
          <w:highlight w:val="none"/>
        </w:rPr>
      </w:pPr>
      <w:r>
        <w:rPr>
          <w:rFonts w:hint="eastAsia" w:ascii="宋体" w:hAnsi="宋体" w:cs="宋体"/>
          <w:snapToGrid w:val="0"/>
          <w:color w:val="auto"/>
          <w:spacing w:val="-1"/>
          <w:kern w:val="0"/>
          <w:sz w:val="24"/>
          <w:highlight w:val="none"/>
        </w:rPr>
        <w:t>拟分包项目情况表（格式见第三章）（如有）；</w:t>
      </w:r>
    </w:p>
    <w:p w14:paraId="53475B56">
      <w:pPr>
        <w:adjustRightInd w:val="0"/>
        <w:snapToGrid w:val="0"/>
        <w:spacing w:line="360" w:lineRule="auto"/>
        <w:ind w:firstLine="480" w:firstLineChars="200"/>
        <w:rPr>
          <w:rFonts w:ascii="宋体" w:hAnsi="宋体"/>
          <w:b/>
          <w:color w:val="auto"/>
          <w:sz w:val="24"/>
          <w:highlight w:val="none"/>
        </w:rPr>
      </w:pPr>
      <w:r>
        <w:rPr>
          <w:rFonts w:hint="eastAsia" w:ascii="宋体" w:hAnsi="宋体"/>
          <w:color w:val="auto"/>
          <w:sz w:val="24"/>
          <w:highlight w:val="none"/>
        </w:rPr>
        <w:t>▲（7）建设工程项目管理承诺书</w:t>
      </w:r>
      <w:r>
        <w:rPr>
          <w:rFonts w:hint="eastAsia" w:ascii="宋体" w:hAnsi="宋体"/>
          <w:b/>
          <w:color w:val="auto"/>
          <w:sz w:val="24"/>
          <w:highlight w:val="none"/>
        </w:rPr>
        <w:t>（必须提供，格式见第三章）；</w:t>
      </w:r>
    </w:p>
    <w:p w14:paraId="53475B57">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▲（8）建筑材料和设备节能环保要求承诺书</w:t>
      </w:r>
      <w:r>
        <w:rPr>
          <w:rFonts w:hint="eastAsia" w:ascii="宋体" w:hAnsi="宋体"/>
          <w:b/>
          <w:color w:val="auto"/>
          <w:sz w:val="24"/>
          <w:highlight w:val="none"/>
        </w:rPr>
        <w:t>（必须提供，格式见第三章）；</w:t>
      </w:r>
    </w:p>
    <w:p w14:paraId="53475B58">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（9）供应商负责过与本项目相类似的成功案例和经验（如有，需提供合同复印件）；</w:t>
      </w:r>
    </w:p>
    <w:p w14:paraId="53475B59">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（10）采购需求要求提供的材料</w:t>
      </w:r>
      <w:r>
        <w:rPr>
          <w:rFonts w:hint="eastAsia" w:ascii="宋体" w:hAnsi="宋体"/>
          <w:b/>
          <w:bCs/>
          <w:color w:val="auto"/>
          <w:sz w:val="24"/>
          <w:highlight w:val="none"/>
        </w:rPr>
        <w:t>（格式自拟，如有要求则提供）；</w:t>
      </w:r>
    </w:p>
    <w:p w14:paraId="53475B5A">
      <w:pPr>
        <w:adjustRightInd w:val="0"/>
        <w:snapToGrid w:val="0"/>
        <w:spacing w:line="360" w:lineRule="auto"/>
        <w:ind w:firstLine="480" w:firstLineChars="200"/>
        <w:rPr>
          <w:rFonts w:ascii="宋体" w:hAnsi="宋体"/>
          <w:b/>
          <w:color w:val="auto"/>
          <w:sz w:val="24"/>
          <w:highlight w:val="none"/>
        </w:rPr>
      </w:pPr>
      <w:r>
        <w:rPr>
          <w:rFonts w:hint="eastAsia" w:ascii="宋体" w:hAnsi="宋体"/>
          <w:color w:val="auto"/>
          <w:sz w:val="24"/>
          <w:highlight w:val="none"/>
        </w:rPr>
        <w:t>（11）具备履行合同所必需的设备和专业技术能力的证明材料</w:t>
      </w:r>
      <w:r>
        <w:rPr>
          <w:rFonts w:hint="eastAsia" w:ascii="宋体" w:hAnsi="宋体"/>
          <w:b/>
          <w:color w:val="auto"/>
          <w:sz w:val="24"/>
          <w:highlight w:val="none"/>
        </w:rPr>
        <w:t>；</w:t>
      </w:r>
    </w:p>
    <w:p w14:paraId="53475B5B">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（12）磋商供应商认为需要提供的有关资料。</w:t>
      </w:r>
    </w:p>
    <w:p w14:paraId="53475B5C">
      <w:pPr>
        <w:spacing w:line="360" w:lineRule="auto"/>
        <w:ind w:firstLine="480" w:firstLineChars="200"/>
        <w:rPr>
          <w:rFonts w:ascii="宋体" w:hAnsi="宋体"/>
          <w:b/>
          <w:color w:val="auto"/>
          <w:sz w:val="24"/>
          <w:highlight w:val="none"/>
        </w:rPr>
      </w:pPr>
      <w:r>
        <w:rPr>
          <w:rFonts w:hint="eastAsia" w:ascii="宋体" w:hAnsi="宋体"/>
          <w:color w:val="auto"/>
          <w:sz w:val="24"/>
          <w:highlight w:val="none"/>
        </w:rPr>
        <w:t>▲特别说明：</w:t>
      </w:r>
      <w:r>
        <w:rPr>
          <w:rFonts w:hint="eastAsia" w:ascii="宋体" w:hAnsi="宋体"/>
          <w:b/>
          <w:color w:val="auto"/>
          <w:sz w:val="24"/>
          <w:highlight w:val="none"/>
        </w:rPr>
        <w:t>（1）</w:t>
      </w:r>
      <w:r>
        <w:rPr>
          <w:rFonts w:ascii="宋体" w:hAnsi="宋体"/>
          <w:b/>
          <w:color w:val="auto"/>
          <w:sz w:val="24"/>
          <w:highlight w:val="none"/>
        </w:rPr>
        <w:t>若磋商文件中有专门标注的某关联点</w:t>
      </w:r>
      <w:r>
        <w:rPr>
          <w:rFonts w:hint="eastAsia" w:ascii="宋体" w:hAnsi="宋体"/>
          <w:b/>
          <w:color w:val="auto"/>
          <w:sz w:val="24"/>
          <w:highlight w:val="none"/>
        </w:rPr>
        <w:t>，</w:t>
      </w:r>
      <w:r>
        <w:rPr>
          <w:rFonts w:ascii="宋体" w:hAnsi="宋体"/>
          <w:b/>
          <w:color w:val="auto"/>
          <w:sz w:val="24"/>
          <w:highlight w:val="none"/>
        </w:rPr>
        <w:t>并要求供应商在电子投标系统中作出磋商响应的，如供应商未对关联点进行响应或者在响应文件其它内容进行描述，造成电子评审不能查询的责任由供应商自行承担。</w:t>
      </w:r>
    </w:p>
    <w:p w14:paraId="53475B5D">
      <w:pPr>
        <w:spacing w:line="360" w:lineRule="auto"/>
        <w:ind w:firstLine="482" w:firstLineChars="200"/>
        <w:rPr>
          <w:rFonts w:ascii="宋体" w:hAnsi="宋体"/>
          <w:b/>
          <w:color w:val="auto"/>
          <w:sz w:val="24"/>
          <w:highlight w:val="none"/>
        </w:rPr>
      </w:pPr>
      <w:r>
        <w:rPr>
          <w:rFonts w:hint="eastAsia" w:ascii="宋体" w:hAnsi="宋体"/>
          <w:b/>
          <w:color w:val="auto"/>
          <w:sz w:val="24"/>
          <w:highlight w:val="none"/>
        </w:rPr>
        <w:t>（</w:t>
      </w:r>
      <w:r>
        <w:rPr>
          <w:rFonts w:ascii="宋体" w:hAnsi="宋体"/>
          <w:b/>
          <w:color w:val="auto"/>
          <w:sz w:val="24"/>
          <w:highlight w:val="none"/>
        </w:rPr>
        <w:t>2</w:t>
      </w:r>
      <w:r>
        <w:rPr>
          <w:rFonts w:hint="eastAsia" w:ascii="宋体" w:hAnsi="宋体"/>
          <w:b/>
          <w:color w:val="auto"/>
          <w:sz w:val="24"/>
          <w:highlight w:val="none"/>
        </w:rPr>
        <w:t>）磋商文件要求提供的各种复印件，必须加盖磋商供应商CA签章，否则其磋商无效。</w:t>
      </w:r>
    </w:p>
    <w:p w14:paraId="53475B5E">
      <w:pPr>
        <w:adjustRightInd w:val="0"/>
        <w:snapToGrid w:val="0"/>
        <w:spacing w:line="360" w:lineRule="auto"/>
        <w:ind w:firstLine="482" w:firstLineChars="200"/>
        <w:rPr>
          <w:rFonts w:ascii="宋体" w:hAnsi="宋体"/>
          <w:b/>
          <w:color w:val="auto"/>
          <w:sz w:val="24"/>
          <w:highlight w:val="none"/>
        </w:rPr>
      </w:pPr>
      <w:r>
        <w:rPr>
          <w:rFonts w:hint="eastAsia" w:ascii="宋体" w:hAnsi="宋体"/>
          <w:b/>
          <w:color w:val="auto"/>
          <w:sz w:val="24"/>
          <w:highlight w:val="none"/>
        </w:rPr>
        <w:t>（</w:t>
      </w:r>
      <w:r>
        <w:rPr>
          <w:rFonts w:ascii="宋体" w:hAnsi="宋体"/>
          <w:b/>
          <w:color w:val="auto"/>
          <w:sz w:val="24"/>
          <w:highlight w:val="none"/>
        </w:rPr>
        <w:t>3</w:t>
      </w:r>
      <w:r>
        <w:rPr>
          <w:rFonts w:hint="eastAsia" w:ascii="宋体" w:hAnsi="宋体"/>
          <w:b/>
          <w:color w:val="auto"/>
          <w:sz w:val="24"/>
          <w:highlight w:val="none"/>
        </w:rPr>
        <w:t>）磋商文件要求“必须提供”的证明等材料，磋商供应商必须全部提供，缺一不可，否则磋商无效。</w:t>
      </w:r>
    </w:p>
    <w:p w14:paraId="53475B5F">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8. 计量单位</w:t>
      </w:r>
    </w:p>
    <w:p w14:paraId="53475B60">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8.1除技术要求中另有规定外，本文件所要求使用的计量单位均应采用国家法定计量单位。</w:t>
      </w:r>
    </w:p>
    <w:p w14:paraId="53475B61">
      <w:pPr>
        <w:adjustRightInd w:val="0"/>
        <w:snapToGrid w:val="0"/>
        <w:spacing w:line="360" w:lineRule="auto"/>
        <w:ind w:firstLine="482" w:firstLineChars="200"/>
        <w:rPr>
          <w:rFonts w:ascii="宋体" w:hAnsi="宋体"/>
          <w:b/>
          <w:color w:val="auto"/>
          <w:sz w:val="24"/>
          <w:highlight w:val="none"/>
        </w:rPr>
      </w:pPr>
      <w:r>
        <w:rPr>
          <w:rFonts w:hint="eastAsia" w:ascii="宋体" w:hAnsi="宋体"/>
          <w:b/>
          <w:color w:val="auto"/>
          <w:sz w:val="24"/>
          <w:highlight w:val="none"/>
        </w:rPr>
        <w:t>三、报价要求</w:t>
      </w:r>
    </w:p>
    <w:p w14:paraId="53475B62">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9.1对于本文件中未列明，而供应商认为必需的费用也需列入总报价。在合同实施时，采购人将不予支付成交供应商没有列入的项目费用，并认为此项目的费用已包括在总报价中。</w:t>
      </w:r>
    </w:p>
    <w:p w14:paraId="53475B63">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9.2成交供应商负责本项目所需服务及售后服务等全部工作。</w:t>
      </w:r>
    </w:p>
    <w:p w14:paraId="53475B64">
      <w:pPr>
        <w:pStyle w:val="23"/>
        <w:adjustRightInd w:val="0"/>
        <w:snapToGrid w:val="0"/>
        <w:spacing w:line="360" w:lineRule="auto"/>
        <w:ind w:firstLine="480" w:firstLineChars="200"/>
        <w:rPr>
          <w:rFonts w:hAnsi="宋体"/>
          <w:color w:val="auto"/>
          <w:sz w:val="24"/>
          <w:szCs w:val="24"/>
          <w:highlight w:val="none"/>
        </w:rPr>
      </w:pPr>
      <w:r>
        <w:rPr>
          <w:rFonts w:hint="eastAsia" w:hAnsi="宋体"/>
          <w:color w:val="auto"/>
          <w:sz w:val="24"/>
          <w:szCs w:val="24"/>
          <w:highlight w:val="none"/>
        </w:rPr>
        <w:t>9.3供应商应用大写和小写分别详细填写基础指标报价表。大写和小写不一致的，以大写为准；对不同文字文本竞争性磋商响应文件的解释发生异议的，以中文文本为准。除上述原因以外，如果因供应商原因引起的报价失误，并在磋商时被接受，其后果由供应商自负。</w:t>
      </w:r>
    </w:p>
    <w:p w14:paraId="53475B65">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9.4报价：供应商应就《采购项目需求》中所有的服务内容作完整唯一报价。</w:t>
      </w:r>
    </w:p>
    <w:p w14:paraId="53475B66">
      <w:pPr>
        <w:adjustRightInd w:val="0"/>
        <w:snapToGrid w:val="0"/>
        <w:spacing w:line="360" w:lineRule="auto"/>
        <w:ind w:firstLine="482" w:firstLineChars="200"/>
        <w:rPr>
          <w:rFonts w:ascii="宋体" w:hAnsi="宋体"/>
          <w:b/>
          <w:color w:val="auto"/>
          <w:sz w:val="24"/>
          <w:highlight w:val="none"/>
        </w:rPr>
      </w:pPr>
      <w:r>
        <w:rPr>
          <w:rFonts w:hint="eastAsia" w:ascii="宋体" w:hAnsi="宋体"/>
          <w:b/>
          <w:color w:val="auto"/>
          <w:sz w:val="24"/>
          <w:highlight w:val="none"/>
        </w:rPr>
        <w:t>四、竞争性磋商响应文件的封装和递交</w:t>
      </w:r>
    </w:p>
    <w:p w14:paraId="53475B67">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10. 竞争性磋商响应文件的封装</w:t>
      </w:r>
    </w:p>
    <w:p w14:paraId="53475B68">
      <w:pPr>
        <w:pStyle w:val="23"/>
        <w:adjustRightInd w:val="0"/>
        <w:snapToGrid w:val="0"/>
        <w:spacing w:line="360" w:lineRule="auto"/>
        <w:ind w:firstLine="480" w:firstLineChars="200"/>
        <w:rPr>
          <w:rFonts w:hAnsi="宋体"/>
          <w:color w:val="auto"/>
          <w:sz w:val="24"/>
          <w:szCs w:val="24"/>
          <w:highlight w:val="none"/>
        </w:rPr>
      </w:pPr>
      <w:r>
        <w:rPr>
          <w:rFonts w:hint="eastAsia" w:hAnsi="宋体"/>
          <w:color w:val="auto"/>
          <w:sz w:val="24"/>
          <w:szCs w:val="24"/>
          <w:highlight w:val="none"/>
        </w:rPr>
        <w:t>10.1</w:t>
      </w:r>
      <w:r>
        <w:rPr>
          <w:rFonts w:hAnsi="宋体"/>
          <w:color w:val="auto"/>
          <w:sz w:val="24"/>
          <w:szCs w:val="24"/>
          <w:highlight w:val="none"/>
        </w:rPr>
        <w:t>电子</w:t>
      </w:r>
      <w:r>
        <w:rPr>
          <w:rFonts w:hint="eastAsia" w:hAnsi="宋体"/>
          <w:color w:val="auto"/>
          <w:sz w:val="24"/>
          <w:szCs w:val="24"/>
          <w:highlight w:val="none"/>
        </w:rPr>
        <w:t>磋商</w:t>
      </w:r>
      <w:r>
        <w:rPr>
          <w:rFonts w:hAnsi="宋体"/>
          <w:color w:val="auto"/>
          <w:sz w:val="24"/>
          <w:szCs w:val="24"/>
          <w:highlight w:val="none"/>
        </w:rPr>
        <w:t>响应文件中须加盖供应商公章部分均采用 CA 签章，并根据“政府采购项目电子交易管理操作指南-供应商”及本</w:t>
      </w:r>
      <w:r>
        <w:rPr>
          <w:rFonts w:hint="eastAsia" w:hAnsi="宋体"/>
          <w:color w:val="auto"/>
          <w:sz w:val="24"/>
          <w:szCs w:val="24"/>
          <w:highlight w:val="none"/>
        </w:rPr>
        <w:t>磋商</w:t>
      </w:r>
      <w:r>
        <w:rPr>
          <w:rFonts w:hAnsi="宋体"/>
          <w:color w:val="auto"/>
          <w:sz w:val="24"/>
          <w:szCs w:val="24"/>
          <w:highlight w:val="none"/>
        </w:rPr>
        <w:t>文件规定的格式和顺序编制电子</w:t>
      </w:r>
      <w:r>
        <w:rPr>
          <w:rFonts w:hint="eastAsia" w:hAnsi="宋体"/>
          <w:color w:val="auto"/>
          <w:sz w:val="24"/>
          <w:szCs w:val="24"/>
          <w:highlight w:val="none"/>
        </w:rPr>
        <w:t>磋商</w:t>
      </w:r>
      <w:r>
        <w:rPr>
          <w:rFonts w:hAnsi="宋体"/>
          <w:color w:val="auto"/>
          <w:sz w:val="24"/>
          <w:szCs w:val="24"/>
          <w:highlight w:val="none"/>
        </w:rPr>
        <w:t>响应文件并进行关联定位，以便</w:t>
      </w:r>
      <w:r>
        <w:rPr>
          <w:rFonts w:hint="eastAsia" w:hAnsi="宋体"/>
          <w:color w:val="auto"/>
          <w:sz w:val="24"/>
          <w:szCs w:val="24"/>
          <w:highlight w:val="none"/>
        </w:rPr>
        <w:t>磋商小组</w:t>
      </w:r>
      <w:r>
        <w:rPr>
          <w:rFonts w:hAnsi="宋体"/>
          <w:color w:val="auto"/>
          <w:sz w:val="24"/>
          <w:szCs w:val="24"/>
          <w:highlight w:val="none"/>
        </w:rPr>
        <w:t>在</w:t>
      </w:r>
      <w:r>
        <w:rPr>
          <w:rFonts w:hint="eastAsia" w:hAnsi="宋体"/>
          <w:color w:val="auto"/>
          <w:sz w:val="24"/>
          <w:szCs w:val="24"/>
          <w:highlight w:val="none"/>
        </w:rPr>
        <w:t>评审</w:t>
      </w:r>
      <w:r>
        <w:rPr>
          <w:rFonts w:hAnsi="宋体"/>
          <w:color w:val="auto"/>
          <w:sz w:val="24"/>
          <w:szCs w:val="24"/>
          <w:highlight w:val="none"/>
        </w:rPr>
        <w:t>时，点击评分项可直接定位到该评分项内容。如对</w:t>
      </w:r>
      <w:r>
        <w:rPr>
          <w:rFonts w:hint="eastAsia" w:hAnsi="宋体"/>
          <w:color w:val="auto"/>
          <w:sz w:val="24"/>
          <w:szCs w:val="24"/>
          <w:highlight w:val="none"/>
        </w:rPr>
        <w:t>磋商</w:t>
      </w:r>
      <w:r>
        <w:rPr>
          <w:rFonts w:hAnsi="宋体"/>
          <w:color w:val="auto"/>
          <w:sz w:val="24"/>
          <w:szCs w:val="24"/>
          <w:highlight w:val="none"/>
        </w:rPr>
        <w:t>文件的某项要求，供应商的电子</w:t>
      </w:r>
      <w:r>
        <w:rPr>
          <w:rFonts w:hint="eastAsia" w:hAnsi="宋体"/>
          <w:color w:val="auto"/>
          <w:sz w:val="24"/>
          <w:szCs w:val="24"/>
          <w:highlight w:val="none"/>
        </w:rPr>
        <w:t>磋商</w:t>
      </w:r>
      <w:r>
        <w:rPr>
          <w:rFonts w:hAnsi="宋体"/>
          <w:color w:val="auto"/>
          <w:sz w:val="24"/>
          <w:szCs w:val="24"/>
          <w:highlight w:val="none"/>
        </w:rPr>
        <w:t>响应文件未能关联定位提供相应的内容与其对应，则</w:t>
      </w:r>
      <w:r>
        <w:rPr>
          <w:rFonts w:hint="eastAsia" w:hAnsi="宋体"/>
          <w:color w:val="auto"/>
          <w:sz w:val="24"/>
          <w:szCs w:val="24"/>
          <w:highlight w:val="none"/>
        </w:rPr>
        <w:t>磋商小组</w:t>
      </w:r>
      <w:r>
        <w:rPr>
          <w:rFonts w:hAnsi="宋体"/>
          <w:color w:val="auto"/>
          <w:sz w:val="24"/>
          <w:szCs w:val="24"/>
          <w:highlight w:val="none"/>
        </w:rPr>
        <w:t>在评审时如做出对供应商不利的评审由供应商自行承担。电子</w:t>
      </w:r>
      <w:r>
        <w:rPr>
          <w:rFonts w:hint="eastAsia" w:hAnsi="宋体"/>
          <w:color w:val="auto"/>
          <w:sz w:val="24"/>
          <w:szCs w:val="24"/>
          <w:highlight w:val="none"/>
        </w:rPr>
        <w:t>磋商</w:t>
      </w:r>
      <w:r>
        <w:rPr>
          <w:rFonts w:hAnsi="宋体"/>
          <w:color w:val="auto"/>
          <w:sz w:val="24"/>
          <w:szCs w:val="24"/>
          <w:highlight w:val="none"/>
        </w:rPr>
        <w:t>响应文件如内容不完整</w:t>
      </w:r>
      <w:r>
        <w:rPr>
          <w:rFonts w:hint="eastAsia" w:hAnsi="宋体"/>
          <w:color w:val="auto"/>
          <w:sz w:val="24"/>
          <w:szCs w:val="24"/>
          <w:highlight w:val="none"/>
        </w:rPr>
        <w:t>、</w:t>
      </w:r>
      <w:r>
        <w:rPr>
          <w:rFonts w:hAnsi="宋体"/>
          <w:color w:val="auto"/>
          <w:sz w:val="24"/>
          <w:szCs w:val="24"/>
          <w:highlight w:val="none"/>
        </w:rPr>
        <w:t>编排混乱导致磋商响应文件被误读、漏读，或者在按采购文件规定的部位查找不到相关内容的，由供应商自行承担。</w:t>
      </w:r>
    </w:p>
    <w:p w14:paraId="53475B69">
      <w:pPr>
        <w:pStyle w:val="23"/>
        <w:adjustRightInd w:val="0"/>
        <w:snapToGrid w:val="0"/>
        <w:spacing w:line="360" w:lineRule="auto"/>
        <w:ind w:firstLine="480" w:firstLineChars="200"/>
        <w:rPr>
          <w:rFonts w:hAnsi="宋体"/>
          <w:color w:val="auto"/>
          <w:sz w:val="24"/>
          <w:szCs w:val="24"/>
          <w:highlight w:val="none"/>
        </w:rPr>
      </w:pPr>
      <w:r>
        <w:rPr>
          <w:rFonts w:hint="eastAsia" w:hAnsi="宋体"/>
          <w:color w:val="auto"/>
          <w:sz w:val="24"/>
          <w:szCs w:val="24"/>
          <w:highlight w:val="none"/>
        </w:rPr>
        <w:t>10.2</w:t>
      </w:r>
      <w:r>
        <w:rPr>
          <w:rFonts w:hAnsi="宋体"/>
          <w:color w:val="auto"/>
          <w:sz w:val="24"/>
          <w:szCs w:val="24"/>
          <w:highlight w:val="none"/>
        </w:rPr>
        <w:t>磋商响应文件不得涂改，若有修改错漏处，须法定代表人</w:t>
      </w:r>
      <w:r>
        <w:rPr>
          <w:rFonts w:hint="eastAsia" w:hAnsi="宋体"/>
          <w:color w:val="auto"/>
          <w:sz w:val="24"/>
          <w:szCs w:val="24"/>
          <w:highlight w:val="none"/>
        </w:rPr>
        <w:t>（负责人）</w:t>
      </w:r>
      <w:r>
        <w:rPr>
          <w:rFonts w:hAnsi="宋体"/>
          <w:color w:val="auto"/>
          <w:sz w:val="24"/>
          <w:szCs w:val="24"/>
          <w:highlight w:val="none"/>
        </w:rPr>
        <w:t>或授权委托人签字</w:t>
      </w:r>
      <w:r>
        <w:rPr>
          <w:rFonts w:hint="eastAsia" w:hAnsi="宋体"/>
          <w:color w:val="auto"/>
          <w:sz w:val="24"/>
          <w:szCs w:val="24"/>
          <w:highlight w:val="none"/>
        </w:rPr>
        <w:t>。</w:t>
      </w:r>
      <w:r>
        <w:rPr>
          <w:rFonts w:hAnsi="宋体"/>
          <w:color w:val="auto"/>
          <w:sz w:val="24"/>
          <w:szCs w:val="24"/>
          <w:highlight w:val="none"/>
        </w:rPr>
        <w:t>磋商响应文件因字迹潦草或表达不清所引起的后果由供应商负责。</w:t>
      </w:r>
    </w:p>
    <w:p w14:paraId="53475B6A">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11. 竞争性磋商响应文件的递交</w:t>
      </w:r>
    </w:p>
    <w:p w14:paraId="53475B6B">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11.1所有竞争性磋商响应文件应于竞争性磋商文件中规定的时间前</w:t>
      </w:r>
      <w:r>
        <w:rPr>
          <w:rFonts w:ascii="宋体" w:hAnsi="宋体"/>
          <w:color w:val="auto"/>
          <w:sz w:val="24"/>
          <w:highlight w:val="none"/>
        </w:rPr>
        <w:t>上传递交至广西政府采购云平台。</w:t>
      </w:r>
    </w:p>
    <w:p w14:paraId="53475B6C">
      <w:pPr>
        <w:adjustRightInd w:val="0"/>
        <w:snapToGrid w:val="0"/>
        <w:spacing w:line="360" w:lineRule="auto"/>
        <w:ind w:firstLine="482" w:firstLineChars="200"/>
        <w:rPr>
          <w:rFonts w:ascii="宋体" w:hAnsi="宋体"/>
          <w:b/>
          <w:color w:val="auto"/>
          <w:sz w:val="24"/>
          <w:highlight w:val="none"/>
        </w:rPr>
      </w:pPr>
      <w:r>
        <w:rPr>
          <w:rFonts w:ascii="宋体" w:hAnsi="宋体"/>
          <w:b/>
          <w:color w:val="auto"/>
          <w:sz w:val="24"/>
          <w:highlight w:val="none"/>
        </w:rPr>
        <w:t>电子</w:t>
      </w:r>
      <w:r>
        <w:rPr>
          <w:rFonts w:hint="eastAsia" w:ascii="宋体" w:hAnsi="宋体"/>
          <w:b/>
          <w:color w:val="auto"/>
          <w:sz w:val="24"/>
          <w:highlight w:val="none"/>
        </w:rPr>
        <w:t>磋商</w:t>
      </w:r>
      <w:r>
        <w:rPr>
          <w:rFonts w:ascii="宋体" w:hAnsi="宋体"/>
          <w:b/>
          <w:color w:val="auto"/>
          <w:sz w:val="24"/>
          <w:highlight w:val="none"/>
        </w:rPr>
        <w:t>文件的相关说明</w:t>
      </w:r>
    </w:p>
    <w:p w14:paraId="53475B6D">
      <w:pPr>
        <w:adjustRightInd w:val="0"/>
        <w:snapToGrid w:val="0"/>
        <w:spacing w:line="360" w:lineRule="auto"/>
        <w:ind w:firstLine="482" w:firstLineChars="200"/>
        <w:rPr>
          <w:rFonts w:ascii="宋体" w:hAnsi="宋体"/>
          <w:b/>
          <w:color w:val="auto"/>
          <w:sz w:val="24"/>
          <w:highlight w:val="none"/>
        </w:rPr>
      </w:pPr>
      <w:r>
        <w:rPr>
          <w:rFonts w:ascii="宋体" w:hAnsi="宋体"/>
          <w:b/>
          <w:color w:val="auto"/>
          <w:sz w:val="24"/>
          <w:highlight w:val="none"/>
        </w:rPr>
        <w:t>（1）供应商进行电子</w:t>
      </w:r>
      <w:r>
        <w:rPr>
          <w:rFonts w:hint="eastAsia" w:ascii="宋体" w:hAnsi="宋体"/>
          <w:b/>
          <w:color w:val="auto"/>
          <w:sz w:val="24"/>
          <w:highlight w:val="none"/>
        </w:rPr>
        <w:t>磋商</w:t>
      </w:r>
      <w:r>
        <w:rPr>
          <w:rFonts w:ascii="宋体" w:hAnsi="宋体"/>
          <w:b/>
          <w:color w:val="auto"/>
          <w:sz w:val="24"/>
          <w:highlight w:val="none"/>
        </w:rPr>
        <w:t>应安装客户端软件，并按照采购文件和电子交易平台的要求编制并加密磋商响应文件。供应商未按规定加密的磋商响应文件，电子交易平台将拒收。供应商应当在磋商截止时间前完成磋商响应文件的传输递交，并可以补充、修改或者撤回磋商响应文件。补充或者修改磋商响应文件的，应当先行撤回原文件</w:t>
      </w:r>
      <w:r>
        <w:rPr>
          <w:rFonts w:hint="eastAsia" w:ascii="宋体" w:hAnsi="宋体"/>
          <w:b/>
          <w:color w:val="auto"/>
          <w:sz w:val="24"/>
          <w:highlight w:val="none"/>
        </w:rPr>
        <w:t>，</w:t>
      </w:r>
      <w:r>
        <w:rPr>
          <w:rFonts w:ascii="宋体" w:hAnsi="宋体"/>
          <w:b/>
          <w:color w:val="auto"/>
          <w:sz w:val="24"/>
          <w:highlight w:val="none"/>
        </w:rPr>
        <w:t>补充、修改后重新传输递交。磋商截止时间前未完成传输的，视为撤回磋商响应文件。磋商截止时间后递交的磋商响应文件，电子交易平台将拒收。</w:t>
      </w:r>
    </w:p>
    <w:p w14:paraId="53475B6E">
      <w:pPr>
        <w:adjustRightInd w:val="0"/>
        <w:snapToGrid w:val="0"/>
        <w:spacing w:line="360" w:lineRule="auto"/>
        <w:ind w:firstLine="482" w:firstLineChars="200"/>
        <w:rPr>
          <w:rFonts w:ascii="宋体" w:hAnsi="宋体"/>
          <w:b/>
          <w:color w:val="auto"/>
          <w:sz w:val="24"/>
          <w:highlight w:val="none"/>
        </w:rPr>
      </w:pPr>
      <w:r>
        <w:rPr>
          <w:rFonts w:ascii="宋体" w:hAnsi="宋体"/>
          <w:b/>
          <w:color w:val="auto"/>
          <w:sz w:val="24"/>
          <w:highlight w:val="none"/>
        </w:rPr>
        <w:t>（</w:t>
      </w:r>
      <w:r>
        <w:rPr>
          <w:rFonts w:hint="eastAsia" w:ascii="宋体" w:hAnsi="宋体"/>
          <w:b/>
          <w:color w:val="auto"/>
          <w:sz w:val="24"/>
          <w:highlight w:val="none"/>
        </w:rPr>
        <w:t>2</w:t>
      </w:r>
      <w:r>
        <w:rPr>
          <w:rFonts w:ascii="宋体" w:hAnsi="宋体"/>
          <w:b/>
          <w:color w:val="auto"/>
          <w:sz w:val="24"/>
          <w:highlight w:val="none"/>
        </w:rPr>
        <w:t>）如有特殊情况，采购代理机构延长截止时间和开标时间，采购代理机构和供应商的权利和义务将受到新的截止时间和开标时间的约束。</w:t>
      </w:r>
    </w:p>
    <w:p w14:paraId="53475B6F">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11.2竞争性磋商响应文件从响应文件递交截止日期后六十日内有效。</w:t>
      </w:r>
    </w:p>
    <w:p w14:paraId="53475B70">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12.迟交的竞争性磋商响应文件</w:t>
      </w:r>
    </w:p>
    <w:p w14:paraId="53475B71">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12.1在本文件要求竞争性磋商响应文件递交截止时间后送达的竞争性磋商响应文件为无效文件，本代理机构将拒收。</w:t>
      </w:r>
    </w:p>
    <w:p w14:paraId="53475B72">
      <w:pPr>
        <w:spacing w:line="360" w:lineRule="auto"/>
        <w:ind w:firstLine="480" w:firstLineChars="200"/>
        <w:rPr>
          <w:rFonts w:ascii="宋体" w:hAnsi="宋体" w:cs="宋体"/>
          <w:b/>
          <w:snapToGrid w:val="0"/>
          <w:color w:val="auto"/>
          <w:highlight w:val="none"/>
        </w:rPr>
      </w:pPr>
      <w:r>
        <w:rPr>
          <w:rFonts w:hint="eastAsia" w:ascii="宋体" w:hAnsi="宋体"/>
          <w:color w:val="auto"/>
          <w:sz w:val="24"/>
          <w:highlight w:val="none"/>
        </w:rPr>
        <w:t>13.</w:t>
      </w:r>
      <w:r>
        <w:rPr>
          <w:rFonts w:hint="eastAsia" w:ascii="宋体" w:hAnsi="宋体" w:cs="宋体"/>
          <w:b/>
          <w:snapToGrid w:val="0"/>
          <w:color w:val="auto"/>
          <w:kern w:val="28"/>
          <w:sz w:val="24"/>
          <w:highlight w:val="none"/>
        </w:rPr>
        <w:t xml:space="preserve"> 磋商保证金</w:t>
      </w:r>
    </w:p>
    <w:p w14:paraId="53475B73">
      <w:pPr>
        <w:adjustRightIn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本项目不收取磋商保证金。</w:t>
      </w:r>
    </w:p>
    <w:p w14:paraId="53475B74">
      <w:pPr>
        <w:adjustRightInd w:val="0"/>
        <w:snapToGrid w:val="0"/>
        <w:spacing w:line="360" w:lineRule="auto"/>
        <w:ind w:firstLine="482" w:firstLineChars="200"/>
        <w:rPr>
          <w:rFonts w:ascii="宋体" w:hAnsi="宋体"/>
          <w:b/>
          <w:color w:val="auto"/>
          <w:sz w:val="24"/>
          <w:highlight w:val="none"/>
        </w:rPr>
      </w:pPr>
      <w:r>
        <w:rPr>
          <w:rFonts w:hint="eastAsia" w:ascii="宋体" w:hAnsi="宋体"/>
          <w:b/>
          <w:bCs/>
          <w:color w:val="auto"/>
          <w:sz w:val="24"/>
          <w:highlight w:val="none"/>
        </w:rPr>
        <w:t>五、</w:t>
      </w:r>
      <w:r>
        <w:rPr>
          <w:rFonts w:hint="eastAsia" w:ascii="宋体" w:hAnsi="宋体"/>
          <w:b/>
          <w:color w:val="auto"/>
          <w:sz w:val="24"/>
          <w:highlight w:val="none"/>
        </w:rPr>
        <w:t>磋</w:t>
      </w:r>
      <w:r>
        <w:rPr>
          <w:rFonts w:hint="eastAsia" w:ascii="宋体" w:hAnsi="宋体"/>
          <w:b/>
          <w:bCs/>
          <w:color w:val="auto"/>
          <w:sz w:val="24"/>
          <w:highlight w:val="none"/>
        </w:rPr>
        <w:t>商程序及评审方法</w:t>
      </w:r>
    </w:p>
    <w:p w14:paraId="53475B75">
      <w:pPr>
        <w:pStyle w:val="23"/>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14．磋商程序</w:t>
      </w:r>
    </w:p>
    <w:p w14:paraId="53475B76">
      <w:pPr>
        <w:pStyle w:val="23"/>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14.1磋商截止时间后，主持人宣布磋商开始。</w:t>
      </w:r>
    </w:p>
    <w:p w14:paraId="53475B77">
      <w:pPr>
        <w:pStyle w:val="23"/>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14.2供应商登录广西政府采购云平台，用“项目采购-开标评标”功能对电子磋商响应文件进行在线解密。在线解密电子磋商响应文件时间为开标时间起半小时内。</w:t>
      </w:r>
    </w:p>
    <w:p w14:paraId="53475B78">
      <w:pPr>
        <w:pStyle w:val="23"/>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14.3磋商小组对磋商响应文件进行评估和比较。</w:t>
      </w:r>
    </w:p>
    <w:p w14:paraId="53475B79">
      <w:pPr>
        <w:pStyle w:val="23"/>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14.4以广西政府采购云平台中“项目采购”应用模块获取磋商文件顺序确定各供应商磋商、顺序。</w:t>
      </w:r>
    </w:p>
    <w:p w14:paraId="53475B7A">
      <w:pPr>
        <w:pStyle w:val="23"/>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14.5磋商小组与单一供应商分别进行磋商。（磋商时供应商的技术资料、价格和其他信息在评审、磋商过程中保密）</w:t>
      </w:r>
    </w:p>
    <w:p w14:paraId="53475B7B">
      <w:pPr>
        <w:pStyle w:val="23"/>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14.6磋商小组要求所有实质性响应的供应商在规定时间内提交最后报价（只公开最后报价，最后报价不得高于初次报价）。</w:t>
      </w:r>
    </w:p>
    <w:p w14:paraId="53475B7C">
      <w:pPr>
        <w:pStyle w:val="23"/>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14.7由磋商小组采用综合评分法对提交最后报价的供应商的响应文件和最后报价进行综合评审，在符合采购需求、质量和服务要求的前提下，按评审得分从高到低顺序推荐确定成交候选供应商。</w:t>
      </w:r>
    </w:p>
    <w:p w14:paraId="53475B7D">
      <w:pPr>
        <w:pStyle w:val="23"/>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特别说明：广西政府采购云平台如对电子化磋商及评审程序有调整的，按调整后的程序操作。</w:t>
      </w:r>
    </w:p>
    <w:p w14:paraId="53475B7E">
      <w:pPr>
        <w:pStyle w:val="23"/>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15.采购过程中出现以下情形，导致电子交易平台无法正常运行，或者无法保证电子交易的公平、公正和安全时，采购组织机构可中止电子交易活动：</w:t>
      </w:r>
    </w:p>
    <w:p w14:paraId="53475B7F">
      <w:pPr>
        <w:pStyle w:val="23"/>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 xml:space="preserve">15.1电子交易平台发生故障而无法登录访问的； </w:t>
      </w:r>
    </w:p>
    <w:p w14:paraId="53475B80">
      <w:pPr>
        <w:pStyle w:val="23"/>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15.2电子交易平台应用或数据库出现错误，不能进行正常操作的；</w:t>
      </w:r>
    </w:p>
    <w:p w14:paraId="53475B81">
      <w:pPr>
        <w:pStyle w:val="23"/>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15.3电子交易平台发现严重安全漏洞，有潜在泄密危险的；</w:t>
      </w:r>
    </w:p>
    <w:p w14:paraId="53475B82">
      <w:pPr>
        <w:pStyle w:val="23"/>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 xml:space="preserve">15.4病毒发作导致不能进行正常操作的； </w:t>
      </w:r>
    </w:p>
    <w:p w14:paraId="53475B83">
      <w:pPr>
        <w:pStyle w:val="23"/>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15.5其他无法保证电子交易的公平、公正和安全的情况。</w:t>
      </w:r>
    </w:p>
    <w:p w14:paraId="53475B84">
      <w:pPr>
        <w:pStyle w:val="23"/>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出现前款规定情形，不影响采购公平、公正性的，采购组织机构可以待上述情形消除后继续组织电子交易活动，也可以决定某些环节以纸质形式进行；影响或可能影响采购公平、公正性的，应当重新采购。</w:t>
      </w:r>
    </w:p>
    <w:p w14:paraId="53475B85">
      <w:pPr>
        <w:pStyle w:val="23"/>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16．磋商内容</w:t>
      </w:r>
    </w:p>
    <w:p w14:paraId="53475B86">
      <w:pPr>
        <w:pStyle w:val="23"/>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16.1本次磋商内容为在磋商文件范围内就供应商的磋商响应文件，磋商小组与供应商在技术、价格、服务、合同等问题进行磋商，最终确定成交与否。</w:t>
      </w:r>
    </w:p>
    <w:p w14:paraId="53475B87">
      <w:pPr>
        <w:pStyle w:val="23"/>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16.2磋商应作书面记录，供应商并就磋商内容作出书面承诺，并由供应商法定代表人或其授权委托人签字后生效，作为磋商响应文件的一部分。</w:t>
      </w:r>
    </w:p>
    <w:p w14:paraId="53475B88">
      <w:pPr>
        <w:pStyle w:val="23"/>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16.3磋商文件有实质性变动的，磋商小组以书面形式通知所有参加磋商的供应商。</w:t>
      </w:r>
    </w:p>
    <w:p w14:paraId="53475B89">
      <w:pPr>
        <w:pStyle w:val="23"/>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17．磋商</w:t>
      </w:r>
    </w:p>
    <w:p w14:paraId="53475B8A">
      <w:pPr>
        <w:pStyle w:val="23"/>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17.1磋商小组由采购人、集中采购机构依法组建，负责评审活动。磋商小组遵循公开、公平、公正、科学合理、竞争择优的原则。</w:t>
      </w:r>
    </w:p>
    <w:p w14:paraId="53475B8B">
      <w:pPr>
        <w:pStyle w:val="23"/>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17.2磋商小组由采购人代表和有关方面专家组成，成员人数为3人以上单数。</w:t>
      </w:r>
    </w:p>
    <w:p w14:paraId="53475B8C">
      <w:pPr>
        <w:pStyle w:val="23"/>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17.3磋商小组负责对供应商资格的最终审定。</w:t>
      </w:r>
    </w:p>
    <w:p w14:paraId="53475B8D">
      <w:pPr>
        <w:pStyle w:val="23"/>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17.4磋商小组可以要求供应商对其磋商响应文件中含义不明确的内容作必要的澄清或者说明，但澄清或者说明不得超过磋商响应文件的范围或者改变磋商响应文件的实质性内容。</w:t>
      </w:r>
    </w:p>
    <w:p w14:paraId="53475B8E">
      <w:pPr>
        <w:pStyle w:val="23"/>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17.5磋商小组对磋商响应文件的判定，只依据磋商响应文件和磋商文件内容本身，不依据任何外来证明。</w:t>
      </w:r>
    </w:p>
    <w:p w14:paraId="53475B8F">
      <w:pPr>
        <w:pStyle w:val="23"/>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17.6磋商小组不向落标方解释落标的原因，不退还磋商响应文件。</w:t>
      </w:r>
    </w:p>
    <w:p w14:paraId="53475B90">
      <w:pPr>
        <w:pStyle w:val="23"/>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18．磋商响应文件的初审鉴定</w:t>
      </w:r>
    </w:p>
    <w:p w14:paraId="53475B91">
      <w:pPr>
        <w:pStyle w:val="23"/>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18.1资格性审查</w:t>
      </w:r>
    </w:p>
    <w:p w14:paraId="53475B92">
      <w:pPr>
        <w:pStyle w:val="23"/>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18.1.1依据法律、法规和磋商文件规定，对磋商响应文件提供的资格证明及通过“信用中国”网站（www.creditchina.gov.cn）和中国政府采购网（www.ccgp.gov.cn）查询的相关供应商主体信用记录（查询截止时点为磋商当日）等进行审查，以确定供应商是否具备磋商资格。</w:t>
      </w:r>
    </w:p>
    <w:p w14:paraId="53475B93">
      <w:pPr>
        <w:pStyle w:val="23"/>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18.2符合性审查</w:t>
      </w:r>
    </w:p>
    <w:p w14:paraId="53475B94">
      <w:pPr>
        <w:pStyle w:val="23"/>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18.2.1磋商时，磋商小组将首先评定每份磋商响应文件是否在实质上响应了磋商文件要求。所谓实质上的响应，是指磋商响应文件与磋商文件的所有实质性条款、条件和要求相符，无显著差异或保留，或者对合同中约定的采购人的权利和供应商的义务方面造成重大的限制，纠正这些显著差异或保留将会对其他实质上响应磋商文件要求的供应商的竞争地位产生不公正的影响。</w:t>
      </w:r>
    </w:p>
    <w:p w14:paraId="53475B95">
      <w:pPr>
        <w:pStyle w:val="23"/>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18.3如果磋商响应文件实质不响应磋商文件的各项要求，磋商小组将予以拒绝，并且不允许供应商通过修改或撤销其不符合要求的差异或保留，使之成为具有响应性的磋商。</w:t>
      </w:r>
    </w:p>
    <w:p w14:paraId="53475B96">
      <w:pPr>
        <w:pStyle w:val="23"/>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19. 对明显的文字和计算错误的修正原则</w:t>
      </w:r>
    </w:p>
    <w:p w14:paraId="53475B97">
      <w:pPr>
        <w:pStyle w:val="23"/>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19.1磋商响应文件中报价一览表（报价表）内容与磋商响应文件中相应内容不一致的，以报价一览表（报价表）为准；</w:t>
      </w:r>
    </w:p>
    <w:p w14:paraId="53475B98">
      <w:pPr>
        <w:pStyle w:val="23"/>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19.2大写金额和小写金额不一致的，以大写金额为准；</w:t>
      </w:r>
    </w:p>
    <w:p w14:paraId="53475B99">
      <w:pPr>
        <w:pStyle w:val="23"/>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19.3单价金额小数点或者百分比有明显错位的，以开标一览表的总价为准，并修改单价；</w:t>
      </w:r>
    </w:p>
    <w:p w14:paraId="53475B9A">
      <w:pPr>
        <w:pStyle w:val="23"/>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19.4总价金额与按单价汇总金额不一致的，以单价金额计算结果为准。</w:t>
      </w:r>
    </w:p>
    <w:p w14:paraId="53475B9B">
      <w:pPr>
        <w:pStyle w:val="23"/>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同时出现两种以上不一致的，按照前款规定的顺序修正。修正后的报价经磋商响应人确认后产生约束力，磋商响应人不确认的，其磋商无效。</w:t>
      </w:r>
    </w:p>
    <w:p w14:paraId="53475B9C">
      <w:pPr>
        <w:pStyle w:val="23"/>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20.磋商响应文件的评审、比较和否决</w:t>
      </w:r>
    </w:p>
    <w:p w14:paraId="53475B9D">
      <w:pPr>
        <w:pStyle w:val="23"/>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20.1磋商小组将对在实质上响应磋商文件要求的磋商响应文件进行评估和比较。</w:t>
      </w:r>
    </w:p>
    <w:p w14:paraId="53475B9E">
      <w:pPr>
        <w:pStyle w:val="23"/>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20.2在评审过程中，磋商小组可以书面形式要求供应商就磋商响应文件含义不明确的内容进行书面说明并提供相关材料。</w:t>
      </w:r>
    </w:p>
    <w:p w14:paraId="53475B9F">
      <w:pPr>
        <w:pStyle w:val="23"/>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20.3在磋商过程中，如发现与磋商文件要求相偏离的，磋商小组应对其偏离情形进行必要的书面核实。</w:t>
      </w:r>
    </w:p>
    <w:p w14:paraId="53475BA0">
      <w:pPr>
        <w:pStyle w:val="23"/>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20.4在评审过程中，如属于实质性偏离或符合无效响应条件的，应当询问相关供应商，并允许其进行陈述申辩，但不允许对偏离条款撤回。</w:t>
      </w:r>
    </w:p>
    <w:p w14:paraId="53475BA1">
      <w:pPr>
        <w:pStyle w:val="23"/>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20.5比较与评价。磋商小组依据磋商文件规定的评审标准和方法，对磋商响应文件进行商务和技术评估，综合比较与评价。</w:t>
      </w:r>
    </w:p>
    <w:p w14:paraId="53475BA2">
      <w:pPr>
        <w:pStyle w:val="23"/>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20.6汇总（商务技术得分情况）。磋商小组各成员应当独立对每个供应商的磋商响应文件进行评价，并汇总商务技术得分情况。</w:t>
      </w:r>
    </w:p>
    <w:p w14:paraId="53475BA3">
      <w:pPr>
        <w:pStyle w:val="23"/>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 xml:space="preserve">20.7 报价评审 </w:t>
      </w:r>
    </w:p>
    <w:p w14:paraId="53475BA4">
      <w:pPr>
        <w:pStyle w:val="23"/>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20.7.1根据财政部发布的《政府采购促进中小企业发展管理办法》规定，对于非专门面向中小企业的项目，对小型和微型企业产品的价格给予一定的扣除，用扣除后的价格参与评审。</w:t>
      </w:r>
    </w:p>
    <w:p w14:paraId="53475BA5">
      <w:pPr>
        <w:pStyle w:val="23"/>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20.7.2供应商存在以下报价情形的，磋商无效</w:t>
      </w:r>
    </w:p>
    <w:p w14:paraId="53475BA6">
      <w:pPr>
        <w:pStyle w:val="23"/>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 xml:space="preserve">1） 响应文件未提供“供应商须知前附表” 报价文件中规定的“竞标报价表”的； </w:t>
      </w:r>
    </w:p>
    <w:p w14:paraId="53475BA7">
      <w:pPr>
        <w:pStyle w:val="23"/>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 xml:space="preserve">2）未采用人民币报价或者未按照磋商文件标明的币种报价的； </w:t>
      </w:r>
    </w:p>
    <w:p w14:paraId="53475BA8">
      <w:pPr>
        <w:pStyle w:val="23"/>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 xml:space="preserve">3）供应商未就所竞标分标进行报价或者存在漏项报价；供应商未就所竞标分标的单项内容作唯一报价；供应商未就所竞标分标的全部内容作完整唯一总价报价；供应商响应文件中存在有选择、有条件报价的（磋商文件允许有备选方案或者其他约定的除外）； </w:t>
      </w:r>
    </w:p>
    <w:p w14:paraId="53475BA9">
      <w:pPr>
        <w:pStyle w:val="23"/>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 xml:space="preserve">4）竞标报价（包含首次报价、最后报价）超过所竞标分标规定的采购预算金额或者最高限价的（如本项目公布了最高限价）；竞标报价（包含首次报价、最后报价）超过磋商文件分项采购预算金额或者最高限价的（如本项目有要求并公布了分项采购预算金额或者最高限价）； </w:t>
      </w:r>
    </w:p>
    <w:p w14:paraId="53475BAA">
      <w:pPr>
        <w:pStyle w:val="23"/>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 xml:space="preserve">5）修正后的报价，供应商不确认的；或者经供应商确认修正后的竞标报价（包含首次报价、最后报价）超过所竞标分标规定的采购预算金额或者最高限价（如本项目公布了最高限价）；或者经供应商确认修正后竞标报价（包含首次报价、最后报价）超过磋商文件分项分项采购预算金额或者最高限价的（如本项目有要求并公布了分项采购预算金额或者最高限价）。 </w:t>
      </w:r>
    </w:p>
    <w:p w14:paraId="53475BAB">
      <w:pPr>
        <w:pStyle w:val="23"/>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 xml:space="preserve">6）在单价合同工程中供应商采用总价优惠或以总价百分比优惠的方式进行竞标报价的； </w:t>
      </w:r>
    </w:p>
    <w:p w14:paraId="53475BAC">
      <w:pPr>
        <w:pStyle w:val="23"/>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 xml:space="preserve">7）竞标总报价与已标价工程量清单汇总表不一致的； </w:t>
      </w:r>
    </w:p>
    <w:p w14:paraId="53475BAD">
      <w:pPr>
        <w:pStyle w:val="23"/>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 xml:space="preserve">8）安全文明施工费和规费、增值税不按广西区费用定额及造价管理相关文件规定报价的（园林绿化及仿古建筑工程除外）；（适用于房屋建筑和市政工程项目） </w:t>
      </w:r>
    </w:p>
    <w:p w14:paraId="53475BAE">
      <w:pPr>
        <w:pStyle w:val="23"/>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 xml:space="preserve">9）供应商已标价工程量清单的项目编码（12位）、计量单位、工程量任何一处与工程量清单不一致的； </w:t>
      </w:r>
    </w:p>
    <w:p w14:paraId="53475BAF">
      <w:pPr>
        <w:pStyle w:val="23"/>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 xml:space="preserve">10）供应商已标价工程量清单的项目名称或项目特征与工程量清单不一致，磋商小组要求澄清、说明或补正，但供应商拒绝澄清、说明或补正的；（适用于房屋建筑和市政工程项目） </w:t>
      </w:r>
    </w:p>
    <w:p w14:paraId="53475BB0">
      <w:pPr>
        <w:pStyle w:val="23"/>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 xml:space="preserve">11）设有暂估价、暂列金额的，竞标时未按工程量清单给出的暂估价总价、暂列金额总价计入竞标总报价中的； </w:t>
      </w:r>
    </w:p>
    <w:p w14:paraId="53475BB1">
      <w:pPr>
        <w:pStyle w:val="23"/>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 xml:space="preserve">12）供应商对工程量清单内容进行增减或对竞标范围进行调整的； </w:t>
      </w:r>
    </w:p>
    <w:p w14:paraId="53475BB2">
      <w:pPr>
        <w:pStyle w:val="23"/>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 xml:space="preserve">13）响应文件响应的标的数量及单位与竞争性磋商采购文件要求实质性不一致的； </w:t>
      </w:r>
    </w:p>
    <w:p w14:paraId="53475BB3">
      <w:pPr>
        <w:pStyle w:val="23"/>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 xml:space="preserve">14）未响应磋商文件实质性要求的。 </w:t>
      </w:r>
    </w:p>
    <w:p w14:paraId="53475BB4">
      <w:pPr>
        <w:pStyle w:val="23"/>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8.8评标委员会依据磋商文件规定的评审标准和方法，对磋商响应文件进行评审和比较后，向代理机构提供书面磋商报告，并按得分高低排序推荐成交候选供应商。</w:t>
      </w:r>
    </w:p>
    <w:p w14:paraId="53475BB5">
      <w:pPr>
        <w:pStyle w:val="23"/>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9.磋商响应文件的澄清</w:t>
      </w:r>
    </w:p>
    <w:p w14:paraId="53475BB6">
      <w:pPr>
        <w:pStyle w:val="23"/>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为有利于对磋商响应文件的比较和评议，磋商小组可要求供应商对磋商响应文件进行澄清，必要时磋商小组可要求供应商对澄清的问题作出书面答复。</w:t>
      </w:r>
    </w:p>
    <w:p w14:paraId="53475BB7">
      <w:pPr>
        <w:pStyle w:val="23"/>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评审中需要供应商对磋商响应文件作出澄清、说明或者补正的，磋商小组和供应商应当通过广西政府采购云平台交换数据电文。给予供应商提交澄清说明或补正的时间不少于半小时，供应商已经明确表示澄清说明或补正完毕的除外。</w:t>
      </w:r>
    </w:p>
    <w:p w14:paraId="53475BB8">
      <w:pPr>
        <w:pStyle w:val="23"/>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供应商通过广西政府采购云平台交换的数据电文必须进行电子签章。</w:t>
      </w:r>
    </w:p>
    <w:p w14:paraId="53475BB9">
      <w:pPr>
        <w:pStyle w:val="23"/>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21．无效磋商的情形</w:t>
      </w:r>
    </w:p>
    <w:p w14:paraId="53475BBA">
      <w:pPr>
        <w:pStyle w:val="23"/>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磋商响应文件有下列情形之一的作无效磋商响应处理：</w:t>
      </w:r>
    </w:p>
    <w:p w14:paraId="53475BBB">
      <w:pPr>
        <w:pStyle w:val="23"/>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21.1未按照磋商文件规定要求签署、盖章的；</w:t>
      </w:r>
    </w:p>
    <w:p w14:paraId="53475BBC">
      <w:pPr>
        <w:pStyle w:val="23"/>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21.2单位负责人为同一人或者存在直接控股、管理关系的不同供应商参加同一合同项下的政府采购活动的（均无效）；</w:t>
      </w:r>
    </w:p>
    <w:p w14:paraId="53475BBD">
      <w:pPr>
        <w:pStyle w:val="23"/>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 xml:space="preserve">21.3为采购项目提供整体设计、规范编制或者项目管理、监理、检测等服务的供应商参加该采购项目的其他采购活动的； </w:t>
      </w:r>
    </w:p>
    <w:p w14:paraId="53475BBE">
      <w:pPr>
        <w:pStyle w:val="23"/>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21.4供应商不具备磋商文件中规定的资格要求的（供应商未提供有效的资格证明文件的，视为其不具备磋商文件中规定的资格要求）；</w:t>
      </w:r>
    </w:p>
    <w:p w14:paraId="53475BBF">
      <w:pPr>
        <w:pStyle w:val="23"/>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21</w:t>
      </w:r>
      <w:r>
        <w:rPr>
          <w:rFonts w:hAnsi="宋体" w:cs="Times New Roman"/>
          <w:color w:val="auto"/>
          <w:sz w:val="24"/>
          <w:szCs w:val="24"/>
          <w:highlight w:val="none"/>
        </w:rPr>
        <w:t xml:space="preserve">.5 </w:t>
      </w:r>
      <w:r>
        <w:rPr>
          <w:rFonts w:hint="eastAsia" w:hAnsi="宋体" w:cs="Times New Roman"/>
          <w:color w:val="auto"/>
          <w:sz w:val="24"/>
          <w:szCs w:val="24"/>
          <w:highlight w:val="none"/>
        </w:rPr>
        <w:t>《法定代表人身份证明书》与提供的身份证复印件信息不符的；《法定代表人授权委托书》与提供的身份证复印件信息不符的；</w:t>
      </w:r>
    </w:p>
    <w:p w14:paraId="53475BC0">
      <w:pPr>
        <w:pStyle w:val="23"/>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21.6《法定代表人授权委托书》或《法定代表人身份证明书》填写不全、错误、未加盖公章(《法定代表人授权委托书》要求“盖章”和“签字”缺一不可）的；</w:t>
      </w:r>
    </w:p>
    <w:p w14:paraId="53475BC1">
      <w:pPr>
        <w:pStyle w:val="23"/>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21.7磋商响应文件中的磋商响应函未加盖供应商的企业公章或填写不全的；</w:t>
      </w:r>
    </w:p>
    <w:p w14:paraId="53475BC2">
      <w:pPr>
        <w:pStyle w:val="23"/>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21.8报价一经涂改，未在涂改处加盖磋商响应单位公章或者未经法定代表人或授权代表签字或盖章的；</w:t>
      </w:r>
    </w:p>
    <w:p w14:paraId="53475BC3">
      <w:pPr>
        <w:pStyle w:val="23"/>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21.9磋商响应文件中未按磋商文件规定的格式填写，或未详细应答磋商服务（或技术或产品等要求），经磋商后仍无法详细应答或应答不完整有缺失，致使磋商小组无法评审的；</w:t>
      </w:r>
    </w:p>
    <w:p w14:paraId="53475BC4">
      <w:pPr>
        <w:pStyle w:val="23"/>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21.10出现同一标的物或本次磋商产品(服务)内的主要产品(重要组成部分)出现商务技术（资信）文件资料、报价文件资料描述不一致或前后描述不一致，经磋商小组认定后为无法评审的；</w:t>
      </w:r>
    </w:p>
    <w:p w14:paraId="53475BC5">
      <w:pPr>
        <w:pStyle w:val="23"/>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21.11磋商响应文件有采购人不能接受的条件；</w:t>
      </w:r>
    </w:p>
    <w:p w14:paraId="53475BC6">
      <w:pPr>
        <w:pStyle w:val="23"/>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21.12最后报价超过预算金额或上限价的；</w:t>
      </w:r>
    </w:p>
    <w:p w14:paraId="53475BC7">
      <w:pPr>
        <w:pStyle w:val="23"/>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21.13磋商小组认定有重大偏差或实质性不响应磋商文件要求的；</w:t>
      </w:r>
    </w:p>
    <w:p w14:paraId="53475BC8">
      <w:pPr>
        <w:pStyle w:val="23"/>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21.14采购人拟采购的产品属于政府强制采购的节能产品品目清单范围的，供应商未按磋商文件要求提供国家确定的认证机构出具的、处于有效期之内的节能产品认证证书的；</w:t>
      </w:r>
    </w:p>
    <w:p w14:paraId="53475BC9">
      <w:pPr>
        <w:pStyle w:val="23"/>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21.15《报价一览表》填写不完整或字迹不能辨认或有漏项的；</w:t>
      </w:r>
    </w:p>
    <w:p w14:paraId="53475BCA">
      <w:pPr>
        <w:pStyle w:val="23"/>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21.16供应商对根据修正原则修正后的报价不确认的；</w:t>
      </w:r>
    </w:p>
    <w:p w14:paraId="53475BCB">
      <w:pPr>
        <w:pStyle w:val="23"/>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21.17供应商提供虚假材料磋商的（包括但不限于以下情节）；</w:t>
      </w:r>
    </w:p>
    <w:p w14:paraId="53475BCC">
      <w:pPr>
        <w:pStyle w:val="23"/>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21.17.1使用伪造、变造的许可证件；</w:t>
      </w:r>
    </w:p>
    <w:p w14:paraId="53475BCD">
      <w:pPr>
        <w:pStyle w:val="23"/>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21.17.2提供虚假的财务状况或者业绩；</w:t>
      </w:r>
    </w:p>
    <w:p w14:paraId="53475BCE">
      <w:pPr>
        <w:pStyle w:val="23"/>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21.17.3提供虚假的项目负责人或者主要技术人员简历、劳动关系证明；</w:t>
      </w:r>
    </w:p>
    <w:p w14:paraId="53475BCF">
      <w:pPr>
        <w:pStyle w:val="23"/>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21.17.4提供虚假的信用状况；</w:t>
      </w:r>
    </w:p>
    <w:p w14:paraId="53475BD0">
      <w:pPr>
        <w:pStyle w:val="23"/>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21.17.5其他弄虚作假的行为。</w:t>
      </w:r>
    </w:p>
    <w:p w14:paraId="53475BD1">
      <w:pPr>
        <w:pStyle w:val="23"/>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21.18有下列情形之一的，视为供应商串通磋商，其磋商无效：</w:t>
      </w:r>
    </w:p>
    <w:p w14:paraId="53475BD2">
      <w:pPr>
        <w:pStyle w:val="23"/>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21.18.1不同供应商的磋商响应文件由同一单位或者个人编制；</w:t>
      </w:r>
    </w:p>
    <w:p w14:paraId="53475BD3">
      <w:pPr>
        <w:pStyle w:val="23"/>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21.18.2不同供应商委托同一单位或者个人办理磋商事宜；</w:t>
      </w:r>
    </w:p>
    <w:p w14:paraId="53475BD4">
      <w:pPr>
        <w:pStyle w:val="23"/>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21.18.3不同供应商的磋商响应文件载明的项目管理成员或者联系人员为同一人；</w:t>
      </w:r>
    </w:p>
    <w:p w14:paraId="53475BD5">
      <w:pPr>
        <w:pStyle w:val="23"/>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21.18.4不同供应商的磋商响应文件异常一致或者磋商报价呈规律性差异；</w:t>
      </w:r>
    </w:p>
    <w:p w14:paraId="53475BD6">
      <w:pPr>
        <w:pStyle w:val="23"/>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21.18.5不同供应商的磋商响应文件相互混装；</w:t>
      </w:r>
    </w:p>
    <w:p w14:paraId="53475BD7">
      <w:pPr>
        <w:pStyle w:val="23"/>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21.19有下列情形之一的，属于恶意串通，其磋商无效：</w:t>
      </w:r>
    </w:p>
    <w:p w14:paraId="53475BD8">
      <w:pPr>
        <w:pStyle w:val="23"/>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21.19.1供应商直接或者间接从采购人或者采购机构处获得其他供应商的相关情况并修改其磋商文件或者响应文件；</w:t>
      </w:r>
    </w:p>
    <w:p w14:paraId="53475BD9">
      <w:pPr>
        <w:pStyle w:val="23"/>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21.19.2供应商按照采购人或者采购机构的授意撤换、修改磋商文件或者响应文件；</w:t>
      </w:r>
    </w:p>
    <w:p w14:paraId="53475BDA">
      <w:pPr>
        <w:pStyle w:val="23"/>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21.19.3供应商之间协商报价、技术方案等磋商文件或者响应文件的实质性内容；</w:t>
      </w:r>
    </w:p>
    <w:p w14:paraId="53475BDB">
      <w:pPr>
        <w:pStyle w:val="23"/>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21.19.4属于同一集团、协会、商会等组织成员的供应商按照该组织要求协同参加政府采购活动；</w:t>
      </w:r>
    </w:p>
    <w:p w14:paraId="53475BDC">
      <w:pPr>
        <w:pStyle w:val="23"/>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21.19.5供应商之间事先约定由某一特定供应商成交；</w:t>
      </w:r>
    </w:p>
    <w:p w14:paraId="53475BDD">
      <w:pPr>
        <w:pStyle w:val="23"/>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21.19.6供应商之间商定部分供应商放弃参加政府采购活动或者放弃成交；</w:t>
      </w:r>
    </w:p>
    <w:p w14:paraId="53475BDE">
      <w:pPr>
        <w:pStyle w:val="23"/>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21.19.7供应商与采购人或者采购机构之间、供应商相互之间，为谋求特定供应商成交或者排斥其他供应商的其他串通行为。</w:t>
      </w:r>
    </w:p>
    <w:p w14:paraId="53475BDF">
      <w:pPr>
        <w:pStyle w:val="23"/>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21.20其他违反法律、法规的情形。</w:t>
      </w:r>
    </w:p>
    <w:p w14:paraId="53475BE0">
      <w:pPr>
        <w:pStyle w:val="23"/>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22. 磋商过程保密</w:t>
      </w:r>
    </w:p>
    <w:p w14:paraId="53475BE1">
      <w:pPr>
        <w:pStyle w:val="23"/>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22.1磋商活动在严格保密的情况下进行。磋商过程中凡是与磋商响应文件评审和比较、成交供应商推荐等磋商有关的情况和评审文件的，以及涉及国家秘密和商业秘密等信息，磋商小组成员、采购人和采购机构工作人员、相关监督人员等与评审有关的人员应当予以保密。</w:t>
      </w:r>
    </w:p>
    <w:p w14:paraId="53475BE2">
      <w:pPr>
        <w:pStyle w:val="23"/>
        <w:adjustRightInd w:val="0"/>
        <w:snapToGrid w:val="0"/>
        <w:spacing w:line="360" w:lineRule="auto"/>
        <w:ind w:firstLine="480" w:firstLineChars="200"/>
        <w:rPr>
          <w:rFonts w:hAnsi="宋体"/>
          <w:color w:val="auto"/>
          <w:sz w:val="24"/>
          <w:szCs w:val="24"/>
          <w:highlight w:val="none"/>
        </w:rPr>
      </w:pPr>
      <w:r>
        <w:rPr>
          <w:rFonts w:hint="eastAsia" w:hAnsi="宋体" w:cs="Times New Roman"/>
          <w:color w:val="auto"/>
          <w:sz w:val="24"/>
          <w:szCs w:val="24"/>
          <w:highlight w:val="none"/>
        </w:rPr>
        <w:t>22.2 在磋商期间，供应商企图影响采购人、集中采购机构或磋商小组的任何活动，都将导致磋商被拒绝，并由其承担相应的法律责任。</w:t>
      </w:r>
    </w:p>
    <w:p w14:paraId="53475BE3">
      <w:pPr>
        <w:adjustRightInd w:val="0"/>
        <w:snapToGrid w:val="0"/>
        <w:spacing w:line="360" w:lineRule="auto"/>
        <w:ind w:firstLine="482" w:firstLineChars="200"/>
        <w:rPr>
          <w:rFonts w:ascii="宋体" w:hAnsi="宋体"/>
          <w:b/>
          <w:color w:val="auto"/>
          <w:sz w:val="24"/>
          <w:highlight w:val="none"/>
        </w:rPr>
      </w:pPr>
      <w:r>
        <w:rPr>
          <w:rFonts w:hint="eastAsia" w:ascii="宋体" w:hAnsi="宋体"/>
          <w:b/>
          <w:color w:val="auto"/>
          <w:sz w:val="24"/>
          <w:highlight w:val="none"/>
        </w:rPr>
        <w:t>六、确定成交供应商办法</w:t>
      </w:r>
    </w:p>
    <w:p w14:paraId="53475BE4">
      <w:pPr>
        <w:widowControl/>
        <w:adjustRightInd w:val="0"/>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kern w:val="0"/>
          <w:sz w:val="24"/>
          <w:highlight w:val="none"/>
        </w:rPr>
        <w:t>23.1根据以下原则确定成交供应商：</w:t>
      </w:r>
      <w:r>
        <w:rPr>
          <w:rFonts w:ascii="宋体" w:hAnsi="宋体" w:cs="宋体"/>
          <w:color w:val="auto"/>
          <w:sz w:val="24"/>
          <w:highlight w:val="none"/>
        </w:rPr>
        <w:t>确定成交供应商。采购代理机构应当在评审结束后2个工作日内将评审报告送采购人确认。采购人应当在收到评审报告后</w:t>
      </w:r>
      <w:r>
        <w:rPr>
          <w:rFonts w:hint="eastAsia" w:ascii="宋体" w:hAnsi="宋体" w:cs="宋体"/>
          <w:color w:val="auto"/>
          <w:sz w:val="24"/>
          <w:highlight w:val="none"/>
        </w:rPr>
        <w:t>2</w:t>
      </w:r>
      <w:r>
        <w:rPr>
          <w:rFonts w:ascii="宋体" w:hAnsi="宋体" w:cs="宋体"/>
          <w:color w:val="auto"/>
          <w:sz w:val="24"/>
          <w:highlight w:val="none"/>
        </w:rPr>
        <w:t>个工作日内，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14:paraId="53475BE5">
      <w:pPr>
        <w:pStyle w:val="23"/>
        <w:adjustRightInd w:val="0"/>
        <w:snapToGrid w:val="0"/>
        <w:spacing w:line="360" w:lineRule="auto"/>
        <w:ind w:firstLine="482" w:firstLineChars="200"/>
        <w:rPr>
          <w:rFonts w:hAnsi="宋体"/>
          <w:b/>
          <w:color w:val="auto"/>
          <w:sz w:val="24"/>
          <w:szCs w:val="24"/>
          <w:highlight w:val="none"/>
        </w:rPr>
      </w:pPr>
      <w:r>
        <w:rPr>
          <w:rFonts w:hint="eastAsia" w:hAnsi="宋体"/>
          <w:b/>
          <w:color w:val="auto"/>
          <w:sz w:val="24"/>
          <w:szCs w:val="24"/>
          <w:highlight w:val="none"/>
        </w:rPr>
        <w:t>七、成交结果公告</w:t>
      </w:r>
    </w:p>
    <w:p w14:paraId="53475BE6">
      <w:pPr>
        <w:adjustRightInd w:val="0"/>
        <w:spacing w:line="360" w:lineRule="auto"/>
        <w:ind w:firstLine="480" w:firstLineChars="200"/>
        <w:rPr>
          <w:rFonts w:ascii="宋体" w:hAnsi="宋体" w:cs="宋体"/>
          <w:color w:val="auto"/>
          <w:sz w:val="24"/>
          <w:highlight w:val="none"/>
        </w:rPr>
      </w:pPr>
      <w:r>
        <w:rPr>
          <w:rFonts w:hint="eastAsia" w:ascii="宋体" w:hAnsi="宋体"/>
          <w:color w:val="auto"/>
          <w:sz w:val="24"/>
          <w:szCs w:val="21"/>
          <w:highlight w:val="none"/>
        </w:rPr>
        <w:t>24.1自</w:t>
      </w:r>
      <w:r>
        <w:rPr>
          <w:rFonts w:ascii="宋体" w:hAnsi="宋体" w:cs="宋体"/>
          <w:color w:val="auto"/>
          <w:sz w:val="24"/>
          <w:highlight w:val="none"/>
        </w:rPr>
        <w:t>成交供应商</w:t>
      </w:r>
      <w:r>
        <w:rPr>
          <w:rFonts w:hint="eastAsia" w:ascii="宋体" w:hAnsi="宋体"/>
          <w:color w:val="auto"/>
          <w:sz w:val="24"/>
          <w:szCs w:val="21"/>
          <w:highlight w:val="none"/>
        </w:rPr>
        <w:t>确定之日起2个工作日内，采购代理机构通过电子交易平台向</w:t>
      </w:r>
      <w:r>
        <w:rPr>
          <w:rFonts w:ascii="宋体" w:hAnsi="宋体" w:cs="宋体"/>
          <w:color w:val="auto"/>
          <w:sz w:val="24"/>
          <w:highlight w:val="none"/>
        </w:rPr>
        <w:t>成交供应商</w:t>
      </w:r>
      <w:r>
        <w:rPr>
          <w:rFonts w:hint="eastAsia" w:ascii="宋体" w:hAnsi="宋体"/>
          <w:color w:val="auto"/>
          <w:sz w:val="24"/>
          <w:szCs w:val="21"/>
          <w:highlight w:val="none"/>
        </w:rPr>
        <w:t>发出成交通知书，</w:t>
      </w:r>
      <w:r>
        <w:rPr>
          <w:rFonts w:hint="eastAsia" w:ascii="宋体" w:hAnsi="宋体" w:cs="宋体"/>
          <w:color w:val="auto"/>
          <w:sz w:val="24"/>
          <w:highlight w:val="none"/>
        </w:rPr>
        <w:t>同时编制发布采购</w:t>
      </w:r>
      <w:r>
        <w:rPr>
          <w:rFonts w:hint="eastAsia" w:ascii="宋体" w:hAnsi="宋体"/>
          <w:color w:val="auto"/>
          <w:sz w:val="24"/>
          <w:szCs w:val="21"/>
          <w:highlight w:val="none"/>
        </w:rPr>
        <w:t>成交结果公告。</w:t>
      </w:r>
    </w:p>
    <w:p w14:paraId="53475BE7">
      <w:pPr>
        <w:adjustRightInd w:val="0"/>
        <w:spacing w:line="360" w:lineRule="auto"/>
        <w:ind w:firstLine="480" w:firstLineChars="200"/>
        <w:rPr>
          <w:rFonts w:ascii="宋体" w:hAnsi="宋体"/>
          <w:color w:val="auto"/>
          <w:sz w:val="24"/>
          <w:szCs w:val="21"/>
          <w:highlight w:val="none"/>
        </w:rPr>
      </w:pPr>
      <w:r>
        <w:rPr>
          <w:rFonts w:hint="eastAsia" w:ascii="宋体" w:hAnsi="宋体" w:cs="宋体"/>
          <w:color w:val="auto"/>
          <w:sz w:val="24"/>
          <w:highlight w:val="none"/>
        </w:rPr>
        <w:t>24.2</w:t>
      </w:r>
      <w:r>
        <w:rPr>
          <w:rFonts w:hint="eastAsia" w:ascii="宋体" w:hAnsi="宋体"/>
          <w:color w:val="auto"/>
          <w:sz w:val="24"/>
          <w:szCs w:val="21"/>
          <w:highlight w:val="none"/>
        </w:rPr>
        <w:t>成交</w:t>
      </w:r>
      <w:r>
        <w:rPr>
          <w:rFonts w:hint="eastAsia" w:ascii="宋体" w:hAnsi="宋体" w:cs="仿宋_GB2312"/>
          <w:color w:val="auto"/>
          <w:sz w:val="24"/>
          <w:highlight w:val="none"/>
        </w:rPr>
        <w:t>结果公告内容包括</w:t>
      </w:r>
      <w:r>
        <w:rPr>
          <w:rFonts w:hint="eastAsia" w:ascii="宋体" w:hAnsi="宋体" w:cs="宋体"/>
          <w:color w:val="auto"/>
          <w:sz w:val="24"/>
          <w:highlight w:val="none"/>
        </w:rPr>
        <w:t>采购人及其委托的采购代理机构的名称、地址、联系方式，项目名称和项目编号，</w:t>
      </w:r>
      <w:r>
        <w:rPr>
          <w:rFonts w:ascii="宋体" w:hAnsi="宋体" w:cs="宋体"/>
          <w:color w:val="auto"/>
          <w:sz w:val="24"/>
          <w:highlight w:val="none"/>
        </w:rPr>
        <w:t>成交供应商</w:t>
      </w:r>
      <w:r>
        <w:rPr>
          <w:rFonts w:hint="eastAsia" w:ascii="宋体" w:hAnsi="宋体" w:cs="宋体"/>
          <w:color w:val="auto"/>
          <w:sz w:val="24"/>
          <w:highlight w:val="none"/>
        </w:rPr>
        <w:t>名称、地址和成交金额，主要成交标的的名称、规格型号、数量、单价、服务要求，</w:t>
      </w:r>
      <w:bookmarkStart w:id="28" w:name="_Hlk101184471"/>
      <w:r>
        <w:rPr>
          <w:rFonts w:hint="eastAsia" w:ascii="宋体" w:hAnsi="宋体" w:cs="宋体"/>
          <w:color w:val="auto"/>
          <w:sz w:val="24"/>
          <w:highlight w:val="none"/>
        </w:rPr>
        <w:t>评审专家抽取规则、</w:t>
      </w:r>
      <w:bookmarkEnd w:id="28"/>
      <w:r>
        <w:rPr>
          <w:rFonts w:hint="eastAsia" w:ascii="宋体" w:hAnsi="宋体" w:cs="宋体"/>
          <w:color w:val="auto"/>
          <w:sz w:val="24"/>
          <w:highlight w:val="none"/>
        </w:rPr>
        <w:t>未成交情况说明、成交公告期限以及评审专家名单、成交供应商和未成交供应商的评审总得分及排名。</w:t>
      </w:r>
    </w:p>
    <w:p w14:paraId="53475BE8">
      <w:pPr>
        <w:adjustRightInd w:val="0"/>
        <w:spacing w:line="360" w:lineRule="auto"/>
        <w:ind w:firstLine="480" w:firstLineChars="200"/>
        <w:rPr>
          <w:rFonts w:ascii="宋体" w:hAnsi="宋体"/>
          <w:color w:val="auto"/>
          <w:sz w:val="24"/>
          <w:szCs w:val="21"/>
          <w:highlight w:val="none"/>
        </w:rPr>
      </w:pPr>
      <w:r>
        <w:rPr>
          <w:rFonts w:hint="eastAsia" w:ascii="宋体" w:hAnsi="宋体"/>
          <w:color w:val="auto"/>
          <w:sz w:val="24"/>
          <w:szCs w:val="21"/>
          <w:highlight w:val="none"/>
        </w:rPr>
        <w:t>24.3公告期限为1个工作日。</w:t>
      </w:r>
    </w:p>
    <w:p w14:paraId="53475BE9">
      <w:pPr>
        <w:pStyle w:val="23"/>
        <w:adjustRightInd w:val="0"/>
        <w:snapToGrid w:val="0"/>
        <w:spacing w:line="360" w:lineRule="auto"/>
        <w:ind w:firstLine="482" w:firstLineChars="200"/>
        <w:rPr>
          <w:rFonts w:hAnsi="宋体"/>
          <w:b/>
          <w:color w:val="auto"/>
          <w:sz w:val="24"/>
          <w:szCs w:val="24"/>
          <w:highlight w:val="none"/>
        </w:rPr>
      </w:pPr>
      <w:r>
        <w:rPr>
          <w:rFonts w:hint="eastAsia" w:hAnsi="宋体"/>
          <w:b/>
          <w:color w:val="auto"/>
          <w:sz w:val="24"/>
          <w:szCs w:val="24"/>
          <w:highlight w:val="none"/>
        </w:rPr>
        <w:t>八、履约保证金</w:t>
      </w:r>
    </w:p>
    <w:p w14:paraId="53475BEA">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不收取。</w:t>
      </w:r>
    </w:p>
    <w:p w14:paraId="53475BEB">
      <w:pPr>
        <w:adjustRightInd w:val="0"/>
        <w:snapToGrid w:val="0"/>
        <w:spacing w:line="360" w:lineRule="auto"/>
        <w:ind w:firstLine="482" w:firstLineChars="200"/>
        <w:rPr>
          <w:rFonts w:ascii="宋体" w:hAnsi="宋体"/>
          <w:b/>
          <w:color w:val="auto"/>
          <w:sz w:val="24"/>
          <w:highlight w:val="none"/>
        </w:rPr>
      </w:pPr>
      <w:r>
        <w:rPr>
          <w:rFonts w:hint="eastAsia" w:ascii="宋体" w:hAnsi="宋体"/>
          <w:b/>
          <w:color w:val="auto"/>
          <w:sz w:val="24"/>
          <w:highlight w:val="none"/>
        </w:rPr>
        <w:t>九、签订合同</w:t>
      </w:r>
    </w:p>
    <w:p w14:paraId="53475BEC">
      <w:pPr>
        <w:adjustRightInd w:val="0"/>
        <w:snapToGrid w:val="0"/>
        <w:spacing w:line="360" w:lineRule="auto"/>
        <w:ind w:firstLine="480" w:firstLineChars="200"/>
        <w:rPr>
          <w:rFonts w:ascii="宋体" w:hAnsi="宋体" w:cs="Courier New"/>
          <w:bCs/>
          <w:color w:val="auto"/>
          <w:sz w:val="24"/>
          <w:highlight w:val="none"/>
        </w:rPr>
      </w:pPr>
      <w:r>
        <w:rPr>
          <w:rFonts w:hint="eastAsia" w:ascii="宋体" w:hAnsi="宋体" w:cs="Courier New"/>
          <w:bCs/>
          <w:color w:val="auto"/>
          <w:sz w:val="24"/>
          <w:highlight w:val="none"/>
        </w:rPr>
        <w:t>26.1成交通知书发出后，采购人不得违法改变成交结果，成交供应商无正当理由不得放弃成交，否则，按政府采购采购相关规定处理。</w:t>
      </w:r>
    </w:p>
    <w:p w14:paraId="53475BED">
      <w:pPr>
        <w:adjustRightInd w:val="0"/>
        <w:snapToGrid w:val="0"/>
        <w:spacing w:line="360" w:lineRule="auto"/>
        <w:ind w:firstLine="480" w:firstLineChars="200"/>
        <w:rPr>
          <w:rFonts w:ascii="宋体" w:hAnsi="宋体" w:cs="Courier New"/>
          <w:bCs/>
          <w:color w:val="auto"/>
          <w:sz w:val="24"/>
          <w:highlight w:val="none"/>
        </w:rPr>
      </w:pPr>
      <w:r>
        <w:rPr>
          <w:rFonts w:hint="eastAsia" w:ascii="宋体" w:hAnsi="宋体" w:cs="Courier New"/>
          <w:bCs/>
          <w:color w:val="auto"/>
          <w:sz w:val="24"/>
          <w:highlight w:val="none"/>
        </w:rPr>
        <w:t>26.2成交供应商拒绝与采购人签订合同或因不可抗力或者自身原因不能履行采购合同的，采购人可以与成交供应商之后排名第一的成交候选供应商签订采购合同，以此类推,也可以重新采购。成交供应商放弃成交项目，拒绝与采购人签订合同的，给采购人造成损失的，应当赔偿损失，并作为不良行为记录在案。</w:t>
      </w:r>
    </w:p>
    <w:p w14:paraId="53475BEE">
      <w:pPr>
        <w:adjustRightInd w:val="0"/>
        <w:snapToGrid w:val="0"/>
        <w:spacing w:line="360" w:lineRule="auto"/>
        <w:ind w:firstLine="480" w:firstLineChars="200"/>
        <w:rPr>
          <w:rFonts w:ascii="宋体" w:hAnsi="宋体" w:cs="Courier New"/>
          <w:bCs/>
          <w:color w:val="auto"/>
          <w:sz w:val="24"/>
          <w:highlight w:val="none"/>
        </w:rPr>
      </w:pPr>
      <w:r>
        <w:rPr>
          <w:rFonts w:hint="eastAsia" w:ascii="宋体" w:hAnsi="宋体" w:cs="Courier New"/>
          <w:bCs/>
          <w:color w:val="auto"/>
          <w:sz w:val="24"/>
          <w:highlight w:val="none"/>
        </w:rPr>
        <w:t>26.3采购人应当自成交通知书发出之日起25日内，按照磋商采购文件和成交供应商磋商响应文件的规定，与成交供应商签订书面合同。所签订的合同不得对磋商采购文件确定的事项和成交供应商磋商响应文件作实质性修改。采购人不得向成交供应商提出任何不合理的要求作为签订合同的条件。</w:t>
      </w:r>
    </w:p>
    <w:p w14:paraId="53475BEF">
      <w:pPr>
        <w:adjustRightInd w:val="0"/>
        <w:snapToGrid w:val="0"/>
        <w:spacing w:line="360" w:lineRule="auto"/>
        <w:ind w:firstLine="480" w:firstLineChars="200"/>
        <w:rPr>
          <w:rFonts w:ascii="宋体" w:hAnsi="宋体" w:cs="Courier New"/>
          <w:bCs/>
          <w:color w:val="auto"/>
          <w:sz w:val="24"/>
          <w:highlight w:val="none"/>
        </w:rPr>
      </w:pPr>
      <w:r>
        <w:rPr>
          <w:rFonts w:hint="eastAsia" w:ascii="宋体" w:hAnsi="宋体" w:cs="Courier New"/>
          <w:bCs/>
          <w:color w:val="auto"/>
          <w:sz w:val="24"/>
          <w:highlight w:val="none"/>
        </w:rPr>
        <w:t>26.4政府采购合同应当包括采购人与成交供应商的名称和住所、标的、数量、质量、价款或者报酬、履行期限及地点和方式、验收要求、违约责任、解决争议的方法等内容。政府采购合同签订当日，将政府采购合同送本代理机构备案。</w:t>
      </w:r>
    </w:p>
    <w:p w14:paraId="53475BF0">
      <w:pPr>
        <w:adjustRightInd w:val="0"/>
        <w:snapToGrid w:val="0"/>
        <w:spacing w:line="360" w:lineRule="auto"/>
        <w:ind w:firstLine="480" w:firstLineChars="200"/>
        <w:rPr>
          <w:rFonts w:ascii="宋体" w:hAnsi="宋体" w:cs="Courier New"/>
          <w:bCs/>
          <w:color w:val="auto"/>
          <w:sz w:val="24"/>
          <w:highlight w:val="none"/>
        </w:rPr>
      </w:pPr>
      <w:r>
        <w:rPr>
          <w:rFonts w:hint="eastAsia" w:ascii="宋体" w:hAnsi="宋体" w:cs="Courier New"/>
          <w:bCs/>
          <w:color w:val="auto"/>
          <w:sz w:val="24"/>
          <w:highlight w:val="none"/>
        </w:rPr>
        <w:t>26.5采购人与成交供应商应当根据合同的约定依法履行合同义务。政府采购合同的履行、违约责任和解决争议的方法等适用《中华人民共和国民法典》。</w:t>
      </w:r>
    </w:p>
    <w:p w14:paraId="53475BF1">
      <w:pPr>
        <w:adjustRightInd w:val="0"/>
        <w:snapToGrid w:val="0"/>
        <w:spacing w:line="360" w:lineRule="auto"/>
        <w:ind w:firstLine="480" w:firstLineChars="200"/>
        <w:rPr>
          <w:rFonts w:ascii="宋体" w:hAnsi="宋体" w:cs="Courier New"/>
          <w:bCs/>
          <w:color w:val="auto"/>
          <w:sz w:val="24"/>
          <w:highlight w:val="none"/>
        </w:rPr>
      </w:pPr>
      <w:r>
        <w:rPr>
          <w:rFonts w:hint="eastAsia" w:ascii="宋体" w:hAnsi="宋体" w:cs="Courier New"/>
          <w:bCs/>
          <w:color w:val="auto"/>
          <w:sz w:val="24"/>
          <w:highlight w:val="none"/>
        </w:rPr>
        <w:t>26.6采购人应当及时对采购项目进行验收。采购人可以邀请参加本项目的其他供应商或者第三方机构参与验收。参与验收的供应商或者第三方机构的意见作为验收书的参考资料一并存档。</w:t>
      </w:r>
    </w:p>
    <w:p w14:paraId="53475BF2">
      <w:pPr>
        <w:adjustRightInd w:val="0"/>
        <w:snapToGrid w:val="0"/>
        <w:spacing w:line="360" w:lineRule="auto"/>
        <w:ind w:firstLine="480" w:firstLineChars="200"/>
        <w:rPr>
          <w:rFonts w:ascii="宋体" w:hAnsi="宋体" w:cs="Courier New"/>
          <w:bCs/>
          <w:color w:val="auto"/>
          <w:sz w:val="24"/>
          <w:highlight w:val="none"/>
        </w:rPr>
      </w:pPr>
      <w:r>
        <w:rPr>
          <w:rFonts w:hint="eastAsia" w:ascii="宋体" w:hAnsi="宋体" w:cs="Courier New"/>
          <w:bCs/>
          <w:color w:val="auto"/>
          <w:sz w:val="24"/>
          <w:highlight w:val="none"/>
        </w:rPr>
        <w:t>26.7采购人应当加强对成交供应商的履约管理，并按照采购合同约定，及时向成交供应商支付采购资金。对于成交供应商违反采购合同约定的行为，采购人应当及时处理，依法追究其违约责任。</w:t>
      </w:r>
    </w:p>
    <w:p w14:paraId="53475BF3">
      <w:pPr>
        <w:pStyle w:val="96"/>
        <w:snapToGrid w:val="0"/>
        <w:spacing w:before="0"/>
        <w:ind w:firstLine="480"/>
        <w:rPr>
          <w:rFonts w:ascii="宋体" w:hAnsi="宋体" w:cs="宋体"/>
          <w:color w:val="auto"/>
          <w:highlight w:val="none"/>
        </w:rPr>
      </w:pPr>
      <w:r>
        <w:rPr>
          <w:rFonts w:hint="eastAsia" w:ascii="宋体" w:hAnsi="宋体"/>
          <w:bCs/>
          <w:color w:val="auto"/>
          <w:szCs w:val="24"/>
          <w:highlight w:val="none"/>
        </w:rPr>
        <w:t>26.</w:t>
      </w:r>
      <w:r>
        <w:rPr>
          <w:rFonts w:hint="eastAsia" w:ascii="宋体" w:hAnsi="宋体" w:cs="宋体"/>
          <w:color w:val="auto"/>
          <w:szCs w:val="24"/>
          <w:highlight w:val="none"/>
        </w:rPr>
        <w:t>8</w:t>
      </w:r>
      <w:r>
        <w:rPr>
          <w:rFonts w:hint="eastAsia" w:ascii="宋体" w:hAnsi="宋体" w:cs="宋体"/>
          <w:color w:val="auto"/>
          <w:highlight w:val="none"/>
        </w:rPr>
        <w:t>政采贷</w:t>
      </w:r>
    </w:p>
    <w:p w14:paraId="53475BF4">
      <w:pPr>
        <w:adjustRightInd w:val="0"/>
        <w:snapToGrid w:val="0"/>
        <w:spacing w:line="360" w:lineRule="auto"/>
        <w:ind w:firstLine="480" w:firstLineChars="200"/>
        <w:rPr>
          <w:rFonts w:ascii="宋体" w:hAnsi="宋体" w:cs="宋体"/>
          <w:color w:val="auto"/>
          <w:sz w:val="24"/>
          <w:szCs w:val="20"/>
          <w:highlight w:val="none"/>
        </w:rPr>
      </w:pPr>
      <w:r>
        <w:rPr>
          <w:rFonts w:hint="eastAsia" w:ascii="宋体" w:hAnsi="宋体" w:cs="宋体"/>
          <w:color w:val="auto"/>
          <w:sz w:val="24"/>
          <w:szCs w:val="20"/>
          <w:highlight w:val="none"/>
        </w:rPr>
        <w:t>政府采购合同信用融资（以下简称“政采贷”），是指金融机构以政府采购中小微企业信用审查和政府采购信誉为基础，按优于一般企业的贷款程序和利率，依托政府采购合同或信用评估，直接向申请贷款的中小微企业发放无财产抵押贷款，或由北海市小微企业融资担保有限公司提供贷款担保的一种融资模式。办理的基本流程如下：</w:t>
      </w:r>
    </w:p>
    <w:p w14:paraId="53475BF5">
      <w:pPr>
        <w:adjustRightInd w:val="0"/>
        <w:snapToGrid w:val="0"/>
        <w:spacing w:line="360" w:lineRule="auto"/>
        <w:ind w:firstLine="480" w:firstLineChars="200"/>
        <w:rPr>
          <w:rFonts w:ascii="宋体" w:hAnsi="宋体" w:cs="宋体"/>
          <w:color w:val="auto"/>
          <w:sz w:val="24"/>
          <w:szCs w:val="20"/>
          <w:highlight w:val="none"/>
        </w:rPr>
      </w:pPr>
      <w:r>
        <w:rPr>
          <w:rFonts w:hint="eastAsia" w:ascii="宋体" w:hAnsi="宋体" w:cs="宋体"/>
          <w:color w:val="auto"/>
          <w:sz w:val="24"/>
          <w:szCs w:val="20"/>
          <w:highlight w:val="none"/>
        </w:rPr>
        <w:t>（一）融资申请。有融资需求的供应商取得《成交通知书》后，在签订采购合同前，向贷款金融机构递交融资申请表。成交供应商可以根据贷款需求等实际情况选择是否需要北海市小微企业融资担保有限公司提供担保增信，如需要提供担保增信则同时向北海市小微企业融资担保有限公司递交融资申请表。</w:t>
      </w:r>
    </w:p>
    <w:p w14:paraId="53475BF6">
      <w:pPr>
        <w:adjustRightInd w:val="0"/>
        <w:snapToGrid w:val="0"/>
        <w:spacing w:line="360" w:lineRule="auto"/>
        <w:ind w:firstLine="480" w:firstLineChars="200"/>
        <w:rPr>
          <w:rFonts w:ascii="宋体" w:hAnsi="宋体" w:cs="宋体"/>
          <w:color w:val="auto"/>
          <w:sz w:val="24"/>
          <w:szCs w:val="20"/>
          <w:highlight w:val="none"/>
        </w:rPr>
      </w:pPr>
      <w:r>
        <w:rPr>
          <w:rFonts w:hint="eastAsia" w:ascii="宋体" w:hAnsi="宋体" w:cs="宋体"/>
          <w:color w:val="auto"/>
          <w:sz w:val="24"/>
          <w:szCs w:val="20"/>
          <w:highlight w:val="none"/>
        </w:rPr>
        <w:t>（二）资料审查。贷款金融机构查看有融资需求供应商有关资料，进行贷前独立评审，决定是否提供融资或融资担保。双方达成融资意向后，确定融资方案和回款账户，供应商与采购单位签订《政府采购合同》，并将金融机构监管账户设定为合同收款账户。其中，需北海市小微企业融资担保有限公司提供担保增信的，还需北海市小微企业融资担保有限公司进行保前独立评审。</w:t>
      </w:r>
    </w:p>
    <w:p w14:paraId="53475BF7">
      <w:pPr>
        <w:adjustRightInd w:val="0"/>
        <w:snapToGrid w:val="0"/>
        <w:spacing w:line="360" w:lineRule="auto"/>
        <w:ind w:firstLine="480" w:firstLineChars="200"/>
        <w:rPr>
          <w:rFonts w:ascii="宋体" w:hAnsi="宋体" w:cs="宋体"/>
          <w:color w:val="auto"/>
          <w:sz w:val="24"/>
          <w:szCs w:val="20"/>
          <w:highlight w:val="none"/>
        </w:rPr>
      </w:pPr>
      <w:r>
        <w:rPr>
          <w:rFonts w:hint="eastAsia" w:ascii="宋体" w:hAnsi="宋体" w:cs="宋体"/>
          <w:color w:val="auto"/>
          <w:sz w:val="24"/>
          <w:szCs w:val="20"/>
          <w:highlight w:val="none"/>
        </w:rPr>
        <w:t>（三）签订贷款协议。无需北海市小微企业融资担保有限公司提供担保增信的，贷款金融机构查看采购合同信息，确认账户无误后，与供应商签订贷款协议。需要北海市小微企业融资担保有限公司提供担保增信的，由其与贷款金融机构查看采购合同信息，确认账户无误后，贷款金融机构与供应商签订贷款协议、北海市小微企业融资担保有限公司与供应商签订委托担保合同。</w:t>
      </w:r>
    </w:p>
    <w:p w14:paraId="53475BF8">
      <w:pPr>
        <w:adjustRightInd w:val="0"/>
        <w:snapToGrid w:val="0"/>
        <w:spacing w:line="360" w:lineRule="auto"/>
        <w:ind w:firstLine="480" w:firstLineChars="200"/>
        <w:rPr>
          <w:rFonts w:ascii="宋体" w:hAnsi="宋体" w:cs="宋体"/>
          <w:color w:val="auto"/>
          <w:sz w:val="24"/>
          <w:szCs w:val="20"/>
          <w:highlight w:val="none"/>
        </w:rPr>
      </w:pPr>
      <w:r>
        <w:rPr>
          <w:rFonts w:hint="eastAsia" w:ascii="宋体" w:hAnsi="宋体" w:cs="宋体"/>
          <w:color w:val="auto"/>
          <w:sz w:val="24"/>
          <w:szCs w:val="20"/>
          <w:highlight w:val="none"/>
        </w:rPr>
        <w:t>（四）贷款发放。贷款金融机构根据贷款协议向供应商发放贷款。</w:t>
      </w:r>
    </w:p>
    <w:p w14:paraId="53475BF9">
      <w:pPr>
        <w:adjustRightInd w:val="0"/>
        <w:snapToGrid w:val="0"/>
        <w:spacing w:line="360" w:lineRule="auto"/>
        <w:ind w:firstLine="480" w:firstLineChars="200"/>
        <w:rPr>
          <w:rFonts w:ascii="宋体" w:hAnsi="宋体" w:cs="宋体"/>
          <w:color w:val="auto"/>
          <w:sz w:val="24"/>
          <w:szCs w:val="20"/>
          <w:highlight w:val="none"/>
        </w:rPr>
      </w:pPr>
      <w:r>
        <w:rPr>
          <w:rFonts w:hint="eastAsia" w:ascii="宋体" w:hAnsi="宋体" w:cs="宋体"/>
          <w:color w:val="auto"/>
          <w:sz w:val="24"/>
          <w:szCs w:val="20"/>
          <w:highlight w:val="none"/>
        </w:rPr>
        <w:t>（五）按期还款。供应商获得贷款后应自觉履行政府采购合同，合同履行完毕后，采购单位根据合同约定时间和账户信息，严格按照财政资金管理的相关规定，及时将资金支付到采购合同收款账户。</w:t>
      </w:r>
    </w:p>
    <w:p w14:paraId="53475BFA">
      <w:pPr>
        <w:adjustRightInd w:val="0"/>
        <w:snapToGrid w:val="0"/>
        <w:spacing w:line="360" w:lineRule="auto"/>
        <w:ind w:firstLine="480" w:firstLineChars="200"/>
        <w:rPr>
          <w:rFonts w:ascii="宋体" w:hAnsi="宋体" w:cs="宋体"/>
          <w:color w:val="auto"/>
          <w:sz w:val="24"/>
          <w:szCs w:val="20"/>
          <w:highlight w:val="none"/>
        </w:rPr>
      </w:pPr>
      <w:r>
        <w:rPr>
          <w:rFonts w:hint="eastAsia" w:ascii="宋体" w:hAnsi="宋体" w:cs="宋体"/>
          <w:color w:val="auto"/>
          <w:sz w:val="24"/>
          <w:szCs w:val="20"/>
          <w:highlight w:val="none"/>
        </w:rPr>
        <w:t>（六）业务终止。贷款偿清后，贷款金融机构或北海市小微企业融资担保有限公司及时办理应收账款质押注销登记，业务终止。</w:t>
      </w:r>
    </w:p>
    <w:p w14:paraId="53475BFB">
      <w:pPr>
        <w:adjustRightInd w:val="0"/>
        <w:snapToGrid w:val="0"/>
        <w:spacing w:line="360" w:lineRule="auto"/>
        <w:ind w:firstLine="480" w:firstLineChars="200"/>
        <w:rPr>
          <w:rFonts w:ascii="宋体" w:hAnsi="宋体" w:cs="宋体"/>
          <w:color w:val="auto"/>
          <w:sz w:val="24"/>
          <w:szCs w:val="20"/>
          <w:highlight w:val="none"/>
        </w:rPr>
      </w:pPr>
      <w:r>
        <w:rPr>
          <w:rFonts w:hint="eastAsia" w:ascii="宋体" w:hAnsi="宋体" w:cs="宋体"/>
          <w:color w:val="auto"/>
          <w:sz w:val="24"/>
          <w:szCs w:val="20"/>
          <w:highlight w:val="none"/>
        </w:rPr>
        <w:t>注：相关合作银行的具体操作流程详见北海市政府采购中心首页“政采贷”板块。</w:t>
      </w:r>
    </w:p>
    <w:p w14:paraId="53475BFC">
      <w:pPr>
        <w:adjustRightInd w:val="0"/>
        <w:snapToGrid w:val="0"/>
        <w:spacing w:line="360" w:lineRule="auto"/>
        <w:ind w:firstLine="480" w:firstLineChars="200"/>
        <w:rPr>
          <w:rFonts w:ascii="宋体" w:hAnsi="宋体" w:cs="宋体"/>
          <w:color w:val="auto"/>
          <w:sz w:val="24"/>
          <w:szCs w:val="20"/>
          <w:highlight w:val="none"/>
        </w:rPr>
      </w:pPr>
      <w:r>
        <w:rPr>
          <w:rFonts w:hint="eastAsia" w:ascii="宋体" w:hAnsi="宋体" w:cs="宋体"/>
          <w:color w:val="auto"/>
          <w:sz w:val="24"/>
          <w:szCs w:val="20"/>
          <w:highlight w:val="none"/>
        </w:rPr>
        <w:t>对于列入《政府采购信用白名单》的供应商，在获取“政采贷”流水贷产品时给予更高的授信额度，在申请“政采贷”合同贷产品时，可享受较低的贷款利率，同时信用白名单供应商获得信贷时长进一步缩短。</w:t>
      </w:r>
    </w:p>
    <w:p w14:paraId="53475BFD">
      <w:pPr>
        <w:adjustRightInd w:val="0"/>
        <w:snapToGrid w:val="0"/>
        <w:spacing w:line="360" w:lineRule="auto"/>
        <w:ind w:firstLine="480" w:firstLineChars="200"/>
        <w:rPr>
          <w:rFonts w:ascii="宋体" w:hAnsi="宋体" w:cs="宋体"/>
          <w:color w:val="auto"/>
          <w:sz w:val="24"/>
          <w:szCs w:val="20"/>
          <w:highlight w:val="none"/>
        </w:rPr>
      </w:pPr>
      <w:r>
        <w:rPr>
          <w:rFonts w:hint="eastAsia" w:ascii="宋体" w:hAnsi="宋体" w:cs="宋体"/>
          <w:color w:val="auto"/>
          <w:sz w:val="24"/>
          <w:szCs w:val="20"/>
          <w:highlight w:val="none"/>
        </w:rPr>
        <w:t>供应商成交后可在“广西政府采购云”平台申请政采贷：操作路径：登录广西政府采购云平台-金融服务中心-【融资服务】，可在热门申请中选择产品直接申请。详见如下：</w:t>
      </w:r>
    </w:p>
    <w:p w14:paraId="53475BFE">
      <w:pPr>
        <w:adjustRightInd w:val="0"/>
        <w:snapToGrid w:val="0"/>
        <w:spacing w:line="360" w:lineRule="auto"/>
        <w:ind w:firstLine="482"/>
        <w:jc w:val="left"/>
        <w:rPr>
          <w:rFonts w:ascii="宋体" w:hAnsi="宋体"/>
          <w:color w:val="auto"/>
          <w:kern w:val="0"/>
          <w:sz w:val="24"/>
          <w:szCs w:val="20"/>
          <w:highlight w:val="none"/>
        </w:rPr>
      </w:pPr>
      <w:r>
        <w:rPr>
          <w:rFonts w:hint="eastAsia" w:ascii="宋体" w:hAnsi="宋体"/>
          <w:color w:val="auto"/>
          <w:kern w:val="0"/>
          <w:sz w:val="24"/>
          <w:szCs w:val="20"/>
          <w:highlight w:val="none"/>
        </w:rPr>
        <w:t>1.有贷款需求的供应商可以访问“广西政府采购云平台-金融服务-融资服务”栏目办理有关业务（链接：</w:t>
      </w:r>
      <w:r>
        <w:rPr>
          <w:color w:val="auto"/>
          <w:highlight w:val="none"/>
        </w:rPr>
        <w:fldChar w:fldCharType="begin"/>
      </w:r>
      <w:r>
        <w:rPr>
          <w:color w:val="auto"/>
          <w:highlight w:val="none"/>
        </w:rPr>
        <w:instrText xml:space="preserve"> HYPERLINK "https://jinrong.gcy.zfcg.gxzf.gov.cn/finance/loan/gx" </w:instrText>
      </w:r>
      <w:r>
        <w:rPr>
          <w:color w:val="auto"/>
          <w:highlight w:val="none"/>
        </w:rPr>
        <w:fldChar w:fldCharType="separate"/>
      </w:r>
      <w:r>
        <w:rPr>
          <w:rFonts w:ascii="宋体" w:hAnsi="宋体"/>
          <w:color w:val="auto"/>
          <w:kern w:val="0"/>
          <w:sz w:val="24"/>
          <w:szCs w:val="20"/>
          <w:highlight w:val="none"/>
        </w:rPr>
        <w:t>https</w:t>
      </w:r>
      <w:r>
        <w:rPr>
          <w:rFonts w:hint="eastAsia" w:ascii="宋体" w:hAnsi="宋体"/>
          <w:color w:val="auto"/>
          <w:kern w:val="0"/>
          <w:sz w:val="24"/>
          <w:szCs w:val="20"/>
          <w:highlight w:val="none"/>
          <w:lang w:eastAsia="zh-CN"/>
        </w:rPr>
        <w:t>：</w:t>
      </w:r>
      <w:r>
        <w:rPr>
          <w:rFonts w:ascii="宋体" w:hAnsi="宋体"/>
          <w:color w:val="auto"/>
          <w:kern w:val="0"/>
          <w:sz w:val="24"/>
          <w:szCs w:val="20"/>
          <w:highlight w:val="none"/>
        </w:rPr>
        <w:t>//jinrong.gcy.zfcg.gxzf.gov.cn/finance/loan/gx</w:t>
      </w:r>
      <w:r>
        <w:rPr>
          <w:rFonts w:ascii="宋体" w:hAnsi="宋体"/>
          <w:color w:val="auto"/>
          <w:kern w:val="0"/>
          <w:sz w:val="24"/>
          <w:szCs w:val="20"/>
          <w:highlight w:val="none"/>
        </w:rPr>
        <w:fldChar w:fldCharType="end"/>
      </w:r>
      <w:r>
        <w:rPr>
          <w:rFonts w:hint="eastAsia" w:ascii="宋体" w:hAnsi="宋体"/>
          <w:color w:val="auto"/>
          <w:kern w:val="0"/>
          <w:sz w:val="24"/>
          <w:szCs w:val="20"/>
          <w:highlight w:val="none"/>
        </w:rPr>
        <w:t>）</w:t>
      </w:r>
    </w:p>
    <w:p w14:paraId="53475BFF">
      <w:pPr>
        <w:adjustRightInd w:val="0"/>
        <w:snapToGrid w:val="0"/>
        <w:spacing w:line="360" w:lineRule="auto"/>
        <w:ind w:firstLine="482"/>
        <w:jc w:val="left"/>
        <w:rPr>
          <w:rFonts w:ascii="宋体" w:hAnsi="宋体"/>
          <w:color w:val="auto"/>
          <w:kern w:val="0"/>
          <w:sz w:val="24"/>
          <w:szCs w:val="20"/>
          <w:highlight w:val="none"/>
        </w:rPr>
      </w:pPr>
      <w:r>
        <w:rPr>
          <w:rFonts w:hint="eastAsia" w:ascii="宋体" w:hAnsi="宋体"/>
          <w:color w:val="auto"/>
          <w:kern w:val="0"/>
          <w:sz w:val="24"/>
          <w:szCs w:val="20"/>
          <w:highlight w:val="none"/>
        </w:rPr>
        <w:t>2.合作银行咨询办理</w:t>
      </w:r>
    </w:p>
    <w:tbl>
      <w:tblPr>
        <w:tblStyle w:val="3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1134"/>
        <w:gridCol w:w="1701"/>
        <w:gridCol w:w="993"/>
        <w:gridCol w:w="850"/>
        <w:gridCol w:w="3366"/>
      </w:tblGrid>
      <w:tr w14:paraId="53475C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53475C00">
            <w:pPr>
              <w:adjustRightInd w:val="0"/>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银行名称</w:t>
            </w:r>
          </w:p>
        </w:tc>
        <w:tc>
          <w:tcPr>
            <w:tcW w:w="1134" w:type="dxa"/>
            <w:vAlign w:val="center"/>
          </w:tcPr>
          <w:p w14:paraId="53475C01">
            <w:pPr>
              <w:adjustRightInd w:val="0"/>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联系电话</w:t>
            </w:r>
          </w:p>
        </w:tc>
        <w:tc>
          <w:tcPr>
            <w:tcW w:w="1701" w:type="dxa"/>
            <w:vAlign w:val="center"/>
          </w:tcPr>
          <w:p w14:paraId="53475C02">
            <w:pPr>
              <w:adjustRightInd w:val="0"/>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最高授信金额</w:t>
            </w:r>
          </w:p>
        </w:tc>
        <w:tc>
          <w:tcPr>
            <w:tcW w:w="993" w:type="dxa"/>
            <w:vAlign w:val="center"/>
          </w:tcPr>
          <w:p w14:paraId="53475C03">
            <w:pPr>
              <w:adjustRightInd w:val="0"/>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最长授信期限</w:t>
            </w:r>
          </w:p>
        </w:tc>
        <w:tc>
          <w:tcPr>
            <w:tcW w:w="850" w:type="dxa"/>
            <w:vAlign w:val="center"/>
          </w:tcPr>
          <w:p w14:paraId="53475C04">
            <w:pPr>
              <w:adjustRightInd w:val="0"/>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最低利率</w:t>
            </w:r>
          </w:p>
        </w:tc>
        <w:tc>
          <w:tcPr>
            <w:tcW w:w="3366" w:type="dxa"/>
            <w:vAlign w:val="center"/>
          </w:tcPr>
          <w:p w14:paraId="53475C05">
            <w:pPr>
              <w:adjustRightInd w:val="0"/>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流程简介</w:t>
            </w:r>
          </w:p>
        </w:tc>
      </w:tr>
      <w:tr w14:paraId="53475C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53475C07">
            <w:pPr>
              <w:adjustRightInd w:val="0"/>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建设银行</w:t>
            </w:r>
          </w:p>
        </w:tc>
        <w:tc>
          <w:tcPr>
            <w:tcW w:w="1134" w:type="dxa"/>
            <w:vAlign w:val="center"/>
          </w:tcPr>
          <w:p w14:paraId="53475C08">
            <w:pPr>
              <w:adjustRightInd w:val="0"/>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13077729988</w:t>
            </w:r>
          </w:p>
        </w:tc>
        <w:tc>
          <w:tcPr>
            <w:tcW w:w="1701" w:type="dxa"/>
            <w:vAlign w:val="center"/>
          </w:tcPr>
          <w:p w14:paraId="53475C09">
            <w:pPr>
              <w:adjustRightInd w:val="0"/>
              <w:snapToGrid w:val="0"/>
              <w:spacing w:line="360" w:lineRule="auto"/>
              <w:jc w:val="left"/>
              <w:rPr>
                <w:rFonts w:ascii="宋体" w:hAnsi="宋体"/>
                <w:color w:val="auto"/>
                <w:kern w:val="0"/>
                <w:sz w:val="24"/>
                <w:szCs w:val="20"/>
                <w:highlight w:val="none"/>
              </w:rPr>
            </w:pPr>
            <w:r>
              <w:rPr>
                <w:rFonts w:hint="eastAsia" w:ascii="宋体" w:hAnsi="宋体"/>
                <w:color w:val="auto"/>
                <w:kern w:val="0"/>
                <w:sz w:val="24"/>
                <w:szCs w:val="20"/>
                <w:highlight w:val="none"/>
              </w:rPr>
              <w:t>最高3千万</w:t>
            </w:r>
          </w:p>
        </w:tc>
        <w:tc>
          <w:tcPr>
            <w:tcW w:w="993" w:type="dxa"/>
            <w:vAlign w:val="center"/>
          </w:tcPr>
          <w:p w14:paraId="53475C0A">
            <w:pPr>
              <w:adjustRightInd w:val="0"/>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1年</w:t>
            </w:r>
          </w:p>
        </w:tc>
        <w:tc>
          <w:tcPr>
            <w:tcW w:w="850" w:type="dxa"/>
            <w:vAlign w:val="center"/>
          </w:tcPr>
          <w:p w14:paraId="53475C0B">
            <w:pPr>
              <w:adjustRightInd w:val="0"/>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4%</w:t>
            </w:r>
          </w:p>
        </w:tc>
        <w:tc>
          <w:tcPr>
            <w:tcW w:w="3366" w:type="dxa"/>
            <w:vAlign w:val="center"/>
          </w:tcPr>
          <w:p w14:paraId="53475C0C">
            <w:pPr>
              <w:adjustRightInd w:val="0"/>
              <w:snapToGrid w:val="0"/>
              <w:spacing w:line="360" w:lineRule="auto"/>
              <w:jc w:val="left"/>
              <w:rPr>
                <w:rFonts w:ascii="宋体" w:hAnsi="宋体"/>
                <w:color w:val="auto"/>
                <w:kern w:val="0"/>
                <w:sz w:val="24"/>
                <w:szCs w:val="20"/>
                <w:highlight w:val="none"/>
              </w:rPr>
            </w:pPr>
            <w:r>
              <w:rPr>
                <w:rFonts w:hint="eastAsia" w:ascii="宋体" w:hAnsi="宋体"/>
                <w:color w:val="auto"/>
                <w:kern w:val="0"/>
                <w:sz w:val="24"/>
                <w:szCs w:val="20"/>
                <w:highlight w:val="none"/>
              </w:rPr>
              <w:t>开设账号，线下提供申请材料，进入贷款审批流程，贷款审批通过后可自主用款，银行官方网银可自主还款。</w:t>
            </w:r>
          </w:p>
        </w:tc>
      </w:tr>
      <w:tr w14:paraId="53475C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53475C0E">
            <w:pPr>
              <w:adjustRightInd w:val="0"/>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中国银行</w:t>
            </w:r>
          </w:p>
        </w:tc>
        <w:tc>
          <w:tcPr>
            <w:tcW w:w="1134" w:type="dxa"/>
            <w:vAlign w:val="center"/>
          </w:tcPr>
          <w:p w14:paraId="53475C0F">
            <w:pPr>
              <w:adjustRightInd w:val="0"/>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0779-3997084</w:t>
            </w:r>
          </w:p>
        </w:tc>
        <w:tc>
          <w:tcPr>
            <w:tcW w:w="1701" w:type="dxa"/>
            <w:vAlign w:val="center"/>
          </w:tcPr>
          <w:p w14:paraId="53475C10">
            <w:pPr>
              <w:adjustRightInd w:val="0"/>
              <w:snapToGrid w:val="0"/>
              <w:spacing w:line="360" w:lineRule="auto"/>
              <w:jc w:val="left"/>
              <w:rPr>
                <w:rFonts w:ascii="宋体" w:hAnsi="宋体"/>
                <w:color w:val="auto"/>
                <w:kern w:val="0"/>
                <w:sz w:val="24"/>
                <w:szCs w:val="20"/>
                <w:highlight w:val="none"/>
              </w:rPr>
            </w:pPr>
            <w:r>
              <w:rPr>
                <w:rFonts w:hint="eastAsia" w:ascii="宋体" w:hAnsi="宋体"/>
                <w:color w:val="auto"/>
                <w:kern w:val="0"/>
                <w:sz w:val="24"/>
                <w:szCs w:val="20"/>
                <w:highlight w:val="none"/>
              </w:rPr>
              <w:t>最高1千万</w:t>
            </w:r>
          </w:p>
        </w:tc>
        <w:tc>
          <w:tcPr>
            <w:tcW w:w="993" w:type="dxa"/>
            <w:vAlign w:val="center"/>
          </w:tcPr>
          <w:p w14:paraId="53475C11">
            <w:pPr>
              <w:adjustRightInd w:val="0"/>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3年</w:t>
            </w:r>
          </w:p>
        </w:tc>
        <w:tc>
          <w:tcPr>
            <w:tcW w:w="850" w:type="dxa"/>
            <w:vAlign w:val="center"/>
          </w:tcPr>
          <w:p w14:paraId="53475C12">
            <w:pPr>
              <w:adjustRightInd w:val="0"/>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1.93%</w:t>
            </w:r>
          </w:p>
        </w:tc>
        <w:tc>
          <w:tcPr>
            <w:tcW w:w="3366" w:type="dxa"/>
            <w:vAlign w:val="center"/>
          </w:tcPr>
          <w:p w14:paraId="53475C13">
            <w:pPr>
              <w:adjustRightInd w:val="0"/>
              <w:snapToGrid w:val="0"/>
              <w:spacing w:line="360" w:lineRule="auto"/>
              <w:jc w:val="left"/>
              <w:rPr>
                <w:rFonts w:ascii="宋体" w:hAnsi="宋体"/>
                <w:color w:val="auto"/>
                <w:kern w:val="0"/>
                <w:sz w:val="24"/>
                <w:szCs w:val="20"/>
                <w:highlight w:val="none"/>
              </w:rPr>
            </w:pPr>
            <w:r>
              <w:rPr>
                <w:rFonts w:hint="eastAsia" w:ascii="宋体" w:hAnsi="宋体"/>
                <w:color w:val="auto"/>
                <w:kern w:val="0"/>
                <w:sz w:val="24"/>
                <w:szCs w:val="20"/>
                <w:highlight w:val="none"/>
              </w:rPr>
              <w:t>在银行开户，线上申请，上传所需材料，等待审批，审批通过后可直接在手机银行提款。</w:t>
            </w:r>
          </w:p>
        </w:tc>
      </w:tr>
      <w:tr w14:paraId="53475C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53475C15">
            <w:pPr>
              <w:adjustRightInd w:val="0"/>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兴业银行</w:t>
            </w:r>
          </w:p>
        </w:tc>
        <w:tc>
          <w:tcPr>
            <w:tcW w:w="1134" w:type="dxa"/>
            <w:vAlign w:val="center"/>
          </w:tcPr>
          <w:p w14:paraId="53475C16">
            <w:pPr>
              <w:adjustRightInd w:val="0"/>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0779-3158330</w:t>
            </w:r>
          </w:p>
        </w:tc>
        <w:tc>
          <w:tcPr>
            <w:tcW w:w="1701" w:type="dxa"/>
            <w:vAlign w:val="center"/>
          </w:tcPr>
          <w:p w14:paraId="53475C17">
            <w:pPr>
              <w:adjustRightInd w:val="0"/>
              <w:snapToGrid w:val="0"/>
              <w:spacing w:line="360" w:lineRule="auto"/>
              <w:jc w:val="left"/>
              <w:rPr>
                <w:rFonts w:ascii="宋体" w:hAnsi="宋体"/>
                <w:color w:val="auto"/>
                <w:kern w:val="0"/>
                <w:sz w:val="24"/>
                <w:szCs w:val="20"/>
                <w:highlight w:val="none"/>
              </w:rPr>
            </w:pPr>
            <w:r>
              <w:rPr>
                <w:rFonts w:hint="eastAsia" w:ascii="宋体" w:hAnsi="宋体"/>
                <w:color w:val="auto"/>
                <w:kern w:val="0"/>
                <w:sz w:val="24"/>
                <w:szCs w:val="20"/>
                <w:highlight w:val="none"/>
              </w:rPr>
              <w:t>最高1千万（单笔提款金额达合同金额70%）</w:t>
            </w:r>
          </w:p>
        </w:tc>
        <w:tc>
          <w:tcPr>
            <w:tcW w:w="993" w:type="dxa"/>
            <w:vAlign w:val="center"/>
          </w:tcPr>
          <w:p w14:paraId="53475C18">
            <w:pPr>
              <w:adjustRightInd w:val="0"/>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1年</w:t>
            </w:r>
          </w:p>
        </w:tc>
        <w:tc>
          <w:tcPr>
            <w:tcW w:w="850" w:type="dxa"/>
            <w:vAlign w:val="center"/>
          </w:tcPr>
          <w:p w14:paraId="53475C19">
            <w:pPr>
              <w:adjustRightInd w:val="0"/>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3.70%</w:t>
            </w:r>
          </w:p>
        </w:tc>
        <w:tc>
          <w:tcPr>
            <w:tcW w:w="3366" w:type="dxa"/>
            <w:vAlign w:val="center"/>
          </w:tcPr>
          <w:p w14:paraId="53475C1A">
            <w:pPr>
              <w:adjustRightInd w:val="0"/>
              <w:snapToGrid w:val="0"/>
              <w:spacing w:line="360" w:lineRule="auto"/>
              <w:jc w:val="left"/>
              <w:rPr>
                <w:rFonts w:ascii="宋体" w:hAnsi="宋体"/>
                <w:color w:val="auto"/>
                <w:kern w:val="0"/>
                <w:sz w:val="24"/>
                <w:szCs w:val="20"/>
                <w:highlight w:val="none"/>
              </w:rPr>
            </w:pPr>
            <w:r>
              <w:rPr>
                <w:rFonts w:hint="eastAsia" w:ascii="宋体" w:hAnsi="宋体"/>
                <w:color w:val="auto"/>
                <w:kern w:val="0"/>
                <w:sz w:val="24"/>
                <w:szCs w:val="20"/>
                <w:highlight w:val="none"/>
              </w:rPr>
              <w:t>全流程线上，初次申请开立账户，提供营业执照、采购合同、信用材料等，申请复审，签订合同，提交单笔贷款使用需求，贷款到账后受托使用。</w:t>
            </w:r>
          </w:p>
        </w:tc>
      </w:tr>
      <w:tr w14:paraId="53475C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53475C1C">
            <w:pPr>
              <w:adjustRightInd w:val="0"/>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工商银行</w:t>
            </w:r>
          </w:p>
        </w:tc>
        <w:tc>
          <w:tcPr>
            <w:tcW w:w="1134" w:type="dxa"/>
            <w:vAlign w:val="center"/>
          </w:tcPr>
          <w:p w14:paraId="53475C1D">
            <w:pPr>
              <w:adjustRightInd w:val="0"/>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0779-3050645</w:t>
            </w:r>
          </w:p>
        </w:tc>
        <w:tc>
          <w:tcPr>
            <w:tcW w:w="1701" w:type="dxa"/>
            <w:vAlign w:val="center"/>
          </w:tcPr>
          <w:p w14:paraId="53475C1E">
            <w:pPr>
              <w:adjustRightInd w:val="0"/>
              <w:snapToGrid w:val="0"/>
              <w:spacing w:line="360" w:lineRule="auto"/>
              <w:jc w:val="left"/>
              <w:rPr>
                <w:rFonts w:ascii="宋体" w:hAnsi="宋体"/>
                <w:color w:val="auto"/>
                <w:kern w:val="0"/>
                <w:sz w:val="24"/>
                <w:szCs w:val="20"/>
                <w:highlight w:val="none"/>
              </w:rPr>
            </w:pPr>
            <w:r>
              <w:rPr>
                <w:rFonts w:hint="eastAsia" w:ascii="宋体" w:hAnsi="宋体"/>
                <w:color w:val="auto"/>
                <w:kern w:val="0"/>
                <w:sz w:val="24"/>
                <w:szCs w:val="20"/>
                <w:highlight w:val="none"/>
              </w:rPr>
              <w:t>最高1千万且不超过合同金额70%</w:t>
            </w:r>
          </w:p>
        </w:tc>
        <w:tc>
          <w:tcPr>
            <w:tcW w:w="993" w:type="dxa"/>
            <w:vAlign w:val="center"/>
          </w:tcPr>
          <w:p w14:paraId="53475C1F">
            <w:pPr>
              <w:adjustRightInd w:val="0"/>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货物类1年</w:t>
            </w:r>
          </w:p>
          <w:p w14:paraId="53475C20">
            <w:pPr>
              <w:adjustRightInd w:val="0"/>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服务类3年</w:t>
            </w:r>
          </w:p>
          <w:p w14:paraId="53475C21">
            <w:pPr>
              <w:adjustRightInd w:val="0"/>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工程类5年</w:t>
            </w:r>
          </w:p>
        </w:tc>
        <w:tc>
          <w:tcPr>
            <w:tcW w:w="850" w:type="dxa"/>
            <w:vAlign w:val="center"/>
          </w:tcPr>
          <w:p w14:paraId="53475C22">
            <w:pPr>
              <w:adjustRightInd w:val="0"/>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3.45%</w:t>
            </w:r>
          </w:p>
        </w:tc>
        <w:tc>
          <w:tcPr>
            <w:tcW w:w="3366" w:type="dxa"/>
            <w:vAlign w:val="center"/>
          </w:tcPr>
          <w:p w14:paraId="53475C23">
            <w:pPr>
              <w:adjustRightInd w:val="0"/>
              <w:snapToGrid w:val="0"/>
              <w:spacing w:line="360" w:lineRule="auto"/>
              <w:jc w:val="left"/>
              <w:rPr>
                <w:rFonts w:ascii="宋体" w:hAnsi="宋体"/>
                <w:color w:val="auto"/>
                <w:kern w:val="0"/>
                <w:sz w:val="24"/>
                <w:szCs w:val="20"/>
                <w:highlight w:val="none"/>
              </w:rPr>
            </w:pPr>
            <w:r>
              <w:rPr>
                <w:rFonts w:hint="eastAsia" w:ascii="宋体" w:hAnsi="宋体"/>
                <w:color w:val="auto"/>
                <w:kern w:val="0"/>
                <w:sz w:val="24"/>
                <w:szCs w:val="20"/>
                <w:highlight w:val="none"/>
              </w:rPr>
              <w:t>为中征系统白名单企业，提供相关要求材料，内部审批后放款自主借还。</w:t>
            </w:r>
          </w:p>
        </w:tc>
      </w:tr>
      <w:tr w14:paraId="53475C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53475C25">
            <w:pPr>
              <w:adjustRightInd w:val="0"/>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国民村镇银行</w:t>
            </w:r>
          </w:p>
        </w:tc>
        <w:tc>
          <w:tcPr>
            <w:tcW w:w="1134" w:type="dxa"/>
            <w:vAlign w:val="center"/>
          </w:tcPr>
          <w:p w14:paraId="53475C26">
            <w:pPr>
              <w:adjustRightInd w:val="0"/>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0779-2668801</w:t>
            </w:r>
          </w:p>
        </w:tc>
        <w:tc>
          <w:tcPr>
            <w:tcW w:w="1701" w:type="dxa"/>
            <w:vAlign w:val="center"/>
          </w:tcPr>
          <w:p w14:paraId="53475C27">
            <w:pPr>
              <w:adjustRightInd w:val="0"/>
              <w:snapToGrid w:val="0"/>
              <w:spacing w:line="360" w:lineRule="auto"/>
              <w:jc w:val="left"/>
              <w:rPr>
                <w:rFonts w:ascii="宋体" w:hAnsi="宋体"/>
                <w:color w:val="auto"/>
                <w:kern w:val="0"/>
                <w:sz w:val="24"/>
                <w:szCs w:val="20"/>
                <w:highlight w:val="none"/>
              </w:rPr>
            </w:pPr>
            <w:r>
              <w:rPr>
                <w:rFonts w:hint="eastAsia" w:ascii="宋体" w:hAnsi="宋体"/>
                <w:color w:val="auto"/>
                <w:kern w:val="0"/>
                <w:sz w:val="24"/>
                <w:szCs w:val="20"/>
                <w:highlight w:val="none"/>
              </w:rPr>
              <w:t>最高500万</w:t>
            </w:r>
          </w:p>
        </w:tc>
        <w:tc>
          <w:tcPr>
            <w:tcW w:w="993" w:type="dxa"/>
            <w:vAlign w:val="center"/>
          </w:tcPr>
          <w:p w14:paraId="53475C28">
            <w:pPr>
              <w:adjustRightInd w:val="0"/>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5年</w:t>
            </w:r>
          </w:p>
        </w:tc>
        <w:tc>
          <w:tcPr>
            <w:tcW w:w="850" w:type="dxa"/>
            <w:vAlign w:val="center"/>
          </w:tcPr>
          <w:p w14:paraId="53475C29">
            <w:pPr>
              <w:adjustRightInd w:val="0"/>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2.80%</w:t>
            </w:r>
          </w:p>
        </w:tc>
        <w:tc>
          <w:tcPr>
            <w:tcW w:w="3366" w:type="dxa"/>
            <w:vAlign w:val="center"/>
          </w:tcPr>
          <w:p w14:paraId="53475C2A">
            <w:pPr>
              <w:adjustRightInd w:val="0"/>
              <w:snapToGrid w:val="0"/>
              <w:spacing w:line="360" w:lineRule="auto"/>
              <w:jc w:val="left"/>
              <w:rPr>
                <w:rFonts w:ascii="宋体" w:hAnsi="宋体"/>
                <w:color w:val="auto"/>
                <w:kern w:val="0"/>
                <w:sz w:val="24"/>
                <w:szCs w:val="20"/>
                <w:highlight w:val="none"/>
              </w:rPr>
            </w:pPr>
            <w:r>
              <w:rPr>
                <w:rFonts w:hint="eastAsia" w:ascii="宋体" w:hAnsi="宋体"/>
                <w:color w:val="auto"/>
                <w:kern w:val="0"/>
                <w:sz w:val="24"/>
                <w:szCs w:val="20"/>
                <w:highlight w:val="none"/>
              </w:rPr>
              <w:t>银行开户，线下申请并提供材料，信用良好企业最快1天获批即可提款</w:t>
            </w:r>
          </w:p>
        </w:tc>
      </w:tr>
      <w:tr w14:paraId="53475C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53475C2C">
            <w:pPr>
              <w:adjustRightInd w:val="0"/>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桂林银行</w:t>
            </w:r>
          </w:p>
        </w:tc>
        <w:tc>
          <w:tcPr>
            <w:tcW w:w="1134" w:type="dxa"/>
            <w:vAlign w:val="center"/>
          </w:tcPr>
          <w:p w14:paraId="53475C2D">
            <w:pPr>
              <w:adjustRightInd w:val="0"/>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18577993959</w:t>
            </w:r>
          </w:p>
        </w:tc>
        <w:tc>
          <w:tcPr>
            <w:tcW w:w="1701" w:type="dxa"/>
            <w:vAlign w:val="center"/>
          </w:tcPr>
          <w:p w14:paraId="53475C2E">
            <w:pPr>
              <w:adjustRightInd w:val="0"/>
              <w:snapToGrid w:val="0"/>
              <w:spacing w:line="360" w:lineRule="auto"/>
              <w:jc w:val="left"/>
              <w:rPr>
                <w:rFonts w:ascii="宋体" w:hAnsi="宋体"/>
                <w:color w:val="auto"/>
                <w:kern w:val="0"/>
                <w:sz w:val="24"/>
                <w:szCs w:val="20"/>
                <w:highlight w:val="none"/>
              </w:rPr>
            </w:pPr>
            <w:r>
              <w:rPr>
                <w:rFonts w:hint="eastAsia" w:ascii="宋体" w:hAnsi="宋体"/>
                <w:color w:val="auto"/>
                <w:kern w:val="0"/>
                <w:sz w:val="24"/>
                <w:szCs w:val="20"/>
                <w:highlight w:val="none"/>
              </w:rPr>
              <w:t>最高1千万</w:t>
            </w:r>
          </w:p>
        </w:tc>
        <w:tc>
          <w:tcPr>
            <w:tcW w:w="993" w:type="dxa"/>
            <w:vAlign w:val="center"/>
          </w:tcPr>
          <w:p w14:paraId="53475C2F">
            <w:pPr>
              <w:adjustRightInd w:val="0"/>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1年</w:t>
            </w:r>
          </w:p>
        </w:tc>
        <w:tc>
          <w:tcPr>
            <w:tcW w:w="850" w:type="dxa"/>
            <w:vAlign w:val="center"/>
          </w:tcPr>
          <w:p w14:paraId="53475C30">
            <w:pPr>
              <w:adjustRightInd w:val="0"/>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3.45%</w:t>
            </w:r>
          </w:p>
        </w:tc>
        <w:tc>
          <w:tcPr>
            <w:tcW w:w="3366" w:type="dxa"/>
            <w:vAlign w:val="center"/>
          </w:tcPr>
          <w:p w14:paraId="53475C31">
            <w:pPr>
              <w:adjustRightInd w:val="0"/>
              <w:snapToGrid w:val="0"/>
              <w:spacing w:line="360" w:lineRule="auto"/>
              <w:jc w:val="left"/>
              <w:rPr>
                <w:rFonts w:ascii="宋体" w:hAnsi="宋体"/>
                <w:color w:val="auto"/>
                <w:kern w:val="0"/>
                <w:sz w:val="24"/>
                <w:szCs w:val="20"/>
                <w:highlight w:val="none"/>
              </w:rPr>
            </w:pPr>
            <w:r>
              <w:rPr>
                <w:rFonts w:hint="eastAsia" w:ascii="宋体" w:hAnsi="宋体"/>
                <w:color w:val="auto"/>
                <w:kern w:val="0"/>
                <w:sz w:val="24"/>
                <w:szCs w:val="20"/>
                <w:highlight w:val="none"/>
              </w:rPr>
              <w:t>线下申请，材料齐全最快1周内即可放款。</w:t>
            </w:r>
          </w:p>
        </w:tc>
      </w:tr>
      <w:tr w14:paraId="53475C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53475C33">
            <w:pPr>
              <w:adjustRightInd w:val="0"/>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中小微商务服务公司</w:t>
            </w:r>
          </w:p>
        </w:tc>
        <w:tc>
          <w:tcPr>
            <w:tcW w:w="1134" w:type="dxa"/>
            <w:vAlign w:val="center"/>
          </w:tcPr>
          <w:p w14:paraId="53475C34">
            <w:pPr>
              <w:adjustRightInd w:val="0"/>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19907799988</w:t>
            </w:r>
          </w:p>
        </w:tc>
        <w:tc>
          <w:tcPr>
            <w:tcW w:w="1701" w:type="dxa"/>
            <w:vAlign w:val="center"/>
          </w:tcPr>
          <w:p w14:paraId="53475C35">
            <w:pPr>
              <w:adjustRightInd w:val="0"/>
              <w:snapToGrid w:val="0"/>
              <w:spacing w:line="360" w:lineRule="auto"/>
              <w:jc w:val="left"/>
              <w:rPr>
                <w:rFonts w:ascii="宋体" w:hAnsi="宋体"/>
                <w:color w:val="auto"/>
                <w:kern w:val="0"/>
                <w:sz w:val="24"/>
                <w:szCs w:val="20"/>
                <w:highlight w:val="none"/>
              </w:rPr>
            </w:pPr>
          </w:p>
        </w:tc>
        <w:tc>
          <w:tcPr>
            <w:tcW w:w="993" w:type="dxa"/>
            <w:vAlign w:val="center"/>
          </w:tcPr>
          <w:p w14:paraId="53475C36">
            <w:pPr>
              <w:adjustRightInd w:val="0"/>
              <w:snapToGrid w:val="0"/>
              <w:spacing w:line="360" w:lineRule="auto"/>
              <w:jc w:val="center"/>
              <w:rPr>
                <w:rFonts w:ascii="宋体" w:hAnsi="宋体"/>
                <w:color w:val="auto"/>
                <w:kern w:val="0"/>
                <w:sz w:val="24"/>
                <w:szCs w:val="20"/>
                <w:highlight w:val="none"/>
              </w:rPr>
            </w:pPr>
          </w:p>
        </w:tc>
        <w:tc>
          <w:tcPr>
            <w:tcW w:w="850" w:type="dxa"/>
            <w:vAlign w:val="center"/>
          </w:tcPr>
          <w:p w14:paraId="53475C37">
            <w:pPr>
              <w:adjustRightInd w:val="0"/>
              <w:snapToGrid w:val="0"/>
              <w:spacing w:line="360" w:lineRule="auto"/>
              <w:jc w:val="center"/>
              <w:rPr>
                <w:rFonts w:ascii="宋体" w:hAnsi="宋体"/>
                <w:color w:val="auto"/>
                <w:kern w:val="0"/>
                <w:sz w:val="24"/>
                <w:szCs w:val="20"/>
                <w:highlight w:val="none"/>
              </w:rPr>
            </w:pPr>
          </w:p>
        </w:tc>
        <w:tc>
          <w:tcPr>
            <w:tcW w:w="3366" w:type="dxa"/>
            <w:vAlign w:val="center"/>
          </w:tcPr>
          <w:p w14:paraId="53475C38">
            <w:pPr>
              <w:adjustRightInd w:val="0"/>
              <w:snapToGrid w:val="0"/>
              <w:spacing w:line="360" w:lineRule="auto"/>
              <w:jc w:val="left"/>
              <w:rPr>
                <w:rFonts w:ascii="宋体" w:hAnsi="宋体"/>
                <w:color w:val="auto"/>
                <w:kern w:val="0"/>
                <w:sz w:val="24"/>
                <w:szCs w:val="20"/>
                <w:highlight w:val="none"/>
              </w:rPr>
            </w:pPr>
            <w:r>
              <w:rPr>
                <w:rFonts w:hint="eastAsia" w:ascii="宋体" w:hAnsi="宋体"/>
                <w:color w:val="auto"/>
                <w:kern w:val="0"/>
                <w:sz w:val="24"/>
                <w:szCs w:val="20"/>
                <w:highlight w:val="none"/>
              </w:rPr>
              <w:t>具体业务可电话咨询。</w:t>
            </w:r>
          </w:p>
        </w:tc>
      </w:tr>
    </w:tbl>
    <w:p w14:paraId="53475C3A">
      <w:pPr>
        <w:adjustRightInd w:val="0"/>
        <w:snapToGrid w:val="0"/>
        <w:spacing w:line="360" w:lineRule="auto"/>
        <w:ind w:firstLine="482"/>
        <w:jc w:val="left"/>
        <w:rPr>
          <w:rFonts w:ascii="宋体" w:hAnsi="宋体"/>
          <w:color w:val="auto"/>
          <w:kern w:val="0"/>
          <w:sz w:val="24"/>
          <w:szCs w:val="20"/>
          <w:highlight w:val="none"/>
        </w:rPr>
      </w:pPr>
      <w:r>
        <w:rPr>
          <w:rFonts w:hint="eastAsia" w:ascii="宋体" w:hAnsi="宋体"/>
          <w:color w:val="auto"/>
          <w:kern w:val="0"/>
          <w:sz w:val="24"/>
          <w:szCs w:val="20"/>
          <w:highlight w:val="none"/>
        </w:rPr>
        <w:t>注：表中联系电话\授信金额、授信期限、最低利率等信息可能动态更新，仅供参考，具体以办理时相关银行公布的为准。</w:t>
      </w:r>
    </w:p>
    <w:p w14:paraId="53475C3B">
      <w:pPr>
        <w:numPr>
          <w:ilvl w:val="0"/>
          <w:numId w:val="3"/>
        </w:numPr>
        <w:adjustRightInd w:val="0"/>
        <w:snapToGrid w:val="0"/>
        <w:spacing w:line="360" w:lineRule="auto"/>
        <w:ind w:firstLine="482" w:firstLineChars="200"/>
        <w:rPr>
          <w:rFonts w:ascii="宋体" w:hAnsi="宋体"/>
          <w:b/>
          <w:color w:val="auto"/>
          <w:sz w:val="24"/>
          <w:highlight w:val="none"/>
        </w:rPr>
      </w:pPr>
      <w:r>
        <w:rPr>
          <w:rFonts w:hint="eastAsia" w:ascii="宋体" w:hAnsi="宋体"/>
          <w:b/>
          <w:color w:val="auto"/>
          <w:sz w:val="24"/>
          <w:highlight w:val="none"/>
        </w:rPr>
        <w:t>转包与分包</w:t>
      </w:r>
    </w:p>
    <w:p w14:paraId="53475C3C">
      <w:pPr>
        <w:widowControl/>
        <w:kinsoku w:val="0"/>
        <w:autoSpaceDE w:val="0"/>
        <w:autoSpaceDN w:val="0"/>
        <w:adjustRightInd w:val="0"/>
        <w:snapToGrid w:val="0"/>
        <w:spacing w:line="360" w:lineRule="auto"/>
        <w:ind w:firstLine="480" w:firstLineChars="200"/>
        <w:textAlignment w:val="baseline"/>
        <w:rPr>
          <w:rFonts w:ascii="宋体" w:hAnsi="宋体" w:cs="宋体"/>
          <w:color w:val="auto"/>
          <w:sz w:val="24"/>
          <w:highlight w:val="none"/>
        </w:rPr>
      </w:pPr>
      <w:r>
        <w:rPr>
          <w:rFonts w:hint="eastAsia" w:ascii="宋体" w:hAnsi="宋体" w:cs="宋体"/>
          <w:color w:val="auto"/>
          <w:sz w:val="24"/>
          <w:highlight w:val="none"/>
        </w:rPr>
        <w:t>27.1本项目不允许转包。</w:t>
      </w:r>
    </w:p>
    <w:p w14:paraId="53475C3D">
      <w:pPr>
        <w:widowControl/>
        <w:kinsoku w:val="0"/>
        <w:autoSpaceDE w:val="0"/>
        <w:autoSpaceDN w:val="0"/>
        <w:adjustRightInd w:val="0"/>
        <w:snapToGrid w:val="0"/>
        <w:spacing w:line="360" w:lineRule="auto"/>
        <w:ind w:firstLine="480" w:firstLineChars="200"/>
        <w:textAlignment w:val="baseline"/>
        <w:rPr>
          <w:rFonts w:ascii="宋体" w:hAnsi="宋体" w:cs="宋体"/>
          <w:color w:val="auto"/>
          <w:sz w:val="24"/>
          <w:highlight w:val="none"/>
        </w:rPr>
      </w:pPr>
      <w:r>
        <w:rPr>
          <w:rFonts w:hint="eastAsia" w:ascii="宋体" w:hAnsi="宋体" w:cs="宋体"/>
          <w:color w:val="auto"/>
          <w:sz w:val="24"/>
          <w:highlight w:val="none"/>
        </w:rPr>
        <w:t>27.2本项目是否允许分包详见“供应商须知前附表”，本项目不允许违法分包。允许分包的非主体、非关键性工作，根据法律法规规定承担该工作需要资质或者行政许可的，如该工作由供 应商自行承担，供应商应具备相应的资质或者行政许可，如供应商不具备相应的资质或者行政许可必须采用分包的方式，但分包供应商应具备相应资质或者行政许可。</w:t>
      </w:r>
    </w:p>
    <w:p w14:paraId="53475C3E">
      <w:pPr>
        <w:widowControl/>
        <w:kinsoku w:val="0"/>
        <w:autoSpaceDE w:val="0"/>
        <w:autoSpaceDN w:val="0"/>
        <w:adjustRightInd w:val="0"/>
        <w:snapToGrid w:val="0"/>
        <w:spacing w:line="360" w:lineRule="auto"/>
        <w:ind w:firstLine="480" w:firstLineChars="200"/>
        <w:textAlignment w:val="baseline"/>
        <w:rPr>
          <w:rFonts w:ascii="宋体" w:hAnsi="宋体"/>
          <w:color w:val="auto"/>
          <w:sz w:val="24"/>
          <w:highlight w:val="none"/>
        </w:rPr>
      </w:pPr>
      <w:r>
        <w:rPr>
          <w:rFonts w:hint="eastAsia" w:ascii="宋体" w:hAnsi="宋体" w:cs="宋体"/>
          <w:color w:val="auto"/>
          <w:sz w:val="24"/>
          <w:highlight w:val="none"/>
        </w:rPr>
        <w:t>27.3供应商根据磋商文件的规定和采购项目的实际情况，拟在成交后将成交项目的非主体、非关键性工作分包的，应当在响应文件中载明分包承担主体，分包承担主体应当具备相应资质条件且不得再次分包。</w:t>
      </w:r>
    </w:p>
    <w:p w14:paraId="53475C3F">
      <w:pPr>
        <w:adjustRightInd w:val="0"/>
        <w:snapToGrid w:val="0"/>
        <w:spacing w:line="360" w:lineRule="auto"/>
        <w:ind w:firstLine="482" w:firstLineChars="200"/>
        <w:rPr>
          <w:rFonts w:ascii="宋体" w:hAnsi="宋体"/>
          <w:b/>
          <w:color w:val="auto"/>
          <w:sz w:val="24"/>
          <w:highlight w:val="none"/>
        </w:rPr>
      </w:pPr>
      <w:r>
        <w:rPr>
          <w:rFonts w:hint="eastAsia" w:ascii="宋体" w:hAnsi="宋体"/>
          <w:b/>
          <w:color w:val="auto"/>
          <w:sz w:val="24"/>
          <w:highlight w:val="none"/>
        </w:rPr>
        <w:t>十一、补充合同</w:t>
      </w:r>
    </w:p>
    <w:p w14:paraId="53475C40">
      <w:pPr>
        <w:adjustRightInd w:val="0"/>
        <w:snapToGrid w:val="0"/>
        <w:spacing w:line="360" w:lineRule="auto"/>
        <w:ind w:firstLine="480" w:firstLineChars="200"/>
        <w:rPr>
          <w:rFonts w:ascii="宋体" w:hAnsi="宋体" w:cs="Courier New"/>
          <w:bCs/>
          <w:color w:val="auto"/>
          <w:sz w:val="24"/>
          <w:highlight w:val="none"/>
        </w:rPr>
      </w:pPr>
      <w:r>
        <w:rPr>
          <w:rFonts w:hint="eastAsia" w:ascii="宋体" w:hAnsi="宋体" w:cs="Courier New"/>
          <w:bCs/>
          <w:color w:val="auto"/>
          <w:sz w:val="24"/>
          <w:highlight w:val="none"/>
        </w:rPr>
        <w:t>28.1政府采购采购合同履行过程中，采购人需要追加与合同标的相同的货物或服务的，在不改变合同其他条款的前提下，可以与成交供应商协商签订补充合同，但所有补充合同的采购金额不得超过原合同采购金额的百分之十，该补充合同应当在原政府采购合同履行过程中，不得在原政府采购合同履行结束后，且采购货物、工程和服务的名称、价格、履约方式、验收标准等必须与原政府采购合同一致。</w:t>
      </w:r>
    </w:p>
    <w:p w14:paraId="53475C41">
      <w:pPr>
        <w:adjustRightInd w:val="0"/>
        <w:snapToGrid w:val="0"/>
        <w:spacing w:line="360" w:lineRule="auto"/>
        <w:ind w:firstLine="482" w:firstLineChars="200"/>
        <w:rPr>
          <w:rFonts w:ascii="宋体" w:hAnsi="宋体"/>
          <w:b/>
          <w:color w:val="auto"/>
          <w:sz w:val="24"/>
          <w:highlight w:val="none"/>
        </w:rPr>
      </w:pPr>
      <w:r>
        <w:rPr>
          <w:rFonts w:hint="eastAsia" w:ascii="宋体" w:hAnsi="宋体"/>
          <w:b/>
          <w:color w:val="auto"/>
          <w:sz w:val="24"/>
          <w:highlight w:val="none"/>
        </w:rPr>
        <w:t>十二、合同公告</w:t>
      </w:r>
    </w:p>
    <w:p w14:paraId="53475C42">
      <w:pPr>
        <w:adjustRightInd w:val="0"/>
        <w:snapToGrid w:val="0"/>
        <w:spacing w:line="360" w:lineRule="auto"/>
        <w:ind w:firstLine="480" w:firstLineChars="200"/>
        <w:rPr>
          <w:rFonts w:ascii="宋体" w:hAnsi="宋体" w:cs="Courier New"/>
          <w:bCs/>
          <w:color w:val="auto"/>
          <w:sz w:val="24"/>
          <w:highlight w:val="none"/>
        </w:rPr>
      </w:pPr>
      <w:r>
        <w:rPr>
          <w:rFonts w:hint="eastAsia" w:ascii="宋体" w:hAnsi="宋体" w:cs="Courier New"/>
          <w:bCs/>
          <w:color w:val="auto"/>
          <w:sz w:val="24"/>
          <w:highlight w:val="none"/>
        </w:rPr>
        <w:t>29.1采购人应当自政府采购合同签订（双方当事人均已签字盖章）之日起1个工作日内，将政府采购合同在省级以上人民政府财政部门指定的媒体上公告（广西政府采购网），但政府采购合同中涉及国家秘密、商业秘密的内容除外。</w:t>
      </w:r>
    </w:p>
    <w:p w14:paraId="53475C43">
      <w:pPr>
        <w:adjustRightInd w:val="0"/>
        <w:snapToGrid w:val="0"/>
        <w:spacing w:line="360" w:lineRule="auto"/>
        <w:ind w:firstLine="482" w:firstLineChars="200"/>
        <w:rPr>
          <w:rFonts w:ascii="宋体" w:hAnsi="宋体"/>
          <w:b/>
          <w:color w:val="auto"/>
          <w:sz w:val="24"/>
          <w:highlight w:val="none"/>
        </w:rPr>
      </w:pPr>
      <w:r>
        <w:rPr>
          <w:rFonts w:hint="eastAsia" w:ascii="宋体" w:hAnsi="宋体"/>
          <w:b/>
          <w:color w:val="auto"/>
          <w:sz w:val="24"/>
          <w:highlight w:val="none"/>
        </w:rPr>
        <w:t>十三、适用法律</w:t>
      </w:r>
    </w:p>
    <w:p w14:paraId="53475C44">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30.1采购当事人的一切活动均适用于《中华人民共和国政府采购法》及相关规定。最终磋商结束后，磋商小组不得再与供应商进行任何形式的磋商。</w:t>
      </w:r>
    </w:p>
    <w:p w14:paraId="53475C45">
      <w:pPr>
        <w:pStyle w:val="23"/>
        <w:snapToGrid w:val="0"/>
        <w:spacing w:line="360" w:lineRule="auto"/>
        <w:ind w:firstLine="482" w:firstLineChars="200"/>
        <w:rPr>
          <w:rFonts w:hAnsi="宋体" w:cs="宋体"/>
          <w:b/>
          <w:bCs/>
          <w:color w:val="auto"/>
          <w:kern w:val="0"/>
          <w:sz w:val="24"/>
          <w:szCs w:val="24"/>
          <w:highlight w:val="none"/>
        </w:rPr>
      </w:pPr>
      <w:r>
        <w:rPr>
          <w:rFonts w:hAnsi="宋体"/>
          <w:b/>
          <w:color w:val="auto"/>
          <w:kern w:val="0"/>
          <w:sz w:val="24"/>
          <w:szCs w:val="24"/>
          <w:highlight w:val="none"/>
        </w:rPr>
        <w:t>十</w:t>
      </w:r>
      <w:r>
        <w:rPr>
          <w:rFonts w:hint="eastAsia" w:hAnsi="宋体"/>
          <w:b/>
          <w:color w:val="auto"/>
          <w:kern w:val="0"/>
          <w:sz w:val="24"/>
          <w:szCs w:val="24"/>
          <w:highlight w:val="none"/>
        </w:rPr>
        <w:t>四</w:t>
      </w:r>
      <w:r>
        <w:rPr>
          <w:rFonts w:hAnsi="宋体"/>
          <w:b/>
          <w:color w:val="auto"/>
          <w:kern w:val="0"/>
          <w:sz w:val="24"/>
          <w:szCs w:val="24"/>
          <w:highlight w:val="none"/>
        </w:rPr>
        <w:t>、</w:t>
      </w:r>
      <w:r>
        <w:rPr>
          <w:rFonts w:hint="eastAsia" w:hAnsi="宋体" w:cs="宋体"/>
          <w:b/>
          <w:color w:val="auto"/>
          <w:kern w:val="0"/>
          <w:sz w:val="24"/>
          <w:szCs w:val="24"/>
          <w:highlight w:val="none"/>
        </w:rPr>
        <w:t>询问、质疑和投诉</w:t>
      </w:r>
    </w:p>
    <w:p w14:paraId="53475C46">
      <w:pPr>
        <w:snapToGrid w:val="0"/>
        <w:spacing w:line="360" w:lineRule="auto"/>
        <w:ind w:firstLine="480" w:firstLineChars="200"/>
        <w:rPr>
          <w:rFonts w:ascii="宋体" w:hAnsi="宋体" w:cs="宋体"/>
          <w:color w:val="auto"/>
          <w:kern w:val="0"/>
          <w:sz w:val="24"/>
          <w:highlight w:val="none"/>
        </w:rPr>
      </w:pPr>
      <w:r>
        <w:rPr>
          <w:rFonts w:hint="eastAsia" w:ascii="宋体" w:hAnsi="宋体"/>
          <w:color w:val="auto"/>
          <w:sz w:val="24"/>
          <w:highlight w:val="none"/>
        </w:rPr>
        <w:t>31</w:t>
      </w:r>
      <w:r>
        <w:rPr>
          <w:rFonts w:ascii="宋体" w:hAnsi="宋体"/>
          <w:color w:val="auto"/>
          <w:sz w:val="24"/>
          <w:highlight w:val="none"/>
        </w:rPr>
        <w:t>.1</w:t>
      </w:r>
      <w:r>
        <w:rPr>
          <w:rFonts w:hint="eastAsia" w:ascii="宋体" w:hAnsi="宋体"/>
          <w:color w:val="auto"/>
          <w:sz w:val="24"/>
          <w:highlight w:val="none"/>
        </w:rPr>
        <w:t>供应商</w:t>
      </w:r>
      <w:r>
        <w:rPr>
          <w:rFonts w:hint="eastAsia" w:ascii="宋体" w:hAnsi="宋体" w:cs="宋体"/>
          <w:color w:val="auto"/>
          <w:kern w:val="0"/>
          <w:sz w:val="24"/>
          <w:highlight w:val="none"/>
        </w:rPr>
        <w:t>对政府采购活动事项有疑问的，可以向采购人、采购代理机构提出询问。</w:t>
      </w:r>
    </w:p>
    <w:p w14:paraId="53475C47">
      <w:pPr>
        <w:snapToGrid w:val="0"/>
        <w:spacing w:line="360" w:lineRule="auto"/>
        <w:ind w:firstLine="480" w:firstLineChars="200"/>
        <w:rPr>
          <w:rFonts w:ascii="宋体" w:hAnsi="宋体" w:cs="宋体"/>
          <w:color w:val="auto"/>
          <w:kern w:val="0"/>
          <w:sz w:val="24"/>
          <w:highlight w:val="none"/>
        </w:rPr>
      </w:pPr>
      <w:r>
        <w:rPr>
          <w:rFonts w:hint="eastAsia" w:ascii="宋体" w:hAnsi="宋体"/>
          <w:color w:val="auto"/>
          <w:sz w:val="24"/>
          <w:highlight w:val="none"/>
        </w:rPr>
        <w:t>31</w:t>
      </w:r>
      <w:r>
        <w:rPr>
          <w:rFonts w:ascii="宋体" w:hAnsi="宋体"/>
          <w:color w:val="auto"/>
          <w:sz w:val="24"/>
          <w:highlight w:val="none"/>
        </w:rPr>
        <w:t>.</w:t>
      </w:r>
      <w:r>
        <w:rPr>
          <w:rFonts w:hint="eastAsia" w:ascii="宋体" w:hAnsi="宋体" w:cs="宋体"/>
          <w:color w:val="auto"/>
          <w:kern w:val="0"/>
          <w:sz w:val="24"/>
          <w:highlight w:val="none"/>
        </w:rPr>
        <w:t>2供应商认为采购文件、采购过程或成交结果使自己的合法权益受到损害的，应当在知道或者应知其权益受到损害之日起七个工作日内，以书面形式向采购人、采购代理机构提出质疑。具体计算时间如下：</w:t>
      </w:r>
    </w:p>
    <w:p w14:paraId="53475C48">
      <w:pPr>
        <w:snapToGrid w:val="0"/>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（1）对可以质疑的采购文件提出质疑的，为收到采购文件之日；</w:t>
      </w:r>
    </w:p>
    <w:p w14:paraId="53475C49">
      <w:pPr>
        <w:snapToGrid w:val="0"/>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（2）对采购过程提出质疑的，为各采购程序环节结束之日；</w:t>
      </w:r>
    </w:p>
    <w:p w14:paraId="53475C4A">
      <w:pPr>
        <w:snapToGrid w:val="0"/>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（3）对成交结果提出质疑的，为成交结果公告期限届满之日。供应商对采购单位的质疑答复不满意或者采购单位未在规定时间内作出答复的，可以在答复期满后十五个工作日内向同级采购监管部门投诉。</w:t>
      </w:r>
    </w:p>
    <w:p w14:paraId="53475C4B">
      <w:pPr>
        <w:snapToGrid w:val="0"/>
        <w:spacing w:line="360" w:lineRule="auto"/>
        <w:ind w:firstLine="480" w:firstLineChars="200"/>
        <w:rPr>
          <w:rFonts w:ascii="宋体" w:hAnsi="宋体" w:cs="宋体"/>
          <w:color w:val="auto"/>
          <w:kern w:val="0"/>
          <w:sz w:val="24"/>
          <w:highlight w:val="none"/>
        </w:rPr>
      </w:pPr>
      <w:r>
        <w:rPr>
          <w:rFonts w:hint="eastAsia" w:ascii="宋体" w:hAnsi="宋体"/>
          <w:color w:val="auto"/>
          <w:sz w:val="24"/>
          <w:highlight w:val="none"/>
        </w:rPr>
        <w:t>31</w:t>
      </w:r>
      <w:r>
        <w:rPr>
          <w:rFonts w:ascii="宋体" w:hAnsi="宋体"/>
          <w:color w:val="auto"/>
          <w:sz w:val="24"/>
          <w:highlight w:val="none"/>
        </w:rPr>
        <w:t>.</w:t>
      </w:r>
      <w:r>
        <w:rPr>
          <w:rFonts w:hint="eastAsia" w:ascii="宋体" w:hAnsi="宋体" w:cs="宋体"/>
          <w:color w:val="auto"/>
          <w:kern w:val="0"/>
          <w:sz w:val="24"/>
          <w:highlight w:val="none"/>
        </w:rPr>
        <w:t>3质疑、投诉应当采用书面形式，质疑书、投诉书均应明确阐述采购文件、采购过程、成交结果中使自己合法权益受到损害的实质性内容，提供相关事实、明确的请求、必要的证明材料，便于有关单位调查、答复和处理。</w:t>
      </w:r>
    </w:p>
    <w:p w14:paraId="53475C4C">
      <w:pPr>
        <w:adjustRightInd w:val="0"/>
        <w:spacing w:line="360" w:lineRule="auto"/>
        <w:ind w:firstLine="480" w:firstLineChars="200"/>
        <w:rPr>
          <w:rFonts w:ascii="宋体" w:hAnsi="宋体"/>
          <w:color w:val="auto"/>
          <w:sz w:val="24"/>
          <w:szCs w:val="20"/>
          <w:highlight w:val="none"/>
        </w:rPr>
      </w:pPr>
      <w:r>
        <w:rPr>
          <w:rFonts w:hint="eastAsia" w:ascii="宋体" w:hAnsi="宋体"/>
          <w:color w:val="auto"/>
          <w:sz w:val="24"/>
          <w:szCs w:val="20"/>
          <w:highlight w:val="none"/>
        </w:rPr>
        <w:t>31.4对同一采购程序环节的质疑，供应商须一次性提出。</w:t>
      </w:r>
    </w:p>
    <w:p w14:paraId="53475C4D">
      <w:pPr>
        <w:adjustRightInd w:val="0"/>
        <w:spacing w:line="360" w:lineRule="auto"/>
        <w:ind w:firstLine="482" w:firstLineChars="200"/>
        <w:rPr>
          <w:rFonts w:ascii="宋体" w:hAnsi="宋体"/>
          <w:color w:val="auto"/>
          <w:sz w:val="24"/>
          <w:szCs w:val="20"/>
          <w:highlight w:val="none"/>
        </w:rPr>
      </w:pPr>
      <w:r>
        <w:rPr>
          <w:rFonts w:hint="eastAsia" w:ascii="宋体" w:hAnsi="宋体"/>
          <w:b/>
          <w:color w:val="auto"/>
          <w:sz w:val="24"/>
          <w:szCs w:val="20"/>
          <w:highlight w:val="none"/>
        </w:rPr>
        <w:t>31.5质疑答复</w:t>
      </w:r>
    </w:p>
    <w:p w14:paraId="53475C4E">
      <w:pPr>
        <w:adjustRightInd w:val="0"/>
        <w:spacing w:line="360" w:lineRule="auto"/>
        <w:ind w:firstLine="480" w:firstLineChars="200"/>
        <w:rPr>
          <w:rFonts w:ascii="宋体" w:hAnsi="宋体"/>
          <w:color w:val="auto"/>
          <w:sz w:val="24"/>
          <w:szCs w:val="20"/>
          <w:highlight w:val="none"/>
        </w:rPr>
      </w:pPr>
      <w:r>
        <w:rPr>
          <w:rFonts w:hint="eastAsia" w:ascii="宋体" w:hAnsi="宋体"/>
          <w:color w:val="auto"/>
          <w:sz w:val="24"/>
          <w:szCs w:val="20"/>
          <w:highlight w:val="none"/>
        </w:rPr>
        <w:t>31.5.1根据采购人与采购代理机构签订采购委托协议的规定，质疑答复责任主体如下：</w:t>
      </w:r>
    </w:p>
    <w:p w14:paraId="53475C4F">
      <w:pPr>
        <w:widowControl/>
        <w:jc w:val="center"/>
        <w:rPr>
          <w:rFonts w:ascii="宋体" w:hAnsi="宋体"/>
          <w:b/>
          <w:color w:val="auto"/>
          <w:sz w:val="28"/>
          <w:szCs w:val="28"/>
          <w:highlight w:val="none"/>
        </w:rPr>
      </w:pPr>
      <w:r>
        <w:rPr>
          <w:rFonts w:hint="eastAsia" w:ascii="宋体" w:hAnsi="宋体"/>
          <w:b/>
          <w:color w:val="auto"/>
          <w:sz w:val="28"/>
          <w:szCs w:val="28"/>
          <w:highlight w:val="none"/>
        </w:rPr>
        <w:t>质疑答复责任主体一览表</w:t>
      </w:r>
    </w:p>
    <w:tbl>
      <w:tblPr>
        <w:tblStyle w:val="3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18"/>
        <w:gridCol w:w="4536"/>
        <w:gridCol w:w="2232"/>
      </w:tblGrid>
      <w:tr w14:paraId="53475C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4" w:type="dxa"/>
            <w:gridSpan w:val="2"/>
            <w:vAlign w:val="center"/>
          </w:tcPr>
          <w:p w14:paraId="53475C50">
            <w:pPr>
              <w:adjustRightInd w:val="0"/>
              <w:spacing w:line="360" w:lineRule="auto"/>
              <w:jc w:val="center"/>
              <w:rPr>
                <w:rFonts w:ascii="宋体" w:hAnsi="宋体"/>
                <w:color w:val="auto"/>
                <w:sz w:val="24"/>
                <w:szCs w:val="20"/>
                <w:highlight w:val="none"/>
              </w:rPr>
            </w:pPr>
            <w:r>
              <w:rPr>
                <w:rFonts w:hint="eastAsia" w:ascii="宋体" w:hAnsi="宋体"/>
                <w:color w:val="auto"/>
                <w:sz w:val="24"/>
                <w:szCs w:val="20"/>
                <w:highlight w:val="none"/>
              </w:rPr>
              <w:t>质疑内容</w:t>
            </w:r>
          </w:p>
        </w:tc>
        <w:tc>
          <w:tcPr>
            <w:tcW w:w="2232" w:type="dxa"/>
            <w:vAlign w:val="center"/>
          </w:tcPr>
          <w:p w14:paraId="53475C51">
            <w:pPr>
              <w:adjustRightInd w:val="0"/>
              <w:spacing w:line="360" w:lineRule="auto"/>
              <w:jc w:val="center"/>
              <w:rPr>
                <w:rFonts w:ascii="宋体" w:hAnsi="宋体"/>
                <w:color w:val="auto"/>
                <w:sz w:val="24"/>
                <w:szCs w:val="20"/>
                <w:highlight w:val="none"/>
              </w:rPr>
            </w:pPr>
            <w:r>
              <w:rPr>
                <w:rFonts w:hint="eastAsia" w:ascii="宋体" w:hAnsi="宋体"/>
                <w:color w:val="auto"/>
                <w:sz w:val="24"/>
                <w:szCs w:val="20"/>
                <w:highlight w:val="none"/>
              </w:rPr>
              <w:t>质疑答复责任主体</w:t>
            </w:r>
          </w:p>
        </w:tc>
      </w:tr>
      <w:tr w14:paraId="53475C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Merge w:val="restart"/>
            <w:vAlign w:val="center"/>
          </w:tcPr>
          <w:p w14:paraId="53475C53">
            <w:pPr>
              <w:adjustRightInd w:val="0"/>
              <w:spacing w:line="360" w:lineRule="auto"/>
              <w:jc w:val="center"/>
              <w:rPr>
                <w:rFonts w:ascii="宋体" w:hAnsi="宋体"/>
                <w:color w:val="auto"/>
                <w:sz w:val="24"/>
                <w:szCs w:val="20"/>
                <w:highlight w:val="none"/>
              </w:rPr>
            </w:pPr>
            <w:r>
              <w:rPr>
                <w:rFonts w:hint="eastAsia" w:ascii="宋体" w:hAnsi="宋体"/>
                <w:color w:val="auto"/>
                <w:sz w:val="24"/>
                <w:szCs w:val="20"/>
                <w:highlight w:val="none"/>
              </w:rPr>
              <w:t>对采购文件提出质疑</w:t>
            </w:r>
          </w:p>
        </w:tc>
        <w:tc>
          <w:tcPr>
            <w:tcW w:w="4536" w:type="dxa"/>
            <w:vAlign w:val="center"/>
          </w:tcPr>
          <w:p w14:paraId="53475C54">
            <w:pPr>
              <w:adjustRightInd w:val="0"/>
              <w:spacing w:line="360" w:lineRule="auto"/>
              <w:jc w:val="left"/>
              <w:rPr>
                <w:rFonts w:ascii="宋体" w:hAnsi="宋体"/>
                <w:color w:val="auto"/>
                <w:sz w:val="24"/>
                <w:szCs w:val="20"/>
                <w:highlight w:val="none"/>
              </w:rPr>
            </w:pPr>
            <w:r>
              <w:rPr>
                <w:rFonts w:hint="eastAsia" w:ascii="宋体" w:hAnsi="宋体"/>
                <w:color w:val="auto"/>
                <w:sz w:val="24"/>
                <w:szCs w:val="20"/>
                <w:highlight w:val="none"/>
              </w:rPr>
              <w:t>对采购文件中特定资格条件、采购需求、评审办法、评审标准提出的质疑</w:t>
            </w:r>
          </w:p>
        </w:tc>
        <w:tc>
          <w:tcPr>
            <w:tcW w:w="2232" w:type="dxa"/>
            <w:vAlign w:val="center"/>
          </w:tcPr>
          <w:p w14:paraId="53475C55">
            <w:pPr>
              <w:adjustRightInd w:val="0"/>
              <w:spacing w:line="360" w:lineRule="auto"/>
              <w:jc w:val="center"/>
              <w:rPr>
                <w:rFonts w:ascii="宋体" w:hAnsi="宋体"/>
                <w:color w:val="auto"/>
                <w:sz w:val="24"/>
                <w:szCs w:val="20"/>
                <w:highlight w:val="none"/>
              </w:rPr>
            </w:pPr>
            <w:r>
              <w:rPr>
                <w:rFonts w:hint="eastAsia" w:ascii="宋体" w:hAnsi="宋体"/>
                <w:color w:val="auto"/>
                <w:sz w:val="24"/>
                <w:szCs w:val="20"/>
                <w:highlight w:val="none"/>
              </w:rPr>
              <w:t>采购人</w:t>
            </w:r>
          </w:p>
        </w:tc>
      </w:tr>
      <w:tr w14:paraId="53475C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Merge w:val="continue"/>
            <w:vAlign w:val="center"/>
          </w:tcPr>
          <w:p w14:paraId="53475C57">
            <w:pPr>
              <w:adjustRightInd w:val="0"/>
              <w:spacing w:line="360" w:lineRule="auto"/>
              <w:jc w:val="center"/>
              <w:rPr>
                <w:rFonts w:ascii="宋体" w:hAnsi="宋体"/>
                <w:color w:val="auto"/>
                <w:sz w:val="24"/>
                <w:szCs w:val="20"/>
                <w:highlight w:val="none"/>
              </w:rPr>
            </w:pPr>
          </w:p>
        </w:tc>
        <w:tc>
          <w:tcPr>
            <w:tcW w:w="4536" w:type="dxa"/>
            <w:vAlign w:val="center"/>
          </w:tcPr>
          <w:p w14:paraId="53475C58">
            <w:pPr>
              <w:adjustRightInd w:val="0"/>
              <w:spacing w:line="360" w:lineRule="auto"/>
              <w:jc w:val="left"/>
              <w:rPr>
                <w:rFonts w:ascii="宋体" w:hAnsi="宋体"/>
                <w:color w:val="auto"/>
                <w:sz w:val="24"/>
                <w:szCs w:val="20"/>
                <w:highlight w:val="none"/>
              </w:rPr>
            </w:pPr>
            <w:r>
              <w:rPr>
                <w:rFonts w:hint="eastAsia" w:ascii="宋体" w:hAnsi="宋体"/>
                <w:color w:val="auto"/>
                <w:sz w:val="24"/>
                <w:szCs w:val="20"/>
                <w:highlight w:val="none"/>
              </w:rPr>
              <w:t>对采购文件中其他内容提出的质疑</w:t>
            </w:r>
          </w:p>
        </w:tc>
        <w:tc>
          <w:tcPr>
            <w:tcW w:w="2232" w:type="dxa"/>
            <w:vAlign w:val="center"/>
          </w:tcPr>
          <w:p w14:paraId="53475C59">
            <w:pPr>
              <w:adjustRightInd w:val="0"/>
              <w:spacing w:line="360" w:lineRule="auto"/>
              <w:jc w:val="center"/>
              <w:rPr>
                <w:rFonts w:ascii="宋体" w:hAnsi="宋体"/>
                <w:color w:val="auto"/>
                <w:sz w:val="24"/>
                <w:szCs w:val="20"/>
                <w:highlight w:val="none"/>
              </w:rPr>
            </w:pPr>
            <w:r>
              <w:rPr>
                <w:rFonts w:hint="eastAsia" w:ascii="宋体" w:hAnsi="宋体"/>
                <w:color w:val="auto"/>
                <w:sz w:val="24"/>
                <w:szCs w:val="20"/>
                <w:highlight w:val="none"/>
              </w:rPr>
              <w:t>采购代理机构</w:t>
            </w:r>
          </w:p>
        </w:tc>
      </w:tr>
      <w:tr w14:paraId="53475C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Merge w:val="restart"/>
            <w:vAlign w:val="center"/>
          </w:tcPr>
          <w:p w14:paraId="53475C5B">
            <w:pPr>
              <w:adjustRightInd w:val="0"/>
              <w:spacing w:line="360" w:lineRule="auto"/>
              <w:jc w:val="center"/>
              <w:rPr>
                <w:rFonts w:ascii="宋体" w:hAnsi="宋体"/>
                <w:color w:val="auto"/>
                <w:sz w:val="24"/>
                <w:szCs w:val="20"/>
                <w:highlight w:val="none"/>
              </w:rPr>
            </w:pPr>
            <w:r>
              <w:rPr>
                <w:rFonts w:hint="eastAsia" w:ascii="宋体" w:hAnsi="宋体"/>
                <w:color w:val="auto"/>
                <w:sz w:val="24"/>
                <w:szCs w:val="20"/>
                <w:highlight w:val="none"/>
              </w:rPr>
              <w:t>对采购过程提出质疑</w:t>
            </w:r>
          </w:p>
        </w:tc>
        <w:tc>
          <w:tcPr>
            <w:tcW w:w="4536" w:type="dxa"/>
            <w:vAlign w:val="center"/>
          </w:tcPr>
          <w:p w14:paraId="53475C5C">
            <w:pPr>
              <w:adjustRightInd w:val="0"/>
              <w:spacing w:line="360" w:lineRule="auto"/>
              <w:jc w:val="left"/>
              <w:rPr>
                <w:rFonts w:ascii="宋体" w:hAnsi="宋体"/>
                <w:color w:val="auto"/>
                <w:sz w:val="24"/>
                <w:szCs w:val="20"/>
                <w:highlight w:val="none"/>
              </w:rPr>
            </w:pPr>
            <w:r>
              <w:rPr>
                <w:rFonts w:hint="eastAsia" w:ascii="宋体" w:hAnsi="宋体"/>
                <w:color w:val="auto"/>
                <w:sz w:val="24"/>
                <w:szCs w:val="20"/>
                <w:highlight w:val="none"/>
              </w:rPr>
              <w:t>有关现场考察或开启响应文件前答疑会事项提出的质疑</w:t>
            </w:r>
          </w:p>
        </w:tc>
        <w:tc>
          <w:tcPr>
            <w:tcW w:w="2232" w:type="dxa"/>
            <w:vAlign w:val="center"/>
          </w:tcPr>
          <w:p w14:paraId="53475C5D">
            <w:pPr>
              <w:adjustRightInd w:val="0"/>
              <w:spacing w:line="360" w:lineRule="auto"/>
              <w:jc w:val="center"/>
              <w:rPr>
                <w:rFonts w:ascii="宋体" w:hAnsi="宋体"/>
                <w:color w:val="auto"/>
                <w:sz w:val="24"/>
                <w:szCs w:val="20"/>
                <w:highlight w:val="none"/>
              </w:rPr>
            </w:pPr>
            <w:r>
              <w:rPr>
                <w:rFonts w:hint="eastAsia" w:ascii="宋体" w:hAnsi="宋体"/>
                <w:color w:val="auto"/>
                <w:sz w:val="24"/>
                <w:szCs w:val="20"/>
                <w:highlight w:val="none"/>
              </w:rPr>
              <w:t>采购人</w:t>
            </w:r>
          </w:p>
        </w:tc>
      </w:tr>
      <w:tr w14:paraId="53475C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Merge w:val="continue"/>
            <w:vAlign w:val="center"/>
          </w:tcPr>
          <w:p w14:paraId="53475C5F">
            <w:pPr>
              <w:adjustRightInd w:val="0"/>
              <w:spacing w:line="360" w:lineRule="auto"/>
              <w:jc w:val="center"/>
              <w:rPr>
                <w:rFonts w:ascii="宋体" w:hAnsi="宋体"/>
                <w:color w:val="auto"/>
                <w:sz w:val="24"/>
                <w:szCs w:val="20"/>
                <w:highlight w:val="none"/>
              </w:rPr>
            </w:pPr>
          </w:p>
        </w:tc>
        <w:tc>
          <w:tcPr>
            <w:tcW w:w="4536" w:type="dxa"/>
            <w:vAlign w:val="center"/>
          </w:tcPr>
          <w:p w14:paraId="53475C60">
            <w:pPr>
              <w:adjustRightInd w:val="0"/>
              <w:spacing w:line="360" w:lineRule="auto"/>
              <w:jc w:val="left"/>
              <w:rPr>
                <w:rFonts w:ascii="宋体" w:hAnsi="宋体"/>
                <w:color w:val="auto"/>
                <w:sz w:val="24"/>
                <w:szCs w:val="20"/>
                <w:highlight w:val="none"/>
              </w:rPr>
            </w:pPr>
            <w:r>
              <w:rPr>
                <w:rFonts w:hint="eastAsia" w:ascii="宋体" w:hAnsi="宋体"/>
                <w:color w:val="auto"/>
                <w:sz w:val="24"/>
                <w:szCs w:val="20"/>
                <w:highlight w:val="none"/>
              </w:rPr>
              <w:t>对采购过程中其它事项提出的质疑</w:t>
            </w:r>
          </w:p>
        </w:tc>
        <w:tc>
          <w:tcPr>
            <w:tcW w:w="2232" w:type="dxa"/>
            <w:vAlign w:val="center"/>
          </w:tcPr>
          <w:p w14:paraId="53475C61">
            <w:pPr>
              <w:adjustRightInd w:val="0"/>
              <w:spacing w:line="360" w:lineRule="auto"/>
              <w:jc w:val="center"/>
              <w:rPr>
                <w:rFonts w:ascii="宋体" w:hAnsi="宋体"/>
                <w:color w:val="auto"/>
                <w:sz w:val="24"/>
                <w:szCs w:val="20"/>
                <w:highlight w:val="none"/>
              </w:rPr>
            </w:pPr>
            <w:r>
              <w:rPr>
                <w:rFonts w:hint="eastAsia" w:ascii="宋体" w:hAnsi="宋体"/>
                <w:color w:val="auto"/>
                <w:sz w:val="24"/>
                <w:szCs w:val="20"/>
                <w:highlight w:val="none"/>
              </w:rPr>
              <w:t>采购代理机构</w:t>
            </w:r>
          </w:p>
        </w:tc>
      </w:tr>
      <w:tr w14:paraId="53475C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Align w:val="center"/>
          </w:tcPr>
          <w:p w14:paraId="53475C63">
            <w:pPr>
              <w:adjustRightInd w:val="0"/>
              <w:spacing w:line="360" w:lineRule="auto"/>
              <w:jc w:val="center"/>
              <w:rPr>
                <w:rFonts w:ascii="宋体" w:hAnsi="宋体"/>
                <w:color w:val="auto"/>
                <w:sz w:val="24"/>
                <w:szCs w:val="20"/>
                <w:highlight w:val="none"/>
              </w:rPr>
            </w:pPr>
            <w:r>
              <w:rPr>
                <w:rFonts w:hint="eastAsia" w:ascii="宋体" w:hAnsi="宋体"/>
                <w:color w:val="auto"/>
                <w:sz w:val="24"/>
                <w:szCs w:val="20"/>
                <w:highlight w:val="none"/>
              </w:rPr>
              <w:t>对采购结果提出质疑</w:t>
            </w:r>
          </w:p>
        </w:tc>
        <w:tc>
          <w:tcPr>
            <w:tcW w:w="4536" w:type="dxa"/>
            <w:vAlign w:val="center"/>
          </w:tcPr>
          <w:p w14:paraId="53475C64">
            <w:pPr>
              <w:adjustRightInd w:val="0"/>
              <w:spacing w:line="360" w:lineRule="auto"/>
              <w:jc w:val="left"/>
              <w:rPr>
                <w:rFonts w:ascii="宋体" w:hAnsi="宋体"/>
                <w:color w:val="auto"/>
                <w:sz w:val="24"/>
                <w:szCs w:val="20"/>
                <w:highlight w:val="none"/>
              </w:rPr>
            </w:pPr>
            <w:r>
              <w:rPr>
                <w:rFonts w:hint="eastAsia" w:ascii="宋体" w:hAnsi="宋体"/>
                <w:color w:val="auto"/>
                <w:sz w:val="24"/>
                <w:szCs w:val="20"/>
                <w:highlight w:val="none"/>
              </w:rPr>
              <w:t>对采购结果提出的质疑</w:t>
            </w:r>
          </w:p>
        </w:tc>
        <w:tc>
          <w:tcPr>
            <w:tcW w:w="2232" w:type="dxa"/>
            <w:vAlign w:val="center"/>
          </w:tcPr>
          <w:p w14:paraId="53475C65">
            <w:pPr>
              <w:adjustRightInd w:val="0"/>
              <w:spacing w:line="360" w:lineRule="auto"/>
              <w:jc w:val="center"/>
              <w:rPr>
                <w:rFonts w:ascii="宋体" w:hAnsi="宋体"/>
                <w:color w:val="auto"/>
                <w:sz w:val="24"/>
                <w:szCs w:val="20"/>
                <w:highlight w:val="none"/>
              </w:rPr>
            </w:pPr>
            <w:r>
              <w:rPr>
                <w:rFonts w:hint="eastAsia" w:ascii="宋体" w:hAnsi="宋体"/>
                <w:color w:val="auto"/>
                <w:sz w:val="24"/>
                <w:szCs w:val="20"/>
                <w:highlight w:val="none"/>
              </w:rPr>
              <w:t>采购代理机构</w:t>
            </w:r>
          </w:p>
        </w:tc>
      </w:tr>
    </w:tbl>
    <w:p w14:paraId="53475C67">
      <w:pPr>
        <w:adjustRightInd w:val="0"/>
        <w:spacing w:line="360" w:lineRule="auto"/>
        <w:ind w:firstLine="480" w:firstLineChars="200"/>
        <w:rPr>
          <w:rFonts w:ascii="宋体" w:hAnsi="宋体"/>
          <w:color w:val="auto"/>
          <w:sz w:val="24"/>
          <w:szCs w:val="20"/>
          <w:highlight w:val="none"/>
        </w:rPr>
      </w:pPr>
      <w:r>
        <w:rPr>
          <w:rFonts w:hint="eastAsia" w:ascii="宋体" w:hAnsi="宋体"/>
          <w:color w:val="auto"/>
          <w:sz w:val="24"/>
          <w:szCs w:val="20"/>
          <w:highlight w:val="none"/>
        </w:rPr>
        <w:t>注：采购人或代理机构应当协助质疑答复责任主体及时答复供应商的书面质疑。</w:t>
      </w:r>
    </w:p>
    <w:p w14:paraId="53475C68">
      <w:pPr>
        <w:adjustRightInd w:val="0"/>
        <w:spacing w:line="360" w:lineRule="auto"/>
        <w:ind w:firstLine="480" w:firstLineChars="200"/>
        <w:rPr>
          <w:rFonts w:ascii="宋体" w:hAnsi="宋体"/>
          <w:color w:val="auto"/>
          <w:sz w:val="24"/>
          <w:szCs w:val="20"/>
          <w:highlight w:val="none"/>
        </w:rPr>
      </w:pPr>
      <w:r>
        <w:rPr>
          <w:rFonts w:hint="eastAsia" w:ascii="宋体" w:hAnsi="宋体"/>
          <w:color w:val="auto"/>
          <w:sz w:val="24"/>
          <w:szCs w:val="20"/>
          <w:highlight w:val="none"/>
        </w:rPr>
        <w:t>31.5.2采购人或者采购代理机构应当在收到供应商的书面质疑后七个工作日内作出答复，并以书面形式通知质疑供应商和其他与质疑处理结果有利害关系的政府采购当事人，但答复的内容不得涉及商业秘密。</w:t>
      </w:r>
    </w:p>
    <w:p w14:paraId="53475C69">
      <w:pPr>
        <w:adjustRightInd w:val="0"/>
        <w:spacing w:line="360" w:lineRule="auto"/>
        <w:ind w:firstLine="480" w:firstLineChars="200"/>
        <w:rPr>
          <w:rFonts w:ascii="宋体" w:hAnsi="宋体"/>
          <w:color w:val="auto"/>
          <w:sz w:val="24"/>
          <w:szCs w:val="20"/>
          <w:highlight w:val="none"/>
        </w:rPr>
      </w:pPr>
      <w:r>
        <w:rPr>
          <w:rFonts w:hint="eastAsia" w:ascii="宋体" w:hAnsi="宋体"/>
          <w:color w:val="auto"/>
          <w:sz w:val="24"/>
          <w:szCs w:val="20"/>
          <w:highlight w:val="none"/>
        </w:rPr>
        <w:t>31.5.3询问或者质疑事项可能影响采购结果的，采购人应当暂停签订合同，已经签订合同的，应当中止履行合同。</w:t>
      </w:r>
    </w:p>
    <w:p w14:paraId="53475C6A">
      <w:pPr>
        <w:spacing w:line="360" w:lineRule="auto"/>
        <w:ind w:firstLine="480" w:firstLineChars="200"/>
        <w:rPr>
          <w:rFonts w:ascii="宋体" w:hAnsi="宋体"/>
          <w:color w:val="auto"/>
          <w:sz w:val="24"/>
          <w:highlight w:val="none"/>
          <w:lang w:val="zh-CN"/>
        </w:rPr>
      </w:pPr>
      <w:r>
        <w:rPr>
          <w:rFonts w:hint="eastAsia" w:ascii="宋体" w:hAnsi="宋体"/>
          <w:color w:val="auto"/>
          <w:sz w:val="24"/>
          <w:szCs w:val="20"/>
          <w:highlight w:val="none"/>
        </w:rPr>
        <w:t>31.5.4</w:t>
      </w:r>
      <w:r>
        <w:rPr>
          <w:rFonts w:hint="eastAsia" w:ascii="宋体" w:hAnsi="宋体"/>
          <w:color w:val="auto"/>
          <w:sz w:val="24"/>
          <w:highlight w:val="none"/>
          <w:lang w:val="zh-CN"/>
        </w:rPr>
        <w:t>根据《北海市财政局  北海市政府采购中心关于启用政府采购在线询问、质疑、投诉功能的通知》（北财采〔2022〕23号）文件要求，鼓励供应商在线提起询问、质疑、投诉，路径为：供应商可通过北海“广西政府采购云”平台进入“项目采购-询问质疑投诉”栏目在线提起询问、质疑，对质疑答复不满意或者未收到答复的可以向监督部门在线提起投诉。内外资企业在政府采购活动中，凡认为采购文件、采购过程、中标或者成交结果使自身权益受到损害的，均可依照相关规定提起质疑和投诉。</w:t>
      </w:r>
    </w:p>
    <w:p w14:paraId="53475C6B">
      <w:pPr>
        <w:pStyle w:val="101"/>
        <w:rPr>
          <w:rFonts w:cs="宋体"/>
          <w:color w:val="auto"/>
          <w:highlight w:val="none"/>
        </w:rPr>
      </w:pPr>
      <w:r>
        <w:rPr>
          <w:rFonts w:hint="eastAsia"/>
          <w:color w:val="auto"/>
          <w:highlight w:val="none"/>
        </w:rPr>
        <w:t>询问联系部门：</w:t>
      </w:r>
      <w:r>
        <w:rPr>
          <w:rFonts w:hint="eastAsia"/>
          <w:color w:val="auto"/>
          <w:highlight w:val="none"/>
          <w:lang w:eastAsia="zh-CN"/>
        </w:rPr>
        <w:t>广西中之元工程管理有限公司</w:t>
      </w:r>
      <w:r>
        <w:rPr>
          <w:rFonts w:hint="eastAsia"/>
          <w:color w:val="auto"/>
          <w:highlight w:val="none"/>
        </w:rPr>
        <w:t xml:space="preserve">   联系电话：</w:t>
      </w:r>
      <w:r>
        <w:rPr>
          <w:rFonts w:hint="eastAsia" w:cs="宋体"/>
          <w:color w:val="auto"/>
          <w:highlight w:val="none"/>
          <w:lang w:eastAsia="zh-CN"/>
        </w:rPr>
        <w:t>0779-7200788</w:t>
      </w:r>
      <w:r>
        <w:rPr>
          <w:rFonts w:hint="eastAsia" w:cs="宋体"/>
          <w:color w:val="auto"/>
          <w:highlight w:val="none"/>
        </w:rPr>
        <w:t xml:space="preserve"> </w:t>
      </w:r>
    </w:p>
    <w:p w14:paraId="53475C6C">
      <w:pPr>
        <w:pStyle w:val="101"/>
        <w:ind w:left="479" w:leftChars="228" w:firstLine="0"/>
        <w:rPr>
          <w:color w:val="auto"/>
          <w:highlight w:val="none"/>
        </w:rPr>
      </w:pPr>
      <w:r>
        <w:rPr>
          <w:rFonts w:hint="eastAsia"/>
          <w:color w:val="auto"/>
          <w:highlight w:val="none"/>
        </w:rPr>
        <w:t>质疑联系部门：</w:t>
      </w:r>
      <w:r>
        <w:rPr>
          <w:rFonts w:hint="eastAsia"/>
          <w:color w:val="auto"/>
          <w:highlight w:val="none"/>
          <w:lang w:eastAsia="zh-CN"/>
        </w:rPr>
        <w:t>广西中之元工程管理有限公司</w:t>
      </w:r>
      <w:r>
        <w:rPr>
          <w:rFonts w:hint="eastAsia"/>
          <w:color w:val="auto"/>
          <w:highlight w:val="none"/>
        </w:rPr>
        <w:t xml:space="preserve"> </w:t>
      </w:r>
      <w:r>
        <w:rPr>
          <w:rFonts w:hint="eastAsia"/>
          <w:color w:val="auto"/>
          <w:highlight w:val="none"/>
          <w:lang w:val="en-US" w:eastAsia="zh-CN"/>
        </w:rPr>
        <w:t xml:space="preserve">   </w:t>
      </w:r>
      <w:r>
        <w:rPr>
          <w:rFonts w:hint="eastAsia"/>
          <w:color w:val="auto"/>
          <w:highlight w:val="none"/>
        </w:rPr>
        <w:t>联系电话：</w:t>
      </w:r>
      <w:r>
        <w:rPr>
          <w:rFonts w:hint="eastAsia" w:cs="宋体"/>
          <w:color w:val="auto"/>
          <w:highlight w:val="none"/>
          <w:lang w:eastAsia="zh-CN"/>
        </w:rPr>
        <w:t>0779-7200788</w:t>
      </w:r>
      <w:r>
        <w:rPr>
          <w:rFonts w:hint="eastAsia" w:cs="宋体"/>
          <w:color w:val="auto"/>
          <w:highlight w:val="none"/>
        </w:rPr>
        <w:t xml:space="preserve"> </w:t>
      </w:r>
      <w:r>
        <w:rPr>
          <w:rFonts w:hint="eastAsia"/>
          <w:color w:val="auto"/>
          <w:highlight w:val="none"/>
        </w:rPr>
        <w:t xml:space="preserve">       </w:t>
      </w:r>
    </w:p>
    <w:p w14:paraId="53475C6D">
      <w:pPr>
        <w:pStyle w:val="101"/>
        <w:rPr>
          <w:color w:val="auto"/>
          <w:highlight w:val="none"/>
        </w:rPr>
      </w:pPr>
      <w:r>
        <w:rPr>
          <w:rFonts w:hint="eastAsia"/>
          <w:color w:val="auto"/>
          <w:highlight w:val="none"/>
        </w:rPr>
        <w:t>投诉联系部门：</w:t>
      </w:r>
      <w:r>
        <w:rPr>
          <w:rFonts w:hint="eastAsia" w:hAnsi="宋体"/>
          <w:bCs/>
          <w:color w:val="auto"/>
          <w:sz w:val="24"/>
          <w:szCs w:val="24"/>
          <w:highlight w:val="none"/>
        </w:rPr>
        <w:t>合浦县</w:t>
      </w:r>
      <w:r>
        <w:rPr>
          <w:rFonts w:hint="eastAsia" w:hAnsi="宋体"/>
          <w:bCs/>
          <w:color w:val="auto"/>
          <w:sz w:val="24"/>
          <w:szCs w:val="24"/>
          <w:highlight w:val="none"/>
          <w:lang w:eastAsia="zh-CN"/>
        </w:rPr>
        <w:t>财政局政府采购监督管理股</w:t>
      </w:r>
      <w:r>
        <w:rPr>
          <w:rFonts w:hint="eastAsia" w:hAnsi="宋体"/>
          <w:bCs/>
          <w:color w:val="auto"/>
          <w:sz w:val="24"/>
          <w:szCs w:val="24"/>
          <w:highlight w:val="none"/>
        </w:rPr>
        <w:t xml:space="preserve"> </w:t>
      </w:r>
      <w:r>
        <w:rPr>
          <w:rFonts w:hint="eastAsia"/>
          <w:color w:val="auto"/>
          <w:highlight w:val="none"/>
          <w:lang w:val="en-US" w:eastAsia="zh-CN"/>
        </w:rPr>
        <w:t xml:space="preserve"> </w:t>
      </w:r>
      <w:r>
        <w:rPr>
          <w:rFonts w:hint="eastAsia"/>
          <w:color w:val="auto"/>
          <w:highlight w:val="none"/>
        </w:rPr>
        <w:t>联系电话：</w:t>
      </w:r>
      <w:r>
        <w:rPr>
          <w:rFonts w:hint="eastAsia" w:hAnsi="宋体"/>
          <w:bCs/>
          <w:color w:val="auto"/>
          <w:sz w:val="24"/>
          <w:szCs w:val="24"/>
          <w:highlight w:val="none"/>
        </w:rPr>
        <w:t>0779-</w:t>
      </w:r>
      <w:r>
        <w:rPr>
          <w:rFonts w:hint="eastAsia" w:hAnsi="宋体"/>
          <w:bCs/>
          <w:color w:val="auto"/>
          <w:sz w:val="24"/>
          <w:szCs w:val="24"/>
          <w:highlight w:val="none"/>
          <w:lang w:eastAsia="zh-CN"/>
        </w:rPr>
        <w:t>7200908</w:t>
      </w:r>
      <w:r>
        <w:rPr>
          <w:rFonts w:hint="eastAsia" w:hAnsi="宋体"/>
          <w:bCs/>
          <w:color w:val="auto"/>
          <w:sz w:val="24"/>
          <w:szCs w:val="24"/>
          <w:highlight w:val="none"/>
        </w:rPr>
        <w:t xml:space="preserve"> </w:t>
      </w:r>
    </w:p>
    <w:p w14:paraId="53475C6E">
      <w:pPr>
        <w:adjustRightInd w:val="0"/>
        <w:snapToGrid w:val="0"/>
        <w:spacing w:line="360" w:lineRule="auto"/>
        <w:ind w:firstLine="482" w:firstLineChars="200"/>
        <w:rPr>
          <w:rFonts w:ascii="宋体" w:hAnsi="宋体"/>
          <w:b/>
          <w:color w:val="auto"/>
          <w:sz w:val="24"/>
          <w:highlight w:val="none"/>
        </w:rPr>
      </w:pPr>
      <w:r>
        <w:rPr>
          <w:rFonts w:hint="eastAsia" w:ascii="宋体" w:hAnsi="宋体"/>
          <w:b/>
          <w:color w:val="auto"/>
          <w:sz w:val="24"/>
          <w:highlight w:val="none"/>
        </w:rPr>
        <w:t>十五、其他事项</w:t>
      </w:r>
    </w:p>
    <w:p w14:paraId="53475C6F">
      <w:pPr>
        <w:spacing w:line="360" w:lineRule="auto"/>
        <w:ind w:firstLine="482" w:firstLineChars="200"/>
        <w:rPr>
          <w:rFonts w:ascii="宋体" w:hAnsi="宋体" w:cs="宋体"/>
          <w:b/>
          <w:color w:val="auto"/>
          <w:sz w:val="24"/>
          <w:highlight w:val="none"/>
        </w:rPr>
      </w:pPr>
      <w:r>
        <w:rPr>
          <w:rFonts w:hint="eastAsia" w:ascii="宋体" w:hAnsi="宋体"/>
          <w:b/>
          <w:color w:val="auto"/>
          <w:sz w:val="24"/>
          <w:highlight w:val="none"/>
        </w:rPr>
        <w:t>32</w:t>
      </w:r>
      <w:r>
        <w:rPr>
          <w:rFonts w:hint="eastAsia" w:ascii="宋体" w:hAnsi="宋体" w:cs="宋体"/>
          <w:b/>
          <w:color w:val="auto"/>
          <w:sz w:val="24"/>
          <w:highlight w:val="none"/>
        </w:rPr>
        <w:t>代理费用的收取标准和方式（适用于有权收取代理费用的采购代理机构）</w:t>
      </w:r>
    </w:p>
    <w:p w14:paraId="53475C70">
      <w:pPr>
        <w:adjustRightInd w:val="0"/>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32.1采购代理费支付方式：</w:t>
      </w:r>
    </w:p>
    <w:p w14:paraId="53475C71">
      <w:pPr>
        <w:adjustRightInd w:val="0"/>
        <w:snapToGrid w:val="0"/>
        <w:spacing w:line="360" w:lineRule="auto"/>
        <w:ind w:firstLine="480" w:firstLineChars="200"/>
        <w:jc w:val="left"/>
        <w:rPr>
          <w:rFonts w:ascii="宋体" w:hAnsi="宋体" w:cs="宋体"/>
          <w:color w:val="auto"/>
          <w:sz w:val="24"/>
          <w:highlight w:val="none"/>
        </w:rPr>
      </w:pPr>
      <w:r>
        <w:rPr>
          <w:rFonts w:hint="eastAsia" w:ascii="MS Mincho" w:hAnsi="MS Mincho" w:eastAsia="MS Mincho" w:cs="宋体"/>
          <w:color w:val="auto"/>
          <w:sz w:val="24"/>
          <w:highlight w:val="none"/>
        </w:rPr>
        <w:t>☑</w:t>
      </w:r>
      <w:r>
        <w:rPr>
          <w:rFonts w:hint="eastAsia" w:ascii="宋体" w:hAnsi="宋体" w:cs="宋体"/>
          <w:color w:val="auto"/>
          <w:sz w:val="24"/>
          <w:highlight w:val="none"/>
        </w:rPr>
        <w:t>本项目代理服务费由成交供应商一次性向采购代理机构支付。</w:t>
      </w:r>
    </w:p>
    <w:p w14:paraId="53475C72">
      <w:pPr>
        <w:adjustRightInd w:val="0"/>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□采购人支付。</w:t>
      </w:r>
    </w:p>
    <w:p w14:paraId="53475C73">
      <w:pPr>
        <w:adjustRightInd w:val="0"/>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32.2采购代理费收取标准：</w:t>
      </w:r>
    </w:p>
    <w:p w14:paraId="53475C74">
      <w:pPr>
        <w:adjustRightInd w:val="0"/>
        <w:snapToGrid w:val="0"/>
        <w:spacing w:line="360" w:lineRule="auto"/>
        <w:ind w:firstLine="480" w:firstLineChars="200"/>
        <w:jc w:val="left"/>
        <w:rPr>
          <w:rFonts w:ascii="宋体" w:hAnsi="宋体" w:cs="宋体"/>
          <w:color w:val="auto"/>
          <w:sz w:val="24"/>
          <w:highlight w:val="none"/>
        </w:rPr>
      </w:pPr>
      <w:r>
        <w:rPr>
          <w:rFonts w:hint="eastAsia" w:ascii="MS Mincho" w:hAnsi="MS Mincho" w:eastAsia="MS Mincho" w:cs="宋体"/>
          <w:color w:val="auto"/>
          <w:sz w:val="24"/>
          <w:highlight w:val="none"/>
        </w:rPr>
        <w:t>☑</w:t>
      </w:r>
      <w:r>
        <w:rPr>
          <w:rFonts w:hint="eastAsia" w:ascii="宋体" w:hAnsi="宋体" w:cs="宋体"/>
          <w:color w:val="auto"/>
          <w:sz w:val="24"/>
          <w:highlight w:val="none"/>
        </w:rPr>
        <w:t>以分标（</w:t>
      </w:r>
      <w:r>
        <w:rPr>
          <w:rFonts w:hint="eastAsia" w:ascii="MS Mincho" w:hAnsi="MS Mincho" w:eastAsia="MS Mincho" w:cs="宋体"/>
          <w:color w:val="auto"/>
          <w:sz w:val="24"/>
          <w:highlight w:val="none"/>
        </w:rPr>
        <w:t>☑</w:t>
      </w:r>
      <w:r>
        <w:rPr>
          <w:rFonts w:hint="eastAsia" w:ascii="宋体" w:hAnsi="宋体" w:cs="宋体"/>
          <w:color w:val="auto"/>
          <w:sz w:val="24"/>
          <w:highlight w:val="none"/>
        </w:rPr>
        <w:t>成交金额</w:t>
      </w:r>
      <w:r>
        <w:rPr>
          <w:rFonts w:ascii="宋体" w:hAnsi="宋体" w:cs="宋体"/>
          <w:color w:val="auto"/>
          <w:sz w:val="24"/>
          <w:highlight w:val="none"/>
        </w:rPr>
        <w:t>/</w:t>
      </w:r>
      <w:r>
        <w:rPr>
          <w:rFonts w:hint="eastAsia" w:ascii="宋体" w:hAnsi="宋体" w:cs="宋体"/>
          <w:color w:val="auto"/>
          <w:sz w:val="24"/>
          <w:highlight w:val="none"/>
        </w:rPr>
        <w:t>□采购预算</w:t>
      </w:r>
      <w:r>
        <w:rPr>
          <w:rFonts w:ascii="宋体" w:hAnsi="宋体" w:cs="宋体"/>
          <w:color w:val="auto"/>
          <w:sz w:val="24"/>
          <w:highlight w:val="none"/>
        </w:rPr>
        <w:t>/</w:t>
      </w:r>
      <w:r>
        <w:rPr>
          <w:rFonts w:hint="eastAsia" w:ascii="宋体" w:hAnsi="宋体" w:cs="宋体"/>
          <w:color w:val="auto"/>
          <w:sz w:val="24"/>
          <w:highlight w:val="none"/>
        </w:rPr>
        <w:t>□暂定成交金额</w:t>
      </w:r>
      <w:r>
        <w:rPr>
          <w:rFonts w:ascii="宋体" w:hAnsi="宋体" w:cs="宋体"/>
          <w:color w:val="auto"/>
          <w:sz w:val="24"/>
          <w:highlight w:val="none"/>
        </w:rPr>
        <w:t>/</w:t>
      </w:r>
      <w:r>
        <w:rPr>
          <w:rFonts w:hint="eastAsia" w:ascii="宋体" w:hAnsi="宋体" w:cs="宋体"/>
          <w:color w:val="auto"/>
          <w:sz w:val="24"/>
          <w:highlight w:val="none"/>
        </w:rPr>
        <w:t>□其他</w:t>
      </w:r>
      <w:r>
        <w:rPr>
          <w:rFonts w:ascii="宋体" w:hAnsi="宋体" w:cs="宋体"/>
          <w:color w:val="auto"/>
          <w:sz w:val="24"/>
          <w:highlight w:val="none"/>
        </w:rPr>
        <w:t xml:space="preserve"> / </w:t>
      </w:r>
      <w:r>
        <w:rPr>
          <w:rFonts w:hint="eastAsia" w:ascii="宋体" w:hAnsi="宋体" w:cs="宋体"/>
          <w:color w:val="auto"/>
          <w:sz w:val="24"/>
          <w:highlight w:val="none"/>
        </w:rPr>
        <w:t>）为计费额，按代理服务收费标准</w:t>
      </w:r>
      <w:r>
        <w:rPr>
          <w:rFonts w:hint="eastAsia" w:ascii="宋体" w:hAnsi="宋体" w:cs="宋体"/>
          <w:color w:val="auto"/>
          <w:sz w:val="24"/>
          <w:highlight w:val="none"/>
        </w:rPr>
        <w:t>（□货物类</w:t>
      </w:r>
      <w:r>
        <w:rPr>
          <w:rFonts w:ascii="宋体" w:hAnsi="宋体" w:cs="宋体"/>
          <w:color w:val="auto"/>
          <w:sz w:val="24"/>
          <w:highlight w:val="none"/>
        </w:rPr>
        <w:t>/</w:t>
      </w:r>
      <w:r>
        <w:rPr>
          <w:rFonts w:hint="eastAsia" w:ascii="宋体" w:hAnsi="宋体" w:cs="宋体"/>
          <w:color w:val="auto"/>
          <w:sz w:val="24"/>
          <w:highlight w:val="none"/>
        </w:rPr>
        <w:t>□服务类</w:t>
      </w:r>
      <w:r>
        <w:rPr>
          <w:rFonts w:ascii="宋体" w:hAnsi="宋体" w:cs="宋体"/>
          <w:color w:val="auto"/>
          <w:sz w:val="24"/>
          <w:highlight w:val="none"/>
        </w:rPr>
        <w:t>/</w:t>
      </w:r>
      <w:r>
        <w:rPr>
          <w:rFonts w:hint="eastAsia" w:ascii="MS Mincho" w:hAnsi="MS Mincho" w:eastAsia="MS Mincho" w:cs="宋体"/>
          <w:color w:val="auto"/>
          <w:sz w:val="24"/>
          <w:highlight w:val="none"/>
        </w:rPr>
        <w:t>☑</w:t>
      </w:r>
      <w:r>
        <w:rPr>
          <w:rFonts w:hint="eastAsia" w:ascii="宋体" w:hAnsi="宋体" w:cs="宋体"/>
          <w:color w:val="auto"/>
          <w:sz w:val="24"/>
          <w:highlight w:val="none"/>
        </w:rPr>
        <w:t>工程类）采用差额定率累进法计算出收费基准价格，</w:t>
      </w:r>
      <w:r>
        <w:rPr>
          <w:rFonts w:hint="eastAsia" w:ascii="宋体" w:hAnsi="宋体" w:cs="宋体"/>
          <w:color w:val="auto"/>
          <w:sz w:val="24"/>
          <w:highlight w:val="none"/>
          <w:lang w:eastAsia="zh-CN"/>
        </w:rPr>
        <w:t>采购代理收费以(□收费基准价格/</w:t>
      </w:r>
      <w:r>
        <w:rPr>
          <w:rFonts w:hint="eastAsia" w:ascii="宋体" w:hAnsi="宋体" w:cs="宋体"/>
          <w:color w:val="auto"/>
          <w:sz w:val="24"/>
          <w:highlight w:val="none"/>
          <w:lang w:eastAsia="zh-CN"/>
        </w:rPr>
        <w:sym w:font="Wingdings" w:char="00FE"/>
      </w:r>
      <w:r>
        <w:rPr>
          <w:rFonts w:hint="eastAsia" w:ascii="宋体" w:hAnsi="宋体" w:cs="宋体"/>
          <w:color w:val="auto"/>
          <w:sz w:val="24"/>
          <w:highlight w:val="none"/>
          <w:lang w:eastAsia="zh-CN"/>
        </w:rPr>
        <w:t>收费基准价格下浮</w:t>
      </w:r>
      <w:r>
        <w:rPr>
          <w:rFonts w:hint="eastAsia" w:ascii="宋体" w:hAnsi="宋体" w:cs="宋体"/>
          <w:color w:val="auto"/>
          <w:sz w:val="24"/>
          <w:highlight w:val="none"/>
          <w:lang w:val="en-US" w:eastAsia="zh-CN"/>
        </w:rPr>
        <w:t>40%</w:t>
      </w:r>
      <w:r>
        <w:rPr>
          <w:rFonts w:hint="eastAsia" w:ascii="宋体" w:hAnsi="宋体" w:cs="宋体"/>
          <w:color w:val="auto"/>
          <w:sz w:val="24"/>
          <w:highlight w:val="none"/>
          <w:lang w:eastAsia="zh-CN"/>
        </w:rPr>
        <w:t>/□收费基准价格上浮</w:t>
      </w:r>
      <w:r>
        <w:rPr>
          <w:rFonts w:hint="eastAsia" w:ascii="宋体" w:hAnsi="宋体" w:cs="宋体"/>
          <w:color w:val="auto"/>
          <w:sz w:val="24"/>
          <w:highlight w:val="none"/>
          <w:u w:val="single"/>
          <w:lang w:eastAsia="zh-CN"/>
        </w:rPr>
        <w:t xml:space="preserve">     </w:t>
      </w:r>
      <w:r>
        <w:rPr>
          <w:rFonts w:hint="eastAsia" w:ascii="宋体" w:hAnsi="宋体" w:cs="宋体"/>
          <w:color w:val="auto"/>
          <w:sz w:val="24"/>
          <w:highlight w:val="none"/>
          <w:lang w:eastAsia="zh-CN"/>
        </w:rPr>
        <w:t>%）收取。（注：若计算后不足5000.00元时按5000.00元收取）</w:t>
      </w:r>
    </w:p>
    <w:p w14:paraId="53475C75">
      <w:pPr>
        <w:adjustRightInd w:val="0"/>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□固定采购代理收费。</w:t>
      </w:r>
    </w:p>
    <w:p w14:paraId="53475C76">
      <w:pPr>
        <w:adjustRightInd w:val="0"/>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32.3采购代理费收取银行账户</w:t>
      </w:r>
    </w:p>
    <w:p w14:paraId="78175188">
      <w:pPr>
        <w:adjustRightInd w:val="0"/>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开户名称：</w:t>
      </w:r>
      <w:r>
        <w:rPr>
          <w:rFonts w:ascii="宋体" w:hAnsi="宋体" w:cs="Arial"/>
          <w:color w:val="auto"/>
          <w:kern w:val="2"/>
          <w:sz w:val="24"/>
          <w:szCs w:val="24"/>
          <w:highlight w:val="none"/>
          <w:lang w:val="en-US" w:eastAsia="zh-CN" w:bidi="ar-SA"/>
        </w:rPr>
        <w:t>广西中之元工程管理有限公司</w:t>
      </w:r>
      <w:r>
        <w:rPr>
          <w:rFonts w:hint="eastAsia" w:ascii="宋体" w:hAnsi="宋体" w:cs="宋体"/>
          <w:color w:val="auto"/>
          <w:sz w:val="24"/>
          <w:highlight w:val="none"/>
        </w:rPr>
        <w:t xml:space="preserve"> </w:t>
      </w:r>
    </w:p>
    <w:p w14:paraId="7E2FE1C6">
      <w:pPr>
        <w:adjustRightInd w:val="0"/>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开户银行：</w:t>
      </w:r>
      <w:r>
        <w:rPr>
          <w:rFonts w:hint="eastAsia" w:ascii="宋体" w:hAnsi="宋体" w:cs="Arial"/>
          <w:color w:val="auto"/>
          <w:kern w:val="2"/>
          <w:sz w:val="24"/>
          <w:szCs w:val="24"/>
          <w:highlight w:val="none"/>
          <w:lang w:val="en-US" w:eastAsia="zh-CN" w:bidi="ar-SA"/>
        </w:rPr>
        <w:t>中国建设银行股份有限公司广西自贸试验区南宁片区五象支行</w:t>
      </w:r>
      <w:r>
        <w:rPr>
          <w:rFonts w:hint="eastAsia" w:ascii="宋体" w:hAnsi="宋体" w:cs="宋体"/>
          <w:color w:val="auto"/>
          <w:sz w:val="24"/>
          <w:highlight w:val="none"/>
        </w:rPr>
        <w:t xml:space="preserve"> </w:t>
      </w:r>
    </w:p>
    <w:p w14:paraId="7FD1D935">
      <w:pPr>
        <w:adjustRightInd w:val="0"/>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银行账号：</w:t>
      </w:r>
      <w:r>
        <w:rPr>
          <w:rFonts w:hint="eastAsia" w:ascii="宋体" w:hAnsi="宋体" w:cs="Arial"/>
          <w:color w:val="auto"/>
          <w:kern w:val="2"/>
          <w:sz w:val="24"/>
          <w:szCs w:val="24"/>
          <w:highlight w:val="none"/>
          <w:lang w:val="en-US" w:eastAsia="zh-CN" w:bidi="ar-SA"/>
        </w:rPr>
        <w:t>45050160500100000543</w:t>
      </w:r>
    </w:p>
    <w:p w14:paraId="53475C7A">
      <w:pPr>
        <w:spacing w:line="360" w:lineRule="auto"/>
        <w:ind w:firstLine="480" w:firstLineChars="200"/>
        <w:rPr>
          <w:rFonts w:ascii="宋体" w:hAnsi="宋体" w:cs="宋体"/>
          <w:bCs/>
          <w:color w:val="auto"/>
          <w:sz w:val="24"/>
          <w:highlight w:val="none"/>
        </w:rPr>
      </w:pPr>
      <w:r>
        <w:rPr>
          <w:rFonts w:hint="eastAsia" w:ascii="宋体" w:hAnsi="宋体" w:cs="宋体"/>
          <w:bCs/>
          <w:color w:val="auto"/>
          <w:sz w:val="24"/>
          <w:highlight w:val="none"/>
        </w:rPr>
        <w:t>32.4代理服务收费标准：</w:t>
      </w:r>
      <w:r>
        <w:rPr>
          <w:rFonts w:hint="eastAsia" w:ascii="宋体" w:hAnsi="宋体" w:cs="宋体"/>
          <w:bCs/>
          <w:color w:val="auto"/>
          <w:sz w:val="24"/>
          <w:highlight w:val="none"/>
          <w:lang w:eastAsia="zh-CN"/>
        </w:rPr>
        <w:t>依据《广西壮族自治区工程建设其他费用定额》（桂建标〔2018〕第37号）及《合浦县政府投资项目服务性收费指导意见》相关规定，项目招标控制价100万以下的，招标代理服务费≤招标控制价*6.3‰*</w:t>
      </w:r>
      <w:r>
        <w:rPr>
          <w:rFonts w:hint="eastAsia" w:ascii="宋体" w:hAnsi="宋体" w:cs="宋体"/>
          <w:bCs/>
          <w:color w:val="auto"/>
          <w:sz w:val="24"/>
          <w:highlight w:val="none"/>
          <w:lang w:val="en-US" w:eastAsia="zh-CN"/>
        </w:rPr>
        <w:t>55</w:t>
      </w:r>
      <w:r>
        <w:rPr>
          <w:rFonts w:hint="eastAsia" w:ascii="宋体" w:hAnsi="宋体" w:cs="宋体"/>
          <w:bCs/>
          <w:color w:val="auto"/>
          <w:sz w:val="24"/>
          <w:highlight w:val="none"/>
          <w:lang w:eastAsia="zh-CN"/>
        </w:rPr>
        <w:t>%；项目招标控制价100—500万的，招标代理服务费≤[100万*6.3‰+（招标控制价-100万）*4.41‰]*</w:t>
      </w:r>
      <w:r>
        <w:rPr>
          <w:rFonts w:hint="eastAsia" w:ascii="宋体" w:hAnsi="宋体" w:cs="宋体"/>
          <w:bCs/>
          <w:color w:val="auto"/>
          <w:sz w:val="24"/>
          <w:highlight w:val="none"/>
          <w:lang w:val="en-US" w:eastAsia="zh-CN"/>
        </w:rPr>
        <w:t>55</w:t>
      </w:r>
      <w:r>
        <w:rPr>
          <w:rFonts w:hint="eastAsia" w:ascii="宋体" w:hAnsi="宋体" w:cs="宋体"/>
          <w:bCs/>
          <w:color w:val="auto"/>
          <w:sz w:val="24"/>
          <w:highlight w:val="none"/>
          <w:lang w:eastAsia="zh-CN"/>
        </w:rPr>
        <w:t>%。计算后不足5000.00元时按5000.00元收取。</w:t>
      </w:r>
    </w:p>
    <w:p w14:paraId="53475C7B">
      <w:pPr>
        <w:spacing w:line="360" w:lineRule="auto"/>
        <w:ind w:firstLine="482" w:firstLineChars="200"/>
        <w:rPr>
          <w:rFonts w:ascii="宋体" w:hAnsi="宋体"/>
          <w:b/>
          <w:color w:val="auto"/>
          <w:sz w:val="24"/>
          <w:highlight w:val="none"/>
        </w:rPr>
      </w:pPr>
      <w:r>
        <w:rPr>
          <w:rFonts w:hint="eastAsia" w:ascii="宋体" w:hAnsi="宋体"/>
          <w:b/>
          <w:color w:val="auto"/>
          <w:sz w:val="24"/>
          <w:highlight w:val="none"/>
        </w:rPr>
        <w:t>33</w:t>
      </w:r>
      <w:r>
        <w:rPr>
          <w:rFonts w:ascii="宋体" w:hAnsi="宋体"/>
          <w:b/>
          <w:color w:val="auto"/>
          <w:sz w:val="24"/>
          <w:highlight w:val="none"/>
        </w:rPr>
        <w:t>解释权</w:t>
      </w:r>
    </w:p>
    <w:p w14:paraId="53475C7C">
      <w:pPr>
        <w:pStyle w:val="23"/>
        <w:adjustRightInd w:val="0"/>
        <w:snapToGrid w:val="0"/>
        <w:spacing w:line="360" w:lineRule="auto"/>
        <w:ind w:firstLine="464" w:firstLineChars="200"/>
        <w:rPr>
          <w:rFonts w:hAnsi="宋体"/>
          <w:color w:val="auto"/>
          <w:spacing w:val="-4"/>
          <w:sz w:val="24"/>
          <w:szCs w:val="24"/>
          <w:highlight w:val="none"/>
        </w:rPr>
      </w:pPr>
      <w:r>
        <w:rPr>
          <w:rFonts w:hint="eastAsia" w:hAnsi="宋体"/>
          <w:color w:val="auto"/>
          <w:spacing w:val="-4"/>
          <w:sz w:val="24"/>
          <w:szCs w:val="24"/>
          <w:highlight w:val="none"/>
        </w:rPr>
        <w:t>本竞争性磋商文件解释权属采购人及本代理机构。</w:t>
      </w:r>
    </w:p>
    <w:p w14:paraId="53475C7D">
      <w:pPr>
        <w:pStyle w:val="23"/>
        <w:spacing w:line="360" w:lineRule="auto"/>
        <w:ind w:firstLine="482" w:firstLineChars="200"/>
        <w:rPr>
          <w:rFonts w:hAnsi="宋体" w:cs="Times New Roman"/>
          <w:b/>
          <w:color w:val="auto"/>
          <w:sz w:val="24"/>
          <w:szCs w:val="24"/>
          <w:highlight w:val="none"/>
        </w:rPr>
      </w:pPr>
      <w:r>
        <w:rPr>
          <w:rFonts w:hint="eastAsia" w:hAnsi="宋体" w:cs="Times New Roman"/>
          <w:b/>
          <w:color w:val="auto"/>
          <w:sz w:val="24"/>
          <w:szCs w:val="24"/>
          <w:highlight w:val="none"/>
        </w:rPr>
        <w:t>34</w:t>
      </w:r>
      <w:r>
        <w:rPr>
          <w:rFonts w:hAnsi="宋体" w:cs="Times New Roman"/>
          <w:b/>
          <w:color w:val="auto"/>
          <w:sz w:val="24"/>
          <w:szCs w:val="24"/>
          <w:highlight w:val="none"/>
        </w:rPr>
        <w:t>有关事宜</w:t>
      </w:r>
    </w:p>
    <w:p w14:paraId="53475C7E">
      <w:pPr>
        <w:pStyle w:val="23"/>
        <w:spacing w:line="360" w:lineRule="auto"/>
        <w:ind w:firstLine="480" w:firstLineChars="200"/>
        <w:rPr>
          <w:rFonts w:hAnsi="宋体" w:cs="Times New Roman"/>
          <w:color w:val="auto"/>
          <w:kern w:val="0"/>
          <w:sz w:val="24"/>
          <w:szCs w:val="24"/>
          <w:highlight w:val="none"/>
        </w:rPr>
      </w:pPr>
      <w:r>
        <w:rPr>
          <w:rFonts w:hAnsi="宋体" w:cs="Times New Roman"/>
          <w:color w:val="auto"/>
          <w:kern w:val="0"/>
          <w:sz w:val="24"/>
          <w:szCs w:val="24"/>
          <w:highlight w:val="none"/>
        </w:rPr>
        <w:t>所有与本</w:t>
      </w:r>
      <w:r>
        <w:rPr>
          <w:rFonts w:hint="eastAsia" w:hAnsi="宋体" w:cs="Times New Roman"/>
          <w:color w:val="auto"/>
          <w:kern w:val="0"/>
          <w:sz w:val="24"/>
          <w:szCs w:val="24"/>
          <w:highlight w:val="none"/>
        </w:rPr>
        <w:t>磋商</w:t>
      </w:r>
      <w:r>
        <w:rPr>
          <w:rFonts w:hAnsi="宋体" w:cs="Times New Roman"/>
          <w:color w:val="auto"/>
          <w:kern w:val="0"/>
          <w:sz w:val="24"/>
          <w:szCs w:val="24"/>
          <w:highlight w:val="none"/>
        </w:rPr>
        <w:t>文件有关的函件请按下列通讯地址联系：</w:t>
      </w:r>
    </w:p>
    <w:p w14:paraId="334EAAD4">
      <w:pPr>
        <w:pStyle w:val="23"/>
        <w:spacing w:line="360" w:lineRule="auto"/>
        <w:ind w:firstLine="480" w:firstLineChars="200"/>
        <w:rPr>
          <w:rFonts w:hint="eastAsia" w:hAnsi="宋体" w:eastAsia="宋体" w:cs="Times New Roman"/>
          <w:color w:val="auto"/>
          <w:kern w:val="0"/>
          <w:sz w:val="24"/>
          <w:szCs w:val="24"/>
          <w:highlight w:val="none"/>
          <w:lang w:eastAsia="zh-CN"/>
        </w:rPr>
      </w:pPr>
      <w:bookmarkStart w:id="29" w:name="_Toc3994506"/>
      <w:r>
        <w:rPr>
          <w:rFonts w:hAnsi="宋体" w:cs="Times New Roman"/>
          <w:color w:val="auto"/>
          <w:kern w:val="0"/>
          <w:sz w:val="24"/>
          <w:szCs w:val="24"/>
          <w:highlight w:val="none"/>
        </w:rPr>
        <w:t>单位全称：</w:t>
      </w:r>
      <w:r>
        <w:rPr>
          <w:rFonts w:hint="eastAsia" w:hAnsi="宋体" w:cs="Times New Roman"/>
          <w:color w:val="auto"/>
          <w:kern w:val="0"/>
          <w:sz w:val="24"/>
          <w:szCs w:val="24"/>
          <w:highlight w:val="none"/>
          <w:lang w:eastAsia="zh-CN"/>
        </w:rPr>
        <w:t>广西中之元工程管理有限公司</w:t>
      </w:r>
    </w:p>
    <w:p w14:paraId="318DE88A">
      <w:pPr>
        <w:pStyle w:val="23"/>
        <w:spacing w:line="360" w:lineRule="auto"/>
        <w:ind w:firstLine="480" w:firstLineChars="200"/>
        <w:rPr>
          <w:rFonts w:hAnsi="宋体" w:cs="Times New Roman"/>
          <w:color w:val="auto"/>
          <w:kern w:val="0"/>
          <w:sz w:val="24"/>
          <w:szCs w:val="24"/>
          <w:highlight w:val="none"/>
        </w:rPr>
      </w:pPr>
      <w:r>
        <w:rPr>
          <w:rFonts w:hAnsi="宋体" w:cs="Times New Roman"/>
          <w:color w:val="auto"/>
          <w:kern w:val="0"/>
          <w:sz w:val="24"/>
          <w:szCs w:val="24"/>
          <w:highlight w:val="none"/>
        </w:rPr>
        <w:t>通讯地址：</w:t>
      </w:r>
      <w:r>
        <w:rPr>
          <w:rFonts w:hint="eastAsia" w:hAnsi="宋体" w:cs="Times New Roman"/>
          <w:color w:val="auto"/>
          <w:kern w:val="0"/>
          <w:sz w:val="24"/>
          <w:szCs w:val="24"/>
          <w:highlight w:val="none"/>
          <w:lang w:eastAsia="zh-CN"/>
        </w:rPr>
        <w:t>北海市合浦县文昌新城二幢9号楼</w:t>
      </w:r>
    </w:p>
    <w:p w14:paraId="75FA510D">
      <w:pPr>
        <w:pStyle w:val="4"/>
        <w:ind w:firstLine="480" w:firstLineChars="200"/>
        <w:rPr>
          <w:color w:val="auto"/>
          <w:highlight w:val="none"/>
        </w:rPr>
      </w:pPr>
      <w:r>
        <w:rPr>
          <w:rFonts w:hAnsi="宋体" w:cs="Times New Roman"/>
          <w:color w:val="auto"/>
          <w:kern w:val="0"/>
          <w:sz w:val="24"/>
          <w:szCs w:val="24"/>
          <w:highlight w:val="none"/>
        </w:rPr>
        <w:t>电    话：</w:t>
      </w:r>
      <w:r>
        <w:rPr>
          <w:rFonts w:hint="eastAsia" w:hAnsi="宋体" w:cs="Times New Roman"/>
          <w:color w:val="auto"/>
          <w:kern w:val="0"/>
          <w:sz w:val="24"/>
          <w:szCs w:val="24"/>
          <w:highlight w:val="none"/>
          <w:lang w:val="en-US" w:eastAsia="zh-CN"/>
        </w:rPr>
        <w:t>0779-7200788</w:t>
      </w:r>
      <w:r>
        <w:rPr>
          <w:rFonts w:hAnsi="宋体" w:cs="Times New Roman"/>
          <w:color w:val="auto"/>
          <w:kern w:val="0"/>
          <w:sz w:val="24"/>
          <w:szCs w:val="24"/>
          <w:highlight w:val="none"/>
        </w:rPr>
        <w:t xml:space="preserve">   联 系 人</w:t>
      </w:r>
      <w:r>
        <w:rPr>
          <w:rFonts w:hint="eastAsia" w:hAnsi="宋体" w:cs="Times New Roman"/>
          <w:color w:val="auto"/>
          <w:kern w:val="0"/>
          <w:sz w:val="24"/>
          <w:szCs w:val="24"/>
          <w:highlight w:val="none"/>
          <w:lang w:eastAsia="zh-CN"/>
        </w:rPr>
        <w:t>：庞工</w:t>
      </w:r>
    </w:p>
    <w:p w14:paraId="03ADE9A0">
      <w:pPr>
        <w:spacing w:line="620" w:lineRule="exact"/>
        <w:rPr>
          <w:rFonts w:ascii="宋体" w:hAnsi="宋体"/>
          <w:b/>
          <w:color w:val="auto"/>
          <w:sz w:val="44"/>
          <w:szCs w:val="44"/>
          <w:highlight w:val="none"/>
        </w:rPr>
      </w:pPr>
    </w:p>
    <w:p w14:paraId="53475C84">
      <w:pPr>
        <w:pStyle w:val="23"/>
        <w:rPr>
          <w:color w:val="auto"/>
          <w:highlight w:val="none"/>
        </w:rPr>
      </w:pPr>
      <w:bookmarkStart w:id="30" w:name="_Toc23819"/>
      <w:r>
        <w:rPr>
          <w:color w:val="auto"/>
          <w:highlight w:val="none"/>
        </w:rPr>
        <w:br w:type="page"/>
      </w:r>
    </w:p>
    <w:p w14:paraId="53475C85">
      <w:pPr>
        <w:pStyle w:val="23"/>
        <w:rPr>
          <w:color w:val="auto"/>
          <w:highlight w:val="none"/>
        </w:rPr>
      </w:pPr>
    </w:p>
    <w:p w14:paraId="53475C86">
      <w:pPr>
        <w:pStyle w:val="23"/>
        <w:rPr>
          <w:color w:val="auto"/>
          <w:highlight w:val="none"/>
        </w:rPr>
      </w:pPr>
    </w:p>
    <w:p w14:paraId="53475C87">
      <w:pPr>
        <w:pStyle w:val="23"/>
        <w:rPr>
          <w:color w:val="auto"/>
          <w:highlight w:val="none"/>
        </w:rPr>
      </w:pPr>
    </w:p>
    <w:p w14:paraId="53475C88">
      <w:pPr>
        <w:pStyle w:val="23"/>
        <w:rPr>
          <w:color w:val="auto"/>
          <w:highlight w:val="none"/>
        </w:rPr>
      </w:pPr>
    </w:p>
    <w:p w14:paraId="53475C89">
      <w:pPr>
        <w:pStyle w:val="23"/>
        <w:rPr>
          <w:color w:val="auto"/>
          <w:highlight w:val="none"/>
        </w:rPr>
      </w:pPr>
    </w:p>
    <w:p w14:paraId="53475C8A">
      <w:pPr>
        <w:pStyle w:val="23"/>
        <w:rPr>
          <w:color w:val="auto"/>
          <w:highlight w:val="none"/>
        </w:rPr>
      </w:pPr>
    </w:p>
    <w:p w14:paraId="53475C8B">
      <w:pPr>
        <w:pStyle w:val="23"/>
        <w:rPr>
          <w:color w:val="auto"/>
          <w:highlight w:val="none"/>
        </w:rPr>
      </w:pPr>
    </w:p>
    <w:p w14:paraId="53475C8C">
      <w:pPr>
        <w:pStyle w:val="23"/>
        <w:rPr>
          <w:color w:val="auto"/>
          <w:highlight w:val="none"/>
        </w:rPr>
      </w:pPr>
    </w:p>
    <w:p w14:paraId="53475C8D">
      <w:pPr>
        <w:pStyle w:val="23"/>
        <w:rPr>
          <w:color w:val="auto"/>
          <w:highlight w:val="none"/>
        </w:rPr>
      </w:pPr>
    </w:p>
    <w:p w14:paraId="53475C8E">
      <w:pPr>
        <w:pStyle w:val="23"/>
        <w:rPr>
          <w:color w:val="auto"/>
          <w:highlight w:val="none"/>
        </w:rPr>
      </w:pPr>
    </w:p>
    <w:p w14:paraId="53475C8F">
      <w:pPr>
        <w:pStyle w:val="23"/>
        <w:rPr>
          <w:color w:val="auto"/>
          <w:highlight w:val="none"/>
        </w:rPr>
      </w:pPr>
    </w:p>
    <w:p w14:paraId="53475C90">
      <w:pPr>
        <w:pStyle w:val="23"/>
        <w:rPr>
          <w:color w:val="auto"/>
          <w:highlight w:val="none"/>
        </w:rPr>
      </w:pPr>
    </w:p>
    <w:p w14:paraId="53475C91">
      <w:pPr>
        <w:pStyle w:val="23"/>
        <w:rPr>
          <w:color w:val="auto"/>
          <w:highlight w:val="none"/>
        </w:rPr>
      </w:pPr>
    </w:p>
    <w:p w14:paraId="53475C92">
      <w:pPr>
        <w:pStyle w:val="23"/>
        <w:rPr>
          <w:color w:val="auto"/>
          <w:highlight w:val="none"/>
        </w:rPr>
      </w:pPr>
    </w:p>
    <w:p w14:paraId="53475C93">
      <w:pPr>
        <w:pStyle w:val="23"/>
        <w:rPr>
          <w:color w:val="auto"/>
          <w:highlight w:val="none"/>
        </w:rPr>
      </w:pPr>
    </w:p>
    <w:p w14:paraId="53475C94">
      <w:pPr>
        <w:pStyle w:val="23"/>
        <w:rPr>
          <w:color w:val="auto"/>
          <w:highlight w:val="none"/>
        </w:rPr>
      </w:pPr>
    </w:p>
    <w:p w14:paraId="53475C95">
      <w:pPr>
        <w:pStyle w:val="23"/>
        <w:rPr>
          <w:color w:val="auto"/>
          <w:highlight w:val="none"/>
        </w:rPr>
      </w:pPr>
    </w:p>
    <w:p w14:paraId="53475C96">
      <w:pPr>
        <w:pStyle w:val="23"/>
        <w:rPr>
          <w:color w:val="auto"/>
          <w:highlight w:val="none"/>
        </w:rPr>
      </w:pPr>
    </w:p>
    <w:p w14:paraId="53475C97">
      <w:pPr>
        <w:pStyle w:val="23"/>
        <w:rPr>
          <w:color w:val="auto"/>
          <w:highlight w:val="none"/>
        </w:rPr>
      </w:pPr>
    </w:p>
    <w:p w14:paraId="53475C98">
      <w:pPr>
        <w:pStyle w:val="23"/>
        <w:rPr>
          <w:color w:val="auto"/>
          <w:highlight w:val="none"/>
        </w:rPr>
      </w:pPr>
    </w:p>
    <w:p w14:paraId="53475C99">
      <w:pPr>
        <w:spacing w:line="620" w:lineRule="exact"/>
        <w:jc w:val="center"/>
        <w:outlineLvl w:val="0"/>
        <w:rPr>
          <w:rFonts w:ascii="宋体" w:hAnsi="宋体"/>
          <w:b/>
          <w:color w:val="auto"/>
          <w:sz w:val="44"/>
          <w:szCs w:val="44"/>
          <w:highlight w:val="none"/>
        </w:rPr>
      </w:pPr>
      <w:bookmarkStart w:id="31" w:name="_Toc176861408"/>
      <w:r>
        <w:rPr>
          <w:rFonts w:hint="eastAsia" w:ascii="宋体" w:hAnsi="宋体"/>
          <w:b/>
          <w:color w:val="auto"/>
          <w:sz w:val="44"/>
          <w:szCs w:val="44"/>
          <w:highlight w:val="none"/>
        </w:rPr>
        <w:t>第三章  竞争性磋商响应文件格式</w:t>
      </w:r>
      <w:bookmarkEnd w:id="29"/>
      <w:bookmarkEnd w:id="30"/>
      <w:bookmarkEnd w:id="31"/>
    </w:p>
    <w:p w14:paraId="53475C9A">
      <w:pPr>
        <w:spacing w:line="500" w:lineRule="exact"/>
        <w:rPr>
          <w:rFonts w:ascii="仿宋_GB2312" w:hAnsi="宋体" w:eastAsia="仿宋_GB2312"/>
          <w:b/>
          <w:color w:val="auto"/>
          <w:sz w:val="32"/>
          <w:szCs w:val="32"/>
          <w:highlight w:val="none"/>
        </w:rPr>
      </w:pPr>
    </w:p>
    <w:p w14:paraId="53475C9B">
      <w:pPr>
        <w:spacing w:line="500" w:lineRule="exact"/>
        <w:rPr>
          <w:rFonts w:ascii="仿宋_GB2312" w:hAnsi="宋体" w:eastAsia="仿宋_GB2312"/>
          <w:b/>
          <w:color w:val="auto"/>
          <w:sz w:val="32"/>
          <w:szCs w:val="32"/>
          <w:highlight w:val="none"/>
        </w:rPr>
      </w:pPr>
    </w:p>
    <w:p w14:paraId="53475C9C">
      <w:pPr>
        <w:spacing w:line="500" w:lineRule="exact"/>
        <w:rPr>
          <w:rFonts w:ascii="仿宋_GB2312" w:hAnsi="宋体" w:eastAsia="仿宋_GB2312"/>
          <w:b/>
          <w:color w:val="auto"/>
          <w:sz w:val="32"/>
          <w:szCs w:val="32"/>
          <w:highlight w:val="none"/>
        </w:rPr>
      </w:pPr>
    </w:p>
    <w:p w14:paraId="53475C9D">
      <w:pPr>
        <w:spacing w:line="500" w:lineRule="exact"/>
        <w:rPr>
          <w:rFonts w:ascii="仿宋_GB2312" w:hAnsi="宋体" w:eastAsia="仿宋_GB2312"/>
          <w:b/>
          <w:color w:val="auto"/>
          <w:sz w:val="32"/>
          <w:szCs w:val="32"/>
          <w:highlight w:val="none"/>
        </w:rPr>
      </w:pPr>
    </w:p>
    <w:p w14:paraId="53475C9E">
      <w:pPr>
        <w:spacing w:line="500" w:lineRule="exact"/>
        <w:rPr>
          <w:rFonts w:ascii="仿宋_GB2312" w:hAnsi="宋体" w:eastAsia="仿宋_GB2312"/>
          <w:b/>
          <w:color w:val="auto"/>
          <w:sz w:val="32"/>
          <w:szCs w:val="32"/>
          <w:highlight w:val="none"/>
        </w:rPr>
      </w:pPr>
    </w:p>
    <w:p w14:paraId="53475C9F">
      <w:pPr>
        <w:spacing w:line="500" w:lineRule="exact"/>
        <w:rPr>
          <w:rFonts w:ascii="仿宋_GB2312" w:hAnsi="宋体" w:eastAsia="仿宋_GB2312"/>
          <w:b/>
          <w:color w:val="auto"/>
          <w:sz w:val="32"/>
          <w:szCs w:val="32"/>
          <w:highlight w:val="none"/>
        </w:rPr>
      </w:pPr>
    </w:p>
    <w:p w14:paraId="53475CA0">
      <w:pPr>
        <w:spacing w:line="500" w:lineRule="exact"/>
        <w:rPr>
          <w:rFonts w:ascii="仿宋_GB2312" w:hAnsi="宋体" w:eastAsia="仿宋_GB2312"/>
          <w:b/>
          <w:color w:val="auto"/>
          <w:sz w:val="32"/>
          <w:szCs w:val="32"/>
          <w:highlight w:val="none"/>
        </w:rPr>
      </w:pPr>
    </w:p>
    <w:p w14:paraId="53475CA7">
      <w:pPr>
        <w:pStyle w:val="4"/>
        <w:rPr>
          <w:color w:val="auto"/>
          <w:highlight w:val="none"/>
        </w:rPr>
      </w:pPr>
    </w:p>
    <w:p w14:paraId="53475CA8">
      <w:pPr>
        <w:rPr>
          <w:color w:val="auto"/>
          <w:highlight w:val="none"/>
        </w:rPr>
      </w:pPr>
    </w:p>
    <w:p w14:paraId="53475CA9">
      <w:pPr>
        <w:spacing w:line="360" w:lineRule="auto"/>
        <w:rPr>
          <w:rFonts w:ascii="宋体" w:hAnsi="宋体"/>
          <w:b/>
          <w:color w:val="auto"/>
          <w:sz w:val="28"/>
          <w:szCs w:val="28"/>
          <w:highlight w:val="none"/>
        </w:rPr>
      </w:pPr>
      <w:r>
        <w:rPr>
          <w:color w:val="auto"/>
          <w:highlight w:val="none"/>
        </w:rPr>
        <w:br w:type="page"/>
      </w:r>
      <w:r>
        <w:rPr>
          <w:rFonts w:hint="eastAsia" w:ascii="宋体" w:hAnsi="宋体"/>
          <w:b/>
          <w:color w:val="auto"/>
          <w:sz w:val="28"/>
          <w:szCs w:val="28"/>
          <w:highlight w:val="none"/>
        </w:rPr>
        <w:t>一、竞争性磋商响应文件封面</w:t>
      </w:r>
      <w:r>
        <w:rPr>
          <w:rFonts w:hint="eastAsia" w:ascii="宋体" w:hAnsi="宋体"/>
          <w:b/>
          <w:bCs/>
          <w:color w:val="auto"/>
          <w:sz w:val="28"/>
          <w:szCs w:val="28"/>
          <w:highlight w:val="none"/>
        </w:rPr>
        <w:t>格式</w:t>
      </w:r>
    </w:p>
    <w:p w14:paraId="53475CAA">
      <w:pPr>
        <w:snapToGrid w:val="0"/>
        <w:spacing w:line="360" w:lineRule="auto"/>
        <w:rPr>
          <w:rFonts w:ascii="宋体" w:hAnsi="宋体"/>
          <w:b/>
          <w:color w:val="auto"/>
          <w:szCs w:val="21"/>
          <w:highlight w:val="none"/>
        </w:rPr>
      </w:pPr>
    </w:p>
    <w:p w14:paraId="53475CB3">
      <w:pPr>
        <w:snapToGrid w:val="0"/>
        <w:spacing w:line="360" w:lineRule="auto"/>
        <w:rPr>
          <w:rFonts w:ascii="宋体" w:hAnsi="宋体"/>
          <w:b/>
          <w:color w:val="auto"/>
          <w:sz w:val="24"/>
          <w:highlight w:val="none"/>
        </w:rPr>
      </w:pPr>
      <w:r>
        <w:rPr>
          <w:rFonts w:hint="eastAsia" w:ascii="宋体" w:hAnsi="宋体"/>
          <w:b/>
          <w:color w:val="auto"/>
          <w:szCs w:val="21"/>
          <w:highlight w:val="none"/>
        </w:rPr>
        <w:t>一）.</w:t>
      </w:r>
      <w:r>
        <w:rPr>
          <w:rFonts w:hint="eastAsia" w:ascii="宋体" w:hAnsi="宋体"/>
          <w:b/>
          <w:color w:val="auto"/>
          <w:highlight w:val="none"/>
        </w:rPr>
        <w:t xml:space="preserve"> 竞争性磋商响应文件</w:t>
      </w:r>
      <w:r>
        <w:rPr>
          <w:rFonts w:hint="eastAsia" w:ascii="宋体" w:hAnsi="宋体"/>
          <w:b/>
          <w:color w:val="auto"/>
          <w:szCs w:val="21"/>
          <w:highlight w:val="none"/>
        </w:rPr>
        <w:t>封面格式：</w:t>
      </w:r>
      <w:r>
        <w:rPr>
          <w:rFonts w:hint="eastAsia" w:ascii="宋体" w:hAnsi="宋体"/>
          <w:b/>
          <w:color w:val="auto"/>
          <w:sz w:val="24"/>
          <w:highlight w:val="none"/>
        </w:rPr>
        <w:t xml:space="preserve"> </w:t>
      </w:r>
    </w:p>
    <w:p w14:paraId="68D07A08">
      <w:pPr>
        <w:snapToGrid w:val="0"/>
        <w:spacing w:line="360" w:lineRule="auto"/>
        <w:ind w:left="7200" w:hanging="7200" w:hangingChars="3000"/>
        <w:rPr>
          <w:rFonts w:hint="eastAsia" w:ascii="宋体" w:hAnsi="宋体"/>
          <w:color w:val="auto"/>
          <w:sz w:val="24"/>
          <w:highlight w:val="none"/>
        </w:rPr>
      </w:pPr>
      <w:r>
        <w:rPr>
          <w:rFonts w:hint="eastAsia" w:ascii="宋体" w:hAnsi="宋体"/>
          <w:color w:val="auto"/>
          <w:sz w:val="24"/>
          <w:highlight w:val="none"/>
        </w:rPr>
        <w:t xml:space="preserve">                        </w:t>
      </w:r>
    </w:p>
    <w:p w14:paraId="17A84361">
      <w:pPr>
        <w:snapToGrid w:val="0"/>
        <w:spacing w:line="360" w:lineRule="auto"/>
        <w:ind w:left="7200" w:hanging="7200" w:hangingChars="3000"/>
        <w:rPr>
          <w:rFonts w:hint="eastAsia" w:ascii="宋体" w:hAnsi="宋体"/>
          <w:color w:val="auto"/>
          <w:sz w:val="24"/>
          <w:highlight w:val="none"/>
        </w:rPr>
      </w:pPr>
    </w:p>
    <w:p w14:paraId="7E58981B">
      <w:pPr>
        <w:snapToGrid w:val="0"/>
        <w:spacing w:line="360" w:lineRule="auto"/>
        <w:ind w:left="7200" w:hanging="7200" w:hangingChars="3000"/>
        <w:rPr>
          <w:rFonts w:hint="eastAsia" w:ascii="宋体" w:hAnsi="宋体"/>
          <w:color w:val="auto"/>
          <w:sz w:val="24"/>
          <w:highlight w:val="none"/>
        </w:rPr>
      </w:pPr>
    </w:p>
    <w:p w14:paraId="3A59757F">
      <w:pPr>
        <w:snapToGrid w:val="0"/>
        <w:spacing w:line="360" w:lineRule="auto"/>
        <w:ind w:left="7200" w:hanging="7200" w:hangingChars="3000"/>
        <w:rPr>
          <w:rFonts w:hint="eastAsia" w:ascii="宋体" w:hAnsi="宋体"/>
          <w:color w:val="auto"/>
          <w:sz w:val="24"/>
          <w:highlight w:val="none"/>
        </w:rPr>
      </w:pPr>
    </w:p>
    <w:p w14:paraId="1C55107F">
      <w:pPr>
        <w:snapToGrid w:val="0"/>
        <w:spacing w:line="360" w:lineRule="auto"/>
        <w:ind w:left="7200" w:hanging="7200" w:hangingChars="3000"/>
        <w:rPr>
          <w:rFonts w:hint="eastAsia" w:ascii="宋体" w:hAnsi="宋体"/>
          <w:color w:val="auto"/>
          <w:sz w:val="24"/>
          <w:highlight w:val="none"/>
        </w:rPr>
      </w:pPr>
    </w:p>
    <w:p w14:paraId="6693A550">
      <w:pPr>
        <w:snapToGrid w:val="0"/>
        <w:spacing w:line="360" w:lineRule="auto"/>
        <w:ind w:left="7200" w:hanging="7200" w:hangingChars="3000"/>
        <w:rPr>
          <w:rFonts w:hint="eastAsia" w:ascii="宋体" w:hAnsi="宋体"/>
          <w:color w:val="auto"/>
          <w:sz w:val="24"/>
          <w:highlight w:val="none"/>
        </w:rPr>
      </w:pPr>
    </w:p>
    <w:p w14:paraId="53475CB4">
      <w:pPr>
        <w:snapToGrid w:val="0"/>
        <w:spacing w:line="360" w:lineRule="auto"/>
        <w:ind w:left="7200" w:hanging="7200" w:hangingChars="3000"/>
        <w:rPr>
          <w:rFonts w:ascii="宋体" w:hAnsi="宋体"/>
          <w:bCs/>
          <w:color w:val="auto"/>
          <w:sz w:val="24"/>
          <w:highlight w:val="none"/>
        </w:rPr>
      </w:pPr>
      <w:r>
        <w:rPr>
          <w:rFonts w:hint="eastAsia" w:ascii="宋体" w:hAnsi="宋体"/>
          <w:color w:val="auto"/>
          <w:sz w:val="24"/>
          <w:highlight w:val="none"/>
        </w:rPr>
        <w:t xml:space="preserve">                                                                     </w:t>
      </w:r>
    </w:p>
    <w:p w14:paraId="53475CB5">
      <w:pPr>
        <w:snapToGrid w:val="0"/>
        <w:spacing w:line="360" w:lineRule="auto"/>
        <w:ind w:firstLine="1915" w:firstLineChars="795"/>
        <w:rPr>
          <w:rFonts w:ascii="宋体" w:hAnsi="宋体"/>
          <w:bCs/>
          <w:color w:val="auto"/>
          <w:sz w:val="24"/>
          <w:highlight w:val="none"/>
        </w:rPr>
      </w:pPr>
      <w:r>
        <w:rPr>
          <w:rFonts w:hint="eastAsia" w:ascii="宋体" w:hAnsi="宋体"/>
          <w:b/>
          <w:color w:val="auto"/>
          <w:sz w:val="24"/>
          <w:highlight w:val="none"/>
        </w:rPr>
        <w:t>竞争性磋商响应文件（封面）</w:t>
      </w:r>
    </w:p>
    <w:p w14:paraId="53475CB6">
      <w:pPr>
        <w:spacing w:line="360" w:lineRule="auto"/>
        <w:ind w:firstLine="480" w:firstLineChars="200"/>
        <w:rPr>
          <w:rFonts w:ascii="宋体" w:hAnsi="宋体"/>
          <w:color w:val="auto"/>
          <w:sz w:val="24"/>
          <w:highlight w:val="none"/>
        </w:rPr>
      </w:pPr>
    </w:p>
    <w:p w14:paraId="53475CB7">
      <w:pPr>
        <w:spacing w:line="360" w:lineRule="auto"/>
        <w:ind w:firstLine="480" w:firstLineChars="200"/>
        <w:rPr>
          <w:rFonts w:ascii="宋体" w:hAnsi="宋体"/>
          <w:color w:val="auto"/>
          <w:sz w:val="24"/>
          <w:highlight w:val="none"/>
          <w:u w:val="single"/>
        </w:rPr>
      </w:pPr>
      <w:r>
        <w:rPr>
          <w:rFonts w:hint="eastAsia" w:ascii="宋体" w:hAnsi="宋体"/>
          <w:color w:val="auto"/>
          <w:sz w:val="24"/>
          <w:highlight w:val="none"/>
        </w:rPr>
        <w:t>项目名称：</w:t>
      </w:r>
      <w:r>
        <w:rPr>
          <w:rFonts w:hint="eastAsia" w:ascii="宋体" w:hAnsi="宋体"/>
          <w:color w:val="auto"/>
          <w:sz w:val="24"/>
          <w:highlight w:val="none"/>
          <w:u w:val="single"/>
        </w:rPr>
        <w:t xml:space="preserve">                       </w:t>
      </w:r>
    </w:p>
    <w:p w14:paraId="53475CB8">
      <w:pPr>
        <w:snapToGrid w:val="0"/>
        <w:spacing w:line="360" w:lineRule="auto"/>
        <w:ind w:firstLine="480" w:firstLineChars="200"/>
        <w:rPr>
          <w:rFonts w:ascii="宋体" w:hAnsi="宋体"/>
          <w:color w:val="auto"/>
          <w:sz w:val="24"/>
          <w:highlight w:val="none"/>
          <w:u w:val="single"/>
        </w:rPr>
      </w:pPr>
      <w:r>
        <w:rPr>
          <w:rFonts w:hint="eastAsia" w:ascii="宋体" w:hAnsi="宋体"/>
          <w:color w:val="auto"/>
          <w:sz w:val="24"/>
          <w:highlight w:val="none"/>
        </w:rPr>
        <w:t>项目编号</w:t>
      </w:r>
      <w:r>
        <w:rPr>
          <w:rFonts w:hint="eastAsia" w:ascii="宋体" w:hAnsi="宋体"/>
          <w:bCs/>
          <w:color w:val="auto"/>
          <w:sz w:val="24"/>
          <w:highlight w:val="none"/>
        </w:rPr>
        <w:t>：</w:t>
      </w:r>
      <w:r>
        <w:rPr>
          <w:rFonts w:hint="eastAsia" w:ascii="宋体" w:hAnsi="宋体"/>
          <w:color w:val="auto"/>
          <w:sz w:val="24"/>
          <w:highlight w:val="none"/>
          <w:u w:val="single"/>
        </w:rPr>
        <w:t xml:space="preserve">                       </w:t>
      </w:r>
    </w:p>
    <w:p w14:paraId="53475CB9">
      <w:pPr>
        <w:snapToGrid w:val="0"/>
        <w:spacing w:line="360" w:lineRule="auto"/>
        <w:ind w:firstLine="480" w:firstLineChars="200"/>
        <w:rPr>
          <w:rFonts w:ascii="宋体" w:hAnsi="宋体"/>
          <w:bCs/>
          <w:color w:val="auto"/>
          <w:sz w:val="24"/>
          <w:highlight w:val="none"/>
        </w:rPr>
      </w:pPr>
      <w:r>
        <w:rPr>
          <w:rFonts w:hint="eastAsia" w:ascii="宋体" w:hAnsi="宋体"/>
          <w:color w:val="auto"/>
          <w:sz w:val="24"/>
          <w:highlight w:val="none"/>
        </w:rPr>
        <w:t>供应商名称</w:t>
      </w:r>
      <w:r>
        <w:rPr>
          <w:rFonts w:hint="eastAsia" w:ascii="宋体" w:hAnsi="宋体"/>
          <w:bCs/>
          <w:color w:val="auto"/>
          <w:sz w:val="24"/>
          <w:highlight w:val="none"/>
        </w:rPr>
        <w:t>：</w:t>
      </w:r>
      <w:r>
        <w:rPr>
          <w:rFonts w:hint="eastAsia" w:ascii="宋体" w:hAnsi="宋体"/>
          <w:color w:val="auto"/>
          <w:sz w:val="24"/>
          <w:highlight w:val="none"/>
          <w:u w:val="single"/>
        </w:rPr>
        <w:t xml:space="preserve">                      </w:t>
      </w:r>
    </w:p>
    <w:p w14:paraId="53475CBA">
      <w:pPr>
        <w:spacing w:line="360" w:lineRule="auto"/>
        <w:jc w:val="center"/>
        <w:rPr>
          <w:rFonts w:ascii="宋体" w:hAnsi="宋体"/>
          <w:color w:val="auto"/>
          <w:sz w:val="24"/>
          <w:highlight w:val="none"/>
        </w:rPr>
      </w:pPr>
      <w:r>
        <w:rPr>
          <w:rFonts w:hint="eastAsia" w:ascii="宋体" w:hAnsi="宋体"/>
          <w:color w:val="auto"/>
          <w:sz w:val="24"/>
          <w:highlight w:val="none"/>
        </w:rPr>
        <w:t xml:space="preserve">                      </w:t>
      </w:r>
    </w:p>
    <w:p w14:paraId="53475CBB">
      <w:pPr>
        <w:snapToGrid w:val="0"/>
        <w:spacing w:line="360" w:lineRule="auto"/>
        <w:jc w:val="center"/>
        <w:rPr>
          <w:rFonts w:ascii="宋体" w:hAnsi="宋体"/>
          <w:color w:val="auto"/>
          <w:sz w:val="24"/>
          <w:highlight w:val="none"/>
        </w:rPr>
      </w:pPr>
      <w:r>
        <w:rPr>
          <w:rFonts w:hint="eastAsia" w:ascii="宋体" w:hAnsi="宋体"/>
          <w:color w:val="auto"/>
          <w:sz w:val="24"/>
          <w:highlight w:val="none"/>
        </w:rPr>
        <w:t xml:space="preserve">                                       年</w:t>
      </w:r>
      <w:r>
        <w:rPr>
          <w:rFonts w:hint="eastAsia" w:ascii="宋体" w:hAnsi="宋体" w:cs="宋体"/>
          <w:color w:val="auto"/>
          <w:sz w:val="24"/>
          <w:highlight w:val="none"/>
        </w:rPr>
        <w:t xml:space="preserve">    </w:t>
      </w:r>
      <w:r>
        <w:rPr>
          <w:rFonts w:hint="eastAsia" w:ascii="宋体" w:hAnsi="宋体"/>
          <w:color w:val="auto"/>
          <w:sz w:val="24"/>
          <w:highlight w:val="none"/>
        </w:rPr>
        <w:t>月    日</w:t>
      </w:r>
    </w:p>
    <w:p w14:paraId="53475CBC">
      <w:pPr>
        <w:spacing w:line="360" w:lineRule="auto"/>
        <w:ind w:firstLine="3229" w:firstLineChars="1340"/>
        <w:rPr>
          <w:rFonts w:ascii="宋体" w:hAnsi="宋体"/>
          <w:b/>
          <w:color w:val="auto"/>
          <w:sz w:val="24"/>
          <w:highlight w:val="none"/>
        </w:rPr>
      </w:pPr>
    </w:p>
    <w:p w14:paraId="53475CBD">
      <w:pPr>
        <w:spacing w:line="360" w:lineRule="auto"/>
        <w:rPr>
          <w:rFonts w:ascii="宋体" w:hAnsi="宋体"/>
          <w:b/>
          <w:color w:val="auto"/>
          <w:sz w:val="24"/>
          <w:highlight w:val="none"/>
        </w:rPr>
      </w:pPr>
    </w:p>
    <w:p w14:paraId="53475CC4">
      <w:pPr>
        <w:spacing w:line="360" w:lineRule="auto"/>
        <w:rPr>
          <w:rFonts w:ascii="宋体" w:hAnsi="宋体"/>
          <w:b/>
          <w:color w:val="auto"/>
          <w:sz w:val="28"/>
          <w:szCs w:val="28"/>
          <w:highlight w:val="none"/>
        </w:rPr>
      </w:pPr>
    </w:p>
    <w:p w14:paraId="53475CC5">
      <w:pPr>
        <w:spacing w:line="360" w:lineRule="auto"/>
        <w:rPr>
          <w:rFonts w:ascii="宋体" w:hAnsi="宋体"/>
          <w:b/>
          <w:color w:val="auto"/>
          <w:sz w:val="28"/>
          <w:szCs w:val="28"/>
          <w:highlight w:val="none"/>
        </w:rPr>
      </w:pPr>
    </w:p>
    <w:p w14:paraId="10B58E91">
      <w:pPr>
        <w:rPr>
          <w:rFonts w:hint="eastAsia" w:ascii="宋体" w:hAnsi="宋体"/>
          <w:b/>
          <w:color w:val="auto"/>
          <w:sz w:val="28"/>
          <w:szCs w:val="28"/>
          <w:highlight w:val="none"/>
        </w:rPr>
      </w:pPr>
      <w:r>
        <w:rPr>
          <w:rFonts w:hint="eastAsia" w:ascii="宋体" w:hAnsi="宋体"/>
          <w:b/>
          <w:color w:val="auto"/>
          <w:sz w:val="28"/>
          <w:szCs w:val="28"/>
          <w:highlight w:val="none"/>
        </w:rPr>
        <w:br w:type="page"/>
      </w:r>
    </w:p>
    <w:p w14:paraId="53475CC6">
      <w:pPr>
        <w:spacing w:line="360" w:lineRule="auto"/>
        <w:rPr>
          <w:rFonts w:ascii="宋体" w:hAnsi="宋体"/>
          <w:b/>
          <w:color w:val="auto"/>
          <w:sz w:val="28"/>
          <w:szCs w:val="28"/>
          <w:highlight w:val="none"/>
        </w:rPr>
      </w:pPr>
      <w:r>
        <w:rPr>
          <w:rFonts w:hint="eastAsia" w:ascii="宋体" w:hAnsi="宋体"/>
          <w:b/>
          <w:color w:val="auto"/>
          <w:sz w:val="28"/>
          <w:szCs w:val="28"/>
          <w:highlight w:val="none"/>
        </w:rPr>
        <w:t>二、附  件</w:t>
      </w:r>
    </w:p>
    <w:p w14:paraId="53475CC7">
      <w:pPr>
        <w:spacing w:line="360" w:lineRule="auto"/>
        <w:rPr>
          <w:rFonts w:ascii="宋体" w:hAnsi="宋体"/>
          <w:color w:val="auto"/>
          <w:szCs w:val="21"/>
          <w:highlight w:val="none"/>
        </w:rPr>
      </w:pPr>
    </w:p>
    <w:p w14:paraId="53475CC8">
      <w:pPr>
        <w:spacing w:line="360" w:lineRule="auto"/>
        <w:ind w:left="420" w:hanging="420"/>
        <w:rPr>
          <w:rFonts w:ascii="宋体" w:hAnsi="宋体"/>
          <w:b/>
          <w:color w:val="auto"/>
          <w:sz w:val="24"/>
          <w:highlight w:val="none"/>
        </w:rPr>
      </w:pPr>
      <w:r>
        <w:rPr>
          <w:rFonts w:hint="eastAsia" w:ascii="宋体" w:hAnsi="宋体"/>
          <w:b/>
          <w:color w:val="auto"/>
          <w:sz w:val="24"/>
          <w:highlight w:val="none"/>
        </w:rPr>
        <w:t>附件1</w:t>
      </w:r>
    </w:p>
    <w:p w14:paraId="53475CC9">
      <w:pPr>
        <w:adjustRightInd w:val="0"/>
        <w:snapToGrid w:val="0"/>
        <w:spacing w:line="360" w:lineRule="auto"/>
        <w:jc w:val="center"/>
        <w:rPr>
          <w:rFonts w:ascii="宋体" w:hAnsi="宋体"/>
          <w:b/>
          <w:color w:val="auto"/>
          <w:sz w:val="28"/>
          <w:szCs w:val="28"/>
          <w:highlight w:val="none"/>
        </w:rPr>
      </w:pPr>
      <w:r>
        <w:rPr>
          <w:rFonts w:hint="eastAsia" w:ascii="宋体" w:hAnsi="宋体"/>
          <w:b/>
          <w:color w:val="auto"/>
          <w:sz w:val="28"/>
          <w:szCs w:val="28"/>
          <w:highlight w:val="none"/>
        </w:rPr>
        <w:t>北海市政府采购供应商信用承诺函（格式）</w:t>
      </w:r>
    </w:p>
    <w:p w14:paraId="53475CCA">
      <w:pPr>
        <w:widowControl/>
        <w:spacing w:line="360" w:lineRule="auto"/>
        <w:ind w:firstLine="480" w:firstLineChars="200"/>
        <w:jc w:val="left"/>
        <w:rPr>
          <w:rFonts w:ascii="宋体" w:hAnsi="宋体" w:cs="宋体"/>
          <w:color w:val="auto"/>
          <w:kern w:val="0"/>
          <w:sz w:val="24"/>
          <w:highlight w:val="none"/>
        </w:rPr>
      </w:pPr>
    </w:p>
    <w:p w14:paraId="53475CCB">
      <w:pPr>
        <w:widowControl/>
        <w:spacing w:line="360" w:lineRule="auto"/>
        <w:jc w:val="left"/>
        <w:rPr>
          <w:rFonts w:ascii="宋体" w:hAnsi="宋体" w:cs="宋体"/>
          <w:color w:val="auto"/>
          <w:kern w:val="0"/>
          <w:sz w:val="24"/>
          <w:highlight w:val="none"/>
        </w:rPr>
      </w:pPr>
      <w:r>
        <w:rPr>
          <w:rFonts w:hint="eastAsia" w:ascii="宋体" w:hAnsi="宋体" w:cs="宋体"/>
          <w:color w:val="auto"/>
          <w:kern w:val="0"/>
          <w:sz w:val="24"/>
          <w:highlight w:val="none"/>
        </w:rPr>
        <w:t>（采购人）、（采购代理机构）：</w:t>
      </w:r>
    </w:p>
    <w:p w14:paraId="53475CCC">
      <w:pPr>
        <w:widowControl/>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供应商名称：</w:t>
      </w:r>
    </w:p>
    <w:p w14:paraId="53475CCD">
      <w:pPr>
        <w:widowControl/>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统一社会信用代码：</w:t>
      </w:r>
    </w:p>
    <w:p w14:paraId="53475CCE">
      <w:pPr>
        <w:widowControl/>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供应商地址：</w:t>
      </w:r>
    </w:p>
    <w:p w14:paraId="53475CCF">
      <w:pPr>
        <w:widowControl/>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我单位自愿参加本次政府采购活动，严格遵守《中华人民共和国政府采购法》及相关法律法规，依法诚信经营，无条件遵守本次政府采购活动的各项规定。我单位郑重承诺，本单位符合《中华人民共和国政府采购法》第二十二条规定的条件：</w:t>
      </w:r>
    </w:p>
    <w:p w14:paraId="53475CD0">
      <w:pPr>
        <w:widowControl/>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1.我单位具有符合采购文件资格要求独立承担民事责任的能力。</w:t>
      </w:r>
    </w:p>
    <w:p w14:paraId="53475CD1">
      <w:pPr>
        <w:widowControl/>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2.我单位具有符合采购文件资格要求的财务状况报告。</w:t>
      </w:r>
    </w:p>
    <w:p w14:paraId="53475CD2">
      <w:pPr>
        <w:widowControl/>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3.我单位具有符合采购文件资格要求的依法缴纳税收和社会保障记录的良好记录。</w:t>
      </w:r>
    </w:p>
    <w:p w14:paraId="53475CD3">
      <w:pPr>
        <w:widowControl/>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4.我单位具有符合采购文件资格要求履行合同所必需的设备和专业技术能力。</w:t>
      </w:r>
    </w:p>
    <w:p w14:paraId="53475CD4">
      <w:pPr>
        <w:widowControl/>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5.参加政府采购活动前三年内，在经营活动中没有重大违法记录。</w:t>
      </w:r>
    </w:p>
    <w:p w14:paraId="53475CD5">
      <w:pPr>
        <w:widowControl/>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若我单位承诺不实，自愿承担提供虚假材料谋取成交的法律责任。</w:t>
      </w:r>
    </w:p>
    <w:p w14:paraId="53475CD6">
      <w:pPr>
        <w:widowControl/>
        <w:spacing w:line="360" w:lineRule="auto"/>
        <w:ind w:firstLine="480" w:firstLineChars="200"/>
        <w:jc w:val="left"/>
        <w:rPr>
          <w:rFonts w:ascii="宋体" w:hAnsi="宋体" w:cs="宋体"/>
          <w:color w:val="auto"/>
          <w:kern w:val="0"/>
          <w:sz w:val="24"/>
          <w:highlight w:val="none"/>
        </w:rPr>
      </w:pPr>
    </w:p>
    <w:p w14:paraId="53475CD7">
      <w:pPr>
        <w:adjustRightInd w:val="0"/>
        <w:snapToGrid w:val="0"/>
        <w:spacing w:line="360" w:lineRule="auto"/>
        <w:ind w:firstLine="960" w:firstLineChars="400"/>
        <w:jc w:val="left"/>
        <w:rPr>
          <w:rFonts w:ascii="宋体" w:hAnsi="宋体"/>
          <w:color w:val="auto"/>
          <w:sz w:val="24"/>
          <w:highlight w:val="none"/>
        </w:rPr>
      </w:pPr>
      <w:r>
        <w:rPr>
          <w:rFonts w:hint="eastAsia" w:ascii="宋体" w:hAnsi="宋体"/>
          <w:color w:val="auto"/>
          <w:sz w:val="24"/>
          <w:highlight w:val="none"/>
        </w:rPr>
        <w:t xml:space="preserve">磋商供应商名称(公章)： </w:t>
      </w:r>
    </w:p>
    <w:p w14:paraId="53475CD8">
      <w:pPr>
        <w:adjustRightInd w:val="0"/>
        <w:snapToGrid w:val="0"/>
        <w:spacing w:line="360" w:lineRule="auto"/>
        <w:ind w:firstLine="960" w:firstLineChars="400"/>
        <w:jc w:val="left"/>
        <w:rPr>
          <w:rFonts w:ascii="宋体" w:hAnsi="宋体"/>
          <w:color w:val="auto"/>
          <w:sz w:val="24"/>
          <w:highlight w:val="none"/>
        </w:rPr>
      </w:pPr>
      <w:r>
        <w:rPr>
          <w:rFonts w:hint="eastAsia" w:ascii="宋体" w:hAnsi="宋体"/>
          <w:color w:val="auto"/>
          <w:sz w:val="24"/>
          <w:highlight w:val="none"/>
        </w:rPr>
        <w:t xml:space="preserve">法定代表人（负责人）或委托代理人(签名)：                          </w:t>
      </w:r>
    </w:p>
    <w:p w14:paraId="53475CD9">
      <w:pPr>
        <w:adjustRightInd w:val="0"/>
        <w:snapToGrid w:val="0"/>
        <w:spacing w:line="360" w:lineRule="auto"/>
        <w:ind w:firstLine="360" w:firstLineChars="150"/>
        <w:jc w:val="left"/>
        <w:rPr>
          <w:rFonts w:ascii="宋体" w:hAnsi="宋体"/>
          <w:color w:val="auto"/>
          <w:szCs w:val="21"/>
          <w:highlight w:val="none"/>
          <w:u w:val="single"/>
        </w:rPr>
      </w:pPr>
      <w:r>
        <w:rPr>
          <w:rFonts w:hint="eastAsia" w:ascii="宋体" w:hAnsi="宋体"/>
          <w:color w:val="auto"/>
          <w:sz w:val="24"/>
          <w:highlight w:val="none"/>
        </w:rPr>
        <w:t xml:space="preserve">     日期：  年   月   日</w:t>
      </w:r>
    </w:p>
    <w:p w14:paraId="53475CDA">
      <w:pPr>
        <w:adjustRightInd w:val="0"/>
        <w:snapToGrid w:val="0"/>
        <w:spacing w:line="360" w:lineRule="auto"/>
        <w:ind w:firstLine="315" w:firstLineChars="150"/>
        <w:jc w:val="left"/>
        <w:rPr>
          <w:rFonts w:ascii="宋体" w:hAnsi="宋体"/>
          <w:color w:val="auto"/>
          <w:szCs w:val="21"/>
          <w:highlight w:val="none"/>
          <w:u w:val="single"/>
        </w:rPr>
      </w:pPr>
    </w:p>
    <w:p w14:paraId="53475CDB">
      <w:pPr>
        <w:adjustRightInd w:val="0"/>
        <w:snapToGrid w:val="0"/>
        <w:spacing w:line="360" w:lineRule="auto"/>
        <w:ind w:firstLine="360" w:firstLineChars="150"/>
        <w:jc w:val="left"/>
        <w:rPr>
          <w:rFonts w:ascii="宋体" w:hAnsi="宋体"/>
          <w:color w:val="auto"/>
          <w:szCs w:val="21"/>
          <w:highlight w:val="none"/>
        </w:rPr>
      </w:pPr>
      <w:r>
        <w:rPr>
          <w:rFonts w:hint="eastAsia" w:ascii="宋体" w:hAnsi="宋体" w:cs="宋体"/>
          <w:color w:val="auto"/>
          <w:kern w:val="0"/>
          <w:sz w:val="24"/>
          <w:highlight w:val="none"/>
        </w:rPr>
        <w:t>注：供应商须在响应文件中按此模板提供承诺函，未提供视为未实质性响应采购文件要求，按无效响应处理。</w:t>
      </w:r>
    </w:p>
    <w:p w14:paraId="53475CDC">
      <w:pPr>
        <w:spacing w:line="360" w:lineRule="auto"/>
        <w:ind w:left="420" w:hanging="420"/>
        <w:rPr>
          <w:rFonts w:ascii="宋体" w:hAnsi="宋体"/>
          <w:b/>
          <w:color w:val="auto"/>
          <w:highlight w:val="none"/>
        </w:rPr>
        <w:sectPr>
          <w:footerReference r:id="rId7" w:type="default"/>
          <w:pgSz w:w="11907" w:h="16839"/>
          <w:pgMar w:top="1431" w:right="1272" w:bottom="1364" w:left="1418" w:header="850" w:footer="1204" w:gutter="0"/>
          <w:cols w:space="720" w:num="1"/>
          <w:docGrid w:linePitch="286" w:charSpace="0"/>
        </w:sectPr>
      </w:pPr>
    </w:p>
    <w:p w14:paraId="53475CDD">
      <w:pPr>
        <w:spacing w:line="360" w:lineRule="auto"/>
        <w:ind w:left="420" w:hanging="420"/>
        <w:rPr>
          <w:rFonts w:ascii="宋体" w:hAnsi="宋体"/>
          <w:b/>
          <w:color w:val="auto"/>
          <w:sz w:val="24"/>
          <w:highlight w:val="none"/>
        </w:rPr>
      </w:pPr>
      <w:r>
        <w:rPr>
          <w:rFonts w:hint="eastAsia" w:ascii="宋体" w:hAnsi="宋体"/>
          <w:b/>
          <w:color w:val="auto"/>
          <w:sz w:val="24"/>
          <w:highlight w:val="none"/>
        </w:rPr>
        <w:t>附件2</w:t>
      </w:r>
    </w:p>
    <w:p w14:paraId="53475CDE">
      <w:pPr>
        <w:pStyle w:val="27"/>
        <w:spacing w:line="360" w:lineRule="auto"/>
        <w:jc w:val="center"/>
        <w:rPr>
          <w:rFonts w:ascii="宋体" w:hAnsi="宋体" w:cs="宋体"/>
          <w:b/>
          <w:bCs/>
          <w:color w:val="auto"/>
          <w:sz w:val="28"/>
          <w:szCs w:val="28"/>
          <w:highlight w:val="none"/>
        </w:rPr>
      </w:pPr>
      <w:r>
        <w:rPr>
          <w:rFonts w:hint="eastAsia" w:ascii="宋体" w:hAnsi="宋体" w:cs="宋体"/>
          <w:b/>
          <w:bCs/>
          <w:color w:val="auto"/>
          <w:sz w:val="28"/>
          <w:szCs w:val="28"/>
          <w:highlight w:val="none"/>
        </w:rPr>
        <w:t>竞标函及竞标函附录</w:t>
      </w:r>
    </w:p>
    <w:p w14:paraId="53475CDF">
      <w:pPr>
        <w:widowControl/>
        <w:kinsoku w:val="0"/>
        <w:autoSpaceDE w:val="0"/>
        <w:autoSpaceDN w:val="0"/>
        <w:adjustRightInd w:val="0"/>
        <w:snapToGrid w:val="0"/>
        <w:spacing w:line="360" w:lineRule="auto"/>
        <w:ind w:firstLine="3654" w:firstLineChars="1300"/>
        <w:textAlignment w:val="baseline"/>
        <w:rPr>
          <w:rFonts w:ascii="宋体" w:hAnsi="宋体" w:cs="宋体"/>
          <w:b/>
          <w:bCs/>
          <w:color w:val="auto"/>
          <w:sz w:val="28"/>
          <w:szCs w:val="28"/>
          <w:highlight w:val="none"/>
        </w:rPr>
      </w:pPr>
    </w:p>
    <w:p w14:paraId="53475CE0">
      <w:pPr>
        <w:widowControl/>
        <w:kinsoku w:val="0"/>
        <w:autoSpaceDE w:val="0"/>
        <w:autoSpaceDN w:val="0"/>
        <w:adjustRightInd w:val="0"/>
        <w:snapToGrid w:val="0"/>
        <w:spacing w:line="360" w:lineRule="auto"/>
        <w:ind w:firstLine="3654" w:firstLineChars="1300"/>
        <w:textAlignment w:val="baseline"/>
        <w:rPr>
          <w:rFonts w:ascii="宋体" w:hAnsi="宋体" w:cs="宋体"/>
          <w:b/>
          <w:bCs/>
          <w:color w:val="auto"/>
          <w:sz w:val="28"/>
          <w:szCs w:val="28"/>
          <w:highlight w:val="none"/>
        </w:rPr>
      </w:pPr>
      <w:r>
        <w:rPr>
          <w:rFonts w:hint="eastAsia" w:ascii="宋体" w:hAnsi="宋体" w:cs="宋体"/>
          <w:b/>
          <w:bCs/>
          <w:color w:val="auto"/>
          <w:sz w:val="28"/>
          <w:szCs w:val="28"/>
          <w:highlight w:val="none"/>
        </w:rPr>
        <w:t>（一）竞标函</w:t>
      </w:r>
    </w:p>
    <w:p w14:paraId="53475CE1">
      <w:pPr>
        <w:widowControl/>
        <w:kinsoku w:val="0"/>
        <w:autoSpaceDE w:val="0"/>
        <w:autoSpaceDN w:val="0"/>
        <w:adjustRightInd w:val="0"/>
        <w:snapToGrid w:val="0"/>
        <w:spacing w:line="360" w:lineRule="auto"/>
        <w:ind w:firstLine="480" w:firstLineChars="200"/>
        <w:textAlignment w:val="baseline"/>
        <w:rPr>
          <w:rFonts w:ascii="宋体" w:hAnsi="宋体" w:cs="宋体"/>
          <w:color w:val="auto"/>
          <w:sz w:val="24"/>
          <w:highlight w:val="none"/>
        </w:rPr>
      </w:pPr>
    </w:p>
    <w:p w14:paraId="53475CE2">
      <w:pPr>
        <w:widowControl/>
        <w:kinsoku w:val="0"/>
        <w:autoSpaceDE w:val="0"/>
        <w:autoSpaceDN w:val="0"/>
        <w:adjustRightInd w:val="0"/>
        <w:snapToGrid w:val="0"/>
        <w:spacing w:line="360" w:lineRule="auto"/>
        <w:ind w:firstLine="480" w:firstLineChars="200"/>
        <w:textAlignment w:val="baseline"/>
        <w:rPr>
          <w:rFonts w:ascii="宋体" w:hAnsi="宋体" w:cs="宋体"/>
          <w:color w:val="auto"/>
          <w:sz w:val="24"/>
          <w:highlight w:val="none"/>
        </w:rPr>
      </w:pPr>
    </w:p>
    <w:p w14:paraId="53475CE3">
      <w:pPr>
        <w:widowControl/>
        <w:kinsoku w:val="0"/>
        <w:autoSpaceDE w:val="0"/>
        <w:autoSpaceDN w:val="0"/>
        <w:adjustRightInd w:val="0"/>
        <w:snapToGrid w:val="0"/>
        <w:spacing w:line="360" w:lineRule="auto"/>
        <w:ind w:firstLine="480" w:firstLineChars="200"/>
        <w:textAlignment w:val="baseline"/>
        <w:rPr>
          <w:rFonts w:ascii="宋体" w:hAnsi="宋体" w:cs="宋体"/>
          <w:color w:val="auto"/>
          <w:sz w:val="24"/>
          <w:highlight w:val="none"/>
        </w:rPr>
      </w:pPr>
      <w:r>
        <w:rPr>
          <w:rFonts w:hint="eastAsia" w:ascii="宋体" w:hAnsi="宋体" w:cs="宋体"/>
          <w:color w:val="auto"/>
          <w:sz w:val="24"/>
          <w:highlight w:val="none"/>
        </w:rPr>
        <w:t>（采购人）、（采购代理机构）：</w:t>
      </w:r>
    </w:p>
    <w:p w14:paraId="53475CE4">
      <w:pPr>
        <w:widowControl/>
        <w:kinsoku w:val="0"/>
        <w:autoSpaceDE w:val="0"/>
        <w:autoSpaceDN w:val="0"/>
        <w:adjustRightInd w:val="0"/>
        <w:snapToGrid w:val="0"/>
        <w:spacing w:line="360" w:lineRule="auto"/>
        <w:ind w:firstLine="480" w:firstLineChars="200"/>
        <w:textAlignment w:val="baseline"/>
        <w:rPr>
          <w:rFonts w:ascii="宋体" w:hAnsi="宋体" w:cs="宋体"/>
          <w:color w:val="auto"/>
          <w:sz w:val="24"/>
          <w:highlight w:val="none"/>
        </w:rPr>
      </w:pPr>
      <w:r>
        <w:rPr>
          <w:rFonts w:hint="eastAsia" w:ascii="宋体" w:hAnsi="宋体" w:cs="宋体"/>
          <w:color w:val="auto"/>
          <w:sz w:val="24"/>
          <w:highlight w:val="none"/>
        </w:rPr>
        <w:t>1.我方已仔细研究了</w:t>
      </w:r>
      <w:r>
        <w:rPr>
          <w:rFonts w:hint="eastAsia" w:ascii="宋体" w:hAnsi="宋体" w:cs="宋体"/>
          <w:color w:val="auto"/>
          <w:sz w:val="24"/>
          <w:highlight w:val="none"/>
          <w:u w:val="single"/>
        </w:rPr>
        <w:t xml:space="preserve">          （项目名称、项目编号：）          </w:t>
      </w:r>
      <w:r>
        <w:rPr>
          <w:rFonts w:hint="eastAsia" w:ascii="宋体" w:hAnsi="宋体" w:cs="宋体"/>
          <w:color w:val="auto"/>
          <w:sz w:val="24"/>
          <w:highlight w:val="none"/>
        </w:rPr>
        <w:t>磋商文件的全部内容，愿意以人民币（大写）</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元(¥</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的竞标总报价，工期</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，按合同约定实施和完成承包工程，修补工程中的任何缺陷，工程质量达到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w:t>
      </w:r>
    </w:p>
    <w:p w14:paraId="53475CE5">
      <w:pPr>
        <w:widowControl/>
        <w:kinsoku w:val="0"/>
        <w:autoSpaceDE w:val="0"/>
        <w:autoSpaceDN w:val="0"/>
        <w:adjustRightInd w:val="0"/>
        <w:snapToGrid w:val="0"/>
        <w:spacing w:line="360" w:lineRule="auto"/>
        <w:ind w:firstLine="480" w:firstLineChars="200"/>
        <w:textAlignment w:val="baseline"/>
        <w:rPr>
          <w:rFonts w:ascii="宋体" w:hAnsi="宋体" w:cs="宋体"/>
          <w:color w:val="auto"/>
          <w:sz w:val="24"/>
          <w:highlight w:val="none"/>
        </w:rPr>
      </w:pPr>
      <w:r>
        <w:rPr>
          <w:rFonts w:hint="eastAsia" w:ascii="宋体" w:hAnsi="宋体" w:cs="宋体"/>
          <w:color w:val="auto"/>
          <w:sz w:val="24"/>
          <w:highlight w:val="none"/>
        </w:rPr>
        <w:t>2.我方承认竞标函附录是我方竞标函的组成部分。</w:t>
      </w:r>
    </w:p>
    <w:p w14:paraId="53475CE6">
      <w:pPr>
        <w:widowControl/>
        <w:kinsoku w:val="0"/>
        <w:autoSpaceDE w:val="0"/>
        <w:autoSpaceDN w:val="0"/>
        <w:adjustRightInd w:val="0"/>
        <w:snapToGrid w:val="0"/>
        <w:spacing w:line="360" w:lineRule="auto"/>
        <w:ind w:firstLine="480" w:firstLineChars="200"/>
        <w:textAlignment w:val="baseline"/>
        <w:rPr>
          <w:rFonts w:ascii="宋体" w:hAnsi="宋体" w:cs="宋体"/>
          <w:color w:val="auto"/>
          <w:sz w:val="24"/>
          <w:highlight w:val="none"/>
        </w:rPr>
      </w:pPr>
      <w:r>
        <w:rPr>
          <w:rFonts w:hint="eastAsia" w:ascii="宋体" w:hAnsi="宋体" w:cs="宋体"/>
          <w:color w:val="auto"/>
          <w:sz w:val="24"/>
          <w:highlight w:val="none"/>
        </w:rPr>
        <w:t>3.如我方成交：</w:t>
      </w:r>
    </w:p>
    <w:p w14:paraId="53475CE7">
      <w:pPr>
        <w:widowControl/>
        <w:kinsoku w:val="0"/>
        <w:autoSpaceDE w:val="0"/>
        <w:autoSpaceDN w:val="0"/>
        <w:adjustRightInd w:val="0"/>
        <w:snapToGrid w:val="0"/>
        <w:spacing w:line="360" w:lineRule="auto"/>
        <w:ind w:firstLine="480" w:firstLineChars="200"/>
        <w:textAlignment w:val="baseline"/>
        <w:rPr>
          <w:rFonts w:ascii="宋体" w:hAnsi="宋体" w:cs="宋体"/>
          <w:color w:val="auto"/>
          <w:sz w:val="24"/>
          <w:highlight w:val="none"/>
        </w:rPr>
      </w:pPr>
      <w:r>
        <w:rPr>
          <w:rFonts w:hint="eastAsia" w:ascii="宋体" w:hAnsi="宋体" w:cs="宋体"/>
          <w:color w:val="auto"/>
          <w:sz w:val="24"/>
          <w:highlight w:val="none"/>
        </w:rPr>
        <w:t>（1）我方承诺在收到成交通知书后，在成交通知书规定的期限内与你方签订合同。</w:t>
      </w:r>
    </w:p>
    <w:p w14:paraId="53475CE8">
      <w:pPr>
        <w:widowControl/>
        <w:kinsoku w:val="0"/>
        <w:autoSpaceDE w:val="0"/>
        <w:autoSpaceDN w:val="0"/>
        <w:adjustRightInd w:val="0"/>
        <w:snapToGrid w:val="0"/>
        <w:spacing w:line="360" w:lineRule="auto"/>
        <w:ind w:firstLine="480" w:firstLineChars="200"/>
        <w:textAlignment w:val="baseline"/>
        <w:rPr>
          <w:rFonts w:ascii="宋体" w:hAnsi="宋体" w:cs="宋体"/>
          <w:color w:val="auto"/>
          <w:sz w:val="24"/>
          <w:highlight w:val="none"/>
        </w:rPr>
      </w:pPr>
      <w:r>
        <w:rPr>
          <w:rFonts w:hint="eastAsia" w:ascii="宋体" w:hAnsi="宋体" w:cs="宋体"/>
          <w:color w:val="auto"/>
          <w:sz w:val="24"/>
          <w:highlight w:val="none"/>
        </w:rPr>
        <w:t>（2）在签订合同时不向你方提出附加条件。</w:t>
      </w:r>
    </w:p>
    <w:p w14:paraId="53475CE9">
      <w:pPr>
        <w:widowControl/>
        <w:kinsoku w:val="0"/>
        <w:autoSpaceDE w:val="0"/>
        <w:autoSpaceDN w:val="0"/>
        <w:adjustRightInd w:val="0"/>
        <w:snapToGrid w:val="0"/>
        <w:spacing w:line="360" w:lineRule="auto"/>
        <w:ind w:firstLine="480" w:firstLineChars="200"/>
        <w:textAlignment w:val="baseline"/>
        <w:rPr>
          <w:rFonts w:ascii="宋体" w:hAnsi="宋体" w:cs="宋体"/>
          <w:color w:val="auto"/>
          <w:sz w:val="24"/>
          <w:highlight w:val="none"/>
        </w:rPr>
      </w:pPr>
      <w:r>
        <w:rPr>
          <w:rFonts w:hint="eastAsia" w:ascii="宋体" w:hAnsi="宋体" w:cs="宋体"/>
          <w:color w:val="auto"/>
          <w:sz w:val="24"/>
          <w:highlight w:val="none"/>
        </w:rPr>
        <w:t>（3）我方承诺按照磋商文件规定向你方递交履约担保。</w:t>
      </w:r>
    </w:p>
    <w:p w14:paraId="53475CEA">
      <w:pPr>
        <w:widowControl/>
        <w:kinsoku w:val="0"/>
        <w:autoSpaceDE w:val="0"/>
        <w:autoSpaceDN w:val="0"/>
        <w:adjustRightInd w:val="0"/>
        <w:snapToGrid w:val="0"/>
        <w:spacing w:line="360" w:lineRule="auto"/>
        <w:ind w:firstLine="480" w:firstLineChars="200"/>
        <w:textAlignment w:val="baseline"/>
        <w:rPr>
          <w:rFonts w:ascii="宋体" w:hAnsi="宋体" w:cs="宋体"/>
          <w:color w:val="auto"/>
          <w:sz w:val="24"/>
          <w:highlight w:val="none"/>
        </w:rPr>
      </w:pPr>
      <w:r>
        <w:rPr>
          <w:rFonts w:hint="eastAsia" w:ascii="宋体" w:hAnsi="宋体" w:cs="宋体"/>
          <w:color w:val="auto"/>
          <w:sz w:val="24"/>
          <w:highlight w:val="none"/>
        </w:rPr>
        <w:t>（4）我方承诺在合同约定的期限内完成并移交全部合同工程。</w:t>
      </w:r>
    </w:p>
    <w:p w14:paraId="53475CEB">
      <w:pPr>
        <w:widowControl/>
        <w:kinsoku w:val="0"/>
        <w:autoSpaceDE w:val="0"/>
        <w:autoSpaceDN w:val="0"/>
        <w:adjustRightInd w:val="0"/>
        <w:snapToGrid w:val="0"/>
        <w:spacing w:line="360" w:lineRule="auto"/>
        <w:ind w:firstLine="480" w:firstLineChars="200"/>
        <w:textAlignment w:val="baseline"/>
        <w:rPr>
          <w:rFonts w:ascii="宋体" w:hAnsi="宋体" w:cs="宋体"/>
          <w:color w:val="auto"/>
          <w:sz w:val="24"/>
          <w:highlight w:val="none"/>
        </w:rPr>
      </w:pPr>
      <w:r>
        <w:rPr>
          <w:rFonts w:hint="eastAsia" w:ascii="宋体" w:hAnsi="宋体" w:cs="宋体"/>
          <w:color w:val="auto"/>
          <w:sz w:val="24"/>
          <w:highlight w:val="none"/>
        </w:rPr>
        <w:t>4.在合同协议书正式签署生效之前，本竞标函连同你方的成交通知书将构成我们双方之间共同遵守的文件，对双方具有约束力。</w:t>
      </w:r>
    </w:p>
    <w:p w14:paraId="53475CEC">
      <w:pPr>
        <w:widowControl/>
        <w:kinsoku w:val="0"/>
        <w:autoSpaceDE w:val="0"/>
        <w:autoSpaceDN w:val="0"/>
        <w:adjustRightInd w:val="0"/>
        <w:snapToGrid w:val="0"/>
        <w:spacing w:line="360" w:lineRule="auto"/>
        <w:ind w:firstLine="480" w:firstLineChars="200"/>
        <w:textAlignment w:val="baseline"/>
        <w:rPr>
          <w:rFonts w:ascii="宋体" w:hAnsi="宋体" w:cs="宋体"/>
          <w:color w:val="auto"/>
          <w:sz w:val="24"/>
          <w:highlight w:val="none"/>
        </w:rPr>
      </w:pPr>
      <w:r>
        <w:rPr>
          <w:rFonts w:hint="eastAsia" w:ascii="宋体" w:hAnsi="宋体" w:cs="宋体"/>
          <w:color w:val="auto"/>
          <w:sz w:val="24"/>
          <w:highlight w:val="none"/>
        </w:rPr>
        <w:t xml:space="preserve">5.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（其他补充说明）。                                                                                           </w:t>
      </w:r>
    </w:p>
    <w:p w14:paraId="53475CED">
      <w:pPr>
        <w:widowControl/>
        <w:kinsoku w:val="0"/>
        <w:autoSpaceDE w:val="0"/>
        <w:autoSpaceDN w:val="0"/>
        <w:adjustRightInd w:val="0"/>
        <w:snapToGrid w:val="0"/>
        <w:spacing w:line="360" w:lineRule="auto"/>
        <w:ind w:firstLine="480" w:firstLineChars="200"/>
        <w:textAlignment w:val="baseline"/>
        <w:rPr>
          <w:rFonts w:ascii="宋体" w:hAnsi="宋体" w:cs="宋体"/>
          <w:color w:val="auto"/>
          <w:sz w:val="24"/>
          <w:highlight w:val="none"/>
        </w:rPr>
      </w:pPr>
    </w:p>
    <w:p w14:paraId="53475CEE">
      <w:pPr>
        <w:widowControl/>
        <w:kinsoku w:val="0"/>
        <w:autoSpaceDE w:val="0"/>
        <w:autoSpaceDN w:val="0"/>
        <w:adjustRightInd w:val="0"/>
        <w:snapToGrid w:val="0"/>
        <w:spacing w:line="360" w:lineRule="auto"/>
        <w:ind w:firstLine="480" w:firstLineChars="200"/>
        <w:textAlignment w:val="baseline"/>
        <w:rPr>
          <w:rFonts w:ascii="宋体" w:hAnsi="宋体" w:cs="宋体"/>
          <w:color w:val="auto"/>
          <w:sz w:val="24"/>
          <w:highlight w:val="none"/>
        </w:rPr>
      </w:pPr>
    </w:p>
    <w:p w14:paraId="53475CEF">
      <w:pPr>
        <w:widowControl/>
        <w:kinsoku w:val="0"/>
        <w:autoSpaceDE w:val="0"/>
        <w:autoSpaceDN w:val="0"/>
        <w:adjustRightInd w:val="0"/>
        <w:snapToGrid w:val="0"/>
        <w:spacing w:line="360" w:lineRule="auto"/>
        <w:ind w:firstLine="480" w:firstLineChars="200"/>
        <w:textAlignment w:val="baseline"/>
        <w:rPr>
          <w:rFonts w:ascii="宋体" w:hAnsi="宋体" w:cs="宋体"/>
          <w:color w:val="auto"/>
          <w:sz w:val="24"/>
          <w:highlight w:val="none"/>
        </w:rPr>
      </w:pPr>
    </w:p>
    <w:p w14:paraId="53475CF0">
      <w:pPr>
        <w:adjustRightInd w:val="0"/>
        <w:snapToGrid w:val="0"/>
        <w:spacing w:line="360" w:lineRule="auto"/>
        <w:ind w:firstLine="960" w:firstLineChars="400"/>
        <w:jc w:val="left"/>
        <w:rPr>
          <w:rFonts w:ascii="宋体" w:hAnsi="宋体"/>
          <w:color w:val="auto"/>
          <w:sz w:val="24"/>
          <w:highlight w:val="none"/>
        </w:rPr>
      </w:pPr>
      <w:r>
        <w:rPr>
          <w:rFonts w:hint="eastAsia" w:ascii="宋体" w:hAnsi="宋体"/>
          <w:color w:val="auto"/>
          <w:sz w:val="24"/>
          <w:highlight w:val="none"/>
        </w:rPr>
        <w:t xml:space="preserve">磋商供应商名称(公章)： </w:t>
      </w:r>
    </w:p>
    <w:p w14:paraId="53475CF1">
      <w:pPr>
        <w:adjustRightInd w:val="0"/>
        <w:snapToGrid w:val="0"/>
        <w:spacing w:line="360" w:lineRule="auto"/>
        <w:ind w:firstLine="960" w:firstLineChars="400"/>
        <w:jc w:val="left"/>
        <w:rPr>
          <w:rFonts w:ascii="宋体" w:hAnsi="宋体"/>
          <w:color w:val="auto"/>
          <w:sz w:val="24"/>
          <w:highlight w:val="none"/>
        </w:rPr>
      </w:pPr>
      <w:r>
        <w:rPr>
          <w:rFonts w:hint="eastAsia" w:ascii="宋体" w:hAnsi="宋体"/>
          <w:color w:val="auto"/>
          <w:sz w:val="24"/>
          <w:highlight w:val="none"/>
        </w:rPr>
        <w:t xml:space="preserve">法定代表人（负责人）或委托代理人(签名)：                          </w:t>
      </w:r>
    </w:p>
    <w:p w14:paraId="53475CF2">
      <w:pPr>
        <w:spacing w:line="360" w:lineRule="auto"/>
        <w:ind w:firstLine="960" w:firstLineChars="400"/>
        <w:rPr>
          <w:rFonts w:ascii="宋体" w:hAnsi="宋体"/>
          <w:color w:val="auto"/>
          <w:sz w:val="24"/>
          <w:highlight w:val="none"/>
        </w:rPr>
      </w:pPr>
      <w:r>
        <w:rPr>
          <w:rFonts w:hint="eastAsia" w:ascii="宋体" w:hAnsi="宋体"/>
          <w:color w:val="auto"/>
          <w:sz w:val="24"/>
          <w:highlight w:val="none"/>
        </w:rPr>
        <w:t>日期：  年   月   日</w:t>
      </w:r>
    </w:p>
    <w:p w14:paraId="53475CF3">
      <w:pPr>
        <w:spacing w:line="360" w:lineRule="auto"/>
        <w:ind w:left="3222"/>
        <w:rPr>
          <w:rFonts w:ascii="宋体" w:hAnsi="宋体"/>
          <w:color w:val="auto"/>
          <w:sz w:val="24"/>
          <w:highlight w:val="none"/>
        </w:rPr>
      </w:pPr>
    </w:p>
    <w:p w14:paraId="53475CF4">
      <w:pPr>
        <w:spacing w:line="360" w:lineRule="auto"/>
        <w:ind w:left="3222"/>
        <w:rPr>
          <w:rFonts w:ascii="宋体" w:hAnsi="宋体"/>
          <w:color w:val="auto"/>
          <w:sz w:val="24"/>
          <w:highlight w:val="none"/>
        </w:rPr>
      </w:pPr>
    </w:p>
    <w:p w14:paraId="53475CF5">
      <w:pPr>
        <w:spacing w:line="360" w:lineRule="auto"/>
        <w:ind w:left="3222"/>
        <w:rPr>
          <w:rFonts w:ascii="宋体" w:hAnsi="宋体"/>
          <w:color w:val="auto"/>
          <w:sz w:val="24"/>
          <w:highlight w:val="none"/>
        </w:rPr>
      </w:pPr>
    </w:p>
    <w:p w14:paraId="53475CF6">
      <w:pPr>
        <w:spacing w:line="360" w:lineRule="auto"/>
        <w:ind w:left="3222"/>
        <w:rPr>
          <w:rFonts w:ascii="宋体" w:hAnsi="宋体" w:cs="宋体"/>
          <w:b/>
          <w:bCs/>
          <w:color w:val="auto"/>
          <w:sz w:val="31"/>
          <w:szCs w:val="31"/>
          <w:highlight w:val="none"/>
        </w:rPr>
      </w:pPr>
      <w:r>
        <w:rPr>
          <w:rFonts w:hint="eastAsia" w:ascii="宋体" w:hAnsi="宋体" w:cs="宋体"/>
          <w:b/>
          <w:bCs/>
          <w:color w:val="auto"/>
          <w:spacing w:val="-12"/>
          <w:sz w:val="31"/>
          <w:szCs w:val="31"/>
          <w:highlight w:val="none"/>
        </w:rPr>
        <w:t>（二） 竞标函附录</w:t>
      </w:r>
    </w:p>
    <w:tbl>
      <w:tblPr>
        <w:tblStyle w:val="38"/>
        <w:tblpPr w:leftFromText="180" w:rightFromText="180" w:vertAnchor="text" w:horzAnchor="page" w:tblpX="1516" w:tblpY="271"/>
        <w:tblOverlap w:val="never"/>
        <w:tblW w:w="895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95"/>
        <w:gridCol w:w="2386"/>
        <w:gridCol w:w="1395"/>
        <w:gridCol w:w="2966"/>
        <w:gridCol w:w="1516"/>
      </w:tblGrid>
      <w:tr w14:paraId="53475C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5" w:hRule="atLeast"/>
        </w:trPr>
        <w:tc>
          <w:tcPr>
            <w:tcW w:w="695" w:type="dxa"/>
            <w:vAlign w:val="center"/>
          </w:tcPr>
          <w:p w14:paraId="53475CF7">
            <w:pPr>
              <w:widowControl/>
              <w:kinsoku w:val="0"/>
              <w:autoSpaceDE w:val="0"/>
              <w:autoSpaceDN w:val="0"/>
              <w:adjustRightInd w:val="0"/>
              <w:snapToGrid w:val="0"/>
              <w:spacing w:line="360" w:lineRule="auto"/>
              <w:jc w:val="left"/>
              <w:textAlignment w:val="baseline"/>
              <w:rPr>
                <w:rFonts w:ascii="宋体" w:hAnsi="宋体" w:cs="宋体"/>
                <w:color w:val="auto"/>
                <w:sz w:val="24"/>
                <w:highlight w:val="none"/>
                <w:lang w:eastAsia="en-US"/>
              </w:rPr>
            </w:pPr>
            <w:r>
              <w:rPr>
                <w:rFonts w:hint="eastAsia" w:ascii="宋体" w:hAnsi="宋体" w:cs="宋体"/>
                <w:color w:val="auto"/>
                <w:sz w:val="24"/>
                <w:highlight w:val="none"/>
                <w:lang w:eastAsia="en-US"/>
              </w:rPr>
              <w:t>序号</w:t>
            </w:r>
          </w:p>
        </w:tc>
        <w:tc>
          <w:tcPr>
            <w:tcW w:w="2386" w:type="dxa"/>
            <w:vAlign w:val="center"/>
          </w:tcPr>
          <w:p w14:paraId="53475CF8">
            <w:pPr>
              <w:widowControl/>
              <w:kinsoku w:val="0"/>
              <w:autoSpaceDE w:val="0"/>
              <w:autoSpaceDN w:val="0"/>
              <w:adjustRightInd w:val="0"/>
              <w:snapToGrid w:val="0"/>
              <w:spacing w:line="360" w:lineRule="auto"/>
              <w:jc w:val="left"/>
              <w:textAlignment w:val="baseline"/>
              <w:rPr>
                <w:rFonts w:ascii="宋体" w:hAnsi="宋体" w:cs="宋体"/>
                <w:color w:val="auto"/>
                <w:sz w:val="24"/>
                <w:highlight w:val="none"/>
                <w:lang w:eastAsia="en-US"/>
              </w:rPr>
            </w:pPr>
            <w:r>
              <w:rPr>
                <w:rFonts w:hint="eastAsia" w:ascii="宋体" w:hAnsi="宋体" w:cs="宋体"/>
                <w:color w:val="auto"/>
                <w:sz w:val="24"/>
                <w:highlight w:val="none"/>
                <w:lang w:eastAsia="en-US"/>
              </w:rPr>
              <w:t>条款内容</w:t>
            </w:r>
          </w:p>
        </w:tc>
        <w:tc>
          <w:tcPr>
            <w:tcW w:w="1395" w:type="dxa"/>
            <w:vAlign w:val="center"/>
          </w:tcPr>
          <w:p w14:paraId="53475CF9">
            <w:pPr>
              <w:widowControl/>
              <w:kinsoku w:val="0"/>
              <w:autoSpaceDE w:val="0"/>
              <w:autoSpaceDN w:val="0"/>
              <w:adjustRightInd w:val="0"/>
              <w:snapToGrid w:val="0"/>
              <w:spacing w:line="360" w:lineRule="auto"/>
              <w:jc w:val="left"/>
              <w:textAlignment w:val="baseline"/>
              <w:rPr>
                <w:rFonts w:ascii="宋体" w:hAnsi="宋体" w:cs="宋体"/>
                <w:color w:val="auto"/>
                <w:sz w:val="24"/>
                <w:highlight w:val="none"/>
                <w:lang w:eastAsia="en-US"/>
              </w:rPr>
            </w:pPr>
            <w:r>
              <w:rPr>
                <w:rFonts w:hint="eastAsia" w:ascii="宋体" w:hAnsi="宋体" w:cs="宋体"/>
                <w:color w:val="auto"/>
                <w:sz w:val="24"/>
                <w:highlight w:val="none"/>
                <w:lang w:eastAsia="en-US"/>
              </w:rPr>
              <w:t>合同条款号</w:t>
            </w:r>
          </w:p>
        </w:tc>
        <w:tc>
          <w:tcPr>
            <w:tcW w:w="2966" w:type="dxa"/>
            <w:vAlign w:val="center"/>
          </w:tcPr>
          <w:p w14:paraId="53475CFA">
            <w:pPr>
              <w:widowControl/>
              <w:kinsoku w:val="0"/>
              <w:autoSpaceDE w:val="0"/>
              <w:autoSpaceDN w:val="0"/>
              <w:adjustRightInd w:val="0"/>
              <w:snapToGrid w:val="0"/>
              <w:spacing w:line="360" w:lineRule="auto"/>
              <w:jc w:val="left"/>
              <w:textAlignment w:val="baseline"/>
              <w:rPr>
                <w:rFonts w:ascii="宋体" w:hAnsi="宋体" w:cs="宋体"/>
                <w:color w:val="auto"/>
                <w:sz w:val="24"/>
                <w:highlight w:val="none"/>
                <w:lang w:eastAsia="en-US"/>
              </w:rPr>
            </w:pPr>
            <w:r>
              <w:rPr>
                <w:rFonts w:hint="eastAsia" w:ascii="宋体" w:hAnsi="宋体" w:cs="宋体"/>
                <w:color w:val="auto"/>
                <w:sz w:val="24"/>
                <w:highlight w:val="none"/>
                <w:lang w:eastAsia="en-US"/>
              </w:rPr>
              <w:t>约定内容</w:t>
            </w:r>
          </w:p>
        </w:tc>
        <w:tc>
          <w:tcPr>
            <w:tcW w:w="1516" w:type="dxa"/>
            <w:vAlign w:val="center"/>
          </w:tcPr>
          <w:p w14:paraId="53475CFB">
            <w:pPr>
              <w:widowControl/>
              <w:kinsoku w:val="0"/>
              <w:autoSpaceDE w:val="0"/>
              <w:autoSpaceDN w:val="0"/>
              <w:adjustRightInd w:val="0"/>
              <w:snapToGrid w:val="0"/>
              <w:spacing w:line="360" w:lineRule="auto"/>
              <w:jc w:val="left"/>
              <w:textAlignment w:val="baseline"/>
              <w:rPr>
                <w:rFonts w:ascii="宋体" w:hAnsi="宋体" w:cs="宋体"/>
                <w:color w:val="auto"/>
                <w:sz w:val="24"/>
                <w:highlight w:val="none"/>
                <w:lang w:eastAsia="en-US"/>
              </w:rPr>
            </w:pPr>
            <w:r>
              <w:rPr>
                <w:rFonts w:hint="eastAsia" w:ascii="宋体" w:hAnsi="宋体" w:cs="宋体"/>
                <w:color w:val="auto"/>
                <w:sz w:val="24"/>
                <w:highlight w:val="none"/>
                <w:lang w:eastAsia="en-US"/>
              </w:rPr>
              <w:t>供应商承诺</w:t>
            </w:r>
          </w:p>
        </w:tc>
      </w:tr>
      <w:tr w14:paraId="53475D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695" w:type="dxa"/>
            <w:vAlign w:val="center"/>
          </w:tcPr>
          <w:p w14:paraId="53475CFD">
            <w:pPr>
              <w:widowControl/>
              <w:kinsoku w:val="0"/>
              <w:autoSpaceDE w:val="0"/>
              <w:autoSpaceDN w:val="0"/>
              <w:adjustRightInd w:val="0"/>
              <w:snapToGrid w:val="0"/>
              <w:spacing w:line="360" w:lineRule="auto"/>
              <w:jc w:val="left"/>
              <w:textAlignment w:val="baseline"/>
              <w:rPr>
                <w:rFonts w:ascii="宋体" w:hAnsi="宋体" w:cs="宋体"/>
                <w:color w:val="auto"/>
                <w:sz w:val="24"/>
                <w:highlight w:val="none"/>
              </w:rPr>
            </w:pPr>
            <w:r>
              <w:rPr>
                <w:rFonts w:hint="eastAsia" w:ascii="宋体" w:hAnsi="宋体" w:cs="宋体"/>
                <w:color w:val="auto"/>
                <w:sz w:val="24"/>
                <w:highlight w:val="none"/>
              </w:rPr>
              <w:t>1</w:t>
            </w:r>
          </w:p>
        </w:tc>
        <w:tc>
          <w:tcPr>
            <w:tcW w:w="2386" w:type="dxa"/>
            <w:vAlign w:val="center"/>
          </w:tcPr>
          <w:p w14:paraId="53475CFE">
            <w:pPr>
              <w:widowControl/>
              <w:kinsoku w:val="0"/>
              <w:autoSpaceDE w:val="0"/>
              <w:autoSpaceDN w:val="0"/>
              <w:adjustRightInd w:val="0"/>
              <w:snapToGrid w:val="0"/>
              <w:spacing w:line="360" w:lineRule="auto"/>
              <w:jc w:val="left"/>
              <w:textAlignment w:val="baseline"/>
              <w:rPr>
                <w:rFonts w:ascii="宋体" w:hAnsi="宋体" w:cs="宋体"/>
                <w:color w:val="auto"/>
                <w:sz w:val="24"/>
                <w:highlight w:val="none"/>
                <w:lang w:eastAsia="en-US"/>
              </w:rPr>
            </w:pPr>
            <w:r>
              <w:rPr>
                <w:rFonts w:hint="eastAsia" w:ascii="宋体" w:hAnsi="宋体" w:cs="宋体"/>
                <w:color w:val="auto"/>
                <w:sz w:val="24"/>
                <w:highlight w:val="none"/>
                <w:lang w:eastAsia="en-US"/>
              </w:rPr>
              <w:t>项目经理</w:t>
            </w:r>
          </w:p>
        </w:tc>
        <w:tc>
          <w:tcPr>
            <w:tcW w:w="1395" w:type="dxa"/>
            <w:vAlign w:val="center"/>
          </w:tcPr>
          <w:p w14:paraId="53475CFF">
            <w:pPr>
              <w:widowControl/>
              <w:kinsoku w:val="0"/>
              <w:autoSpaceDE w:val="0"/>
              <w:autoSpaceDN w:val="0"/>
              <w:adjustRightInd w:val="0"/>
              <w:snapToGrid w:val="0"/>
              <w:spacing w:line="360" w:lineRule="auto"/>
              <w:jc w:val="left"/>
              <w:textAlignment w:val="baseline"/>
              <w:rPr>
                <w:rFonts w:ascii="宋体" w:hAnsi="宋体" w:cs="宋体"/>
                <w:color w:val="auto"/>
                <w:sz w:val="24"/>
                <w:highlight w:val="none"/>
                <w:lang w:eastAsia="en-US"/>
              </w:rPr>
            </w:pPr>
            <w:r>
              <w:rPr>
                <w:rFonts w:hint="eastAsia" w:ascii="宋体" w:hAnsi="宋体" w:cs="宋体"/>
                <w:color w:val="auto"/>
                <w:sz w:val="24"/>
                <w:highlight w:val="none"/>
                <w:lang w:eastAsia="en-US"/>
              </w:rPr>
              <w:t>专用条款</w:t>
            </w:r>
          </w:p>
        </w:tc>
        <w:tc>
          <w:tcPr>
            <w:tcW w:w="2966" w:type="dxa"/>
            <w:vAlign w:val="center"/>
          </w:tcPr>
          <w:p w14:paraId="53475D00">
            <w:pPr>
              <w:widowControl/>
              <w:kinsoku w:val="0"/>
              <w:autoSpaceDE w:val="0"/>
              <w:autoSpaceDN w:val="0"/>
              <w:adjustRightInd w:val="0"/>
              <w:snapToGrid w:val="0"/>
              <w:spacing w:line="360" w:lineRule="auto"/>
              <w:jc w:val="left"/>
              <w:textAlignment w:val="baseline"/>
              <w:rPr>
                <w:rFonts w:ascii="宋体" w:hAnsi="宋体" w:cs="宋体"/>
                <w:color w:val="auto"/>
                <w:sz w:val="24"/>
                <w:highlight w:val="none"/>
                <w:lang w:eastAsia="en-US"/>
              </w:rPr>
            </w:pPr>
            <w:r>
              <w:rPr>
                <w:rFonts w:hint="eastAsia" w:ascii="宋体" w:hAnsi="宋体" w:cs="宋体"/>
                <w:color w:val="auto"/>
                <w:sz w:val="24"/>
                <w:highlight w:val="none"/>
                <w:lang w:eastAsia="en-US"/>
              </w:rPr>
              <w:t>姓名：</w:t>
            </w:r>
          </w:p>
        </w:tc>
        <w:tc>
          <w:tcPr>
            <w:tcW w:w="1516" w:type="dxa"/>
            <w:vAlign w:val="center"/>
          </w:tcPr>
          <w:p w14:paraId="53475D01">
            <w:pPr>
              <w:widowControl/>
              <w:kinsoku w:val="0"/>
              <w:autoSpaceDE w:val="0"/>
              <w:autoSpaceDN w:val="0"/>
              <w:adjustRightInd w:val="0"/>
              <w:snapToGrid w:val="0"/>
              <w:spacing w:line="360" w:lineRule="auto"/>
              <w:jc w:val="left"/>
              <w:textAlignment w:val="baseline"/>
              <w:rPr>
                <w:rFonts w:ascii="宋体" w:hAnsi="宋体" w:cs="宋体"/>
                <w:color w:val="auto"/>
                <w:sz w:val="24"/>
                <w:highlight w:val="none"/>
              </w:rPr>
            </w:pPr>
          </w:p>
        </w:tc>
      </w:tr>
      <w:tr w14:paraId="53475D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695" w:type="dxa"/>
            <w:vAlign w:val="center"/>
          </w:tcPr>
          <w:p w14:paraId="53475D03">
            <w:pPr>
              <w:widowControl/>
              <w:kinsoku w:val="0"/>
              <w:autoSpaceDE w:val="0"/>
              <w:autoSpaceDN w:val="0"/>
              <w:adjustRightInd w:val="0"/>
              <w:snapToGrid w:val="0"/>
              <w:spacing w:line="360" w:lineRule="auto"/>
              <w:jc w:val="left"/>
              <w:textAlignment w:val="baseline"/>
              <w:rPr>
                <w:rFonts w:ascii="宋体" w:hAnsi="宋体" w:cs="宋体"/>
                <w:color w:val="auto"/>
                <w:sz w:val="24"/>
                <w:highlight w:val="none"/>
              </w:rPr>
            </w:pPr>
            <w:r>
              <w:rPr>
                <w:rFonts w:hint="eastAsia" w:ascii="宋体" w:hAnsi="宋体" w:cs="宋体"/>
                <w:color w:val="auto"/>
                <w:sz w:val="24"/>
                <w:highlight w:val="none"/>
              </w:rPr>
              <w:t>2</w:t>
            </w:r>
          </w:p>
        </w:tc>
        <w:tc>
          <w:tcPr>
            <w:tcW w:w="2386" w:type="dxa"/>
            <w:vAlign w:val="center"/>
          </w:tcPr>
          <w:p w14:paraId="53475D04">
            <w:pPr>
              <w:widowControl/>
              <w:kinsoku w:val="0"/>
              <w:autoSpaceDE w:val="0"/>
              <w:autoSpaceDN w:val="0"/>
              <w:adjustRightInd w:val="0"/>
              <w:snapToGrid w:val="0"/>
              <w:spacing w:line="360" w:lineRule="auto"/>
              <w:jc w:val="left"/>
              <w:textAlignment w:val="baseline"/>
              <w:rPr>
                <w:rFonts w:ascii="宋体" w:hAnsi="宋体" w:cs="宋体"/>
                <w:color w:val="auto"/>
                <w:sz w:val="24"/>
                <w:highlight w:val="none"/>
                <w:lang w:eastAsia="en-US"/>
              </w:rPr>
            </w:pPr>
            <w:r>
              <w:rPr>
                <w:rFonts w:hint="eastAsia" w:ascii="宋体" w:hAnsi="宋体" w:cs="宋体"/>
                <w:color w:val="auto"/>
                <w:sz w:val="24"/>
                <w:highlight w:val="none"/>
                <w:lang w:eastAsia="en-US"/>
              </w:rPr>
              <w:t>竞标有效期</w:t>
            </w:r>
          </w:p>
        </w:tc>
        <w:tc>
          <w:tcPr>
            <w:tcW w:w="1395" w:type="dxa"/>
            <w:vAlign w:val="center"/>
          </w:tcPr>
          <w:p w14:paraId="53475D05">
            <w:pPr>
              <w:widowControl/>
              <w:kinsoku w:val="0"/>
              <w:autoSpaceDE w:val="0"/>
              <w:autoSpaceDN w:val="0"/>
              <w:adjustRightInd w:val="0"/>
              <w:snapToGrid w:val="0"/>
              <w:spacing w:line="360" w:lineRule="auto"/>
              <w:jc w:val="left"/>
              <w:textAlignment w:val="baseline"/>
              <w:rPr>
                <w:rFonts w:ascii="宋体" w:hAnsi="宋体" w:cs="宋体"/>
                <w:color w:val="auto"/>
                <w:sz w:val="24"/>
                <w:highlight w:val="none"/>
              </w:rPr>
            </w:pPr>
          </w:p>
        </w:tc>
        <w:tc>
          <w:tcPr>
            <w:tcW w:w="2966" w:type="dxa"/>
            <w:vAlign w:val="center"/>
          </w:tcPr>
          <w:p w14:paraId="53475D06">
            <w:pPr>
              <w:widowControl/>
              <w:kinsoku w:val="0"/>
              <w:autoSpaceDE w:val="0"/>
              <w:autoSpaceDN w:val="0"/>
              <w:adjustRightInd w:val="0"/>
              <w:snapToGrid w:val="0"/>
              <w:spacing w:line="360" w:lineRule="auto"/>
              <w:jc w:val="left"/>
              <w:textAlignment w:val="baseline"/>
              <w:rPr>
                <w:rFonts w:hint="eastAsia" w:ascii="宋体" w:hAnsi="宋体" w:eastAsia="宋体" w:cs="宋体"/>
                <w:color w:val="auto"/>
                <w:sz w:val="24"/>
                <w:highlight w:val="none"/>
                <w:lang w:eastAsia="zh-CN"/>
              </w:rPr>
            </w:pPr>
            <w:r>
              <w:rPr>
                <w:rFonts w:hint="eastAsia" w:ascii="宋体" w:hAnsi="宋体" w:cs="宋体"/>
                <w:color w:val="auto"/>
                <w:sz w:val="24"/>
                <w:highlight w:val="none"/>
                <w:u w:val="single"/>
                <w:lang w:val="en-US" w:eastAsia="zh-CN"/>
              </w:rPr>
              <w:t>60</w:t>
            </w:r>
            <w:r>
              <w:rPr>
                <w:rFonts w:hint="eastAsia" w:ascii="宋体" w:hAnsi="宋体" w:cs="宋体"/>
                <w:color w:val="auto"/>
                <w:sz w:val="24"/>
                <w:highlight w:val="none"/>
                <w:u w:val="single"/>
                <w:lang w:eastAsia="zh-CN"/>
              </w:rPr>
              <w:t>日历天</w:t>
            </w:r>
          </w:p>
        </w:tc>
        <w:tc>
          <w:tcPr>
            <w:tcW w:w="1516" w:type="dxa"/>
            <w:vAlign w:val="center"/>
          </w:tcPr>
          <w:p w14:paraId="53475D07">
            <w:pPr>
              <w:widowControl/>
              <w:kinsoku w:val="0"/>
              <w:autoSpaceDE w:val="0"/>
              <w:autoSpaceDN w:val="0"/>
              <w:adjustRightInd w:val="0"/>
              <w:snapToGrid w:val="0"/>
              <w:spacing w:line="360" w:lineRule="auto"/>
              <w:jc w:val="left"/>
              <w:textAlignment w:val="baseline"/>
              <w:rPr>
                <w:rFonts w:ascii="宋体" w:hAnsi="宋体" w:cs="宋体"/>
                <w:color w:val="auto"/>
                <w:sz w:val="24"/>
                <w:highlight w:val="none"/>
              </w:rPr>
            </w:pPr>
          </w:p>
        </w:tc>
      </w:tr>
      <w:tr w14:paraId="53475D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695" w:type="dxa"/>
            <w:vAlign w:val="center"/>
          </w:tcPr>
          <w:p w14:paraId="53475D09">
            <w:pPr>
              <w:widowControl/>
              <w:kinsoku w:val="0"/>
              <w:autoSpaceDE w:val="0"/>
              <w:autoSpaceDN w:val="0"/>
              <w:adjustRightInd w:val="0"/>
              <w:snapToGrid w:val="0"/>
              <w:spacing w:line="360" w:lineRule="auto"/>
              <w:jc w:val="left"/>
              <w:textAlignment w:val="baseline"/>
              <w:rPr>
                <w:rFonts w:ascii="宋体" w:hAnsi="宋体" w:cs="宋体"/>
                <w:color w:val="auto"/>
                <w:sz w:val="24"/>
                <w:highlight w:val="none"/>
              </w:rPr>
            </w:pPr>
            <w:r>
              <w:rPr>
                <w:rFonts w:hint="eastAsia" w:ascii="宋体" w:hAnsi="宋体" w:cs="宋体"/>
                <w:color w:val="auto"/>
                <w:sz w:val="24"/>
                <w:highlight w:val="none"/>
              </w:rPr>
              <w:t>3</w:t>
            </w:r>
          </w:p>
        </w:tc>
        <w:tc>
          <w:tcPr>
            <w:tcW w:w="2386" w:type="dxa"/>
            <w:vAlign w:val="center"/>
          </w:tcPr>
          <w:p w14:paraId="53475D0A">
            <w:pPr>
              <w:widowControl/>
              <w:kinsoku w:val="0"/>
              <w:autoSpaceDE w:val="0"/>
              <w:autoSpaceDN w:val="0"/>
              <w:adjustRightInd w:val="0"/>
              <w:snapToGrid w:val="0"/>
              <w:spacing w:line="360" w:lineRule="auto"/>
              <w:jc w:val="left"/>
              <w:textAlignment w:val="baseline"/>
              <w:rPr>
                <w:rFonts w:ascii="宋体" w:hAnsi="宋体" w:cs="宋体"/>
                <w:color w:val="auto"/>
                <w:sz w:val="24"/>
                <w:highlight w:val="none"/>
                <w:lang w:eastAsia="en-US"/>
              </w:rPr>
            </w:pPr>
            <w:r>
              <w:rPr>
                <w:rFonts w:hint="eastAsia" w:ascii="宋体" w:hAnsi="宋体" w:cs="宋体"/>
                <w:color w:val="auto"/>
                <w:sz w:val="24"/>
                <w:highlight w:val="none"/>
                <w:lang w:eastAsia="en-US"/>
              </w:rPr>
              <w:t>工期</w:t>
            </w:r>
          </w:p>
        </w:tc>
        <w:tc>
          <w:tcPr>
            <w:tcW w:w="1395" w:type="dxa"/>
            <w:vAlign w:val="center"/>
          </w:tcPr>
          <w:p w14:paraId="53475D0B">
            <w:pPr>
              <w:widowControl/>
              <w:kinsoku w:val="0"/>
              <w:autoSpaceDE w:val="0"/>
              <w:autoSpaceDN w:val="0"/>
              <w:adjustRightInd w:val="0"/>
              <w:snapToGrid w:val="0"/>
              <w:spacing w:line="360" w:lineRule="auto"/>
              <w:jc w:val="left"/>
              <w:textAlignment w:val="baseline"/>
              <w:rPr>
                <w:rFonts w:ascii="宋体" w:hAnsi="宋体" w:cs="宋体"/>
                <w:color w:val="auto"/>
                <w:sz w:val="24"/>
                <w:highlight w:val="none"/>
                <w:lang w:eastAsia="en-US"/>
              </w:rPr>
            </w:pPr>
            <w:r>
              <w:rPr>
                <w:rFonts w:hint="eastAsia" w:ascii="宋体" w:hAnsi="宋体" w:cs="宋体"/>
                <w:color w:val="auto"/>
                <w:sz w:val="24"/>
                <w:highlight w:val="none"/>
                <w:lang w:eastAsia="en-US"/>
              </w:rPr>
              <w:t>专用条款</w:t>
            </w:r>
          </w:p>
        </w:tc>
        <w:tc>
          <w:tcPr>
            <w:tcW w:w="2966" w:type="dxa"/>
            <w:vAlign w:val="center"/>
          </w:tcPr>
          <w:p w14:paraId="53475D0C">
            <w:pPr>
              <w:widowControl/>
              <w:kinsoku w:val="0"/>
              <w:autoSpaceDE w:val="0"/>
              <w:autoSpaceDN w:val="0"/>
              <w:adjustRightInd w:val="0"/>
              <w:snapToGrid w:val="0"/>
              <w:spacing w:line="360" w:lineRule="auto"/>
              <w:ind w:firstLine="720" w:firstLineChars="300"/>
              <w:jc w:val="left"/>
              <w:textAlignment w:val="baseline"/>
              <w:rPr>
                <w:rFonts w:ascii="宋体" w:hAnsi="宋体" w:cs="宋体"/>
                <w:color w:val="auto"/>
                <w:sz w:val="24"/>
                <w:highlight w:val="none"/>
              </w:rPr>
            </w:pPr>
          </w:p>
        </w:tc>
        <w:tc>
          <w:tcPr>
            <w:tcW w:w="1516" w:type="dxa"/>
            <w:vAlign w:val="center"/>
          </w:tcPr>
          <w:p w14:paraId="53475D0D">
            <w:pPr>
              <w:widowControl/>
              <w:kinsoku w:val="0"/>
              <w:autoSpaceDE w:val="0"/>
              <w:autoSpaceDN w:val="0"/>
              <w:adjustRightInd w:val="0"/>
              <w:snapToGrid w:val="0"/>
              <w:spacing w:line="360" w:lineRule="auto"/>
              <w:jc w:val="left"/>
              <w:textAlignment w:val="baseline"/>
              <w:rPr>
                <w:rFonts w:ascii="宋体" w:hAnsi="宋体" w:cs="宋体"/>
                <w:color w:val="auto"/>
                <w:sz w:val="24"/>
                <w:highlight w:val="none"/>
              </w:rPr>
            </w:pPr>
          </w:p>
        </w:tc>
      </w:tr>
      <w:tr w14:paraId="53475D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0" w:hRule="atLeast"/>
        </w:trPr>
        <w:tc>
          <w:tcPr>
            <w:tcW w:w="695" w:type="dxa"/>
            <w:vAlign w:val="center"/>
          </w:tcPr>
          <w:p w14:paraId="53475D0F">
            <w:pPr>
              <w:widowControl/>
              <w:kinsoku w:val="0"/>
              <w:autoSpaceDE w:val="0"/>
              <w:autoSpaceDN w:val="0"/>
              <w:adjustRightInd w:val="0"/>
              <w:snapToGrid w:val="0"/>
              <w:spacing w:line="360" w:lineRule="auto"/>
              <w:jc w:val="left"/>
              <w:textAlignment w:val="baseline"/>
              <w:rPr>
                <w:rFonts w:ascii="宋体" w:hAnsi="宋体" w:cs="宋体"/>
                <w:color w:val="auto"/>
                <w:sz w:val="24"/>
                <w:highlight w:val="none"/>
              </w:rPr>
            </w:pPr>
            <w:r>
              <w:rPr>
                <w:rFonts w:hint="eastAsia" w:ascii="宋体" w:hAnsi="宋体" w:cs="宋体"/>
                <w:color w:val="auto"/>
                <w:sz w:val="24"/>
                <w:highlight w:val="none"/>
              </w:rPr>
              <w:t>4</w:t>
            </w:r>
          </w:p>
        </w:tc>
        <w:tc>
          <w:tcPr>
            <w:tcW w:w="2386" w:type="dxa"/>
            <w:vAlign w:val="center"/>
          </w:tcPr>
          <w:p w14:paraId="53475D10">
            <w:pPr>
              <w:widowControl/>
              <w:kinsoku w:val="0"/>
              <w:autoSpaceDE w:val="0"/>
              <w:autoSpaceDN w:val="0"/>
              <w:adjustRightInd w:val="0"/>
              <w:snapToGrid w:val="0"/>
              <w:spacing w:line="360" w:lineRule="auto"/>
              <w:jc w:val="left"/>
              <w:textAlignment w:val="baseline"/>
              <w:rPr>
                <w:rFonts w:ascii="宋体" w:hAnsi="宋体" w:cs="宋体"/>
                <w:color w:val="auto"/>
                <w:sz w:val="24"/>
                <w:highlight w:val="none"/>
                <w:lang w:eastAsia="en-US"/>
              </w:rPr>
            </w:pPr>
            <w:r>
              <w:rPr>
                <w:rFonts w:hint="eastAsia" w:ascii="宋体" w:hAnsi="宋体" w:cs="宋体"/>
                <w:color w:val="auto"/>
                <w:sz w:val="24"/>
                <w:highlight w:val="none"/>
                <w:lang w:eastAsia="en-US"/>
              </w:rPr>
              <w:t>缺陷责任期</w:t>
            </w:r>
          </w:p>
        </w:tc>
        <w:tc>
          <w:tcPr>
            <w:tcW w:w="1395" w:type="dxa"/>
            <w:vAlign w:val="center"/>
          </w:tcPr>
          <w:p w14:paraId="53475D11">
            <w:pPr>
              <w:widowControl/>
              <w:kinsoku w:val="0"/>
              <w:autoSpaceDE w:val="0"/>
              <w:autoSpaceDN w:val="0"/>
              <w:adjustRightInd w:val="0"/>
              <w:snapToGrid w:val="0"/>
              <w:spacing w:line="360" w:lineRule="auto"/>
              <w:jc w:val="left"/>
              <w:textAlignment w:val="baseline"/>
              <w:rPr>
                <w:rFonts w:ascii="宋体" w:hAnsi="宋体" w:cs="宋体"/>
                <w:color w:val="auto"/>
                <w:sz w:val="24"/>
                <w:highlight w:val="none"/>
                <w:lang w:eastAsia="en-US"/>
              </w:rPr>
            </w:pPr>
            <w:r>
              <w:rPr>
                <w:rFonts w:hint="eastAsia" w:ascii="宋体" w:hAnsi="宋体" w:cs="宋体"/>
                <w:color w:val="auto"/>
                <w:sz w:val="24"/>
                <w:highlight w:val="none"/>
                <w:lang w:eastAsia="en-US"/>
              </w:rPr>
              <w:t>专用条款</w:t>
            </w:r>
          </w:p>
        </w:tc>
        <w:tc>
          <w:tcPr>
            <w:tcW w:w="2966" w:type="dxa"/>
            <w:vAlign w:val="center"/>
          </w:tcPr>
          <w:p w14:paraId="53475D12">
            <w:pPr>
              <w:widowControl/>
              <w:kinsoku w:val="0"/>
              <w:autoSpaceDE w:val="0"/>
              <w:autoSpaceDN w:val="0"/>
              <w:adjustRightInd w:val="0"/>
              <w:snapToGrid w:val="0"/>
              <w:spacing w:line="360" w:lineRule="auto"/>
              <w:jc w:val="left"/>
              <w:textAlignment w:val="baseline"/>
              <w:rPr>
                <w:rFonts w:ascii="宋体" w:hAnsi="宋体" w:cs="宋体"/>
                <w:color w:val="auto"/>
                <w:sz w:val="24"/>
                <w:highlight w:val="none"/>
              </w:rPr>
            </w:pP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（自竣工验收合格之日起计算）</w:t>
            </w:r>
          </w:p>
        </w:tc>
        <w:tc>
          <w:tcPr>
            <w:tcW w:w="1516" w:type="dxa"/>
            <w:vAlign w:val="center"/>
          </w:tcPr>
          <w:p w14:paraId="53475D13">
            <w:pPr>
              <w:widowControl/>
              <w:kinsoku w:val="0"/>
              <w:autoSpaceDE w:val="0"/>
              <w:autoSpaceDN w:val="0"/>
              <w:adjustRightInd w:val="0"/>
              <w:snapToGrid w:val="0"/>
              <w:spacing w:line="360" w:lineRule="auto"/>
              <w:jc w:val="left"/>
              <w:textAlignment w:val="baseline"/>
              <w:rPr>
                <w:rFonts w:ascii="宋体" w:hAnsi="宋体" w:cs="宋体"/>
                <w:color w:val="auto"/>
                <w:sz w:val="24"/>
                <w:highlight w:val="none"/>
              </w:rPr>
            </w:pPr>
          </w:p>
        </w:tc>
      </w:tr>
      <w:tr w14:paraId="53475D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695" w:type="dxa"/>
            <w:vAlign w:val="center"/>
          </w:tcPr>
          <w:p w14:paraId="53475D15">
            <w:pPr>
              <w:widowControl/>
              <w:kinsoku w:val="0"/>
              <w:autoSpaceDE w:val="0"/>
              <w:autoSpaceDN w:val="0"/>
              <w:adjustRightInd w:val="0"/>
              <w:snapToGrid w:val="0"/>
              <w:spacing w:line="360" w:lineRule="auto"/>
              <w:jc w:val="left"/>
              <w:textAlignment w:val="baseline"/>
              <w:rPr>
                <w:rFonts w:ascii="宋体" w:hAnsi="宋体" w:cs="宋体"/>
                <w:color w:val="auto"/>
                <w:sz w:val="24"/>
                <w:highlight w:val="none"/>
              </w:rPr>
            </w:pPr>
            <w:r>
              <w:rPr>
                <w:rFonts w:hint="eastAsia" w:ascii="宋体" w:hAnsi="宋体" w:cs="宋体"/>
                <w:color w:val="auto"/>
                <w:sz w:val="24"/>
                <w:highlight w:val="none"/>
              </w:rPr>
              <w:t>5</w:t>
            </w:r>
          </w:p>
        </w:tc>
        <w:tc>
          <w:tcPr>
            <w:tcW w:w="2386" w:type="dxa"/>
            <w:vAlign w:val="center"/>
          </w:tcPr>
          <w:p w14:paraId="53475D16">
            <w:pPr>
              <w:widowControl/>
              <w:kinsoku w:val="0"/>
              <w:autoSpaceDE w:val="0"/>
              <w:autoSpaceDN w:val="0"/>
              <w:adjustRightInd w:val="0"/>
              <w:snapToGrid w:val="0"/>
              <w:spacing w:line="360" w:lineRule="auto"/>
              <w:jc w:val="left"/>
              <w:textAlignment w:val="baseline"/>
              <w:rPr>
                <w:rFonts w:ascii="宋体" w:hAnsi="宋体" w:cs="宋体"/>
                <w:color w:val="auto"/>
                <w:sz w:val="24"/>
                <w:highlight w:val="none"/>
                <w:lang w:eastAsia="en-US"/>
              </w:rPr>
            </w:pPr>
            <w:r>
              <w:rPr>
                <w:rFonts w:hint="eastAsia" w:ascii="宋体" w:hAnsi="宋体" w:cs="宋体"/>
                <w:color w:val="auto"/>
                <w:sz w:val="24"/>
                <w:highlight w:val="none"/>
                <w:lang w:eastAsia="en-US"/>
              </w:rPr>
              <w:t>发包人支付担保</w:t>
            </w:r>
          </w:p>
        </w:tc>
        <w:tc>
          <w:tcPr>
            <w:tcW w:w="1395" w:type="dxa"/>
            <w:vAlign w:val="center"/>
          </w:tcPr>
          <w:p w14:paraId="53475D17">
            <w:pPr>
              <w:widowControl/>
              <w:kinsoku w:val="0"/>
              <w:autoSpaceDE w:val="0"/>
              <w:autoSpaceDN w:val="0"/>
              <w:adjustRightInd w:val="0"/>
              <w:snapToGrid w:val="0"/>
              <w:spacing w:line="360" w:lineRule="auto"/>
              <w:jc w:val="left"/>
              <w:textAlignment w:val="baseline"/>
              <w:rPr>
                <w:rFonts w:ascii="宋体" w:hAnsi="宋体" w:cs="宋体"/>
                <w:color w:val="auto"/>
                <w:sz w:val="24"/>
                <w:highlight w:val="none"/>
                <w:lang w:eastAsia="en-US"/>
              </w:rPr>
            </w:pPr>
            <w:r>
              <w:rPr>
                <w:rFonts w:hint="eastAsia" w:ascii="宋体" w:hAnsi="宋体" w:cs="宋体"/>
                <w:color w:val="auto"/>
                <w:sz w:val="24"/>
                <w:highlight w:val="none"/>
                <w:lang w:eastAsia="en-US"/>
              </w:rPr>
              <w:t>专用条款</w:t>
            </w:r>
          </w:p>
        </w:tc>
        <w:tc>
          <w:tcPr>
            <w:tcW w:w="2966" w:type="dxa"/>
            <w:vAlign w:val="center"/>
          </w:tcPr>
          <w:p w14:paraId="53475D18">
            <w:pPr>
              <w:widowControl/>
              <w:kinsoku w:val="0"/>
              <w:autoSpaceDE w:val="0"/>
              <w:autoSpaceDN w:val="0"/>
              <w:adjustRightInd w:val="0"/>
              <w:snapToGrid w:val="0"/>
              <w:spacing w:line="360" w:lineRule="auto"/>
              <w:jc w:val="left"/>
              <w:textAlignment w:val="baseline"/>
              <w:rPr>
                <w:rFonts w:ascii="宋体" w:hAnsi="宋体" w:cs="宋体"/>
                <w:color w:val="auto"/>
                <w:sz w:val="24"/>
                <w:highlight w:val="none"/>
              </w:rPr>
            </w:pPr>
          </w:p>
        </w:tc>
        <w:tc>
          <w:tcPr>
            <w:tcW w:w="1516" w:type="dxa"/>
            <w:vAlign w:val="center"/>
          </w:tcPr>
          <w:p w14:paraId="53475D19">
            <w:pPr>
              <w:widowControl/>
              <w:kinsoku w:val="0"/>
              <w:autoSpaceDE w:val="0"/>
              <w:autoSpaceDN w:val="0"/>
              <w:adjustRightInd w:val="0"/>
              <w:snapToGrid w:val="0"/>
              <w:spacing w:line="360" w:lineRule="auto"/>
              <w:jc w:val="left"/>
              <w:textAlignment w:val="baseline"/>
              <w:rPr>
                <w:rFonts w:ascii="宋体" w:hAnsi="宋体" w:cs="宋体"/>
                <w:color w:val="auto"/>
                <w:sz w:val="24"/>
                <w:highlight w:val="none"/>
              </w:rPr>
            </w:pPr>
          </w:p>
        </w:tc>
      </w:tr>
      <w:tr w14:paraId="53475D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695" w:type="dxa"/>
            <w:vAlign w:val="center"/>
          </w:tcPr>
          <w:p w14:paraId="53475D1B">
            <w:pPr>
              <w:widowControl/>
              <w:kinsoku w:val="0"/>
              <w:autoSpaceDE w:val="0"/>
              <w:autoSpaceDN w:val="0"/>
              <w:adjustRightInd w:val="0"/>
              <w:snapToGrid w:val="0"/>
              <w:spacing w:line="360" w:lineRule="auto"/>
              <w:jc w:val="left"/>
              <w:textAlignment w:val="baseline"/>
              <w:rPr>
                <w:rFonts w:ascii="宋体" w:hAnsi="宋体" w:cs="宋体"/>
                <w:color w:val="auto"/>
                <w:sz w:val="24"/>
                <w:highlight w:val="none"/>
              </w:rPr>
            </w:pPr>
            <w:r>
              <w:rPr>
                <w:rFonts w:hint="eastAsia" w:ascii="宋体" w:hAnsi="宋体" w:cs="宋体"/>
                <w:color w:val="auto"/>
                <w:sz w:val="24"/>
                <w:highlight w:val="none"/>
              </w:rPr>
              <w:t>6</w:t>
            </w:r>
          </w:p>
        </w:tc>
        <w:tc>
          <w:tcPr>
            <w:tcW w:w="2386" w:type="dxa"/>
            <w:vAlign w:val="center"/>
          </w:tcPr>
          <w:p w14:paraId="53475D1C">
            <w:pPr>
              <w:widowControl/>
              <w:kinsoku w:val="0"/>
              <w:autoSpaceDE w:val="0"/>
              <w:autoSpaceDN w:val="0"/>
              <w:adjustRightInd w:val="0"/>
              <w:snapToGrid w:val="0"/>
              <w:spacing w:line="360" w:lineRule="auto"/>
              <w:jc w:val="left"/>
              <w:textAlignment w:val="baseline"/>
              <w:rPr>
                <w:rFonts w:ascii="宋体" w:hAnsi="宋体" w:cs="宋体"/>
                <w:color w:val="auto"/>
                <w:sz w:val="24"/>
                <w:highlight w:val="none"/>
                <w:lang w:eastAsia="en-US"/>
              </w:rPr>
            </w:pPr>
            <w:r>
              <w:rPr>
                <w:rFonts w:hint="eastAsia" w:ascii="宋体" w:hAnsi="宋体" w:cs="宋体"/>
                <w:color w:val="auto"/>
                <w:sz w:val="24"/>
                <w:highlight w:val="none"/>
                <w:lang w:eastAsia="en-US"/>
              </w:rPr>
              <w:t>承包人履约担保金额</w:t>
            </w:r>
          </w:p>
        </w:tc>
        <w:tc>
          <w:tcPr>
            <w:tcW w:w="1395" w:type="dxa"/>
            <w:vAlign w:val="center"/>
          </w:tcPr>
          <w:p w14:paraId="53475D1D">
            <w:pPr>
              <w:widowControl/>
              <w:kinsoku w:val="0"/>
              <w:autoSpaceDE w:val="0"/>
              <w:autoSpaceDN w:val="0"/>
              <w:adjustRightInd w:val="0"/>
              <w:snapToGrid w:val="0"/>
              <w:spacing w:line="360" w:lineRule="auto"/>
              <w:jc w:val="left"/>
              <w:textAlignment w:val="baseline"/>
              <w:rPr>
                <w:rFonts w:ascii="宋体" w:hAnsi="宋体" w:cs="宋体"/>
                <w:color w:val="auto"/>
                <w:sz w:val="24"/>
                <w:highlight w:val="none"/>
                <w:lang w:eastAsia="en-US"/>
              </w:rPr>
            </w:pPr>
            <w:r>
              <w:rPr>
                <w:rFonts w:hint="eastAsia" w:ascii="宋体" w:hAnsi="宋体" w:cs="宋体"/>
                <w:color w:val="auto"/>
                <w:sz w:val="24"/>
                <w:highlight w:val="none"/>
                <w:lang w:eastAsia="en-US"/>
              </w:rPr>
              <w:t>专用条款</w:t>
            </w:r>
          </w:p>
        </w:tc>
        <w:tc>
          <w:tcPr>
            <w:tcW w:w="2966" w:type="dxa"/>
            <w:vAlign w:val="center"/>
          </w:tcPr>
          <w:p w14:paraId="53475D1E">
            <w:pPr>
              <w:widowControl/>
              <w:kinsoku w:val="0"/>
              <w:autoSpaceDE w:val="0"/>
              <w:autoSpaceDN w:val="0"/>
              <w:adjustRightInd w:val="0"/>
              <w:snapToGrid w:val="0"/>
              <w:spacing w:line="360" w:lineRule="auto"/>
              <w:jc w:val="left"/>
              <w:textAlignment w:val="baseline"/>
              <w:rPr>
                <w:rFonts w:ascii="宋体" w:hAnsi="宋体" w:cs="宋体"/>
                <w:color w:val="auto"/>
                <w:sz w:val="24"/>
                <w:highlight w:val="none"/>
              </w:rPr>
            </w:pPr>
          </w:p>
        </w:tc>
        <w:tc>
          <w:tcPr>
            <w:tcW w:w="1516" w:type="dxa"/>
            <w:vAlign w:val="center"/>
          </w:tcPr>
          <w:p w14:paraId="53475D1F">
            <w:pPr>
              <w:widowControl/>
              <w:kinsoku w:val="0"/>
              <w:autoSpaceDE w:val="0"/>
              <w:autoSpaceDN w:val="0"/>
              <w:adjustRightInd w:val="0"/>
              <w:snapToGrid w:val="0"/>
              <w:spacing w:line="360" w:lineRule="auto"/>
              <w:jc w:val="left"/>
              <w:textAlignment w:val="baseline"/>
              <w:rPr>
                <w:rFonts w:ascii="宋体" w:hAnsi="宋体" w:cs="宋体"/>
                <w:color w:val="auto"/>
                <w:sz w:val="24"/>
                <w:highlight w:val="none"/>
              </w:rPr>
            </w:pPr>
          </w:p>
        </w:tc>
      </w:tr>
      <w:tr w14:paraId="53475D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695" w:type="dxa"/>
            <w:vAlign w:val="center"/>
          </w:tcPr>
          <w:p w14:paraId="53475D21">
            <w:pPr>
              <w:widowControl/>
              <w:kinsoku w:val="0"/>
              <w:autoSpaceDE w:val="0"/>
              <w:autoSpaceDN w:val="0"/>
              <w:adjustRightInd w:val="0"/>
              <w:snapToGrid w:val="0"/>
              <w:spacing w:line="360" w:lineRule="auto"/>
              <w:jc w:val="left"/>
              <w:textAlignment w:val="baseline"/>
              <w:rPr>
                <w:rFonts w:ascii="宋体" w:hAnsi="宋体" w:cs="宋体"/>
                <w:color w:val="auto"/>
                <w:sz w:val="24"/>
                <w:highlight w:val="none"/>
              </w:rPr>
            </w:pPr>
            <w:r>
              <w:rPr>
                <w:rFonts w:hint="eastAsia" w:ascii="宋体" w:hAnsi="宋体" w:cs="宋体"/>
                <w:color w:val="auto"/>
                <w:sz w:val="24"/>
                <w:highlight w:val="none"/>
              </w:rPr>
              <w:t>7</w:t>
            </w:r>
          </w:p>
        </w:tc>
        <w:tc>
          <w:tcPr>
            <w:tcW w:w="2386" w:type="dxa"/>
            <w:vAlign w:val="center"/>
          </w:tcPr>
          <w:p w14:paraId="53475D22">
            <w:pPr>
              <w:widowControl/>
              <w:kinsoku w:val="0"/>
              <w:autoSpaceDE w:val="0"/>
              <w:autoSpaceDN w:val="0"/>
              <w:adjustRightInd w:val="0"/>
              <w:snapToGrid w:val="0"/>
              <w:spacing w:line="360" w:lineRule="auto"/>
              <w:jc w:val="left"/>
              <w:textAlignment w:val="baseline"/>
              <w:rPr>
                <w:rFonts w:ascii="宋体" w:hAnsi="宋体" w:cs="宋体"/>
                <w:color w:val="auto"/>
                <w:sz w:val="24"/>
                <w:highlight w:val="none"/>
                <w:lang w:eastAsia="en-US"/>
              </w:rPr>
            </w:pPr>
            <w:r>
              <w:rPr>
                <w:rFonts w:hint="eastAsia" w:ascii="宋体" w:hAnsi="宋体" w:cs="宋体"/>
                <w:color w:val="auto"/>
                <w:sz w:val="24"/>
                <w:highlight w:val="none"/>
                <w:lang w:eastAsia="en-US"/>
              </w:rPr>
              <w:t>分包</w:t>
            </w:r>
          </w:p>
        </w:tc>
        <w:tc>
          <w:tcPr>
            <w:tcW w:w="1395" w:type="dxa"/>
            <w:vAlign w:val="center"/>
          </w:tcPr>
          <w:p w14:paraId="53475D23">
            <w:pPr>
              <w:widowControl/>
              <w:kinsoku w:val="0"/>
              <w:autoSpaceDE w:val="0"/>
              <w:autoSpaceDN w:val="0"/>
              <w:adjustRightInd w:val="0"/>
              <w:snapToGrid w:val="0"/>
              <w:spacing w:line="360" w:lineRule="auto"/>
              <w:jc w:val="left"/>
              <w:textAlignment w:val="baseline"/>
              <w:rPr>
                <w:rFonts w:ascii="宋体" w:hAnsi="宋体" w:cs="宋体"/>
                <w:color w:val="auto"/>
                <w:sz w:val="24"/>
                <w:highlight w:val="none"/>
                <w:lang w:eastAsia="en-US"/>
              </w:rPr>
            </w:pPr>
            <w:r>
              <w:rPr>
                <w:rFonts w:hint="eastAsia" w:ascii="宋体" w:hAnsi="宋体" w:cs="宋体"/>
                <w:color w:val="auto"/>
                <w:sz w:val="24"/>
                <w:highlight w:val="none"/>
                <w:lang w:eastAsia="en-US"/>
              </w:rPr>
              <w:t>专用条款</w:t>
            </w:r>
          </w:p>
        </w:tc>
        <w:tc>
          <w:tcPr>
            <w:tcW w:w="2966" w:type="dxa"/>
            <w:vAlign w:val="center"/>
          </w:tcPr>
          <w:p w14:paraId="53475D24">
            <w:pPr>
              <w:widowControl/>
              <w:kinsoku w:val="0"/>
              <w:autoSpaceDE w:val="0"/>
              <w:autoSpaceDN w:val="0"/>
              <w:adjustRightInd w:val="0"/>
              <w:snapToGrid w:val="0"/>
              <w:spacing w:line="360" w:lineRule="auto"/>
              <w:jc w:val="left"/>
              <w:textAlignment w:val="baseline"/>
              <w:rPr>
                <w:rFonts w:ascii="宋体" w:hAnsi="宋体" w:cs="宋体"/>
                <w:color w:val="auto"/>
                <w:sz w:val="24"/>
                <w:highlight w:val="none"/>
                <w:lang w:eastAsia="en-US"/>
              </w:rPr>
            </w:pPr>
            <w:r>
              <w:rPr>
                <w:rFonts w:hint="eastAsia" w:ascii="宋体" w:hAnsi="宋体" w:cs="宋体"/>
                <w:color w:val="auto"/>
                <w:sz w:val="24"/>
                <w:highlight w:val="none"/>
                <w:lang w:eastAsia="en-US"/>
              </w:rPr>
              <w:t>不允许</w:t>
            </w:r>
          </w:p>
        </w:tc>
        <w:tc>
          <w:tcPr>
            <w:tcW w:w="1516" w:type="dxa"/>
            <w:vAlign w:val="center"/>
          </w:tcPr>
          <w:p w14:paraId="53475D25">
            <w:pPr>
              <w:widowControl/>
              <w:kinsoku w:val="0"/>
              <w:autoSpaceDE w:val="0"/>
              <w:autoSpaceDN w:val="0"/>
              <w:adjustRightInd w:val="0"/>
              <w:snapToGrid w:val="0"/>
              <w:spacing w:line="360" w:lineRule="auto"/>
              <w:jc w:val="left"/>
              <w:textAlignment w:val="baseline"/>
              <w:rPr>
                <w:rFonts w:ascii="宋体" w:hAnsi="宋体" w:cs="宋体"/>
                <w:color w:val="auto"/>
                <w:sz w:val="24"/>
                <w:highlight w:val="none"/>
              </w:rPr>
            </w:pPr>
          </w:p>
        </w:tc>
      </w:tr>
      <w:tr w14:paraId="53475D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695" w:type="dxa"/>
            <w:vAlign w:val="center"/>
          </w:tcPr>
          <w:p w14:paraId="53475D27">
            <w:pPr>
              <w:widowControl/>
              <w:kinsoku w:val="0"/>
              <w:autoSpaceDE w:val="0"/>
              <w:autoSpaceDN w:val="0"/>
              <w:adjustRightInd w:val="0"/>
              <w:snapToGrid w:val="0"/>
              <w:spacing w:line="360" w:lineRule="auto"/>
              <w:jc w:val="left"/>
              <w:textAlignment w:val="baseline"/>
              <w:rPr>
                <w:rFonts w:ascii="宋体" w:hAnsi="宋体" w:cs="宋体"/>
                <w:color w:val="auto"/>
                <w:sz w:val="24"/>
                <w:highlight w:val="none"/>
              </w:rPr>
            </w:pPr>
            <w:r>
              <w:rPr>
                <w:rFonts w:hint="eastAsia" w:ascii="宋体" w:hAnsi="宋体" w:cs="宋体"/>
                <w:color w:val="auto"/>
                <w:sz w:val="24"/>
                <w:highlight w:val="none"/>
              </w:rPr>
              <w:t>8</w:t>
            </w:r>
          </w:p>
        </w:tc>
        <w:tc>
          <w:tcPr>
            <w:tcW w:w="2386" w:type="dxa"/>
            <w:vAlign w:val="center"/>
          </w:tcPr>
          <w:p w14:paraId="53475D28">
            <w:pPr>
              <w:widowControl/>
              <w:kinsoku w:val="0"/>
              <w:autoSpaceDE w:val="0"/>
              <w:autoSpaceDN w:val="0"/>
              <w:adjustRightInd w:val="0"/>
              <w:snapToGrid w:val="0"/>
              <w:spacing w:line="360" w:lineRule="auto"/>
              <w:jc w:val="left"/>
              <w:textAlignment w:val="baseline"/>
              <w:rPr>
                <w:rFonts w:ascii="宋体" w:hAnsi="宋体" w:cs="宋体"/>
                <w:color w:val="auto"/>
                <w:sz w:val="24"/>
                <w:highlight w:val="none"/>
                <w:lang w:eastAsia="en-US"/>
              </w:rPr>
            </w:pPr>
            <w:r>
              <w:rPr>
                <w:rFonts w:hint="eastAsia" w:ascii="宋体" w:hAnsi="宋体" w:cs="宋体"/>
                <w:color w:val="auto"/>
                <w:sz w:val="24"/>
                <w:highlight w:val="none"/>
                <w:lang w:eastAsia="en-US"/>
              </w:rPr>
              <w:t>逾期竣工违约金</w:t>
            </w:r>
          </w:p>
        </w:tc>
        <w:tc>
          <w:tcPr>
            <w:tcW w:w="1395" w:type="dxa"/>
            <w:vAlign w:val="center"/>
          </w:tcPr>
          <w:p w14:paraId="53475D29">
            <w:pPr>
              <w:widowControl/>
              <w:kinsoku w:val="0"/>
              <w:autoSpaceDE w:val="0"/>
              <w:autoSpaceDN w:val="0"/>
              <w:adjustRightInd w:val="0"/>
              <w:snapToGrid w:val="0"/>
              <w:spacing w:line="360" w:lineRule="auto"/>
              <w:jc w:val="left"/>
              <w:textAlignment w:val="baseline"/>
              <w:rPr>
                <w:rFonts w:ascii="宋体" w:hAnsi="宋体" w:cs="宋体"/>
                <w:color w:val="auto"/>
                <w:sz w:val="24"/>
                <w:highlight w:val="none"/>
                <w:lang w:eastAsia="en-US"/>
              </w:rPr>
            </w:pPr>
            <w:r>
              <w:rPr>
                <w:rFonts w:hint="eastAsia" w:ascii="宋体" w:hAnsi="宋体" w:cs="宋体"/>
                <w:color w:val="auto"/>
                <w:sz w:val="24"/>
                <w:highlight w:val="none"/>
                <w:lang w:eastAsia="en-US"/>
              </w:rPr>
              <w:t>专用条款</w:t>
            </w:r>
          </w:p>
        </w:tc>
        <w:tc>
          <w:tcPr>
            <w:tcW w:w="2966" w:type="dxa"/>
            <w:vAlign w:val="center"/>
          </w:tcPr>
          <w:p w14:paraId="53475D2A">
            <w:pPr>
              <w:widowControl/>
              <w:kinsoku w:val="0"/>
              <w:autoSpaceDE w:val="0"/>
              <w:autoSpaceDN w:val="0"/>
              <w:adjustRightInd w:val="0"/>
              <w:snapToGrid w:val="0"/>
              <w:spacing w:line="360" w:lineRule="auto"/>
              <w:jc w:val="left"/>
              <w:textAlignment w:val="baseline"/>
              <w:rPr>
                <w:rFonts w:ascii="宋体" w:hAnsi="宋体" w:cs="宋体"/>
                <w:color w:val="auto"/>
                <w:sz w:val="24"/>
                <w:highlight w:val="none"/>
              </w:rPr>
            </w:pPr>
          </w:p>
        </w:tc>
        <w:tc>
          <w:tcPr>
            <w:tcW w:w="1516" w:type="dxa"/>
            <w:vAlign w:val="center"/>
          </w:tcPr>
          <w:p w14:paraId="53475D2B">
            <w:pPr>
              <w:widowControl/>
              <w:kinsoku w:val="0"/>
              <w:autoSpaceDE w:val="0"/>
              <w:autoSpaceDN w:val="0"/>
              <w:adjustRightInd w:val="0"/>
              <w:snapToGrid w:val="0"/>
              <w:spacing w:line="360" w:lineRule="auto"/>
              <w:jc w:val="left"/>
              <w:textAlignment w:val="baseline"/>
              <w:rPr>
                <w:rFonts w:ascii="宋体" w:hAnsi="宋体" w:cs="宋体"/>
                <w:color w:val="auto"/>
                <w:sz w:val="24"/>
                <w:highlight w:val="none"/>
              </w:rPr>
            </w:pPr>
          </w:p>
        </w:tc>
      </w:tr>
      <w:tr w14:paraId="53475D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0" w:hRule="atLeast"/>
        </w:trPr>
        <w:tc>
          <w:tcPr>
            <w:tcW w:w="695" w:type="dxa"/>
            <w:vAlign w:val="center"/>
          </w:tcPr>
          <w:p w14:paraId="53475D2D">
            <w:pPr>
              <w:widowControl/>
              <w:kinsoku w:val="0"/>
              <w:autoSpaceDE w:val="0"/>
              <w:autoSpaceDN w:val="0"/>
              <w:adjustRightInd w:val="0"/>
              <w:snapToGrid w:val="0"/>
              <w:spacing w:line="360" w:lineRule="auto"/>
              <w:jc w:val="left"/>
              <w:textAlignment w:val="baseline"/>
              <w:rPr>
                <w:rFonts w:ascii="宋体" w:hAnsi="宋体" w:cs="宋体"/>
                <w:color w:val="auto"/>
                <w:sz w:val="24"/>
                <w:highlight w:val="none"/>
              </w:rPr>
            </w:pPr>
            <w:r>
              <w:rPr>
                <w:rFonts w:hint="eastAsia" w:ascii="宋体" w:hAnsi="宋体" w:cs="宋体"/>
                <w:color w:val="auto"/>
                <w:sz w:val="24"/>
                <w:highlight w:val="none"/>
              </w:rPr>
              <w:t>9</w:t>
            </w:r>
          </w:p>
        </w:tc>
        <w:tc>
          <w:tcPr>
            <w:tcW w:w="2386" w:type="dxa"/>
            <w:vAlign w:val="center"/>
          </w:tcPr>
          <w:p w14:paraId="53475D2E">
            <w:pPr>
              <w:widowControl/>
              <w:kinsoku w:val="0"/>
              <w:autoSpaceDE w:val="0"/>
              <w:autoSpaceDN w:val="0"/>
              <w:adjustRightInd w:val="0"/>
              <w:snapToGrid w:val="0"/>
              <w:spacing w:line="360" w:lineRule="auto"/>
              <w:jc w:val="left"/>
              <w:textAlignment w:val="baseline"/>
              <w:rPr>
                <w:rFonts w:ascii="宋体" w:hAnsi="宋体" w:cs="宋体"/>
                <w:color w:val="auto"/>
                <w:sz w:val="24"/>
                <w:highlight w:val="none"/>
              </w:rPr>
            </w:pPr>
            <w:r>
              <w:rPr>
                <w:rFonts w:hint="eastAsia" w:ascii="宋体" w:hAnsi="宋体" w:cs="宋体"/>
                <w:color w:val="auto"/>
                <w:sz w:val="24"/>
                <w:highlight w:val="none"/>
              </w:rPr>
              <w:t>逾期竣工违约金的上限</w:t>
            </w:r>
          </w:p>
        </w:tc>
        <w:tc>
          <w:tcPr>
            <w:tcW w:w="1395" w:type="dxa"/>
            <w:vAlign w:val="center"/>
          </w:tcPr>
          <w:p w14:paraId="53475D2F">
            <w:pPr>
              <w:widowControl/>
              <w:kinsoku w:val="0"/>
              <w:autoSpaceDE w:val="0"/>
              <w:autoSpaceDN w:val="0"/>
              <w:adjustRightInd w:val="0"/>
              <w:snapToGrid w:val="0"/>
              <w:spacing w:line="360" w:lineRule="auto"/>
              <w:jc w:val="left"/>
              <w:textAlignment w:val="baseline"/>
              <w:rPr>
                <w:rFonts w:ascii="宋体" w:hAnsi="宋体" w:cs="宋体"/>
                <w:color w:val="auto"/>
                <w:sz w:val="24"/>
                <w:highlight w:val="none"/>
                <w:lang w:eastAsia="en-US"/>
              </w:rPr>
            </w:pPr>
            <w:r>
              <w:rPr>
                <w:rFonts w:hint="eastAsia" w:ascii="宋体" w:hAnsi="宋体" w:cs="宋体"/>
                <w:color w:val="auto"/>
                <w:sz w:val="24"/>
                <w:highlight w:val="none"/>
                <w:lang w:eastAsia="en-US"/>
              </w:rPr>
              <w:t>专用条款</w:t>
            </w:r>
          </w:p>
        </w:tc>
        <w:tc>
          <w:tcPr>
            <w:tcW w:w="2966" w:type="dxa"/>
            <w:vAlign w:val="center"/>
          </w:tcPr>
          <w:p w14:paraId="53475D30">
            <w:pPr>
              <w:widowControl/>
              <w:kinsoku w:val="0"/>
              <w:autoSpaceDE w:val="0"/>
              <w:autoSpaceDN w:val="0"/>
              <w:adjustRightInd w:val="0"/>
              <w:snapToGrid w:val="0"/>
              <w:spacing w:line="360" w:lineRule="auto"/>
              <w:jc w:val="left"/>
              <w:textAlignment w:val="baseline"/>
              <w:rPr>
                <w:rFonts w:ascii="宋体" w:hAnsi="宋体" w:cs="宋体"/>
                <w:color w:val="auto"/>
                <w:sz w:val="24"/>
                <w:highlight w:val="none"/>
              </w:rPr>
            </w:pPr>
          </w:p>
        </w:tc>
        <w:tc>
          <w:tcPr>
            <w:tcW w:w="1516" w:type="dxa"/>
            <w:vAlign w:val="center"/>
          </w:tcPr>
          <w:p w14:paraId="53475D31">
            <w:pPr>
              <w:widowControl/>
              <w:kinsoku w:val="0"/>
              <w:autoSpaceDE w:val="0"/>
              <w:autoSpaceDN w:val="0"/>
              <w:adjustRightInd w:val="0"/>
              <w:snapToGrid w:val="0"/>
              <w:spacing w:line="360" w:lineRule="auto"/>
              <w:jc w:val="left"/>
              <w:textAlignment w:val="baseline"/>
              <w:rPr>
                <w:rFonts w:ascii="宋体" w:hAnsi="宋体" w:cs="宋体"/>
                <w:color w:val="auto"/>
                <w:sz w:val="24"/>
                <w:highlight w:val="none"/>
              </w:rPr>
            </w:pPr>
          </w:p>
        </w:tc>
      </w:tr>
      <w:tr w14:paraId="53475D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695" w:type="dxa"/>
            <w:vAlign w:val="center"/>
          </w:tcPr>
          <w:p w14:paraId="53475D33">
            <w:pPr>
              <w:widowControl/>
              <w:kinsoku w:val="0"/>
              <w:autoSpaceDE w:val="0"/>
              <w:autoSpaceDN w:val="0"/>
              <w:adjustRightInd w:val="0"/>
              <w:snapToGrid w:val="0"/>
              <w:spacing w:line="360" w:lineRule="auto"/>
              <w:jc w:val="left"/>
              <w:textAlignment w:val="baseline"/>
              <w:rPr>
                <w:rFonts w:ascii="宋体" w:hAnsi="宋体" w:cs="宋体"/>
                <w:color w:val="auto"/>
                <w:sz w:val="24"/>
                <w:highlight w:val="none"/>
              </w:rPr>
            </w:pPr>
            <w:r>
              <w:rPr>
                <w:rFonts w:hint="eastAsia" w:ascii="宋体" w:hAnsi="宋体" w:cs="宋体"/>
                <w:color w:val="auto"/>
                <w:sz w:val="24"/>
                <w:highlight w:val="none"/>
              </w:rPr>
              <w:t>10</w:t>
            </w:r>
          </w:p>
        </w:tc>
        <w:tc>
          <w:tcPr>
            <w:tcW w:w="2386" w:type="dxa"/>
            <w:vAlign w:val="center"/>
          </w:tcPr>
          <w:p w14:paraId="53475D34">
            <w:pPr>
              <w:widowControl/>
              <w:kinsoku w:val="0"/>
              <w:autoSpaceDE w:val="0"/>
              <w:autoSpaceDN w:val="0"/>
              <w:adjustRightInd w:val="0"/>
              <w:snapToGrid w:val="0"/>
              <w:spacing w:line="360" w:lineRule="auto"/>
              <w:jc w:val="left"/>
              <w:textAlignment w:val="baseline"/>
              <w:rPr>
                <w:rFonts w:ascii="宋体" w:hAnsi="宋体" w:cs="宋体"/>
                <w:color w:val="auto"/>
                <w:sz w:val="24"/>
                <w:highlight w:val="none"/>
                <w:lang w:eastAsia="en-US"/>
              </w:rPr>
            </w:pPr>
            <w:r>
              <w:rPr>
                <w:rFonts w:hint="eastAsia" w:ascii="宋体" w:hAnsi="宋体" w:cs="宋体"/>
                <w:color w:val="auto"/>
                <w:sz w:val="24"/>
                <w:highlight w:val="none"/>
                <w:lang w:eastAsia="en-US"/>
              </w:rPr>
              <w:t>质量标准</w:t>
            </w:r>
          </w:p>
        </w:tc>
        <w:tc>
          <w:tcPr>
            <w:tcW w:w="1395" w:type="dxa"/>
            <w:vAlign w:val="center"/>
          </w:tcPr>
          <w:p w14:paraId="53475D35">
            <w:pPr>
              <w:widowControl/>
              <w:kinsoku w:val="0"/>
              <w:autoSpaceDE w:val="0"/>
              <w:autoSpaceDN w:val="0"/>
              <w:adjustRightInd w:val="0"/>
              <w:snapToGrid w:val="0"/>
              <w:spacing w:line="360" w:lineRule="auto"/>
              <w:jc w:val="left"/>
              <w:textAlignment w:val="baseline"/>
              <w:rPr>
                <w:rFonts w:ascii="宋体" w:hAnsi="宋体" w:cs="宋体"/>
                <w:color w:val="auto"/>
                <w:sz w:val="24"/>
                <w:highlight w:val="none"/>
                <w:lang w:eastAsia="en-US"/>
              </w:rPr>
            </w:pPr>
            <w:r>
              <w:rPr>
                <w:rFonts w:hint="eastAsia" w:ascii="宋体" w:hAnsi="宋体" w:cs="宋体"/>
                <w:color w:val="auto"/>
                <w:sz w:val="24"/>
                <w:highlight w:val="none"/>
                <w:lang w:eastAsia="en-US"/>
              </w:rPr>
              <w:t>专用条款</w:t>
            </w:r>
          </w:p>
        </w:tc>
        <w:tc>
          <w:tcPr>
            <w:tcW w:w="2966" w:type="dxa"/>
            <w:vAlign w:val="center"/>
          </w:tcPr>
          <w:p w14:paraId="53475D36">
            <w:pPr>
              <w:widowControl/>
              <w:kinsoku w:val="0"/>
              <w:autoSpaceDE w:val="0"/>
              <w:autoSpaceDN w:val="0"/>
              <w:adjustRightInd w:val="0"/>
              <w:snapToGrid w:val="0"/>
              <w:spacing w:line="360" w:lineRule="auto"/>
              <w:jc w:val="left"/>
              <w:textAlignment w:val="baseline"/>
              <w:rPr>
                <w:rFonts w:ascii="宋体" w:hAnsi="宋体" w:cs="宋体"/>
                <w:color w:val="auto"/>
                <w:sz w:val="24"/>
                <w:highlight w:val="none"/>
              </w:rPr>
            </w:pPr>
          </w:p>
        </w:tc>
        <w:tc>
          <w:tcPr>
            <w:tcW w:w="1516" w:type="dxa"/>
            <w:vAlign w:val="center"/>
          </w:tcPr>
          <w:p w14:paraId="53475D37">
            <w:pPr>
              <w:widowControl/>
              <w:kinsoku w:val="0"/>
              <w:autoSpaceDE w:val="0"/>
              <w:autoSpaceDN w:val="0"/>
              <w:adjustRightInd w:val="0"/>
              <w:snapToGrid w:val="0"/>
              <w:spacing w:line="360" w:lineRule="auto"/>
              <w:jc w:val="left"/>
              <w:textAlignment w:val="baseline"/>
              <w:rPr>
                <w:rFonts w:ascii="宋体" w:hAnsi="宋体" w:cs="宋体"/>
                <w:color w:val="auto"/>
                <w:sz w:val="24"/>
                <w:highlight w:val="none"/>
              </w:rPr>
            </w:pPr>
          </w:p>
        </w:tc>
      </w:tr>
      <w:tr w14:paraId="53475D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695" w:type="dxa"/>
            <w:vAlign w:val="center"/>
          </w:tcPr>
          <w:p w14:paraId="53475D39">
            <w:pPr>
              <w:widowControl/>
              <w:kinsoku w:val="0"/>
              <w:autoSpaceDE w:val="0"/>
              <w:autoSpaceDN w:val="0"/>
              <w:adjustRightInd w:val="0"/>
              <w:snapToGrid w:val="0"/>
              <w:spacing w:line="360" w:lineRule="auto"/>
              <w:jc w:val="left"/>
              <w:textAlignment w:val="baseline"/>
              <w:rPr>
                <w:rFonts w:ascii="宋体" w:hAnsi="宋体" w:cs="宋体"/>
                <w:color w:val="auto"/>
                <w:sz w:val="24"/>
                <w:highlight w:val="none"/>
              </w:rPr>
            </w:pPr>
            <w:r>
              <w:rPr>
                <w:rFonts w:hint="eastAsia" w:ascii="宋体" w:hAnsi="宋体" w:cs="宋体"/>
                <w:color w:val="auto"/>
                <w:sz w:val="24"/>
                <w:highlight w:val="none"/>
              </w:rPr>
              <w:t>11</w:t>
            </w:r>
          </w:p>
        </w:tc>
        <w:tc>
          <w:tcPr>
            <w:tcW w:w="2386" w:type="dxa"/>
            <w:vAlign w:val="center"/>
          </w:tcPr>
          <w:p w14:paraId="53475D3A">
            <w:pPr>
              <w:widowControl/>
              <w:kinsoku w:val="0"/>
              <w:autoSpaceDE w:val="0"/>
              <w:autoSpaceDN w:val="0"/>
              <w:adjustRightInd w:val="0"/>
              <w:snapToGrid w:val="0"/>
              <w:spacing w:line="360" w:lineRule="auto"/>
              <w:jc w:val="left"/>
              <w:textAlignment w:val="baseline"/>
              <w:rPr>
                <w:rFonts w:ascii="宋体" w:hAnsi="宋体" w:cs="宋体"/>
                <w:color w:val="auto"/>
                <w:sz w:val="24"/>
                <w:highlight w:val="none"/>
                <w:lang w:eastAsia="en-US"/>
              </w:rPr>
            </w:pPr>
            <w:r>
              <w:rPr>
                <w:rFonts w:hint="eastAsia" w:ascii="宋体" w:hAnsi="宋体" w:cs="宋体"/>
                <w:color w:val="auto"/>
                <w:sz w:val="24"/>
                <w:highlight w:val="none"/>
                <w:lang w:eastAsia="en-US"/>
              </w:rPr>
              <w:t>预付款额度</w:t>
            </w:r>
          </w:p>
        </w:tc>
        <w:tc>
          <w:tcPr>
            <w:tcW w:w="1395" w:type="dxa"/>
            <w:vAlign w:val="center"/>
          </w:tcPr>
          <w:p w14:paraId="53475D3B">
            <w:pPr>
              <w:widowControl/>
              <w:kinsoku w:val="0"/>
              <w:autoSpaceDE w:val="0"/>
              <w:autoSpaceDN w:val="0"/>
              <w:adjustRightInd w:val="0"/>
              <w:snapToGrid w:val="0"/>
              <w:spacing w:line="360" w:lineRule="auto"/>
              <w:jc w:val="left"/>
              <w:textAlignment w:val="baseline"/>
              <w:rPr>
                <w:rFonts w:ascii="宋体" w:hAnsi="宋体" w:cs="宋体"/>
                <w:color w:val="auto"/>
                <w:sz w:val="24"/>
                <w:highlight w:val="none"/>
                <w:lang w:eastAsia="en-US"/>
              </w:rPr>
            </w:pPr>
            <w:r>
              <w:rPr>
                <w:rFonts w:hint="eastAsia" w:ascii="宋体" w:hAnsi="宋体" w:cs="宋体"/>
                <w:color w:val="auto"/>
                <w:sz w:val="24"/>
                <w:highlight w:val="none"/>
                <w:lang w:eastAsia="en-US"/>
              </w:rPr>
              <w:t>专用条款</w:t>
            </w:r>
          </w:p>
        </w:tc>
        <w:tc>
          <w:tcPr>
            <w:tcW w:w="2966" w:type="dxa"/>
            <w:vAlign w:val="center"/>
          </w:tcPr>
          <w:p w14:paraId="53475D3C">
            <w:pPr>
              <w:widowControl/>
              <w:kinsoku w:val="0"/>
              <w:autoSpaceDE w:val="0"/>
              <w:autoSpaceDN w:val="0"/>
              <w:adjustRightInd w:val="0"/>
              <w:snapToGrid w:val="0"/>
              <w:spacing w:line="360" w:lineRule="auto"/>
              <w:jc w:val="left"/>
              <w:textAlignment w:val="baseline"/>
              <w:rPr>
                <w:rFonts w:ascii="宋体" w:hAnsi="宋体" w:cs="宋体"/>
                <w:color w:val="auto"/>
                <w:sz w:val="24"/>
                <w:highlight w:val="none"/>
              </w:rPr>
            </w:pPr>
          </w:p>
        </w:tc>
        <w:tc>
          <w:tcPr>
            <w:tcW w:w="1516" w:type="dxa"/>
            <w:vAlign w:val="center"/>
          </w:tcPr>
          <w:p w14:paraId="53475D3D">
            <w:pPr>
              <w:widowControl/>
              <w:kinsoku w:val="0"/>
              <w:autoSpaceDE w:val="0"/>
              <w:autoSpaceDN w:val="0"/>
              <w:adjustRightInd w:val="0"/>
              <w:snapToGrid w:val="0"/>
              <w:spacing w:line="360" w:lineRule="auto"/>
              <w:jc w:val="left"/>
              <w:textAlignment w:val="baseline"/>
              <w:rPr>
                <w:rFonts w:ascii="宋体" w:hAnsi="宋体" w:cs="宋体"/>
                <w:color w:val="auto"/>
                <w:sz w:val="24"/>
                <w:highlight w:val="none"/>
              </w:rPr>
            </w:pPr>
          </w:p>
        </w:tc>
      </w:tr>
      <w:tr w14:paraId="53475D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695" w:type="dxa"/>
            <w:vAlign w:val="center"/>
          </w:tcPr>
          <w:p w14:paraId="53475D3F">
            <w:pPr>
              <w:widowControl/>
              <w:kinsoku w:val="0"/>
              <w:autoSpaceDE w:val="0"/>
              <w:autoSpaceDN w:val="0"/>
              <w:adjustRightInd w:val="0"/>
              <w:snapToGrid w:val="0"/>
              <w:spacing w:line="360" w:lineRule="auto"/>
              <w:jc w:val="left"/>
              <w:textAlignment w:val="baseline"/>
              <w:rPr>
                <w:rFonts w:ascii="宋体" w:hAnsi="宋体" w:cs="宋体"/>
                <w:color w:val="auto"/>
                <w:sz w:val="24"/>
                <w:highlight w:val="none"/>
              </w:rPr>
            </w:pPr>
            <w:r>
              <w:rPr>
                <w:rFonts w:hint="eastAsia" w:ascii="宋体" w:hAnsi="宋体" w:cs="宋体"/>
                <w:color w:val="auto"/>
                <w:sz w:val="24"/>
                <w:highlight w:val="none"/>
              </w:rPr>
              <w:t>12</w:t>
            </w:r>
          </w:p>
        </w:tc>
        <w:tc>
          <w:tcPr>
            <w:tcW w:w="2386" w:type="dxa"/>
            <w:vAlign w:val="center"/>
          </w:tcPr>
          <w:p w14:paraId="53475D40">
            <w:pPr>
              <w:widowControl/>
              <w:kinsoku w:val="0"/>
              <w:autoSpaceDE w:val="0"/>
              <w:autoSpaceDN w:val="0"/>
              <w:adjustRightInd w:val="0"/>
              <w:snapToGrid w:val="0"/>
              <w:spacing w:line="360" w:lineRule="auto"/>
              <w:jc w:val="left"/>
              <w:textAlignment w:val="baseline"/>
              <w:rPr>
                <w:rFonts w:ascii="宋体" w:hAnsi="宋体" w:cs="宋体"/>
                <w:color w:val="auto"/>
                <w:sz w:val="24"/>
                <w:highlight w:val="none"/>
                <w:lang w:eastAsia="en-US"/>
              </w:rPr>
            </w:pPr>
            <w:r>
              <w:rPr>
                <w:rFonts w:hint="eastAsia" w:ascii="宋体" w:hAnsi="宋体" w:cs="宋体"/>
                <w:color w:val="auto"/>
                <w:sz w:val="24"/>
                <w:highlight w:val="none"/>
                <w:lang w:eastAsia="en-US"/>
              </w:rPr>
              <w:t>预付款保函金额</w:t>
            </w:r>
          </w:p>
        </w:tc>
        <w:tc>
          <w:tcPr>
            <w:tcW w:w="1395" w:type="dxa"/>
            <w:vAlign w:val="center"/>
          </w:tcPr>
          <w:p w14:paraId="53475D41">
            <w:pPr>
              <w:widowControl/>
              <w:kinsoku w:val="0"/>
              <w:autoSpaceDE w:val="0"/>
              <w:autoSpaceDN w:val="0"/>
              <w:adjustRightInd w:val="0"/>
              <w:snapToGrid w:val="0"/>
              <w:spacing w:line="360" w:lineRule="auto"/>
              <w:jc w:val="left"/>
              <w:textAlignment w:val="baseline"/>
              <w:rPr>
                <w:rFonts w:ascii="宋体" w:hAnsi="宋体" w:cs="宋体"/>
                <w:color w:val="auto"/>
                <w:sz w:val="24"/>
                <w:highlight w:val="none"/>
                <w:lang w:eastAsia="en-US"/>
              </w:rPr>
            </w:pPr>
            <w:r>
              <w:rPr>
                <w:rFonts w:hint="eastAsia" w:ascii="宋体" w:hAnsi="宋体" w:cs="宋体"/>
                <w:color w:val="auto"/>
                <w:sz w:val="24"/>
                <w:highlight w:val="none"/>
                <w:lang w:eastAsia="en-US"/>
              </w:rPr>
              <w:t>专用条款</w:t>
            </w:r>
          </w:p>
        </w:tc>
        <w:tc>
          <w:tcPr>
            <w:tcW w:w="2966" w:type="dxa"/>
            <w:vAlign w:val="center"/>
          </w:tcPr>
          <w:p w14:paraId="53475D42">
            <w:pPr>
              <w:widowControl/>
              <w:kinsoku w:val="0"/>
              <w:autoSpaceDE w:val="0"/>
              <w:autoSpaceDN w:val="0"/>
              <w:adjustRightInd w:val="0"/>
              <w:snapToGrid w:val="0"/>
              <w:spacing w:line="360" w:lineRule="auto"/>
              <w:jc w:val="left"/>
              <w:textAlignment w:val="baseline"/>
              <w:rPr>
                <w:rFonts w:ascii="宋体" w:hAnsi="宋体" w:cs="宋体"/>
                <w:color w:val="auto"/>
                <w:sz w:val="24"/>
                <w:highlight w:val="none"/>
              </w:rPr>
            </w:pPr>
            <w:r>
              <w:rPr>
                <w:rFonts w:hint="eastAsia" w:ascii="宋体" w:hAnsi="宋体" w:cs="宋体"/>
                <w:color w:val="auto"/>
                <w:sz w:val="24"/>
                <w:highlight w:val="none"/>
              </w:rPr>
              <mc:AlternateContent>
                <mc:Choice Requires="wps">
                  <w:drawing>
                    <wp:anchor distT="0" distB="0" distL="114300" distR="114300" simplePos="0" relativeHeight="251660288" behindDoc="0" locked="0" layoutInCell="1" allowOverlap="1">
                      <wp:simplePos x="0" y="0"/>
                      <wp:positionH relativeFrom="page">
                        <wp:posOffset>4598670</wp:posOffset>
                      </wp:positionH>
                      <wp:positionV relativeFrom="page">
                        <wp:posOffset>6225540</wp:posOffset>
                      </wp:positionV>
                      <wp:extent cx="67310" cy="6350"/>
                      <wp:effectExtent l="0" t="0" r="0" b="0"/>
                      <wp:wrapNone/>
                      <wp:docPr id="6" name="矩形 6"/>
                      <wp:cNvGraphicFramePr/>
                      <a:graphic xmlns:a="http://schemas.openxmlformats.org/drawingml/2006/main">
                        <a:graphicData uri="http://schemas.microsoft.com/office/word/2010/wordprocessingShape">
                          <wps:wsp>
                            <wps:cNvSpPr/>
                            <wps:spPr>
                              <a:xfrm>
                                <a:off x="0" y="0"/>
                                <a:ext cx="67310" cy="6350"/>
                              </a:xfrm>
                              <a:prstGeom prst="rect">
                                <a:avLst/>
                              </a:prstGeom>
                              <a:solidFill>
                                <a:srgbClr val="000000"/>
                              </a:solidFill>
                              <a:ln>
                                <a:noFill/>
                              </a:ln>
                            </wps:spPr>
                            <wps:bodyPr upright="1"/>
                          </wps:wsp>
                        </a:graphicData>
                      </a:graphic>
                    </wp:anchor>
                  </w:drawing>
                </mc:Choice>
                <mc:Fallback>
                  <w:pict>
                    <v:rect id="_x0000_s1026" o:spid="_x0000_s1026" o:spt="1" style="position:absolute;left:0pt;margin-left:362.1pt;margin-top:490.2pt;height:0.5pt;width:5.3pt;mso-position-horizontal-relative:page;mso-position-vertical-relative:page;z-index:251660288;mso-width-relative:page;mso-height-relative:page;" fillcolor="#000000" filled="t" stroked="f" coordsize="21600,21600" o:gfxdata="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zzxk&#10;INoAAAALAQAADwAAAAAAAAABACAAAAAiAAAAZHJzL2Rvd25yZXYueG1sUEsBAhQAFAAAAAgAh07i&#10;QKbwq1OuAQAAWwMAAA4AAAAAAAAAAQAgAAAAKQEAAGRycy9lMm9Eb2MueG1sUEsFBgAAAAAGAAYA&#10;WQEAAEkFAAAAAA==&#10;">
                      <v:fill on="t" focussize="0,0"/>
                      <v:stroke on="f"/>
                      <v:imagedata o:title=""/>
                      <o:lock v:ext="edit" aspectratio="f"/>
                    </v:rect>
                  </w:pict>
                </mc:Fallback>
              </mc:AlternateContent>
            </w:r>
          </w:p>
        </w:tc>
        <w:tc>
          <w:tcPr>
            <w:tcW w:w="1516" w:type="dxa"/>
            <w:vAlign w:val="center"/>
          </w:tcPr>
          <w:p w14:paraId="53475D43">
            <w:pPr>
              <w:widowControl/>
              <w:kinsoku w:val="0"/>
              <w:autoSpaceDE w:val="0"/>
              <w:autoSpaceDN w:val="0"/>
              <w:adjustRightInd w:val="0"/>
              <w:snapToGrid w:val="0"/>
              <w:spacing w:line="360" w:lineRule="auto"/>
              <w:jc w:val="left"/>
              <w:textAlignment w:val="baseline"/>
              <w:rPr>
                <w:rFonts w:ascii="宋体" w:hAnsi="宋体" w:cs="宋体"/>
                <w:color w:val="auto"/>
                <w:sz w:val="24"/>
                <w:highlight w:val="none"/>
              </w:rPr>
            </w:pPr>
          </w:p>
        </w:tc>
      </w:tr>
      <w:tr w14:paraId="53475D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695" w:type="dxa"/>
            <w:vAlign w:val="center"/>
          </w:tcPr>
          <w:p w14:paraId="53475D45">
            <w:pPr>
              <w:widowControl/>
              <w:kinsoku w:val="0"/>
              <w:autoSpaceDE w:val="0"/>
              <w:autoSpaceDN w:val="0"/>
              <w:adjustRightInd w:val="0"/>
              <w:snapToGrid w:val="0"/>
              <w:spacing w:line="360" w:lineRule="auto"/>
              <w:jc w:val="left"/>
              <w:textAlignment w:val="baseline"/>
              <w:rPr>
                <w:rFonts w:ascii="宋体" w:hAnsi="宋体" w:cs="宋体"/>
                <w:color w:val="auto"/>
                <w:sz w:val="24"/>
                <w:highlight w:val="none"/>
              </w:rPr>
            </w:pPr>
            <w:r>
              <w:rPr>
                <w:rFonts w:hint="eastAsia" w:ascii="宋体" w:hAnsi="宋体" w:cs="宋体"/>
                <w:color w:val="auto"/>
                <w:sz w:val="24"/>
                <w:highlight w:val="none"/>
              </w:rPr>
              <w:t>13</w:t>
            </w:r>
          </w:p>
        </w:tc>
        <w:tc>
          <w:tcPr>
            <w:tcW w:w="2386" w:type="dxa"/>
            <w:vAlign w:val="center"/>
          </w:tcPr>
          <w:p w14:paraId="53475D46">
            <w:pPr>
              <w:widowControl/>
              <w:kinsoku w:val="0"/>
              <w:autoSpaceDE w:val="0"/>
              <w:autoSpaceDN w:val="0"/>
              <w:adjustRightInd w:val="0"/>
              <w:snapToGrid w:val="0"/>
              <w:spacing w:line="360" w:lineRule="auto"/>
              <w:jc w:val="left"/>
              <w:textAlignment w:val="baseline"/>
              <w:rPr>
                <w:rFonts w:ascii="宋体" w:hAnsi="宋体" w:cs="宋体"/>
                <w:color w:val="auto"/>
                <w:sz w:val="24"/>
                <w:highlight w:val="none"/>
                <w:lang w:eastAsia="en-US"/>
              </w:rPr>
            </w:pPr>
            <w:r>
              <w:rPr>
                <w:rFonts w:hint="eastAsia" w:ascii="宋体" w:hAnsi="宋体" w:cs="宋体"/>
                <w:color w:val="auto"/>
                <w:sz w:val="24"/>
                <w:highlight w:val="none"/>
                <w:lang w:eastAsia="en-US"/>
              </w:rPr>
              <w:t>质量保证金额度</w:t>
            </w:r>
          </w:p>
        </w:tc>
        <w:tc>
          <w:tcPr>
            <w:tcW w:w="1395" w:type="dxa"/>
            <w:vAlign w:val="center"/>
          </w:tcPr>
          <w:p w14:paraId="53475D47">
            <w:pPr>
              <w:widowControl/>
              <w:kinsoku w:val="0"/>
              <w:autoSpaceDE w:val="0"/>
              <w:autoSpaceDN w:val="0"/>
              <w:adjustRightInd w:val="0"/>
              <w:snapToGrid w:val="0"/>
              <w:spacing w:line="360" w:lineRule="auto"/>
              <w:jc w:val="left"/>
              <w:textAlignment w:val="baseline"/>
              <w:rPr>
                <w:rFonts w:ascii="宋体" w:hAnsi="宋体" w:cs="宋体"/>
                <w:color w:val="auto"/>
                <w:sz w:val="24"/>
                <w:highlight w:val="none"/>
                <w:lang w:eastAsia="en-US"/>
              </w:rPr>
            </w:pPr>
            <w:r>
              <w:rPr>
                <w:rFonts w:hint="eastAsia" w:ascii="宋体" w:hAnsi="宋体" w:cs="宋体"/>
                <w:color w:val="auto"/>
                <w:sz w:val="24"/>
                <w:highlight w:val="none"/>
                <w:lang w:eastAsia="en-US"/>
              </w:rPr>
              <w:t>专用条款</w:t>
            </w:r>
          </w:p>
        </w:tc>
        <w:tc>
          <w:tcPr>
            <w:tcW w:w="2966" w:type="dxa"/>
            <w:vAlign w:val="center"/>
          </w:tcPr>
          <w:p w14:paraId="53475D48">
            <w:pPr>
              <w:widowControl/>
              <w:kinsoku w:val="0"/>
              <w:autoSpaceDE w:val="0"/>
              <w:autoSpaceDN w:val="0"/>
              <w:adjustRightInd w:val="0"/>
              <w:snapToGrid w:val="0"/>
              <w:spacing w:line="360" w:lineRule="auto"/>
              <w:jc w:val="left"/>
              <w:textAlignment w:val="baseline"/>
              <w:rPr>
                <w:rFonts w:ascii="宋体" w:hAnsi="宋体" w:cs="宋体"/>
                <w:color w:val="auto"/>
                <w:sz w:val="24"/>
                <w:highlight w:val="none"/>
              </w:rPr>
            </w:pPr>
            <w:r>
              <w:rPr>
                <w:rFonts w:hint="eastAsia" w:ascii="宋体" w:hAnsi="宋体" w:cs="宋体"/>
                <w:color w:val="auto"/>
                <w:sz w:val="24"/>
                <w:highlight w:val="none"/>
              </w:rPr>
              <w:t>结算价的</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w:t>
            </w:r>
          </w:p>
        </w:tc>
        <w:tc>
          <w:tcPr>
            <w:tcW w:w="1516" w:type="dxa"/>
            <w:vAlign w:val="center"/>
          </w:tcPr>
          <w:p w14:paraId="53475D49">
            <w:pPr>
              <w:widowControl/>
              <w:kinsoku w:val="0"/>
              <w:autoSpaceDE w:val="0"/>
              <w:autoSpaceDN w:val="0"/>
              <w:adjustRightInd w:val="0"/>
              <w:snapToGrid w:val="0"/>
              <w:spacing w:line="360" w:lineRule="auto"/>
              <w:jc w:val="left"/>
              <w:textAlignment w:val="baseline"/>
              <w:rPr>
                <w:rFonts w:ascii="宋体" w:hAnsi="宋体" w:cs="宋体"/>
                <w:color w:val="auto"/>
                <w:sz w:val="24"/>
                <w:highlight w:val="none"/>
              </w:rPr>
            </w:pPr>
          </w:p>
        </w:tc>
      </w:tr>
      <w:tr w14:paraId="53475D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695" w:type="dxa"/>
            <w:vAlign w:val="center"/>
          </w:tcPr>
          <w:p w14:paraId="53475D4B">
            <w:pPr>
              <w:widowControl/>
              <w:kinsoku w:val="0"/>
              <w:autoSpaceDE w:val="0"/>
              <w:autoSpaceDN w:val="0"/>
              <w:adjustRightInd w:val="0"/>
              <w:snapToGrid w:val="0"/>
              <w:spacing w:line="360" w:lineRule="auto"/>
              <w:jc w:val="left"/>
              <w:textAlignment w:val="baseline"/>
              <w:rPr>
                <w:rFonts w:ascii="宋体" w:hAnsi="宋体" w:cs="宋体"/>
                <w:color w:val="auto"/>
                <w:sz w:val="24"/>
                <w:highlight w:val="none"/>
              </w:rPr>
            </w:pPr>
          </w:p>
          <w:p w14:paraId="53475D4C">
            <w:pPr>
              <w:widowControl/>
              <w:kinsoku w:val="0"/>
              <w:autoSpaceDE w:val="0"/>
              <w:autoSpaceDN w:val="0"/>
              <w:adjustRightInd w:val="0"/>
              <w:snapToGrid w:val="0"/>
              <w:spacing w:line="360" w:lineRule="auto"/>
              <w:jc w:val="left"/>
              <w:textAlignment w:val="baseline"/>
              <w:rPr>
                <w:rFonts w:ascii="宋体" w:hAnsi="宋体" w:cs="宋体"/>
                <w:color w:val="auto"/>
                <w:sz w:val="24"/>
                <w:highlight w:val="none"/>
              </w:rPr>
            </w:pPr>
            <w:r>
              <w:rPr>
                <w:rFonts w:hint="eastAsia" w:ascii="宋体" w:hAnsi="宋体" w:cs="宋体"/>
                <w:color w:val="auto"/>
                <w:sz w:val="24"/>
                <w:highlight w:val="none"/>
              </w:rPr>
              <w:t>……</w:t>
            </w:r>
          </w:p>
        </w:tc>
        <w:tc>
          <w:tcPr>
            <w:tcW w:w="2386" w:type="dxa"/>
            <w:vAlign w:val="center"/>
          </w:tcPr>
          <w:p w14:paraId="53475D4D">
            <w:pPr>
              <w:widowControl/>
              <w:kinsoku w:val="0"/>
              <w:autoSpaceDE w:val="0"/>
              <w:autoSpaceDN w:val="0"/>
              <w:adjustRightInd w:val="0"/>
              <w:snapToGrid w:val="0"/>
              <w:spacing w:line="360" w:lineRule="auto"/>
              <w:jc w:val="left"/>
              <w:textAlignment w:val="baseline"/>
              <w:rPr>
                <w:rFonts w:ascii="宋体" w:hAnsi="宋体" w:cs="宋体"/>
                <w:color w:val="auto"/>
                <w:sz w:val="24"/>
                <w:highlight w:val="none"/>
              </w:rPr>
            </w:pPr>
          </w:p>
          <w:p w14:paraId="53475D4E">
            <w:pPr>
              <w:widowControl/>
              <w:kinsoku w:val="0"/>
              <w:autoSpaceDE w:val="0"/>
              <w:autoSpaceDN w:val="0"/>
              <w:adjustRightInd w:val="0"/>
              <w:snapToGrid w:val="0"/>
              <w:spacing w:line="360" w:lineRule="auto"/>
              <w:jc w:val="left"/>
              <w:textAlignment w:val="baseline"/>
              <w:rPr>
                <w:rFonts w:ascii="宋体" w:hAnsi="宋体" w:cs="宋体"/>
                <w:color w:val="auto"/>
                <w:sz w:val="24"/>
                <w:highlight w:val="none"/>
              </w:rPr>
            </w:pPr>
            <w:r>
              <w:rPr>
                <w:rFonts w:hint="eastAsia" w:ascii="宋体" w:hAnsi="宋体" w:cs="宋体"/>
                <w:color w:val="auto"/>
                <w:sz w:val="24"/>
                <w:highlight w:val="none"/>
              </w:rPr>
              <w:t>……</w:t>
            </w:r>
          </w:p>
        </w:tc>
        <w:tc>
          <w:tcPr>
            <w:tcW w:w="1395" w:type="dxa"/>
            <w:vAlign w:val="center"/>
          </w:tcPr>
          <w:p w14:paraId="53475D4F">
            <w:pPr>
              <w:widowControl/>
              <w:kinsoku w:val="0"/>
              <w:autoSpaceDE w:val="0"/>
              <w:autoSpaceDN w:val="0"/>
              <w:adjustRightInd w:val="0"/>
              <w:snapToGrid w:val="0"/>
              <w:spacing w:line="360" w:lineRule="auto"/>
              <w:jc w:val="left"/>
              <w:textAlignment w:val="baseline"/>
              <w:rPr>
                <w:rFonts w:ascii="宋体" w:hAnsi="宋体" w:cs="宋体"/>
                <w:color w:val="auto"/>
                <w:sz w:val="24"/>
                <w:highlight w:val="none"/>
              </w:rPr>
            </w:pPr>
          </w:p>
        </w:tc>
        <w:tc>
          <w:tcPr>
            <w:tcW w:w="2966" w:type="dxa"/>
            <w:vAlign w:val="center"/>
          </w:tcPr>
          <w:p w14:paraId="53475D50">
            <w:pPr>
              <w:widowControl/>
              <w:kinsoku w:val="0"/>
              <w:autoSpaceDE w:val="0"/>
              <w:autoSpaceDN w:val="0"/>
              <w:adjustRightInd w:val="0"/>
              <w:snapToGrid w:val="0"/>
              <w:spacing w:line="360" w:lineRule="auto"/>
              <w:jc w:val="left"/>
              <w:textAlignment w:val="baseline"/>
              <w:rPr>
                <w:rFonts w:ascii="宋体" w:hAnsi="宋体" w:cs="宋体"/>
                <w:color w:val="auto"/>
                <w:sz w:val="24"/>
                <w:highlight w:val="none"/>
              </w:rPr>
            </w:pPr>
          </w:p>
        </w:tc>
        <w:tc>
          <w:tcPr>
            <w:tcW w:w="1516" w:type="dxa"/>
            <w:vAlign w:val="center"/>
          </w:tcPr>
          <w:p w14:paraId="53475D51">
            <w:pPr>
              <w:widowControl/>
              <w:kinsoku w:val="0"/>
              <w:autoSpaceDE w:val="0"/>
              <w:autoSpaceDN w:val="0"/>
              <w:adjustRightInd w:val="0"/>
              <w:snapToGrid w:val="0"/>
              <w:spacing w:line="360" w:lineRule="auto"/>
              <w:jc w:val="left"/>
              <w:textAlignment w:val="baseline"/>
              <w:rPr>
                <w:rFonts w:ascii="宋体" w:hAnsi="宋体" w:cs="宋体"/>
                <w:color w:val="auto"/>
                <w:sz w:val="24"/>
                <w:highlight w:val="none"/>
              </w:rPr>
            </w:pPr>
          </w:p>
        </w:tc>
      </w:tr>
      <w:tr w14:paraId="53475D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5" w:hRule="atLeast"/>
        </w:trPr>
        <w:tc>
          <w:tcPr>
            <w:tcW w:w="8958" w:type="dxa"/>
            <w:gridSpan w:val="5"/>
            <w:vAlign w:val="center"/>
          </w:tcPr>
          <w:p w14:paraId="53475D53">
            <w:pPr>
              <w:widowControl/>
              <w:kinsoku w:val="0"/>
              <w:autoSpaceDE w:val="0"/>
              <w:autoSpaceDN w:val="0"/>
              <w:adjustRightInd w:val="0"/>
              <w:snapToGrid w:val="0"/>
              <w:spacing w:line="360" w:lineRule="auto"/>
              <w:jc w:val="left"/>
              <w:textAlignment w:val="baseline"/>
              <w:rPr>
                <w:rFonts w:ascii="宋体" w:hAnsi="宋体" w:cs="宋体"/>
                <w:color w:val="auto"/>
                <w:sz w:val="24"/>
                <w:highlight w:val="none"/>
              </w:rPr>
            </w:pPr>
            <w:r>
              <w:rPr>
                <w:rFonts w:hint="eastAsia" w:ascii="宋体" w:hAnsi="宋体" w:cs="宋体"/>
                <w:color w:val="auto"/>
                <w:sz w:val="24"/>
                <w:highlight w:val="none"/>
              </w:rPr>
              <w:t>说明： 供应商在响应磋商文件中规定的实质性要求和条件的基础上，可做出其他有利于采购人的承诺。此类承诺可在本表中予以补充填写。</w:t>
            </w:r>
          </w:p>
        </w:tc>
      </w:tr>
    </w:tbl>
    <w:p w14:paraId="53475D55">
      <w:pPr>
        <w:widowControl/>
        <w:kinsoku w:val="0"/>
        <w:autoSpaceDE w:val="0"/>
        <w:autoSpaceDN w:val="0"/>
        <w:adjustRightInd w:val="0"/>
        <w:snapToGrid w:val="0"/>
        <w:spacing w:line="360" w:lineRule="auto"/>
        <w:jc w:val="left"/>
        <w:textAlignment w:val="baseline"/>
        <w:rPr>
          <w:rFonts w:ascii="宋体" w:hAnsi="宋体" w:cs="宋体"/>
          <w:color w:val="auto"/>
          <w:sz w:val="24"/>
          <w:highlight w:val="none"/>
        </w:rPr>
      </w:pPr>
    </w:p>
    <w:p w14:paraId="53475D56">
      <w:pPr>
        <w:adjustRightInd w:val="0"/>
        <w:snapToGrid w:val="0"/>
        <w:spacing w:line="360" w:lineRule="auto"/>
        <w:ind w:firstLine="960" w:firstLineChars="400"/>
        <w:jc w:val="left"/>
        <w:rPr>
          <w:rFonts w:ascii="宋体" w:hAnsi="宋体"/>
          <w:color w:val="auto"/>
          <w:sz w:val="24"/>
          <w:highlight w:val="none"/>
        </w:rPr>
      </w:pPr>
      <w:r>
        <w:rPr>
          <w:rFonts w:hint="eastAsia" w:ascii="宋体" w:hAnsi="宋体"/>
          <w:color w:val="auto"/>
          <w:sz w:val="24"/>
          <w:highlight w:val="none"/>
        </w:rPr>
        <w:t xml:space="preserve">磋商供应商名称(公章)： </w:t>
      </w:r>
    </w:p>
    <w:p w14:paraId="53475D57">
      <w:pPr>
        <w:adjustRightInd w:val="0"/>
        <w:snapToGrid w:val="0"/>
        <w:spacing w:line="360" w:lineRule="auto"/>
        <w:ind w:firstLine="960" w:firstLineChars="400"/>
        <w:jc w:val="left"/>
        <w:rPr>
          <w:rFonts w:ascii="宋体" w:hAnsi="宋体"/>
          <w:color w:val="auto"/>
          <w:sz w:val="24"/>
          <w:highlight w:val="none"/>
        </w:rPr>
      </w:pPr>
      <w:r>
        <w:rPr>
          <w:rFonts w:hint="eastAsia" w:ascii="宋体" w:hAnsi="宋体"/>
          <w:color w:val="auto"/>
          <w:sz w:val="24"/>
          <w:highlight w:val="none"/>
        </w:rPr>
        <w:t xml:space="preserve">法定代表人（负责人）或委托代理人(签名)：                          </w:t>
      </w:r>
    </w:p>
    <w:p w14:paraId="53475D58">
      <w:pPr>
        <w:spacing w:line="360" w:lineRule="auto"/>
        <w:ind w:firstLine="960" w:firstLineChars="400"/>
        <w:rPr>
          <w:rFonts w:ascii="宋体" w:hAnsi="宋体"/>
          <w:color w:val="auto"/>
          <w:sz w:val="24"/>
          <w:highlight w:val="none"/>
        </w:rPr>
      </w:pPr>
      <w:r>
        <w:rPr>
          <w:rFonts w:hint="eastAsia" w:ascii="宋体" w:hAnsi="宋体"/>
          <w:color w:val="auto"/>
          <w:sz w:val="24"/>
          <w:highlight w:val="none"/>
        </w:rPr>
        <w:t>日期：  年   月   日</w:t>
      </w:r>
    </w:p>
    <w:p w14:paraId="53475D59">
      <w:pPr>
        <w:spacing w:line="360" w:lineRule="auto"/>
        <w:jc w:val="left"/>
        <w:rPr>
          <w:rFonts w:ascii="宋体" w:hAnsi="宋体" w:cs="宋体"/>
          <w:b/>
          <w:bCs/>
          <w:color w:val="auto"/>
          <w:spacing w:val="7"/>
          <w:sz w:val="24"/>
          <w:highlight w:val="none"/>
        </w:rPr>
      </w:pPr>
    </w:p>
    <w:p w14:paraId="53475D5A">
      <w:pPr>
        <w:spacing w:line="360" w:lineRule="auto"/>
        <w:jc w:val="left"/>
        <w:rPr>
          <w:rFonts w:ascii="宋体" w:hAnsi="宋体" w:cs="宋体"/>
          <w:b/>
          <w:bCs/>
          <w:color w:val="auto"/>
          <w:spacing w:val="7"/>
          <w:sz w:val="24"/>
          <w:highlight w:val="none"/>
        </w:rPr>
      </w:pPr>
      <w:r>
        <w:rPr>
          <w:rFonts w:hint="eastAsia" w:ascii="宋体" w:hAnsi="宋体" w:cs="宋体"/>
          <w:b/>
          <w:bCs/>
          <w:color w:val="auto"/>
          <w:spacing w:val="7"/>
          <w:sz w:val="24"/>
          <w:highlight w:val="none"/>
        </w:rPr>
        <w:t>附件3</w:t>
      </w:r>
    </w:p>
    <w:p w14:paraId="53475D5B">
      <w:pPr>
        <w:spacing w:line="360" w:lineRule="auto"/>
        <w:ind w:left="3643"/>
        <w:rPr>
          <w:rFonts w:ascii="宋体" w:hAnsi="宋体" w:cs="宋体"/>
          <w:color w:val="auto"/>
          <w:sz w:val="31"/>
          <w:szCs w:val="31"/>
          <w:highlight w:val="none"/>
        </w:rPr>
      </w:pPr>
      <w:r>
        <w:rPr>
          <w:rFonts w:hint="eastAsia" w:ascii="宋体" w:hAnsi="宋体" w:cs="宋体"/>
          <w:color w:val="auto"/>
          <w:spacing w:val="7"/>
          <w:sz w:val="31"/>
          <w:szCs w:val="31"/>
          <w:highlight w:val="none"/>
        </w:rPr>
        <w:t>竞标报价表</w:t>
      </w:r>
    </w:p>
    <w:p w14:paraId="53475D5C">
      <w:pPr>
        <w:widowControl/>
        <w:kinsoku w:val="0"/>
        <w:autoSpaceDE w:val="0"/>
        <w:autoSpaceDN w:val="0"/>
        <w:adjustRightInd w:val="0"/>
        <w:snapToGrid w:val="0"/>
        <w:spacing w:line="360" w:lineRule="auto"/>
        <w:ind w:firstLine="480" w:firstLineChars="200"/>
        <w:textAlignment w:val="baseline"/>
        <w:rPr>
          <w:rFonts w:ascii="宋体" w:hAnsi="宋体" w:cs="宋体"/>
          <w:color w:val="auto"/>
          <w:sz w:val="24"/>
          <w:highlight w:val="none"/>
        </w:rPr>
      </w:pPr>
      <w:r>
        <w:rPr>
          <w:rFonts w:hint="eastAsia" w:ascii="宋体" w:hAnsi="宋体" w:cs="宋体"/>
          <w:color w:val="auto"/>
          <w:sz w:val="24"/>
          <w:highlight w:val="none"/>
        </w:rPr>
        <w:t xml:space="preserve">项目名称：                  项目编号：                    </w:t>
      </w:r>
    </w:p>
    <w:p w14:paraId="53475D5D">
      <w:pPr>
        <w:widowControl/>
        <w:kinsoku w:val="0"/>
        <w:autoSpaceDE w:val="0"/>
        <w:autoSpaceDN w:val="0"/>
        <w:adjustRightInd w:val="0"/>
        <w:snapToGrid w:val="0"/>
        <w:spacing w:line="360" w:lineRule="auto"/>
        <w:ind w:firstLine="480" w:firstLineChars="200"/>
        <w:textAlignment w:val="baseline"/>
        <w:rPr>
          <w:rFonts w:ascii="宋体" w:hAnsi="宋体" w:cs="宋体"/>
          <w:color w:val="auto"/>
          <w:sz w:val="24"/>
          <w:highlight w:val="none"/>
        </w:rPr>
      </w:pPr>
      <w:r>
        <w:rPr>
          <w:rFonts w:hint="eastAsia" w:ascii="宋体" w:hAnsi="宋体" w:cs="宋体"/>
          <w:color w:val="auto"/>
          <w:sz w:val="24"/>
          <w:highlight w:val="none"/>
        </w:rPr>
        <w:t xml:space="preserve">分标（如有）：             </w:t>
      </w:r>
    </w:p>
    <w:p w14:paraId="53475D5E">
      <w:pPr>
        <w:widowControl/>
        <w:kinsoku w:val="0"/>
        <w:autoSpaceDE w:val="0"/>
        <w:autoSpaceDN w:val="0"/>
        <w:adjustRightInd w:val="0"/>
        <w:snapToGrid w:val="0"/>
        <w:spacing w:line="360" w:lineRule="auto"/>
        <w:ind w:firstLine="480" w:firstLineChars="200"/>
        <w:textAlignment w:val="baseline"/>
        <w:rPr>
          <w:rFonts w:ascii="宋体" w:hAnsi="宋体" w:cs="宋体"/>
          <w:color w:val="auto"/>
          <w:sz w:val="24"/>
          <w:highlight w:val="none"/>
        </w:rPr>
      </w:pPr>
      <w:r>
        <w:rPr>
          <w:rFonts w:hint="eastAsia" w:ascii="宋体" w:hAnsi="宋体" w:cs="宋体"/>
          <w:color w:val="auto"/>
          <w:sz w:val="24"/>
          <w:highlight w:val="none"/>
        </w:rPr>
        <w:t xml:space="preserve">供应商名称：                                            </w:t>
      </w:r>
    </w:p>
    <w:p w14:paraId="53475D5F">
      <w:pPr>
        <w:widowControl/>
        <w:kinsoku w:val="0"/>
        <w:autoSpaceDE w:val="0"/>
        <w:autoSpaceDN w:val="0"/>
        <w:adjustRightInd w:val="0"/>
        <w:snapToGrid w:val="0"/>
        <w:spacing w:line="360" w:lineRule="auto"/>
        <w:ind w:firstLine="480" w:firstLineChars="200"/>
        <w:textAlignment w:val="baseline"/>
        <w:rPr>
          <w:rFonts w:ascii="宋体" w:hAnsi="宋体" w:cs="宋体"/>
          <w:color w:val="auto"/>
          <w:sz w:val="24"/>
          <w:highlight w:val="none"/>
        </w:rPr>
      </w:pPr>
      <w:r>
        <w:rPr>
          <w:rFonts w:hint="eastAsia" w:ascii="宋体" w:hAnsi="宋体" w:cs="宋体"/>
          <w:color w:val="auto"/>
          <w:sz w:val="24"/>
          <w:highlight w:val="none"/>
        </w:rPr>
        <w:t>单位：元</w:t>
      </w:r>
    </w:p>
    <w:tbl>
      <w:tblPr>
        <w:tblStyle w:val="38"/>
        <w:tblW w:w="8803" w:type="dxa"/>
        <w:tblInd w:w="3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988"/>
        <w:gridCol w:w="3121"/>
        <w:gridCol w:w="1984"/>
        <w:gridCol w:w="1710"/>
      </w:tblGrid>
      <w:tr w14:paraId="53475D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6" w:hRule="atLeast"/>
        </w:trPr>
        <w:tc>
          <w:tcPr>
            <w:tcW w:w="5109" w:type="dxa"/>
            <w:gridSpan w:val="2"/>
            <w:vAlign w:val="center"/>
          </w:tcPr>
          <w:p w14:paraId="53475D60">
            <w:pPr>
              <w:widowControl/>
              <w:kinsoku w:val="0"/>
              <w:autoSpaceDE w:val="0"/>
              <w:autoSpaceDN w:val="0"/>
              <w:adjustRightInd w:val="0"/>
              <w:snapToGrid w:val="0"/>
              <w:spacing w:line="360" w:lineRule="auto"/>
              <w:ind w:firstLine="480" w:firstLineChars="200"/>
              <w:jc w:val="center"/>
              <w:textAlignment w:val="baseline"/>
              <w:rPr>
                <w:rFonts w:ascii="宋体" w:hAnsi="宋体" w:cs="宋体"/>
                <w:color w:val="auto"/>
                <w:sz w:val="24"/>
                <w:highlight w:val="none"/>
                <w:lang w:eastAsia="en-US"/>
              </w:rPr>
            </w:pPr>
            <w:r>
              <w:rPr>
                <w:rFonts w:hint="eastAsia" w:ascii="宋体" w:hAnsi="宋体" w:cs="宋体"/>
                <w:color w:val="auto"/>
                <w:sz w:val="24"/>
                <w:highlight w:val="none"/>
                <w:lang w:eastAsia="en-US"/>
              </w:rPr>
              <w:t>磋商报价</w:t>
            </w:r>
          </w:p>
        </w:tc>
        <w:tc>
          <w:tcPr>
            <w:tcW w:w="1984" w:type="dxa"/>
            <w:vAlign w:val="center"/>
          </w:tcPr>
          <w:p w14:paraId="53475D61">
            <w:pPr>
              <w:widowControl/>
              <w:kinsoku w:val="0"/>
              <w:autoSpaceDE w:val="0"/>
              <w:autoSpaceDN w:val="0"/>
              <w:adjustRightInd w:val="0"/>
              <w:snapToGrid w:val="0"/>
              <w:spacing w:line="360" w:lineRule="auto"/>
              <w:ind w:firstLine="480" w:firstLineChars="200"/>
              <w:jc w:val="center"/>
              <w:textAlignment w:val="baseline"/>
              <w:rPr>
                <w:rFonts w:ascii="宋体" w:hAnsi="宋体" w:cs="宋体"/>
                <w:color w:val="auto"/>
                <w:sz w:val="24"/>
                <w:highlight w:val="none"/>
                <w:lang w:eastAsia="en-US"/>
              </w:rPr>
            </w:pPr>
            <w:r>
              <w:rPr>
                <w:rFonts w:hint="eastAsia" w:ascii="宋体" w:hAnsi="宋体" w:cs="宋体"/>
                <w:color w:val="auto"/>
                <w:sz w:val="24"/>
                <w:highlight w:val="none"/>
                <w:lang w:eastAsia="en-US"/>
              </w:rPr>
              <w:t>元</w:t>
            </w:r>
          </w:p>
        </w:tc>
        <w:tc>
          <w:tcPr>
            <w:tcW w:w="1710" w:type="dxa"/>
            <w:vAlign w:val="center"/>
          </w:tcPr>
          <w:p w14:paraId="53475D62">
            <w:pPr>
              <w:widowControl/>
              <w:kinsoku w:val="0"/>
              <w:autoSpaceDE w:val="0"/>
              <w:autoSpaceDN w:val="0"/>
              <w:adjustRightInd w:val="0"/>
              <w:snapToGrid w:val="0"/>
              <w:spacing w:line="360" w:lineRule="auto"/>
              <w:ind w:firstLine="480" w:firstLineChars="200"/>
              <w:jc w:val="center"/>
              <w:textAlignment w:val="baseline"/>
              <w:rPr>
                <w:rFonts w:ascii="宋体" w:hAnsi="宋体" w:cs="宋体"/>
                <w:color w:val="auto"/>
                <w:sz w:val="24"/>
                <w:highlight w:val="none"/>
                <w:lang w:eastAsia="en-US"/>
              </w:rPr>
            </w:pPr>
            <w:r>
              <w:rPr>
                <w:rFonts w:hint="eastAsia" w:ascii="宋体" w:hAnsi="宋体" w:cs="宋体"/>
                <w:color w:val="auto"/>
                <w:sz w:val="24"/>
                <w:highlight w:val="none"/>
                <w:lang w:eastAsia="en-US"/>
              </w:rPr>
              <w:t>备注</w:t>
            </w:r>
          </w:p>
        </w:tc>
      </w:tr>
      <w:tr w14:paraId="53475D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8" w:hRule="atLeast"/>
        </w:trPr>
        <w:tc>
          <w:tcPr>
            <w:tcW w:w="1988" w:type="dxa"/>
            <w:vMerge w:val="restart"/>
            <w:tcBorders>
              <w:bottom w:val="nil"/>
            </w:tcBorders>
            <w:vAlign w:val="center"/>
          </w:tcPr>
          <w:p w14:paraId="53475D64">
            <w:pPr>
              <w:widowControl/>
              <w:kinsoku w:val="0"/>
              <w:autoSpaceDE w:val="0"/>
              <w:autoSpaceDN w:val="0"/>
              <w:adjustRightInd w:val="0"/>
              <w:snapToGrid w:val="0"/>
              <w:spacing w:line="360" w:lineRule="auto"/>
              <w:textAlignment w:val="baseline"/>
              <w:rPr>
                <w:rFonts w:ascii="宋体" w:hAnsi="宋体" w:cs="宋体"/>
                <w:color w:val="auto"/>
                <w:sz w:val="24"/>
                <w:highlight w:val="none"/>
              </w:rPr>
            </w:pPr>
          </w:p>
          <w:p w14:paraId="53475D65">
            <w:pPr>
              <w:widowControl/>
              <w:kinsoku w:val="0"/>
              <w:autoSpaceDE w:val="0"/>
              <w:autoSpaceDN w:val="0"/>
              <w:adjustRightInd w:val="0"/>
              <w:snapToGrid w:val="0"/>
              <w:spacing w:line="360" w:lineRule="auto"/>
              <w:ind w:firstLine="480" w:firstLineChars="200"/>
              <w:jc w:val="center"/>
              <w:textAlignment w:val="baseline"/>
              <w:rPr>
                <w:rFonts w:ascii="宋体" w:hAnsi="宋体" w:cs="宋体"/>
                <w:color w:val="auto"/>
                <w:sz w:val="24"/>
                <w:highlight w:val="none"/>
                <w:lang w:eastAsia="en-US"/>
              </w:rPr>
            </w:pPr>
            <w:r>
              <w:rPr>
                <w:rFonts w:hint="eastAsia" w:ascii="宋体" w:hAnsi="宋体" w:cs="宋体"/>
                <w:color w:val="auto"/>
                <w:sz w:val="24"/>
                <w:highlight w:val="none"/>
                <w:lang w:eastAsia="en-US"/>
              </w:rPr>
              <w:t>其中</w:t>
            </w:r>
          </w:p>
        </w:tc>
        <w:tc>
          <w:tcPr>
            <w:tcW w:w="3121" w:type="dxa"/>
            <w:vAlign w:val="center"/>
          </w:tcPr>
          <w:p w14:paraId="53475D66">
            <w:pPr>
              <w:widowControl/>
              <w:kinsoku w:val="0"/>
              <w:autoSpaceDE w:val="0"/>
              <w:autoSpaceDN w:val="0"/>
              <w:adjustRightInd w:val="0"/>
              <w:snapToGrid w:val="0"/>
              <w:spacing w:line="360" w:lineRule="auto"/>
              <w:ind w:firstLine="480" w:firstLineChars="200"/>
              <w:jc w:val="left"/>
              <w:textAlignment w:val="baseline"/>
              <w:rPr>
                <w:rFonts w:ascii="宋体" w:hAnsi="宋体" w:cs="宋体"/>
                <w:color w:val="auto"/>
                <w:sz w:val="24"/>
                <w:highlight w:val="none"/>
                <w:lang w:eastAsia="en-US"/>
              </w:rPr>
            </w:pPr>
            <w:r>
              <w:rPr>
                <w:rFonts w:hint="eastAsia" w:ascii="宋体" w:hAnsi="宋体" w:cs="宋体"/>
                <w:color w:val="auto"/>
                <w:sz w:val="24"/>
                <w:highlight w:val="none"/>
                <w:lang w:eastAsia="en-US"/>
              </w:rPr>
              <w:t>安全文明施工费</w:t>
            </w:r>
          </w:p>
        </w:tc>
        <w:tc>
          <w:tcPr>
            <w:tcW w:w="1984" w:type="dxa"/>
            <w:vAlign w:val="center"/>
          </w:tcPr>
          <w:p w14:paraId="53475D67">
            <w:pPr>
              <w:widowControl/>
              <w:kinsoku w:val="0"/>
              <w:autoSpaceDE w:val="0"/>
              <w:autoSpaceDN w:val="0"/>
              <w:adjustRightInd w:val="0"/>
              <w:snapToGrid w:val="0"/>
              <w:spacing w:line="360" w:lineRule="auto"/>
              <w:ind w:firstLine="480" w:firstLineChars="200"/>
              <w:jc w:val="center"/>
              <w:textAlignment w:val="baseline"/>
              <w:rPr>
                <w:rFonts w:ascii="宋体" w:hAnsi="宋体" w:cs="宋体"/>
                <w:color w:val="auto"/>
                <w:sz w:val="24"/>
                <w:highlight w:val="none"/>
                <w:lang w:eastAsia="en-US"/>
              </w:rPr>
            </w:pPr>
            <w:r>
              <w:rPr>
                <w:rFonts w:hint="eastAsia" w:ascii="宋体" w:hAnsi="宋体" w:cs="宋体"/>
                <w:color w:val="auto"/>
                <w:sz w:val="24"/>
                <w:highlight w:val="none"/>
                <w:lang w:eastAsia="en-US"/>
              </w:rPr>
              <w:t>元</w:t>
            </w:r>
          </w:p>
        </w:tc>
        <w:tc>
          <w:tcPr>
            <w:tcW w:w="1710" w:type="dxa"/>
            <w:vAlign w:val="center"/>
          </w:tcPr>
          <w:p w14:paraId="53475D68">
            <w:pPr>
              <w:widowControl/>
              <w:kinsoku w:val="0"/>
              <w:autoSpaceDE w:val="0"/>
              <w:autoSpaceDN w:val="0"/>
              <w:adjustRightInd w:val="0"/>
              <w:snapToGrid w:val="0"/>
              <w:spacing w:line="360" w:lineRule="auto"/>
              <w:ind w:firstLine="480" w:firstLineChars="200"/>
              <w:jc w:val="center"/>
              <w:textAlignment w:val="baseline"/>
              <w:rPr>
                <w:rFonts w:ascii="宋体" w:hAnsi="宋体" w:cs="宋体"/>
                <w:color w:val="auto"/>
                <w:sz w:val="24"/>
                <w:highlight w:val="none"/>
              </w:rPr>
            </w:pPr>
          </w:p>
        </w:tc>
      </w:tr>
      <w:tr w14:paraId="53475D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8" w:hRule="atLeast"/>
        </w:trPr>
        <w:tc>
          <w:tcPr>
            <w:tcW w:w="1988" w:type="dxa"/>
            <w:vMerge w:val="continue"/>
            <w:tcBorders>
              <w:top w:val="nil"/>
              <w:bottom w:val="nil"/>
            </w:tcBorders>
            <w:vAlign w:val="center"/>
          </w:tcPr>
          <w:p w14:paraId="53475D6A">
            <w:pPr>
              <w:widowControl/>
              <w:kinsoku w:val="0"/>
              <w:autoSpaceDE w:val="0"/>
              <w:autoSpaceDN w:val="0"/>
              <w:adjustRightInd w:val="0"/>
              <w:snapToGrid w:val="0"/>
              <w:spacing w:line="360" w:lineRule="auto"/>
              <w:ind w:firstLine="480" w:firstLineChars="200"/>
              <w:jc w:val="center"/>
              <w:textAlignment w:val="baseline"/>
              <w:rPr>
                <w:rFonts w:ascii="宋体" w:hAnsi="宋体" w:cs="宋体"/>
                <w:color w:val="auto"/>
                <w:sz w:val="24"/>
                <w:highlight w:val="none"/>
              </w:rPr>
            </w:pPr>
          </w:p>
        </w:tc>
        <w:tc>
          <w:tcPr>
            <w:tcW w:w="3121" w:type="dxa"/>
            <w:vAlign w:val="center"/>
          </w:tcPr>
          <w:p w14:paraId="53475D6B">
            <w:pPr>
              <w:widowControl/>
              <w:kinsoku w:val="0"/>
              <w:autoSpaceDE w:val="0"/>
              <w:autoSpaceDN w:val="0"/>
              <w:adjustRightInd w:val="0"/>
              <w:snapToGrid w:val="0"/>
              <w:spacing w:line="360" w:lineRule="auto"/>
              <w:ind w:firstLine="480" w:firstLineChars="200"/>
              <w:jc w:val="left"/>
              <w:textAlignment w:val="baseline"/>
              <w:rPr>
                <w:rFonts w:ascii="宋体" w:hAnsi="宋体" w:cs="宋体"/>
                <w:color w:val="auto"/>
                <w:sz w:val="24"/>
                <w:highlight w:val="none"/>
              </w:rPr>
            </w:pPr>
            <w:r>
              <w:rPr>
                <w:rFonts w:hint="eastAsia" w:ascii="宋体" w:hAnsi="宋体" w:cs="宋体"/>
                <w:color w:val="auto"/>
                <w:sz w:val="24"/>
                <w:highlight w:val="none"/>
              </w:rPr>
              <w:t>发包人提供材料（如有）</w:t>
            </w:r>
          </w:p>
        </w:tc>
        <w:tc>
          <w:tcPr>
            <w:tcW w:w="1984" w:type="dxa"/>
            <w:vAlign w:val="center"/>
          </w:tcPr>
          <w:p w14:paraId="53475D6C">
            <w:pPr>
              <w:widowControl/>
              <w:kinsoku w:val="0"/>
              <w:autoSpaceDE w:val="0"/>
              <w:autoSpaceDN w:val="0"/>
              <w:adjustRightInd w:val="0"/>
              <w:snapToGrid w:val="0"/>
              <w:spacing w:line="360" w:lineRule="auto"/>
              <w:ind w:firstLine="480" w:firstLineChars="200"/>
              <w:jc w:val="center"/>
              <w:textAlignment w:val="baseline"/>
              <w:rPr>
                <w:rFonts w:ascii="宋体" w:hAnsi="宋体" w:cs="宋体"/>
                <w:color w:val="auto"/>
                <w:sz w:val="24"/>
                <w:highlight w:val="none"/>
                <w:lang w:eastAsia="en-US"/>
              </w:rPr>
            </w:pPr>
            <w:r>
              <w:rPr>
                <w:rFonts w:hint="eastAsia" w:ascii="宋体" w:hAnsi="宋体" w:cs="宋体"/>
                <w:color w:val="auto"/>
                <w:sz w:val="24"/>
                <w:highlight w:val="none"/>
                <w:lang w:eastAsia="en-US"/>
              </w:rPr>
              <w:t>元</w:t>
            </w:r>
          </w:p>
        </w:tc>
        <w:tc>
          <w:tcPr>
            <w:tcW w:w="1710" w:type="dxa"/>
            <w:vAlign w:val="center"/>
          </w:tcPr>
          <w:p w14:paraId="53475D6D">
            <w:pPr>
              <w:widowControl/>
              <w:kinsoku w:val="0"/>
              <w:autoSpaceDE w:val="0"/>
              <w:autoSpaceDN w:val="0"/>
              <w:adjustRightInd w:val="0"/>
              <w:snapToGrid w:val="0"/>
              <w:spacing w:line="360" w:lineRule="auto"/>
              <w:ind w:firstLine="480" w:firstLineChars="200"/>
              <w:jc w:val="center"/>
              <w:textAlignment w:val="baseline"/>
              <w:rPr>
                <w:rFonts w:ascii="宋体" w:hAnsi="宋体" w:cs="宋体"/>
                <w:color w:val="auto"/>
                <w:sz w:val="24"/>
                <w:highlight w:val="none"/>
              </w:rPr>
            </w:pPr>
          </w:p>
        </w:tc>
      </w:tr>
      <w:tr w14:paraId="53475D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trPr>
        <w:tc>
          <w:tcPr>
            <w:tcW w:w="1988" w:type="dxa"/>
            <w:vMerge w:val="continue"/>
            <w:tcBorders>
              <w:top w:val="nil"/>
              <w:bottom w:val="nil"/>
            </w:tcBorders>
            <w:vAlign w:val="center"/>
          </w:tcPr>
          <w:p w14:paraId="53475D6F">
            <w:pPr>
              <w:widowControl/>
              <w:kinsoku w:val="0"/>
              <w:autoSpaceDE w:val="0"/>
              <w:autoSpaceDN w:val="0"/>
              <w:adjustRightInd w:val="0"/>
              <w:snapToGrid w:val="0"/>
              <w:spacing w:line="360" w:lineRule="auto"/>
              <w:ind w:firstLine="480" w:firstLineChars="200"/>
              <w:jc w:val="center"/>
              <w:textAlignment w:val="baseline"/>
              <w:rPr>
                <w:rFonts w:ascii="宋体" w:hAnsi="宋体" w:cs="宋体"/>
                <w:color w:val="auto"/>
                <w:sz w:val="24"/>
                <w:highlight w:val="none"/>
              </w:rPr>
            </w:pPr>
          </w:p>
        </w:tc>
        <w:tc>
          <w:tcPr>
            <w:tcW w:w="3121" w:type="dxa"/>
            <w:vAlign w:val="center"/>
          </w:tcPr>
          <w:p w14:paraId="53475D70">
            <w:pPr>
              <w:widowControl/>
              <w:kinsoku w:val="0"/>
              <w:autoSpaceDE w:val="0"/>
              <w:autoSpaceDN w:val="0"/>
              <w:adjustRightInd w:val="0"/>
              <w:snapToGrid w:val="0"/>
              <w:spacing w:line="360" w:lineRule="auto"/>
              <w:jc w:val="left"/>
              <w:textAlignment w:val="baseline"/>
              <w:rPr>
                <w:rFonts w:ascii="宋体" w:hAnsi="宋体" w:cs="宋体"/>
                <w:color w:val="auto"/>
                <w:sz w:val="24"/>
                <w:highlight w:val="none"/>
              </w:rPr>
            </w:pPr>
            <w:r>
              <w:rPr>
                <w:rFonts w:hint="eastAsia" w:ascii="宋体" w:hAnsi="宋体" w:cs="宋体"/>
                <w:color w:val="auto"/>
                <w:sz w:val="24"/>
                <w:highlight w:val="none"/>
              </w:rPr>
              <w:t>承包人提供材料（设备）暂估价</w:t>
            </w:r>
          </w:p>
          <w:p w14:paraId="53475D71">
            <w:pPr>
              <w:widowControl/>
              <w:kinsoku w:val="0"/>
              <w:autoSpaceDE w:val="0"/>
              <w:autoSpaceDN w:val="0"/>
              <w:adjustRightInd w:val="0"/>
              <w:snapToGrid w:val="0"/>
              <w:spacing w:line="360" w:lineRule="auto"/>
              <w:ind w:firstLine="480" w:firstLineChars="200"/>
              <w:jc w:val="left"/>
              <w:textAlignment w:val="baseline"/>
              <w:rPr>
                <w:rFonts w:ascii="宋体" w:hAnsi="宋体" w:cs="宋体"/>
                <w:color w:val="auto"/>
                <w:sz w:val="24"/>
                <w:highlight w:val="none"/>
                <w:lang w:eastAsia="en-US"/>
              </w:rPr>
            </w:pPr>
            <w:r>
              <w:rPr>
                <w:rFonts w:hint="eastAsia" w:ascii="宋体" w:hAnsi="宋体" w:cs="宋体"/>
                <w:color w:val="auto"/>
                <w:sz w:val="24"/>
                <w:highlight w:val="none"/>
                <w:lang w:eastAsia="en-US"/>
              </w:rPr>
              <w:t>（如有）</w:t>
            </w:r>
          </w:p>
        </w:tc>
        <w:tc>
          <w:tcPr>
            <w:tcW w:w="1984" w:type="dxa"/>
            <w:vAlign w:val="center"/>
          </w:tcPr>
          <w:p w14:paraId="53475D72">
            <w:pPr>
              <w:widowControl/>
              <w:kinsoku w:val="0"/>
              <w:autoSpaceDE w:val="0"/>
              <w:autoSpaceDN w:val="0"/>
              <w:adjustRightInd w:val="0"/>
              <w:snapToGrid w:val="0"/>
              <w:spacing w:line="360" w:lineRule="auto"/>
              <w:ind w:firstLine="480" w:firstLineChars="200"/>
              <w:jc w:val="center"/>
              <w:textAlignment w:val="baseline"/>
              <w:rPr>
                <w:rFonts w:ascii="宋体" w:hAnsi="宋体" w:cs="宋体"/>
                <w:color w:val="auto"/>
                <w:sz w:val="24"/>
                <w:highlight w:val="none"/>
                <w:lang w:eastAsia="en-US"/>
              </w:rPr>
            </w:pPr>
            <w:r>
              <w:rPr>
                <w:rFonts w:hint="eastAsia" w:ascii="宋体" w:hAnsi="宋体" w:cs="宋体"/>
                <w:color w:val="auto"/>
                <w:sz w:val="24"/>
                <w:highlight w:val="none"/>
                <w:lang w:eastAsia="en-US"/>
              </w:rPr>
              <w:t>元</w:t>
            </w:r>
          </w:p>
        </w:tc>
        <w:tc>
          <w:tcPr>
            <w:tcW w:w="1710" w:type="dxa"/>
            <w:vAlign w:val="center"/>
          </w:tcPr>
          <w:p w14:paraId="53475D73">
            <w:pPr>
              <w:widowControl/>
              <w:kinsoku w:val="0"/>
              <w:autoSpaceDE w:val="0"/>
              <w:autoSpaceDN w:val="0"/>
              <w:adjustRightInd w:val="0"/>
              <w:snapToGrid w:val="0"/>
              <w:spacing w:line="360" w:lineRule="auto"/>
              <w:ind w:firstLine="480" w:firstLineChars="200"/>
              <w:jc w:val="center"/>
              <w:textAlignment w:val="baseline"/>
              <w:rPr>
                <w:rFonts w:ascii="宋体" w:hAnsi="宋体" w:cs="宋体"/>
                <w:color w:val="auto"/>
                <w:sz w:val="24"/>
                <w:highlight w:val="none"/>
              </w:rPr>
            </w:pPr>
          </w:p>
        </w:tc>
      </w:tr>
      <w:tr w14:paraId="53475D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8" w:hRule="atLeast"/>
        </w:trPr>
        <w:tc>
          <w:tcPr>
            <w:tcW w:w="1988" w:type="dxa"/>
            <w:vMerge w:val="continue"/>
            <w:tcBorders>
              <w:top w:val="nil"/>
              <w:bottom w:val="nil"/>
            </w:tcBorders>
            <w:vAlign w:val="center"/>
          </w:tcPr>
          <w:p w14:paraId="53475D75">
            <w:pPr>
              <w:widowControl/>
              <w:kinsoku w:val="0"/>
              <w:autoSpaceDE w:val="0"/>
              <w:autoSpaceDN w:val="0"/>
              <w:adjustRightInd w:val="0"/>
              <w:snapToGrid w:val="0"/>
              <w:spacing w:line="360" w:lineRule="auto"/>
              <w:ind w:firstLine="480" w:firstLineChars="200"/>
              <w:jc w:val="center"/>
              <w:textAlignment w:val="baseline"/>
              <w:rPr>
                <w:rFonts w:ascii="宋体" w:hAnsi="宋体" w:cs="宋体"/>
                <w:color w:val="auto"/>
                <w:sz w:val="24"/>
                <w:highlight w:val="none"/>
              </w:rPr>
            </w:pPr>
          </w:p>
        </w:tc>
        <w:tc>
          <w:tcPr>
            <w:tcW w:w="3121" w:type="dxa"/>
            <w:vAlign w:val="center"/>
          </w:tcPr>
          <w:p w14:paraId="53475D76">
            <w:pPr>
              <w:widowControl/>
              <w:kinsoku w:val="0"/>
              <w:autoSpaceDE w:val="0"/>
              <w:autoSpaceDN w:val="0"/>
              <w:adjustRightInd w:val="0"/>
              <w:snapToGrid w:val="0"/>
              <w:spacing w:line="360" w:lineRule="auto"/>
              <w:ind w:firstLine="480" w:firstLineChars="200"/>
              <w:jc w:val="left"/>
              <w:textAlignment w:val="baseline"/>
              <w:rPr>
                <w:rFonts w:ascii="宋体" w:hAnsi="宋体" w:cs="宋体"/>
                <w:color w:val="auto"/>
                <w:sz w:val="24"/>
                <w:highlight w:val="none"/>
              </w:rPr>
            </w:pPr>
            <w:r>
              <w:rPr>
                <w:rFonts w:hint="eastAsia" w:ascii="宋体" w:hAnsi="宋体" w:cs="宋体"/>
                <w:color w:val="auto"/>
                <w:sz w:val="24"/>
                <w:highlight w:val="none"/>
              </w:rPr>
              <w:t>暂估专业工程（如有）</w:t>
            </w:r>
          </w:p>
        </w:tc>
        <w:tc>
          <w:tcPr>
            <w:tcW w:w="1984" w:type="dxa"/>
            <w:vAlign w:val="center"/>
          </w:tcPr>
          <w:p w14:paraId="53475D77">
            <w:pPr>
              <w:widowControl/>
              <w:kinsoku w:val="0"/>
              <w:autoSpaceDE w:val="0"/>
              <w:autoSpaceDN w:val="0"/>
              <w:adjustRightInd w:val="0"/>
              <w:snapToGrid w:val="0"/>
              <w:spacing w:line="360" w:lineRule="auto"/>
              <w:ind w:firstLine="480" w:firstLineChars="200"/>
              <w:jc w:val="center"/>
              <w:textAlignment w:val="baseline"/>
              <w:rPr>
                <w:rFonts w:ascii="宋体" w:hAnsi="宋体" w:cs="宋体"/>
                <w:color w:val="auto"/>
                <w:sz w:val="24"/>
                <w:highlight w:val="none"/>
                <w:lang w:eastAsia="en-US"/>
              </w:rPr>
            </w:pPr>
            <w:r>
              <w:rPr>
                <w:rFonts w:hint="eastAsia" w:ascii="宋体" w:hAnsi="宋体" w:cs="宋体"/>
                <w:color w:val="auto"/>
                <w:sz w:val="24"/>
                <w:highlight w:val="none"/>
                <w:lang w:eastAsia="en-US"/>
              </w:rPr>
              <w:t>元</w:t>
            </w:r>
          </w:p>
        </w:tc>
        <w:tc>
          <w:tcPr>
            <w:tcW w:w="1710" w:type="dxa"/>
            <w:vAlign w:val="center"/>
          </w:tcPr>
          <w:p w14:paraId="53475D78">
            <w:pPr>
              <w:widowControl/>
              <w:kinsoku w:val="0"/>
              <w:autoSpaceDE w:val="0"/>
              <w:autoSpaceDN w:val="0"/>
              <w:adjustRightInd w:val="0"/>
              <w:snapToGrid w:val="0"/>
              <w:spacing w:line="360" w:lineRule="auto"/>
              <w:ind w:firstLine="480" w:firstLineChars="200"/>
              <w:jc w:val="center"/>
              <w:textAlignment w:val="baseline"/>
              <w:rPr>
                <w:rFonts w:ascii="宋体" w:hAnsi="宋体" w:cs="宋体"/>
                <w:color w:val="auto"/>
                <w:sz w:val="24"/>
                <w:highlight w:val="none"/>
              </w:rPr>
            </w:pPr>
          </w:p>
        </w:tc>
      </w:tr>
      <w:tr w14:paraId="53475D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4" w:hRule="atLeast"/>
        </w:trPr>
        <w:tc>
          <w:tcPr>
            <w:tcW w:w="1988" w:type="dxa"/>
            <w:vMerge w:val="continue"/>
            <w:tcBorders>
              <w:top w:val="nil"/>
            </w:tcBorders>
            <w:vAlign w:val="center"/>
          </w:tcPr>
          <w:p w14:paraId="53475D7A">
            <w:pPr>
              <w:widowControl/>
              <w:kinsoku w:val="0"/>
              <w:autoSpaceDE w:val="0"/>
              <w:autoSpaceDN w:val="0"/>
              <w:adjustRightInd w:val="0"/>
              <w:snapToGrid w:val="0"/>
              <w:spacing w:line="360" w:lineRule="auto"/>
              <w:ind w:firstLine="480" w:firstLineChars="200"/>
              <w:jc w:val="center"/>
              <w:textAlignment w:val="baseline"/>
              <w:rPr>
                <w:rFonts w:ascii="宋体" w:hAnsi="宋体" w:cs="宋体"/>
                <w:color w:val="auto"/>
                <w:sz w:val="24"/>
                <w:highlight w:val="none"/>
              </w:rPr>
            </w:pPr>
          </w:p>
        </w:tc>
        <w:tc>
          <w:tcPr>
            <w:tcW w:w="3121" w:type="dxa"/>
            <w:vAlign w:val="center"/>
          </w:tcPr>
          <w:p w14:paraId="53475D7B">
            <w:pPr>
              <w:widowControl/>
              <w:kinsoku w:val="0"/>
              <w:autoSpaceDE w:val="0"/>
              <w:autoSpaceDN w:val="0"/>
              <w:adjustRightInd w:val="0"/>
              <w:snapToGrid w:val="0"/>
              <w:spacing w:line="360" w:lineRule="auto"/>
              <w:ind w:firstLine="480" w:firstLineChars="200"/>
              <w:jc w:val="left"/>
              <w:textAlignment w:val="baseline"/>
              <w:rPr>
                <w:rFonts w:ascii="宋体" w:hAnsi="宋体" w:cs="宋体"/>
                <w:color w:val="auto"/>
                <w:sz w:val="24"/>
                <w:highlight w:val="none"/>
                <w:lang w:eastAsia="en-US"/>
              </w:rPr>
            </w:pPr>
            <w:r>
              <w:rPr>
                <w:rFonts w:hint="eastAsia" w:ascii="宋体" w:hAnsi="宋体" w:cs="宋体"/>
                <w:color w:val="auto"/>
                <w:sz w:val="24"/>
                <w:highlight w:val="none"/>
                <w:lang w:eastAsia="en-US"/>
              </w:rPr>
              <w:t>暂列金额（如有）</w:t>
            </w:r>
          </w:p>
        </w:tc>
        <w:tc>
          <w:tcPr>
            <w:tcW w:w="1984" w:type="dxa"/>
            <w:vAlign w:val="center"/>
          </w:tcPr>
          <w:p w14:paraId="53475D7C">
            <w:pPr>
              <w:widowControl/>
              <w:kinsoku w:val="0"/>
              <w:autoSpaceDE w:val="0"/>
              <w:autoSpaceDN w:val="0"/>
              <w:adjustRightInd w:val="0"/>
              <w:snapToGrid w:val="0"/>
              <w:spacing w:line="360" w:lineRule="auto"/>
              <w:ind w:firstLine="480" w:firstLineChars="200"/>
              <w:jc w:val="center"/>
              <w:textAlignment w:val="baseline"/>
              <w:rPr>
                <w:rFonts w:ascii="宋体" w:hAnsi="宋体" w:cs="宋体"/>
                <w:color w:val="auto"/>
                <w:sz w:val="24"/>
                <w:highlight w:val="none"/>
                <w:lang w:eastAsia="en-US"/>
              </w:rPr>
            </w:pPr>
            <w:r>
              <w:rPr>
                <w:rFonts w:hint="eastAsia" w:ascii="宋体" w:hAnsi="宋体" w:cs="宋体"/>
                <w:color w:val="auto"/>
                <w:sz w:val="24"/>
                <w:highlight w:val="none"/>
                <w:lang w:eastAsia="en-US"/>
              </w:rPr>
              <w:t>元</w:t>
            </w:r>
          </w:p>
        </w:tc>
        <w:tc>
          <w:tcPr>
            <w:tcW w:w="1710" w:type="dxa"/>
            <w:vAlign w:val="center"/>
          </w:tcPr>
          <w:p w14:paraId="53475D7D">
            <w:pPr>
              <w:widowControl/>
              <w:kinsoku w:val="0"/>
              <w:autoSpaceDE w:val="0"/>
              <w:autoSpaceDN w:val="0"/>
              <w:adjustRightInd w:val="0"/>
              <w:snapToGrid w:val="0"/>
              <w:spacing w:line="360" w:lineRule="auto"/>
              <w:ind w:firstLine="480" w:firstLineChars="200"/>
              <w:jc w:val="center"/>
              <w:textAlignment w:val="baseline"/>
              <w:rPr>
                <w:rFonts w:ascii="宋体" w:hAnsi="宋体" w:cs="宋体"/>
                <w:color w:val="auto"/>
                <w:sz w:val="24"/>
                <w:highlight w:val="none"/>
              </w:rPr>
            </w:pPr>
          </w:p>
        </w:tc>
      </w:tr>
    </w:tbl>
    <w:p w14:paraId="53475D7F">
      <w:pPr>
        <w:widowControl/>
        <w:kinsoku w:val="0"/>
        <w:autoSpaceDE w:val="0"/>
        <w:autoSpaceDN w:val="0"/>
        <w:adjustRightInd w:val="0"/>
        <w:snapToGrid w:val="0"/>
        <w:spacing w:line="360" w:lineRule="auto"/>
        <w:ind w:firstLine="480" w:firstLineChars="200"/>
        <w:textAlignment w:val="baseline"/>
        <w:rPr>
          <w:rFonts w:hint="eastAsia" w:ascii="宋体" w:hAnsi="宋体" w:eastAsia="宋体" w:cs="宋体"/>
          <w:color w:val="auto"/>
          <w:sz w:val="24"/>
          <w:highlight w:val="none"/>
          <w:lang w:eastAsia="zh-CN"/>
        </w:rPr>
      </w:pPr>
      <w:r>
        <w:rPr>
          <w:rFonts w:hint="eastAsia" w:ascii="宋体" w:hAnsi="宋体" w:cs="宋体"/>
          <w:color w:val="auto"/>
          <w:sz w:val="24"/>
          <w:highlight w:val="none"/>
        </w:rPr>
        <w:t>注</w:t>
      </w:r>
      <w:r>
        <w:rPr>
          <w:rFonts w:hint="eastAsia" w:ascii="宋体" w:hAnsi="宋体" w:cs="宋体"/>
          <w:color w:val="auto"/>
          <w:sz w:val="24"/>
          <w:highlight w:val="none"/>
          <w:lang w:eastAsia="zh-CN"/>
        </w:rPr>
        <w:t>：</w:t>
      </w:r>
    </w:p>
    <w:p w14:paraId="53475D80">
      <w:pPr>
        <w:widowControl/>
        <w:kinsoku w:val="0"/>
        <w:autoSpaceDE w:val="0"/>
        <w:autoSpaceDN w:val="0"/>
        <w:adjustRightInd w:val="0"/>
        <w:snapToGrid w:val="0"/>
        <w:spacing w:line="360" w:lineRule="auto"/>
        <w:ind w:firstLine="480" w:firstLineChars="200"/>
        <w:textAlignment w:val="baseline"/>
        <w:rPr>
          <w:rFonts w:ascii="宋体" w:hAnsi="宋体" w:cs="宋体"/>
          <w:color w:val="auto"/>
          <w:sz w:val="24"/>
          <w:highlight w:val="none"/>
        </w:rPr>
      </w:pPr>
      <w:r>
        <w:rPr>
          <w:rFonts w:hint="eastAsia" w:ascii="宋体" w:hAnsi="宋体" w:cs="宋体"/>
          <w:color w:val="auto"/>
          <w:sz w:val="24"/>
          <w:highlight w:val="none"/>
        </w:rPr>
        <w:t>1. 供应商的报价表使用电子签名，否则其响应文件按无效处理。</w:t>
      </w:r>
    </w:p>
    <w:p w14:paraId="53475D81">
      <w:pPr>
        <w:widowControl/>
        <w:kinsoku w:val="0"/>
        <w:autoSpaceDE w:val="0"/>
        <w:autoSpaceDN w:val="0"/>
        <w:adjustRightInd w:val="0"/>
        <w:snapToGrid w:val="0"/>
        <w:spacing w:line="360" w:lineRule="auto"/>
        <w:ind w:firstLine="480" w:firstLineChars="200"/>
        <w:textAlignment w:val="baseline"/>
        <w:rPr>
          <w:rFonts w:ascii="宋体" w:hAnsi="宋体" w:cs="宋体"/>
          <w:color w:val="auto"/>
          <w:sz w:val="24"/>
          <w:highlight w:val="none"/>
        </w:rPr>
      </w:pPr>
      <w:r>
        <w:rPr>
          <w:rFonts w:hint="eastAsia" w:ascii="宋体" w:hAnsi="宋体" w:cs="宋体"/>
          <w:color w:val="auto"/>
          <w:sz w:val="24"/>
          <w:highlight w:val="none"/>
        </w:rPr>
        <w:t>2. 报价一经涂改，应在涂改处使用电子签名，或由法定代表人或者授权委托人签字，否则其响应文件按无效处理。</w:t>
      </w:r>
    </w:p>
    <w:p w14:paraId="53475D82">
      <w:pPr>
        <w:widowControl/>
        <w:kinsoku w:val="0"/>
        <w:autoSpaceDE w:val="0"/>
        <w:autoSpaceDN w:val="0"/>
        <w:adjustRightInd w:val="0"/>
        <w:snapToGrid w:val="0"/>
        <w:spacing w:line="360" w:lineRule="auto"/>
        <w:ind w:firstLine="480" w:firstLineChars="200"/>
        <w:textAlignment w:val="baseline"/>
        <w:rPr>
          <w:rFonts w:ascii="宋体" w:hAnsi="宋体" w:cs="宋体"/>
          <w:color w:val="auto"/>
          <w:sz w:val="24"/>
          <w:highlight w:val="none"/>
        </w:rPr>
      </w:pPr>
      <w:r>
        <w:rPr>
          <w:rFonts w:hint="eastAsia" w:ascii="宋体" w:hAnsi="宋体" w:cs="宋体"/>
          <w:color w:val="auto"/>
          <w:sz w:val="24"/>
          <w:highlight w:val="none"/>
        </w:rPr>
        <w:t>3.如有多分标，分别列明各分标的报价表，否则其响应文件按无效处理。</w:t>
      </w:r>
    </w:p>
    <w:p w14:paraId="53475D83">
      <w:pPr>
        <w:widowControl/>
        <w:kinsoku w:val="0"/>
        <w:autoSpaceDE w:val="0"/>
        <w:autoSpaceDN w:val="0"/>
        <w:adjustRightInd w:val="0"/>
        <w:snapToGrid w:val="0"/>
        <w:spacing w:line="360" w:lineRule="auto"/>
        <w:ind w:firstLine="482" w:firstLineChars="200"/>
        <w:textAlignment w:val="baseline"/>
        <w:rPr>
          <w:rFonts w:ascii="宋体" w:hAnsi="宋体" w:cs="宋体"/>
          <w:b/>
          <w:bCs/>
          <w:color w:val="auto"/>
          <w:sz w:val="24"/>
          <w:highlight w:val="none"/>
        </w:rPr>
      </w:pPr>
      <w:r>
        <w:rPr>
          <w:rFonts w:hint="eastAsia" w:ascii="宋体" w:hAnsi="宋体" w:cs="宋体"/>
          <w:b/>
          <w:bCs/>
          <w:color w:val="auto"/>
          <w:sz w:val="24"/>
          <w:highlight w:val="none"/>
        </w:rPr>
        <w:t>4.如果供应商的最后报价与首次报价不一致的，不能只报竞标总报价，必须同时提供“已标价工程量清单”，否则做无效响应处理。</w:t>
      </w:r>
    </w:p>
    <w:p w14:paraId="53475D84">
      <w:pPr>
        <w:widowControl/>
        <w:kinsoku w:val="0"/>
        <w:autoSpaceDE w:val="0"/>
        <w:autoSpaceDN w:val="0"/>
        <w:adjustRightInd w:val="0"/>
        <w:snapToGrid w:val="0"/>
        <w:spacing w:line="360" w:lineRule="auto"/>
        <w:ind w:firstLine="480" w:firstLineChars="200"/>
        <w:textAlignment w:val="baseline"/>
        <w:rPr>
          <w:rFonts w:ascii="宋体" w:hAnsi="宋体" w:cs="宋体"/>
          <w:color w:val="auto"/>
          <w:sz w:val="24"/>
          <w:highlight w:val="none"/>
        </w:rPr>
      </w:pPr>
    </w:p>
    <w:p w14:paraId="53475D85">
      <w:pPr>
        <w:adjustRightInd w:val="0"/>
        <w:snapToGrid w:val="0"/>
        <w:spacing w:line="360" w:lineRule="auto"/>
        <w:ind w:firstLine="960" w:firstLineChars="400"/>
        <w:jc w:val="left"/>
        <w:rPr>
          <w:rFonts w:ascii="宋体" w:hAnsi="宋体"/>
          <w:color w:val="auto"/>
          <w:sz w:val="24"/>
          <w:highlight w:val="none"/>
        </w:rPr>
      </w:pPr>
      <w:r>
        <w:rPr>
          <w:rFonts w:hint="eastAsia" w:ascii="宋体" w:hAnsi="宋体"/>
          <w:color w:val="auto"/>
          <w:sz w:val="24"/>
          <w:highlight w:val="none"/>
        </w:rPr>
        <w:t xml:space="preserve">磋商供应商名称(公章)： </w:t>
      </w:r>
    </w:p>
    <w:p w14:paraId="53475D86">
      <w:pPr>
        <w:adjustRightInd w:val="0"/>
        <w:snapToGrid w:val="0"/>
        <w:spacing w:line="360" w:lineRule="auto"/>
        <w:ind w:firstLine="960" w:firstLineChars="400"/>
        <w:jc w:val="left"/>
        <w:rPr>
          <w:rFonts w:ascii="宋体" w:hAnsi="宋体"/>
          <w:color w:val="auto"/>
          <w:sz w:val="24"/>
          <w:highlight w:val="none"/>
        </w:rPr>
      </w:pPr>
      <w:r>
        <w:rPr>
          <w:rFonts w:hint="eastAsia" w:ascii="宋体" w:hAnsi="宋体"/>
          <w:color w:val="auto"/>
          <w:sz w:val="24"/>
          <w:highlight w:val="none"/>
        </w:rPr>
        <w:t xml:space="preserve">法定代表人（负责人）或委托代理人(签名)：                          </w:t>
      </w:r>
    </w:p>
    <w:p w14:paraId="53475D87">
      <w:pPr>
        <w:spacing w:line="360" w:lineRule="auto"/>
        <w:ind w:firstLine="960" w:firstLineChars="400"/>
        <w:rPr>
          <w:rFonts w:ascii="宋体" w:hAnsi="宋体"/>
          <w:color w:val="auto"/>
          <w:sz w:val="24"/>
          <w:highlight w:val="none"/>
        </w:rPr>
      </w:pPr>
      <w:r>
        <w:rPr>
          <w:rFonts w:hint="eastAsia" w:ascii="宋体" w:hAnsi="宋体"/>
          <w:color w:val="auto"/>
          <w:sz w:val="24"/>
          <w:highlight w:val="none"/>
        </w:rPr>
        <w:t>日期：  年   月   日</w:t>
      </w:r>
    </w:p>
    <w:p w14:paraId="53475D88">
      <w:pPr>
        <w:spacing w:line="360" w:lineRule="auto"/>
        <w:rPr>
          <w:rFonts w:ascii="宋体" w:hAnsi="宋体"/>
          <w:b/>
          <w:bCs/>
          <w:color w:val="auto"/>
          <w:sz w:val="24"/>
          <w:highlight w:val="none"/>
        </w:rPr>
      </w:pPr>
    </w:p>
    <w:p w14:paraId="53475D89">
      <w:pPr>
        <w:spacing w:line="360" w:lineRule="auto"/>
        <w:rPr>
          <w:rFonts w:ascii="宋体" w:hAnsi="宋体"/>
          <w:b/>
          <w:bCs/>
          <w:color w:val="auto"/>
          <w:sz w:val="24"/>
          <w:highlight w:val="none"/>
        </w:rPr>
      </w:pPr>
    </w:p>
    <w:p w14:paraId="53475D8A">
      <w:pPr>
        <w:rPr>
          <w:rFonts w:ascii="宋体" w:hAnsi="宋体"/>
          <w:b/>
          <w:bCs/>
          <w:color w:val="auto"/>
          <w:sz w:val="24"/>
          <w:highlight w:val="none"/>
        </w:rPr>
      </w:pPr>
      <w:r>
        <w:rPr>
          <w:rFonts w:hint="eastAsia" w:ascii="宋体" w:hAnsi="宋体"/>
          <w:b/>
          <w:bCs/>
          <w:color w:val="auto"/>
          <w:sz w:val="24"/>
          <w:highlight w:val="none"/>
        </w:rPr>
        <w:br w:type="page"/>
      </w:r>
    </w:p>
    <w:p w14:paraId="53475D8B">
      <w:pPr>
        <w:spacing w:line="360" w:lineRule="auto"/>
        <w:rPr>
          <w:rFonts w:ascii="宋体" w:hAnsi="宋体"/>
          <w:b/>
          <w:bCs/>
          <w:color w:val="auto"/>
          <w:sz w:val="24"/>
          <w:highlight w:val="none"/>
        </w:rPr>
      </w:pPr>
      <w:r>
        <w:rPr>
          <w:rFonts w:hint="eastAsia" w:ascii="宋体" w:hAnsi="宋体"/>
          <w:b/>
          <w:bCs/>
          <w:color w:val="auto"/>
          <w:sz w:val="24"/>
          <w:highlight w:val="none"/>
        </w:rPr>
        <w:t>附件4</w:t>
      </w:r>
    </w:p>
    <w:p w14:paraId="53475D8C">
      <w:pPr>
        <w:widowControl/>
        <w:kinsoku w:val="0"/>
        <w:autoSpaceDE w:val="0"/>
        <w:autoSpaceDN w:val="0"/>
        <w:adjustRightInd w:val="0"/>
        <w:snapToGrid w:val="0"/>
        <w:spacing w:line="360" w:lineRule="auto"/>
        <w:ind w:firstLine="562" w:firstLineChars="200"/>
        <w:jc w:val="center"/>
        <w:textAlignment w:val="baseline"/>
        <w:rPr>
          <w:rFonts w:ascii="宋体" w:hAnsi="宋体" w:cs="宋体"/>
          <w:b/>
          <w:bCs/>
          <w:color w:val="auto"/>
          <w:sz w:val="28"/>
          <w:szCs w:val="28"/>
          <w:highlight w:val="none"/>
        </w:rPr>
      </w:pPr>
    </w:p>
    <w:p w14:paraId="53475D8D">
      <w:pPr>
        <w:widowControl/>
        <w:kinsoku w:val="0"/>
        <w:autoSpaceDE w:val="0"/>
        <w:autoSpaceDN w:val="0"/>
        <w:adjustRightInd w:val="0"/>
        <w:snapToGrid w:val="0"/>
        <w:spacing w:line="360" w:lineRule="auto"/>
        <w:ind w:firstLine="482" w:firstLineChars="200"/>
        <w:jc w:val="center"/>
        <w:textAlignment w:val="baseline"/>
        <w:rPr>
          <w:rFonts w:ascii="宋体" w:hAnsi="宋体" w:cs="宋体"/>
          <w:b/>
          <w:bCs/>
          <w:color w:val="auto"/>
          <w:sz w:val="24"/>
          <w:highlight w:val="none"/>
        </w:rPr>
      </w:pPr>
      <w:r>
        <w:rPr>
          <w:rFonts w:hint="eastAsia" w:ascii="宋体" w:hAnsi="宋体" w:cs="宋体"/>
          <w:b/>
          <w:bCs/>
          <w:color w:val="auto"/>
          <w:sz w:val="24"/>
          <w:highlight w:val="none"/>
        </w:rPr>
        <w:t>已标价工程量清单</w:t>
      </w:r>
    </w:p>
    <w:p w14:paraId="53475D8E">
      <w:pPr>
        <w:widowControl/>
        <w:kinsoku w:val="0"/>
        <w:autoSpaceDE w:val="0"/>
        <w:autoSpaceDN w:val="0"/>
        <w:adjustRightInd w:val="0"/>
        <w:snapToGrid w:val="0"/>
        <w:spacing w:line="360" w:lineRule="auto"/>
        <w:ind w:firstLine="480" w:firstLineChars="200"/>
        <w:textAlignment w:val="baseline"/>
        <w:rPr>
          <w:rFonts w:ascii="宋体" w:hAnsi="宋体" w:cs="宋体"/>
          <w:color w:val="auto"/>
          <w:sz w:val="24"/>
          <w:highlight w:val="none"/>
        </w:rPr>
      </w:pPr>
      <w:r>
        <w:rPr>
          <w:rFonts w:hint="eastAsia" w:ascii="宋体" w:hAnsi="宋体" w:cs="宋体"/>
          <w:color w:val="auto"/>
          <w:sz w:val="24"/>
          <w:highlight w:val="none"/>
        </w:rPr>
        <w:t>1.已标价工程量清单应按第四章“工程量清单及图纸”中的相关表格及竞标报价说明填写。构成合同文件的已标价工程量清单包括第四章“工程量清单及图纸”有关工程量清单、竞标报价以及其他说明的内容。</w:t>
      </w:r>
    </w:p>
    <w:p w14:paraId="53475D8F">
      <w:pPr>
        <w:widowControl/>
        <w:kinsoku w:val="0"/>
        <w:autoSpaceDE w:val="0"/>
        <w:autoSpaceDN w:val="0"/>
        <w:adjustRightInd w:val="0"/>
        <w:snapToGrid w:val="0"/>
        <w:spacing w:line="360" w:lineRule="auto"/>
        <w:ind w:firstLine="480" w:firstLineChars="200"/>
        <w:textAlignment w:val="baseline"/>
        <w:rPr>
          <w:rFonts w:ascii="宋体" w:hAnsi="宋体" w:cs="宋体"/>
          <w:color w:val="auto"/>
          <w:sz w:val="24"/>
          <w:highlight w:val="none"/>
        </w:rPr>
      </w:pPr>
      <w:r>
        <w:rPr>
          <w:rFonts w:hint="eastAsia" w:ascii="宋体" w:hAnsi="宋体" w:cs="宋体"/>
          <w:color w:val="auto"/>
          <w:sz w:val="24"/>
          <w:highlight w:val="none"/>
        </w:rPr>
        <w:t>2.一般计税法建设工程已标价工程量清单表格按《关于建筑业实施营业税改征增值税后广西壮族自治区建设工程计价依据调整的通知》（桂建标〔2016〕17 号）附件“增值税一般计税方法工程计价表”要求提供，简易计税法表格按《&lt;建设工程工程量清单计价规范&gt;（GB5050-2013）广西壮族自治区实施细则》要求的表格提供，但规费和税费按照《关于建筑业实施营业税改征增值税后广西壮族自治区建设工程计价依据调整的通知》（桂建标〔2016〕17 号）、《自治区住房城乡建设厅关于调整建设工程计价增值税税率的通知》（桂建标〔2018〕14 号）、《自治区住房城乡建设厅关于调整建设工程计价增值税税率的通知》（桂建标〔2019〕12 号）调整，具体内容以工程量清单为准。</w:t>
      </w:r>
    </w:p>
    <w:p w14:paraId="53475D90">
      <w:pPr>
        <w:widowControl/>
        <w:kinsoku w:val="0"/>
        <w:autoSpaceDE w:val="0"/>
        <w:autoSpaceDN w:val="0"/>
        <w:adjustRightInd w:val="0"/>
        <w:snapToGrid w:val="0"/>
        <w:spacing w:line="360" w:lineRule="auto"/>
        <w:ind w:firstLine="480" w:firstLineChars="200"/>
        <w:textAlignment w:val="baseline"/>
        <w:rPr>
          <w:rFonts w:ascii="宋体" w:hAnsi="宋体" w:cs="宋体"/>
          <w:color w:val="auto"/>
          <w:sz w:val="24"/>
          <w:highlight w:val="none"/>
        </w:rPr>
      </w:pPr>
    </w:p>
    <w:p w14:paraId="53475D91">
      <w:pPr>
        <w:widowControl/>
        <w:kinsoku w:val="0"/>
        <w:autoSpaceDE w:val="0"/>
        <w:autoSpaceDN w:val="0"/>
        <w:adjustRightInd w:val="0"/>
        <w:snapToGrid w:val="0"/>
        <w:spacing w:line="360" w:lineRule="auto"/>
        <w:ind w:firstLine="480" w:firstLineChars="200"/>
        <w:textAlignment w:val="baseline"/>
        <w:rPr>
          <w:rFonts w:ascii="宋体" w:hAnsi="宋体" w:cs="宋体"/>
          <w:color w:val="auto"/>
          <w:sz w:val="24"/>
          <w:highlight w:val="none"/>
        </w:rPr>
      </w:pPr>
    </w:p>
    <w:p w14:paraId="53475D92">
      <w:pPr>
        <w:widowControl/>
        <w:kinsoku w:val="0"/>
        <w:autoSpaceDE w:val="0"/>
        <w:autoSpaceDN w:val="0"/>
        <w:adjustRightInd w:val="0"/>
        <w:snapToGrid w:val="0"/>
        <w:spacing w:line="360" w:lineRule="auto"/>
        <w:ind w:firstLine="482" w:firstLineChars="200"/>
        <w:textAlignment w:val="baseline"/>
        <w:rPr>
          <w:rFonts w:ascii="宋体" w:hAnsi="宋体" w:cs="宋体"/>
          <w:b/>
          <w:bCs/>
          <w:color w:val="auto"/>
          <w:sz w:val="24"/>
          <w:highlight w:val="none"/>
        </w:rPr>
      </w:pPr>
    </w:p>
    <w:p w14:paraId="53475D93">
      <w:pPr>
        <w:widowControl/>
        <w:kinsoku w:val="0"/>
        <w:autoSpaceDE w:val="0"/>
        <w:autoSpaceDN w:val="0"/>
        <w:adjustRightInd w:val="0"/>
        <w:snapToGrid w:val="0"/>
        <w:spacing w:line="360" w:lineRule="auto"/>
        <w:ind w:firstLine="482" w:firstLineChars="200"/>
        <w:textAlignment w:val="baseline"/>
        <w:rPr>
          <w:rFonts w:ascii="宋体" w:hAnsi="宋体" w:cs="宋体"/>
          <w:b/>
          <w:bCs/>
          <w:color w:val="auto"/>
          <w:sz w:val="24"/>
          <w:highlight w:val="none"/>
        </w:rPr>
      </w:pPr>
      <w:r>
        <w:rPr>
          <w:rFonts w:hint="eastAsia" w:ascii="宋体" w:hAnsi="宋体" w:cs="宋体"/>
          <w:b/>
          <w:bCs/>
          <w:color w:val="auto"/>
          <w:sz w:val="24"/>
          <w:highlight w:val="none"/>
        </w:rPr>
        <w:t>备注：</w:t>
      </w:r>
    </w:p>
    <w:p w14:paraId="53475D94">
      <w:pPr>
        <w:widowControl/>
        <w:kinsoku w:val="0"/>
        <w:autoSpaceDE w:val="0"/>
        <w:autoSpaceDN w:val="0"/>
        <w:adjustRightInd w:val="0"/>
        <w:snapToGrid w:val="0"/>
        <w:spacing w:line="360" w:lineRule="auto"/>
        <w:ind w:firstLine="482" w:firstLineChars="200"/>
        <w:textAlignment w:val="baseline"/>
        <w:rPr>
          <w:rFonts w:ascii="宋体" w:hAnsi="宋体" w:cs="宋体"/>
          <w:b/>
          <w:bCs/>
          <w:color w:val="auto"/>
          <w:sz w:val="24"/>
          <w:highlight w:val="none"/>
        </w:rPr>
      </w:pPr>
      <w:r>
        <w:rPr>
          <w:rFonts w:hint="eastAsia" w:ascii="宋体" w:hAnsi="宋体" w:cs="宋体"/>
          <w:b/>
          <w:bCs/>
          <w:color w:val="auto"/>
          <w:sz w:val="24"/>
          <w:highlight w:val="none"/>
        </w:rPr>
        <w:t>（1）供应商在上传竞标报价文件时应上传纸质竞标总价封面的原件扫描件。报标总价封面必须经供应商盖章，并由法定代表人（或其授权人）签字（或盖章），同时由编制人签字盖专用章，否则按无效磋商处理。</w:t>
      </w:r>
    </w:p>
    <w:p w14:paraId="53475D95">
      <w:pPr>
        <w:spacing w:line="360" w:lineRule="auto"/>
        <w:ind w:firstLine="482" w:firstLineChars="200"/>
        <w:rPr>
          <w:rFonts w:ascii="宋体" w:hAnsi="宋体"/>
          <w:b/>
          <w:color w:val="auto"/>
          <w:sz w:val="24"/>
          <w:highlight w:val="none"/>
        </w:rPr>
        <w:sectPr>
          <w:pgSz w:w="11907" w:h="16839"/>
          <w:pgMar w:top="1431" w:right="1272" w:bottom="1364" w:left="1418" w:header="850" w:footer="1204" w:gutter="0"/>
          <w:cols w:space="720" w:num="1"/>
          <w:docGrid w:linePitch="286" w:charSpace="0"/>
        </w:sectPr>
      </w:pPr>
      <w:r>
        <w:rPr>
          <w:rFonts w:hint="eastAsia" w:ascii="宋体" w:hAnsi="宋体" w:cs="宋体"/>
          <w:b/>
          <w:bCs/>
          <w:color w:val="auto"/>
          <w:sz w:val="24"/>
          <w:highlight w:val="none"/>
        </w:rPr>
        <w:t>（2）已标价工程量清单表格要严格按照工程量清单给出的表格要求和内容填报，否则按无效磋商处理。</w:t>
      </w:r>
    </w:p>
    <w:p w14:paraId="53475D96">
      <w:pPr>
        <w:spacing w:line="360" w:lineRule="auto"/>
        <w:ind w:left="420" w:hanging="420"/>
        <w:rPr>
          <w:rFonts w:ascii="宋体" w:hAnsi="宋体"/>
          <w:b/>
          <w:color w:val="auto"/>
          <w:sz w:val="24"/>
          <w:highlight w:val="none"/>
        </w:rPr>
      </w:pPr>
      <w:r>
        <w:rPr>
          <w:rFonts w:hint="eastAsia" w:ascii="宋体" w:hAnsi="宋体"/>
          <w:b/>
          <w:color w:val="auto"/>
          <w:sz w:val="24"/>
          <w:highlight w:val="none"/>
        </w:rPr>
        <w:t>附件5</w:t>
      </w:r>
    </w:p>
    <w:p w14:paraId="53475D97">
      <w:pPr>
        <w:spacing w:line="360" w:lineRule="auto"/>
        <w:jc w:val="center"/>
        <w:rPr>
          <w:rFonts w:ascii="宋体" w:hAnsi="宋体"/>
          <w:b/>
          <w:color w:val="auto"/>
          <w:sz w:val="32"/>
          <w:szCs w:val="32"/>
          <w:highlight w:val="none"/>
        </w:rPr>
      </w:pPr>
      <w:r>
        <w:rPr>
          <w:rFonts w:hint="eastAsia" w:ascii="宋体" w:hAnsi="宋体"/>
          <w:b/>
          <w:color w:val="auto"/>
          <w:sz w:val="32"/>
          <w:szCs w:val="32"/>
          <w:highlight w:val="none"/>
        </w:rPr>
        <w:t>磋 商 书</w:t>
      </w:r>
    </w:p>
    <w:p w14:paraId="53475D98">
      <w:pPr>
        <w:spacing w:line="360" w:lineRule="auto"/>
        <w:jc w:val="center"/>
        <w:rPr>
          <w:rFonts w:ascii="宋体" w:hAnsi="宋体"/>
          <w:b/>
          <w:color w:val="auto"/>
          <w:sz w:val="24"/>
          <w:highlight w:val="none"/>
        </w:rPr>
      </w:pPr>
    </w:p>
    <w:p w14:paraId="53475D99">
      <w:pPr>
        <w:pStyle w:val="23"/>
        <w:spacing w:line="360" w:lineRule="auto"/>
        <w:rPr>
          <w:rFonts w:hAnsi="宋体"/>
          <w:color w:val="auto"/>
          <w:sz w:val="24"/>
          <w:szCs w:val="24"/>
          <w:highlight w:val="none"/>
        </w:rPr>
      </w:pPr>
      <w:r>
        <w:rPr>
          <w:rFonts w:hint="eastAsia" w:hAnsi="宋体"/>
          <w:color w:val="auto"/>
          <w:sz w:val="24"/>
          <w:szCs w:val="24"/>
          <w:highlight w:val="none"/>
        </w:rPr>
        <w:t>（采购人）、（采购代理机构）：</w:t>
      </w:r>
    </w:p>
    <w:p w14:paraId="53475D9A">
      <w:pPr>
        <w:pStyle w:val="23"/>
        <w:spacing w:line="360" w:lineRule="auto"/>
        <w:ind w:firstLine="480"/>
        <w:rPr>
          <w:rFonts w:hAnsi="宋体"/>
          <w:color w:val="auto"/>
          <w:sz w:val="24"/>
          <w:szCs w:val="24"/>
          <w:highlight w:val="none"/>
        </w:rPr>
      </w:pPr>
      <w:r>
        <w:rPr>
          <w:rFonts w:hint="eastAsia" w:hAnsi="宋体"/>
          <w:color w:val="auto"/>
          <w:sz w:val="24"/>
          <w:szCs w:val="24"/>
          <w:highlight w:val="none"/>
        </w:rPr>
        <w:t>依据贵方</w:t>
      </w:r>
      <w:r>
        <w:rPr>
          <w:rFonts w:hint="eastAsia" w:hAnsi="宋体"/>
          <w:color w:val="auto"/>
          <w:sz w:val="24"/>
          <w:szCs w:val="24"/>
          <w:highlight w:val="none"/>
          <w:u w:val="single"/>
        </w:rPr>
        <w:t>（项目名称/项目编号）</w:t>
      </w:r>
      <w:r>
        <w:rPr>
          <w:rFonts w:hint="eastAsia" w:hAnsi="宋体"/>
          <w:color w:val="auto"/>
          <w:sz w:val="24"/>
          <w:szCs w:val="24"/>
          <w:highlight w:val="none"/>
        </w:rPr>
        <w:t>项目政府采购的磋商邀请，我方</w:t>
      </w:r>
      <w:r>
        <w:rPr>
          <w:rFonts w:hint="eastAsia" w:hAnsi="宋体"/>
          <w:color w:val="auto"/>
          <w:sz w:val="24"/>
          <w:szCs w:val="24"/>
          <w:highlight w:val="none"/>
          <w:u w:val="single"/>
        </w:rPr>
        <w:t>（姓名和职务）</w:t>
      </w:r>
      <w:r>
        <w:rPr>
          <w:rFonts w:hint="eastAsia" w:hAnsi="宋体"/>
          <w:color w:val="auto"/>
          <w:sz w:val="24"/>
          <w:szCs w:val="24"/>
          <w:highlight w:val="none"/>
        </w:rPr>
        <w:t>经正式授权并代表本单位</w:t>
      </w:r>
      <w:r>
        <w:rPr>
          <w:rFonts w:hint="eastAsia" w:hAnsi="宋体"/>
          <w:color w:val="auto"/>
          <w:sz w:val="24"/>
          <w:szCs w:val="24"/>
          <w:highlight w:val="none"/>
          <w:u w:val="single"/>
        </w:rPr>
        <w:t>（供应商名称、地址）</w:t>
      </w:r>
      <w:r>
        <w:rPr>
          <w:rFonts w:hint="eastAsia" w:hAnsi="宋体"/>
          <w:color w:val="auto"/>
          <w:sz w:val="24"/>
          <w:szCs w:val="24"/>
          <w:highlight w:val="none"/>
        </w:rPr>
        <w:t>提交下述竞争性磋商响应文件</w:t>
      </w:r>
      <w:r>
        <w:rPr>
          <w:rFonts w:hint="eastAsia" w:hAnsi="宋体"/>
          <w:b/>
          <w:color w:val="auto"/>
          <w:sz w:val="24"/>
          <w:szCs w:val="24"/>
          <w:highlight w:val="none"/>
        </w:rPr>
        <w:t>（资格文件、价格文件、商务技术文件）</w:t>
      </w:r>
      <w:r>
        <w:rPr>
          <w:rFonts w:hint="eastAsia" w:hAnsi="宋体"/>
          <w:color w:val="auto"/>
          <w:sz w:val="24"/>
          <w:szCs w:val="24"/>
          <w:highlight w:val="none"/>
        </w:rPr>
        <w:t>。</w:t>
      </w:r>
    </w:p>
    <w:p w14:paraId="53475D9B">
      <w:pPr>
        <w:pStyle w:val="23"/>
        <w:spacing w:line="360" w:lineRule="auto"/>
        <w:ind w:firstLine="480"/>
        <w:rPr>
          <w:rFonts w:hAnsi="宋体"/>
          <w:color w:val="auto"/>
          <w:sz w:val="24"/>
          <w:szCs w:val="24"/>
          <w:highlight w:val="none"/>
        </w:rPr>
      </w:pPr>
      <w:r>
        <w:rPr>
          <w:rFonts w:hint="eastAsia" w:hAnsi="宋体"/>
          <w:color w:val="auto"/>
          <w:sz w:val="24"/>
          <w:szCs w:val="24"/>
          <w:highlight w:val="none"/>
        </w:rPr>
        <w:t>1. 报价表；</w:t>
      </w:r>
    </w:p>
    <w:p w14:paraId="53475D9C">
      <w:pPr>
        <w:pStyle w:val="23"/>
        <w:spacing w:line="360" w:lineRule="auto"/>
        <w:ind w:firstLine="480"/>
        <w:rPr>
          <w:rFonts w:hAnsi="宋体"/>
          <w:color w:val="auto"/>
          <w:sz w:val="24"/>
          <w:szCs w:val="24"/>
          <w:highlight w:val="none"/>
        </w:rPr>
      </w:pPr>
      <w:r>
        <w:rPr>
          <w:rFonts w:hint="eastAsia" w:hAnsi="宋体"/>
          <w:color w:val="auto"/>
          <w:sz w:val="24"/>
          <w:szCs w:val="24"/>
          <w:highlight w:val="none"/>
        </w:rPr>
        <w:t xml:space="preserve">2. 资格证明文件； </w:t>
      </w:r>
    </w:p>
    <w:p w14:paraId="53475D9D">
      <w:pPr>
        <w:pStyle w:val="23"/>
        <w:spacing w:line="360" w:lineRule="auto"/>
        <w:ind w:firstLine="480"/>
        <w:rPr>
          <w:rFonts w:hAnsi="宋体"/>
          <w:color w:val="auto"/>
          <w:sz w:val="24"/>
          <w:szCs w:val="24"/>
          <w:highlight w:val="none"/>
        </w:rPr>
      </w:pPr>
      <w:r>
        <w:rPr>
          <w:rFonts w:hint="eastAsia" w:hAnsi="宋体"/>
          <w:color w:val="auto"/>
          <w:sz w:val="24"/>
          <w:szCs w:val="24"/>
          <w:highlight w:val="none"/>
        </w:rPr>
        <w:t>3. 按竞争性磋商文件供应商须知和采购需求提供的有关文件。</w:t>
      </w:r>
    </w:p>
    <w:p w14:paraId="53475D9E">
      <w:pPr>
        <w:pStyle w:val="23"/>
        <w:spacing w:line="360" w:lineRule="auto"/>
        <w:ind w:firstLine="360" w:firstLineChars="150"/>
        <w:rPr>
          <w:rFonts w:hAnsi="宋体"/>
          <w:color w:val="auto"/>
          <w:sz w:val="24"/>
          <w:szCs w:val="24"/>
          <w:highlight w:val="none"/>
        </w:rPr>
      </w:pPr>
      <w:r>
        <w:rPr>
          <w:rFonts w:hint="eastAsia" w:hAnsi="宋体"/>
          <w:color w:val="auto"/>
          <w:sz w:val="24"/>
          <w:szCs w:val="24"/>
          <w:highlight w:val="none"/>
        </w:rPr>
        <w:t>在此，授权代表宣布同意如下：</w:t>
      </w:r>
    </w:p>
    <w:p w14:paraId="53475D9F">
      <w:pPr>
        <w:pStyle w:val="23"/>
        <w:spacing w:line="360" w:lineRule="auto"/>
        <w:ind w:firstLine="480" w:firstLineChars="200"/>
        <w:rPr>
          <w:rFonts w:hAnsi="宋体"/>
          <w:color w:val="auto"/>
          <w:sz w:val="24"/>
          <w:szCs w:val="24"/>
          <w:highlight w:val="none"/>
        </w:rPr>
      </w:pPr>
      <w:r>
        <w:rPr>
          <w:rFonts w:hint="eastAsia" w:hAnsi="宋体"/>
          <w:color w:val="auto"/>
          <w:sz w:val="24"/>
          <w:szCs w:val="24"/>
          <w:highlight w:val="none"/>
        </w:rPr>
        <w:t>1. 将按竞争性磋商文件的约定履行合同责任和义务；</w:t>
      </w:r>
    </w:p>
    <w:p w14:paraId="53475DA0">
      <w:pPr>
        <w:pStyle w:val="23"/>
        <w:spacing w:line="360" w:lineRule="auto"/>
        <w:ind w:firstLine="480" w:firstLineChars="200"/>
        <w:rPr>
          <w:rFonts w:hAnsi="宋体"/>
          <w:color w:val="auto"/>
          <w:sz w:val="24"/>
          <w:szCs w:val="24"/>
          <w:highlight w:val="none"/>
        </w:rPr>
      </w:pPr>
      <w:r>
        <w:rPr>
          <w:rFonts w:hint="eastAsia" w:hAnsi="宋体"/>
          <w:color w:val="auto"/>
          <w:sz w:val="24"/>
          <w:szCs w:val="24"/>
          <w:highlight w:val="none"/>
        </w:rPr>
        <w:t>2. 已详细审查全部竞争性磋商文件，包括</w:t>
      </w:r>
      <w:r>
        <w:rPr>
          <w:rFonts w:hint="eastAsia" w:hAnsi="宋体"/>
          <w:color w:val="auto"/>
          <w:sz w:val="24"/>
          <w:szCs w:val="24"/>
          <w:highlight w:val="none"/>
          <w:u w:val="single"/>
        </w:rPr>
        <w:t>（补遗文件）（如果有的话）</w:t>
      </w:r>
      <w:r>
        <w:rPr>
          <w:rFonts w:hint="eastAsia" w:hAnsi="宋体"/>
          <w:color w:val="auto"/>
          <w:sz w:val="24"/>
          <w:szCs w:val="24"/>
          <w:highlight w:val="none"/>
        </w:rPr>
        <w:t>；</w:t>
      </w:r>
    </w:p>
    <w:p w14:paraId="53475DA1">
      <w:pPr>
        <w:pStyle w:val="23"/>
        <w:spacing w:line="360" w:lineRule="auto"/>
        <w:ind w:firstLine="480" w:firstLineChars="200"/>
        <w:rPr>
          <w:rFonts w:hAnsi="宋体"/>
          <w:color w:val="auto"/>
          <w:sz w:val="24"/>
          <w:szCs w:val="24"/>
          <w:highlight w:val="none"/>
        </w:rPr>
      </w:pPr>
      <w:r>
        <w:rPr>
          <w:rFonts w:hint="eastAsia" w:hAnsi="宋体"/>
          <w:color w:val="auto"/>
          <w:sz w:val="24"/>
          <w:szCs w:val="24"/>
          <w:highlight w:val="none"/>
        </w:rPr>
        <w:t>3. 同意提供按照贵方可能要求的与其磋商有关的一切数据或资料；</w:t>
      </w:r>
    </w:p>
    <w:p w14:paraId="53475DA2">
      <w:pPr>
        <w:pStyle w:val="23"/>
        <w:spacing w:line="360" w:lineRule="auto"/>
        <w:ind w:firstLine="480" w:firstLineChars="200"/>
        <w:rPr>
          <w:rFonts w:hAnsi="宋体"/>
          <w:color w:val="auto"/>
          <w:sz w:val="24"/>
          <w:szCs w:val="24"/>
          <w:highlight w:val="none"/>
          <w:u w:val="single"/>
        </w:rPr>
      </w:pPr>
      <w:r>
        <w:rPr>
          <w:rFonts w:hint="eastAsia" w:hAnsi="宋体"/>
          <w:color w:val="auto"/>
          <w:sz w:val="24"/>
          <w:szCs w:val="24"/>
          <w:highlight w:val="none"/>
        </w:rPr>
        <w:t>4. 与本磋商有关的一切正式往来信函请寄：</w:t>
      </w:r>
      <w:r>
        <w:rPr>
          <w:rFonts w:hint="eastAsia" w:hAnsi="宋体"/>
          <w:color w:val="auto"/>
          <w:sz w:val="24"/>
          <w:szCs w:val="24"/>
          <w:highlight w:val="none"/>
          <w:u w:val="single"/>
        </w:rPr>
        <w:t xml:space="preserve">                       </w:t>
      </w:r>
    </w:p>
    <w:p w14:paraId="53475DA3">
      <w:pPr>
        <w:pStyle w:val="23"/>
        <w:spacing w:line="360" w:lineRule="auto"/>
        <w:ind w:firstLine="840"/>
        <w:rPr>
          <w:rFonts w:hAnsi="宋体"/>
          <w:color w:val="auto"/>
          <w:sz w:val="24"/>
          <w:szCs w:val="24"/>
          <w:highlight w:val="none"/>
          <w:u w:val="single"/>
        </w:rPr>
      </w:pPr>
      <w:r>
        <w:rPr>
          <w:rFonts w:hint="eastAsia" w:hAnsi="宋体"/>
          <w:color w:val="auto"/>
          <w:sz w:val="24"/>
          <w:szCs w:val="24"/>
          <w:highlight w:val="none"/>
        </w:rPr>
        <w:t>开户银行：</w:t>
      </w:r>
      <w:r>
        <w:rPr>
          <w:rFonts w:hint="eastAsia" w:hAnsi="宋体"/>
          <w:color w:val="auto"/>
          <w:sz w:val="24"/>
          <w:szCs w:val="24"/>
          <w:highlight w:val="none"/>
          <w:u w:val="single"/>
        </w:rPr>
        <w:t xml:space="preserve">                         </w:t>
      </w:r>
      <w:r>
        <w:rPr>
          <w:rFonts w:hint="eastAsia" w:hAnsi="宋体"/>
          <w:color w:val="auto"/>
          <w:sz w:val="24"/>
          <w:szCs w:val="24"/>
          <w:highlight w:val="none"/>
        </w:rPr>
        <w:t xml:space="preserve">  帐号/行号：</w:t>
      </w:r>
      <w:r>
        <w:rPr>
          <w:rFonts w:hint="eastAsia" w:hAnsi="宋体"/>
          <w:color w:val="auto"/>
          <w:sz w:val="24"/>
          <w:szCs w:val="24"/>
          <w:highlight w:val="none"/>
          <w:u w:val="single"/>
        </w:rPr>
        <w:t xml:space="preserve">                </w:t>
      </w:r>
    </w:p>
    <w:p w14:paraId="53475DA4">
      <w:pPr>
        <w:pStyle w:val="23"/>
        <w:spacing w:line="360" w:lineRule="auto"/>
        <w:ind w:firstLine="840"/>
        <w:rPr>
          <w:rFonts w:hAnsi="宋体"/>
          <w:color w:val="auto"/>
          <w:sz w:val="24"/>
          <w:szCs w:val="24"/>
          <w:highlight w:val="none"/>
        </w:rPr>
      </w:pPr>
      <w:r>
        <w:rPr>
          <w:rFonts w:hint="eastAsia" w:hAnsi="宋体"/>
          <w:color w:val="auto"/>
          <w:sz w:val="24"/>
          <w:szCs w:val="24"/>
          <w:highlight w:val="none"/>
        </w:rPr>
        <w:t>电话/传真：</w:t>
      </w:r>
      <w:r>
        <w:rPr>
          <w:rFonts w:hint="eastAsia" w:hAnsi="宋体"/>
          <w:color w:val="auto"/>
          <w:sz w:val="24"/>
          <w:szCs w:val="24"/>
          <w:highlight w:val="none"/>
          <w:u w:val="single"/>
        </w:rPr>
        <w:t xml:space="preserve">                        </w:t>
      </w:r>
      <w:r>
        <w:rPr>
          <w:rFonts w:hint="eastAsia" w:hAnsi="宋体"/>
          <w:color w:val="auto"/>
          <w:sz w:val="24"/>
          <w:szCs w:val="24"/>
          <w:highlight w:val="none"/>
        </w:rPr>
        <w:t xml:space="preserve"> 电子函件：</w:t>
      </w:r>
      <w:r>
        <w:rPr>
          <w:rFonts w:hint="eastAsia" w:hAnsi="宋体"/>
          <w:color w:val="auto"/>
          <w:sz w:val="24"/>
          <w:szCs w:val="24"/>
          <w:highlight w:val="none"/>
          <w:u w:val="single"/>
        </w:rPr>
        <w:t xml:space="preserve">                </w:t>
      </w:r>
      <w:r>
        <w:rPr>
          <w:rFonts w:hint="eastAsia" w:hAnsi="宋体"/>
          <w:color w:val="auto"/>
          <w:sz w:val="24"/>
          <w:szCs w:val="24"/>
          <w:highlight w:val="none"/>
        </w:rPr>
        <w:t xml:space="preserve">              </w:t>
      </w:r>
    </w:p>
    <w:p w14:paraId="53475DA5">
      <w:pPr>
        <w:pStyle w:val="23"/>
        <w:spacing w:line="360" w:lineRule="auto"/>
        <w:ind w:firstLine="840"/>
        <w:rPr>
          <w:rFonts w:hAnsi="宋体"/>
          <w:color w:val="auto"/>
          <w:sz w:val="24"/>
          <w:szCs w:val="24"/>
          <w:highlight w:val="none"/>
          <w:u w:val="single"/>
        </w:rPr>
      </w:pPr>
      <w:r>
        <w:rPr>
          <w:rFonts w:hint="eastAsia" w:hAnsi="宋体"/>
          <w:color w:val="auto"/>
          <w:sz w:val="24"/>
          <w:szCs w:val="24"/>
          <w:highlight w:val="none"/>
        </w:rPr>
        <w:t>日期：</w:t>
      </w:r>
      <w:r>
        <w:rPr>
          <w:rFonts w:hint="eastAsia" w:hAnsi="宋体"/>
          <w:color w:val="auto"/>
          <w:sz w:val="24"/>
          <w:szCs w:val="24"/>
          <w:highlight w:val="none"/>
          <w:u w:val="single"/>
        </w:rPr>
        <w:t xml:space="preserve">      </w:t>
      </w:r>
      <w:r>
        <w:rPr>
          <w:rFonts w:hint="eastAsia" w:hAnsi="宋体"/>
          <w:color w:val="auto"/>
          <w:sz w:val="24"/>
          <w:szCs w:val="24"/>
          <w:highlight w:val="none"/>
        </w:rPr>
        <w:t>年</w:t>
      </w:r>
      <w:r>
        <w:rPr>
          <w:rFonts w:hint="eastAsia" w:hAnsi="宋体"/>
          <w:color w:val="auto"/>
          <w:sz w:val="24"/>
          <w:szCs w:val="24"/>
          <w:highlight w:val="none"/>
          <w:u w:val="single"/>
        </w:rPr>
        <w:t xml:space="preserve">   </w:t>
      </w:r>
      <w:r>
        <w:rPr>
          <w:rFonts w:hint="eastAsia" w:hAnsi="宋体"/>
          <w:color w:val="auto"/>
          <w:sz w:val="24"/>
          <w:szCs w:val="24"/>
          <w:highlight w:val="none"/>
        </w:rPr>
        <w:t>月</w:t>
      </w:r>
      <w:r>
        <w:rPr>
          <w:rFonts w:hint="eastAsia" w:hAnsi="宋体"/>
          <w:color w:val="auto"/>
          <w:sz w:val="24"/>
          <w:szCs w:val="24"/>
          <w:highlight w:val="none"/>
          <w:u w:val="single"/>
        </w:rPr>
        <w:t xml:space="preserve">    </w:t>
      </w:r>
      <w:r>
        <w:rPr>
          <w:rFonts w:hint="eastAsia" w:hAnsi="宋体"/>
          <w:color w:val="auto"/>
          <w:sz w:val="24"/>
          <w:szCs w:val="24"/>
          <w:highlight w:val="none"/>
        </w:rPr>
        <w:t>日</w:t>
      </w:r>
    </w:p>
    <w:p w14:paraId="53475DA6">
      <w:pPr>
        <w:adjustRightInd w:val="0"/>
        <w:snapToGrid w:val="0"/>
        <w:spacing w:line="360" w:lineRule="auto"/>
        <w:ind w:firstLine="1440" w:firstLineChars="600"/>
        <w:jc w:val="left"/>
        <w:rPr>
          <w:rFonts w:ascii="宋体" w:hAnsi="宋体"/>
          <w:color w:val="auto"/>
          <w:sz w:val="24"/>
          <w:highlight w:val="none"/>
        </w:rPr>
      </w:pPr>
    </w:p>
    <w:p w14:paraId="53475DA7">
      <w:pPr>
        <w:adjustRightInd w:val="0"/>
        <w:snapToGrid w:val="0"/>
        <w:spacing w:line="360" w:lineRule="auto"/>
        <w:ind w:firstLine="1440" w:firstLineChars="600"/>
        <w:jc w:val="left"/>
        <w:rPr>
          <w:rFonts w:ascii="宋体" w:hAnsi="宋体"/>
          <w:color w:val="auto"/>
          <w:sz w:val="24"/>
          <w:highlight w:val="none"/>
        </w:rPr>
      </w:pPr>
    </w:p>
    <w:p w14:paraId="53475DA8">
      <w:pPr>
        <w:adjustRightInd w:val="0"/>
        <w:snapToGrid w:val="0"/>
        <w:spacing w:line="360" w:lineRule="auto"/>
        <w:ind w:firstLine="960" w:firstLineChars="400"/>
        <w:jc w:val="left"/>
        <w:rPr>
          <w:rFonts w:ascii="宋体" w:hAnsi="宋体"/>
          <w:color w:val="auto"/>
          <w:sz w:val="24"/>
          <w:highlight w:val="none"/>
        </w:rPr>
      </w:pPr>
      <w:r>
        <w:rPr>
          <w:rFonts w:hint="eastAsia" w:ascii="宋体" w:hAnsi="宋体"/>
          <w:color w:val="auto"/>
          <w:sz w:val="24"/>
          <w:highlight w:val="none"/>
        </w:rPr>
        <w:t xml:space="preserve">磋商供应商名称(公章)： </w:t>
      </w:r>
    </w:p>
    <w:p w14:paraId="53475DA9">
      <w:pPr>
        <w:adjustRightInd w:val="0"/>
        <w:snapToGrid w:val="0"/>
        <w:spacing w:line="360" w:lineRule="auto"/>
        <w:ind w:firstLine="960" w:firstLineChars="400"/>
        <w:jc w:val="left"/>
        <w:rPr>
          <w:rFonts w:ascii="宋体" w:hAnsi="宋体"/>
          <w:color w:val="auto"/>
          <w:sz w:val="24"/>
          <w:highlight w:val="none"/>
        </w:rPr>
      </w:pPr>
      <w:r>
        <w:rPr>
          <w:rFonts w:hint="eastAsia" w:ascii="宋体" w:hAnsi="宋体"/>
          <w:color w:val="auto"/>
          <w:sz w:val="24"/>
          <w:highlight w:val="none"/>
        </w:rPr>
        <w:t xml:space="preserve">法定代表人（负责人）或委托代理人(签名)：                          </w:t>
      </w:r>
    </w:p>
    <w:p w14:paraId="53475DAA">
      <w:pPr>
        <w:spacing w:line="360" w:lineRule="auto"/>
        <w:ind w:firstLine="960" w:firstLineChars="400"/>
        <w:rPr>
          <w:rFonts w:ascii="宋体" w:hAnsi="宋体"/>
          <w:color w:val="auto"/>
          <w:sz w:val="24"/>
          <w:highlight w:val="none"/>
        </w:rPr>
      </w:pPr>
      <w:r>
        <w:rPr>
          <w:rFonts w:hint="eastAsia" w:ascii="宋体" w:hAnsi="宋体"/>
          <w:color w:val="auto"/>
          <w:sz w:val="24"/>
          <w:highlight w:val="none"/>
        </w:rPr>
        <w:t>日期：  年   月   日</w:t>
      </w:r>
    </w:p>
    <w:p w14:paraId="53475DAB">
      <w:pPr>
        <w:pStyle w:val="23"/>
        <w:spacing w:line="360" w:lineRule="auto"/>
        <w:ind w:firstLine="840"/>
        <w:rPr>
          <w:rFonts w:hAnsi="宋体"/>
          <w:color w:val="auto"/>
          <w:sz w:val="24"/>
          <w:szCs w:val="24"/>
          <w:highlight w:val="none"/>
        </w:rPr>
      </w:pPr>
      <w:r>
        <w:rPr>
          <w:rFonts w:hint="eastAsia" w:hAnsi="宋体"/>
          <w:color w:val="auto"/>
          <w:sz w:val="24"/>
          <w:szCs w:val="24"/>
          <w:highlight w:val="none"/>
        </w:rPr>
        <w:t xml:space="preserve">                       </w:t>
      </w:r>
    </w:p>
    <w:p w14:paraId="53475DAC">
      <w:pPr>
        <w:spacing w:line="360" w:lineRule="auto"/>
        <w:rPr>
          <w:rFonts w:ascii="宋体" w:hAnsi="宋体"/>
          <w:color w:val="auto"/>
          <w:sz w:val="24"/>
          <w:highlight w:val="none"/>
        </w:rPr>
      </w:pPr>
    </w:p>
    <w:p w14:paraId="53475DAF">
      <w:pPr>
        <w:spacing w:line="360" w:lineRule="auto"/>
        <w:rPr>
          <w:rFonts w:ascii="宋体" w:hAnsi="宋体"/>
          <w:color w:val="auto"/>
          <w:highlight w:val="none"/>
        </w:rPr>
      </w:pPr>
    </w:p>
    <w:p w14:paraId="53475DB0">
      <w:pPr>
        <w:spacing w:line="360" w:lineRule="auto"/>
        <w:ind w:left="420" w:hanging="420"/>
        <w:rPr>
          <w:rFonts w:ascii="宋体" w:hAnsi="宋体"/>
          <w:b/>
          <w:color w:val="auto"/>
          <w:highlight w:val="none"/>
        </w:rPr>
      </w:pPr>
      <w:r>
        <w:rPr>
          <w:rFonts w:hint="eastAsia" w:ascii="宋体" w:hAnsi="宋体"/>
          <w:color w:val="auto"/>
          <w:highlight w:val="none"/>
        </w:rPr>
        <w:br w:type="page"/>
      </w:r>
    </w:p>
    <w:p w14:paraId="53475DB1">
      <w:pPr>
        <w:spacing w:line="360" w:lineRule="auto"/>
        <w:ind w:left="420" w:hanging="420"/>
        <w:rPr>
          <w:rFonts w:ascii="宋体" w:hAnsi="宋体"/>
          <w:b/>
          <w:color w:val="auto"/>
          <w:highlight w:val="none"/>
        </w:rPr>
      </w:pPr>
    </w:p>
    <w:p w14:paraId="53475DB2">
      <w:pPr>
        <w:spacing w:line="360" w:lineRule="auto"/>
        <w:ind w:left="420" w:hanging="420"/>
        <w:rPr>
          <w:rFonts w:ascii="宋体" w:hAnsi="宋体"/>
          <w:b/>
          <w:color w:val="auto"/>
          <w:sz w:val="24"/>
          <w:highlight w:val="none"/>
        </w:rPr>
      </w:pPr>
      <w:r>
        <w:rPr>
          <w:rFonts w:hint="eastAsia" w:ascii="宋体" w:hAnsi="宋体"/>
          <w:b/>
          <w:color w:val="auto"/>
          <w:sz w:val="24"/>
          <w:highlight w:val="none"/>
        </w:rPr>
        <w:t>附件6</w:t>
      </w:r>
    </w:p>
    <w:p w14:paraId="53475DB3">
      <w:pPr>
        <w:adjustRightInd w:val="0"/>
        <w:snapToGrid w:val="0"/>
        <w:spacing w:line="360" w:lineRule="auto"/>
        <w:jc w:val="center"/>
        <w:rPr>
          <w:rFonts w:ascii="宋体" w:hAnsi="宋体"/>
          <w:b/>
          <w:color w:val="auto"/>
          <w:sz w:val="32"/>
          <w:szCs w:val="32"/>
          <w:highlight w:val="none"/>
        </w:rPr>
      </w:pPr>
      <w:r>
        <w:rPr>
          <w:rFonts w:hint="eastAsia" w:ascii="宋体" w:hAnsi="宋体"/>
          <w:b/>
          <w:color w:val="auto"/>
          <w:sz w:val="32"/>
          <w:szCs w:val="32"/>
          <w:highlight w:val="none"/>
        </w:rPr>
        <w:t>法定代表人（负责人）授权委托书</w:t>
      </w:r>
    </w:p>
    <w:p w14:paraId="53475DB4">
      <w:pPr>
        <w:adjustRightInd w:val="0"/>
        <w:snapToGrid w:val="0"/>
        <w:spacing w:line="360" w:lineRule="auto"/>
        <w:rPr>
          <w:rFonts w:ascii="宋体" w:hAnsi="宋体"/>
          <w:color w:val="auto"/>
          <w:szCs w:val="21"/>
          <w:highlight w:val="none"/>
        </w:rPr>
      </w:pPr>
    </w:p>
    <w:p w14:paraId="53475DB5">
      <w:pPr>
        <w:spacing w:line="360" w:lineRule="auto"/>
        <w:rPr>
          <w:rFonts w:ascii="宋体" w:hAnsi="宋体"/>
          <w:color w:val="auto"/>
          <w:sz w:val="24"/>
          <w:highlight w:val="none"/>
        </w:rPr>
      </w:pPr>
      <w:r>
        <w:rPr>
          <w:rFonts w:hint="eastAsia" w:hAnsi="宋体"/>
          <w:color w:val="auto"/>
          <w:sz w:val="24"/>
          <w:highlight w:val="none"/>
        </w:rPr>
        <w:t>（采购人）、（采购代理机构）</w:t>
      </w:r>
      <w:r>
        <w:rPr>
          <w:rFonts w:hint="eastAsia" w:ascii="宋体" w:hAnsi="宋体"/>
          <w:color w:val="auto"/>
          <w:sz w:val="24"/>
          <w:highlight w:val="none"/>
        </w:rPr>
        <w:t>：</w:t>
      </w:r>
    </w:p>
    <w:p w14:paraId="53475DB6">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兹授权</w:t>
      </w:r>
      <w:r>
        <w:rPr>
          <w:rFonts w:hint="eastAsia" w:ascii="宋体" w:hAnsi="宋体"/>
          <w:color w:val="auto"/>
          <w:sz w:val="24"/>
          <w:highlight w:val="none"/>
          <w:u w:val="single"/>
        </w:rPr>
        <w:t xml:space="preserve">      </w:t>
      </w:r>
      <w:r>
        <w:rPr>
          <w:rFonts w:hint="eastAsia" w:ascii="宋体" w:hAnsi="宋体"/>
          <w:color w:val="auto"/>
          <w:sz w:val="24"/>
          <w:highlight w:val="none"/>
        </w:rPr>
        <w:t>同志为我公司参加贵单位组织的</w:t>
      </w:r>
      <w:r>
        <w:rPr>
          <w:rFonts w:hint="eastAsia" w:ascii="宋体" w:hAnsi="宋体"/>
          <w:color w:val="auto"/>
          <w:sz w:val="24"/>
          <w:highlight w:val="none"/>
          <w:u w:val="single"/>
        </w:rPr>
        <w:t xml:space="preserve">                     项目</w:t>
      </w:r>
      <w:r>
        <w:rPr>
          <w:rFonts w:hint="eastAsia" w:ascii="宋体" w:hAnsi="宋体"/>
          <w:color w:val="auto"/>
          <w:sz w:val="24"/>
          <w:highlight w:val="none"/>
        </w:rPr>
        <w:t>（项目编号：</w:t>
      </w:r>
      <w:r>
        <w:rPr>
          <w:rFonts w:hint="eastAsia" w:ascii="宋体" w:hAnsi="宋体"/>
          <w:color w:val="auto"/>
          <w:sz w:val="24"/>
          <w:highlight w:val="none"/>
          <w:u w:val="single"/>
        </w:rPr>
        <w:t xml:space="preserve">               </w:t>
      </w:r>
      <w:r>
        <w:rPr>
          <w:rFonts w:hint="eastAsia" w:ascii="宋体" w:hAnsi="宋体"/>
          <w:color w:val="auto"/>
          <w:sz w:val="24"/>
          <w:highlight w:val="none"/>
        </w:rPr>
        <w:t>）竞争性磋商采购活动的委托代理人，全权代表我公司处理在该项目活动中的一切事宜。代理期限从</w:t>
      </w:r>
      <w:r>
        <w:rPr>
          <w:rFonts w:hint="eastAsia" w:ascii="宋体" w:hAnsi="宋体"/>
          <w:color w:val="auto"/>
          <w:sz w:val="24"/>
          <w:highlight w:val="none"/>
          <w:u w:val="single"/>
        </w:rPr>
        <w:t xml:space="preserve">     </w:t>
      </w:r>
      <w:r>
        <w:rPr>
          <w:rFonts w:hint="eastAsia" w:ascii="宋体" w:hAnsi="宋体"/>
          <w:color w:val="auto"/>
          <w:sz w:val="24"/>
          <w:highlight w:val="none"/>
        </w:rPr>
        <w:t>年</w:t>
      </w:r>
      <w:r>
        <w:rPr>
          <w:rFonts w:hint="eastAsia" w:ascii="宋体" w:hAnsi="宋体"/>
          <w:color w:val="auto"/>
          <w:sz w:val="24"/>
          <w:highlight w:val="none"/>
          <w:u w:val="single"/>
        </w:rPr>
        <w:t xml:space="preserve">   </w:t>
      </w:r>
      <w:r>
        <w:rPr>
          <w:rFonts w:hint="eastAsia" w:ascii="宋体" w:hAnsi="宋体"/>
          <w:color w:val="auto"/>
          <w:sz w:val="24"/>
          <w:highlight w:val="none"/>
        </w:rPr>
        <w:t>月</w:t>
      </w:r>
      <w:r>
        <w:rPr>
          <w:rFonts w:hint="eastAsia" w:ascii="宋体" w:hAnsi="宋体"/>
          <w:color w:val="auto"/>
          <w:sz w:val="24"/>
          <w:highlight w:val="none"/>
          <w:u w:val="single"/>
        </w:rPr>
        <w:t xml:space="preserve">   </w:t>
      </w:r>
      <w:r>
        <w:rPr>
          <w:rFonts w:hint="eastAsia" w:ascii="宋体" w:hAnsi="宋体"/>
          <w:color w:val="auto"/>
          <w:sz w:val="24"/>
          <w:highlight w:val="none"/>
        </w:rPr>
        <w:t>日起至</w:t>
      </w:r>
      <w:r>
        <w:rPr>
          <w:rFonts w:hint="eastAsia" w:ascii="宋体" w:hAnsi="宋体"/>
          <w:color w:val="auto"/>
          <w:sz w:val="24"/>
          <w:highlight w:val="none"/>
          <w:u w:val="single"/>
        </w:rPr>
        <w:t xml:space="preserve">     </w:t>
      </w:r>
      <w:r>
        <w:rPr>
          <w:rFonts w:hint="eastAsia" w:ascii="宋体" w:hAnsi="宋体"/>
          <w:color w:val="auto"/>
          <w:sz w:val="24"/>
          <w:highlight w:val="none"/>
        </w:rPr>
        <w:t>年</w:t>
      </w:r>
      <w:r>
        <w:rPr>
          <w:rFonts w:hint="eastAsia" w:ascii="宋体" w:hAnsi="宋体"/>
          <w:color w:val="auto"/>
          <w:sz w:val="24"/>
          <w:highlight w:val="none"/>
          <w:u w:val="single"/>
        </w:rPr>
        <w:t xml:space="preserve">   </w:t>
      </w:r>
      <w:r>
        <w:rPr>
          <w:rFonts w:hint="eastAsia" w:ascii="宋体" w:hAnsi="宋体"/>
          <w:color w:val="auto"/>
          <w:sz w:val="24"/>
          <w:highlight w:val="none"/>
        </w:rPr>
        <w:t>月</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日止。 </w:t>
      </w:r>
    </w:p>
    <w:p w14:paraId="53475DB7">
      <w:pPr>
        <w:spacing w:line="360" w:lineRule="auto"/>
        <w:rPr>
          <w:rFonts w:ascii="宋体" w:hAnsi="宋体"/>
          <w:color w:val="auto"/>
          <w:sz w:val="24"/>
          <w:highlight w:val="none"/>
        </w:rPr>
      </w:pPr>
    </w:p>
    <w:p w14:paraId="53475DB8">
      <w:pPr>
        <w:spacing w:line="360" w:lineRule="auto"/>
        <w:rPr>
          <w:rFonts w:ascii="宋体" w:hAnsi="宋体"/>
          <w:color w:val="auto"/>
          <w:sz w:val="24"/>
          <w:highlight w:val="none"/>
        </w:rPr>
      </w:pPr>
      <w:r>
        <w:rPr>
          <w:rFonts w:hint="eastAsia" w:ascii="宋体" w:hAnsi="宋体"/>
          <w:color w:val="auto"/>
          <w:sz w:val="24"/>
          <w:highlight w:val="none"/>
        </w:rPr>
        <w:t>磋商供应商（公章）：</w:t>
      </w:r>
      <w:r>
        <w:rPr>
          <w:rFonts w:hint="eastAsia" w:ascii="宋体" w:hAnsi="宋体"/>
          <w:color w:val="auto"/>
          <w:sz w:val="24"/>
          <w:highlight w:val="none"/>
          <w:u w:val="single"/>
        </w:rPr>
        <w:t xml:space="preserve">               </w:t>
      </w:r>
    </w:p>
    <w:p w14:paraId="53475DB9">
      <w:pPr>
        <w:spacing w:line="360" w:lineRule="auto"/>
        <w:rPr>
          <w:rFonts w:ascii="宋体" w:hAnsi="宋体"/>
          <w:color w:val="auto"/>
          <w:sz w:val="24"/>
          <w:highlight w:val="none"/>
        </w:rPr>
      </w:pPr>
      <w:r>
        <w:rPr>
          <w:rFonts w:hint="eastAsia" w:ascii="宋体" w:hAnsi="宋体"/>
          <w:color w:val="auto"/>
          <w:sz w:val="24"/>
          <w:highlight w:val="none"/>
        </w:rPr>
        <w:t>法定代表人（负责人）（签名）：</w:t>
      </w:r>
      <w:r>
        <w:rPr>
          <w:rFonts w:hint="eastAsia" w:ascii="宋体" w:hAnsi="宋体"/>
          <w:color w:val="auto"/>
          <w:sz w:val="24"/>
          <w:highlight w:val="none"/>
          <w:u w:val="single"/>
        </w:rPr>
        <w:t xml:space="preserve">       </w:t>
      </w:r>
    </w:p>
    <w:p w14:paraId="53475DBA">
      <w:pPr>
        <w:spacing w:line="360" w:lineRule="auto"/>
        <w:rPr>
          <w:rFonts w:ascii="宋体" w:hAnsi="宋体"/>
          <w:color w:val="auto"/>
          <w:sz w:val="24"/>
          <w:highlight w:val="none"/>
        </w:rPr>
      </w:pPr>
      <w:r>
        <w:rPr>
          <w:rFonts w:hint="eastAsia" w:ascii="宋体" w:hAnsi="宋体"/>
          <w:color w:val="auto"/>
          <w:sz w:val="24"/>
          <w:highlight w:val="none"/>
        </w:rPr>
        <w:t>签发日期：</w:t>
      </w:r>
      <w:r>
        <w:rPr>
          <w:rFonts w:hint="eastAsia" w:ascii="宋体" w:hAnsi="宋体"/>
          <w:color w:val="auto"/>
          <w:sz w:val="24"/>
          <w:highlight w:val="none"/>
          <w:u w:val="single"/>
        </w:rPr>
        <w:t xml:space="preserve">      </w:t>
      </w:r>
      <w:r>
        <w:rPr>
          <w:rFonts w:hint="eastAsia" w:ascii="宋体" w:hAnsi="宋体"/>
          <w:color w:val="auto"/>
          <w:sz w:val="24"/>
          <w:highlight w:val="none"/>
        </w:rPr>
        <w:t>年</w:t>
      </w:r>
      <w:r>
        <w:rPr>
          <w:rFonts w:hint="eastAsia" w:ascii="宋体" w:hAnsi="宋体"/>
          <w:color w:val="auto"/>
          <w:sz w:val="24"/>
          <w:highlight w:val="none"/>
          <w:u w:val="single"/>
        </w:rPr>
        <w:t xml:space="preserve">    </w:t>
      </w:r>
      <w:r>
        <w:rPr>
          <w:rFonts w:hint="eastAsia" w:ascii="宋体" w:hAnsi="宋体"/>
          <w:color w:val="auto"/>
          <w:sz w:val="24"/>
          <w:highlight w:val="none"/>
        </w:rPr>
        <w:t>月</w:t>
      </w:r>
      <w:r>
        <w:rPr>
          <w:rFonts w:hint="eastAsia" w:ascii="宋体" w:hAnsi="宋体"/>
          <w:color w:val="auto"/>
          <w:sz w:val="24"/>
          <w:highlight w:val="none"/>
          <w:u w:val="single"/>
        </w:rPr>
        <w:t xml:space="preserve">   </w:t>
      </w:r>
      <w:r>
        <w:rPr>
          <w:rFonts w:hint="eastAsia" w:ascii="宋体" w:hAnsi="宋体"/>
          <w:color w:val="auto"/>
          <w:sz w:val="24"/>
          <w:highlight w:val="none"/>
        </w:rPr>
        <w:t>日</w:t>
      </w:r>
    </w:p>
    <w:p w14:paraId="53475DBB">
      <w:pPr>
        <w:spacing w:line="360" w:lineRule="auto"/>
        <w:rPr>
          <w:rFonts w:ascii="宋体" w:hAnsi="宋体"/>
          <w:color w:val="auto"/>
          <w:sz w:val="24"/>
          <w:highlight w:val="none"/>
        </w:rPr>
      </w:pPr>
    </w:p>
    <w:p w14:paraId="53475DBC">
      <w:pPr>
        <w:spacing w:line="360" w:lineRule="auto"/>
        <w:rPr>
          <w:rFonts w:ascii="宋体" w:hAnsi="宋体"/>
          <w:color w:val="auto"/>
          <w:sz w:val="24"/>
          <w:highlight w:val="none"/>
        </w:rPr>
      </w:pPr>
      <w:r>
        <w:rPr>
          <w:rFonts w:hint="eastAsia" w:ascii="宋体" w:hAnsi="宋体"/>
          <w:color w:val="auto"/>
          <w:sz w:val="24"/>
          <w:highlight w:val="none"/>
        </w:rPr>
        <w:t>附：委托代理人工作单位</w:t>
      </w:r>
      <w:r>
        <w:rPr>
          <w:rFonts w:hint="eastAsia" w:ascii="宋体" w:hAnsi="宋体"/>
          <w:color w:val="auto"/>
          <w:sz w:val="24"/>
          <w:highlight w:val="none"/>
          <w:u w:val="single"/>
        </w:rPr>
        <w:t xml:space="preserve">               </w:t>
      </w:r>
    </w:p>
    <w:p w14:paraId="53475DBD">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职务：</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      性别：</w:t>
      </w:r>
      <w:r>
        <w:rPr>
          <w:rFonts w:hint="eastAsia" w:ascii="宋体" w:hAnsi="宋体"/>
          <w:color w:val="auto"/>
          <w:sz w:val="24"/>
          <w:highlight w:val="none"/>
          <w:u w:val="single"/>
        </w:rPr>
        <w:t xml:space="preserve">    </w:t>
      </w:r>
    </w:p>
    <w:p w14:paraId="53475DBE">
      <w:pPr>
        <w:adjustRightInd w:val="0"/>
        <w:snapToGrid w:val="0"/>
        <w:spacing w:line="360" w:lineRule="auto"/>
        <w:ind w:firstLine="480" w:firstLineChars="200"/>
        <w:rPr>
          <w:rFonts w:ascii="宋体" w:hAnsi="宋体"/>
          <w:color w:val="auto"/>
          <w:sz w:val="24"/>
          <w:highlight w:val="none"/>
          <w:u w:val="single"/>
        </w:rPr>
      </w:pPr>
      <w:r>
        <w:rPr>
          <w:rFonts w:hint="eastAsia" w:ascii="宋体" w:hAnsi="宋体"/>
          <w:color w:val="auto"/>
          <w:sz w:val="24"/>
          <w:highlight w:val="none"/>
        </w:rPr>
        <w:t>身份证号码：</w:t>
      </w:r>
      <w:r>
        <w:rPr>
          <w:rFonts w:hint="eastAsia" w:ascii="宋体" w:hAnsi="宋体"/>
          <w:color w:val="auto"/>
          <w:sz w:val="24"/>
          <w:highlight w:val="none"/>
          <w:u w:val="single"/>
        </w:rPr>
        <w:t xml:space="preserve">                              </w:t>
      </w:r>
    </w:p>
    <w:tbl>
      <w:tblPr>
        <w:tblStyle w:val="38"/>
        <w:tblW w:w="0" w:type="auto"/>
        <w:tblInd w:w="3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57"/>
      </w:tblGrid>
      <w:tr w14:paraId="53475D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9" w:hRule="atLeast"/>
        </w:trPr>
        <w:tc>
          <w:tcPr>
            <w:tcW w:w="8657" w:type="dxa"/>
          </w:tcPr>
          <w:p w14:paraId="53475DBF">
            <w:pPr>
              <w:spacing w:line="360" w:lineRule="auto"/>
              <w:rPr>
                <w:rFonts w:ascii="宋体" w:hAnsi="宋体"/>
                <w:color w:val="auto"/>
                <w:sz w:val="24"/>
                <w:highlight w:val="none"/>
              </w:rPr>
            </w:pPr>
            <w:r>
              <w:rPr>
                <w:rFonts w:hint="eastAsia" w:ascii="宋体" w:hAnsi="宋体"/>
                <w:color w:val="auto"/>
                <w:sz w:val="24"/>
                <w:highlight w:val="none"/>
              </w:rPr>
              <w:t>粘贴委托代理人的正面及反面身份证复印件</w:t>
            </w:r>
          </w:p>
        </w:tc>
      </w:tr>
    </w:tbl>
    <w:p w14:paraId="53475DC1">
      <w:pPr>
        <w:autoSpaceDE w:val="0"/>
        <w:autoSpaceDN w:val="0"/>
        <w:spacing w:line="360" w:lineRule="auto"/>
        <w:ind w:left="480" w:hanging="480"/>
        <w:rPr>
          <w:rFonts w:ascii="宋体" w:hAnsi="宋体"/>
          <w:color w:val="auto"/>
          <w:sz w:val="24"/>
          <w:highlight w:val="none"/>
        </w:rPr>
      </w:pPr>
    </w:p>
    <w:p w14:paraId="53475DC2">
      <w:pPr>
        <w:pStyle w:val="23"/>
        <w:spacing w:line="360" w:lineRule="auto"/>
        <w:rPr>
          <w:rFonts w:hAnsi="宋体"/>
          <w:color w:val="auto"/>
          <w:sz w:val="24"/>
          <w:szCs w:val="24"/>
          <w:highlight w:val="none"/>
        </w:rPr>
      </w:pPr>
    </w:p>
    <w:p w14:paraId="53475DC3">
      <w:pPr>
        <w:pStyle w:val="23"/>
        <w:spacing w:line="360" w:lineRule="auto"/>
        <w:rPr>
          <w:rFonts w:hAnsi="宋体"/>
          <w:color w:val="auto"/>
          <w:sz w:val="24"/>
          <w:szCs w:val="24"/>
          <w:highlight w:val="none"/>
        </w:rPr>
      </w:pPr>
      <w:r>
        <w:rPr>
          <w:rFonts w:hAnsi="宋体"/>
          <w:color w:val="auto"/>
          <w:sz w:val="24"/>
          <w:szCs w:val="24"/>
          <w:highlight w:val="none"/>
        </w:rPr>
        <w:br w:type="page"/>
      </w:r>
    </w:p>
    <w:p w14:paraId="53475DC4">
      <w:pPr>
        <w:pStyle w:val="23"/>
        <w:spacing w:line="360" w:lineRule="auto"/>
        <w:rPr>
          <w:rFonts w:hAnsi="宋体"/>
          <w:color w:val="auto"/>
          <w:highlight w:val="none"/>
        </w:rPr>
      </w:pPr>
    </w:p>
    <w:p w14:paraId="53475DC5">
      <w:pPr>
        <w:spacing w:line="360" w:lineRule="auto"/>
        <w:ind w:left="420" w:hanging="420"/>
        <w:rPr>
          <w:rFonts w:ascii="宋体" w:hAnsi="宋体"/>
          <w:b/>
          <w:color w:val="auto"/>
          <w:sz w:val="24"/>
          <w:highlight w:val="none"/>
        </w:rPr>
      </w:pPr>
      <w:r>
        <w:rPr>
          <w:rFonts w:hint="eastAsia" w:ascii="宋体" w:hAnsi="宋体"/>
          <w:b/>
          <w:color w:val="auto"/>
          <w:sz w:val="24"/>
          <w:highlight w:val="none"/>
        </w:rPr>
        <w:t>附件7</w:t>
      </w:r>
    </w:p>
    <w:p w14:paraId="53475DC6">
      <w:pPr>
        <w:adjustRightInd w:val="0"/>
        <w:snapToGrid w:val="0"/>
        <w:spacing w:line="360" w:lineRule="auto"/>
        <w:jc w:val="center"/>
        <w:rPr>
          <w:rFonts w:ascii="宋体" w:hAnsi="宋体"/>
          <w:b/>
          <w:color w:val="auto"/>
          <w:sz w:val="32"/>
          <w:szCs w:val="32"/>
          <w:highlight w:val="none"/>
        </w:rPr>
      </w:pPr>
      <w:r>
        <w:rPr>
          <w:rFonts w:hint="eastAsia" w:ascii="宋体" w:hAnsi="宋体"/>
          <w:b/>
          <w:color w:val="auto"/>
          <w:sz w:val="32"/>
          <w:szCs w:val="32"/>
          <w:highlight w:val="none"/>
        </w:rPr>
        <w:t>法定代表人（负责人）身份证明书</w:t>
      </w:r>
    </w:p>
    <w:p w14:paraId="53475DC7">
      <w:pPr>
        <w:adjustRightInd w:val="0"/>
        <w:snapToGrid w:val="0"/>
        <w:spacing w:line="360" w:lineRule="auto"/>
        <w:ind w:firstLine="960" w:firstLineChars="400"/>
        <w:rPr>
          <w:rFonts w:ascii="宋体" w:hAnsi="宋体"/>
          <w:color w:val="auto"/>
          <w:sz w:val="24"/>
          <w:highlight w:val="none"/>
          <w:u w:val="single"/>
        </w:rPr>
      </w:pPr>
    </w:p>
    <w:p w14:paraId="53475DC8">
      <w:pPr>
        <w:adjustRightInd w:val="0"/>
        <w:snapToGrid w:val="0"/>
        <w:spacing w:line="360" w:lineRule="auto"/>
        <w:ind w:firstLine="960" w:firstLineChars="400"/>
        <w:rPr>
          <w:rFonts w:ascii="宋体" w:hAnsi="宋体"/>
          <w:color w:val="auto"/>
          <w:sz w:val="24"/>
          <w:highlight w:val="none"/>
        </w:rPr>
      </w:pPr>
      <w:r>
        <w:rPr>
          <w:rFonts w:hint="eastAsia" w:ascii="宋体" w:hAnsi="宋体"/>
          <w:color w:val="auto"/>
          <w:sz w:val="24"/>
          <w:highlight w:val="none"/>
          <w:u w:val="single"/>
        </w:rPr>
        <w:t xml:space="preserve">          </w:t>
      </w:r>
      <w:r>
        <w:rPr>
          <w:rFonts w:hint="eastAsia" w:ascii="宋体" w:hAnsi="宋体"/>
          <w:color w:val="auto"/>
          <w:sz w:val="24"/>
          <w:highlight w:val="none"/>
        </w:rPr>
        <w:t xml:space="preserve"> 在我</w:t>
      </w:r>
      <w:r>
        <w:rPr>
          <w:rFonts w:hint="eastAsia" w:ascii="宋体" w:hAnsi="宋体"/>
          <w:color w:val="auto"/>
          <w:sz w:val="24"/>
          <w:highlight w:val="none"/>
          <w:u w:val="single"/>
        </w:rPr>
        <w:t xml:space="preserve">       </w:t>
      </w:r>
      <w:r>
        <w:rPr>
          <w:rFonts w:hint="eastAsia" w:ascii="宋体" w:hAnsi="宋体"/>
          <w:color w:val="auto"/>
          <w:sz w:val="24"/>
          <w:highlight w:val="none"/>
        </w:rPr>
        <w:t>任</w:t>
      </w:r>
      <w:r>
        <w:rPr>
          <w:rFonts w:hint="eastAsia" w:ascii="宋体" w:hAnsi="宋体"/>
          <w:color w:val="auto"/>
          <w:sz w:val="24"/>
          <w:highlight w:val="none"/>
          <w:u w:val="single"/>
        </w:rPr>
        <w:t xml:space="preserve">          </w:t>
      </w:r>
      <w:r>
        <w:rPr>
          <w:rFonts w:hint="eastAsia" w:ascii="宋体" w:hAnsi="宋体"/>
          <w:color w:val="auto"/>
          <w:sz w:val="24"/>
          <w:highlight w:val="none"/>
        </w:rPr>
        <w:t>职务，是我</w:t>
      </w:r>
      <w:r>
        <w:rPr>
          <w:rFonts w:hint="eastAsia" w:ascii="宋体" w:hAnsi="宋体"/>
          <w:color w:val="auto"/>
          <w:sz w:val="24"/>
          <w:highlight w:val="none"/>
          <w:u w:val="single"/>
        </w:rPr>
        <w:t xml:space="preserve">                 </w:t>
      </w:r>
      <w:r>
        <w:rPr>
          <w:rFonts w:hint="eastAsia" w:ascii="宋体" w:hAnsi="宋体"/>
          <w:color w:val="auto"/>
          <w:sz w:val="24"/>
          <w:highlight w:val="none"/>
        </w:rPr>
        <w:t>的法定代表人（负责人）。</w:t>
      </w:r>
    </w:p>
    <w:p w14:paraId="53475DC9">
      <w:pPr>
        <w:adjustRightInd w:val="0"/>
        <w:snapToGrid w:val="0"/>
        <w:spacing w:line="360" w:lineRule="auto"/>
        <w:ind w:firstLine="840" w:firstLineChars="350"/>
        <w:rPr>
          <w:rFonts w:ascii="宋体" w:hAnsi="宋体"/>
          <w:color w:val="auto"/>
          <w:sz w:val="24"/>
          <w:highlight w:val="none"/>
        </w:rPr>
      </w:pPr>
      <w:r>
        <w:rPr>
          <w:rFonts w:hint="eastAsia" w:ascii="宋体" w:hAnsi="宋体"/>
          <w:color w:val="auto"/>
          <w:sz w:val="24"/>
          <w:highlight w:val="none"/>
        </w:rPr>
        <w:t>特此证明。</w:t>
      </w:r>
    </w:p>
    <w:p w14:paraId="53475DCA">
      <w:pPr>
        <w:adjustRightInd w:val="0"/>
        <w:snapToGrid w:val="0"/>
        <w:spacing w:line="360" w:lineRule="auto"/>
        <w:rPr>
          <w:rFonts w:ascii="宋体" w:hAnsi="宋体"/>
          <w:color w:val="auto"/>
          <w:sz w:val="24"/>
          <w:highlight w:val="none"/>
        </w:rPr>
      </w:pPr>
    </w:p>
    <w:p w14:paraId="53475DCB">
      <w:pPr>
        <w:adjustRightInd w:val="0"/>
        <w:snapToGrid w:val="0"/>
        <w:spacing w:line="360" w:lineRule="auto"/>
        <w:rPr>
          <w:rFonts w:ascii="宋体" w:hAnsi="宋体"/>
          <w:color w:val="auto"/>
          <w:sz w:val="24"/>
          <w:highlight w:val="none"/>
        </w:rPr>
      </w:pPr>
      <w:r>
        <w:rPr>
          <w:rFonts w:hint="eastAsia" w:ascii="宋体" w:hAnsi="宋体"/>
          <w:color w:val="auto"/>
          <w:sz w:val="24"/>
          <w:highlight w:val="none"/>
        </w:rPr>
        <w:t xml:space="preserve">                        </w:t>
      </w:r>
    </w:p>
    <w:p w14:paraId="53475DCC">
      <w:pPr>
        <w:adjustRightInd w:val="0"/>
        <w:snapToGrid w:val="0"/>
        <w:spacing w:line="360" w:lineRule="auto"/>
        <w:rPr>
          <w:rFonts w:ascii="宋体" w:hAnsi="宋体"/>
          <w:color w:val="auto"/>
          <w:sz w:val="24"/>
          <w:highlight w:val="none"/>
        </w:rPr>
      </w:pPr>
    </w:p>
    <w:p w14:paraId="53475DCD">
      <w:pPr>
        <w:adjustRightInd w:val="0"/>
        <w:snapToGrid w:val="0"/>
        <w:spacing w:line="360" w:lineRule="auto"/>
        <w:ind w:firstLine="3360" w:firstLineChars="1400"/>
        <w:rPr>
          <w:rFonts w:ascii="宋体" w:hAnsi="宋体"/>
          <w:color w:val="auto"/>
          <w:sz w:val="24"/>
          <w:highlight w:val="none"/>
          <w:u w:val="single"/>
        </w:rPr>
      </w:pPr>
      <w:r>
        <w:rPr>
          <w:rFonts w:hint="eastAsia" w:ascii="宋体" w:hAnsi="宋体"/>
          <w:color w:val="auto"/>
          <w:sz w:val="24"/>
          <w:highlight w:val="none"/>
        </w:rPr>
        <w:t>单位名称：</w:t>
      </w:r>
      <w:r>
        <w:rPr>
          <w:rFonts w:hint="eastAsia" w:ascii="宋体" w:hAnsi="宋体"/>
          <w:color w:val="auto"/>
          <w:sz w:val="24"/>
          <w:highlight w:val="none"/>
          <w:u w:val="single"/>
        </w:rPr>
        <w:t xml:space="preserve">                              </w:t>
      </w:r>
    </w:p>
    <w:p w14:paraId="53475DCE">
      <w:pPr>
        <w:adjustRightInd w:val="0"/>
        <w:snapToGrid w:val="0"/>
        <w:spacing w:line="360" w:lineRule="auto"/>
        <w:rPr>
          <w:rFonts w:ascii="宋体" w:hAnsi="宋体"/>
          <w:color w:val="auto"/>
          <w:sz w:val="24"/>
          <w:highlight w:val="none"/>
        </w:rPr>
      </w:pPr>
      <w:r>
        <w:rPr>
          <w:rFonts w:hint="eastAsia" w:ascii="宋体" w:hAnsi="宋体"/>
          <w:color w:val="auto"/>
          <w:sz w:val="24"/>
          <w:highlight w:val="none"/>
        </w:rPr>
        <w:t xml:space="preserve">                                          （单位公章）</w:t>
      </w:r>
    </w:p>
    <w:p w14:paraId="53475DCF">
      <w:pPr>
        <w:adjustRightInd w:val="0"/>
        <w:snapToGrid w:val="0"/>
        <w:spacing w:line="360" w:lineRule="auto"/>
        <w:rPr>
          <w:rFonts w:ascii="宋体" w:hAnsi="宋体"/>
          <w:color w:val="auto"/>
          <w:sz w:val="24"/>
          <w:highlight w:val="none"/>
        </w:rPr>
      </w:pPr>
    </w:p>
    <w:p w14:paraId="53475DD2">
      <w:pPr>
        <w:adjustRightInd w:val="0"/>
        <w:snapToGrid w:val="0"/>
        <w:spacing w:line="360" w:lineRule="auto"/>
        <w:rPr>
          <w:rFonts w:ascii="宋体" w:hAnsi="宋体"/>
          <w:color w:val="auto"/>
          <w:sz w:val="24"/>
          <w:highlight w:val="none"/>
        </w:rPr>
      </w:pPr>
      <w:r>
        <w:rPr>
          <w:rFonts w:hint="eastAsia" w:ascii="宋体" w:hAnsi="宋体"/>
          <w:color w:val="auto"/>
          <w:sz w:val="24"/>
          <w:highlight w:val="none"/>
        </w:rPr>
        <w:t xml:space="preserve">                                         年     月    日</w:t>
      </w:r>
    </w:p>
    <w:p w14:paraId="53475DD3">
      <w:pPr>
        <w:adjustRightInd w:val="0"/>
        <w:snapToGrid w:val="0"/>
        <w:spacing w:line="360" w:lineRule="auto"/>
        <w:ind w:firstLine="360" w:firstLineChars="150"/>
        <w:rPr>
          <w:rFonts w:ascii="宋体" w:hAnsi="宋体"/>
          <w:color w:val="auto"/>
          <w:sz w:val="24"/>
          <w:highlight w:val="none"/>
        </w:rPr>
      </w:pPr>
      <w:r>
        <w:rPr>
          <w:rFonts w:hint="eastAsia" w:ascii="宋体" w:hAnsi="宋体"/>
          <w:color w:val="auto"/>
          <w:sz w:val="24"/>
          <w:highlight w:val="none"/>
        </w:rPr>
        <w:t>住    址：</w:t>
      </w:r>
    </w:p>
    <w:p w14:paraId="53475DD4">
      <w:pPr>
        <w:adjustRightInd w:val="0"/>
        <w:snapToGrid w:val="0"/>
        <w:spacing w:line="360" w:lineRule="auto"/>
        <w:ind w:firstLine="360" w:firstLineChars="150"/>
        <w:rPr>
          <w:rFonts w:ascii="宋体" w:hAnsi="宋体"/>
          <w:color w:val="auto"/>
          <w:sz w:val="24"/>
          <w:highlight w:val="none"/>
        </w:rPr>
      </w:pPr>
    </w:p>
    <w:p w14:paraId="53475DD5">
      <w:pPr>
        <w:pStyle w:val="23"/>
        <w:adjustRightInd w:val="0"/>
        <w:snapToGrid w:val="0"/>
        <w:spacing w:line="360" w:lineRule="auto"/>
        <w:ind w:firstLine="360" w:firstLineChars="150"/>
        <w:rPr>
          <w:rFonts w:hAnsi="宋体"/>
          <w:color w:val="auto"/>
          <w:sz w:val="24"/>
          <w:szCs w:val="24"/>
          <w:highlight w:val="none"/>
        </w:rPr>
      </w:pPr>
      <w:r>
        <w:rPr>
          <w:rFonts w:hint="eastAsia" w:hAnsi="宋体"/>
          <w:color w:val="auto"/>
          <w:sz w:val="24"/>
          <w:szCs w:val="24"/>
          <w:highlight w:val="none"/>
        </w:rPr>
        <w:t>联系电话：</w:t>
      </w:r>
    </w:p>
    <w:p w14:paraId="53475DD6">
      <w:pPr>
        <w:pStyle w:val="23"/>
        <w:adjustRightInd w:val="0"/>
        <w:snapToGrid w:val="0"/>
        <w:spacing w:line="360" w:lineRule="auto"/>
        <w:ind w:firstLine="360" w:firstLineChars="150"/>
        <w:rPr>
          <w:rFonts w:hAnsi="宋体"/>
          <w:color w:val="auto"/>
          <w:sz w:val="24"/>
          <w:szCs w:val="24"/>
          <w:highlight w:val="none"/>
        </w:rPr>
      </w:pPr>
    </w:p>
    <w:tbl>
      <w:tblPr>
        <w:tblStyle w:val="3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24"/>
      </w:tblGrid>
      <w:tr w14:paraId="53475D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24" w:type="dxa"/>
          </w:tcPr>
          <w:p w14:paraId="53475DD7">
            <w:pPr>
              <w:snapToGrid w:val="0"/>
              <w:spacing w:line="360" w:lineRule="auto"/>
              <w:rPr>
                <w:rFonts w:ascii="宋体" w:hAnsi="宋体"/>
                <w:color w:val="auto"/>
                <w:sz w:val="24"/>
                <w:highlight w:val="none"/>
              </w:rPr>
            </w:pPr>
            <w:r>
              <w:rPr>
                <w:rFonts w:hint="eastAsia" w:ascii="宋体" w:hAnsi="宋体"/>
                <w:color w:val="auto"/>
                <w:sz w:val="24"/>
                <w:highlight w:val="none"/>
              </w:rPr>
              <w:t>贴附“身份证复印件”（正反两面）</w:t>
            </w:r>
          </w:p>
        </w:tc>
      </w:tr>
      <w:tr w14:paraId="53475D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6" w:hRule="atLeast"/>
        </w:trPr>
        <w:tc>
          <w:tcPr>
            <w:tcW w:w="9124" w:type="dxa"/>
          </w:tcPr>
          <w:p w14:paraId="53475DD9">
            <w:pPr>
              <w:snapToGrid w:val="0"/>
              <w:spacing w:line="360" w:lineRule="auto"/>
              <w:rPr>
                <w:rFonts w:ascii="宋体" w:hAnsi="宋体"/>
                <w:color w:val="auto"/>
                <w:szCs w:val="21"/>
                <w:highlight w:val="none"/>
              </w:rPr>
            </w:pPr>
          </w:p>
        </w:tc>
      </w:tr>
    </w:tbl>
    <w:p w14:paraId="0204BD4A">
      <w:pPr>
        <w:rPr>
          <w:rFonts w:hint="eastAsia" w:ascii="宋体" w:hAnsi="宋体"/>
          <w:b/>
          <w:color w:val="auto"/>
          <w:sz w:val="24"/>
          <w:highlight w:val="none"/>
        </w:rPr>
      </w:pPr>
      <w:r>
        <w:rPr>
          <w:rFonts w:hint="eastAsia" w:ascii="宋体" w:hAnsi="宋体"/>
          <w:b/>
          <w:color w:val="auto"/>
          <w:sz w:val="24"/>
          <w:highlight w:val="none"/>
        </w:rPr>
        <w:br w:type="page"/>
      </w:r>
    </w:p>
    <w:p w14:paraId="53475DDB">
      <w:pPr>
        <w:autoSpaceDE w:val="0"/>
        <w:autoSpaceDN w:val="0"/>
        <w:adjustRightInd w:val="0"/>
        <w:snapToGrid w:val="0"/>
        <w:spacing w:line="360" w:lineRule="auto"/>
        <w:rPr>
          <w:rFonts w:ascii="宋体" w:hAnsi="宋体"/>
          <w:b/>
          <w:color w:val="auto"/>
          <w:kern w:val="0"/>
          <w:sz w:val="24"/>
          <w:highlight w:val="none"/>
        </w:rPr>
      </w:pPr>
      <w:r>
        <w:rPr>
          <w:rFonts w:hint="eastAsia" w:ascii="宋体" w:hAnsi="宋体"/>
          <w:b/>
          <w:color w:val="auto"/>
          <w:sz w:val="24"/>
          <w:highlight w:val="none"/>
        </w:rPr>
        <w:t>附件8</w:t>
      </w:r>
    </w:p>
    <w:p w14:paraId="53475DDD">
      <w:pPr>
        <w:spacing w:line="360" w:lineRule="auto"/>
        <w:jc w:val="center"/>
        <w:rPr>
          <w:rFonts w:ascii="宋体" w:hAnsi="宋体"/>
          <w:color w:val="auto"/>
          <w:kern w:val="0"/>
          <w:sz w:val="32"/>
          <w:szCs w:val="21"/>
          <w:highlight w:val="none"/>
        </w:rPr>
      </w:pPr>
      <w:r>
        <w:rPr>
          <w:rFonts w:hint="eastAsia" w:ascii="宋体" w:hAnsi="宋体"/>
          <w:color w:val="auto"/>
          <w:kern w:val="0"/>
          <w:sz w:val="32"/>
          <w:szCs w:val="21"/>
          <w:highlight w:val="none"/>
        </w:rPr>
        <w:t>承诺函（格式）</w:t>
      </w:r>
    </w:p>
    <w:p w14:paraId="53475DDE">
      <w:pPr>
        <w:keepNext w:val="0"/>
        <w:keepLines w:val="0"/>
        <w:pageBreakBefore w:val="0"/>
        <w:widowControl/>
        <w:kinsoku/>
        <w:wordWrap/>
        <w:overflowPunct/>
        <w:topLinePunct w:val="0"/>
        <w:autoSpaceDE/>
        <w:autoSpaceDN/>
        <w:bidi w:val="0"/>
        <w:spacing w:line="276" w:lineRule="auto"/>
        <w:ind w:firstLine="480" w:firstLineChars="200"/>
        <w:jc w:val="left"/>
        <w:textAlignment w:val="auto"/>
        <w:rPr>
          <w:rFonts w:ascii="宋体" w:hAnsi="宋体"/>
          <w:color w:val="auto"/>
          <w:kern w:val="0"/>
          <w:sz w:val="24"/>
          <w:highlight w:val="none"/>
        </w:rPr>
      </w:pPr>
    </w:p>
    <w:p w14:paraId="53475DDF">
      <w:pPr>
        <w:keepNext w:val="0"/>
        <w:keepLines w:val="0"/>
        <w:pageBreakBefore w:val="0"/>
        <w:widowControl/>
        <w:kinsoku/>
        <w:wordWrap/>
        <w:overflowPunct/>
        <w:topLinePunct w:val="0"/>
        <w:autoSpaceDE/>
        <w:autoSpaceDN/>
        <w:bidi w:val="0"/>
        <w:spacing w:line="276" w:lineRule="auto"/>
        <w:jc w:val="left"/>
        <w:textAlignment w:val="auto"/>
        <w:rPr>
          <w:rFonts w:ascii="宋体" w:hAnsi="宋体"/>
          <w:color w:val="auto"/>
          <w:kern w:val="0"/>
          <w:sz w:val="24"/>
          <w:highlight w:val="none"/>
        </w:rPr>
      </w:pPr>
      <w:r>
        <w:rPr>
          <w:rFonts w:hint="eastAsia" w:ascii="宋体" w:hAnsi="宋体"/>
          <w:color w:val="auto"/>
          <w:kern w:val="0"/>
          <w:sz w:val="24"/>
          <w:highlight w:val="none"/>
          <w:u w:val="single"/>
        </w:rPr>
        <w:t>采购人/采购代理机构</w:t>
      </w:r>
      <w:r>
        <w:rPr>
          <w:rFonts w:hint="eastAsia" w:ascii="宋体" w:hAnsi="宋体"/>
          <w:color w:val="auto"/>
          <w:kern w:val="0"/>
          <w:sz w:val="24"/>
          <w:highlight w:val="none"/>
        </w:rPr>
        <w:t>：</w:t>
      </w:r>
    </w:p>
    <w:p w14:paraId="53475DE0">
      <w:pPr>
        <w:keepNext w:val="0"/>
        <w:keepLines w:val="0"/>
        <w:pageBreakBefore w:val="0"/>
        <w:widowControl/>
        <w:kinsoku/>
        <w:wordWrap/>
        <w:overflowPunct/>
        <w:topLinePunct w:val="0"/>
        <w:autoSpaceDE/>
        <w:autoSpaceDN/>
        <w:bidi w:val="0"/>
        <w:spacing w:line="276" w:lineRule="auto"/>
        <w:ind w:firstLine="480" w:firstLineChars="200"/>
        <w:jc w:val="left"/>
        <w:textAlignment w:val="auto"/>
        <w:rPr>
          <w:rFonts w:ascii="宋体" w:hAnsi="宋体"/>
          <w:color w:val="auto"/>
          <w:kern w:val="0"/>
          <w:sz w:val="24"/>
          <w:highlight w:val="none"/>
        </w:rPr>
      </w:pPr>
      <w:r>
        <w:rPr>
          <w:rFonts w:hint="eastAsia" w:ascii="宋体" w:hAnsi="宋体"/>
          <w:color w:val="auto"/>
          <w:kern w:val="0"/>
          <w:sz w:val="24"/>
          <w:highlight w:val="none"/>
        </w:rPr>
        <w:t>我方作为本次采购项目的磋商供应商，根据磋商文件要求，现郑重承诺如下：</w:t>
      </w:r>
    </w:p>
    <w:p w14:paraId="53475DE1">
      <w:pPr>
        <w:keepNext w:val="0"/>
        <w:keepLines w:val="0"/>
        <w:pageBreakBefore w:val="0"/>
        <w:widowControl/>
        <w:kinsoku/>
        <w:wordWrap/>
        <w:overflowPunct/>
        <w:topLinePunct w:val="0"/>
        <w:autoSpaceDE/>
        <w:autoSpaceDN/>
        <w:bidi w:val="0"/>
        <w:spacing w:line="276" w:lineRule="auto"/>
        <w:ind w:firstLine="480" w:firstLineChars="200"/>
        <w:jc w:val="left"/>
        <w:textAlignment w:val="auto"/>
        <w:rPr>
          <w:rFonts w:ascii="宋体" w:hAnsi="宋体"/>
          <w:color w:val="auto"/>
          <w:kern w:val="0"/>
          <w:sz w:val="24"/>
          <w:highlight w:val="none"/>
        </w:rPr>
      </w:pPr>
      <w:r>
        <w:rPr>
          <w:rFonts w:hint="eastAsia" w:ascii="宋体" w:hAnsi="宋体"/>
          <w:color w:val="auto"/>
          <w:kern w:val="0"/>
          <w:sz w:val="24"/>
          <w:highlight w:val="none"/>
        </w:rPr>
        <w:t>一、我方已认真阅读并接受本项目磋商文件第二章的全部实质性要求，如对磋商文件有异议，已依法进行维权救济，不存在对磋商文件有异议的同时又参加磋商以求侥幸成交或者为实现其他非法目的的行为。</w:t>
      </w:r>
    </w:p>
    <w:p w14:paraId="53475DE2">
      <w:pPr>
        <w:keepNext w:val="0"/>
        <w:keepLines w:val="0"/>
        <w:pageBreakBefore w:val="0"/>
        <w:widowControl/>
        <w:kinsoku/>
        <w:wordWrap/>
        <w:overflowPunct/>
        <w:topLinePunct w:val="0"/>
        <w:autoSpaceDE/>
        <w:autoSpaceDN/>
        <w:bidi w:val="0"/>
        <w:spacing w:line="276" w:lineRule="auto"/>
        <w:ind w:firstLine="480" w:firstLineChars="200"/>
        <w:jc w:val="left"/>
        <w:textAlignment w:val="auto"/>
        <w:rPr>
          <w:rFonts w:ascii="宋体" w:hAnsi="宋体"/>
          <w:color w:val="auto"/>
          <w:kern w:val="0"/>
          <w:sz w:val="24"/>
          <w:highlight w:val="none"/>
        </w:rPr>
      </w:pPr>
      <w:r>
        <w:rPr>
          <w:rFonts w:hint="eastAsia" w:ascii="宋体" w:hAnsi="宋体"/>
          <w:color w:val="auto"/>
          <w:kern w:val="0"/>
          <w:sz w:val="24"/>
          <w:highlight w:val="none"/>
        </w:rPr>
        <w:t>二、参加本次采购活动，不存在与单位负责人为同一人或者存在直接控股、管理关系的其他供应商参与同一合同项下的政府采购活动的行为。</w:t>
      </w:r>
    </w:p>
    <w:p w14:paraId="53475DE3">
      <w:pPr>
        <w:keepNext w:val="0"/>
        <w:keepLines w:val="0"/>
        <w:pageBreakBefore w:val="0"/>
        <w:widowControl/>
        <w:kinsoku/>
        <w:wordWrap/>
        <w:overflowPunct/>
        <w:topLinePunct w:val="0"/>
        <w:autoSpaceDE/>
        <w:autoSpaceDN/>
        <w:bidi w:val="0"/>
        <w:spacing w:line="276" w:lineRule="auto"/>
        <w:ind w:firstLine="480" w:firstLineChars="200"/>
        <w:jc w:val="left"/>
        <w:textAlignment w:val="auto"/>
        <w:rPr>
          <w:rFonts w:ascii="宋体" w:hAnsi="宋体"/>
          <w:color w:val="auto"/>
          <w:kern w:val="0"/>
          <w:sz w:val="24"/>
          <w:highlight w:val="none"/>
        </w:rPr>
      </w:pPr>
      <w:r>
        <w:rPr>
          <w:rFonts w:hint="eastAsia" w:ascii="宋体" w:hAnsi="宋体"/>
          <w:color w:val="auto"/>
          <w:kern w:val="0"/>
          <w:sz w:val="24"/>
          <w:highlight w:val="none"/>
        </w:rPr>
        <w:t>三、为采购项目提供整体设计、规范编制或者项目管理、监理、检测等服务的供应商，不得再参加该采购项目的其他采购活动，我方承诺不属于此类禁止参加本项目的供应商。</w:t>
      </w:r>
    </w:p>
    <w:p w14:paraId="53475DE4">
      <w:pPr>
        <w:keepNext w:val="0"/>
        <w:keepLines w:val="0"/>
        <w:pageBreakBefore w:val="0"/>
        <w:widowControl/>
        <w:kinsoku/>
        <w:wordWrap/>
        <w:overflowPunct/>
        <w:topLinePunct w:val="0"/>
        <w:autoSpaceDE/>
        <w:autoSpaceDN/>
        <w:bidi w:val="0"/>
        <w:spacing w:line="276" w:lineRule="auto"/>
        <w:ind w:firstLine="480" w:firstLineChars="200"/>
        <w:jc w:val="left"/>
        <w:textAlignment w:val="auto"/>
        <w:rPr>
          <w:rFonts w:ascii="宋体" w:hAnsi="宋体"/>
          <w:color w:val="auto"/>
          <w:kern w:val="0"/>
          <w:sz w:val="24"/>
          <w:highlight w:val="none"/>
        </w:rPr>
      </w:pPr>
      <w:r>
        <w:rPr>
          <w:rFonts w:hint="eastAsia" w:ascii="宋体" w:hAnsi="宋体"/>
          <w:color w:val="auto"/>
          <w:kern w:val="0"/>
          <w:sz w:val="24"/>
          <w:highlight w:val="none"/>
        </w:rPr>
        <w:t>四、参加本次采购活动，不存在和其他供应商在同一合同项下的采购项目中，同时委托同一个自然人、同一家庭的人员、同一单位的人员作为代理人的行为。</w:t>
      </w:r>
    </w:p>
    <w:p w14:paraId="53475DE5">
      <w:pPr>
        <w:keepNext w:val="0"/>
        <w:keepLines w:val="0"/>
        <w:pageBreakBefore w:val="0"/>
        <w:widowControl/>
        <w:kinsoku/>
        <w:wordWrap/>
        <w:overflowPunct/>
        <w:topLinePunct w:val="0"/>
        <w:autoSpaceDE/>
        <w:autoSpaceDN/>
        <w:bidi w:val="0"/>
        <w:spacing w:line="276" w:lineRule="auto"/>
        <w:ind w:firstLine="480" w:firstLineChars="200"/>
        <w:jc w:val="left"/>
        <w:textAlignment w:val="auto"/>
        <w:rPr>
          <w:rFonts w:ascii="宋体" w:hAnsi="宋体"/>
          <w:color w:val="auto"/>
          <w:kern w:val="0"/>
          <w:sz w:val="24"/>
          <w:highlight w:val="none"/>
        </w:rPr>
      </w:pPr>
      <w:r>
        <w:rPr>
          <w:rFonts w:hint="eastAsia" w:ascii="宋体" w:hAnsi="宋体"/>
          <w:color w:val="auto"/>
          <w:kern w:val="0"/>
          <w:sz w:val="24"/>
          <w:highlight w:val="none"/>
        </w:rPr>
        <w:t>五、响应文件中提供的能够给予我方带来优惠、好处的任何材料资料和技术、服务、商务、响应产品等响应承诺情况都是真实的、有效的、合法的。</w:t>
      </w:r>
    </w:p>
    <w:p w14:paraId="53475DE6">
      <w:pPr>
        <w:keepNext w:val="0"/>
        <w:keepLines w:val="0"/>
        <w:pageBreakBefore w:val="0"/>
        <w:widowControl/>
        <w:kinsoku/>
        <w:wordWrap/>
        <w:overflowPunct/>
        <w:topLinePunct w:val="0"/>
        <w:autoSpaceDE/>
        <w:autoSpaceDN/>
        <w:bidi w:val="0"/>
        <w:spacing w:line="276" w:lineRule="auto"/>
        <w:ind w:firstLine="480" w:firstLineChars="200"/>
        <w:jc w:val="left"/>
        <w:textAlignment w:val="auto"/>
        <w:rPr>
          <w:rFonts w:ascii="宋体" w:hAnsi="宋体"/>
          <w:color w:val="auto"/>
          <w:kern w:val="0"/>
          <w:sz w:val="24"/>
          <w:highlight w:val="none"/>
        </w:rPr>
      </w:pPr>
      <w:r>
        <w:rPr>
          <w:rFonts w:hint="eastAsia" w:ascii="宋体" w:hAnsi="宋体"/>
          <w:color w:val="auto"/>
          <w:kern w:val="0"/>
          <w:sz w:val="24"/>
          <w:highlight w:val="none"/>
        </w:rPr>
        <w:t>六、参加本次采购活动，我方完全同意磋商文件第二章关于“成交费用”、 “履约保证金”的实质性要求，并承诺严格按照磋商文件要求履行。</w:t>
      </w:r>
    </w:p>
    <w:p w14:paraId="53475DE7">
      <w:pPr>
        <w:keepNext w:val="0"/>
        <w:keepLines w:val="0"/>
        <w:pageBreakBefore w:val="0"/>
        <w:widowControl/>
        <w:kinsoku/>
        <w:wordWrap/>
        <w:overflowPunct/>
        <w:topLinePunct w:val="0"/>
        <w:autoSpaceDE/>
        <w:autoSpaceDN/>
        <w:bidi w:val="0"/>
        <w:spacing w:line="276" w:lineRule="auto"/>
        <w:ind w:firstLine="480" w:firstLineChars="200"/>
        <w:jc w:val="left"/>
        <w:textAlignment w:val="auto"/>
        <w:rPr>
          <w:rFonts w:ascii="宋体" w:hAnsi="宋体"/>
          <w:color w:val="auto"/>
          <w:kern w:val="0"/>
          <w:sz w:val="24"/>
          <w:highlight w:val="none"/>
        </w:rPr>
      </w:pPr>
      <w:r>
        <w:rPr>
          <w:rFonts w:hint="eastAsia" w:ascii="宋体" w:hAnsi="宋体"/>
          <w:color w:val="auto"/>
          <w:kern w:val="0"/>
          <w:sz w:val="24"/>
          <w:highlight w:val="none"/>
        </w:rPr>
        <w:t>七、我方保证在本项目使用的任何产品和服务（包括部分使用）时，不会产生因第三方提出侵犯其专利权、商标权或其它知识产权而引起的法律和经济纠纷，如因专利权、商标权或其它知识产权而引起法律和经济纠纷，由我方承担所有相关责任。采购人享有本项目实施过程中产生的知识成果及知识产权。如我方在项目实施过程中采用自有知识成果，我方承诺提供开发接口和开发手册等技术文档，并提供无限期技术支持，采购人享有永久使用权（含采购人委托第三方在该项目后续开发的使用权）。如我方在项目实施过程中采用非自有的知识产权，则在磋商报价中已包括合法获取该知识产权的相关费用。</w:t>
      </w:r>
    </w:p>
    <w:p w14:paraId="53475DE8">
      <w:pPr>
        <w:keepNext w:val="0"/>
        <w:keepLines w:val="0"/>
        <w:pageBreakBefore w:val="0"/>
        <w:widowControl/>
        <w:kinsoku/>
        <w:wordWrap/>
        <w:overflowPunct/>
        <w:topLinePunct w:val="0"/>
        <w:autoSpaceDE/>
        <w:autoSpaceDN/>
        <w:bidi w:val="0"/>
        <w:spacing w:line="276" w:lineRule="auto"/>
        <w:ind w:firstLine="480" w:firstLineChars="200"/>
        <w:jc w:val="left"/>
        <w:textAlignment w:val="auto"/>
        <w:rPr>
          <w:rFonts w:ascii="宋体" w:hAnsi="宋体"/>
          <w:color w:val="auto"/>
          <w:kern w:val="0"/>
          <w:sz w:val="24"/>
          <w:highlight w:val="none"/>
        </w:rPr>
      </w:pPr>
      <w:r>
        <w:rPr>
          <w:rFonts w:hint="eastAsia" w:ascii="宋体" w:hAnsi="宋体"/>
          <w:color w:val="auto"/>
          <w:kern w:val="0"/>
          <w:sz w:val="24"/>
          <w:highlight w:val="none"/>
        </w:rPr>
        <w:t>我方对上述承诺的内容事项真实性负责。如经查实上述承诺的内容事项存在虚假，我方愿意接受以提供虚假材料谋取成交追究法律责任。</w:t>
      </w:r>
    </w:p>
    <w:p w14:paraId="53475DE9">
      <w:pPr>
        <w:keepNext w:val="0"/>
        <w:keepLines w:val="0"/>
        <w:pageBreakBefore w:val="0"/>
        <w:kinsoku/>
        <w:wordWrap/>
        <w:overflowPunct/>
        <w:topLinePunct w:val="0"/>
        <w:autoSpaceDE/>
        <w:autoSpaceDN/>
        <w:bidi w:val="0"/>
        <w:adjustRightInd w:val="0"/>
        <w:snapToGrid w:val="0"/>
        <w:spacing w:line="276" w:lineRule="auto"/>
        <w:ind w:right="1470" w:rightChars="700"/>
        <w:textAlignment w:val="auto"/>
        <w:rPr>
          <w:rFonts w:ascii="宋体" w:hAnsi="宋体"/>
          <w:color w:val="auto"/>
          <w:kern w:val="0"/>
          <w:sz w:val="24"/>
          <w:highlight w:val="none"/>
        </w:rPr>
      </w:pPr>
    </w:p>
    <w:p w14:paraId="53475DEA">
      <w:pPr>
        <w:keepNext w:val="0"/>
        <w:keepLines w:val="0"/>
        <w:pageBreakBefore w:val="0"/>
        <w:kinsoku/>
        <w:wordWrap/>
        <w:overflowPunct/>
        <w:topLinePunct w:val="0"/>
        <w:autoSpaceDE/>
        <w:autoSpaceDN/>
        <w:bidi w:val="0"/>
        <w:adjustRightInd w:val="0"/>
        <w:snapToGrid w:val="0"/>
        <w:spacing w:line="276" w:lineRule="auto"/>
        <w:ind w:firstLine="960" w:firstLineChars="400"/>
        <w:jc w:val="left"/>
        <w:textAlignment w:val="auto"/>
        <w:rPr>
          <w:rFonts w:ascii="宋体" w:hAnsi="宋体"/>
          <w:color w:val="auto"/>
          <w:sz w:val="24"/>
          <w:highlight w:val="none"/>
        </w:rPr>
      </w:pPr>
      <w:r>
        <w:rPr>
          <w:rFonts w:hint="eastAsia" w:ascii="宋体" w:hAnsi="宋体"/>
          <w:color w:val="auto"/>
          <w:sz w:val="24"/>
          <w:highlight w:val="none"/>
        </w:rPr>
        <w:t xml:space="preserve">磋商供应商名称(公章)： </w:t>
      </w:r>
    </w:p>
    <w:p w14:paraId="53475DEB">
      <w:pPr>
        <w:keepNext w:val="0"/>
        <w:keepLines w:val="0"/>
        <w:pageBreakBefore w:val="0"/>
        <w:kinsoku/>
        <w:wordWrap/>
        <w:overflowPunct/>
        <w:topLinePunct w:val="0"/>
        <w:autoSpaceDE/>
        <w:autoSpaceDN/>
        <w:bidi w:val="0"/>
        <w:adjustRightInd w:val="0"/>
        <w:snapToGrid w:val="0"/>
        <w:spacing w:line="276" w:lineRule="auto"/>
        <w:ind w:firstLine="960" w:firstLineChars="400"/>
        <w:jc w:val="left"/>
        <w:textAlignment w:val="auto"/>
        <w:rPr>
          <w:rFonts w:ascii="宋体" w:hAnsi="宋体"/>
          <w:color w:val="auto"/>
          <w:sz w:val="24"/>
          <w:highlight w:val="none"/>
        </w:rPr>
      </w:pPr>
      <w:r>
        <w:rPr>
          <w:rFonts w:hint="eastAsia" w:ascii="宋体" w:hAnsi="宋体"/>
          <w:color w:val="auto"/>
          <w:sz w:val="24"/>
          <w:highlight w:val="none"/>
        </w:rPr>
        <w:t xml:space="preserve">法定代表人（负责人）或委托代理人(签名)：                          </w:t>
      </w:r>
    </w:p>
    <w:p w14:paraId="53475DEC">
      <w:pPr>
        <w:keepNext w:val="0"/>
        <w:keepLines w:val="0"/>
        <w:pageBreakBefore w:val="0"/>
        <w:kinsoku/>
        <w:wordWrap/>
        <w:overflowPunct/>
        <w:topLinePunct w:val="0"/>
        <w:autoSpaceDE/>
        <w:autoSpaceDN/>
        <w:bidi w:val="0"/>
        <w:spacing w:line="276" w:lineRule="auto"/>
        <w:ind w:firstLine="960" w:firstLineChars="400"/>
        <w:textAlignment w:val="auto"/>
        <w:rPr>
          <w:rFonts w:ascii="宋体" w:hAnsi="宋体"/>
          <w:color w:val="auto"/>
          <w:sz w:val="24"/>
          <w:highlight w:val="none"/>
        </w:rPr>
      </w:pPr>
      <w:r>
        <w:rPr>
          <w:rFonts w:hint="eastAsia" w:ascii="宋体" w:hAnsi="宋体"/>
          <w:color w:val="auto"/>
          <w:sz w:val="24"/>
          <w:highlight w:val="none"/>
        </w:rPr>
        <w:t>日期：  年   月   日</w:t>
      </w:r>
    </w:p>
    <w:p w14:paraId="53475DED">
      <w:pPr>
        <w:pStyle w:val="2"/>
        <w:spacing w:before="0" w:after="0"/>
        <w:ind w:firstLine="605"/>
        <w:rPr>
          <w:rFonts w:ascii="宋体" w:hAnsi="宋体" w:eastAsia="宋体"/>
          <w:color w:val="auto"/>
          <w:highlight w:val="none"/>
        </w:rPr>
      </w:pPr>
    </w:p>
    <w:p w14:paraId="53475DEE">
      <w:pPr>
        <w:rPr>
          <w:rFonts w:ascii="宋体" w:hAnsi="宋体"/>
          <w:b/>
          <w:color w:val="auto"/>
          <w:sz w:val="24"/>
          <w:highlight w:val="none"/>
        </w:rPr>
      </w:pPr>
      <w:r>
        <w:rPr>
          <w:rFonts w:hint="eastAsia" w:ascii="宋体" w:hAnsi="宋体"/>
          <w:b/>
          <w:color w:val="auto"/>
          <w:sz w:val="24"/>
          <w:highlight w:val="none"/>
        </w:rPr>
        <w:br w:type="page"/>
      </w:r>
    </w:p>
    <w:p w14:paraId="53475DEF">
      <w:pPr>
        <w:spacing w:line="360" w:lineRule="auto"/>
        <w:rPr>
          <w:rFonts w:ascii="宋体" w:hAnsi="宋体"/>
          <w:b/>
          <w:color w:val="auto"/>
          <w:sz w:val="24"/>
          <w:highlight w:val="none"/>
        </w:rPr>
      </w:pPr>
      <w:r>
        <w:rPr>
          <w:rFonts w:hint="eastAsia" w:ascii="宋体" w:hAnsi="宋体"/>
          <w:b/>
          <w:color w:val="auto"/>
          <w:sz w:val="24"/>
          <w:highlight w:val="none"/>
        </w:rPr>
        <w:t>附件9</w:t>
      </w:r>
    </w:p>
    <w:p w14:paraId="53475DF0">
      <w:pPr>
        <w:tabs>
          <w:tab w:val="left" w:pos="5387"/>
        </w:tabs>
        <w:spacing w:line="360" w:lineRule="auto"/>
        <w:jc w:val="center"/>
        <w:rPr>
          <w:rFonts w:ascii="宋体" w:hAnsi="宋体" w:cs="宋体"/>
          <w:color w:val="auto"/>
          <w:sz w:val="24"/>
          <w:highlight w:val="none"/>
        </w:rPr>
      </w:pPr>
      <w:r>
        <w:rPr>
          <w:rFonts w:hint="eastAsia" w:ascii="宋体" w:hAnsi="宋体"/>
          <w:b/>
          <w:color w:val="auto"/>
          <w:sz w:val="24"/>
          <w:highlight w:val="none"/>
        </w:rPr>
        <w:t>施工组织设计</w:t>
      </w:r>
    </w:p>
    <w:p w14:paraId="53475DF1">
      <w:pPr>
        <w:spacing w:line="360" w:lineRule="auto"/>
        <w:ind w:firstLine="480" w:firstLineChars="200"/>
        <w:rPr>
          <w:rFonts w:ascii="宋体" w:hAnsi="宋体" w:cs="宋体"/>
          <w:color w:val="auto"/>
          <w:sz w:val="24"/>
          <w:highlight w:val="none"/>
        </w:rPr>
      </w:pPr>
      <w:r>
        <w:rPr>
          <w:rFonts w:ascii="宋体" w:hAnsi="宋体" w:cs="宋体"/>
          <w:color w:val="auto"/>
          <w:sz w:val="24"/>
          <w:highlight w:val="none"/>
        </w:rPr>
        <w:t>1</w:t>
      </w:r>
      <w:r>
        <w:rPr>
          <w:rFonts w:hint="eastAsia" w:ascii="宋体" w:hAnsi="宋体" w:cs="宋体"/>
          <w:color w:val="auto"/>
          <w:sz w:val="24"/>
          <w:highlight w:val="none"/>
        </w:rPr>
        <w:t>、磋商供应商编制施工组织设计的要求：编制时应采用文字并结合图表形式说明施工方法；拟投入本工程的主要施工设备情况、拟配备本工程的试验和检测仪器设备情况、劳动力计划等；结合工程特点提出切实可行的工程质量、安全生产、文明施工、工程进度、技术组织措施，同时应对关键工序、复杂环节重点提出相应技术措施，如冬雨季施工技术、减少噪音、降低环境污染、地下管线及其他地上地下设施的保护加固措施等。</w:t>
      </w:r>
    </w:p>
    <w:p w14:paraId="53475DF2">
      <w:pPr>
        <w:spacing w:line="360" w:lineRule="auto"/>
        <w:ind w:firstLine="480" w:firstLineChars="200"/>
        <w:rPr>
          <w:rFonts w:ascii="宋体" w:hAnsi="宋体" w:cs="宋体"/>
          <w:color w:val="auto"/>
          <w:sz w:val="24"/>
          <w:highlight w:val="none"/>
        </w:rPr>
      </w:pPr>
      <w:r>
        <w:rPr>
          <w:rFonts w:ascii="宋体" w:hAnsi="宋体" w:cs="宋体"/>
          <w:color w:val="auto"/>
          <w:sz w:val="24"/>
          <w:highlight w:val="none"/>
        </w:rPr>
        <w:t>2</w:t>
      </w:r>
      <w:r>
        <w:rPr>
          <w:rFonts w:hint="eastAsia" w:ascii="宋体" w:hAnsi="宋体" w:cs="宋体"/>
          <w:color w:val="auto"/>
          <w:sz w:val="24"/>
          <w:highlight w:val="none"/>
        </w:rPr>
        <w:t>．施工组织设计除采用文字表述外可附下列图表，图表及格式要求附后。</w:t>
      </w:r>
    </w:p>
    <w:p w14:paraId="53475DF3">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附表一</w:t>
      </w:r>
      <w:r>
        <w:rPr>
          <w:rFonts w:ascii="宋体" w:hAnsi="宋体" w:cs="宋体"/>
          <w:color w:val="auto"/>
          <w:sz w:val="24"/>
          <w:highlight w:val="none"/>
        </w:rPr>
        <w:t xml:space="preserve">  </w:t>
      </w:r>
      <w:r>
        <w:rPr>
          <w:rFonts w:hint="eastAsia" w:ascii="宋体" w:hAnsi="宋体" w:cs="宋体"/>
          <w:color w:val="auto"/>
          <w:sz w:val="24"/>
          <w:highlight w:val="none"/>
        </w:rPr>
        <w:t>拟投入本工程的主要施工设备表</w:t>
      </w:r>
    </w:p>
    <w:p w14:paraId="53475DF4">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附表二</w:t>
      </w:r>
      <w:r>
        <w:rPr>
          <w:rFonts w:ascii="宋体" w:hAnsi="宋体" w:cs="宋体"/>
          <w:color w:val="auto"/>
          <w:sz w:val="24"/>
          <w:highlight w:val="none"/>
        </w:rPr>
        <w:t xml:space="preserve">  </w:t>
      </w:r>
      <w:r>
        <w:rPr>
          <w:rFonts w:hint="eastAsia" w:ascii="宋体" w:hAnsi="宋体" w:cs="宋体"/>
          <w:color w:val="auto"/>
          <w:sz w:val="24"/>
          <w:highlight w:val="none"/>
        </w:rPr>
        <w:t>拟配备本工程的试验和检测仪器设备表</w:t>
      </w:r>
    </w:p>
    <w:p w14:paraId="53475DF5">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附表三</w:t>
      </w:r>
      <w:r>
        <w:rPr>
          <w:rFonts w:ascii="宋体" w:hAnsi="宋体" w:cs="宋体"/>
          <w:color w:val="auto"/>
          <w:sz w:val="24"/>
          <w:highlight w:val="none"/>
        </w:rPr>
        <w:t xml:space="preserve">  </w:t>
      </w:r>
      <w:r>
        <w:rPr>
          <w:rFonts w:hint="eastAsia" w:ascii="宋体" w:hAnsi="宋体" w:cs="宋体"/>
          <w:color w:val="auto"/>
          <w:sz w:val="24"/>
          <w:highlight w:val="none"/>
        </w:rPr>
        <w:t>劳动力计划表</w:t>
      </w:r>
    </w:p>
    <w:p w14:paraId="53475DF6">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附表四</w:t>
      </w:r>
      <w:r>
        <w:rPr>
          <w:rFonts w:ascii="宋体" w:hAnsi="宋体" w:cs="宋体"/>
          <w:color w:val="auto"/>
          <w:sz w:val="24"/>
          <w:highlight w:val="none"/>
        </w:rPr>
        <w:t xml:space="preserve">  </w:t>
      </w:r>
      <w:r>
        <w:rPr>
          <w:rFonts w:hint="eastAsia" w:ascii="宋体" w:hAnsi="宋体" w:cs="宋体"/>
          <w:color w:val="auto"/>
          <w:sz w:val="24"/>
          <w:highlight w:val="none"/>
        </w:rPr>
        <w:t>计划开、竣工日期和施工进度网络图</w:t>
      </w:r>
    </w:p>
    <w:p w14:paraId="53475DF7">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附表五</w:t>
      </w:r>
      <w:r>
        <w:rPr>
          <w:rFonts w:ascii="宋体" w:hAnsi="宋体" w:cs="宋体"/>
          <w:color w:val="auto"/>
          <w:sz w:val="24"/>
          <w:highlight w:val="none"/>
        </w:rPr>
        <w:t xml:space="preserve">  </w:t>
      </w:r>
      <w:r>
        <w:rPr>
          <w:rFonts w:hint="eastAsia" w:ascii="宋体" w:hAnsi="宋体" w:cs="宋体"/>
          <w:color w:val="auto"/>
          <w:sz w:val="24"/>
          <w:highlight w:val="none"/>
        </w:rPr>
        <w:t>施工总平面图</w:t>
      </w:r>
    </w:p>
    <w:p w14:paraId="53475DF8">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附表六</w:t>
      </w:r>
      <w:r>
        <w:rPr>
          <w:rFonts w:ascii="宋体" w:hAnsi="宋体" w:cs="宋体"/>
          <w:color w:val="auto"/>
          <w:sz w:val="24"/>
          <w:highlight w:val="none"/>
        </w:rPr>
        <w:t xml:space="preserve">  </w:t>
      </w:r>
      <w:r>
        <w:rPr>
          <w:rFonts w:hint="eastAsia" w:ascii="宋体" w:hAnsi="宋体" w:cs="宋体"/>
          <w:color w:val="auto"/>
          <w:sz w:val="24"/>
          <w:highlight w:val="none"/>
        </w:rPr>
        <w:t>临时用地表</w:t>
      </w:r>
    </w:p>
    <w:p w14:paraId="53475DF9">
      <w:pPr>
        <w:spacing w:line="360" w:lineRule="auto"/>
        <w:ind w:firstLine="480" w:firstLineChars="200"/>
        <w:rPr>
          <w:rFonts w:ascii="宋体" w:hAnsi="宋体" w:cs="宋体"/>
          <w:color w:val="auto"/>
          <w:sz w:val="24"/>
          <w:highlight w:val="none"/>
        </w:rPr>
      </w:pPr>
    </w:p>
    <w:p w14:paraId="53475DFA">
      <w:pPr>
        <w:spacing w:line="360" w:lineRule="auto"/>
        <w:rPr>
          <w:rFonts w:ascii="宋体" w:hAnsi="宋体" w:cs="宋体"/>
          <w:color w:val="auto"/>
          <w:sz w:val="24"/>
          <w:highlight w:val="none"/>
        </w:rPr>
      </w:pPr>
      <w:r>
        <w:rPr>
          <w:rFonts w:hint="eastAsia" w:ascii="宋体" w:hAnsi="宋体" w:cs="宋体"/>
          <w:color w:val="auto"/>
          <w:sz w:val="24"/>
          <w:highlight w:val="none"/>
        </w:rPr>
        <w:t>附表一：拟投入本工程的主要施工设备表</w:t>
      </w:r>
    </w:p>
    <w:tbl>
      <w:tblPr>
        <w:tblStyle w:val="38"/>
        <w:tblW w:w="94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9"/>
        <w:gridCol w:w="1244"/>
        <w:gridCol w:w="864"/>
        <w:gridCol w:w="719"/>
        <w:gridCol w:w="720"/>
        <w:gridCol w:w="864"/>
        <w:gridCol w:w="1151"/>
        <w:gridCol w:w="1007"/>
        <w:gridCol w:w="1151"/>
        <w:gridCol w:w="1007"/>
      </w:tblGrid>
      <w:tr w14:paraId="53475E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769" w:type="dxa"/>
            <w:tcBorders>
              <w:top w:val="single" w:color="auto" w:sz="4" w:space="0"/>
              <w:left w:val="single" w:color="auto" w:sz="4" w:space="0"/>
              <w:bottom w:val="single" w:color="auto" w:sz="4" w:space="0"/>
              <w:right w:val="single" w:color="auto" w:sz="4" w:space="0"/>
            </w:tcBorders>
            <w:vAlign w:val="center"/>
          </w:tcPr>
          <w:p w14:paraId="53475DFB">
            <w:pPr>
              <w:spacing w:line="360" w:lineRule="auto"/>
              <w:jc w:val="center"/>
              <w:rPr>
                <w:rFonts w:ascii="宋体" w:hAnsi="宋体" w:cs="宋体"/>
                <w:color w:val="auto"/>
                <w:sz w:val="24"/>
                <w:highlight w:val="none"/>
              </w:rPr>
            </w:pPr>
            <w:r>
              <w:rPr>
                <w:rFonts w:hint="eastAsia" w:ascii="宋体" w:hAnsi="宋体" w:cs="宋体"/>
                <w:color w:val="auto"/>
                <w:sz w:val="24"/>
                <w:highlight w:val="none"/>
              </w:rPr>
              <w:t>序号</w:t>
            </w:r>
          </w:p>
        </w:tc>
        <w:tc>
          <w:tcPr>
            <w:tcW w:w="1244" w:type="dxa"/>
            <w:tcBorders>
              <w:top w:val="single" w:color="auto" w:sz="4" w:space="0"/>
              <w:left w:val="single" w:color="auto" w:sz="4" w:space="0"/>
              <w:bottom w:val="single" w:color="auto" w:sz="4" w:space="0"/>
              <w:right w:val="single" w:color="auto" w:sz="4" w:space="0"/>
            </w:tcBorders>
            <w:vAlign w:val="center"/>
          </w:tcPr>
          <w:p w14:paraId="53475DFC">
            <w:pPr>
              <w:spacing w:line="360" w:lineRule="auto"/>
              <w:jc w:val="center"/>
              <w:rPr>
                <w:rFonts w:ascii="宋体" w:hAnsi="宋体" w:cs="宋体"/>
                <w:color w:val="auto"/>
                <w:sz w:val="24"/>
                <w:highlight w:val="none"/>
              </w:rPr>
            </w:pPr>
            <w:r>
              <w:rPr>
                <w:rFonts w:hint="eastAsia" w:ascii="宋体" w:hAnsi="宋体" w:cs="宋体"/>
                <w:color w:val="auto"/>
                <w:sz w:val="24"/>
                <w:highlight w:val="none"/>
              </w:rPr>
              <w:t>设备名称</w:t>
            </w:r>
          </w:p>
        </w:tc>
        <w:tc>
          <w:tcPr>
            <w:tcW w:w="864" w:type="dxa"/>
            <w:tcBorders>
              <w:top w:val="single" w:color="auto" w:sz="4" w:space="0"/>
              <w:left w:val="single" w:color="auto" w:sz="4" w:space="0"/>
              <w:bottom w:val="single" w:color="auto" w:sz="4" w:space="0"/>
              <w:right w:val="single" w:color="auto" w:sz="4" w:space="0"/>
            </w:tcBorders>
            <w:vAlign w:val="center"/>
          </w:tcPr>
          <w:p w14:paraId="53475DFD">
            <w:pPr>
              <w:spacing w:line="360" w:lineRule="auto"/>
              <w:jc w:val="center"/>
              <w:rPr>
                <w:rFonts w:ascii="宋体" w:hAnsi="宋体" w:cs="宋体"/>
                <w:color w:val="auto"/>
                <w:sz w:val="24"/>
                <w:highlight w:val="none"/>
              </w:rPr>
            </w:pPr>
            <w:r>
              <w:rPr>
                <w:rFonts w:hint="eastAsia" w:ascii="宋体" w:hAnsi="宋体" w:cs="宋体"/>
                <w:color w:val="auto"/>
                <w:sz w:val="24"/>
                <w:highlight w:val="none"/>
              </w:rPr>
              <w:t>型号</w:t>
            </w:r>
          </w:p>
          <w:p w14:paraId="53475DFE">
            <w:pPr>
              <w:spacing w:line="360" w:lineRule="auto"/>
              <w:jc w:val="center"/>
              <w:rPr>
                <w:rFonts w:ascii="宋体" w:hAnsi="宋体" w:cs="宋体"/>
                <w:color w:val="auto"/>
                <w:sz w:val="24"/>
                <w:highlight w:val="none"/>
              </w:rPr>
            </w:pPr>
            <w:r>
              <w:rPr>
                <w:rFonts w:hint="eastAsia" w:ascii="宋体" w:hAnsi="宋体" w:cs="宋体"/>
                <w:color w:val="auto"/>
                <w:sz w:val="24"/>
                <w:highlight w:val="none"/>
              </w:rPr>
              <w:t>规格</w:t>
            </w:r>
          </w:p>
        </w:tc>
        <w:tc>
          <w:tcPr>
            <w:tcW w:w="719" w:type="dxa"/>
            <w:tcBorders>
              <w:top w:val="single" w:color="auto" w:sz="4" w:space="0"/>
              <w:left w:val="single" w:color="auto" w:sz="4" w:space="0"/>
              <w:bottom w:val="single" w:color="auto" w:sz="4" w:space="0"/>
              <w:right w:val="single" w:color="auto" w:sz="4" w:space="0"/>
            </w:tcBorders>
            <w:vAlign w:val="center"/>
          </w:tcPr>
          <w:p w14:paraId="53475DFF">
            <w:pPr>
              <w:spacing w:line="360" w:lineRule="auto"/>
              <w:jc w:val="center"/>
              <w:rPr>
                <w:rFonts w:ascii="宋体" w:hAnsi="宋体" w:cs="宋体"/>
                <w:color w:val="auto"/>
                <w:sz w:val="24"/>
                <w:highlight w:val="none"/>
              </w:rPr>
            </w:pPr>
            <w:r>
              <w:rPr>
                <w:rFonts w:hint="eastAsia" w:ascii="宋体" w:hAnsi="宋体" w:cs="宋体"/>
                <w:color w:val="auto"/>
                <w:sz w:val="24"/>
                <w:highlight w:val="none"/>
              </w:rPr>
              <w:t>数量</w:t>
            </w:r>
          </w:p>
        </w:tc>
        <w:tc>
          <w:tcPr>
            <w:tcW w:w="720" w:type="dxa"/>
            <w:tcBorders>
              <w:top w:val="single" w:color="auto" w:sz="4" w:space="0"/>
              <w:left w:val="single" w:color="auto" w:sz="4" w:space="0"/>
              <w:bottom w:val="single" w:color="auto" w:sz="4" w:space="0"/>
              <w:right w:val="single" w:color="auto" w:sz="4" w:space="0"/>
            </w:tcBorders>
            <w:vAlign w:val="center"/>
          </w:tcPr>
          <w:p w14:paraId="53475E00">
            <w:pPr>
              <w:spacing w:line="360" w:lineRule="auto"/>
              <w:jc w:val="center"/>
              <w:rPr>
                <w:rFonts w:ascii="宋体" w:hAnsi="宋体" w:cs="宋体"/>
                <w:color w:val="auto"/>
                <w:sz w:val="24"/>
                <w:highlight w:val="none"/>
              </w:rPr>
            </w:pPr>
            <w:r>
              <w:rPr>
                <w:rFonts w:hint="eastAsia" w:ascii="宋体" w:hAnsi="宋体" w:cs="宋体"/>
                <w:color w:val="auto"/>
                <w:sz w:val="24"/>
                <w:highlight w:val="none"/>
              </w:rPr>
              <w:t>国别</w:t>
            </w:r>
          </w:p>
          <w:p w14:paraId="53475E01">
            <w:pPr>
              <w:spacing w:line="360" w:lineRule="auto"/>
              <w:jc w:val="center"/>
              <w:rPr>
                <w:rFonts w:ascii="宋体" w:hAnsi="宋体" w:cs="宋体"/>
                <w:color w:val="auto"/>
                <w:sz w:val="24"/>
                <w:highlight w:val="none"/>
              </w:rPr>
            </w:pPr>
            <w:r>
              <w:rPr>
                <w:rFonts w:hint="eastAsia" w:ascii="宋体" w:hAnsi="宋体" w:cs="宋体"/>
                <w:color w:val="auto"/>
                <w:sz w:val="24"/>
                <w:highlight w:val="none"/>
              </w:rPr>
              <w:t>产地</w:t>
            </w:r>
          </w:p>
        </w:tc>
        <w:tc>
          <w:tcPr>
            <w:tcW w:w="864" w:type="dxa"/>
            <w:tcBorders>
              <w:top w:val="single" w:color="auto" w:sz="4" w:space="0"/>
              <w:left w:val="single" w:color="auto" w:sz="4" w:space="0"/>
              <w:bottom w:val="single" w:color="auto" w:sz="4" w:space="0"/>
              <w:right w:val="single" w:color="auto" w:sz="4" w:space="0"/>
            </w:tcBorders>
            <w:vAlign w:val="center"/>
          </w:tcPr>
          <w:p w14:paraId="53475E02">
            <w:pPr>
              <w:spacing w:line="360" w:lineRule="auto"/>
              <w:jc w:val="center"/>
              <w:rPr>
                <w:rFonts w:ascii="宋体" w:hAnsi="宋体" w:cs="宋体"/>
                <w:color w:val="auto"/>
                <w:sz w:val="24"/>
                <w:highlight w:val="none"/>
              </w:rPr>
            </w:pPr>
            <w:r>
              <w:rPr>
                <w:rFonts w:hint="eastAsia" w:ascii="宋体" w:hAnsi="宋体" w:cs="宋体"/>
                <w:color w:val="auto"/>
                <w:sz w:val="24"/>
                <w:highlight w:val="none"/>
              </w:rPr>
              <w:t>制造</w:t>
            </w:r>
          </w:p>
          <w:p w14:paraId="53475E03">
            <w:pPr>
              <w:spacing w:line="360" w:lineRule="auto"/>
              <w:jc w:val="center"/>
              <w:rPr>
                <w:rFonts w:ascii="宋体" w:hAnsi="宋体" w:cs="宋体"/>
                <w:color w:val="auto"/>
                <w:sz w:val="24"/>
                <w:highlight w:val="none"/>
              </w:rPr>
            </w:pPr>
            <w:r>
              <w:rPr>
                <w:rFonts w:hint="eastAsia" w:ascii="宋体" w:hAnsi="宋体" w:cs="宋体"/>
                <w:color w:val="auto"/>
                <w:sz w:val="24"/>
                <w:highlight w:val="none"/>
              </w:rPr>
              <w:t>年份</w:t>
            </w:r>
          </w:p>
        </w:tc>
        <w:tc>
          <w:tcPr>
            <w:tcW w:w="1151" w:type="dxa"/>
            <w:tcBorders>
              <w:top w:val="single" w:color="auto" w:sz="4" w:space="0"/>
              <w:left w:val="single" w:color="auto" w:sz="4" w:space="0"/>
              <w:bottom w:val="single" w:color="auto" w:sz="4" w:space="0"/>
              <w:right w:val="single" w:color="auto" w:sz="4" w:space="0"/>
            </w:tcBorders>
            <w:vAlign w:val="center"/>
          </w:tcPr>
          <w:p w14:paraId="53475E04">
            <w:pPr>
              <w:spacing w:line="360" w:lineRule="auto"/>
              <w:jc w:val="center"/>
              <w:rPr>
                <w:rFonts w:ascii="宋体" w:hAnsi="宋体" w:cs="宋体"/>
                <w:color w:val="auto"/>
                <w:sz w:val="24"/>
                <w:highlight w:val="none"/>
              </w:rPr>
            </w:pPr>
            <w:r>
              <w:rPr>
                <w:rFonts w:hint="eastAsia" w:ascii="宋体" w:hAnsi="宋体" w:cs="宋体"/>
                <w:color w:val="auto"/>
                <w:sz w:val="24"/>
                <w:highlight w:val="none"/>
              </w:rPr>
              <w:t>额定功率</w:t>
            </w:r>
          </w:p>
          <w:p w14:paraId="53475E05">
            <w:pPr>
              <w:spacing w:line="360" w:lineRule="auto"/>
              <w:jc w:val="center"/>
              <w:rPr>
                <w:rFonts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KW</w:t>
            </w:r>
            <w:r>
              <w:rPr>
                <w:rFonts w:hint="eastAsia" w:ascii="宋体" w:hAnsi="宋体" w:cs="宋体"/>
                <w:color w:val="auto"/>
                <w:sz w:val="24"/>
                <w:highlight w:val="none"/>
              </w:rPr>
              <w:t>）</w:t>
            </w:r>
          </w:p>
        </w:tc>
        <w:tc>
          <w:tcPr>
            <w:tcW w:w="1007" w:type="dxa"/>
            <w:tcBorders>
              <w:top w:val="single" w:color="auto" w:sz="4" w:space="0"/>
              <w:left w:val="single" w:color="auto" w:sz="4" w:space="0"/>
              <w:bottom w:val="single" w:color="auto" w:sz="4" w:space="0"/>
              <w:right w:val="single" w:color="auto" w:sz="4" w:space="0"/>
            </w:tcBorders>
            <w:vAlign w:val="center"/>
          </w:tcPr>
          <w:p w14:paraId="53475E06">
            <w:pPr>
              <w:spacing w:line="360" w:lineRule="auto"/>
              <w:jc w:val="center"/>
              <w:rPr>
                <w:rFonts w:ascii="宋体" w:hAnsi="宋体" w:cs="宋体"/>
                <w:color w:val="auto"/>
                <w:sz w:val="24"/>
                <w:highlight w:val="none"/>
              </w:rPr>
            </w:pPr>
            <w:r>
              <w:rPr>
                <w:rFonts w:hint="eastAsia" w:ascii="宋体" w:hAnsi="宋体" w:cs="宋体"/>
                <w:color w:val="auto"/>
                <w:sz w:val="24"/>
                <w:highlight w:val="none"/>
              </w:rPr>
              <w:t>生产</w:t>
            </w:r>
          </w:p>
          <w:p w14:paraId="53475E07">
            <w:pPr>
              <w:spacing w:line="360" w:lineRule="auto"/>
              <w:jc w:val="center"/>
              <w:rPr>
                <w:rFonts w:ascii="宋体" w:hAnsi="宋体" w:cs="宋体"/>
                <w:color w:val="auto"/>
                <w:sz w:val="24"/>
                <w:highlight w:val="none"/>
              </w:rPr>
            </w:pPr>
            <w:r>
              <w:rPr>
                <w:rFonts w:hint="eastAsia" w:ascii="宋体" w:hAnsi="宋体" w:cs="宋体"/>
                <w:color w:val="auto"/>
                <w:sz w:val="24"/>
                <w:highlight w:val="none"/>
              </w:rPr>
              <w:t>能力</w:t>
            </w:r>
          </w:p>
        </w:tc>
        <w:tc>
          <w:tcPr>
            <w:tcW w:w="1151" w:type="dxa"/>
            <w:tcBorders>
              <w:top w:val="single" w:color="auto" w:sz="4" w:space="0"/>
              <w:left w:val="single" w:color="auto" w:sz="4" w:space="0"/>
              <w:bottom w:val="single" w:color="auto" w:sz="4" w:space="0"/>
              <w:right w:val="single" w:color="auto" w:sz="4" w:space="0"/>
            </w:tcBorders>
            <w:vAlign w:val="center"/>
          </w:tcPr>
          <w:p w14:paraId="53475E08">
            <w:pPr>
              <w:spacing w:line="360" w:lineRule="auto"/>
              <w:jc w:val="center"/>
              <w:rPr>
                <w:rFonts w:ascii="宋体" w:hAnsi="宋体" w:cs="宋体"/>
                <w:color w:val="auto"/>
                <w:sz w:val="24"/>
                <w:highlight w:val="none"/>
              </w:rPr>
            </w:pPr>
            <w:r>
              <w:rPr>
                <w:rFonts w:hint="eastAsia" w:ascii="宋体" w:hAnsi="宋体" w:cs="宋体"/>
                <w:color w:val="auto"/>
                <w:sz w:val="24"/>
                <w:highlight w:val="none"/>
              </w:rPr>
              <w:t>用于施</w:t>
            </w:r>
          </w:p>
          <w:p w14:paraId="53475E09">
            <w:pPr>
              <w:spacing w:line="360" w:lineRule="auto"/>
              <w:jc w:val="center"/>
              <w:rPr>
                <w:rFonts w:ascii="宋体" w:hAnsi="宋体" w:cs="宋体"/>
                <w:color w:val="auto"/>
                <w:sz w:val="24"/>
                <w:highlight w:val="none"/>
              </w:rPr>
            </w:pPr>
            <w:r>
              <w:rPr>
                <w:rFonts w:hint="eastAsia" w:ascii="宋体" w:hAnsi="宋体" w:cs="宋体"/>
                <w:color w:val="auto"/>
                <w:sz w:val="24"/>
                <w:highlight w:val="none"/>
              </w:rPr>
              <w:t>工部位</w:t>
            </w:r>
          </w:p>
        </w:tc>
        <w:tc>
          <w:tcPr>
            <w:tcW w:w="1007" w:type="dxa"/>
            <w:tcBorders>
              <w:top w:val="single" w:color="auto" w:sz="4" w:space="0"/>
              <w:left w:val="single" w:color="auto" w:sz="4" w:space="0"/>
              <w:bottom w:val="single" w:color="auto" w:sz="4" w:space="0"/>
              <w:right w:val="single" w:color="auto" w:sz="4" w:space="0"/>
            </w:tcBorders>
            <w:vAlign w:val="center"/>
          </w:tcPr>
          <w:p w14:paraId="53475E0A">
            <w:pPr>
              <w:spacing w:line="360" w:lineRule="auto"/>
              <w:jc w:val="center"/>
              <w:rPr>
                <w:rFonts w:ascii="宋体" w:hAnsi="宋体" w:cs="宋体"/>
                <w:color w:val="auto"/>
                <w:sz w:val="24"/>
                <w:highlight w:val="none"/>
              </w:rPr>
            </w:pPr>
            <w:r>
              <w:rPr>
                <w:rFonts w:hint="eastAsia" w:ascii="宋体" w:hAnsi="宋体" w:cs="宋体"/>
                <w:color w:val="auto"/>
                <w:sz w:val="24"/>
                <w:highlight w:val="none"/>
              </w:rPr>
              <w:t>备注</w:t>
            </w:r>
          </w:p>
        </w:tc>
      </w:tr>
      <w:tr w14:paraId="53475E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769" w:type="dxa"/>
            <w:tcBorders>
              <w:top w:val="single" w:color="auto" w:sz="4" w:space="0"/>
              <w:left w:val="single" w:color="auto" w:sz="4" w:space="0"/>
              <w:bottom w:val="single" w:color="auto" w:sz="4" w:space="0"/>
              <w:right w:val="single" w:color="auto" w:sz="4" w:space="0"/>
            </w:tcBorders>
          </w:tcPr>
          <w:p w14:paraId="53475E0C">
            <w:pPr>
              <w:spacing w:line="360" w:lineRule="auto"/>
              <w:rPr>
                <w:rFonts w:ascii="宋体" w:hAnsi="宋体" w:cs="宋体"/>
                <w:color w:val="auto"/>
                <w:sz w:val="24"/>
                <w:highlight w:val="none"/>
              </w:rPr>
            </w:pPr>
          </w:p>
        </w:tc>
        <w:tc>
          <w:tcPr>
            <w:tcW w:w="1244" w:type="dxa"/>
            <w:tcBorders>
              <w:top w:val="single" w:color="auto" w:sz="4" w:space="0"/>
              <w:left w:val="single" w:color="auto" w:sz="4" w:space="0"/>
              <w:bottom w:val="single" w:color="auto" w:sz="4" w:space="0"/>
              <w:right w:val="single" w:color="auto" w:sz="4" w:space="0"/>
            </w:tcBorders>
          </w:tcPr>
          <w:p w14:paraId="53475E0D">
            <w:pPr>
              <w:spacing w:line="360" w:lineRule="auto"/>
              <w:ind w:firstLine="480" w:firstLineChars="200"/>
              <w:rPr>
                <w:rFonts w:ascii="宋体" w:hAnsi="宋体" w:cs="宋体"/>
                <w:color w:val="auto"/>
                <w:sz w:val="24"/>
                <w:highlight w:val="none"/>
              </w:rPr>
            </w:pPr>
          </w:p>
        </w:tc>
        <w:tc>
          <w:tcPr>
            <w:tcW w:w="864" w:type="dxa"/>
            <w:tcBorders>
              <w:top w:val="single" w:color="auto" w:sz="4" w:space="0"/>
              <w:left w:val="single" w:color="auto" w:sz="4" w:space="0"/>
              <w:bottom w:val="single" w:color="auto" w:sz="4" w:space="0"/>
              <w:right w:val="single" w:color="auto" w:sz="4" w:space="0"/>
            </w:tcBorders>
          </w:tcPr>
          <w:p w14:paraId="53475E0E">
            <w:pPr>
              <w:spacing w:line="360" w:lineRule="auto"/>
              <w:rPr>
                <w:rFonts w:ascii="宋体" w:hAnsi="宋体" w:cs="宋体"/>
                <w:color w:val="auto"/>
                <w:sz w:val="24"/>
                <w:highlight w:val="none"/>
              </w:rPr>
            </w:pPr>
          </w:p>
        </w:tc>
        <w:tc>
          <w:tcPr>
            <w:tcW w:w="719" w:type="dxa"/>
            <w:tcBorders>
              <w:top w:val="single" w:color="auto" w:sz="4" w:space="0"/>
              <w:left w:val="single" w:color="auto" w:sz="4" w:space="0"/>
              <w:bottom w:val="single" w:color="auto" w:sz="4" w:space="0"/>
              <w:right w:val="single" w:color="auto" w:sz="4" w:space="0"/>
            </w:tcBorders>
          </w:tcPr>
          <w:p w14:paraId="53475E0F">
            <w:pPr>
              <w:spacing w:line="360" w:lineRule="auto"/>
              <w:rPr>
                <w:rFonts w:ascii="宋体" w:hAnsi="宋体" w:cs="宋体"/>
                <w:color w:val="auto"/>
                <w:sz w:val="24"/>
                <w:highlight w:val="none"/>
              </w:rPr>
            </w:pPr>
          </w:p>
        </w:tc>
        <w:tc>
          <w:tcPr>
            <w:tcW w:w="720" w:type="dxa"/>
            <w:tcBorders>
              <w:top w:val="single" w:color="auto" w:sz="4" w:space="0"/>
              <w:left w:val="single" w:color="auto" w:sz="4" w:space="0"/>
              <w:bottom w:val="single" w:color="auto" w:sz="4" w:space="0"/>
              <w:right w:val="single" w:color="auto" w:sz="4" w:space="0"/>
            </w:tcBorders>
          </w:tcPr>
          <w:p w14:paraId="53475E10">
            <w:pPr>
              <w:spacing w:line="360" w:lineRule="auto"/>
              <w:rPr>
                <w:rFonts w:ascii="宋体" w:hAnsi="宋体" w:cs="宋体"/>
                <w:color w:val="auto"/>
                <w:sz w:val="24"/>
                <w:highlight w:val="none"/>
              </w:rPr>
            </w:pPr>
          </w:p>
        </w:tc>
        <w:tc>
          <w:tcPr>
            <w:tcW w:w="864" w:type="dxa"/>
            <w:tcBorders>
              <w:top w:val="single" w:color="auto" w:sz="4" w:space="0"/>
              <w:left w:val="single" w:color="auto" w:sz="4" w:space="0"/>
              <w:bottom w:val="single" w:color="auto" w:sz="4" w:space="0"/>
              <w:right w:val="single" w:color="auto" w:sz="4" w:space="0"/>
            </w:tcBorders>
          </w:tcPr>
          <w:p w14:paraId="53475E11">
            <w:pPr>
              <w:spacing w:line="360" w:lineRule="auto"/>
              <w:rPr>
                <w:rFonts w:ascii="宋体" w:hAnsi="宋体" w:cs="宋体"/>
                <w:color w:val="auto"/>
                <w:sz w:val="24"/>
                <w:highlight w:val="none"/>
              </w:rPr>
            </w:pPr>
          </w:p>
        </w:tc>
        <w:tc>
          <w:tcPr>
            <w:tcW w:w="1151" w:type="dxa"/>
            <w:tcBorders>
              <w:top w:val="single" w:color="auto" w:sz="4" w:space="0"/>
              <w:left w:val="single" w:color="auto" w:sz="4" w:space="0"/>
              <w:bottom w:val="single" w:color="auto" w:sz="4" w:space="0"/>
              <w:right w:val="single" w:color="auto" w:sz="4" w:space="0"/>
            </w:tcBorders>
          </w:tcPr>
          <w:p w14:paraId="53475E12">
            <w:pPr>
              <w:spacing w:line="360" w:lineRule="auto"/>
              <w:rPr>
                <w:rFonts w:ascii="宋体" w:hAnsi="宋体" w:cs="宋体"/>
                <w:color w:val="auto"/>
                <w:sz w:val="24"/>
                <w:highlight w:val="none"/>
              </w:rPr>
            </w:pPr>
          </w:p>
        </w:tc>
        <w:tc>
          <w:tcPr>
            <w:tcW w:w="1007" w:type="dxa"/>
            <w:tcBorders>
              <w:top w:val="single" w:color="auto" w:sz="4" w:space="0"/>
              <w:left w:val="single" w:color="auto" w:sz="4" w:space="0"/>
              <w:bottom w:val="single" w:color="auto" w:sz="4" w:space="0"/>
              <w:right w:val="single" w:color="auto" w:sz="4" w:space="0"/>
            </w:tcBorders>
          </w:tcPr>
          <w:p w14:paraId="53475E13">
            <w:pPr>
              <w:spacing w:line="360" w:lineRule="auto"/>
              <w:rPr>
                <w:rFonts w:ascii="宋体" w:hAnsi="宋体" w:cs="宋体"/>
                <w:color w:val="auto"/>
                <w:sz w:val="24"/>
                <w:highlight w:val="none"/>
              </w:rPr>
            </w:pPr>
          </w:p>
        </w:tc>
        <w:tc>
          <w:tcPr>
            <w:tcW w:w="1151" w:type="dxa"/>
            <w:tcBorders>
              <w:top w:val="single" w:color="auto" w:sz="4" w:space="0"/>
              <w:left w:val="single" w:color="auto" w:sz="4" w:space="0"/>
              <w:bottom w:val="single" w:color="auto" w:sz="4" w:space="0"/>
              <w:right w:val="single" w:color="auto" w:sz="4" w:space="0"/>
            </w:tcBorders>
          </w:tcPr>
          <w:p w14:paraId="53475E14">
            <w:pPr>
              <w:spacing w:line="360" w:lineRule="auto"/>
              <w:rPr>
                <w:rFonts w:ascii="宋体" w:hAnsi="宋体" w:cs="宋体"/>
                <w:color w:val="auto"/>
                <w:sz w:val="24"/>
                <w:highlight w:val="none"/>
              </w:rPr>
            </w:pPr>
          </w:p>
        </w:tc>
        <w:tc>
          <w:tcPr>
            <w:tcW w:w="1007" w:type="dxa"/>
            <w:tcBorders>
              <w:top w:val="single" w:color="auto" w:sz="4" w:space="0"/>
              <w:left w:val="single" w:color="auto" w:sz="4" w:space="0"/>
              <w:bottom w:val="single" w:color="auto" w:sz="4" w:space="0"/>
              <w:right w:val="single" w:color="auto" w:sz="4" w:space="0"/>
            </w:tcBorders>
          </w:tcPr>
          <w:p w14:paraId="53475E15">
            <w:pPr>
              <w:spacing w:line="360" w:lineRule="auto"/>
              <w:rPr>
                <w:rFonts w:ascii="宋体" w:hAnsi="宋体" w:cs="宋体"/>
                <w:color w:val="auto"/>
                <w:sz w:val="24"/>
                <w:highlight w:val="none"/>
              </w:rPr>
            </w:pPr>
          </w:p>
        </w:tc>
      </w:tr>
      <w:tr w14:paraId="53475E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769" w:type="dxa"/>
            <w:tcBorders>
              <w:top w:val="single" w:color="auto" w:sz="4" w:space="0"/>
              <w:left w:val="single" w:color="auto" w:sz="4" w:space="0"/>
              <w:bottom w:val="single" w:color="auto" w:sz="4" w:space="0"/>
              <w:right w:val="single" w:color="auto" w:sz="4" w:space="0"/>
            </w:tcBorders>
          </w:tcPr>
          <w:p w14:paraId="53475E17">
            <w:pPr>
              <w:spacing w:line="360" w:lineRule="auto"/>
              <w:rPr>
                <w:rFonts w:ascii="宋体" w:hAnsi="宋体" w:cs="宋体"/>
                <w:color w:val="auto"/>
                <w:sz w:val="24"/>
                <w:highlight w:val="none"/>
              </w:rPr>
            </w:pPr>
          </w:p>
        </w:tc>
        <w:tc>
          <w:tcPr>
            <w:tcW w:w="1244" w:type="dxa"/>
            <w:tcBorders>
              <w:top w:val="single" w:color="auto" w:sz="4" w:space="0"/>
              <w:left w:val="single" w:color="auto" w:sz="4" w:space="0"/>
              <w:bottom w:val="single" w:color="auto" w:sz="4" w:space="0"/>
              <w:right w:val="single" w:color="auto" w:sz="4" w:space="0"/>
            </w:tcBorders>
          </w:tcPr>
          <w:p w14:paraId="53475E18">
            <w:pPr>
              <w:spacing w:line="360" w:lineRule="auto"/>
              <w:rPr>
                <w:rFonts w:ascii="宋体" w:hAnsi="宋体" w:cs="宋体"/>
                <w:color w:val="auto"/>
                <w:sz w:val="24"/>
                <w:highlight w:val="none"/>
              </w:rPr>
            </w:pPr>
          </w:p>
        </w:tc>
        <w:tc>
          <w:tcPr>
            <w:tcW w:w="864" w:type="dxa"/>
            <w:tcBorders>
              <w:top w:val="single" w:color="auto" w:sz="4" w:space="0"/>
              <w:left w:val="single" w:color="auto" w:sz="4" w:space="0"/>
              <w:bottom w:val="single" w:color="auto" w:sz="4" w:space="0"/>
              <w:right w:val="single" w:color="auto" w:sz="4" w:space="0"/>
            </w:tcBorders>
          </w:tcPr>
          <w:p w14:paraId="53475E19">
            <w:pPr>
              <w:spacing w:line="360" w:lineRule="auto"/>
              <w:rPr>
                <w:rFonts w:ascii="宋体" w:hAnsi="宋体" w:cs="宋体"/>
                <w:color w:val="auto"/>
                <w:sz w:val="24"/>
                <w:highlight w:val="none"/>
              </w:rPr>
            </w:pPr>
          </w:p>
        </w:tc>
        <w:tc>
          <w:tcPr>
            <w:tcW w:w="719" w:type="dxa"/>
            <w:tcBorders>
              <w:top w:val="single" w:color="auto" w:sz="4" w:space="0"/>
              <w:left w:val="single" w:color="auto" w:sz="4" w:space="0"/>
              <w:bottom w:val="single" w:color="auto" w:sz="4" w:space="0"/>
              <w:right w:val="single" w:color="auto" w:sz="4" w:space="0"/>
            </w:tcBorders>
          </w:tcPr>
          <w:p w14:paraId="53475E1A">
            <w:pPr>
              <w:spacing w:line="360" w:lineRule="auto"/>
              <w:rPr>
                <w:rFonts w:ascii="宋体" w:hAnsi="宋体" w:cs="宋体"/>
                <w:color w:val="auto"/>
                <w:sz w:val="24"/>
                <w:highlight w:val="none"/>
              </w:rPr>
            </w:pPr>
          </w:p>
        </w:tc>
        <w:tc>
          <w:tcPr>
            <w:tcW w:w="720" w:type="dxa"/>
            <w:tcBorders>
              <w:top w:val="single" w:color="auto" w:sz="4" w:space="0"/>
              <w:left w:val="single" w:color="auto" w:sz="4" w:space="0"/>
              <w:bottom w:val="single" w:color="auto" w:sz="4" w:space="0"/>
              <w:right w:val="single" w:color="auto" w:sz="4" w:space="0"/>
            </w:tcBorders>
          </w:tcPr>
          <w:p w14:paraId="53475E1B">
            <w:pPr>
              <w:spacing w:line="360" w:lineRule="auto"/>
              <w:rPr>
                <w:rFonts w:ascii="宋体" w:hAnsi="宋体" w:cs="宋体"/>
                <w:color w:val="auto"/>
                <w:sz w:val="24"/>
                <w:highlight w:val="none"/>
              </w:rPr>
            </w:pPr>
          </w:p>
        </w:tc>
        <w:tc>
          <w:tcPr>
            <w:tcW w:w="864" w:type="dxa"/>
            <w:tcBorders>
              <w:top w:val="single" w:color="auto" w:sz="4" w:space="0"/>
              <w:left w:val="single" w:color="auto" w:sz="4" w:space="0"/>
              <w:bottom w:val="single" w:color="auto" w:sz="4" w:space="0"/>
              <w:right w:val="single" w:color="auto" w:sz="4" w:space="0"/>
            </w:tcBorders>
          </w:tcPr>
          <w:p w14:paraId="53475E1C">
            <w:pPr>
              <w:spacing w:line="360" w:lineRule="auto"/>
              <w:rPr>
                <w:rFonts w:ascii="宋体" w:hAnsi="宋体" w:cs="宋体"/>
                <w:color w:val="auto"/>
                <w:sz w:val="24"/>
                <w:highlight w:val="none"/>
              </w:rPr>
            </w:pPr>
          </w:p>
        </w:tc>
        <w:tc>
          <w:tcPr>
            <w:tcW w:w="1151" w:type="dxa"/>
            <w:tcBorders>
              <w:top w:val="single" w:color="auto" w:sz="4" w:space="0"/>
              <w:left w:val="single" w:color="auto" w:sz="4" w:space="0"/>
              <w:bottom w:val="single" w:color="auto" w:sz="4" w:space="0"/>
              <w:right w:val="single" w:color="auto" w:sz="4" w:space="0"/>
            </w:tcBorders>
          </w:tcPr>
          <w:p w14:paraId="53475E1D">
            <w:pPr>
              <w:spacing w:line="360" w:lineRule="auto"/>
              <w:rPr>
                <w:rFonts w:ascii="宋体" w:hAnsi="宋体" w:cs="宋体"/>
                <w:color w:val="auto"/>
                <w:sz w:val="24"/>
                <w:highlight w:val="none"/>
              </w:rPr>
            </w:pPr>
          </w:p>
        </w:tc>
        <w:tc>
          <w:tcPr>
            <w:tcW w:w="1007" w:type="dxa"/>
            <w:tcBorders>
              <w:top w:val="single" w:color="auto" w:sz="4" w:space="0"/>
              <w:left w:val="single" w:color="auto" w:sz="4" w:space="0"/>
              <w:bottom w:val="single" w:color="auto" w:sz="4" w:space="0"/>
              <w:right w:val="single" w:color="auto" w:sz="4" w:space="0"/>
            </w:tcBorders>
          </w:tcPr>
          <w:p w14:paraId="53475E1E">
            <w:pPr>
              <w:spacing w:line="360" w:lineRule="auto"/>
              <w:rPr>
                <w:rFonts w:ascii="宋体" w:hAnsi="宋体" w:cs="宋体"/>
                <w:color w:val="auto"/>
                <w:sz w:val="24"/>
                <w:highlight w:val="none"/>
              </w:rPr>
            </w:pPr>
          </w:p>
        </w:tc>
        <w:tc>
          <w:tcPr>
            <w:tcW w:w="1151" w:type="dxa"/>
            <w:tcBorders>
              <w:top w:val="single" w:color="auto" w:sz="4" w:space="0"/>
              <w:left w:val="single" w:color="auto" w:sz="4" w:space="0"/>
              <w:bottom w:val="single" w:color="auto" w:sz="4" w:space="0"/>
              <w:right w:val="single" w:color="auto" w:sz="4" w:space="0"/>
            </w:tcBorders>
          </w:tcPr>
          <w:p w14:paraId="53475E1F">
            <w:pPr>
              <w:spacing w:line="360" w:lineRule="auto"/>
              <w:rPr>
                <w:rFonts w:ascii="宋体" w:hAnsi="宋体" w:cs="宋体"/>
                <w:color w:val="auto"/>
                <w:sz w:val="24"/>
                <w:highlight w:val="none"/>
              </w:rPr>
            </w:pPr>
          </w:p>
        </w:tc>
        <w:tc>
          <w:tcPr>
            <w:tcW w:w="1007" w:type="dxa"/>
            <w:tcBorders>
              <w:top w:val="single" w:color="auto" w:sz="4" w:space="0"/>
              <w:left w:val="single" w:color="auto" w:sz="4" w:space="0"/>
              <w:bottom w:val="single" w:color="auto" w:sz="4" w:space="0"/>
              <w:right w:val="single" w:color="auto" w:sz="4" w:space="0"/>
            </w:tcBorders>
          </w:tcPr>
          <w:p w14:paraId="53475E20">
            <w:pPr>
              <w:spacing w:line="360" w:lineRule="auto"/>
              <w:rPr>
                <w:rFonts w:ascii="宋体" w:hAnsi="宋体" w:cs="宋体"/>
                <w:color w:val="auto"/>
                <w:sz w:val="24"/>
                <w:highlight w:val="none"/>
              </w:rPr>
            </w:pPr>
          </w:p>
        </w:tc>
      </w:tr>
      <w:tr w14:paraId="53475E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769" w:type="dxa"/>
            <w:tcBorders>
              <w:top w:val="single" w:color="auto" w:sz="4" w:space="0"/>
              <w:left w:val="single" w:color="auto" w:sz="4" w:space="0"/>
              <w:bottom w:val="single" w:color="auto" w:sz="4" w:space="0"/>
              <w:right w:val="single" w:color="auto" w:sz="4" w:space="0"/>
            </w:tcBorders>
          </w:tcPr>
          <w:p w14:paraId="53475E22">
            <w:pPr>
              <w:spacing w:line="360" w:lineRule="auto"/>
              <w:rPr>
                <w:rFonts w:ascii="宋体" w:hAnsi="宋体" w:cs="宋体"/>
                <w:color w:val="auto"/>
                <w:sz w:val="24"/>
                <w:highlight w:val="none"/>
              </w:rPr>
            </w:pPr>
          </w:p>
        </w:tc>
        <w:tc>
          <w:tcPr>
            <w:tcW w:w="1244" w:type="dxa"/>
            <w:tcBorders>
              <w:top w:val="single" w:color="auto" w:sz="4" w:space="0"/>
              <w:left w:val="single" w:color="auto" w:sz="4" w:space="0"/>
              <w:bottom w:val="single" w:color="auto" w:sz="4" w:space="0"/>
              <w:right w:val="single" w:color="auto" w:sz="4" w:space="0"/>
            </w:tcBorders>
          </w:tcPr>
          <w:p w14:paraId="53475E23">
            <w:pPr>
              <w:spacing w:line="360" w:lineRule="auto"/>
              <w:rPr>
                <w:rFonts w:ascii="宋体" w:hAnsi="宋体" w:cs="宋体"/>
                <w:color w:val="auto"/>
                <w:sz w:val="24"/>
                <w:highlight w:val="none"/>
              </w:rPr>
            </w:pPr>
          </w:p>
        </w:tc>
        <w:tc>
          <w:tcPr>
            <w:tcW w:w="864" w:type="dxa"/>
            <w:tcBorders>
              <w:top w:val="single" w:color="auto" w:sz="4" w:space="0"/>
              <w:left w:val="single" w:color="auto" w:sz="4" w:space="0"/>
              <w:bottom w:val="single" w:color="auto" w:sz="4" w:space="0"/>
              <w:right w:val="single" w:color="auto" w:sz="4" w:space="0"/>
            </w:tcBorders>
          </w:tcPr>
          <w:p w14:paraId="53475E24">
            <w:pPr>
              <w:spacing w:line="360" w:lineRule="auto"/>
              <w:rPr>
                <w:rFonts w:ascii="宋体" w:hAnsi="宋体" w:cs="宋体"/>
                <w:color w:val="auto"/>
                <w:sz w:val="24"/>
                <w:highlight w:val="none"/>
              </w:rPr>
            </w:pPr>
          </w:p>
        </w:tc>
        <w:tc>
          <w:tcPr>
            <w:tcW w:w="719" w:type="dxa"/>
            <w:tcBorders>
              <w:top w:val="single" w:color="auto" w:sz="4" w:space="0"/>
              <w:left w:val="single" w:color="auto" w:sz="4" w:space="0"/>
              <w:bottom w:val="single" w:color="auto" w:sz="4" w:space="0"/>
              <w:right w:val="single" w:color="auto" w:sz="4" w:space="0"/>
            </w:tcBorders>
          </w:tcPr>
          <w:p w14:paraId="53475E25">
            <w:pPr>
              <w:spacing w:line="360" w:lineRule="auto"/>
              <w:rPr>
                <w:rFonts w:ascii="宋体" w:hAnsi="宋体" w:cs="宋体"/>
                <w:color w:val="auto"/>
                <w:sz w:val="24"/>
                <w:highlight w:val="none"/>
              </w:rPr>
            </w:pPr>
          </w:p>
        </w:tc>
        <w:tc>
          <w:tcPr>
            <w:tcW w:w="720" w:type="dxa"/>
            <w:tcBorders>
              <w:top w:val="single" w:color="auto" w:sz="4" w:space="0"/>
              <w:left w:val="single" w:color="auto" w:sz="4" w:space="0"/>
              <w:bottom w:val="single" w:color="auto" w:sz="4" w:space="0"/>
              <w:right w:val="single" w:color="auto" w:sz="4" w:space="0"/>
            </w:tcBorders>
          </w:tcPr>
          <w:p w14:paraId="53475E26">
            <w:pPr>
              <w:spacing w:line="360" w:lineRule="auto"/>
              <w:rPr>
                <w:rFonts w:ascii="宋体" w:hAnsi="宋体" w:cs="宋体"/>
                <w:color w:val="auto"/>
                <w:sz w:val="24"/>
                <w:highlight w:val="none"/>
              </w:rPr>
            </w:pPr>
          </w:p>
        </w:tc>
        <w:tc>
          <w:tcPr>
            <w:tcW w:w="864" w:type="dxa"/>
            <w:tcBorders>
              <w:top w:val="single" w:color="auto" w:sz="4" w:space="0"/>
              <w:left w:val="single" w:color="auto" w:sz="4" w:space="0"/>
              <w:bottom w:val="single" w:color="auto" w:sz="4" w:space="0"/>
              <w:right w:val="single" w:color="auto" w:sz="4" w:space="0"/>
            </w:tcBorders>
          </w:tcPr>
          <w:p w14:paraId="53475E27">
            <w:pPr>
              <w:spacing w:line="360" w:lineRule="auto"/>
              <w:rPr>
                <w:rFonts w:ascii="宋体" w:hAnsi="宋体" w:cs="宋体"/>
                <w:color w:val="auto"/>
                <w:sz w:val="24"/>
                <w:highlight w:val="none"/>
              </w:rPr>
            </w:pPr>
          </w:p>
        </w:tc>
        <w:tc>
          <w:tcPr>
            <w:tcW w:w="1151" w:type="dxa"/>
            <w:tcBorders>
              <w:top w:val="single" w:color="auto" w:sz="4" w:space="0"/>
              <w:left w:val="single" w:color="auto" w:sz="4" w:space="0"/>
              <w:bottom w:val="single" w:color="auto" w:sz="4" w:space="0"/>
              <w:right w:val="single" w:color="auto" w:sz="4" w:space="0"/>
            </w:tcBorders>
          </w:tcPr>
          <w:p w14:paraId="53475E28">
            <w:pPr>
              <w:spacing w:line="360" w:lineRule="auto"/>
              <w:rPr>
                <w:rFonts w:ascii="宋体" w:hAnsi="宋体" w:cs="宋体"/>
                <w:color w:val="auto"/>
                <w:sz w:val="24"/>
                <w:highlight w:val="none"/>
              </w:rPr>
            </w:pPr>
          </w:p>
        </w:tc>
        <w:tc>
          <w:tcPr>
            <w:tcW w:w="1007" w:type="dxa"/>
            <w:tcBorders>
              <w:top w:val="single" w:color="auto" w:sz="4" w:space="0"/>
              <w:left w:val="single" w:color="auto" w:sz="4" w:space="0"/>
              <w:bottom w:val="single" w:color="auto" w:sz="4" w:space="0"/>
              <w:right w:val="single" w:color="auto" w:sz="4" w:space="0"/>
            </w:tcBorders>
          </w:tcPr>
          <w:p w14:paraId="53475E29">
            <w:pPr>
              <w:spacing w:line="360" w:lineRule="auto"/>
              <w:rPr>
                <w:rFonts w:ascii="宋体" w:hAnsi="宋体" w:cs="宋体"/>
                <w:color w:val="auto"/>
                <w:sz w:val="24"/>
                <w:highlight w:val="none"/>
              </w:rPr>
            </w:pPr>
          </w:p>
        </w:tc>
        <w:tc>
          <w:tcPr>
            <w:tcW w:w="1151" w:type="dxa"/>
            <w:tcBorders>
              <w:top w:val="single" w:color="auto" w:sz="4" w:space="0"/>
              <w:left w:val="single" w:color="auto" w:sz="4" w:space="0"/>
              <w:bottom w:val="single" w:color="auto" w:sz="4" w:space="0"/>
              <w:right w:val="single" w:color="auto" w:sz="4" w:space="0"/>
            </w:tcBorders>
          </w:tcPr>
          <w:p w14:paraId="53475E2A">
            <w:pPr>
              <w:spacing w:line="360" w:lineRule="auto"/>
              <w:rPr>
                <w:rFonts w:ascii="宋体" w:hAnsi="宋体" w:cs="宋体"/>
                <w:color w:val="auto"/>
                <w:sz w:val="24"/>
                <w:highlight w:val="none"/>
              </w:rPr>
            </w:pPr>
          </w:p>
        </w:tc>
        <w:tc>
          <w:tcPr>
            <w:tcW w:w="1007" w:type="dxa"/>
            <w:tcBorders>
              <w:top w:val="single" w:color="auto" w:sz="4" w:space="0"/>
              <w:left w:val="single" w:color="auto" w:sz="4" w:space="0"/>
              <w:bottom w:val="single" w:color="auto" w:sz="4" w:space="0"/>
              <w:right w:val="single" w:color="auto" w:sz="4" w:space="0"/>
            </w:tcBorders>
          </w:tcPr>
          <w:p w14:paraId="53475E2B">
            <w:pPr>
              <w:spacing w:line="360" w:lineRule="auto"/>
              <w:rPr>
                <w:rFonts w:ascii="宋体" w:hAnsi="宋体" w:cs="宋体"/>
                <w:color w:val="auto"/>
                <w:sz w:val="24"/>
                <w:highlight w:val="none"/>
              </w:rPr>
            </w:pPr>
          </w:p>
        </w:tc>
      </w:tr>
      <w:tr w14:paraId="53475E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769" w:type="dxa"/>
            <w:tcBorders>
              <w:top w:val="single" w:color="auto" w:sz="4" w:space="0"/>
              <w:left w:val="single" w:color="auto" w:sz="4" w:space="0"/>
              <w:bottom w:val="single" w:color="auto" w:sz="4" w:space="0"/>
              <w:right w:val="single" w:color="auto" w:sz="4" w:space="0"/>
            </w:tcBorders>
          </w:tcPr>
          <w:p w14:paraId="53475E2D">
            <w:pPr>
              <w:spacing w:line="360" w:lineRule="auto"/>
              <w:rPr>
                <w:rFonts w:ascii="宋体" w:hAnsi="宋体" w:cs="宋体"/>
                <w:color w:val="auto"/>
                <w:sz w:val="24"/>
                <w:highlight w:val="none"/>
              </w:rPr>
            </w:pPr>
          </w:p>
        </w:tc>
        <w:tc>
          <w:tcPr>
            <w:tcW w:w="1244" w:type="dxa"/>
            <w:tcBorders>
              <w:top w:val="single" w:color="auto" w:sz="4" w:space="0"/>
              <w:left w:val="single" w:color="auto" w:sz="4" w:space="0"/>
              <w:bottom w:val="single" w:color="auto" w:sz="4" w:space="0"/>
              <w:right w:val="single" w:color="auto" w:sz="4" w:space="0"/>
            </w:tcBorders>
          </w:tcPr>
          <w:p w14:paraId="53475E2E">
            <w:pPr>
              <w:spacing w:line="360" w:lineRule="auto"/>
              <w:rPr>
                <w:rFonts w:ascii="宋体" w:hAnsi="宋体" w:cs="宋体"/>
                <w:color w:val="auto"/>
                <w:sz w:val="24"/>
                <w:highlight w:val="none"/>
              </w:rPr>
            </w:pPr>
          </w:p>
        </w:tc>
        <w:tc>
          <w:tcPr>
            <w:tcW w:w="864" w:type="dxa"/>
            <w:tcBorders>
              <w:top w:val="single" w:color="auto" w:sz="4" w:space="0"/>
              <w:left w:val="single" w:color="auto" w:sz="4" w:space="0"/>
              <w:bottom w:val="single" w:color="auto" w:sz="4" w:space="0"/>
              <w:right w:val="single" w:color="auto" w:sz="4" w:space="0"/>
            </w:tcBorders>
          </w:tcPr>
          <w:p w14:paraId="53475E2F">
            <w:pPr>
              <w:spacing w:line="360" w:lineRule="auto"/>
              <w:rPr>
                <w:rFonts w:ascii="宋体" w:hAnsi="宋体" w:cs="宋体"/>
                <w:color w:val="auto"/>
                <w:sz w:val="24"/>
                <w:highlight w:val="none"/>
              </w:rPr>
            </w:pPr>
          </w:p>
        </w:tc>
        <w:tc>
          <w:tcPr>
            <w:tcW w:w="719" w:type="dxa"/>
            <w:tcBorders>
              <w:top w:val="single" w:color="auto" w:sz="4" w:space="0"/>
              <w:left w:val="single" w:color="auto" w:sz="4" w:space="0"/>
              <w:bottom w:val="single" w:color="auto" w:sz="4" w:space="0"/>
              <w:right w:val="single" w:color="auto" w:sz="4" w:space="0"/>
            </w:tcBorders>
          </w:tcPr>
          <w:p w14:paraId="53475E30">
            <w:pPr>
              <w:spacing w:line="360" w:lineRule="auto"/>
              <w:rPr>
                <w:rFonts w:ascii="宋体" w:hAnsi="宋体" w:cs="宋体"/>
                <w:color w:val="auto"/>
                <w:sz w:val="24"/>
                <w:highlight w:val="none"/>
              </w:rPr>
            </w:pPr>
          </w:p>
        </w:tc>
        <w:tc>
          <w:tcPr>
            <w:tcW w:w="720" w:type="dxa"/>
            <w:tcBorders>
              <w:top w:val="single" w:color="auto" w:sz="4" w:space="0"/>
              <w:left w:val="single" w:color="auto" w:sz="4" w:space="0"/>
              <w:bottom w:val="single" w:color="auto" w:sz="4" w:space="0"/>
              <w:right w:val="single" w:color="auto" w:sz="4" w:space="0"/>
            </w:tcBorders>
          </w:tcPr>
          <w:p w14:paraId="53475E31">
            <w:pPr>
              <w:spacing w:line="360" w:lineRule="auto"/>
              <w:rPr>
                <w:rFonts w:ascii="宋体" w:hAnsi="宋体" w:cs="宋体"/>
                <w:color w:val="auto"/>
                <w:sz w:val="24"/>
                <w:highlight w:val="none"/>
              </w:rPr>
            </w:pPr>
          </w:p>
        </w:tc>
        <w:tc>
          <w:tcPr>
            <w:tcW w:w="864" w:type="dxa"/>
            <w:tcBorders>
              <w:top w:val="single" w:color="auto" w:sz="4" w:space="0"/>
              <w:left w:val="single" w:color="auto" w:sz="4" w:space="0"/>
              <w:bottom w:val="single" w:color="auto" w:sz="4" w:space="0"/>
              <w:right w:val="single" w:color="auto" w:sz="4" w:space="0"/>
            </w:tcBorders>
          </w:tcPr>
          <w:p w14:paraId="53475E32">
            <w:pPr>
              <w:spacing w:line="360" w:lineRule="auto"/>
              <w:rPr>
                <w:rFonts w:ascii="宋体" w:hAnsi="宋体" w:cs="宋体"/>
                <w:color w:val="auto"/>
                <w:sz w:val="24"/>
                <w:highlight w:val="none"/>
              </w:rPr>
            </w:pPr>
          </w:p>
        </w:tc>
        <w:tc>
          <w:tcPr>
            <w:tcW w:w="1151" w:type="dxa"/>
            <w:tcBorders>
              <w:top w:val="single" w:color="auto" w:sz="4" w:space="0"/>
              <w:left w:val="single" w:color="auto" w:sz="4" w:space="0"/>
              <w:bottom w:val="single" w:color="auto" w:sz="4" w:space="0"/>
              <w:right w:val="single" w:color="auto" w:sz="4" w:space="0"/>
            </w:tcBorders>
          </w:tcPr>
          <w:p w14:paraId="53475E33">
            <w:pPr>
              <w:spacing w:line="360" w:lineRule="auto"/>
              <w:rPr>
                <w:rFonts w:ascii="宋体" w:hAnsi="宋体" w:cs="宋体"/>
                <w:color w:val="auto"/>
                <w:sz w:val="24"/>
                <w:highlight w:val="none"/>
              </w:rPr>
            </w:pPr>
          </w:p>
        </w:tc>
        <w:tc>
          <w:tcPr>
            <w:tcW w:w="1007" w:type="dxa"/>
            <w:tcBorders>
              <w:top w:val="single" w:color="auto" w:sz="4" w:space="0"/>
              <w:left w:val="single" w:color="auto" w:sz="4" w:space="0"/>
              <w:bottom w:val="single" w:color="auto" w:sz="4" w:space="0"/>
              <w:right w:val="single" w:color="auto" w:sz="4" w:space="0"/>
            </w:tcBorders>
          </w:tcPr>
          <w:p w14:paraId="53475E34">
            <w:pPr>
              <w:spacing w:line="360" w:lineRule="auto"/>
              <w:rPr>
                <w:rFonts w:ascii="宋体" w:hAnsi="宋体" w:cs="宋体"/>
                <w:color w:val="auto"/>
                <w:sz w:val="24"/>
                <w:highlight w:val="none"/>
              </w:rPr>
            </w:pPr>
          </w:p>
        </w:tc>
        <w:tc>
          <w:tcPr>
            <w:tcW w:w="1151" w:type="dxa"/>
            <w:tcBorders>
              <w:top w:val="single" w:color="auto" w:sz="4" w:space="0"/>
              <w:left w:val="single" w:color="auto" w:sz="4" w:space="0"/>
              <w:bottom w:val="single" w:color="auto" w:sz="4" w:space="0"/>
              <w:right w:val="single" w:color="auto" w:sz="4" w:space="0"/>
            </w:tcBorders>
          </w:tcPr>
          <w:p w14:paraId="53475E35">
            <w:pPr>
              <w:spacing w:line="360" w:lineRule="auto"/>
              <w:rPr>
                <w:rFonts w:ascii="宋体" w:hAnsi="宋体" w:cs="宋体"/>
                <w:color w:val="auto"/>
                <w:sz w:val="24"/>
                <w:highlight w:val="none"/>
              </w:rPr>
            </w:pPr>
          </w:p>
        </w:tc>
        <w:tc>
          <w:tcPr>
            <w:tcW w:w="1007" w:type="dxa"/>
            <w:tcBorders>
              <w:top w:val="single" w:color="auto" w:sz="4" w:space="0"/>
              <w:left w:val="single" w:color="auto" w:sz="4" w:space="0"/>
              <w:bottom w:val="single" w:color="auto" w:sz="4" w:space="0"/>
              <w:right w:val="single" w:color="auto" w:sz="4" w:space="0"/>
            </w:tcBorders>
          </w:tcPr>
          <w:p w14:paraId="53475E36">
            <w:pPr>
              <w:spacing w:line="360" w:lineRule="auto"/>
              <w:rPr>
                <w:rFonts w:ascii="宋体" w:hAnsi="宋体" w:cs="宋体"/>
                <w:color w:val="auto"/>
                <w:sz w:val="24"/>
                <w:highlight w:val="none"/>
              </w:rPr>
            </w:pPr>
          </w:p>
        </w:tc>
      </w:tr>
    </w:tbl>
    <w:p w14:paraId="53475E38">
      <w:pPr>
        <w:spacing w:line="360" w:lineRule="auto"/>
        <w:rPr>
          <w:rFonts w:ascii="宋体" w:hAnsi="宋体" w:cs="宋体"/>
          <w:color w:val="auto"/>
          <w:sz w:val="24"/>
          <w:highlight w:val="none"/>
        </w:rPr>
      </w:pPr>
    </w:p>
    <w:p w14:paraId="53475E39">
      <w:pPr>
        <w:spacing w:line="360" w:lineRule="auto"/>
        <w:rPr>
          <w:rFonts w:ascii="宋体" w:hAnsi="宋体" w:cs="宋体"/>
          <w:color w:val="auto"/>
          <w:sz w:val="24"/>
          <w:highlight w:val="none"/>
        </w:rPr>
      </w:pPr>
    </w:p>
    <w:p w14:paraId="53475E3A">
      <w:pPr>
        <w:spacing w:line="360" w:lineRule="auto"/>
        <w:rPr>
          <w:rFonts w:ascii="宋体" w:hAnsi="宋体" w:cs="宋体"/>
          <w:color w:val="auto"/>
          <w:sz w:val="24"/>
          <w:highlight w:val="none"/>
        </w:rPr>
      </w:pPr>
      <w:r>
        <w:rPr>
          <w:rFonts w:hint="eastAsia" w:ascii="宋体" w:hAnsi="宋体" w:cs="宋体"/>
          <w:color w:val="auto"/>
          <w:sz w:val="24"/>
          <w:highlight w:val="none"/>
        </w:rPr>
        <w:t>附表二：拟配备本工程的试验和检测仪器设备表</w:t>
      </w:r>
    </w:p>
    <w:tbl>
      <w:tblPr>
        <w:tblStyle w:val="3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3"/>
        <w:gridCol w:w="1235"/>
        <w:gridCol w:w="857"/>
        <w:gridCol w:w="713"/>
        <w:gridCol w:w="714"/>
        <w:gridCol w:w="1142"/>
        <w:gridCol w:w="1285"/>
        <w:gridCol w:w="1142"/>
        <w:gridCol w:w="1570"/>
      </w:tblGrid>
      <w:tr w14:paraId="53475E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763" w:type="dxa"/>
            <w:tcBorders>
              <w:top w:val="single" w:color="auto" w:sz="4" w:space="0"/>
              <w:left w:val="single" w:color="auto" w:sz="4" w:space="0"/>
              <w:bottom w:val="single" w:color="auto" w:sz="4" w:space="0"/>
              <w:right w:val="single" w:color="auto" w:sz="4" w:space="0"/>
            </w:tcBorders>
            <w:vAlign w:val="center"/>
          </w:tcPr>
          <w:p w14:paraId="53475E3B">
            <w:pPr>
              <w:spacing w:line="360" w:lineRule="auto"/>
              <w:jc w:val="center"/>
              <w:rPr>
                <w:rFonts w:ascii="宋体" w:hAnsi="宋体" w:cs="宋体"/>
                <w:color w:val="auto"/>
                <w:sz w:val="24"/>
                <w:highlight w:val="none"/>
              </w:rPr>
            </w:pPr>
            <w:r>
              <w:rPr>
                <w:rFonts w:hint="eastAsia" w:ascii="宋体" w:hAnsi="宋体" w:cs="宋体"/>
                <w:color w:val="auto"/>
                <w:sz w:val="24"/>
                <w:highlight w:val="none"/>
              </w:rPr>
              <w:t>序号</w:t>
            </w:r>
          </w:p>
        </w:tc>
        <w:tc>
          <w:tcPr>
            <w:tcW w:w="1235" w:type="dxa"/>
            <w:tcBorders>
              <w:top w:val="single" w:color="auto" w:sz="4" w:space="0"/>
              <w:left w:val="single" w:color="auto" w:sz="4" w:space="0"/>
              <w:bottom w:val="single" w:color="auto" w:sz="4" w:space="0"/>
              <w:right w:val="single" w:color="auto" w:sz="4" w:space="0"/>
            </w:tcBorders>
            <w:vAlign w:val="center"/>
          </w:tcPr>
          <w:p w14:paraId="53475E3C">
            <w:pPr>
              <w:spacing w:line="360" w:lineRule="auto"/>
              <w:jc w:val="center"/>
              <w:rPr>
                <w:rFonts w:ascii="宋体" w:hAnsi="宋体" w:cs="宋体"/>
                <w:color w:val="auto"/>
                <w:sz w:val="24"/>
                <w:highlight w:val="none"/>
              </w:rPr>
            </w:pPr>
            <w:r>
              <w:rPr>
                <w:rFonts w:hint="eastAsia" w:ascii="宋体" w:hAnsi="宋体" w:cs="宋体"/>
                <w:color w:val="auto"/>
                <w:sz w:val="24"/>
                <w:highlight w:val="none"/>
              </w:rPr>
              <w:t>仪器设备名称</w:t>
            </w:r>
          </w:p>
        </w:tc>
        <w:tc>
          <w:tcPr>
            <w:tcW w:w="857" w:type="dxa"/>
            <w:tcBorders>
              <w:top w:val="single" w:color="auto" w:sz="4" w:space="0"/>
              <w:left w:val="single" w:color="auto" w:sz="4" w:space="0"/>
              <w:bottom w:val="single" w:color="auto" w:sz="4" w:space="0"/>
              <w:right w:val="single" w:color="auto" w:sz="4" w:space="0"/>
            </w:tcBorders>
            <w:vAlign w:val="center"/>
          </w:tcPr>
          <w:p w14:paraId="53475E3D">
            <w:pPr>
              <w:spacing w:line="360" w:lineRule="auto"/>
              <w:jc w:val="center"/>
              <w:rPr>
                <w:rFonts w:ascii="宋体" w:hAnsi="宋体" w:cs="宋体"/>
                <w:color w:val="auto"/>
                <w:sz w:val="24"/>
                <w:highlight w:val="none"/>
              </w:rPr>
            </w:pPr>
            <w:r>
              <w:rPr>
                <w:rFonts w:hint="eastAsia" w:ascii="宋体" w:hAnsi="宋体" w:cs="宋体"/>
                <w:color w:val="auto"/>
                <w:sz w:val="24"/>
                <w:highlight w:val="none"/>
              </w:rPr>
              <w:t>型号</w:t>
            </w:r>
          </w:p>
          <w:p w14:paraId="53475E3E">
            <w:pPr>
              <w:spacing w:line="360" w:lineRule="auto"/>
              <w:jc w:val="center"/>
              <w:rPr>
                <w:rFonts w:ascii="宋体" w:hAnsi="宋体" w:cs="宋体"/>
                <w:color w:val="auto"/>
                <w:sz w:val="24"/>
                <w:highlight w:val="none"/>
              </w:rPr>
            </w:pPr>
            <w:r>
              <w:rPr>
                <w:rFonts w:hint="eastAsia" w:ascii="宋体" w:hAnsi="宋体" w:cs="宋体"/>
                <w:color w:val="auto"/>
                <w:sz w:val="24"/>
                <w:highlight w:val="none"/>
              </w:rPr>
              <w:t>规格</w:t>
            </w:r>
          </w:p>
        </w:tc>
        <w:tc>
          <w:tcPr>
            <w:tcW w:w="713" w:type="dxa"/>
            <w:tcBorders>
              <w:top w:val="single" w:color="auto" w:sz="4" w:space="0"/>
              <w:left w:val="single" w:color="auto" w:sz="4" w:space="0"/>
              <w:bottom w:val="single" w:color="auto" w:sz="4" w:space="0"/>
              <w:right w:val="single" w:color="auto" w:sz="4" w:space="0"/>
            </w:tcBorders>
            <w:vAlign w:val="center"/>
          </w:tcPr>
          <w:p w14:paraId="53475E3F">
            <w:pPr>
              <w:spacing w:line="360" w:lineRule="auto"/>
              <w:jc w:val="center"/>
              <w:rPr>
                <w:rFonts w:ascii="宋体" w:hAnsi="宋体" w:cs="宋体"/>
                <w:color w:val="auto"/>
                <w:sz w:val="24"/>
                <w:highlight w:val="none"/>
              </w:rPr>
            </w:pPr>
            <w:r>
              <w:rPr>
                <w:rFonts w:hint="eastAsia" w:ascii="宋体" w:hAnsi="宋体" w:cs="宋体"/>
                <w:color w:val="auto"/>
                <w:sz w:val="24"/>
                <w:highlight w:val="none"/>
              </w:rPr>
              <w:t>数量</w:t>
            </w:r>
          </w:p>
        </w:tc>
        <w:tc>
          <w:tcPr>
            <w:tcW w:w="714" w:type="dxa"/>
            <w:tcBorders>
              <w:top w:val="single" w:color="auto" w:sz="4" w:space="0"/>
              <w:left w:val="single" w:color="auto" w:sz="4" w:space="0"/>
              <w:bottom w:val="single" w:color="auto" w:sz="4" w:space="0"/>
              <w:right w:val="single" w:color="auto" w:sz="4" w:space="0"/>
            </w:tcBorders>
            <w:vAlign w:val="center"/>
          </w:tcPr>
          <w:p w14:paraId="53475E40">
            <w:pPr>
              <w:spacing w:line="360" w:lineRule="auto"/>
              <w:jc w:val="center"/>
              <w:rPr>
                <w:rFonts w:ascii="宋体" w:hAnsi="宋体" w:cs="宋体"/>
                <w:color w:val="auto"/>
                <w:sz w:val="24"/>
                <w:highlight w:val="none"/>
              </w:rPr>
            </w:pPr>
            <w:r>
              <w:rPr>
                <w:rFonts w:hint="eastAsia" w:ascii="宋体" w:hAnsi="宋体" w:cs="宋体"/>
                <w:color w:val="auto"/>
                <w:sz w:val="24"/>
                <w:highlight w:val="none"/>
              </w:rPr>
              <w:t>国别</w:t>
            </w:r>
          </w:p>
          <w:p w14:paraId="53475E41">
            <w:pPr>
              <w:spacing w:line="360" w:lineRule="auto"/>
              <w:jc w:val="center"/>
              <w:rPr>
                <w:rFonts w:ascii="宋体" w:hAnsi="宋体" w:cs="宋体"/>
                <w:color w:val="auto"/>
                <w:sz w:val="24"/>
                <w:highlight w:val="none"/>
              </w:rPr>
            </w:pPr>
            <w:r>
              <w:rPr>
                <w:rFonts w:hint="eastAsia" w:ascii="宋体" w:hAnsi="宋体" w:cs="宋体"/>
                <w:color w:val="auto"/>
                <w:sz w:val="24"/>
                <w:highlight w:val="none"/>
              </w:rPr>
              <w:t>产地</w:t>
            </w:r>
          </w:p>
        </w:tc>
        <w:tc>
          <w:tcPr>
            <w:tcW w:w="1142" w:type="dxa"/>
            <w:tcBorders>
              <w:top w:val="single" w:color="auto" w:sz="4" w:space="0"/>
              <w:left w:val="single" w:color="auto" w:sz="4" w:space="0"/>
              <w:bottom w:val="single" w:color="auto" w:sz="4" w:space="0"/>
              <w:right w:val="single" w:color="auto" w:sz="4" w:space="0"/>
            </w:tcBorders>
            <w:vAlign w:val="center"/>
          </w:tcPr>
          <w:p w14:paraId="53475E42">
            <w:pPr>
              <w:spacing w:line="360" w:lineRule="auto"/>
              <w:jc w:val="center"/>
              <w:rPr>
                <w:rFonts w:ascii="宋体" w:hAnsi="宋体" w:cs="宋体"/>
                <w:color w:val="auto"/>
                <w:sz w:val="24"/>
                <w:highlight w:val="none"/>
              </w:rPr>
            </w:pPr>
            <w:r>
              <w:rPr>
                <w:rFonts w:hint="eastAsia" w:ascii="宋体" w:hAnsi="宋体" w:cs="宋体"/>
                <w:color w:val="auto"/>
                <w:sz w:val="24"/>
                <w:highlight w:val="none"/>
              </w:rPr>
              <w:t>制造年份</w:t>
            </w:r>
          </w:p>
        </w:tc>
        <w:tc>
          <w:tcPr>
            <w:tcW w:w="1285" w:type="dxa"/>
            <w:tcBorders>
              <w:top w:val="single" w:color="auto" w:sz="4" w:space="0"/>
              <w:left w:val="single" w:color="auto" w:sz="4" w:space="0"/>
              <w:bottom w:val="single" w:color="auto" w:sz="4" w:space="0"/>
              <w:right w:val="single" w:color="auto" w:sz="4" w:space="0"/>
            </w:tcBorders>
            <w:vAlign w:val="center"/>
          </w:tcPr>
          <w:p w14:paraId="53475E43">
            <w:pPr>
              <w:spacing w:line="360" w:lineRule="auto"/>
              <w:jc w:val="center"/>
              <w:rPr>
                <w:rFonts w:ascii="宋体" w:hAnsi="宋体" w:cs="宋体"/>
                <w:color w:val="auto"/>
                <w:sz w:val="24"/>
                <w:highlight w:val="none"/>
              </w:rPr>
            </w:pPr>
            <w:r>
              <w:rPr>
                <w:rFonts w:hint="eastAsia" w:ascii="宋体" w:hAnsi="宋体" w:cs="宋体"/>
                <w:color w:val="auto"/>
                <w:sz w:val="24"/>
                <w:highlight w:val="none"/>
              </w:rPr>
              <w:t>已使用</w:t>
            </w:r>
          </w:p>
          <w:p w14:paraId="53475E44">
            <w:pPr>
              <w:spacing w:line="360" w:lineRule="auto"/>
              <w:jc w:val="center"/>
              <w:rPr>
                <w:rFonts w:ascii="宋体" w:hAnsi="宋体" w:cs="宋体"/>
                <w:color w:val="auto"/>
                <w:sz w:val="24"/>
                <w:highlight w:val="none"/>
              </w:rPr>
            </w:pPr>
            <w:r>
              <w:rPr>
                <w:rFonts w:hint="eastAsia" w:ascii="宋体" w:hAnsi="宋体" w:cs="宋体"/>
                <w:color w:val="auto"/>
                <w:sz w:val="24"/>
                <w:highlight w:val="none"/>
              </w:rPr>
              <w:t>台时数</w:t>
            </w:r>
          </w:p>
        </w:tc>
        <w:tc>
          <w:tcPr>
            <w:tcW w:w="1142" w:type="dxa"/>
            <w:tcBorders>
              <w:top w:val="single" w:color="auto" w:sz="4" w:space="0"/>
              <w:left w:val="single" w:color="auto" w:sz="4" w:space="0"/>
              <w:bottom w:val="single" w:color="auto" w:sz="4" w:space="0"/>
              <w:right w:val="single" w:color="auto" w:sz="4" w:space="0"/>
            </w:tcBorders>
            <w:vAlign w:val="center"/>
          </w:tcPr>
          <w:p w14:paraId="53475E45">
            <w:pPr>
              <w:spacing w:line="360" w:lineRule="auto"/>
              <w:jc w:val="center"/>
              <w:rPr>
                <w:rFonts w:ascii="宋体" w:hAnsi="宋体" w:cs="宋体"/>
                <w:color w:val="auto"/>
                <w:sz w:val="24"/>
                <w:highlight w:val="none"/>
              </w:rPr>
            </w:pPr>
            <w:r>
              <w:rPr>
                <w:rFonts w:hint="eastAsia" w:ascii="宋体" w:hAnsi="宋体" w:cs="宋体"/>
                <w:color w:val="auto"/>
                <w:sz w:val="24"/>
                <w:highlight w:val="none"/>
              </w:rPr>
              <w:t>用途</w:t>
            </w:r>
          </w:p>
        </w:tc>
        <w:tc>
          <w:tcPr>
            <w:tcW w:w="1570" w:type="dxa"/>
            <w:tcBorders>
              <w:top w:val="single" w:color="auto" w:sz="4" w:space="0"/>
              <w:left w:val="single" w:color="auto" w:sz="4" w:space="0"/>
              <w:bottom w:val="single" w:color="auto" w:sz="4" w:space="0"/>
              <w:right w:val="single" w:color="auto" w:sz="4" w:space="0"/>
            </w:tcBorders>
            <w:vAlign w:val="center"/>
          </w:tcPr>
          <w:p w14:paraId="53475E46">
            <w:pPr>
              <w:spacing w:line="360" w:lineRule="auto"/>
              <w:jc w:val="center"/>
              <w:rPr>
                <w:rFonts w:ascii="宋体" w:hAnsi="宋体" w:cs="宋体"/>
                <w:color w:val="auto"/>
                <w:sz w:val="24"/>
                <w:highlight w:val="none"/>
              </w:rPr>
            </w:pPr>
            <w:r>
              <w:rPr>
                <w:rFonts w:hint="eastAsia" w:ascii="宋体" w:hAnsi="宋体" w:cs="宋体"/>
                <w:color w:val="auto"/>
                <w:sz w:val="24"/>
                <w:highlight w:val="none"/>
              </w:rPr>
              <w:t>备注</w:t>
            </w:r>
          </w:p>
        </w:tc>
      </w:tr>
      <w:tr w14:paraId="53475E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jc w:val="center"/>
        </w:trPr>
        <w:tc>
          <w:tcPr>
            <w:tcW w:w="763" w:type="dxa"/>
            <w:tcBorders>
              <w:top w:val="single" w:color="auto" w:sz="4" w:space="0"/>
              <w:left w:val="single" w:color="auto" w:sz="4" w:space="0"/>
              <w:bottom w:val="single" w:color="auto" w:sz="4" w:space="0"/>
              <w:right w:val="single" w:color="auto" w:sz="4" w:space="0"/>
            </w:tcBorders>
            <w:vAlign w:val="center"/>
          </w:tcPr>
          <w:p w14:paraId="53475E48">
            <w:pPr>
              <w:spacing w:line="360" w:lineRule="auto"/>
              <w:ind w:firstLine="480" w:firstLineChars="200"/>
              <w:rPr>
                <w:rFonts w:ascii="宋体" w:hAnsi="宋体" w:cs="宋体"/>
                <w:color w:val="auto"/>
                <w:sz w:val="24"/>
                <w:highlight w:val="none"/>
              </w:rPr>
            </w:pPr>
          </w:p>
        </w:tc>
        <w:tc>
          <w:tcPr>
            <w:tcW w:w="1235" w:type="dxa"/>
            <w:tcBorders>
              <w:top w:val="single" w:color="auto" w:sz="4" w:space="0"/>
              <w:left w:val="single" w:color="auto" w:sz="4" w:space="0"/>
              <w:bottom w:val="single" w:color="auto" w:sz="4" w:space="0"/>
              <w:right w:val="single" w:color="auto" w:sz="4" w:space="0"/>
            </w:tcBorders>
            <w:vAlign w:val="center"/>
          </w:tcPr>
          <w:p w14:paraId="53475E49">
            <w:pPr>
              <w:spacing w:line="360" w:lineRule="auto"/>
              <w:ind w:firstLine="480" w:firstLineChars="200"/>
              <w:rPr>
                <w:rFonts w:ascii="宋体" w:hAnsi="宋体" w:cs="宋体"/>
                <w:color w:val="auto"/>
                <w:sz w:val="24"/>
                <w:highlight w:val="none"/>
              </w:rPr>
            </w:pPr>
          </w:p>
        </w:tc>
        <w:tc>
          <w:tcPr>
            <w:tcW w:w="857" w:type="dxa"/>
            <w:tcBorders>
              <w:top w:val="single" w:color="auto" w:sz="4" w:space="0"/>
              <w:left w:val="single" w:color="auto" w:sz="4" w:space="0"/>
              <w:bottom w:val="single" w:color="auto" w:sz="4" w:space="0"/>
              <w:right w:val="single" w:color="auto" w:sz="4" w:space="0"/>
            </w:tcBorders>
            <w:vAlign w:val="center"/>
          </w:tcPr>
          <w:p w14:paraId="53475E4A">
            <w:pPr>
              <w:spacing w:line="360" w:lineRule="auto"/>
              <w:ind w:firstLine="480" w:firstLineChars="200"/>
              <w:rPr>
                <w:rFonts w:ascii="宋体" w:hAnsi="宋体" w:cs="宋体"/>
                <w:color w:val="auto"/>
                <w:sz w:val="24"/>
                <w:highlight w:val="none"/>
              </w:rPr>
            </w:pPr>
          </w:p>
        </w:tc>
        <w:tc>
          <w:tcPr>
            <w:tcW w:w="713" w:type="dxa"/>
            <w:tcBorders>
              <w:top w:val="single" w:color="auto" w:sz="4" w:space="0"/>
              <w:left w:val="single" w:color="auto" w:sz="4" w:space="0"/>
              <w:bottom w:val="single" w:color="auto" w:sz="4" w:space="0"/>
              <w:right w:val="single" w:color="auto" w:sz="4" w:space="0"/>
            </w:tcBorders>
            <w:vAlign w:val="center"/>
          </w:tcPr>
          <w:p w14:paraId="53475E4B">
            <w:pPr>
              <w:spacing w:line="360" w:lineRule="auto"/>
              <w:ind w:firstLine="480" w:firstLineChars="200"/>
              <w:rPr>
                <w:rFonts w:ascii="宋体" w:hAnsi="宋体" w:cs="宋体"/>
                <w:color w:val="auto"/>
                <w:sz w:val="24"/>
                <w:highlight w:val="none"/>
              </w:rPr>
            </w:pPr>
          </w:p>
        </w:tc>
        <w:tc>
          <w:tcPr>
            <w:tcW w:w="714" w:type="dxa"/>
            <w:tcBorders>
              <w:top w:val="single" w:color="auto" w:sz="4" w:space="0"/>
              <w:left w:val="single" w:color="auto" w:sz="4" w:space="0"/>
              <w:bottom w:val="single" w:color="auto" w:sz="4" w:space="0"/>
              <w:right w:val="single" w:color="auto" w:sz="4" w:space="0"/>
            </w:tcBorders>
            <w:vAlign w:val="center"/>
          </w:tcPr>
          <w:p w14:paraId="53475E4C">
            <w:pPr>
              <w:spacing w:line="360" w:lineRule="auto"/>
              <w:ind w:firstLine="480" w:firstLineChars="200"/>
              <w:rPr>
                <w:rFonts w:ascii="宋体" w:hAnsi="宋体" w:cs="宋体"/>
                <w:color w:val="auto"/>
                <w:sz w:val="24"/>
                <w:highlight w:val="none"/>
              </w:rPr>
            </w:pPr>
          </w:p>
        </w:tc>
        <w:tc>
          <w:tcPr>
            <w:tcW w:w="1142" w:type="dxa"/>
            <w:tcBorders>
              <w:top w:val="single" w:color="auto" w:sz="4" w:space="0"/>
              <w:left w:val="single" w:color="auto" w:sz="4" w:space="0"/>
              <w:bottom w:val="single" w:color="auto" w:sz="4" w:space="0"/>
              <w:right w:val="single" w:color="auto" w:sz="4" w:space="0"/>
            </w:tcBorders>
            <w:vAlign w:val="center"/>
          </w:tcPr>
          <w:p w14:paraId="53475E4D">
            <w:pPr>
              <w:spacing w:line="360" w:lineRule="auto"/>
              <w:ind w:firstLine="480" w:firstLineChars="200"/>
              <w:rPr>
                <w:rFonts w:ascii="宋体" w:hAnsi="宋体" w:cs="宋体"/>
                <w:color w:val="auto"/>
                <w:sz w:val="24"/>
                <w:highlight w:val="none"/>
              </w:rPr>
            </w:pPr>
          </w:p>
        </w:tc>
        <w:tc>
          <w:tcPr>
            <w:tcW w:w="1285" w:type="dxa"/>
            <w:tcBorders>
              <w:top w:val="single" w:color="auto" w:sz="4" w:space="0"/>
              <w:left w:val="single" w:color="auto" w:sz="4" w:space="0"/>
              <w:bottom w:val="single" w:color="auto" w:sz="4" w:space="0"/>
              <w:right w:val="single" w:color="auto" w:sz="4" w:space="0"/>
            </w:tcBorders>
            <w:vAlign w:val="center"/>
          </w:tcPr>
          <w:p w14:paraId="53475E4E">
            <w:pPr>
              <w:spacing w:line="360" w:lineRule="auto"/>
              <w:ind w:firstLine="480" w:firstLineChars="200"/>
              <w:rPr>
                <w:rFonts w:ascii="宋体" w:hAnsi="宋体" w:cs="宋体"/>
                <w:color w:val="auto"/>
                <w:sz w:val="24"/>
                <w:highlight w:val="none"/>
              </w:rPr>
            </w:pPr>
          </w:p>
        </w:tc>
        <w:tc>
          <w:tcPr>
            <w:tcW w:w="1142" w:type="dxa"/>
            <w:tcBorders>
              <w:top w:val="single" w:color="auto" w:sz="4" w:space="0"/>
              <w:left w:val="single" w:color="auto" w:sz="4" w:space="0"/>
              <w:bottom w:val="single" w:color="auto" w:sz="4" w:space="0"/>
              <w:right w:val="single" w:color="auto" w:sz="4" w:space="0"/>
            </w:tcBorders>
            <w:vAlign w:val="center"/>
          </w:tcPr>
          <w:p w14:paraId="53475E4F">
            <w:pPr>
              <w:spacing w:line="360" w:lineRule="auto"/>
              <w:ind w:firstLine="480" w:firstLineChars="200"/>
              <w:rPr>
                <w:rFonts w:ascii="宋体" w:hAnsi="宋体" w:cs="宋体"/>
                <w:color w:val="auto"/>
                <w:sz w:val="24"/>
                <w:highlight w:val="none"/>
              </w:rPr>
            </w:pPr>
          </w:p>
        </w:tc>
        <w:tc>
          <w:tcPr>
            <w:tcW w:w="1570" w:type="dxa"/>
            <w:tcBorders>
              <w:top w:val="single" w:color="auto" w:sz="4" w:space="0"/>
              <w:left w:val="single" w:color="auto" w:sz="4" w:space="0"/>
              <w:bottom w:val="single" w:color="auto" w:sz="4" w:space="0"/>
              <w:right w:val="single" w:color="auto" w:sz="4" w:space="0"/>
            </w:tcBorders>
            <w:vAlign w:val="center"/>
          </w:tcPr>
          <w:p w14:paraId="53475E50">
            <w:pPr>
              <w:spacing w:line="360" w:lineRule="auto"/>
              <w:ind w:firstLine="480" w:firstLineChars="200"/>
              <w:rPr>
                <w:rFonts w:ascii="宋体" w:hAnsi="宋体" w:cs="宋体"/>
                <w:color w:val="auto"/>
                <w:sz w:val="24"/>
                <w:highlight w:val="none"/>
              </w:rPr>
            </w:pPr>
          </w:p>
        </w:tc>
      </w:tr>
      <w:tr w14:paraId="53475E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763" w:type="dxa"/>
            <w:tcBorders>
              <w:top w:val="single" w:color="auto" w:sz="4" w:space="0"/>
              <w:left w:val="single" w:color="auto" w:sz="4" w:space="0"/>
              <w:bottom w:val="single" w:color="auto" w:sz="4" w:space="0"/>
              <w:right w:val="single" w:color="auto" w:sz="4" w:space="0"/>
            </w:tcBorders>
            <w:vAlign w:val="center"/>
          </w:tcPr>
          <w:p w14:paraId="53475E52">
            <w:pPr>
              <w:spacing w:line="360" w:lineRule="auto"/>
              <w:ind w:firstLine="480" w:firstLineChars="200"/>
              <w:rPr>
                <w:rFonts w:ascii="宋体" w:hAnsi="宋体" w:cs="宋体"/>
                <w:color w:val="auto"/>
                <w:sz w:val="24"/>
                <w:highlight w:val="none"/>
              </w:rPr>
            </w:pPr>
          </w:p>
        </w:tc>
        <w:tc>
          <w:tcPr>
            <w:tcW w:w="1235" w:type="dxa"/>
            <w:tcBorders>
              <w:top w:val="single" w:color="auto" w:sz="4" w:space="0"/>
              <w:left w:val="single" w:color="auto" w:sz="4" w:space="0"/>
              <w:bottom w:val="single" w:color="auto" w:sz="4" w:space="0"/>
              <w:right w:val="single" w:color="auto" w:sz="4" w:space="0"/>
            </w:tcBorders>
            <w:vAlign w:val="center"/>
          </w:tcPr>
          <w:p w14:paraId="53475E53">
            <w:pPr>
              <w:spacing w:line="360" w:lineRule="auto"/>
              <w:ind w:firstLine="480" w:firstLineChars="200"/>
              <w:rPr>
                <w:rFonts w:ascii="宋体" w:hAnsi="宋体" w:cs="宋体"/>
                <w:color w:val="auto"/>
                <w:sz w:val="24"/>
                <w:highlight w:val="none"/>
              </w:rPr>
            </w:pPr>
          </w:p>
        </w:tc>
        <w:tc>
          <w:tcPr>
            <w:tcW w:w="857" w:type="dxa"/>
            <w:tcBorders>
              <w:top w:val="single" w:color="auto" w:sz="4" w:space="0"/>
              <w:left w:val="single" w:color="auto" w:sz="4" w:space="0"/>
              <w:bottom w:val="single" w:color="auto" w:sz="4" w:space="0"/>
              <w:right w:val="single" w:color="auto" w:sz="4" w:space="0"/>
            </w:tcBorders>
            <w:vAlign w:val="center"/>
          </w:tcPr>
          <w:p w14:paraId="53475E54">
            <w:pPr>
              <w:spacing w:line="360" w:lineRule="auto"/>
              <w:ind w:firstLine="480" w:firstLineChars="200"/>
              <w:rPr>
                <w:rFonts w:ascii="宋体" w:hAnsi="宋体" w:cs="宋体"/>
                <w:color w:val="auto"/>
                <w:sz w:val="24"/>
                <w:highlight w:val="none"/>
              </w:rPr>
            </w:pPr>
          </w:p>
        </w:tc>
        <w:tc>
          <w:tcPr>
            <w:tcW w:w="713" w:type="dxa"/>
            <w:tcBorders>
              <w:top w:val="single" w:color="auto" w:sz="4" w:space="0"/>
              <w:left w:val="single" w:color="auto" w:sz="4" w:space="0"/>
              <w:bottom w:val="single" w:color="auto" w:sz="4" w:space="0"/>
              <w:right w:val="single" w:color="auto" w:sz="4" w:space="0"/>
            </w:tcBorders>
            <w:vAlign w:val="center"/>
          </w:tcPr>
          <w:p w14:paraId="53475E55">
            <w:pPr>
              <w:spacing w:line="360" w:lineRule="auto"/>
              <w:ind w:firstLine="480" w:firstLineChars="200"/>
              <w:rPr>
                <w:rFonts w:ascii="宋体" w:hAnsi="宋体" w:cs="宋体"/>
                <w:color w:val="auto"/>
                <w:sz w:val="24"/>
                <w:highlight w:val="none"/>
              </w:rPr>
            </w:pPr>
          </w:p>
        </w:tc>
        <w:tc>
          <w:tcPr>
            <w:tcW w:w="714" w:type="dxa"/>
            <w:tcBorders>
              <w:top w:val="single" w:color="auto" w:sz="4" w:space="0"/>
              <w:left w:val="single" w:color="auto" w:sz="4" w:space="0"/>
              <w:bottom w:val="single" w:color="auto" w:sz="4" w:space="0"/>
              <w:right w:val="single" w:color="auto" w:sz="4" w:space="0"/>
            </w:tcBorders>
            <w:vAlign w:val="center"/>
          </w:tcPr>
          <w:p w14:paraId="53475E56">
            <w:pPr>
              <w:spacing w:line="360" w:lineRule="auto"/>
              <w:ind w:firstLine="480" w:firstLineChars="200"/>
              <w:rPr>
                <w:rFonts w:ascii="宋体" w:hAnsi="宋体" w:cs="宋体"/>
                <w:color w:val="auto"/>
                <w:sz w:val="24"/>
                <w:highlight w:val="none"/>
              </w:rPr>
            </w:pPr>
          </w:p>
        </w:tc>
        <w:tc>
          <w:tcPr>
            <w:tcW w:w="1142" w:type="dxa"/>
            <w:tcBorders>
              <w:top w:val="single" w:color="auto" w:sz="4" w:space="0"/>
              <w:left w:val="single" w:color="auto" w:sz="4" w:space="0"/>
              <w:bottom w:val="single" w:color="auto" w:sz="4" w:space="0"/>
              <w:right w:val="single" w:color="auto" w:sz="4" w:space="0"/>
            </w:tcBorders>
            <w:vAlign w:val="center"/>
          </w:tcPr>
          <w:p w14:paraId="53475E57">
            <w:pPr>
              <w:spacing w:line="360" w:lineRule="auto"/>
              <w:ind w:firstLine="480" w:firstLineChars="200"/>
              <w:rPr>
                <w:rFonts w:ascii="宋体" w:hAnsi="宋体" w:cs="宋体"/>
                <w:color w:val="auto"/>
                <w:sz w:val="24"/>
                <w:highlight w:val="none"/>
              </w:rPr>
            </w:pPr>
          </w:p>
        </w:tc>
        <w:tc>
          <w:tcPr>
            <w:tcW w:w="1285" w:type="dxa"/>
            <w:tcBorders>
              <w:top w:val="single" w:color="auto" w:sz="4" w:space="0"/>
              <w:left w:val="single" w:color="auto" w:sz="4" w:space="0"/>
              <w:bottom w:val="single" w:color="auto" w:sz="4" w:space="0"/>
              <w:right w:val="single" w:color="auto" w:sz="4" w:space="0"/>
            </w:tcBorders>
            <w:vAlign w:val="center"/>
          </w:tcPr>
          <w:p w14:paraId="53475E58">
            <w:pPr>
              <w:spacing w:line="360" w:lineRule="auto"/>
              <w:ind w:firstLine="480" w:firstLineChars="200"/>
              <w:rPr>
                <w:rFonts w:ascii="宋体" w:hAnsi="宋体" w:cs="宋体"/>
                <w:color w:val="auto"/>
                <w:sz w:val="24"/>
                <w:highlight w:val="none"/>
              </w:rPr>
            </w:pPr>
          </w:p>
        </w:tc>
        <w:tc>
          <w:tcPr>
            <w:tcW w:w="1142" w:type="dxa"/>
            <w:tcBorders>
              <w:top w:val="single" w:color="auto" w:sz="4" w:space="0"/>
              <w:left w:val="single" w:color="auto" w:sz="4" w:space="0"/>
              <w:bottom w:val="single" w:color="auto" w:sz="4" w:space="0"/>
              <w:right w:val="single" w:color="auto" w:sz="4" w:space="0"/>
            </w:tcBorders>
            <w:vAlign w:val="center"/>
          </w:tcPr>
          <w:p w14:paraId="53475E59">
            <w:pPr>
              <w:spacing w:line="360" w:lineRule="auto"/>
              <w:ind w:firstLine="480" w:firstLineChars="200"/>
              <w:rPr>
                <w:rFonts w:ascii="宋体" w:hAnsi="宋体" w:cs="宋体"/>
                <w:color w:val="auto"/>
                <w:sz w:val="24"/>
                <w:highlight w:val="none"/>
              </w:rPr>
            </w:pPr>
          </w:p>
        </w:tc>
        <w:tc>
          <w:tcPr>
            <w:tcW w:w="1570" w:type="dxa"/>
            <w:tcBorders>
              <w:top w:val="single" w:color="auto" w:sz="4" w:space="0"/>
              <w:left w:val="single" w:color="auto" w:sz="4" w:space="0"/>
              <w:bottom w:val="single" w:color="auto" w:sz="4" w:space="0"/>
              <w:right w:val="single" w:color="auto" w:sz="4" w:space="0"/>
            </w:tcBorders>
            <w:vAlign w:val="center"/>
          </w:tcPr>
          <w:p w14:paraId="53475E5A">
            <w:pPr>
              <w:spacing w:line="360" w:lineRule="auto"/>
              <w:ind w:firstLine="480" w:firstLineChars="200"/>
              <w:rPr>
                <w:rFonts w:ascii="宋体" w:hAnsi="宋体" w:cs="宋体"/>
                <w:color w:val="auto"/>
                <w:sz w:val="24"/>
                <w:highlight w:val="none"/>
              </w:rPr>
            </w:pPr>
          </w:p>
        </w:tc>
      </w:tr>
      <w:tr w14:paraId="53475E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jc w:val="center"/>
        </w:trPr>
        <w:tc>
          <w:tcPr>
            <w:tcW w:w="763" w:type="dxa"/>
            <w:tcBorders>
              <w:top w:val="single" w:color="auto" w:sz="4" w:space="0"/>
              <w:left w:val="single" w:color="auto" w:sz="4" w:space="0"/>
              <w:bottom w:val="single" w:color="auto" w:sz="4" w:space="0"/>
              <w:right w:val="single" w:color="auto" w:sz="4" w:space="0"/>
            </w:tcBorders>
            <w:vAlign w:val="center"/>
          </w:tcPr>
          <w:p w14:paraId="53475E5C">
            <w:pPr>
              <w:spacing w:line="360" w:lineRule="auto"/>
              <w:ind w:firstLine="480" w:firstLineChars="200"/>
              <w:rPr>
                <w:rFonts w:ascii="宋体" w:hAnsi="宋体" w:cs="宋体"/>
                <w:color w:val="auto"/>
                <w:sz w:val="24"/>
                <w:highlight w:val="none"/>
              </w:rPr>
            </w:pPr>
          </w:p>
        </w:tc>
        <w:tc>
          <w:tcPr>
            <w:tcW w:w="1235" w:type="dxa"/>
            <w:tcBorders>
              <w:top w:val="single" w:color="auto" w:sz="4" w:space="0"/>
              <w:left w:val="single" w:color="auto" w:sz="4" w:space="0"/>
              <w:bottom w:val="single" w:color="auto" w:sz="4" w:space="0"/>
              <w:right w:val="single" w:color="auto" w:sz="4" w:space="0"/>
            </w:tcBorders>
            <w:vAlign w:val="center"/>
          </w:tcPr>
          <w:p w14:paraId="53475E5D">
            <w:pPr>
              <w:spacing w:line="360" w:lineRule="auto"/>
              <w:ind w:firstLine="480" w:firstLineChars="200"/>
              <w:rPr>
                <w:rFonts w:ascii="宋体" w:hAnsi="宋体" w:cs="宋体"/>
                <w:color w:val="auto"/>
                <w:sz w:val="24"/>
                <w:highlight w:val="none"/>
              </w:rPr>
            </w:pPr>
          </w:p>
        </w:tc>
        <w:tc>
          <w:tcPr>
            <w:tcW w:w="857" w:type="dxa"/>
            <w:tcBorders>
              <w:top w:val="single" w:color="auto" w:sz="4" w:space="0"/>
              <w:left w:val="single" w:color="auto" w:sz="4" w:space="0"/>
              <w:bottom w:val="single" w:color="auto" w:sz="4" w:space="0"/>
              <w:right w:val="single" w:color="auto" w:sz="4" w:space="0"/>
            </w:tcBorders>
            <w:vAlign w:val="center"/>
          </w:tcPr>
          <w:p w14:paraId="53475E5E">
            <w:pPr>
              <w:spacing w:line="360" w:lineRule="auto"/>
              <w:ind w:firstLine="480" w:firstLineChars="200"/>
              <w:rPr>
                <w:rFonts w:ascii="宋体" w:hAnsi="宋体" w:cs="宋体"/>
                <w:color w:val="auto"/>
                <w:sz w:val="24"/>
                <w:highlight w:val="none"/>
              </w:rPr>
            </w:pPr>
          </w:p>
        </w:tc>
        <w:tc>
          <w:tcPr>
            <w:tcW w:w="713" w:type="dxa"/>
            <w:tcBorders>
              <w:top w:val="single" w:color="auto" w:sz="4" w:space="0"/>
              <w:left w:val="single" w:color="auto" w:sz="4" w:space="0"/>
              <w:bottom w:val="single" w:color="auto" w:sz="4" w:space="0"/>
              <w:right w:val="single" w:color="auto" w:sz="4" w:space="0"/>
            </w:tcBorders>
            <w:vAlign w:val="center"/>
          </w:tcPr>
          <w:p w14:paraId="53475E5F">
            <w:pPr>
              <w:spacing w:line="360" w:lineRule="auto"/>
              <w:ind w:firstLine="480" w:firstLineChars="200"/>
              <w:rPr>
                <w:rFonts w:ascii="宋体" w:hAnsi="宋体" w:cs="宋体"/>
                <w:color w:val="auto"/>
                <w:sz w:val="24"/>
                <w:highlight w:val="none"/>
              </w:rPr>
            </w:pPr>
          </w:p>
        </w:tc>
        <w:tc>
          <w:tcPr>
            <w:tcW w:w="714" w:type="dxa"/>
            <w:tcBorders>
              <w:top w:val="single" w:color="auto" w:sz="4" w:space="0"/>
              <w:left w:val="single" w:color="auto" w:sz="4" w:space="0"/>
              <w:bottom w:val="single" w:color="auto" w:sz="4" w:space="0"/>
              <w:right w:val="single" w:color="auto" w:sz="4" w:space="0"/>
            </w:tcBorders>
            <w:vAlign w:val="center"/>
          </w:tcPr>
          <w:p w14:paraId="53475E60">
            <w:pPr>
              <w:spacing w:line="360" w:lineRule="auto"/>
              <w:ind w:firstLine="480" w:firstLineChars="200"/>
              <w:rPr>
                <w:rFonts w:ascii="宋体" w:hAnsi="宋体" w:cs="宋体"/>
                <w:color w:val="auto"/>
                <w:sz w:val="24"/>
                <w:highlight w:val="none"/>
              </w:rPr>
            </w:pPr>
          </w:p>
        </w:tc>
        <w:tc>
          <w:tcPr>
            <w:tcW w:w="1142" w:type="dxa"/>
            <w:tcBorders>
              <w:top w:val="single" w:color="auto" w:sz="4" w:space="0"/>
              <w:left w:val="single" w:color="auto" w:sz="4" w:space="0"/>
              <w:bottom w:val="single" w:color="auto" w:sz="4" w:space="0"/>
              <w:right w:val="single" w:color="auto" w:sz="4" w:space="0"/>
            </w:tcBorders>
            <w:vAlign w:val="center"/>
          </w:tcPr>
          <w:p w14:paraId="53475E61">
            <w:pPr>
              <w:spacing w:line="360" w:lineRule="auto"/>
              <w:ind w:firstLine="480" w:firstLineChars="200"/>
              <w:rPr>
                <w:rFonts w:ascii="宋体" w:hAnsi="宋体" w:cs="宋体"/>
                <w:color w:val="auto"/>
                <w:sz w:val="24"/>
                <w:highlight w:val="none"/>
              </w:rPr>
            </w:pPr>
          </w:p>
        </w:tc>
        <w:tc>
          <w:tcPr>
            <w:tcW w:w="1285" w:type="dxa"/>
            <w:tcBorders>
              <w:top w:val="single" w:color="auto" w:sz="4" w:space="0"/>
              <w:left w:val="single" w:color="auto" w:sz="4" w:space="0"/>
              <w:bottom w:val="single" w:color="auto" w:sz="4" w:space="0"/>
              <w:right w:val="single" w:color="auto" w:sz="4" w:space="0"/>
            </w:tcBorders>
            <w:vAlign w:val="center"/>
          </w:tcPr>
          <w:p w14:paraId="53475E62">
            <w:pPr>
              <w:spacing w:line="360" w:lineRule="auto"/>
              <w:ind w:firstLine="480" w:firstLineChars="200"/>
              <w:rPr>
                <w:rFonts w:ascii="宋体" w:hAnsi="宋体" w:cs="宋体"/>
                <w:color w:val="auto"/>
                <w:sz w:val="24"/>
                <w:highlight w:val="none"/>
              </w:rPr>
            </w:pPr>
          </w:p>
        </w:tc>
        <w:tc>
          <w:tcPr>
            <w:tcW w:w="1142" w:type="dxa"/>
            <w:tcBorders>
              <w:top w:val="single" w:color="auto" w:sz="4" w:space="0"/>
              <w:left w:val="single" w:color="auto" w:sz="4" w:space="0"/>
              <w:bottom w:val="single" w:color="auto" w:sz="4" w:space="0"/>
              <w:right w:val="single" w:color="auto" w:sz="4" w:space="0"/>
            </w:tcBorders>
            <w:vAlign w:val="center"/>
          </w:tcPr>
          <w:p w14:paraId="53475E63">
            <w:pPr>
              <w:spacing w:line="360" w:lineRule="auto"/>
              <w:ind w:firstLine="480" w:firstLineChars="200"/>
              <w:rPr>
                <w:rFonts w:ascii="宋体" w:hAnsi="宋体" w:cs="宋体"/>
                <w:color w:val="auto"/>
                <w:sz w:val="24"/>
                <w:highlight w:val="none"/>
              </w:rPr>
            </w:pPr>
          </w:p>
        </w:tc>
        <w:tc>
          <w:tcPr>
            <w:tcW w:w="1570" w:type="dxa"/>
            <w:tcBorders>
              <w:top w:val="single" w:color="auto" w:sz="4" w:space="0"/>
              <w:left w:val="single" w:color="auto" w:sz="4" w:space="0"/>
              <w:bottom w:val="single" w:color="auto" w:sz="4" w:space="0"/>
              <w:right w:val="single" w:color="auto" w:sz="4" w:space="0"/>
            </w:tcBorders>
            <w:vAlign w:val="center"/>
          </w:tcPr>
          <w:p w14:paraId="53475E64">
            <w:pPr>
              <w:spacing w:line="360" w:lineRule="auto"/>
              <w:ind w:firstLine="480" w:firstLineChars="200"/>
              <w:rPr>
                <w:rFonts w:ascii="宋体" w:hAnsi="宋体" w:cs="宋体"/>
                <w:color w:val="auto"/>
                <w:sz w:val="24"/>
                <w:highlight w:val="none"/>
              </w:rPr>
            </w:pPr>
          </w:p>
        </w:tc>
      </w:tr>
      <w:tr w14:paraId="53475E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jc w:val="center"/>
        </w:trPr>
        <w:tc>
          <w:tcPr>
            <w:tcW w:w="763" w:type="dxa"/>
            <w:tcBorders>
              <w:top w:val="single" w:color="auto" w:sz="4" w:space="0"/>
              <w:left w:val="single" w:color="auto" w:sz="4" w:space="0"/>
              <w:bottom w:val="single" w:color="auto" w:sz="4" w:space="0"/>
              <w:right w:val="single" w:color="auto" w:sz="4" w:space="0"/>
            </w:tcBorders>
            <w:vAlign w:val="center"/>
          </w:tcPr>
          <w:p w14:paraId="53475E66">
            <w:pPr>
              <w:spacing w:line="360" w:lineRule="auto"/>
              <w:ind w:firstLine="480" w:firstLineChars="200"/>
              <w:rPr>
                <w:rFonts w:ascii="宋体" w:hAnsi="宋体" w:cs="宋体"/>
                <w:color w:val="auto"/>
                <w:sz w:val="24"/>
                <w:highlight w:val="none"/>
              </w:rPr>
            </w:pPr>
          </w:p>
        </w:tc>
        <w:tc>
          <w:tcPr>
            <w:tcW w:w="1235" w:type="dxa"/>
            <w:tcBorders>
              <w:top w:val="single" w:color="auto" w:sz="4" w:space="0"/>
              <w:left w:val="single" w:color="auto" w:sz="4" w:space="0"/>
              <w:bottom w:val="single" w:color="auto" w:sz="4" w:space="0"/>
              <w:right w:val="single" w:color="auto" w:sz="4" w:space="0"/>
            </w:tcBorders>
            <w:vAlign w:val="center"/>
          </w:tcPr>
          <w:p w14:paraId="53475E67">
            <w:pPr>
              <w:spacing w:line="360" w:lineRule="auto"/>
              <w:ind w:firstLine="480" w:firstLineChars="200"/>
              <w:rPr>
                <w:rFonts w:ascii="宋体" w:hAnsi="宋体" w:cs="宋体"/>
                <w:color w:val="auto"/>
                <w:sz w:val="24"/>
                <w:highlight w:val="none"/>
              </w:rPr>
            </w:pPr>
          </w:p>
        </w:tc>
        <w:tc>
          <w:tcPr>
            <w:tcW w:w="857" w:type="dxa"/>
            <w:tcBorders>
              <w:top w:val="single" w:color="auto" w:sz="4" w:space="0"/>
              <w:left w:val="single" w:color="auto" w:sz="4" w:space="0"/>
              <w:bottom w:val="single" w:color="auto" w:sz="4" w:space="0"/>
              <w:right w:val="single" w:color="auto" w:sz="4" w:space="0"/>
            </w:tcBorders>
            <w:vAlign w:val="center"/>
          </w:tcPr>
          <w:p w14:paraId="53475E68">
            <w:pPr>
              <w:spacing w:line="360" w:lineRule="auto"/>
              <w:ind w:firstLine="480" w:firstLineChars="200"/>
              <w:rPr>
                <w:rFonts w:ascii="宋体" w:hAnsi="宋体" w:cs="宋体"/>
                <w:color w:val="auto"/>
                <w:sz w:val="24"/>
                <w:highlight w:val="none"/>
              </w:rPr>
            </w:pPr>
          </w:p>
        </w:tc>
        <w:tc>
          <w:tcPr>
            <w:tcW w:w="713" w:type="dxa"/>
            <w:tcBorders>
              <w:top w:val="single" w:color="auto" w:sz="4" w:space="0"/>
              <w:left w:val="single" w:color="auto" w:sz="4" w:space="0"/>
              <w:bottom w:val="single" w:color="auto" w:sz="4" w:space="0"/>
              <w:right w:val="single" w:color="auto" w:sz="4" w:space="0"/>
            </w:tcBorders>
            <w:vAlign w:val="center"/>
          </w:tcPr>
          <w:p w14:paraId="53475E69">
            <w:pPr>
              <w:spacing w:line="360" w:lineRule="auto"/>
              <w:ind w:firstLine="480" w:firstLineChars="200"/>
              <w:rPr>
                <w:rFonts w:ascii="宋体" w:hAnsi="宋体" w:cs="宋体"/>
                <w:color w:val="auto"/>
                <w:sz w:val="24"/>
                <w:highlight w:val="none"/>
              </w:rPr>
            </w:pPr>
          </w:p>
        </w:tc>
        <w:tc>
          <w:tcPr>
            <w:tcW w:w="714" w:type="dxa"/>
            <w:tcBorders>
              <w:top w:val="single" w:color="auto" w:sz="4" w:space="0"/>
              <w:left w:val="single" w:color="auto" w:sz="4" w:space="0"/>
              <w:bottom w:val="single" w:color="auto" w:sz="4" w:space="0"/>
              <w:right w:val="single" w:color="auto" w:sz="4" w:space="0"/>
            </w:tcBorders>
            <w:vAlign w:val="center"/>
          </w:tcPr>
          <w:p w14:paraId="53475E6A">
            <w:pPr>
              <w:spacing w:line="360" w:lineRule="auto"/>
              <w:ind w:firstLine="480" w:firstLineChars="200"/>
              <w:rPr>
                <w:rFonts w:ascii="宋体" w:hAnsi="宋体" w:cs="宋体"/>
                <w:color w:val="auto"/>
                <w:sz w:val="24"/>
                <w:highlight w:val="none"/>
              </w:rPr>
            </w:pPr>
          </w:p>
        </w:tc>
        <w:tc>
          <w:tcPr>
            <w:tcW w:w="1142" w:type="dxa"/>
            <w:tcBorders>
              <w:top w:val="single" w:color="auto" w:sz="4" w:space="0"/>
              <w:left w:val="single" w:color="auto" w:sz="4" w:space="0"/>
              <w:bottom w:val="single" w:color="auto" w:sz="4" w:space="0"/>
              <w:right w:val="single" w:color="auto" w:sz="4" w:space="0"/>
            </w:tcBorders>
            <w:vAlign w:val="center"/>
          </w:tcPr>
          <w:p w14:paraId="53475E6B">
            <w:pPr>
              <w:spacing w:line="360" w:lineRule="auto"/>
              <w:ind w:firstLine="480" w:firstLineChars="200"/>
              <w:rPr>
                <w:rFonts w:ascii="宋体" w:hAnsi="宋体" w:cs="宋体"/>
                <w:color w:val="auto"/>
                <w:sz w:val="24"/>
                <w:highlight w:val="none"/>
              </w:rPr>
            </w:pPr>
          </w:p>
        </w:tc>
        <w:tc>
          <w:tcPr>
            <w:tcW w:w="1285" w:type="dxa"/>
            <w:tcBorders>
              <w:top w:val="single" w:color="auto" w:sz="4" w:space="0"/>
              <w:left w:val="single" w:color="auto" w:sz="4" w:space="0"/>
              <w:bottom w:val="single" w:color="auto" w:sz="4" w:space="0"/>
              <w:right w:val="single" w:color="auto" w:sz="4" w:space="0"/>
            </w:tcBorders>
            <w:vAlign w:val="center"/>
          </w:tcPr>
          <w:p w14:paraId="53475E6C">
            <w:pPr>
              <w:spacing w:line="360" w:lineRule="auto"/>
              <w:ind w:firstLine="480" w:firstLineChars="200"/>
              <w:rPr>
                <w:rFonts w:ascii="宋体" w:hAnsi="宋体" w:cs="宋体"/>
                <w:color w:val="auto"/>
                <w:sz w:val="24"/>
                <w:highlight w:val="none"/>
              </w:rPr>
            </w:pPr>
          </w:p>
        </w:tc>
        <w:tc>
          <w:tcPr>
            <w:tcW w:w="1142" w:type="dxa"/>
            <w:tcBorders>
              <w:top w:val="single" w:color="auto" w:sz="4" w:space="0"/>
              <w:left w:val="single" w:color="auto" w:sz="4" w:space="0"/>
              <w:bottom w:val="single" w:color="auto" w:sz="4" w:space="0"/>
              <w:right w:val="single" w:color="auto" w:sz="4" w:space="0"/>
            </w:tcBorders>
            <w:vAlign w:val="center"/>
          </w:tcPr>
          <w:p w14:paraId="53475E6D">
            <w:pPr>
              <w:spacing w:line="360" w:lineRule="auto"/>
              <w:ind w:firstLine="480" w:firstLineChars="200"/>
              <w:rPr>
                <w:rFonts w:ascii="宋体" w:hAnsi="宋体" w:cs="宋体"/>
                <w:color w:val="auto"/>
                <w:sz w:val="24"/>
                <w:highlight w:val="none"/>
              </w:rPr>
            </w:pPr>
          </w:p>
        </w:tc>
        <w:tc>
          <w:tcPr>
            <w:tcW w:w="1570" w:type="dxa"/>
            <w:tcBorders>
              <w:top w:val="single" w:color="auto" w:sz="4" w:space="0"/>
              <w:left w:val="single" w:color="auto" w:sz="4" w:space="0"/>
              <w:bottom w:val="single" w:color="auto" w:sz="4" w:space="0"/>
              <w:right w:val="single" w:color="auto" w:sz="4" w:space="0"/>
            </w:tcBorders>
            <w:vAlign w:val="center"/>
          </w:tcPr>
          <w:p w14:paraId="53475E6E">
            <w:pPr>
              <w:spacing w:line="360" w:lineRule="auto"/>
              <w:ind w:firstLine="480" w:firstLineChars="200"/>
              <w:rPr>
                <w:rFonts w:ascii="宋体" w:hAnsi="宋体" w:cs="宋体"/>
                <w:color w:val="auto"/>
                <w:sz w:val="24"/>
                <w:highlight w:val="none"/>
              </w:rPr>
            </w:pPr>
          </w:p>
        </w:tc>
      </w:tr>
      <w:tr w14:paraId="53475E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jc w:val="center"/>
        </w:trPr>
        <w:tc>
          <w:tcPr>
            <w:tcW w:w="763" w:type="dxa"/>
            <w:tcBorders>
              <w:top w:val="single" w:color="auto" w:sz="4" w:space="0"/>
              <w:left w:val="single" w:color="auto" w:sz="4" w:space="0"/>
              <w:bottom w:val="single" w:color="auto" w:sz="4" w:space="0"/>
              <w:right w:val="single" w:color="auto" w:sz="4" w:space="0"/>
            </w:tcBorders>
            <w:vAlign w:val="center"/>
          </w:tcPr>
          <w:p w14:paraId="53475E70">
            <w:pPr>
              <w:spacing w:line="360" w:lineRule="auto"/>
              <w:ind w:firstLine="480" w:firstLineChars="200"/>
              <w:rPr>
                <w:rFonts w:ascii="宋体" w:hAnsi="宋体" w:cs="宋体"/>
                <w:color w:val="auto"/>
                <w:sz w:val="24"/>
                <w:highlight w:val="none"/>
              </w:rPr>
            </w:pPr>
          </w:p>
        </w:tc>
        <w:tc>
          <w:tcPr>
            <w:tcW w:w="1235" w:type="dxa"/>
            <w:tcBorders>
              <w:top w:val="single" w:color="auto" w:sz="4" w:space="0"/>
              <w:left w:val="single" w:color="auto" w:sz="4" w:space="0"/>
              <w:bottom w:val="single" w:color="auto" w:sz="4" w:space="0"/>
              <w:right w:val="single" w:color="auto" w:sz="4" w:space="0"/>
            </w:tcBorders>
            <w:vAlign w:val="center"/>
          </w:tcPr>
          <w:p w14:paraId="53475E71">
            <w:pPr>
              <w:spacing w:line="360" w:lineRule="auto"/>
              <w:ind w:firstLine="480" w:firstLineChars="200"/>
              <w:rPr>
                <w:rFonts w:ascii="宋体" w:hAnsi="宋体" w:cs="宋体"/>
                <w:color w:val="auto"/>
                <w:sz w:val="24"/>
                <w:highlight w:val="none"/>
              </w:rPr>
            </w:pPr>
          </w:p>
        </w:tc>
        <w:tc>
          <w:tcPr>
            <w:tcW w:w="857" w:type="dxa"/>
            <w:tcBorders>
              <w:top w:val="single" w:color="auto" w:sz="4" w:space="0"/>
              <w:left w:val="single" w:color="auto" w:sz="4" w:space="0"/>
              <w:bottom w:val="single" w:color="auto" w:sz="4" w:space="0"/>
              <w:right w:val="single" w:color="auto" w:sz="4" w:space="0"/>
            </w:tcBorders>
            <w:vAlign w:val="center"/>
          </w:tcPr>
          <w:p w14:paraId="53475E72">
            <w:pPr>
              <w:spacing w:line="360" w:lineRule="auto"/>
              <w:ind w:firstLine="480" w:firstLineChars="200"/>
              <w:rPr>
                <w:rFonts w:ascii="宋体" w:hAnsi="宋体" w:cs="宋体"/>
                <w:color w:val="auto"/>
                <w:sz w:val="24"/>
                <w:highlight w:val="none"/>
              </w:rPr>
            </w:pPr>
          </w:p>
        </w:tc>
        <w:tc>
          <w:tcPr>
            <w:tcW w:w="713" w:type="dxa"/>
            <w:tcBorders>
              <w:top w:val="single" w:color="auto" w:sz="4" w:space="0"/>
              <w:left w:val="single" w:color="auto" w:sz="4" w:space="0"/>
              <w:bottom w:val="single" w:color="auto" w:sz="4" w:space="0"/>
              <w:right w:val="single" w:color="auto" w:sz="4" w:space="0"/>
            </w:tcBorders>
            <w:vAlign w:val="center"/>
          </w:tcPr>
          <w:p w14:paraId="53475E73">
            <w:pPr>
              <w:spacing w:line="360" w:lineRule="auto"/>
              <w:ind w:firstLine="480" w:firstLineChars="200"/>
              <w:rPr>
                <w:rFonts w:ascii="宋体" w:hAnsi="宋体" w:cs="宋体"/>
                <w:color w:val="auto"/>
                <w:sz w:val="24"/>
                <w:highlight w:val="none"/>
              </w:rPr>
            </w:pPr>
          </w:p>
        </w:tc>
        <w:tc>
          <w:tcPr>
            <w:tcW w:w="714" w:type="dxa"/>
            <w:tcBorders>
              <w:top w:val="single" w:color="auto" w:sz="4" w:space="0"/>
              <w:left w:val="single" w:color="auto" w:sz="4" w:space="0"/>
              <w:bottom w:val="single" w:color="auto" w:sz="4" w:space="0"/>
              <w:right w:val="single" w:color="auto" w:sz="4" w:space="0"/>
            </w:tcBorders>
            <w:vAlign w:val="center"/>
          </w:tcPr>
          <w:p w14:paraId="53475E74">
            <w:pPr>
              <w:spacing w:line="360" w:lineRule="auto"/>
              <w:ind w:firstLine="480" w:firstLineChars="200"/>
              <w:rPr>
                <w:rFonts w:ascii="宋体" w:hAnsi="宋体" w:cs="宋体"/>
                <w:color w:val="auto"/>
                <w:sz w:val="24"/>
                <w:highlight w:val="none"/>
              </w:rPr>
            </w:pPr>
          </w:p>
        </w:tc>
        <w:tc>
          <w:tcPr>
            <w:tcW w:w="1142" w:type="dxa"/>
            <w:tcBorders>
              <w:top w:val="single" w:color="auto" w:sz="4" w:space="0"/>
              <w:left w:val="single" w:color="auto" w:sz="4" w:space="0"/>
              <w:bottom w:val="single" w:color="auto" w:sz="4" w:space="0"/>
              <w:right w:val="single" w:color="auto" w:sz="4" w:space="0"/>
            </w:tcBorders>
            <w:vAlign w:val="center"/>
          </w:tcPr>
          <w:p w14:paraId="53475E75">
            <w:pPr>
              <w:spacing w:line="360" w:lineRule="auto"/>
              <w:ind w:firstLine="480" w:firstLineChars="200"/>
              <w:rPr>
                <w:rFonts w:ascii="宋体" w:hAnsi="宋体" w:cs="宋体"/>
                <w:color w:val="auto"/>
                <w:sz w:val="24"/>
                <w:highlight w:val="none"/>
              </w:rPr>
            </w:pPr>
          </w:p>
        </w:tc>
        <w:tc>
          <w:tcPr>
            <w:tcW w:w="1285" w:type="dxa"/>
            <w:tcBorders>
              <w:top w:val="single" w:color="auto" w:sz="4" w:space="0"/>
              <w:left w:val="single" w:color="auto" w:sz="4" w:space="0"/>
              <w:bottom w:val="single" w:color="auto" w:sz="4" w:space="0"/>
              <w:right w:val="single" w:color="auto" w:sz="4" w:space="0"/>
            </w:tcBorders>
            <w:vAlign w:val="center"/>
          </w:tcPr>
          <w:p w14:paraId="53475E76">
            <w:pPr>
              <w:spacing w:line="360" w:lineRule="auto"/>
              <w:ind w:firstLine="480" w:firstLineChars="200"/>
              <w:rPr>
                <w:rFonts w:ascii="宋体" w:hAnsi="宋体" w:cs="宋体"/>
                <w:color w:val="auto"/>
                <w:sz w:val="24"/>
                <w:highlight w:val="none"/>
              </w:rPr>
            </w:pPr>
          </w:p>
        </w:tc>
        <w:tc>
          <w:tcPr>
            <w:tcW w:w="1142" w:type="dxa"/>
            <w:tcBorders>
              <w:top w:val="single" w:color="auto" w:sz="4" w:space="0"/>
              <w:left w:val="single" w:color="auto" w:sz="4" w:space="0"/>
              <w:bottom w:val="single" w:color="auto" w:sz="4" w:space="0"/>
              <w:right w:val="single" w:color="auto" w:sz="4" w:space="0"/>
            </w:tcBorders>
            <w:vAlign w:val="center"/>
          </w:tcPr>
          <w:p w14:paraId="53475E77">
            <w:pPr>
              <w:spacing w:line="360" w:lineRule="auto"/>
              <w:ind w:firstLine="480" w:firstLineChars="200"/>
              <w:rPr>
                <w:rFonts w:ascii="宋体" w:hAnsi="宋体" w:cs="宋体"/>
                <w:color w:val="auto"/>
                <w:sz w:val="24"/>
                <w:highlight w:val="none"/>
              </w:rPr>
            </w:pPr>
          </w:p>
        </w:tc>
        <w:tc>
          <w:tcPr>
            <w:tcW w:w="1570" w:type="dxa"/>
            <w:tcBorders>
              <w:top w:val="single" w:color="auto" w:sz="4" w:space="0"/>
              <w:left w:val="single" w:color="auto" w:sz="4" w:space="0"/>
              <w:bottom w:val="single" w:color="auto" w:sz="4" w:space="0"/>
              <w:right w:val="single" w:color="auto" w:sz="4" w:space="0"/>
            </w:tcBorders>
            <w:vAlign w:val="center"/>
          </w:tcPr>
          <w:p w14:paraId="53475E78">
            <w:pPr>
              <w:spacing w:line="360" w:lineRule="auto"/>
              <w:ind w:firstLine="480" w:firstLineChars="200"/>
              <w:rPr>
                <w:rFonts w:ascii="宋体" w:hAnsi="宋体" w:cs="宋体"/>
                <w:color w:val="auto"/>
                <w:sz w:val="24"/>
                <w:highlight w:val="none"/>
              </w:rPr>
            </w:pPr>
          </w:p>
        </w:tc>
      </w:tr>
    </w:tbl>
    <w:p w14:paraId="53475E7A">
      <w:pPr>
        <w:spacing w:line="360" w:lineRule="auto"/>
        <w:rPr>
          <w:rFonts w:ascii="宋体" w:hAnsi="宋体" w:cs="宋体"/>
          <w:color w:val="auto"/>
          <w:sz w:val="24"/>
          <w:highlight w:val="none"/>
        </w:rPr>
      </w:pPr>
    </w:p>
    <w:p w14:paraId="53475E7B">
      <w:pPr>
        <w:spacing w:line="360" w:lineRule="auto"/>
        <w:rPr>
          <w:rFonts w:ascii="宋体" w:hAnsi="宋体" w:cs="宋体"/>
          <w:color w:val="auto"/>
          <w:sz w:val="24"/>
          <w:highlight w:val="none"/>
        </w:rPr>
      </w:pPr>
      <w:r>
        <w:rPr>
          <w:rFonts w:hint="eastAsia" w:ascii="宋体" w:hAnsi="宋体" w:cs="宋体"/>
          <w:color w:val="auto"/>
          <w:sz w:val="24"/>
          <w:highlight w:val="none"/>
        </w:rPr>
        <w:t>附表三：劳动力计划表</w:t>
      </w:r>
    </w:p>
    <w:p w14:paraId="53475E7C">
      <w:pPr>
        <w:spacing w:line="360" w:lineRule="auto"/>
        <w:rPr>
          <w:rFonts w:ascii="宋体" w:hAnsi="宋体" w:cs="宋体"/>
          <w:color w:val="auto"/>
          <w:sz w:val="24"/>
          <w:highlight w:val="none"/>
        </w:rPr>
      </w:pPr>
      <w:r>
        <w:rPr>
          <w:rFonts w:hint="eastAsia" w:ascii="宋体" w:hAnsi="宋体" w:cs="宋体"/>
          <w:color w:val="auto"/>
          <w:sz w:val="24"/>
          <w:highlight w:val="none"/>
        </w:rPr>
        <w:t>单位：人</w:t>
      </w:r>
    </w:p>
    <w:tbl>
      <w:tblPr>
        <w:tblStyle w:val="3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6"/>
        <w:gridCol w:w="964"/>
        <w:gridCol w:w="1261"/>
        <w:gridCol w:w="1262"/>
        <w:gridCol w:w="1261"/>
        <w:gridCol w:w="1262"/>
        <w:gridCol w:w="1261"/>
        <w:gridCol w:w="1265"/>
      </w:tblGrid>
      <w:tr w14:paraId="53475E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856" w:type="dxa"/>
            <w:tcBorders>
              <w:top w:val="single" w:color="auto" w:sz="4" w:space="0"/>
              <w:left w:val="single" w:color="auto" w:sz="4" w:space="0"/>
              <w:bottom w:val="single" w:color="auto" w:sz="4" w:space="0"/>
              <w:right w:val="single" w:color="auto" w:sz="4" w:space="0"/>
            </w:tcBorders>
            <w:vAlign w:val="center"/>
          </w:tcPr>
          <w:p w14:paraId="53475E7D">
            <w:pPr>
              <w:spacing w:line="360" w:lineRule="auto"/>
              <w:jc w:val="center"/>
              <w:rPr>
                <w:rFonts w:ascii="宋体" w:hAnsi="宋体" w:cs="宋体"/>
                <w:color w:val="auto"/>
                <w:sz w:val="24"/>
                <w:highlight w:val="none"/>
              </w:rPr>
            </w:pPr>
            <w:r>
              <w:rPr>
                <w:rFonts w:hint="eastAsia" w:ascii="宋体" w:hAnsi="宋体" w:cs="宋体"/>
                <w:color w:val="auto"/>
                <w:sz w:val="24"/>
                <w:highlight w:val="none"/>
              </w:rPr>
              <w:t>工种</w:t>
            </w:r>
          </w:p>
        </w:tc>
        <w:tc>
          <w:tcPr>
            <w:tcW w:w="8536" w:type="dxa"/>
            <w:gridSpan w:val="7"/>
            <w:tcBorders>
              <w:top w:val="single" w:color="auto" w:sz="4" w:space="0"/>
              <w:left w:val="single" w:color="auto" w:sz="4" w:space="0"/>
              <w:bottom w:val="single" w:color="auto" w:sz="4" w:space="0"/>
              <w:right w:val="single" w:color="auto" w:sz="4" w:space="0"/>
            </w:tcBorders>
            <w:vAlign w:val="center"/>
          </w:tcPr>
          <w:p w14:paraId="53475E7E">
            <w:pPr>
              <w:spacing w:line="360" w:lineRule="auto"/>
              <w:jc w:val="center"/>
              <w:rPr>
                <w:rFonts w:ascii="宋体" w:hAnsi="宋体" w:cs="宋体"/>
                <w:color w:val="auto"/>
                <w:sz w:val="24"/>
                <w:highlight w:val="none"/>
              </w:rPr>
            </w:pPr>
            <w:r>
              <w:rPr>
                <w:rFonts w:hint="eastAsia" w:ascii="宋体" w:hAnsi="宋体" w:cs="宋体"/>
                <w:color w:val="auto"/>
                <w:sz w:val="24"/>
                <w:highlight w:val="none"/>
              </w:rPr>
              <w:t>按工程施工阶段投入劳动力情况</w:t>
            </w:r>
          </w:p>
        </w:tc>
      </w:tr>
      <w:tr w14:paraId="53475E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856" w:type="dxa"/>
            <w:tcBorders>
              <w:top w:val="single" w:color="auto" w:sz="4" w:space="0"/>
              <w:left w:val="single" w:color="auto" w:sz="4" w:space="0"/>
              <w:bottom w:val="single" w:color="auto" w:sz="4" w:space="0"/>
              <w:right w:val="single" w:color="auto" w:sz="4" w:space="0"/>
            </w:tcBorders>
            <w:vAlign w:val="center"/>
          </w:tcPr>
          <w:p w14:paraId="53475E80">
            <w:pPr>
              <w:spacing w:line="360" w:lineRule="auto"/>
              <w:jc w:val="center"/>
              <w:rPr>
                <w:rFonts w:ascii="宋体" w:hAnsi="宋体" w:cs="宋体"/>
                <w:color w:val="auto"/>
                <w:sz w:val="24"/>
                <w:highlight w:val="none"/>
              </w:rPr>
            </w:pPr>
          </w:p>
        </w:tc>
        <w:tc>
          <w:tcPr>
            <w:tcW w:w="964" w:type="dxa"/>
            <w:tcBorders>
              <w:top w:val="single" w:color="auto" w:sz="4" w:space="0"/>
              <w:left w:val="single" w:color="auto" w:sz="4" w:space="0"/>
              <w:bottom w:val="single" w:color="auto" w:sz="4" w:space="0"/>
              <w:right w:val="single" w:color="auto" w:sz="4" w:space="0"/>
            </w:tcBorders>
            <w:vAlign w:val="center"/>
          </w:tcPr>
          <w:p w14:paraId="53475E81">
            <w:pPr>
              <w:spacing w:line="360" w:lineRule="auto"/>
              <w:jc w:val="center"/>
              <w:rPr>
                <w:rFonts w:ascii="宋体" w:hAnsi="宋体" w:cs="宋体"/>
                <w:color w:val="auto"/>
                <w:sz w:val="24"/>
                <w:highlight w:val="none"/>
              </w:rPr>
            </w:pPr>
          </w:p>
        </w:tc>
        <w:tc>
          <w:tcPr>
            <w:tcW w:w="1261" w:type="dxa"/>
            <w:tcBorders>
              <w:top w:val="single" w:color="auto" w:sz="4" w:space="0"/>
              <w:left w:val="single" w:color="auto" w:sz="4" w:space="0"/>
              <w:bottom w:val="single" w:color="auto" w:sz="4" w:space="0"/>
              <w:right w:val="single" w:color="auto" w:sz="4" w:space="0"/>
            </w:tcBorders>
            <w:vAlign w:val="center"/>
          </w:tcPr>
          <w:p w14:paraId="53475E82">
            <w:pPr>
              <w:spacing w:line="360" w:lineRule="auto"/>
              <w:jc w:val="center"/>
              <w:rPr>
                <w:rFonts w:ascii="宋体" w:hAnsi="宋体" w:cs="宋体"/>
                <w:color w:val="auto"/>
                <w:sz w:val="24"/>
                <w:highlight w:val="none"/>
              </w:rPr>
            </w:pPr>
          </w:p>
        </w:tc>
        <w:tc>
          <w:tcPr>
            <w:tcW w:w="1262" w:type="dxa"/>
            <w:tcBorders>
              <w:top w:val="single" w:color="auto" w:sz="4" w:space="0"/>
              <w:left w:val="single" w:color="auto" w:sz="4" w:space="0"/>
              <w:bottom w:val="single" w:color="auto" w:sz="4" w:space="0"/>
              <w:right w:val="single" w:color="auto" w:sz="4" w:space="0"/>
            </w:tcBorders>
            <w:vAlign w:val="center"/>
          </w:tcPr>
          <w:p w14:paraId="53475E83">
            <w:pPr>
              <w:spacing w:line="360" w:lineRule="auto"/>
              <w:jc w:val="center"/>
              <w:rPr>
                <w:rFonts w:ascii="宋体" w:hAnsi="宋体" w:cs="宋体"/>
                <w:color w:val="auto"/>
                <w:sz w:val="24"/>
                <w:highlight w:val="none"/>
              </w:rPr>
            </w:pPr>
          </w:p>
        </w:tc>
        <w:tc>
          <w:tcPr>
            <w:tcW w:w="1261" w:type="dxa"/>
            <w:tcBorders>
              <w:top w:val="single" w:color="auto" w:sz="4" w:space="0"/>
              <w:left w:val="single" w:color="auto" w:sz="4" w:space="0"/>
              <w:bottom w:val="single" w:color="auto" w:sz="4" w:space="0"/>
              <w:right w:val="single" w:color="auto" w:sz="4" w:space="0"/>
            </w:tcBorders>
            <w:vAlign w:val="center"/>
          </w:tcPr>
          <w:p w14:paraId="53475E84">
            <w:pPr>
              <w:spacing w:line="360" w:lineRule="auto"/>
              <w:jc w:val="center"/>
              <w:rPr>
                <w:rFonts w:ascii="宋体" w:hAnsi="宋体" w:cs="宋体"/>
                <w:color w:val="auto"/>
                <w:sz w:val="24"/>
                <w:highlight w:val="none"/>
              </w:rPr>
            </w:pPr>
          </w:p>
        </w:tc>
        <w:tc>
          <w:tcPr>
            <w:tcW w:w="1262" w:type="dxa"/>
            <w:tcBorders>
              <w:top w:val="single" w:color="auto" w:sz="4" w:space="0"/>
              <w:left w:val="single" w:color="auto" w:sz="4" w:space="0"/>
              <w:bottom w:val="single" w:color="auto" w:sz="4" w:space="0"/>
              <w:right w:val="single" w:color="auto" w:sz="4" w:space="0"/>
            </w:tcBorders>
            <w:vAlign w:val="center"/>
          </w:tcPr>
          <w:p w14:paraId="53475E85">
            <w:pPr>
              <w:spacing w:line="360" w:lineRule="auto"/>
              <w:jc w:val="center"/>
              <w:rPr>
                <w:rFonts w:ascii="宋体" w:hAnsi="宋体" w:cs="宋体"/>
                <w:color w:val="auto"/>
                <w:sz w:val="24"/>
                <w:highlight w:val="none"/>
              </w:rPr>
            </w:pPr>
          </w:p>
        </w:tc>
        <w:tc>
          <w:tcPr>
            <w:tcW w:w="1261" w:type="dxa"/>
            <w:tcBorders>
              <w:top w:val="single" w:color="auto" w:sz="4" w:space="0"/>
              <w:left w:val="single" w:color="auto" w:sz="4" w:space="0"/>
              <w:bottom w:val="single" w:color="auto" w:sz="4" w:space="0"/>
              <w:right w:val="single" w:color="auto" w:sz="4" w:space="0"/>
            </w:tcBorders>
            <w:vAlign w:val="center"/>
          </w:tcPr>
          <w:p w14:paraId="53475E86">
            <w:pPr>
              <w:spacing w:line="360" w:lineRule="auto"/>
              <w:jc w:val="center"/>
              <w:rPr>
                <w:rFonts w:ascii="宋体" w:hAnsi="宋体" w:cs="宋体"/>
                <w:color w:val="auto"/>
                <w:sz w:val="24"/>
                <w:highlight w:val="none"/>
              </w:rPr>
            </w:pPr>
          </w:p>
        </w:tc>
        <w:tc>
          <w:tcPr>
            <w:tcW w:w="1265" w:type="dxa"/>
            <w:tcBorders>
              <w:top w:val="single" w:color="auto" w:sz="4" w:space="0"/>
              <w:left w:val="single" w:color="auto" w:sz="4" w:space="0"/>
              <w:bottom w:val="single" w:color="auto" w:sz="4" w:space="0"/>
              <w:right w:val="single" w:color="auto" w:sz="4" w:space="0"/>
            </w:tcBorders>
            <w:vAlign w:val="center"/>
          </w:tcPr>
          <w:p w14:paraId="53475E87">
            <w:pPr>
              <w:spacing w:line="360" w:lineRule="auto"/>
              <w:jc w:val="center"/>
              <w:rPr>
                <w:rFonts w:ascii="宋体" w:hAnsi="宋体" w:cs="宋体"/>
                <w:color w:val="auto"/>
                <w:sz w:val="24"/>
                <w:highlight w:val="none"/>
              </w:rPr>
            </w:pPr>
          </w:p>
        </w:tc>
      </w:tr>
      <w:tr w14:paraId="53475E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856" w:type="dxa"/>
            <w:tcBorders>
              <w:top w:val="single" w:color="auto" w:sz="4" w:space="0"/>
              <w:left w:val="single" w:color="auto" w:sz="4" w:space="0"/>
              <w:bottom w:val="single" w:color="auto" w:sz="4" w:space="0"/>
              <w:right w:val="single" w:color="auto" w:sz="4" w:space="0"/>
            </w:tcBorders>
            <w:vAlign w:val="center"/>
          </w:tcPr>
          <w:p w14:paraId="53475E89">
            <w:pPr>
              <w:spacing w:line="360" w:lineRule="auto"/>
              <w:jc w:val="center"/>
              <w:rPr>
                <w:rFonts w:ascii="宋体" w:hAnsi="宋体" w:cs="宋体"/>
                <w:color w:val="auto"/>
                <w:sz w:val="24"/>
                <w:highlight w:val="none"/>
              </w:rPr>
            </w:pPr>
          </w:p>
        </w:tc>
        <w:tc>
          <w:tcPr>
            <w:tcW w:w="964" w:type="dxa"/>
            <w:tcBorders>
              <w:top w:val="single" w:color="auto" w:sz="4" w:space="0"/>
              <w:left w:val="single" w:color="auto" w:sz="4" w:space="0"/>
              <w:bottom w:val="single" w:color="auto" w:sz="4" w:space="0"/>
              <w:right w:val="single" w:color="auto" w:sz="4" w:space="0"/>
            </w:tcBorders>
            <w:vAlign w:val="center"/>
          </w:tcPr>
          <w:p w14:paraId="53475E8A">
            <w:pPr>
              <w:spacing w:line="360" w:lineRule="auto"/>
              <w:jc w:val="center"/>
              <w:rPr>
                <w:rFonts w:ascii="宋体" w:hAnsi="宋体" w:cs="宋体"/>
                <w:color w:val="auto"/>
                <w:sz w:val="24"/>
                <w:highlight w:val="none"/>
              </w:rPr>
            </w:pPr>
          </w:p>
        </w:tc>
        <w:tc>
          <w:tcPr>
            <w:tcW w:w="1261" w:type="dxa"/>
            <w:tcBorders>
              <w:top w:val="single" w:color="auto" w:sz="4" w:space="0"/>
              <w:left w:val="single" w:color="auto" w:sz="4" w:space="0"/>
              <w:bottom w:val="single" w:color="auto" w:sz="4" w:space="0"/>
              <w:right w:val="single" w:color="auto" w:sz="4" w:space="0"/>
            </w:tcBorders>
            <w:vAlign w:val="center"/>
          </w:tcPr>
          <w:p w14:paraId="53475E8B">
            <w:pPr>
              <w:spacing w:line="360" w:lineRule="auto"/>
              <w:jc w:val="center"/>
              <w:rPr>
                <w:rFonts w:ascii="宋体" w:hAnsi="宋体" w:cs="宋体"/>
                <w:color w:val="auto"/>
                <w:sz w:val="24"/>
                <w:highlight w:val="none"/>
              </w:rPr>
            </w:pPr>
          </w:p>
        </w:tc>
        <w:tc>
          <w:tcPr>
            <w:tcW w:w="1262" w:type="dxa"/>
            <w:tcBorders>
              <w:top w:val="single" w:color="auto" w:sz="4" w:space="0"/>
              <w:left w:val="single" w:color="auto" w:sz="4" w:space="0"/>
              <w:bottom w:val="single" w:color="auto" w:sz="4" w:space="0"/>
              <w:right w:val="single" w:color="auto" w:sz="4" w:space="0"/>
            </w:tcBorders>
            <w:vAlign w:val="center"/>
          </w:tcPr>
          <w:p w14:paraId="53475E8C">
            <w:pPr>
              <w:spacing w:line="360" w:lineRule="auto"/>
              <w:jc w:val="center"/>
              <w:rPr>
                <w:rFonts w:ascii="宋体" w:hAnsi="宋体" w:cs="宋体"/>
                <w:color w:val="auto"/>
                <w:sz w:val="24"/>
                <w:highlight w:val="none"/>
              </w:rPr>
            </w:pPr>
          </w:p>
        </w:tc>
        <w:tc>
          <w:tcPr>
            <w:tcW w:w="1261" w:type="dxa"/>
            <w:tcBorders>
              <w:top w:val="single" w:color="auto" w:sz="4" w:space="0"/>
              <w:left w:val="single" w:color="auto" w:sz="4" w:space="0"/>
              <w:bottom w:val="single" w:color="auto" w:sz="4" w:space="0"/>
              <w:right w:val="single" w:color="auto" w:sz="4" w:space="0"/>
            </w:tcBorders>
            <w:vAlign w:val="center"/>
          </w:tcPr>
          <w:p w14:paraId="53475E8D">
            <w:pPr>
              <w:spacing w:line="360" w:lineRule="auto"/>
              <w:jc w:val="center"/>
              <w:rPr>
                <w:rFonts w:ascii="宋体" w:hAnsi="宋体" w:cs="宋体"/>
                <w:color w:val="auto"/>
                <w:sz w:val="24"/>
                <w:highlight w:val="none"/>
              </w:rPr>
            </w:pPr>
          </w:p>
        </w:tc>
        <w:tc>
          <w:tcPr>
            <w:tcW w:w="1262" w:type="dxa"/>
            <w:tcBorders>
              <w:top w:val="single" w:color="auto" w:sz="4" w:space="0"/>
              <w:left w:val="single" w:color="auto" w:sz="4" w:space="0"/>
              <w:bottom w:val="single" w:color="auto" w:sz="4" w:space="0"/>
              <w:right w:val="single" w:color="auto" w:sz="4" w:space="0"/>
            </w:tcBorders>
            <w:vAlign w:val="center"/>
          </w:tcPr>
          <w:p w14:paraId="53475E8E">
            <w:pPr>
              <w:spacing w:line="360" w:lineRule="auto"/>
              <w:jc w:val="center"/>
              <w:rPr>
                <w:rFonts w:ascii="宋体" w:hAnsi="宋体" w:cs="宋体"/>
                <w:color w:val="auto"/>
                <w:sz w:val="24"/>
                <w:highlight w:val="none"/>
              </w:rPr>
            </w:pPr>
          </w:p>
        </w:tc>
        <w:tc>
          <w:tcPr>
            <w:tcW w:w="1261" w:type="dxa"/>
            <w:tcBorders>
              <w:top w:val="single" w:color="auto" w:sz="4" w:space="0"/>
              <w:left w:val="single" w:color="auto" w:sz="4" w:space="0"/>
              <w:bottom w:val="single" w:color="auto" w:sz="4" w:space="0"/>
              <w:right w:val="single" w:color="auto" w:sz="4" w:space="0"/>
            </w:tcBorders>
            <w:vAlign w:val="center"/>
          </w:tcPr>
          <w:p w14:paraId="53475E8F">
            <w:pPr>
              <w:spacing w:line="360" w:lineRule="auto"/>
              <w:jc w:val="center"/>
              <w:rPr>
                <w:rFonts w:ascii="宋体" w:hAnsi="宋体" w:cs="宋体"/>
                <w:color w:val="auto"/>
                <w:sz w:val="24"/>
                <w:highlight w:val="none"/>
              </w:rPr>
            </w:pPr>
          </w:p>
        </w:tc>
        <w:tc>
          <w:tcPr>
            <w:tcW w:w="1265" w:type="dxa"/>
            <w:tcBorders>
              <w:top w:val="single" w:color="auto" w:sz="4" w:space="0"/>
              <w:left w:val="single" w:color="auto" w:sz="4" w:space="0"/>
              <w:bottom w:val="single" w:color="auto" w:sz="4" w:space="0"/>
              <w:right w:val="single" w:color="auto" w:sz="4" w:space="0"/>
            </w:tcBorders>
            <w:vAlign w:val="center"/>
          </w:tcPr>
          <w:p w14:paraId="53475E90">
            <w:pPr>
              <w:spacing w:line="360" w:lineRule="auto"/>
              <w:jc w:val="center"/>
              <w:rPr>
                <w:rFonts w:ascii="宋体" w:hAnsi="宋体" w:cs="宋体"/>
                <w:color w:val="auto"/>
                <w:sz w:val="24"/>
                <w:highlight w:val="none"/>
              </w:rPr>
            </w:pPr>
          </w:p>
        </w:tc>
      </w:tr>
      <w:tr w14:paraId="53475E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856" w:type="dxa"/>
            <w:tcBorders>
              <w:top w:val="single" w:color="auto" w:sz="4" w:space="0"/>
              <w:left w:val="single" w:color="auto" w:sz="4" w:space="0"/>
              <w:bottom w:val="single" w:color="auto" w:sz="4" w:space="0"/>
              <w:right w:val="single" w:color="auto" w:sz="4" w:space="0"/>
            </w:tcBorders>
            <w:vAlign w:val="center"/>
          </w:tcPr>
          <w:p w14:paraId="53475E92">
            <w:pPr>
              <w:spacing w:line="360" w:lineRule="auto"/>
              <w:jc w:val="center"/>
              <w:rPr>
                <w:rFonts w:ascii="宋体" w:hAnsi="宋体" w:cs="宋体"/>
                <w:color w:val="auto"/>
                <w:sz w:val="24"/>
                <w:highlight w:val="none"/>
              </w:rPr>
            </w:pPr>
          </w:p>
        </w:tc>
        <w:tc>
          <w:tcPr>
            <w:tcW w:w="964" w:type="dxa"/>
            <w:tcBorders>
              <w:top w:val="single" w:color="auto" w:sz="4" w:space="0"/>
              <w:left w:val="single" w:color="auto" w:sz="4" w:space="0"/>
              <w:bottom w:val="single" w:color="auto" w:sz="4" w:space="0"/>
              <w:right w:val="single" w:color="auto" w:sz="4" w:space="0"/>
            </w:tcBorders>
            <w:vAlign w:val="center"/>
          </w:tcPr>
          <w:p w14:paraId="53475E93">
            <w:pPr>
              <w:spacing w:line="360" w:lineRule="auto"/>
              <w:jc w:val="center"/>
              <w:rPr>
                <w:rFonts w:ascii="宋体" w:hAnsi="宋体" w:cs="宋体"/>
                <w:color w:val="auto"/>
                <w:sz w:val="24"/>
                <w:highlight w:val="none"/>
              </w:rPr>
            </w:pPr>
          </w:p>
        </w:tc>
        <w:tc>
          <w:tcPr>
            <w:tcW w:w="1261" w:type="dxa"/>
            <w:tcBorders>
              <w:top w:val="single" w:color="auto" w:sz="4" w:space="0"/>
              <w:left w:val="single" w:color="auto" w:sz="4" w:space="0"/>
              <w:bottom w:val="single" w:color="auto" w:sz="4" w:space="0"/>
              <w:right w:val="single" w:color="auto" w:sz="4" w:space="0"/>
            </w:tcBorders>
            <w:vAlign w:val="center"/>
          </w:tcPr>
          <w:p w14:paraId="53475E94">
            <w:pPr>
              <w:spacing w:line="360" w:lineRule="auto"/>
              <w:jc w:val="center"/>
              <w:rPr>
                <w:rFonts w:ascii="宋体" w:hAnsi="宋体" w:cs="宋体"/>
                <w:color w:val="auto"/>
                <w:sz w:val="24"/>
                <w:highlight w:val="none"/>
              </w:rPr>
            </w:pPr>
          </w:p>
        </w:tc>
        <w:tc>
          <w:tcPr>
            <w:tcW w:w="1262" w:type="dxa"/>
            <w:tcBorders>
              <w:top w:val="single" w:color="auto" w:sz="4" w:space="0"/>
              <w:left w:val="single" w:color="auto" w:sz="4" w:space="0"/>
              <w:bottom w:val="single" w:color="auto" w:sz="4" w:space="0"/>
              <w:right w:val="single" w:color="auto" w:sz="4" w:space="0"/>
            </w:tcBorders>
            <w:vAlign w:val="center"/>
          </w:tcPr>
          <w:p w14:paraId="53475E95">
            <w:pPr>
              <w:spacing w:line="360" w:lineRule="auto"/>
              <w:jc w:val="center"/>
              <w:rPr>
                <w:rFonts w:ascii="宋体" w:hAnsi="宋体" w:cs="宋体"/>
                <w:color w:val="auto"/>
                <w:sz w:val="24"/>
                <w:highlight w:val="none"/>
              </w:rPr>
            </w:pPr>
          </w:p>
        </w:tc>
        <w:tc>
          <w:tcPr>
            <w:tcW w:w="1261" w:type="dxa"/>
            <w:tcBorders>
              <w:top w:val="single" w:color="auto" w:sz="4" w:space="0"/>
              <w:left w:val="single" w:color="auto" w:sz="4" w:space="0"/>
              <w:bottom w:val="single" w:color="auto" w:sz="4" w:space="0"/>
              <w:right w:val="single" w:color="auto" w:sz="4" w:space="0"/>
            </w:tcBorders>
            <w:vAlign w:val="center"/>
          </w:tcPr>
          <w:p w14:paraId="53475E96">
            <w:pPr>
              <w:spacing w:line="360" w:lineRule="auto"/>
              <w:jc w:val="center"/>
              <w:rPr>
                <w:rFonts w:ascii="宋体" w:hAnsi="宋体" w:cs="宋体"/>
                <w:color w:val="auto"/>
                <w:sz w:val="24"/>
                <w:highlight w:val="none"/>
              </w:rPr>
            </w:pPr>
          </w:p>
        </w:tc>
        <w:tc>
          <w:tcPr>
            <w:tcW w:w="1262" w:type="dxa"/>
            <w:tcBorders>
              <w:top w:val="single" w:color="auto" w:sz="4" w:space="0"/>
              <w:left w:val="single" w:color="auto" w:sz="4" w:space="0"/>
              <w:bottom w:val="single" w:color="auto" w:sz="4" w:space="0"/>
              <w:right w:val="single" w:color="auto" w:sz="4" w:space="0"/>
            </w:tcBorders>
            <w:vAlign w:val="center"/>
          </w:tcPr>
          <w:p w14:paraId="53475E97">
            <w:pPr>
              <w:spacing w:line="360" w:lineRule="auto"/>
              <w:jc w:val="center"/>
              <w:rPr>
                <w:rFonts w:ascii="宋体" w:hAnsi="宋体" w:cs="宋体"/>
                <w:color w:val="auto"/>
                <w:sz w:val="24"/>
                <w:highlight w:val="none"/>
              </w:rPr>
            </w:pPr>
          </w:p>
        </w:tc>
        <w:tc>
          <w:tcPr>
            <w:tcW w:w="1261" w:type="dxa"/>
            <w:tcBorders>
              <w:top w:val="single" w:color="auto" w:sz="4" w:space="0"/>
              <w:left w:val="single" w:color="auto" w:sz="4" w:space="0"/>
              <w:bottom w:val="single" w:color="auto" w:sz="4" w:space="0"/>
              <w:right w:val="single" w:color="auto" w:sz="4" w:space="0"/>
            </w:tcBorders>
            <w:vAlign w:val="center"/>
          </w:tcPr>
          <w:p w14:paraId="53475E98">
            <w:pPr>
              <w:spacing w:line="360" w:lineRule="auto"/>
              <w:jc w:val="center"/>
              <w:rPr>
                <w:rFonts w:ascii="宋体" w:hAnsi="宋体" w:cs="宋体"/>
                <w:color w:val="auto"/>
                <w:sz w:val="24"/>
                <w:highlight w:val="none"/>
              </w:rPr>
            </w:pPr>
          </w:p>
        </w:tc>
        <w:tc>
          <w:tcPr>
            <w:tcW w:w="1265" w:type="dxa"/>
            <w:tcBorders>
              <w:top w:val="single" w:color="auto" w:sz="4" w:space="0"/>
              <w:left w:val="single" w:color="auto" w:sz="4" w:space="0"/>
              <w:bottom w:val="single" w:color="auto" w:sz="4" w:space="0"/>
              <w:right w:val="single" w:color="auto" w:sz="4" w:space="0"/>
            </w:tcBorders>
            <w:vAlign w:val="center"/>
          </w:tcPr>
          <w:p w14:paraId="53475E99">
            <w:pPr>
              <w:spacing w:line="360" w:lineRule="auto"/>
              <w:jc w:val="center"/>
              <w:rPr>
                <w:rFonts w:ascii="宋体" w:hAnsi="宋体" w:cs="宋体"/>
                <w:color w:val="auto"/>
                <w:sz w:val="24"/>
                <w:highlight w:val="none"/>
              </w:rPr>
            </w:pPr>
          </w:p>
        </w:tc>
      </w:tr>
      <w:tr w14:paraId="53475E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856" w:type="dxa"/>
            <w:tcBorders>
              <w:top w:val="single" w:color="auto" w:sz="4" w:space="0"/>
              <w:left w:val="single" w:color="auto" w:sz="4" w:space="0"/>
              <w:bottom w:val="single" w:color="auto" w:sz="4" w:space="0"/>
              <w:right w:val="single" w:color="auto" w:sz="4" w:space="0"/>
            </w:tcBorders>
            <w:vAlign w:val="center"/>
          </w:tcPr>
          <w:p w14:paraId="53475E9B">
            <w:pPr>
              <w:spacing w:line="360" w:lineRule="auto"/>
              <w:jc w:val="center"/>
              <w:rPr>
                <w:rFonts w:ascii="宋体" w:hAnsi="宋体" w:cs="宋体"/>
                <w:color w:val="auto"/>
                <w:sz w:val="24"/>
                <w:highlight w:val="none"/>
              </w:rPr>
            </w:pPr>
          </w:p>
        </w:tc>
        <w:tc>
          <w:tcPr>
            <w:tcW w:w="964" w:type="dxa"/>
            <w:tcBorders>
              <w:top w:val="single" w:color="auto" w:sz="4" w:space="0"/>
              <w:left w:val="single" w:color="auto" w:sz="4" w:space="0"/>
              <w:bottom w:val="single" w:color="auto" w:sz="4" w:space="0"/>
              <w:right w:val="single" w:color="auto" w:sz="4" w:space="0"/>
            </w:tcBorders>
            <w:vAlign w:val="center"/>
          </w:tcPr>
          <w:p w14:paraId="53475E9C">
            <w:pPr>
              <w:spacing w:line="360" w:lineRule="auto"/>
              <w:jc w:val="center"/>
              <w:rPr>
                <w:rFonts w:ascii="宋体" w:hAnsi="宋体" w:cs="宋体"/>
                <w:color w:val="auto"/>
                <w:sz w:val="24"/>
                <w:highlight w:val="none"/>
              </w:rPr>
            </w:pPr>
          </w:p>
        </w:tc>
        <w:tc>
          <w:tcPr>
            <w:tcW w:w="1261" w:type="dxa"/>
            <w:tcBorders>
              <w:top w:val="single" w:color="auto" w:sz="4" w:space="0"/>
              <w:left w:val="single" w:color="auto" w:sz="4" w:space="0"/>
              <w:bottom w:val="single" w:color="auto" w:sz="4" w:space="0"/>
              <w:right w:val="single" w:color="auto" w:sz="4" w:space="0"/>
            </w:tcBorders>
            <w:vAlign w:val="center"/>
          </w:tcPr>
          <w:p w14:paraId="53475E9D">
            <w:pPr>
              <w:spacing w:line="360" w:lineRule="auto"/>
              <w:jc w:val="center"/>
              <w:rPr>
                <w:rFonts w:ascii="宋体" w:hAnsi="宋体" w:cs="宋体"/>
                <w:color w:val="auto"/>
                <w:sz w:val="24"/>
                <w:highlight w:val="none"/>
              </w:rPr>
            </w:pPr>
          </w:p>
        </w:tc>
        <w:tc>
          <w:tcPr>
            <w:tcW w:w="1262" w:type="dxa"/>
            <w:tcBorders>
              <w:top w:val="single" w:color="auto" w:sz="4" w:space="0"/>
              <w:left w:val="single" w:color="auto" w:sz="4" w:space="0"/>
              <w:bottom w:val="single" w:color="auto" w:sz="4" w:space="0"/>
              <w:right w:val="single" w:color="auto" w:sz="4" w:space="0"/>
            </w:tcBorders>
            <w:vAlign w:val="center"/>
          </w:tcPr>
          <w:p w14:paraId="53475E9E">
            <w:pPr>
              <w:spacing w:line="360" w:lineRule="auto"/>
              <w:jc w:val="center"/>
              <w:rPr>
                <w:rFonts w:ascii="宋体" w:hAnsi="宋体" w:cs="宋体"/>
                <w:color w:val="auto"/>
                <w:sz w:val="24"/>
                <w:highlight w:val="none"/>
              </w:rPr>
            </w:pPr>
          </w:p>
        </w:tc>
        <w:tc>
          <w:tcPr>
            <w:tcW w:w="1261" w:type="dxa"/>
            <w:tcBorders>
              <w:top w:val="single" w:color="auto" w:sz="4" w:space="0"/>
              <w:left w:val="single" w:color="auto" w:sz="4" w:space="0"/>
              <w:bottom w:val="single" w:color="auto" w:sz="4" w:space="0"/>
              <w:right w:val="single" w:color="auto" w:sz="4" w:space="0"/>
            </w:tcBorders>
            <w:vAlign w:val="center"/>
          </w:tcPr>
          <w:p w14:paraId="53475E9F">
            <w:pPr>
              <w:spacing w:line="360" w:lineRule="auto"/>
              <w:jc w:val="center"/>
              <w:rPr>
                <w:rFonts w:ascii="宋体" w:hAnsi="宋体" w:cs="宋体"/>
                <w:color w:val="auto"/>
                <w:sz w:val="24"/>
                <w:highlight w:val="none"/>
              </w:rPr>
            </w:pPr>
          </w:p>
        </w:tc>
        <w:tc>
          <w:tcPr>
            <w:tcW w:w="1262" w:type="dxa"/>
            <w:tcBorders>
              <w:top w:val="single" w:color="auto" w:sz="4" w:space="0"/>
              <w:left w:val="single" w:color="auto" w:sz="4" w:space="0"/>
              <w:bottom w:val="single" w:color="auto" w:sz="4" w:space="0"/>
              <w:right w:val="single" w:color="auto" w:sz="4" w:space="0"/>
            </w:tcBorders>
            <w:vAlign w:val="center"/>
          </w:tcPr>
          <w:p w14:paraId="53475EA0">
            <w:pPr>
              <w:spacing w:line="360" w:lineRule="auto"/>
              <w:jc w:val="center"/>
              <w:rPr>
                <w:rFonts w:ascii="宋体" w:hAnsi="宋体" w:cs="宋体"/>
                <w:color w:val="auto"/>
                <w:sz w:val="24"/>
                <w:highlight w:val="none"/>
              </w:rPr>
            </w:pPr>
          </w:p>
        </w:tc>
        <w:tc>
          <w:tcPr>
            <w:tcW w:w="1261" w:type="dxa"/>
            <w:tcBorders>
              <w:top w:val="single" w:color="auto" w:sz="4" w:space="0"/>
              <w:left w:val="single" w:color="auto" w:sz="4" w:space="0"/>
              <w:bottom w:val="single" w:color="auto" w:sz="4" w:space="0"/>
              <w:right w:val="single" w:color="auto" w:sz="4" w:space="0"/>
            </w:tcBorders>
            <w:vAlign w:val="center"/>
          </w:tcPr>
          <w:p w14:paraId="53475EA1">
            <w:pPr>
              <w:spacing w:line="360" w:lineRule="auto"/>
              <w:jc w:val="center"/>
              <w:rPr>
                <w:rFonts w:ascii="宋体" w:hAnsi="宋体" w:cs="宋体"/>
                <w:color w:val="auto"/>
                <w:sz w:val="24"/>
                <w:highlight w:val="none"/>
              </w:rPr>
            </w:pPr>
          </w:p>
        </w:tc>
        <w:tc>
          <w:tcPr>
            <w:tcW w:w="1265" w:type="dxa"/>
            <w:tcBorders>
              <w:top w:val="single" w:color="auto" w:sz="4" w:space="0"/>
              <w:left w:val="single" w:color="auto" w:sz="4" w:space="0"/>
              <w:bottom w:val="single" w:color="auto" w:sz="4" w:space="0"/>
              <w:right w:val="single" w:color="auto" w:sz="4" w:space="0"/>
            </w:tcBorders>
            <w:vAlign w:val="center"/>
          </w:tcPr>
          <w:p w14:paraId="53475EA2">
            <w:pPr>
              <w:spacing w:line="360" w:lineRule="auto"/>
              <w:jc w:val="center"/>
              <w:rPr>
                <w:rFonts w:ascii="宋体" w:hAnsi="宋体" w:cs="宋体"/>
                <w:color w:val="auto"/>
                <w:sz w:val="24"/>
                <w:highlight w:val="none"/>
              </w:rPr>
            </w:pPr>
          </w:p>
        </w:tc>
      </w:tr>
      <w:tr w14:paraId="53475E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856" w:type="dxa"/>
            <w:tcBorders>
              <w:top w:val="single" w:color="auto" w:sz="4" w:space="0"/>
              <w:left w:val="single" w:color="auto" w:sz="4" w:space="0"/>
              <w:bottom w:val="single" w:color="auto" w:sz="4" w:space="0"/>
              <w:right w:val="single" w:color="auto" w:sz="4" w:space="0"/>
            </w:tcBorders>
            <w:vAlign w:val="center"/>
          </w:tcPr>
          <w:p w14:paraId="53475EA4">
            <w:pPr>
              <w:spacing w:line="360" w:lineRule="auto"/>
              <w:jc w:val="center"/>
              <w:rPr>
                <w:rFonts w:ascii="宋体" w:hAnsi="宋体" w:cs="宋体"/>
                <w:color w:val="auto"/>
                <w:sz w:val="24"/>
                <w:highlight w:val="none"/>
              </w:rPr>
            </w:pPr>
          </w:p>
        </w:tc>
        <w:tc>
          <w:tcPr>
            <w:tcW w:w="964" w:type="dxa"/>
            <w:tcBorders>
              <w:top w:val="single" w:color="auto" w:sz="4" w:space="0"/>
              <w:left w:val="single" w:color="auto" w:sz="4" w:space="0"/>
              <w:bottom w:val="single" w:color="auto" w:sz="4" w:space="0"/>
              <w:right w:val="single" w:color="auto" w:sz="4" w:space="0"/>
            </w:tcBorders>
            <w:vAlign w:val="center"/>
          </w:tcPr>
          <w:p w14:paraId="53475EA5">
            <w:pPr>
              <w:spacing w:line="360" w:lineRule="auto"/>
              <w:jc w:val="center"/>
              <w:rPr>
                <w:rFonts w:ascii="宋体" w:hAnsi="宋体" w:cs="宋体"/>
                <w:color w:val="auto"/>
                <w:sz w:val="24"/>
                <w:highlight w:val="none"/>
              </w:rPr>
            </w:pPr>
          </w:p>
        </w:tc>
        <w:tc>
          <w:tcPr>
            <w:tcW w:w="1261" w:type="dxa"/>
            <w:tcBorders>
              <w:top w:val="single" w:color="auto" w:sz="4" w:space="0"/>
              <w:left w:val="single" w:color="auto" w:sz="4" w:space="0"/>
              <w:bottom w:val="single" w:color="auto" w:sz="4" w:space="0"/>
              <w:right w:val="single" w:color="auto" w:sz="4" w:space="0"/>
            </w:tcBorders>
            <w:vAlign w:val="center"/>
          </w:tcPr>
          <w:p w14:paraId="53475EA6">
            <w:pPr>
              <w:spacing w:line="360" w:lineRule="auto"/>
              <w:jc w:val="center"/>
              <w:rPr>
                <w:rFonts w:ascii="宋体" w:hAnsi="宋体" w:cs="宋体"/>
                <w:color w:val="auto"/>
                <w:sz w:val="24"/>
                <w:highlight w:val="none"/>
              </w:rPr>
            </w:pPr>
          </w:p>
        </w:tc>
        <w:tc>
          <w:tcPr>
            <w:tcW w:w="1262" w:type="dxa"/>
            <w:tcBorders>
              <w:top w:val="single" w:color="auto" w:sz="4" w:space="0"/>
              <w:left w:val="single" w:color="auto" w:sz="4" w:space="0"/>
              <w:bottom w:val="single" w:color="auto" w:sz="4" w:space="0"/>
              <w:right w:val="single" w:color="auto" w:sz="4" w:space="0"/>
            </w:tcBorders>
            <w:vAlign w:val="center"/>
          </w:tcPr>
          <w:p w14:paraId="53475EA7">
            <w:pPr>
              <w:spacing w:line="360" w:lineRule="auto"/>
              <w:jc w:val="center"/>
              <w:rPr>
                <w:rFonts w:ascii="宋体" w:hAnsi="宋体" w:cs="宋体"/>
                <w:color w:val="auto"/>
                <w:sz w:val="24"/>
                <w:highlight w:val="none"/>
              </w:rPr>
            </w:pPr>
          </w:p>
        </w:tc>
        <w:tc>
          <w:tcPr>
            <w:tcW w:w="1261" w:type="dxa"/>
            <w:tcBorders>
              <w:top w:val="single" w:color="auto" w:sz="4" w:space="0"/>
              <w:left w:val="single" w:color="auto" w:sz="4" w:space="0"/>
              <w:bottom w:val="single" w:color="auto" w:sz="4" w:space="0"/>
              <w:right w:val="single" w:color="auto" w:sz="4" w:space="0"/>
            </w:tcBorders>
            <w:vAlign w:val="center"/>
          </w:tcPr>
          <w:p w14:paraId="53475EA8">
            <w:pPr>
              <w:spacing w:line="360" w:lineRule="auto"/>
              <w:jc w:val="center"/>
              <w:rPr>
                <w:rFonts w:ascii="宋体" w:hAnsi="宋体" w:cs="宋体"/>
                <w:color w:val="auto"/>
                <w:sz w:val="24"/>
                <w:highlight w:val="none"/>
              </w:rPr>
            </w:pPr>
          </w:p>
        </w:tc>
        <w:tc>
          <w:tcPr>
            <w:tcW w:w="1262" w:type="dxa"/>
            <w:tcBorders>
              <w:top w:val="single" w:color="auto" w:sz="4" w:space="0"/>
              <w:left w:val="single" w:color="auto" w:sz="4" w:space="0"/>
              <w:bottom w:val="single" w:color="auto" w:sz="4" w:space="0"/>
              <w:right w:val="single" w:color="auto" w:sz="4" w:space="0"/>
            </w:tcBorders>
            <w:vAlign w:val="center"/>
          </w:tcPr>
          <w:p w14:paraId="53475EA9">
            <w:pPr>
              <w:spacing w:line="360" w:lineRule="auto"/>
              <w:jc w:val="center"/>
              <w:rPr>
                <w:rFonts w:ascii="宋体" w:hAnsi="宋体" w:cs="宋体"/>
                <w:color w:val="auto"/>
                <w:sz w:val="24"/>
                <w:highlight w:val="none"/>
              </w:rPr>
            </w:pPr>
          </w:p>
        </w:tc>
        <w:tc>
          <w:tcPr>
            <w:tcW w:w="1261" w:type="dxa"/>
            <w:tcBorders>
              <w:top w:val="single" w:color="auto" w:sz="4" w:space="0"/>
              <w:left w:val="single" w:color="auto" w:sz="4" w:space="0"/>
              <w:bottom w:val="single" w:color="auto" w:sz="4" w:space="0"/>
              <w:right w:val="single" w:color="auto" w:sz="4" w:space="0"/>
            </w:tcBorders>
            <w:vAlign w:val="center"/>
          </w:tcPr>
          <w:p w14:paraId="53475EAA">
            <w:pPr>
              <w:spacing w:line="360" w:lineRule="auto"/>
              <w:jc w:val="center"/>
              <w:rPr>
                <w:rFonts w:ascii="宋体" w:hAnsi="宋体" w:cs="宋体"/>
                <w:color w:val="auto"/>
                <w:sz w:val="24"/>
                <w:highlight w:val="none"/>
              </w:rPr>
            </w:pPr>
          </w:p>
        </w:tc>
        <w:tc>
          <w:tcPr>
            <w:tcW w:w="1265" w:type="dxa"/>
            <w:tcBorders>
              <w:top w:val="single" w:color="auto" w:sz="4" w:space="0"/>
              <w:left w:val="single" w:color="auto" w:sz="4" w:space="0"/>
              <w:bottom w:val="single" w:color="auto" w:sz="4" w:space="0"/>
              <w:right w:val="single" w:color="auto" w:sz="4" w:space="0"/>
            </w:tcBorders>
            <w:vAlign w:val="center"/>
          </w:tcPr>
          <w:p w14:paraId="53475EAB">
            <w:pPr>
              <w:spacing w:line="360" w:lineRule="auto"/>
              <w:jc w:val="center"/>
              <w:rPr>
                <w:rFonts w:ascii="宋体" w:hAnsi="宋体" w:cs="宋体"/>
                <w:color w:val="auto"/>
                <w:sz w:val="24"/>
                <w:highlight w:val="none"/>
              </w:rPr>
            </w:pPr>
          </w:p>
        </w:tc>
      </w:tr>
    </w:tbl>
    <w:p w14:paraId="53475EAD">
      <w:pPr>
        <w:spacing w:line="360" w:lineRule="auto"/>
        <w:rPr>
          <w:rFonts w:ascii="宋体" w:hAnsi="宋体" w:cs="宋体"/>
          <w:color w:val="auto"/>
          <w:sz w:val="24"/>
          <w:highlight w:val="none"/>
        </w:rPr>
      </w:pPr>
    </w:p>
    <w:p w14:paraId="53475EAE">
      <w:pPr>
        <w:spacing w:line="360" w:lineRule="auto"/>
        <w:rPr>
          <w:rFonts w:ascii="宋体" w:hAnsi="宋体" w:cs="宋体"/>
          <w:color w:val="auto"/>
          <w:sz w:val="24"/>
          <w:highlight w:val="none"/>
        </w:rPr>
      </w:pPr>
    </w:p>
    <w:p w14:paraId="53475EAF">
      <w:pPr>
        <w:spacing w:line="360" w:lineRule="auto"/>
        <w:rPr>
          <w:rFonts w:ascii="宋体" w:hAnsi="宋体" w:cs="宋体"/>
          <w:color w:val="auto"/>
          <w:sz w:val="24"/>
          <w:highlight w:val="none"/>
        </w:rPr>
      </w:pPr>
      <w:r>
        <w:rPr>
          <w:rFonts w:hint="eastAsia" w:ascii="宋体" w:hAnsi="宋体" w:cs="宋体"/>
          <w:color w:val="auto"/>
          <w:sz w:val="24"/>
          <w:highlight w:val="none"/>
        </w:rPr>
        <w:t>附表四：计划开、竣工日期和施工进度计划（网络图或横道图）</w:t>
      </w:r>
    </w:p>
    <w:p w14:paraId="53475EB0">
      <w:pPr>
        <w:spacing w:line="360" w:lineRule="auto"/>
        <w:ind w:left="-6" w:firstLine="420"/>
        <w:rPr>
          <w:rFonts w:ascii="宋体" w:hAnsi="宋体" w:cs="宋体"/>
          <w:color w:val="auto"/>
          <w:sz w:val="24"/>
          <w:highlight w:val="none"/>
        </w:rPr>
      </w:pPr>
      <w:r>
        <w:rPr>
          <w:rFonts w:ascii="宋体" w:hAnsi="宋体" w:cs="宋体"/>
          <w:color w:val="auto"/>
          <w:sz w:val="24"/>
          <w:highlight w:val="none"/>
        </w:rPr>
        <w:t xml:space="preserve">1. </w:t>
      </w:r>
      <w:r>
        <w:rPr>
          <w:rFonts w:hint="eastAsia" w:ascii="宋体" w:hAnsi="宋体" w:cs="宋体"/>
          <w:color w:val="auto"/>
          <w:sz w:val="24"/>
          <w:highlight w:val="none"/>
        </w:rPr>
        <w:t>磋商供应商应提交施工进度计划，说明按磋商文件要求的工期进行施工的各个关键日期。成交的磋商供应商还应按合同条件有关条款的要求提交详细的施工进度计划。</w:t>
      </w:r>
    </w:p>
    <w:p w14:paraId="53475EB1">
      <w:pPr>
        <w:spacing w:line="360" w:lineRule="auto"/>
        <w:ind w:left="-6" w:firstLine="420"/>
        <w:rPr>
          <w:rFonts w:ascii="宋体" w:hAnsi="宋体" w:cs="宋体"/>
          <w:color w:val="auto"/>
          <w:sz w:val="24"/>
          <w:highlight w:val="none"/>
        </w:rPr>
      </w:pPr>
      <w:r>
        <w:rPr>
          <w:rFonts w:ascii="宋体" w:hAnsi="宋体" w:cs="宋体"/>
          <w:color w:val="auto"/>
          <w:sz w:val="24"/>
          <w:highlight w:val="none"/>
        </w:rPr>
        <w:t xml:space="preserve">2. </w:t>
      </w:r>
      <w:r>
        <w:rPr>
          <w:rFonts w:hint="eastAsia" w:ascii="宋体" w:hAnsi="宋体" w:cs="宋体"/>
          <w:color w:val="auto"/>
          <w:sz w:val="24"/>
          <w:highlight w:val="none"/>
        </w:rPr>
        <w:t>施工进度计划可采用网络图（或横道图）表示，说明计划开工日期和各分项工程各阶段的完工日期和分包合同签订的日期。</w:t>
      </w:r>
    </w:p>
    <w:p w14:paraId="53475EB2">
      <w:pPr>
        <w:spacing w:line="360" w:lineRule="auto"/>
        <w:ind w:left="-6" w:firstLine="420"/>
        <w:rPr>
          <w:rFonts w:ascii="宋体" w:hAnsi="宋体" w:cs="宋体"/>
          <w:color w:val="auto"/>
          <w:sz w:val="24"/>
          <w:highlight w:val="none"/>
        </w:rPr>
      </w:pPr>
      <w:r>
        <w:rPr>
          <w:rFonts w:ascii="宋体" w:hAnsi="宋体" w:cs="宋体"/>
          <w:color w:val="auto"/>
          <w:sz w:val="24"/>
          <w:highlight w:val="none"/>
        </w:rPr>
        <w:t xml:space="preserve">3. </w:t>
      </w:r>
      <w:r>
        <w:rPr>
          <w:rFonts w:hint="eastAsia" w:ascii="宋体" w:hAnsi="宋体" w:cs="宋体"/>
          <w:color w:val="auto"/>
          <w:sz w:val="24"/>
          <w:highlight w:val="none"/>
        </w:rPr>
        <w:t>施工进度计划应与施工组织设计相适应。</w:t>
      </w:r>
    </w:p>
    <w:p w14:paraId="53475EB3">
      <w:pPr>
        <w:spacing w:line="360" w:lineRule="auto"/>
        <w:rPr>
          <w:rFonts w:ascii="宋体" w:hAnsi="宋体" w:cs="宋体"/>
          <w:color w:val="auto"/>
          <w:sz w:val="24"/>
          <w:highlight w:val="none"/>
        </w:rPr>
      </w:pPr>
    </w:p>
    <w:p w14:paraId="53475EB4">
      <w:pPr>
        <w:spacing w:line="360" w:lineRule="auto"/>
        <w:rPr>
          <w:rFonts w:ascii="宋体" w:hAnsi="宋体" w:cs="宋体"/>
          <w:color w:val="auto"/>
          <w:sz w:val="24"/>
          <w:highlight w:val="none"/>
        </w:rPr>
      </w:pPr>
    </w:p>
    <w:p w14:paraId="53475EB5">
      <w:pPr>
        <w:spacing w:line="360" w:lineRule="auto"/>
        <w:rPr>
          <w:rFonts w:ascii="宋体" w:hAnsi="宋体" w:cs="宋体"/>
          <w:color w:val="auto"/>
          <w:sz w:val="24"/>
          <w:highlight w:val="none"/>
        </w:rPr>
      </w:pPr>
      <w:r>
        <w:rPr>
          <w:rFonts w:hint="eastAsia" w:ascii="宋体" w:hAnsi="宋体" w:cs="宋体"/>
          <w:color w:val="auto"/>
          <w:sz w:val="24"/>
          <w:highlight w:val="none"/>
        </w:rPr>
        <w:t>附表五：施工总平面图</w:t>
      </w:r>
    </w:p>
    <w:p w14:paraId="53475EB6">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磋商供应商应递交一份施工总平面图，绘出现场临时设施布置图表并附文字说明，说明临时设施、加工车间、现场办公、设备及仓储、供电、供水、卫生、生活、道路、消防等设施的情况和布置。</w:t>
      </w:r>
    </w:p>
    <w:p w14:paraId="53475EB7">
      <w:pPr>
        <w:spacing w:line="360" w:lineRule="auto"/>
        <w:rPr>
          <w:rFonts w:ascii="宋体" w:hAnsi="宋体" w:cs="宋体"/>
          <w:color w:val="auto"/>
          <w:sz w:val="24"/>
          <w:highlight w:val="none"/>
        </w:rPr>
      </w:pPr>
    </w:p>
    <w:p w14:paraId="53475EB8">
      <w:pPr>
        <w:spacing w:line="360" w:lineRule="auto"/>
        <w:rPr>
          <w:rFonts w:ascii="宋体" w:hAnsi="宋体" w:cs="宋体"/>
          <w:color w:val="auto"/>
          <w:sz w:val="24"/>
          <w:highlight w:val="none"/>
        </w:rPr>
      </w:pPr>
    </w:p>
    <w:p w14:paraId="53475EB9">
      <w:pPr>
        <w:spacing w:line="360" w:lineRule="auto"/>
        <w:rPr>
          <w:rFonts w:ascii="宋体" w:hAnsi="宋体" w:cs="宋体"/>
          <w:color w:val="auto"/>
          <w:sz w:val="24"/>
          <w:highlight w:val="none"/>
        </w:rPr>
      </w:pPr>
      <w:r>
        <w:rPr>
          <w:rFonts w:hint="eastAsia" w:ascii="宋体" w:hAnsi="宋体" w:cs="宋体"/>
          <w:color w:val="auto"/>
          <w:sz w:val="24"/>
          <w:highlight w:val="none"/>
        </w:rPr>
        <w:t>附表六：临时用地表</w:t>
      </w:r>
    </w:p>
    <w:tbl>
      <w:tblPr>
        <w:tblStyle w:val="3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5"/>
        <w:gridCol w:w="2366"/>
        <w:gridCol w:w="2365"/>
        <w:gridCol w:w="2366"/>
      </w:tblGrid>
      <w:tr w14:paraId="53475E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2365" w:type="dxa"/>
            <w:tcBorders>
              <w:top w:val="single" w:color="auto" w:sz="4" w:space="0"/>
              <w:left w:val="single" w:color="auto" w:sz="4" w:space="0"/>
              <w:bottom w:val="single" w:color="auto" w:sz="4" w:space="0"/>
              <w:right w:val="single" w:color="auto" w:sz="4" w:space="0"/>
            </w:tcBorders>
            <w:vAlign w:val="center"/>
          </w:tcPr>
          <w:p w14:paraId="53475EBA">
            <w:pPr>
              <w:spacing w:line="360" w:lineRule="auto"/>
              <w:jc w:val="center"/>
              <w:rPr>
                <w:rFonts w:ascii="宋体" w:hAnsi="宋体" w:cs="宋体"/>
                <w:color w:val="auto"/>
                <w:sz w:val="24"/>
                <w:highlight w:val="none"/>
              </w:rPr>
            </w:pPr>
            <w:r>
              <w:rPr>
                <w:rFonts w:hint="eastAsia" w:ascii="宋体" w:hAnsi="宋体" w:cs="宋体"/>
                <w:color w:val="auto"/>
                <w:sz w:val="24"/>
                <w:highlight w:val="none"/>
              </w:rPr>
              <w:t>用途</w:t>
            </w:r>
          </w:p>
        </w:tc>
        <w:tc>
          <w:tcPr>
            <w:tcW w:w="2366" w:type="dxa"/>
            <w:tcBorders>
              <w:top w:val="single" w:color="auto" w:sz="4" w:space="0"/>
              <w:left w:val="single" w:color="auto" w:sz="4" w:space="0"/>
              <w:bottom w:val="single" w:color="auto" w:sz="4" w:space="0"/>
              <w:right w:val="single" w:color="auto" w:sz="4" w:space="0"/>
            </w:tcBorders>
            <w:vAlign w:val="center"/>
          </w:tcPr>
          <w:p w14:paraId="53475EBB">
            <w:pPr>
              <w:spacing w:line="360" w:lineRule="auto"/>
              <w:jc w:val="center"/>
              <w:rPr>
                <w:rFonts w:ascii="宋体" w:hAnsi="宋体" w:cs="宋体"/>
                <w:color w:val="auto"/>
                <w:sz w:val="24"/>
                <w:highlight w:val="none"/>
              </w:rPr>
            </w:pPr>
            <w:r>
              <w:rPr>
                <w:rFonts w:hint="eastAsia" w:ascii="宋体" w:hAnsi="宋体" w:cs="宋体"/>
                <w:color w:val="auto"/>
                <w:sz w:val="24"/>
                <w:highlight w:val="none"/>
              </w:rPr>
              <w:t>面积（平方米）</w:t>
            </w:r>
          </w:p>
        </w:tc>
        <w:tc>
          <w:tcPr>
            <w:tcW w:w="2365" w:type="dxa"/>
            <w:tcBorders>
              <w:top w:val="single" w:color="auto" w:sz="4" w:space="0"/>
              <w:left w:val="single" w:color="auto" w:sz="4" w:space="0"/>
              <w:bottom w:val="single" w:color="auto" w:sz="4" w:space="0"/>
              <w:right w:val="single" w:color="auto" w:sz="4" w:space="0"/>
            </w:tcBorders>
            <w:vAlign w:val="center"/>
          </w:tcPr>
          <w:p w14:paraId="53475EBC">
            <w:pPr>
              <w:spacing w:line="360" w:lineRule="auto"/>
              <w:jc w:val="center"/>
              <w:rPr>
                <w:rFonts w:ascii="宋体" w:hAnsi="宋体" w:cs="宋体"/>
                <w:color w:val="auto"/>
                <w:sz w:val="24"/>
                <w:highlight w:val="none"/>
              </w:rPr>
            </w:pPr>
            <w:r>
              <w:rPr>
                <w:rFonts w:hint="eastAsia" w:ascii="宋体" w:hAnsi="宋体" w:cs="宋体"/>
                <w:color w:val="auto"/>
                <w:sz w:val="24"/>
                <w:highlight w:val="none"/>
              </w:rPr>
              <w:t>位置</w:t>
            </w:r>
          </w:p>
        </w:tc>
        <w:tc>
          <w:tcPr>
            <w:tcW w:w="2366" w:type="dxa"/>
            <w:tcBorders>
              <w:top w:val="single" w:color="auto" w:sz="4" w:space="0"/>
              <w:left w:val="single" w:color="auto" w:sz="4" w:space="0"/>
              <w:bottom w:val="single" w:color="auto" w:sz="4" w:space="0"/>
              <w:right w:val="single" w:color="auto" w:sz="4" w:space="0"/>
            </w:tcBorders>
            <w:vAlign w:val="center"/>
          </w:tcPr>
          <w:p w14:paraId="53475EBD">
            <w:pPr>
              <w:spacing w:line="360" w:lineRule="auto"/>
              <w:jc w:val="center"/>
              <w:rPr>
                <w:rFonts w:ascii="宋体" w:hAnsi="宋体" w:cs="宋体"/>
                <w:color w:val="auto"/>
                <w:sz w:val="24"/>
                <w:highlight w:val="none"/>
              </w:rPr>
            </w:pPr>
            <w:r>
              <w:rPr>
                <w:rFonts w:hint="eastAsia" w:ascii="宋体" w:hAnsi="宋体" w:cs="宋体"/>
                <w:color w:val="auto"/>
                <w:sz w:val="24"/>
                <w:highlight w:val="none"/>
              </w:rPr>
              <w:t>需用时间</w:t>
            </w:r>
          </w:p>
        </w:tc>
      </w:tr>
      <w:tr w14:paraId="53475E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2365" w:type="dxa"/>
            <w:tcBorders>
              <w:top w:val="single" w:color="auto" w:sz="4" w:space="0"/>
              <w:left w:val="single" w:color="auto" w:sz="4" w:space="0"/>
              <w:bottom w:val="single" w:color="auto" w:sz="4" w:space="0"/>
              <w:right w:val="single" w:color="auto" w:sz="4" w:space="0"/>
            </w:tcBorders>
          </w:tcPr>
          <w:p w14:paraId="53475EBF">
            <w:pPr>
              <w:spacing w:line="360" w:lineRule="auto"/>
              <w:rPr>
                <w:rFonts w:ascii="宋体" w:hAnsi="宋体" w:cs="宋体"/>
                <w:color w:val="auto"/>
                <w:sz w:val="24"/>
                <w:highlight w:val="none"/>
              </w:rPr>
            </w:pPr>
          </w:p>
        </w:tc>
        <w:tc>
          <w:tcPr>
            <w:tcW w:w="2366" w:type="dxa"/>
            <w:tcBorders>
              <w:top w:val="single" w:color="auto" w:sz="4" w:space="0"/>
              <w:left w:val="single" w:color="auto" w:sz="4" w:space="0"/>
              <w:bottom w:val="single" w:color="auto" w:sz="4" w:space="0"/>
              <w:right w:val="single" w:color="auto" w:sz="4" w:space="0"/>
            </w:tcBorders>
          </w:tcPr>
          <w:p w14:paraId="53475EC0">
            <w:pPr>
              <w:spacing w:line="360" w:lineRule="auto"/>
              <w:rPr>
                <w:rFonts w:ascii="宋体" w:hAnsi="宋体" w:cs="宋体"/>
                <w:color w:val="auto"/>
                <w:sz w:val="24"/>
                <w:highlight w:val="none"/>
              </w:rPr>
            </w:pPr>
          </w:p>
        </w:tc>
        <w:tc>
          <w:tcPr>
            <w:tcW w:w="2365" w:type="dxa"/>
            <w:tcBorders>
              <w:top w:val="single" w:color="auto" w:sz="4" w:space="0"/>
              <w:left w:val="single" w:color="auto" w:sz="4" w:space="0"/>
              <w:bottom w:val="single" w:color="auto" w:sz="4" w:space="0"/>
              <w:right w:val="single" w:color="auto" w:sz="4" w:space="0"/>
            </w:tcBorders>
          </w:tcPr>
          <w:p w14:paraId="53475EC1">
            <w:pPr>
              <w:spacing w:line="360" w:lineRule="auto"/>
              <w:rPr>
                <w:rFonts w:ascii="宋体" w:hAnsi="宋体" w:cs="宋体"/>
                <w:color w:val="auto"/>
                <w:sz w:val="24"/>
                <w:highlight w:val="none"/>
              </w:rPr>
            </w:pPr>
          </w:p>
        </w:tc>
        <w:tc>
          <w:tcPr>
            <w:tcW w:w="2366" w:type="dxa"/>
            <w:tcBorders>
              <w:top w:val="single" w:color="auto" w:sz="4" w:space="0"/>
              <w:left w:val="single" w:color="auto" w:sz="4" w:space="0"/>
              <w:bottom w:val="single" w:color="auto" w:sz="4" w:space="0"/>
              <w:right w:val="single" w:color="auto" w:sz="4" w:space="0"/>
            </w:tcBorders>
          </w:tcPr>
          <w:p w14:paraId="53475EC2">
            <w:pPr>
              <w:spacing w:line="360" w:lineRule="auto"/>
              <w:rPr>
                <w:rFonts w:ascii="宋体" w:hAnsi="宋体" w:cs="宋体"/>
                <w:color w:val="auto"/>
                <w:sz w:val="24"/>
                <w:highlight w:val="none"/>
              </w:rPr>
            </w:pPr>
          </w:p>
        </w:tc>
      </w:tr>
      <w:tr w14:paraId="53475E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2365" w:type="dxa"/>
            <w:tcBorders>
              <w:top w:val="single" w:color="auto" w:sz="4" w:space="0"/>
              <w:left w:val="single" w:color="auto" w:sz="4" w:space="0"/>
              <w:bottom w:val="single" w:color="auto" w:sz="4" w:space="0"/>
              <w:right w:val="single" w:color="auto" w:sz="4" w:space="0"/>
            </w:tcBorders>
          </w:tcPr>
          <w:p w14:paraId="53475EC4">
            <w:pPr>
              <w:spacing w:line="360" w:lineRule="auto"/>
              <w:rPr>
                <w:rFonts w:ascii="宋体" w:hAnsi="宋体" w:cs="宋体"/>
                <w:color w:val="auto"/>
                <w:sz w:val="24"/>
                <w:highlight w:val="none"/>
              </w:rPr>
            </w:pPr>
          </w:p>
        </w:tc>
        <w:tc>
          <w:tcPr>
            <w:tcW w:w="2366" w:type="dxa"/>
            <w:tcBorders>
              <w:top w:val="single" w:color="auto" w:sz="4" w:space="0"/>
              <w:left w:val="single" w:color="auto" w:sz="4" w:space="0"/>
              <w:bottom w:val="single" w:color="auto" w:sz="4" w:space="0"/>
              <w:right w:val="single" w:color="auto" w:sz="4" w:space="0"/>
            </w:tcBorders>
          </w:tcPr>
          <w:p w14:paraId="53475EC5">
            <w:pPr>
              <w:spacing w:line="360" w:lineRule="auto"/>
              <w:rPr>
                <w:rFonts w:ascii="宋体" w:hAnsi="宋体" w:cs="宋体"/>
                <w:color w:val="auto"/>
                <w:sz w:val="24"/>
                <w:highlight w:val="none"/>
              </w:rPr>
            </w:pPr>
          </w:p>
        </w:tc>
        <w:tc>
          <w:tcPr>
            <w:tcW w:w="2365" w:type="dxa"/>
            <w:tcBorders>
              <w:top w:val="single" w:color="auto" w:sz="4" w:space="0"/>
              <w:left w:val="single" w:color="auto" w:sz="4" w:space="0"/>
              <w:bottom w:val="single" w:color="auto" w:sz="4" w:space="0"/>
              <w:right w:val="single" w:color="auto" w:sz="4" w:space="0"/>
            </w:tcBorders>
          </w:tcPr>
          <w:p w14:paraId="53475EC6">
            <w:pPr>
              <w:spacing w:line="360" w:lineRule="auto"/>
              <w:rPr>
                <w:rFonts w:ascii="宋体" w:hAnsi="宋体" w:cs="宋体"/>
                <w:color w:val="auto"/>
                <w:sz w:val="24"/>
                <w:highlight w:val="none"/>
              </w:rPr>
            </w:pPr>
          </w:p>
        </w:tc>
        <w:tc>
          <w:tcPr>
            <w:tcW w:w="2366" w:type="dxa"/>
            <w:tcBorders>
              <w:top w:val="single" w:color="auto" w:sz="4" w:space="0"/>
              <w:left w:val="single" w:color="auto" w:sz="4" w:space="0"/>
              <w:bottom w:val="single" w:color="auto" w:sz="4" w:space="0"/>
              <w:right w:val="single" w:color="auto" w:sz="4" w:space="0"/>
            </w:tcBorders>
          </w:tcPr>
          <w:p w14:paraId="53475EC7">
            <w:pPr>
              <w:spacing w:line="360" w:lineRule="auto"/>
              <w:rPr>
                <w:rFonts w:ascii="宋体" w:hAnsi="宋体" w:cs="宋体"/>
                <w:color w:val="auto"/>
                <w:sz w:val="24"/>
                <w:highlight w:val="none"/>
              </w:rPr>
            </w:pPr>
          </w:p>
        </w:tc>
      </w:tr>
      <w:tr w14:paraId="53475E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2365" w:type="dxa"/>
            <w:tcBorders>
              <w:top w:val="single" w:color="auto" w:sz="4" w:space="0"/>
              <w:left w:val="single" w:color="auto" w:sz="4" w:space="0"/>
              <w:bottom w:val="single" w:color="auto" w:sz="4" w:space="0"/>
              <w:right w:val="single" w:color="auto" w:sz="4" w:space="0"/>
            </w:tcBorders>
          </w:tcPr>
          <w:p w14:paraId="53475EC9">
            <w:pPr>
              <w:spacing w:line="360" w:lineRule="auto"/>
              <w:rPr>
                <w:rFonts w:ascii="宋体" w:hAnsi="宋体" w:cs="宋体"/>
                <w:color w:val="auto"/>
                <w:sz w:val="24"/>
                <w:highlight w:val="none"/>
              </w:rPr>
            </w:pPr>
          </w:p>
        </w:tc>
        <w:tc>
          <w:tcPr>
            <w:tcW w:w="2366" w:type="dxa"/>
            <w:tcBorders>
              <w:top w:val="single" w:color="auto" w:sz="4" w:space="0"/>
              <w:left w:val="single" w:color="auto" w:sz="4" w:space="0"/>
              <w:bottom w:val="single" w:color="auto" w:sz="4" w:space="0"/>
              <w:right w:val="single" w:color="auto" w:sz="4" w:space="0"/>
            </w:tcBorders>
          </w:tcPr>
          <w:p w14:paraId="53475ECA">
            <w:pPr>
              <w:spacing w:line="360" w:lineRule="auto"/>
              <w:rPr>
                <w:rFonts w:ascii="宋体" w:hAnsi="宋体" w:cs="宋体"/>
                <w:color w:val="auto"/>
                <w:sz w:val="24"/>
                <w:highlight w:val="none"/>
              </w:rPr>
            </w:pPr>
          </w:p>
        </w:tc>
        <w:tc>
          <w:tcPr>
            <w:tcW w:w="2365" w:type="dxa"/>
            <w:tcBorders>
              <w:top w:val="single" w:color="auto" w:sz="4" w:space="0"/>
              <w:left w:val="single" w:color="auto" w:sz="4" w:space="0"/>
              <w:bottom w:val="single" w:color="auto" w:sz="4" w:space="0"/>
              <w:right w:val="single" w:color="auto" w:sz="4" w:space="0"/>
            </w:tcBorders>
          </w:tcPr>
          <w:p w14:paraId="53475ECB">
            <w:pPr>
              <w:spacing w:line="360" w:lineRule="auto"/>
              <w:rPr>
                <w:rFonts w:ascii="宋体" w:hAnsi="宋体" w:cs="宋体"/>
                <w:color w:val="auto"/>
                <w:sz w:val="24"/>
                <w:highlight w:val="none"/>
              </w:rPr>
            </w:pPr>
          </w:p>
        </w:tc>
        <w:tc>
          <w:tcPr>
            <w:tcW w:w="2366" w:type="dxa"/>
            <w:tcBorders>
              <w:top w:val="single" w:color="auto" w:sz="4" w:space="0"/>
              <w:left w:val="single" w:color="auto" w:sz="4" w:space="0"/>
              <w:bottom w:val="single" w:color="auto" w:sz="4" w:space="0"/>
              <w:right w:val="single" w:color="auto" w:sz="4" w:space="0"/>
            </w:tcBorders>
          </w:tcPr>
          <w:p w14:paraId="53475ECC">
            <w:pPr>
              <w:spacing w:line="360" w:lineRule="auto"/>
              <w:rPr>
                <w:rFonts w:ascii="宋体" w:hAnsi="宋体" w:cs="宋体"/>
                <w:color w:val="auto"/>
                <w:sz w:val="24"/>
                <w:highlight w:val="none"/>
              </w:rPr>
            </w:pPr>
          </w:p>
        </w:tc>
      </w:tr>
      <w:tr w14:paraId="53475E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2365" w:type="dxa"/>
            <w:tcBorders>
              <w:top w:val="single" w:color="auto" w:sz="4" w:space="0"/>
              <w:left w:val="single" w:color="auto" w:sz="4" w:space="0"/>
              <w:bottom w:val="single" w:color="auto" w:sz="4" w:space="0"/>
              <w:right w:val="single" w:color="auto" w:sz="4" w:space="0"/>
            </w:tcBorders>
          </w:tcPr>
          <w:p w14:paraId="53475ECE">
            <w:pPr>
              <w:spacing w:line="360" w:lineRule="auto"/>
              <w:rPr>
                <w:rFonts w:ascii="宋体" w:hAnsi="宋体" w:cs="宋体"/>
                <w:color w:val="auto"/>
                <w:sz w:val="24"/>
                <w:highlight w:val="none"/>
              </w:rPr>
            </w:pPr>
          </w:p>
        </w:tc>
        <w:tc>
          <w:tcPr>
            <w:tcW w:w="2366" w:type="dxa"/>
            <w:tcBorders>
              <w:top w:val="single" w:color="auto" w:sz="4" w:space="0"/>
              <w:left w:val="single" w:color="auto" w:sz="4" w:space="0"/>
              <w:bottom w:val="single" w:color="auto" w:sz="4" w:space="0"/>
              <w:right w:val="single" w:color="auto" w:sz="4" w:space="0"/>
            </w:tcBorders>
          </w:tcPr>
          <w:p w14:paraId="53475ECF">
            <w:pPr>
              <w:spacing w:line="360" w:lineRule="auto"/>
              <w:rPr>
                <w:rFonts w:ascii="宋体" w:hAnsi="宋体" w:cs="宋体"/>
                <w:color w:val="auto"/>
                <w:sz w:val="24"/>
                <w:highlight w:val="none"/>
              </w:rPr>
            </w:pPr>
          </w:p>
        </w:tc>
        <w:tc>
          <w:tcPr>
            <w:tcW w:w="2365" w:type="dxa"/>
            <w:tcBorders>
              <w:top w:val="single" w:color="auto" w:sz="4" w:space="0"/>
              <w:left w:val="single" w:color="auto" w:sz="4" w:space="0"/>
              <w:bottom w:val="single" w:color="auto" w:sz="4" w:space="0"/>
              <w:right w:val="single" w:color="auto" w:sz="4" w:space="0"/>
            </w:tcBorders>
          </w:tcPr>
          <w:p w14:paraId="53475ED0">
            <w:pPr>
              <w:spacing w:line="360" w:lineRule="auto"/>
              <w:rPr>
                <w:rFonts w:ascii="宋体" w:hAnsi="宋体" w:cs="宋体"/>
                <w:color w:val="auto"/>
                <w:sz w:val="24"/>
                <w:highlight w:val="none"/>
              </w:rPr>
            </w:pPr>
          </w:p>
        </w:tc>
        <w:tc>
          <w:tcPr>
            <w:tcW w:w="2366" w:type="dxa"/>
            <w:tcBorders>
              <w:top w:val="single" w:color="auto" w:sz="4" w:space="0"/>
              <w:left w:val="single" w:color="auto" w:sz="4" w:space="0"/>
              <w:bottom w:val="single" w:color="auto" w:sz="4" w:space="0"/>
              <w:right w:val="single" w:color="auto" w:sz="4" w:space="0"/>
            </w:tcBorders>
          </w:tcPr>
          <w:p w14:paraId="53475ED1">
            <w:pPr>
              <w:spacing w:line="360" w:lineRule="auto"/>
              <w:rPr>
                <w:rFonts w:ascii="宋体" w:hAnsi="宋体" w:cs="宋体"/>
                <w:color w:val="auto"/>
                <w:sz w:val="24"/>
                <w:highlight w:val="none"/>
              </w:rPr>
            </w:pPr>
          </w:p>
        </w:tc>
      </w:tr>
    </w:tbl>
    <w:p w14:paraId="53475ED3">
      <w:pPr>
        <w:kinsoku w:val="0"/>
        <w:autoSpaceDE w:val="0"/>
        <w:autoSpaceDN w:val="0"/>
        <w:adjustRightInd w:val="0"/>
        <w:snapToGrid w:val="0"/>
        <w:spacing w:line="360" w:lineRule="auto"/>
        <w:jc w:val="left"/>
        <w:textAlignment w:val="baseline"/>
        <w:rPr>
          <w:rFonts w:ascii="宋体" w:hAnsi="宋体" w:cs="宋体"/>
          <w:snapToGrid w:val="0"/>
          <w:color w:val="auto"/>
          <w:kern w:val="0"/>
          <w:szCs w:val="21"/>
          <w:highlight w:val="none"/>
          <w:lang w:eastAsia="en-US"/>
        </w:rPr>
      </w:pPr>
    </w:p>
    <w:p w14:paraId="53475ED4">
      <w:pPr>
        <w:spacing w:line="360" w:lineRule="auto"/>
        <w:rPr>
          <w:rFonts w:ascii="宋体" w:hAnsi="宋体" w:cs="宋体"/>
          <w:color w:val="auto"/>
          <w:highlight w:val="none"/>
        </w:rPr>
        <w:sectPr>
          <w:pgSz w:w="11907" w:h="16839"/>
          <w:pgMar w:top="1431" w:right="1272" w:bottom="1364" w:left="1418" w:header="850" w:footer="1204" w:gutter="0"/>
          <w:cols w:space="720" w:num="1"/>
          <w:docGrid w:linePitch="286" w:charSpace="0"/>
        </w:sectPr>
      </w:pPr>
    </w:p>
    <w:p w14:paraId="53475ED5">
      <w:pPr>
        <w:spacing w:line="360" w:lineRule="auto"/>
        <w:rPr>
          <w:rFonts w:ascii="宋体" w:hAnsi="宋体" w:cs="宋体"/>
          <w:b/>
          <w:bCs/>
          <w:color w:val="auto"/>
          <w:spacing w:val="9"/>
          <w:position w:val="3"/>
          <w:sz w:val="24"/>
          <w:highlight w:val="none"/>
        </w:rPr>
      </w:pPr>
      <w:r>
        <w:rPr>
          <w:rFonts w:hint="eastAsia" w:ascii="宋体" w:hAnsi="宋体" w:cs="宋体"/>
          <w:b/>
          <w:bCs/>
          <w:color w:val="auto"/>
          <w:spacing w:val="9"/>
          <w:position w:val="3"/>
          <w:sz w:val="24"/>
          <w:highlight w:val="none"/>
        </w:rPr>
        <w:t>附件10</w:t>
      </w:r>
    </w:p>
    <w:p w14:paraId="53475ED6">
      <w:pPr>
        <w:spacing w:line="360" w:lineRule="auto"/>
        <w:jc w:val="center"/>
        <w:rPr>
          <w:rFonts w:ascii="宋体" w:hAnsi="宋体" w:cs="宋体"/>
          <w:color w:val="auto"/>
          <w:sz w:val="43"/>
          <w:szCs w:val="43"/>
          <w:highlight w:val="none"/>
        </w:rPr>
      </w:pPr>
      <w:r>
        <w:rPr>
          <w:rFonts w:hint="eastAsia" w:ascii="宋体" w:hAnsi="宋体" w:cs="宋体"/>
          <w:color w:val="auto"/>
          <w:spacing w:val="9"/>
          <w:position w:val="3"/>
          <w:sz w:val="43"/>
          <w:szCs w:val="43"/>
          <w:highlight w:val="none"/>
        </w:rPr>
        <w:t>项目管理机构配备情况表及主要人员简历表</w:t>
      </w:r>
    </w:p>
    <w:p w14:paraId="53475ED7">
      <w:pPr>
        <w:kinsoku w:val="0"/>
        <w:autoSpaceDE w:val="0"/>
        <w:autoSpaceDN w:val="0"/>
        <w:adjustRightInd w:val="0"/>
        <w:snapToGrid w:val="0"/>
        <w:spacing w:line="360" w:lineRule="auto"/>
        <w:jc w:val="left"/>
        <w:textAlignment w:val="baseline"/>
        <w:rPr>
          <w:rFonts w:ascii="宋体" w:hAnsi="宋体" w:cs="宋体"/>
          <w:snapToGrid w:val="0"/>
          <w:color w:val="auto"/>
          <w:kern w:val="0"/>
          <w:szCs w:val="21"/>
          <w:highlight w:val="none"/>
        </w:rPr>
      </w:pPr>
    </w:p>
    <w:p w14:paraId="53475ED8">
      <w:pPr>
        <w:spacing w:line="360" w:lineRule="auto"/>
        <w:ind w:left="2716"/>
        <w:rPr>
          <w:rFonts w:ascii="宋体" w:hAnsi="宋体" w:cs="宋体"/>
          <w:color w:val="auto"/>
          <w:sz w:val="31"/>
          <w:szCs w:val="31"/>
          <w:highlight w:val="none"/>
        </w:rPr>
      </w:pPr>
      <w:r>
        <w:rPr>
          <w:rFonts w:hint="eastAsia" w:ascii="宋体" w:hAnsi="宋体" w:cs="宋体"/>
          <w:color w:val="auto"/>
          <w:spacing w:val="8"/>
          <w:sz w:val="31"/>
          <w:szCs w:val="31"/>
          <w:highlight w:val="none"/>
        </w:rPr>
        <w:t>（一）项目管理机构配备情况表</w:t>
      </w:r>
    </w:p>
    <w:p w14:paraId="53475EDA">
      <w:pPr>
        <w:spacing w:line="360" w:lineRule="auto"/>
        <w:ind w:left="511"/>
        <w:rPr>
          <w:rFonts w:ascii="宋体" w:hAnsi="宋体" w:cs="宋体"/>
          <w:color w:val="auto"/>
          <w:highlight w:val="none"/>
        </w:rPr>
      </w:pPr>
      <w:r>
        <w:rPr>
          <w:rFonts w:hint="eastAsia" w:ascii="宋体" w:hAnsi="宋体" w:cs="宋体"/>
          <w:color w:val="auto"/>
          <w:spacing w:val="-25"/>
          <w:sz w:val="24"/>
          <w:highlight w:val="none"/>
        </w:rPr>
        <w:t>分标（如有</w:t>
      </w:r>
      <w:r>
        <w:rPr>
          <w:rFonts w:hint="eastAsia" w:ascii="宋体" w:hAnsi="宋体" w:cs="宋体"/>
          <w:color w:val="auto"/>
          <w:spacing w:val="-28"/>
          <w:sz w:val="24"/>
          <w:highlight w:val="none"/>
        </w:rPr>
        <w:t>）</w:t>
      </w:r>
      <w:r>
        <w:rPr>
          <w:rFonts w:hint="eastAsia" w:ascii="宋体" w:hAnsi="宋体" w:cs="宋体"/>
          <w:color w:val="auto"/>
          <w:spacing w:val="47"/>
          <w:sz w:val="24"/>
          <w:highlight w:val="none"/>
        </w:rPr>
        <w:t xml:space="preserve"> </w:t>
      </w:r>
      <w:r>
        <w:rPr>
          <w:rFonts w:hint="eastAsia" w:ascii="宋体" w:hAnsi="宋体" w:cs="宋体"/>
          <w:color w:val="auto"/>
          <w:spacing w:val="-28"/>
          <w:sz w:val="24"/>
          <w:highlight w:val="none"/>
        </w:rPr>
        <w:t>：</w:t>
      </w:r>
      <w:r>
        <w:rPr>
          <w:rFonts w:hint="eastAsia" w:ascii="宋体" w:hAnsi="宋体" w:cs="宋体"/>
          <w:color w:val="auto"/>
          <w:sz w:val="24"/>
          <w:highlight w:val="none"/>
          <w:u w:val="single"/>
        </w:rPr>
        <w:t xml:space="preserve">         </w:t>
      </w:r>
    </w:p>
    <w:tbl>
      <w:tblPr>
        <w:tblStyle w:val="38"/>
        <w:tblW w:w="9871"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26"/>
        <w:gridCol w:w="669"/>
        <w:gridCol w:w="827"/>
        <w:gridCol w:w="815"/>
        <w:gridCol w:w="1147"/>
        <w:gridCol w:w="1149"/>
        <w:gridCol w:w="1147"/>
        <w:gridCol w:w="744"/>
        <w:gridCol w:w="1166"/>
        <w:gridCol w:w="1281"/>
      </w:tblGrid>
      <w:tr w14:paraId="53475E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jc w:val="center"/>
        </w:trPr>
        <w:tc>
          <w:tcPr>
            <w:tcW w:w="926" w:type="dxa"/>
            <w:vMerge w:val="restart"/>
            <w:tcBorders>
              <w:bottom w:val="nil"/>
            </w:tcBorders>
            <w:vAlign w:val="center"/>
          </w:tcPr>
          <w:p w14:paraId="53475EDB">
            <w:pPr>
              <w:spacing w:line="240" w:lineRule="auto"/>
              <w:rPr>
                <w:rFonts w:ascii="宋体" w:hAnsi="宋体" w:cs="宋体"/>
                <w:color w:val="auto"/>
                <w:sz w:val="24"/>
                <w:highlight w:val="none"/>
              </w:rPr>
            </w:pPr>
          </w:p>
          <w:p w14:paraId="53475EDC">
            <w:pPr>
              <w:kinsoku w:val="0"/>
              <w:autoSpaceDE w:val="0"/>
              <w:autoSpaceDN w:val="0"/>
              <w:adjustRightInd w:val="0"/>
              <w:snapToGrid w:val="0"/>
              <w:spacing w:line="240" w:lineRule="auto"/>
              <w:ind w:left="280"/>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8"/>
                <w:kern w:val="0"/>
                <w:sz w:val="24"/>
                <w:highlight w:val="none"/>
                <w:lang w:eastAsia="en-US"/>
              </w:rPr>
              <w:t>岗位</w:t>
            </w:r>
          </w:p>
        </w:tc>
        <w:tc>
          <w:tcPr>
            <w:tcW w:w="669" w:type="dxa"/>
            <w:vMerge w:val="restart"/>
            <w:tcBorders>
              <w:bottom w:val="nil"/>
            </w:tcBorders>
            <w:vAlign w:val="center"/>
          </w:tcPr>
          <w:p w14:paraId="53475EDD">
            <w:pPr>
              <w:spacing w:line="240" w:lineRule="auto"/>
              <w:rPr>
                <w:rFonts w:ascii="宋体" w:hAnsi="宋体" w:cs="宋体"/>
                <w:color w:val="auto"/>
                <w:sz w:val="24"/>
                <w:highlight w:val="none"/>
              </w:rPr>
            </w:pPr>
          </w:p>
          <w:p w14:paraId="53475EDE">
            <w:pPr>
              <w:kinsoku w:val="0"/>
              <w:autoSpaceDE w:val="0"/>
              <w:autoSpaceDN w:val="0"/>
              <w:adjustRightInd w:val="0"/>
              <w:snapToGrid w:val="0"/>
              <w:spacing w:line="240" w:lineRule="auto"/>
              <w:ind w:left="128"/>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姓名</w:t>
            </w:r>
          </w:p>
        </w:tc>
        <w:tc>
          <w:tcPr>
            <w:tcW w:w="827" w:type="dxa"/>
            <w:vMerge w:val="restart"/>
            <w:tcBorders>
              <w:bottom w:val="nil"/>
            </w:tcBorders>
            <w:vAlign w:val="center"/>
          </w:tcPr>
          <w:p w14:paraId="53475EDF">
            <w:pPr>
              <w:kinsoku w:val="0"/>
              <w:autoSpaceDE w:val="0"/>
              <w:autoSpaceDN w:val="0"/>
              <w:adjustRightInd w:val="0"/>
              <w:snapToGrid w:val="0"/>
              <w:spacing w:line="240" w:lineRule="auto"/>
              <w:ind w:left="214"/>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3"/>
                <w:kern w:val="0"/>
                <w:position w:val="7"/>
                <w:sz w:val="24"/>
                <w:highlight w:val="none"/>
                <w:lang w:eastAsia="en-US"/>
              </w:rPr>
              <w:t>身份</w:t>
            </w:r>
          </w:p>
          <w:p w14:paraId="53475EE0">
            <w:pPr>
              <w:kinsoku w:val="0"/>
              <w:autoSpaceDE w:val="0"/>
              <w:autoSpaceDN w:val="0"/>
              <w:adjustRightInd w:val="0"/>
              <w:snapToGrid w:val="0"/>
              <w:spacing w:line="240" w:lineRule="auto"/>
              <w:ind w:left="208"/>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证号</w:t>
            </w:r>
          </w:p>
        </w:tc>
        <w:tc>
          <w:tcPr>
            <w:tcW w:w="815" w:type="dxa"/>
            <w:vMerge w:val="restart"/>
            <w:tcBorders>
              <w:bottom w:val="nil"/>
            </w:tcBorders>
            <w:vAlign w:val="center"/>
          </w:tcPr>
          <w:p w14:paraId="53475EE1">
            <w:pPr>
              <w:spacing w:line="240" w:lineRule="auto"/>
              <w:rPr>
                <w:rFonts w:ascii="宋体" w:hAnsi="宋体" w:cs="宋体"/>
                <w:color w:val="auto"/>
                <w:sz w:val="24"/>
                <w:highlight w:val="none"/>
              </w:rPr>
            </w:pPr>
          </w:p>
          <w:p w14:paraId="53475EE2">
            <w:pPr>
              <w:kinsoku w:val="0"/>
              <w:autoSpaceDE w:val="0"/>
              <w:autoSpaceDN w:val="0"/>
              <w:adjustRightInd w:val="0"/>
              <w:snapToGrid w:val="0"/>
              <w:spacing w:line="240" w:lineRule="auto"/>
              <w:ind w:left="203"/>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职称</w:t>
            </w:r>
          </w:p>
        </w:tc>
        <w:tc>
          <w:tcPr>
            <w:tcW w:w="4187" w:type="dxa"/>
            <w:gridSpan w:val="4"/>
            <w:vAlign w:val="center"/>
          </w:tcPr>
          <w:p w14:paraId="53475EE3">
            <w:pPr>
              <w:kinsoku w:val="0"/>
              <w:autoSpaceDE w:val="0"/>
              <w:autoSpaceDN w:val="0"/>
              <w:adjustRightInd w:val="0"/>
              <w:snapToGrid w:val="0"/>
              <w:spacing w:line="240" w:lineRule="auto"/>
              <w:ind w:left="1365"/>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1"/>
                <w:kern w:val="0"/>
                <w:sz w:val="24"/>
                <w:highlight w:val="none"/>
                <w:lang w:eastAsia="en-US"/>
              </w:rPr>
              <w:t>执业或职业资格</w:t>
            </w:r>
          </w:p>
        </w:tc>
        <w:tc>
          <w:tcPr>
            <w:tcW w:w="2447" w:type="dxa"/>
            <w:gridSpan w:val="2"/>
            <w:vAlign w:val="center"/>
          </w:tcPr>
          <w:p w14:paraId="53475EE4">
            <w:pPr>
              <w:kinsoku w:val="0"/>
              <w:autoSpaceDE w:val="0"/>
              <w:autoSpaceDN w:val="0"/>
              <w:adjustRightInd w:val="0"/>
              <w:snapToGrid w:val="0"/>
              <w:spacing w:line="240" w:lineRule="auto"/>
              <w:ind w:left="115"/>
              <w:jc w:val="left"/>
              <w:textAlignment w:val="baseline"/>
              <w:rPr>
                <w:rFonts w:ascii="宋体" w:hAnsi="宋体" w:cs="宋体"/>
                <w:snapToGrid w:val="0"/>
                <w:color w:val="auto"/>
                <w:kern w:val="0"/>
                <w:sz w:val="24"/>
                <w:highlight w:val="none"/>
              </w:rPr>
            </w:pPr>
            <w:r>
              <w:rPr>
                <w:rFonts w:hint="eastAsia" w:ascii="宋体" w:hAnsi="宋体" w:cs="宋体"/>
                <w:snapToGrid w:val="0"/>
                <w:color w:val="auto"/>
                <w:spacing w:val="-9"/>
                <w:kern w:val="0"/>
                <w:sz w:val="24"/>
                <w:highlight w:val="none"/>
              </w:rPr>
              <w:t>承担完工、在建工程情况</w:t>
            </w:r>
          </w:p>
        </w:tc>
      </w:tr>
      <w:tr w14:paraId="53475E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926" w:type="dxa"/>
            <w:vMerge w:val="continue"/>
            <w:tcBorders>
              <w:top w:val="nil"/>
            </w:tcBorders>
            <w:vAlign w:val="center"/>
          </w:tcPr>
          <w:p w14:paraId="53475EE6">
            <w:pPr>
              <w:spacing w:line="240" w:lineRule="auto"/>
              <w:rPr>
                <w:rFonts w:ascii="宋体" w:hAnsi="宋体" w:cs="宋体"/>
                <w:color w:val="auto"/>
                <w:sz w:val="24"/>
                <w:highlight w:val="none"/>
              </w:rPr>
            </w:pPr>
          </w:p>
        </w:tc>
        <w:tc>
          <w:tcPr>
            <w:tcW w:w="669" w:type="dxa"/>
            <w:vMerge w:val="continue"/>
            <w:tcBorders>
              <w:top w:val="nil"/>
            </w:tcBorders>
            <w:vAlign w:val="center"/>
          </w:tcPr>
          <w:p w14:paraId="53475EE7">
            <w:pPr>
              <w:spacing w:line="240" w:lineRule="auto"/>
              <w:rPr>
                <w:rFonts w:ascii="宋体" w:hAnsi="宋体" w:cs="宋体"/>
                <w:color w:val="auto"/>
                <w:sz w:val="24"/>
                <w:highlight w:val="none"/>
              </w:rPr>
            </w:pPr>
          </w:p>
        </w:tc>
        <w:tc>
          <w:tcPr>
            <w:tcW w:w="827" w:type="dxa"/>
            <w:vMerge w:val="continue"/>
            <w:tcBorders>
              <w:top w:val="nil"/>
            </w:tcBorders>
            <w:vAlign w:val="center"/>
          </w:tcPr>
          <w:p w14:paraId="53475EE8">
            <w:pPr>
              <w:spacing w:line="240" w:lineRule="auto"/>
              <w:rPr>
                <w:rFonts w:ascii="宋体" w:hAnsi="宋体" w:cs="宋体"/>
                <w:color w:val="auto"/>
                <w:sz w:val="24"/>
                <w:highlight w:val="none"/>
              </w:rPr>
            </w:pPr>
          </w:p>
        </w:tc>
        <w:tc>
          <w:tcPr>
            <w:tcW w:w="815" w:type="dxa"/>
            <w:vMerge w:val="continue"/>
            <w:tcBorders>
              <w:top w:val="nil"/>
            </w:tcBorders>
            <w:vAlign w:val="center"/>
          </w:tcPr>
          <w:p w14:paraId="53475EE9">
            <w:pPr>
              <w:spacing w:line="240" w:lineRule="auto"/>
              <w:rPr>
                <w:rFonts w:ascii="宋体" w:hAnsi="宋体" w:cs="宋体"/>
                <w:color w:val="auto"/>
                <w:sz w:val="24"/>
                <w:highlight w:val="none"/>
              </w:rPr>
            </w:pPr>
          </w:p>
        </w:tc>
        <w:tc>
          <w:tcPr>
            <w:tcW w:w="1147" w:type="dxa"/>
            <w:vAlign w:val="center"/>
          </w:tcPr>
          <w:p w14:paraId="53475EEA">
            <w:pPr>
              <w:kinsoku w:val="0"/>
              <w:autoSpaceDE w:val="0"/>
              <w:autoSpaceDN w:val="0"/>
              <w:adjustRightInd w:val="0"/>
              <w:snapToGrid w:val="0"/>
              <w:spacing w:line="240" w:lineRule="auto"/>
              <w:ind w:left="159"/>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证书名称</w:t>
            </w:r>
          </w:p>
        </w:tc>
        <w:tc>
          <w:tcPr>
            <w:tcW w:w="1149" w:type="dxa"/>
            <w:vAlign w:val="center"/>
          </w:tcPr>
          <w:p w14:paraId="53475EEB">
            <w:pPr>
              <w:kinsoku w:val="0"/>
              <w:autoSpaceDE w:val="0"/>
              <w:autoSpaceDN w:val="0"/>
              <w:adjustRightInd w:val="0"/>
              <w:snapToGrid w:val="0"/>
              <w:spacing w:line="240" w:lineRule="auto"/>
              <w:ind w:left="374"/>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3"/>
                <w:kern w:val="0"/>
                <w:sz w:val="24"/>
                <w:highlight w:val="none"/>
                <w:lang w:eastAsia="en-US"/>
              </w:rPr>
              <w:t>级别</w:t>
            </w:r>
          </w:p>
        </w:tc>
        <w:tc>
          <w:tcPr>
            <w:tcW w:w="1147" w:type="dxa"/>
            <w:vAlign w:val="center"/>
          </w:tcPr>
          <w:p w14:paraId="53475EEC">
            <w:pPr>
              <w:kinsoku w:val="0"/>
              <w:autoSpaceDE w:val="0"/>
              <w:autoSpaceDN w:val="0"/>
              <w:adjustRightInd w:val="0"/>
              <w:snapToGrid w:val="0"/>
              <w:spacing w:line="240" w:lineRule="auto"/>
              <w:ind w:left="369"/>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证号</w:t>
            </w:r>
          </w:p>
        </w:tc>
        <w:tc>
          <w:tcPr>
            <w:tcW w:w="744" w:type="dxa"/>
            <w:vAlign w:val="center"/>
          </w:tcPr>
          <w:p w14:paraId="53475EED">
            <w:pPr>
              <w:kinsoku w:val="0"/>
              <w:autoSpaceDE w:val="0"/>
              <w:autoSpaceDN w:val="0"/>
              <w:adjustRightInd w:val="0"/>
              <w:snapToGrid w:val="0"/>
              <w:spacing w:line="240" w:lineRule="auto"/>
              <w:ind w:left="169"/>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专业</w:t>
            </w:r>
          </w:p>
        </w:tc>
        <w:tc>
          <w:tcPr>
            <w:tcW w:w="1166" w:type="dxa"/>
            <w:vAlign w:val="center"/>
          </w:tcPr>
          <w:p w14:paraId="53475EEE">
            <w:pPr>
              <w:kinsoku w:val="0"/>
              <w:autoSpaceDE w:val="0"/>
              <w:autoSpaceDN w:val="0"/>
              <w:adjustRightInd w:val="0"/>
              <w:snapToGrid w:val="0"/>
              <w:spacing w:line="240" w:lineRule="auto"/>
              <w:ind w:left="143"/>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position w:val="1"/>
                <w:sz w:val="24"/>
                <w:highlight w:val="none"/>
                <w:lang w:eastAsia="en-US"/>
              </w:rPr>
              <w:t>完工/在建</w:t>
            </w:r>
          </w:p>
        </w:tc>
        <w:tc>
          <w:tcPr>
            <w:tcW w:w="1281" w:type="dxa"/>
            <w:vAlign w:val="center"/>
          </w:tcPr>
          <w:p w14:paraId="53475EEF">
            <w:pPr>
              <w:kinsoku w:val="0"/>
              <w:autoSpaceDE w:val="0"/>
              <w:autoSpaceDN w:val="0"/>
              <w:adjustRightInd w:val="0"/>
              <w:snapToGrid w:val="0"/>
              <w:spacing w:line="240" w:lineRule="auto"/>
              <w:ind w:left="439" w:right="213" w:hanging="209"/>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主要项目</w:t>
            </w:r>
            <w:r>
              <w:rPr>
                <w:rFonts w:hint="eastAsia" w:ascii="宋体" w:hAnsi="宋体" w:cs="宋体"/>
                <w:snapToGrid w:val="0"/>
                <w:color w:val="auto"/>
                <w:kern w:val="0"/>
                <w:sz w:val="24"/>
                <w:highlight w:val="none"/>
                <w:lang w:eastAsia="en-US"/>
              </w:rPr>
              <w:t xml:space="preserve"> </w:t>
            </w:r>
            <w:r>
              <w:rPr>
                <w:rFonts w:hint="eastAsia" w:ascii="宋体" w:hAnsi="宋体" w:cs="宋体"/>
                <w:snapToGrid w:val="0"/>
                <w:color w:val="auto"/>
                <w:spacing w:val="-3"/>
                <w:kern w:val="0"/>
                <w:sz w:val="24"/>
                <w:highlight w:val="none"/>
                <w:lang w:eastAsia="en-US"/>
              </w:rPr>
              <w:t>名称</w:t>
            </w:r>
          </w:p>
        </w:tc>
      </w:tr>
      <w:tr w14:paraId="53475E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4" w:hRule="atLeast"/>
          <w:jc w:val="center"/>
        </w:trPr>
        <w:tc>
          <w:tcPr>
            <w:tcW w:w="926" w:type="dxa"/>
            <w:vAlign w:val="center"/>
          </w:tcPr>
          <w:p w14:paraId="53475EF1">
            <w:pPr>
              <w:kinsoku w:val="0"/>
              <w:autoSpaceDE w:val="0"/>
              <w:autoSpaceDN w:val="0"/>
              <w:adjustRightInd w:val="0"/>
              <w:snapToGrid w:val="0"/>
              <w:spacing w:line="240" w:lineRule="auto"/>
              <w:ind w:left="132"/>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5"/>
                <w:kern w:val="0"/>
                <w:position w:val="7"/>
                <w:sz w:val="24"/>
                <w:highlight w:val="none"/>
                <w:lang w:eastAsia="en-US"/>
              </w:rPr>
              <w:t>1.项目</w:t>
            </w:r>
          </w:p>
          <w:p w14:paraId="53475EF2">
            <w:pPr>
              <w:kinsoku w:val="0"/>
              <w:autoSpaceDE w:val="0"/>
              <w:autoSpaceDN w:val="0"/>
              <w:adjustRightInd w:val="0"/>
              <w:snapToGrid w:val="0"/>
              <w:spacing w:line="240" w:lineRule="auto"/>
              <w:ind w:left="117"/>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经理</w:t>
            </w:r>
          </w:p>
        </w:tc>
        <w:tc>
          <w:tcPr>
            <w:tcW w:w="669" w:type="dxa"/>
            <w:vAlign w:val="center"/>
          </w:tcPr>
          <w:p w14:paraId="53475EF3">
            <w:pPr>
              <w:spacing w:line="240" w:lineRule="auto"/>
              <w:rPr>
                <w:rFonts w:ascii="宋体" w:hAnsi="宋体" w:cs="宋体"/>
                <w:color w:val="auto"/>
                <w:sz w:val="24"/>
                <w:highlight w:val="none"/>
              </w:rPr>
            </w:pPr>
          </w:p>
        </w:tc>
        <w:tc>
          <w:tcPr>
            <w:tcW w:w="827" w:type="dxa"/>
            <w:vAlign w:val="center"/>
          </w:tcPr>
          <w:p w14:paraId="53475EF4">
            <w:pPr>
              <w:spacing w:line="240" w:lineRule="auto"/>
              <w:rPr>
                <w:rFonts w:ascii="宋体" w:hAnsi="宋体" w:cs="宋体"/>
                <w:color w:val="auto"/>
                <w:sz w:val="24"/>
                <w:highlight w:val="none"/>
              </w:rPr>
            </w:pPr>
          </w:p>
        </w:tc>
        <w:tc>
          <w:tcPr>
            <w:tcW w:w="815" w:type="dxa"/>
            <w:vAlign w:val="center"/>
          </w:tcPr>
          <w:p w14:paraId="53475EF5">
            <w:pPr>
              <w:spacing w:line="240" w:lineRule="auto"/>
              <w:rPr>
                <w:rFonts w:ascii="宋体" w:hAnsi="宋体" w:cs="宋体"/>
                <w:color w:val="auto"/>
                <w:sz w:val="24"/>
                <w:highlight w:val="none"/>
              </w:rPr>
            </w:pPr>
          </w:p>
        </w:tc>
        <w:tc>
          <w:tcPr>
            <w:tcW w:w="1147" w:type="dxa"/>
            <w:vAlign w:val="center"/>
          </w:tcPr>
          <w:p w14:paraId="53475EF6">
            <w:pPr>
              <w:spacing w:line="240" w:lineRule="auto"/>
              <w:rPr>
                <w:rFonts w:ascii="宋体" w:hAnsi="宋体" w:cs="宋体"/>
                <w:color w:val="auto"/>
                <w:sz w:val="24"/>
                <w:highlight w:val="none"/>
              </w:rPr>
            </w:pPr>
          </w:p>
        </w:tc>
        <w:tc>
          <w:tcPr>
            <w:tcW w:w="1149" w:type="dxa"/>
            <w:vAlign w:val="center"/>
          </w:tcPr>
          <w:p w14:paraId="53475EF7">
            <w:pPr>
              <w:spacing w:line="240" w:lineRule="auto"/>
              <w:rPr>
                <w:rFonts w:ascii="宋体" w:hAnsi="宋体" w:cs="宋体"/>
                <w:color w:val="auto"/>
                <w:sz w:val="24"/>
                <w:highlight w:val="none"/>
              </w:rPr>
            </w:pPr>
          </w:p>
        </w:tc>
        <w:tc>
          <w:tcPr>
            <w:tcW w:w="1147" w:type="dxa"/>
            <w:vAlign w:val="center"/>
          </w:tcPr>
          <w:p w14:paraId="53475EF8">
            <w:pPr>
              <w:spacing w:line="240" w:lineRule="auto"/>
              <w:rPr>
                <w:rFonts w:ascii="宋体" w:hAnsi="宋体" w:cs="宋体"/>
                <w:color w:val="auto"/>
                <w:sz w:val="24"/>
                <w:highlight w:val="none"/>
              </w:rPr>
            </w:pPr>
          </w:p>
        </w:tc>
        <w:tc>
          <w:tcPr>
            <w:tcW w:w="744" w:type="dxa"/>
            <w:vAlign w:val="center"/>
          </w:tcPr>
          <w:p w14:paraId="53475EF9">
            <w:pPr>
              <w:spacing w:line="240" w:lineRule="auto"/>
              <w:rPr>
                <w:rFonts w:ascii="宋体" w:hAnsi="宋体" w:cs="宋体"/>
                <w:color w:val="auto"/>
                <w:sz w:val="24"/>
                <w:highlight w:val="none"/>
              </w:rPr>
            </w:pPr>
          </w:p>
        </w:tc>
        <w:tc>
          <w:tcPr>
            <w:tcW w:w="1166" w:type="dxa"/>
            <w:vAlign w:val="center"/>
          </w:tcPr>
          <w:p w14:paraId="53475EFA">
            <w:pPr>
              <w:spacing w:line="240" w:lineRule="auto"/>
              <w:rPr>
                <w:rFonts w:ascii="宋体" w:hAnsi="宋体" w:cs="宋体"/>
                <w:color w:val="auto"/>
                <w:sz w:val="24"/>
                <w:highlight w:val="none"/>
              </w:rPr>
            </w:pPr>
          </w:p>
        </w:tc>
        <w:tc>
          <w:tcPr>
            <w:tcW w:w="1281" w:type="dxa"/>
            <w:vAlign w:val="center"/>
          </w:tcPr>
          <w:p w14:paraId="53475EFB">
            <w:pPr>
              <w:spacing w:line="240" w:lineRule="auto"/>
              <w:rPr>
                <w:rFonts w:ascii="宋体" w:hAnsi="宋体" w:cs="宋体"/>
                <w:color w:val="auto"/>
                <w:sz w:val="24"/>
                <w:highlight w:val="none"/>
              </w:rPr>
            </w:pPr>
          </w:p>
        </w:tc>
      </w:tr>
      <w:tr w14:paraId="53475F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2" w:hRule="atLeast"/>
          <w:jc w:val="center"/>
        </w:trPr>
        <w:tc>
          <w:tcPr>
            <w:tcW w:w="926" w:type="dxa"/>
            <w:vAlign w:val="center"/>
          </w:tcPr>
          <w:p w14:paraId="53475EFD">
            <w:pPr>
              <w:kinsoku w:val="0"/>
              <w:autoSpaceDE w:val="0"/>
              <w:autoSpaceDN w:val="0"/>
              <w:adjustRightInd w:val="0"/>
              <w:snapToGrid w:val="0"/>
              <w:spacing w:line="240" w:lineRule="auto"/>
              <w:ind w:left="118" w:right="179" w:hanging="6"/>
              <w:textAlignment w:val="baseline"/>
              <w:rPr>
                <w:rFonts w:ascii="宋体" w:hAnsi="宋体" w:cs="宋体"/>
                <w:snapToGrid w:val="0"/>
                <w:color w:val="auto"/>
                <w:kern w:val="0"/>
                <w:sz w:val="24"/>
                <w:highlight w:val="none"/>
              </w:rPr>
            </w:pPr>
            <w:r>
              <w:rPr>
                <w:rFonts w:hint="eastAsia" w:ascii="宋体" w:hAnsi="宋体" w:cs="宋体"/>
                <w:snapToGrid w:val="0"/>
                <w:color w:val="auto"/>
                <w:spacing w:val="-1"/>
                <w:kern w:val="0"/>
                <w:sz w:val="24"/>
                <w:highlight w:val="none"/>
              </w:rPr>
              <w:t>2.技术</w:t>
            </w:r>
            <w:r>
              <w:rPr>
                <w:rFonts w:hint="eastAsia" w:ascii="宋体" w:hAnsi="宋体" w:cs="宋体"/>
                <w:snapToGrid w:val="0"/>
                <w:color w:val="auto"/>
                <w:spacing w:val="1"/>
                <w:kern w:val="0"/>
                <w:sz w:val="24"/>
                <w:highlight w:val="none"/>
              </w:rPr>
              <w:t xml:space="preserve"> </w:t>
            </w:r>
            <w:r>
              <w:rPr>
                <w:rFonts w:hint="eastAsia" w:ascii="宋体" w:hAnsi="宋体" w:cs="宋体"/>
                <w:snapToGrid w:val="0"/>
                <w:color w:val="auto"/>
                <w:spacing w:val="-3"/>
                <w:kern w:val="0"/>
                <w:sz w:val="24"/>
                <w:highlight w:val="none"/>
              </w:rPr>
              <w:t>负责人</w:t>
            </w:r>
            <w:r>
              <w:rPr>
                <w:rFonts w:hint="eastAsia" w:ascii="宋体" w:hAnsi="宋体" w:cs="宋体"/>
                <w:snapToGrid w:val="0"/>
                <w:color w:val="auto"/>
                <w:spacing w:val="-16"/>
                <w:kern w:val="0"/>
                <w:sz w:val="24"/>
                <w:highlight w:val="none"/>
              </w:rPr>
              <w:t>（项目</w:t>
            </w:r>
            <w:r>
              <w:rPr>
                <w:rFonts w:hint="eastAsia" w:ascii="宋体" w:hAnsi="宋体" w:cs="宋体"/>
                <w:snapToGrid w:val="0"/>
                <w:color w:val="auto"/>
                <w:kern w:val="0"/>
                <w:sz w:val="24"/>
                <w:highlight w:val="none"/>
              </w:rPr>
              <w:t xml:space="preserve"> </w:t>
            </w:r>
            <w:r>
              <w:rPr>
                <w:rFonts w:hint="eastAsia" w:ascii="宋体" w:hAnsi="宋体" w:cs="宋体"/>
                <w:snapToGrid w:val="0"/>
                <w:color w:val="auto"/>
                <w:spacing w:val="-5"/>
                <w:kern w:val="0"/>
                <w:sz w:val="24"/>
                <w:highlight w:val="none"/>
              </w:rPr>
              <w:t>总工）</w:t>
            </w:r>
          </w:p>
        </w:tc>
        <w:tc>
          <w:tcPr>
            <w:tcW w:w="669" w:type="dxa"/>
            <w:vAlign w:val="center"/>
          </w:tcPr>
          <w:p w14:paraId="53475EFE">
            <w:pPr>
              <w:spacing w:line="240" w:lineRule="auto"/>
              <w:rPr>
                <w:rFonts w:ascii="宋体" w:hAnsi="宋体" w:cs="宋体"/>
                <w:color w:val="auto"/>
                <w:sz w:val="24"/>
                <w:highlight w:val="none"/>
              </w:rPr>
            </w:pPr>
          </w:p>
        </w:tc>
        <w:tc>
          <w:tcPr>
            <w:tcW w:w="827" w:type="dxa"/>
            <w:vAlign w:val="center"/>
          </w:tcPr>
          <w:p w14:paraId="53475EFF">
            <w:pPr>
              <w:spacing w:line="240" w:lineRule="auto"/>
              <w:rPr>
                <w:rFonts w:ascii="宋体" w:hAnsi="宋体" w:cs="宋体"/>
                <w:color w:val="auto"/>
                <w:sz w:val="24"/>
                <w:highlight w:val="none"/>
              </w:rPr>
            </w:pPr>
          </w:p>
        </w:tc>
        <w:tc>
          <w:tcPr>
            <w:tcW w:w="815" w:type="dxa"/>
            <w:vAlign w:val="center"/>
          </w:tcPr>
          <w:p w14:paraId="53475F00">
            <w:pPr>
              <w:spacing w:line="240" w:lineRule="auto"/>
              <w:rPr>
                <w:rFonts w:ascii="宋体" w:hAnsi="宋体" w:cs="宋体"/>
                <w:color w:val="auto"/>
                <w:sz w:val="24"/>
                <w:highlight w:val="none"/>
              </w:rPr>
            </w:pPr>
          </w:p>
        </w:tc>
        <w:tc>
          <w:tcPr>
            <w:tcW w:w="1147" w:type="dxa"/>
            <w:vAlign w:val="center"/>
          </w:tcPr>
          <w:p w14:paraId="53475F01">
            <w:pPr>
              <w:spacing w:line="240" w:lineRule="auto"/>
              <w:rPr>
                <w:rFonts w:ascii="宋体" w:hAnsi="宋体" w:cs="宋体"/>
                <w:color w:val="auto"/>
                <w:sz w:val="24"/>
                <w:highlight w:val="none"/>
              </w:rPr>
            </w:pPr>
          </w:p>
        </w:tc>
        <w:tc>
          <w:tcPr>
            <w:tcW w:w="1149" w:type="dxa"/>
            <w:vAlign w:val="center"/>
          </w:tcPr>
          <w:p w14:paraId="53475F02">
            <w:pPr>
              <w:spacing w:line="240" w:lineRule="auto"/>
              <w:rPr>
                <w:rFonts w:ascii="宋体" w:hAnsi="宋体" w:cs="宋体"/>
                <w:color w:val="auto"/>
                <w:sz w:val="24"/>
                <w:highlight w:val="none"/>
              </w:rPr>
            </w:pPr>
          </w:p>
        </w:tc>
        <w:tc>
          <w:tcPr>
            <w:tcW w:w="1147" w:type="dxa"/>
            <w:vAlign w:val="center"/>
          </w:tcPr>
          <w:p w14:paraId="53475F03">
            <w:pPr>
              <w:spacing w:line="240" w:lineRule="auto"/>
              <w:rPr>
                <w:rFonts w:ascii="宋体" w:hAnsi="宋体" w:cs="宋体"/>
                <w:color w:val="auto"/>
                <w:sz w:val="24"/>
                <w:highlight w:val="none"/>
              </w:rPr>
            </w:pPr>
          </w:p>
        </w:tc>
        <w:tc>
          <w:tcPr>
            <w:tcW w:w="744" w:type="dxa"/>
            <w:vAlign w:val="center"/>
          </w:tcPr>
          <w:p w14:paraId="53475F04">
            <w:pPr>
              <w:spacing w:line="240" w:lineRule="auto"/>
              <w:rPr>
                <w:rFonts w:ascii="宋体" w:hAnsi="宋体" w:cs="宋体"/>
                <w:color w:val="auto"/>
                <w:sz w:val="24"/>
                <w:highlight w:val="none"/>
              </w:rPr>
            </w:pPr>
          </w:p>
        </w:tc>
        <w:tc>
          <w:tcPr>
            <w:tcW w:w="1166" w:type="dxa"/>
            <w:vAlign w:val="center"/>
          </w:tcPr>
          <w:p w14:paraId="53475F05">
            <w:pPr>
              <w:spacing w:line="240" w:lineRule="auto"/>
              <w:rPr>
                <w:rFonts w:ascii="宋体" w:hAnsi="宋体" w:cs="宋体"/>
                <w:color w:val="auto"/>
                <w:sz w:val="24"/>
                <w:highlight w:val="none"/>
              </w:rPr>
            </w:pPr>
          </w:p>
        </w:tc>
        <w:tc>
          <w:tcPr>
            <w:tcW w:w="1281" w:type="dxa"/>
            <w:vAlign w:val="center"/>
          </w:tcPr>
          <w:p w14:paraId="53475F06">
            <w:pPr>
              <w:spacing w:line="240" w:lineRule="auto"/>
              <w:rPr>
                <w:rFonts w:ascii="宋体" w:hAnsi="宋体" w:cs="宋体"/>
                <w:color w:val="auto"/>
                <w:sz w:val="24"/>
                <w:highlight w:val="none"/>
              </w:rPr>
            </w:pPr>
          </w:p>
        </w:tc>
      </w:tr>
      <w:tr w14:paraId="53475F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7" w:hRule="atLeast"/>
          <w:jc w:val="center"/>
        </w:trPr>
        <w:tc>
          <w:tcPr>
            <w:tcW w:w="926" w:type="dxa"/>
            <w:vAlign w:val="center"/>
          </w:tcPr>
          <w:p w14:paraId="53475F08">
            <w:pPr>
              <w:kinsoku w:val="0"/>
              <w:autoSpaceDE w:val="0"/>
              <w:autoSpaceDN w:val="0"/>
              <w:adjustRightInd w:val="0"/>
              <w:snapToGrid w:val="0"/>
              <w:spacing w:line="240" w:lineRule="auto"/>
              <w:ind w:left="123" w:right="129" w:hanging="7"/>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4"/>
                <w:kern w:val="0"/>
                <w:sz w:val="24"/>
                <w:highlight w:val="none"/>
                <w:lang w:eastAsia="en-US"/>
              </w:rPr>
              <w:t>3.</w:t>
            </w:r>
            <w:r>
              <w:rPr>
                <w:rFonts w:hint="eastAsia" w:ascii="宋体" w:hAnsi="宋体" w:cs="宋体"/>
                <w:snapToGrid w:val="0"/>
                <w:color w:val="auto"/>
                <w:spacing w:val="3"/>
                <w:kern w:val="0"/>
                <w:sz w:val="24"/>
                <w:highlight w:val="none"/>
                <w:lang w:eastAsia="en-US"/>
              </w:rPr>
              <w:t xml:space="preserve"> </w:t>
            </w:r>
            <w:r>
              <w:rPr>
                <w:rFonts w:hint="eastAsia" w:ascii="宋体" w:hAnsi="宋体" w:cs="宋体"/>
                <w:snapToGrid w:val="0"/>
                <w:color w:val="auto"/>
                <w:spacing w:val="-4"/>
                <w:kern w:val="0"/>
                <w:sz w:val="24"/>
                <w:highlight w:val="none"/>
                <w:lang w:eastAsia="en-US"/>
              </w:rPr>
              <w:t>施工</w:t>
            </w:r>
            <w:r>
              <w:rPr>
                <w:rFonts w:hint="eastAsia" w:ascii="宋体" w:hAnsi="宋体" w:cs="宋体"/>
                <w:snapToGrid w:val="0"/>
                <w:color w:val="auto"/>
                <w:spacing w:val="1"/>
                <w:kern w:val="0"/>
                <w:sz w:val="24"/>
                <w:highlight w:val="none"/>
                <w:lang w:eastAsia="en-US"/>
              </w:rPr>
              <w:t xml:space="preserve"> </w:t>
            </w:r>
            <w:r>
              <w:rPr>
                <w:rFonts w:hint="eastAsia" w:ascii="宋体" w:hAnsi="宋体" w:cs="宋体"/>
                <w:snapToGrid w:val="0"/>
                <w:color w:val="auto"/>
                <w:kern w:val="0"/>
                <w:sz w:val="24"/>
                <w:highlight w:val="none"/>
                <w:lang w:eastAsia="en-US"/>
              </w:rPr>
              <w:t>员</w:t>
            </w:r>
          </w:p>
        </w:tc>
        <w:tc>
          <w:tcPr>
            <w:tcW w:w="669" w:type="dxa"/>
            <w:vAlign w:val="center"/>
          </w:tcPr>
          <w:p w14:paraId="53475F09">
            <w:pPr>
              <w:spacing w:line="240" w:lineRule="auto"/>
              <w:rPr>
                <w:rFonts w:ascii="宋体" w:hAnsi="宋体" w:cs="宋体"/>
                <w:color w:val="auto"/>
                <w:sz w:val="24"/>
                <w:highlight w:val="none"/>
              </w:rPr>
            </w:pPr>
          </w:p>
        </w:tc>
        <w:tc>
          <w:tcPr>
            <w:tcW w:w="827" w:type="dxa"/>
            <w:vAlign w:val="center"/>
          </w:tcPr>
          <w:p w14:paraId="53475F0A">
            <w:pPr>
              <w:spacing w:line="240" w:lineRule="auto"/>
              <w:rPr>
                <w:rFonts w:ascii="宋体" w:hAnsi="宋体" w:cs="宋体"/>
                <w:color w:val="auto"/>
                <w:sz w:val="24"/>
                <w:highlight w:val="none"/>
              </w:rPr>
            </w:pPr>
          </w:p>
        </w:tc>
        <w:tc>
          <w:tcPr>
            <w:tcW w:w="815" w:type="dxa"/>
            <w:vAlign w:val="center"/>
          </w:tcPr>
          <w:p w14:paraId="53475F0B">
            <w:pPr>
              <w:spacing w:line="240" w:lineRule="auto"/>
              <w:rPr>
                <w:rFonts w:ascii="宋体" w:hAnsi="宋体" w:cs="宋体"/>
                <w:color w:val="auto"/>
                <w:sz w:val="24"/>
                <w:highlight w:val="none"/>
              </w:rPr>
            </w:pPr>
          </w:p>
        </w:tc>
        <w:tc>
          <w:tcPr>
            <w:tcW w:w="1147" w:type="dxa"/>
            <w:vAlign w:val="center"/>
          </w:tcPr>
          <w:p w14:paraId="53475F0C">
            <w:pPr>
              <w:spacing w:line="240" w:lineRule="auto"/>
              <w:rPr>
                <w:rFonts w:ascii="宋体" w:hAnsi="宋体" w:cs="宋体"/>
                <w:color w:val="auto"/>
                <w:sz w:val="24"/>
                <w:highlight w:val="none"/>
              </w:rPr>
            </w:pPr>
          </w:p>
        </w:tc>
        <w:tc>
          <w:tcPr>
            <w:tcW w:w="1149" w:type="dxa"/>
            <w:vAlign w:val="center"/>
          </w:tcPr>
          <w:p w14:paraId="53475F0D">
            <w:pPr>
              <w:spacing w:line="240" w:lineRule="auto"/>
              <w:rPr>
                <w:rFonts w:ascii="宋体" w:hAnsi="宋体" w:cs="宋体"/>
                <w:color w:val="auto"/>
                <w:sz w:val="24"/>
                <w:highlight w:val="none"/>
              </w:rPr>
            </w:pPr>
          </w:p>
        </w:tc>
        <w:tc>
          <w:tcPr>
            <w:tcW w:w="1147" w:type="dxa"/>
            <w:vAlign w:val="center"/>
          </w:tcPr>
          <w:p w14:paraId="53475F0E">
            <w:pPr>
              <w:spacing w:line="240" w:lineRule="auto"/>
              <w:rPr>
                <w:rFonts w:ascii="宋体" w:hAnsi="宋体" w:cs="宋体"/>
                <w:color w:val="auto"/>
                <w:sz w:val="24"/>
                <w:highlight w:val="none"/>
              </w:rPr>
            </w:pPr>
          </w:p>
        </w:tc>
        <w:tc>
          <w:tcPr>
            <w:tcW w:w="744" w:type="dxa"/>
            <w:vAlign w:val="center"/>
          </w:tcPr>
          <w:p w14:paraId="53475F0F">
            <w:pPr>
              <w:spacing w:line="240" w:lineRule="auto"/>
              <w:rPr>
                <w:rFonts w:ascii="宋体" w:hAnsi="宋体" w:cs="宋体"/>
                <w:color w:val="auto"/>
                <w:sz w:val="24"/>
                <w:highlight w:val="none"/>
              </w:rPr>
            </w:pPr>
          </w:p>
        </w:tc>
        <w:tc>
          <w:tcPr>
            <w:tcW w:w="1166" w:type="dxa"/>
            <w:vAlign w:val="center"/>
          </w:tcPr>
          <w:p w14:paraId="53475F10">
            <w:pPr>
              <w:spacing w:line="240" w:lineRule="auto"/>
              <w:rPr>
                <w:rFonts w:ascii="宋体" w:hAnsi="宋体" w:cs="宋体"/>
                <w:color w:val="auto"/>
                <w:sz w:val="24"/>
                <w:highlight w:val="none"/>
              </w:rPr>
            </w:pPr>
          </w:p>
        </w:tc>
        <w:tc>
          <w:tcPr>
            <w:tcW w:w="1281" w:type="dxa"/>
            <w:vAlign w:val="center"/>
          </w:tcPr>
          <w:p w14:paraId="53475F11">
            <w:pPr>
              <w:spacing w:line="240" w:lineRule="auto"/>
              <w:rPr>
                <w:rFonts w:ascii="宋体" w:hAnsi="宋体" w:cs="宋体"/>
                <w:color w:val="auto"/>
                <w:sz w:val="24"/>
                <w:highlight w:val="none"/>
              </w:rPr>
            </w:pPr>
          </w:p>
        </w:tc>
      </w:tr>
      <w:tr w14:paraId="53475F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4" w:hRule="atLeast"/>
          <w:jc w:val="center"/>
        </w:trPr>
        <w:tc>
          <w:tcPr>
            <w:tcW w:w="926" w:type="dxa"/>
            <w:vAlign w:val="center"/>
          </w:tcPr>
          <w:p w14:paraId="53475F13">
            <w:pPr>
              <w:kinsoku w:val="0"/>
              <w:autoSpaceDE w:val="0"/>
              <w:autoSpaceDN w:val="0"/>
              <w:adjustRightInd w:val="0"/>
              <w:snapToGrid w:val="0"/>
              <w:spacing w:line="240" w:lineRule="auto"/>
              <w:ind w:left="111"/>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1"/>
                <w:kern w:val="0"/>
                <w:position w:val="7"/>
                <w:sz w:val="24"/>
                <w:highlight w:val="none"/>
                <w:lang w:eastAsia="en-US"/>
              </w:rPr>
              <w:t>4.安全</w:t>
            </w:r>
          </w:p>
          <w:p w14:paraId="53475F14">
            <w:pPr>
              <w:kinsoku w:val="0"/>
              <w:autoSpaceDE w:val="0"/>
              <w:autoSpaceDN w:val="0"/>
              <w:adjustRightInd w:val="0"/>
              <w:snapToGrid w:val="0"/>
              <w:spacing w:line="240" w:lineRule="auto"/>
              <w:ind w:left="124"/>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kern w:val="0"/>
                <w:sz w:val="24"/>
                <w:highlight w:val="none"/>
                <w:lang w:eastAsia="en-US"/>
              </w:rPr>
              <w:t>员</w:t>
            </w:r>
          </w:p>
        </w:tc>
        <w:tc>
          <w:tcPr>
            <w:tcW w:w="669" w:type="dxa"/>
            <w:vAlign w:val="center"/>
          </w:tcPr>
          <w:p w14:paraId="53475F15">
            <w:pPr>
              <w:spacing w:line="240" w:lineRule="auto"/>
              <w:rPr>
                <w:rFonts w:ascii="宋体" w:hAnsi="宋体" w:cs="宋体"/>
                <w:color w:val="auto"/>
                <w:sz w:val="24"/>
                <w:highlight w:val="none"/>
              </w:rPr>
            </w:pPr>
          </w:p>
        </w:tc>
        <w:tc>
          <w:tcPr>
            <w:tcW w:w="827" w:type="dxa"/>
            <w:vAlign w:val="center"/>
          </w:tcPr>
          <w:p w14:paraId="53475F16">
            <w:pPr>
              <w:spacing w:line="240" w:lineRule="auto"/>
              <w:rPr>
                <w:rFonts w:ascii="宋体" w:hAnsi="宋体" w:cs="宋体"/>
                <w:color w:val="auto"/>
                <w:sz w:val="24"/>
                <w:highlight w:val="none"/>
              </w:rPr>
            </w:pPr>
          </w:p>
        </w:tc>
        <w:tc>
          <w:tcPr>
            <w:tcW w:w="815" w:type="dxa"/>
            <w:vAlign w:val="center"/>
          </w:tcPr>
          <w:p w14:paraId="53475F17">
            <w:pPr>
              <w:spacing w:line="240" w:lineRule="auto"/>
              <w:rPr>
                <w:rFonts w:ascii="宋体" w:hAnsi="宋体" w:cs="宋体"/>
                <w:color w:val="auto"/>
                <w:sz w:val="24"/>
                <w:highlight w:val="none"/>
              </w:rPr>
            </w:pPr>
          </w:p>
        </w:tc>
        <w:tc>
          <w:tcPr>
            <w:tcW w:w="1147" w:type="dxa"/>
            <w:vAlign w:val="center"/>
          </w:tcPr>
          <w:p w14:paraId="53475F18">
            <w:pPr>
              <w:spacing w:line="240" w:lineRule="auto"/>
              <w:rPr>
                <w:rFonts w:ascii="宋体" w:hAnsi="宋体" w:cs="宋体"/>
                <w:color w:val="auto"/>
                <w:sz w:val="24"/>
                <w:highlight w:val="none"/>
              </w:rPr>
            </w:pPr>
          </w:p>
        </w:tc>
        <w:tc>
          <w:tcPr>
            <w:tcW w:w="1149" w:type="dxa"/>
            <w:vAlign w:val="center"/>
          </w:tcPr>
          <w:p w14:paraId="53475F19">
            <w:pPr>
              <w:spacing w:line="240" w:lineRule="auto"/>
              <w:rPr>
                <w:rFonts w:ascii="宋体" w:hAnsi="宋体" w:cs="宋体"/>
                <w:color w:val="auto"/>
                <w:sz w:val="24"/>
                <w:highlight w:val="none"/>
              </w:rPr>
            </w:pPr>
          </w:p>
        </w:tc>
        <w:tc>
          <w:tcPr>
            <w:tcW w:w="1147" w:type="dxa"/>
            <w:vAlign w:val="center"/>
          </w:tcPr>
          <w:p w14:paraId="53475F1A">
            <w:pPr>
              <w:spacing w:line="240" w:lineRule="auto"/>
              <w:rPr>
                <w:rFonts w:ascii="宋体" w:hAnsi="宋体" w:cs="宋体"/>
                <w:color w:val="auto"/>
                <w:sz w:val="24"/>
                <w:highlight w:val="none"/>
              </w:rPr>
            </w:pPr>
          </w:p>
        </w:tc>
        <w:tc>
          <w:tcPr>
            <w:tcW w:w="744" w:type="dxa"/>
            <w:vAlign w:val="center"/>
          </w:tcPr>
          <w:p w14:paraId="53475F1B">
            <w:pPr>
              <w:spacing w:line="240" w:lineRule="auto"/>
              <w:rPr>
                <w:rFonts w:ascii="宋体" w:hAnsi="宋体" w:cs="宋体"/>
                <w:color w:val="auto"/>
                <w:sz w:val="24"/>
                <w:highlight w:val="none"/>
              </w:rPr>
            </w:pPr>
          </w:p>
        </w:tc>
        <w:tc>
          <w:tcPr>
            <w:tcW w:w="1166" w:type="dxa"/>
            <w:vAlign w:val="center"/>
          </w:tcPr>
          <w:p w14:paraId="53475F1C">
            <w:pPr>
              <w:spacing w:line="240" w:lineRule="auto"/>
              <w:rPr>
                <w:rFonts w:ascii="宋体" w:hAnsi="宋体" w:cs="宋体"/>
                <w:color w:val="auto"/>
                <w:sz w:val="24"/>
                <w:highlight w:val="none"/>
              </w:rPr>
            </w:pPr>
          </w:p>
        </w:tc>
        <w:tc>
          <w:tcPr>
            <w:tcW w:w="1281" w:type="dxa"/>
            <w:vAlign w:val="center"/>
          </w:tcPr>
          <w:p w14:paraId="53475F1D">
            <w:pPr>
              <w:spacing w:line="240" w:lineRule="auto"/>
              <w:rPr>
                <w:rFonts w:ascii="宋体" w:hAnsi="宋体" w:cs="宋体"/>
                <w:color w:val="auto"/>
                <w:sz w:val="24"/>
                <w:highlight w:val="none"/>
              </w:rPr>
            </w:pPr>
          </w:p>
        </w:tc>
      </w:tr>
      <w:tr w14:paraId="53475F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4" w:hRule="atLeast"/>
          <w:jc w:val="center"/>
        </w:trPr>
        <w:tc>
          <w:tcPr>
            <w:tcW w:w="926" w:type="dxa"/>
            <w:vAlign w:val="center"/>
          </w:tcPr>
          <w:p w14:paraId="53475F1F">
            <w:pPr>
              <w:kinsoku w:val="0"/>
              <w:autoSpaceDE w:val="0"/>
              <w:autoSpaceDN w:val="0"/>
              <w:adjustRightInd w:val="0"/>
              <w:snapToGrid w:val="0"/>
              <w:spacing w:line="240" w:lineRule="auto"/>
              <w:ind w:left="123" w:right="129" w:hanging="6"/>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5"/>
                <w:kern w:val="0"/>
                <w:sz w:val="24"/>
                <w:highlight w:val="none"/>
                <w:lang w:eastAsia="en-US"/>
              </w:rPr>
              <w:t>5.质量</w:t>
            </w:r>
            <w:r>
              <w:rPr>
                <w:rFonts w:hint="eastAsia" w:ascii="宋体" w:hAnsi="宋体" w:cs="宋体"/>
                <w:snapToGrid w:val="0"/>
                <w:color w:val="auto"/>
                <w:kern w:val="0"/>
                <w:sz w:val="24"/>
                <w:highlight w:val="none"/>
                <w:lang w:eastAsia="en-US"/>
              </w:rPr>
              <w:t>员</w:t>
            </w:r>
          </w:p>
        </w:tc>
        <w:tc>
          <w:tcPr>
            <w:tcW w:w="669" w:type="dxa"/>
            <w:vAlign w:val="center"/>
          </w:tcPr>
          <w:p w14:paraId="53475F20">
            <w:pPr>
              <w:spacing w:line="240" w:lineRule="auto"/>
              <w:rPr>
                <w:rFonts w:ascii="宋体" w:hAnsi="宋体" w:cs="宋体"/>
                <w:color w:val="auto"/>
                <w:sz w:val="24"/>
                <w:highlight w:val="none"/>
              </w:rPr>
            </w:pPr>
          </w:p>
        </w:tc>
        <w:tc>
          <w:tcPr>
            <w:tcW w:w="827" w:type="dxa"/>
            <w:vAlign w:val="center"/>
          </w:tcPr>
          <w:p w14:paraId="53475F21">
            <w:pPr>
              <w:spacing w:line="240" w:lineRule="auto"/>
              <w:rPr>
                <w:rFonts w:ascii="宋体" w:hAnsi="宋体" w:cs="宋体"/>
                <w:color w:val="auto"/>
                <w:sz w:val="24"/>
                <w:highlight w:val="none"/>
              </w:rPr>
            </w:pPr>
          </w:p>
        </w:tc>
        <w:tc>
          <w:tcPr>
            <w:tcW w:w="815" w:type="dxa"/>
            <w:vAlign w:val="center"/>
          </w:tcPr>
          <w:p w14:paraId="53475F22">
            <w:pPr>
              <w:spacing w:line="240" w:lineRule="auto"/>
              <w:rPr>
                <w:rFonts w:ascii="宋体" w:hAnsi="宋体" w:cs="宋体"/>
                <w:color w:val="auto"/>
                <w:sz w:val="24"/>
                <w:highlight w:val="none"/>
              </w:rPr>
            </w:pPr>
          </w:p>
        </w:tc>
        <w:tc>
          <w:tcPr>
            <w:tcW w:w="1147" w:type="dxa"/>
            <w:vAlign w:val="center"/>
          </w:tcPr>
          <w:p w14:paraId="53475F23">
            <w:pPr>
              <w:spacing w:line="240" w:lineRule="auto"/>
              <w:rPr>
                <w:rFonts w:ascii="宋体" w:hAnsi="宋体" w:cs="宋体"/>
                <w:color w:val="auto"/>
                <w:sz w:val="24"/>
                <w:highlight w:val="none"/>
              </w:rPr>
            </w:pPr>
          </w:p>
        </w:tc>
        <w:tc>
          <w:tcPr>
            <w:tcW w:w="1149" w:type="dxa"/>
            <w:vAlign w:val="center"/>
          </w:tcPr>
          <w:p w14:paraId="53475F24">
            <w:pPr>
              <w:spacing w:line="240" w:lineRule="auto"/>
              <w:rPr>
                <w:rFonts w:ascii="宋体" w:hAnsi="宋体" w:cs="宋体"/>
                <w:color w:val="auto"/>
                <w:sz w:val="24"/>
                <w:highlight w:val="none"/>
              </w:rPr>
            </w:pPr>
          </w:p>
        </w:tc>
        <w:tc>
          <w:tcPr>
            <w:tcW w:w="1147" w:type="dxa"/>
            <w:vAlign w:val="center"/>
          </w:tcPr>
          <w:p w14:paraId="53475F25">
            <w:pPr>
              <w:spacing w:line="240" w:lineRule="auto"/>
              <w:rPr>
                <w:rFonts w:ascii="宋体" w:hAnsi="宋体" w:cs="宋体"/>
                <w:color w:val="auto"/>
                <w:sz w:val="24"/>
                <w:highlight w:val="none"/>
              </w:rPr>
            </w:pPr>
          </w:p>
        </w:tc>
        <w:tc>
          <w:tcPr>
            <w:tcW w:w="744" w:type="dxa"/>
            <w:vAlign w:val="center"/>
          </w:tcPr>
          <w:p w14:paraId="53475F26">
            <w:pPr>
              <w:spacing w:line="240" w:lineRule="auto"/>
              <w:rPr>
                <w:rFonts w:ascii="宋体" w:hAnsi="宋体" w:cs="宋体"/>
                <w:color w:val="auto"/>
                <w:sz w:val="24"/>
                <w:highlight w:val="none"/>
              </w:rPr>
            </w:pPr>
          </w:p>
        </w:tc>
        <w:tc>
          <w:tcPr>
            <w:tcW w:w="1166" w:type="dxa"/>
            <w:vAlign w:val="center"/>
          </w:tcPr>
          <w:p w14:paraId="53475F27">
            <w:pPr>
              <w:spacing w:line="240" w:lineRule="auto"/>
              <w:rPr>
                <w:rFonts w:ascii="宋体" w:hAnsi="宋体" w:cs="宋体"/>
                <w:color w:val="auto"/>
                <w:sz w:val="24"/>
                <w:highlight w:val="none"/>
              </w:rPr>
            </w:pPr>
          </w:p>
        </w:tc>
        <w:tc>
          <w:tcPr>
            <w:tcW w:w="1281" w:type="dxa"/>
            <w:vAlign w:val="center"/>
          </w:tcPr>
          <w:p w14:paraId="53475F28">
            <w:pPr>
              <w:spacing w:line="240" w:lineRule="auto"/>
              <w:rPr>
                <w:rFonts w:ascii="宋体" w:hAnsi="宋体" w:cs="宋体"/>
                <w:color w:val="auto"/>
                <w:sz w:val="24"/>
                <w:highlight w:val="none"/>
              </w:rPr>
            </w:pPr>
          </w:p>
        </w:tc>
      </w:tr>
      <w:tr w14:paraId="53475F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4" w:hRule="atLeast"/>
          <w:jc w:val="center"/>
        </w:trPr>
        <w:tc>
          <w:tcPr>
            <w:tcW w:w="926" w:type="dxa"/>
            <w:vAlign w:val="center"/>
          </w:tcPr>
          <w:p w14:paraId="53475F2A">
            <w:pPr>
              <w:kinsoku w:val="0"/>
              <w:autoSpaceDE w:val="0"/>
              <w:autoSpaceDN w:val="0"/>
              <w:adjustRightInd w:val="0"/>
              <w:snapToGrid w:val="0"/>
              <w:spacing w:line="240" w:lineRule="auto"/>
              <w:ind w:left="124"/>
              <w:jc w:val="left"/>
              <w:textAlignment w:val="baseline"/>
              <w:rPr>
                <w:rFonts w:ascii="宋体" w:hAnsi="宋体" w:cs="宋体"/>
                <w:snapToGrid w:val="0"/>
                <w:color w:val="auto"/>
                <w:kern w:val="0"/>
                <w:sz w:val="24"/>
                <w:highlight w:val="none"/>
                <w:lang w:eastAsia="en-US"/>
              </w:rPr>
            </w:pPr>
          </w:p>
        </w:tc>
        <w:tc>
          <w:tcPr>
            <w:tcW w:w="669" w:type="dxa"/>
            <w:vAlign w:val="center"/>
          </w:tcPr>
          <w:p w14:paraId="53475F2B">
            <w:pPr>
              <w:spacing w:line="240" w:lineRule="auto"/>
              <w:rPr>
                <w:rFonts w:ascii="宋体" w:hAnsi="宋体" w:cs="宋体"/>
                <w:color w:val="auto"/>
                <w:sz w:val="24"/>
                <w:highlight w:val="none"/>
              </w:rPr>
            </w:pPr>
          </w:p>
        </w:tc>
        <w:tc>
          <w:tcPr>
            <w:tcW w:w="827" w:type="dxa"/>
            <w:vAlign w:val="center"/>
          </w:tcPr>
          <w:p w14:paraId="53475F2C">
            <w:pPr>
              <w:spacing w:line="240" w:lineRule="auto"/>
              <w:rPr>
                <w:rFonts w:ascii="宋体" w:hAnsi="宋体" w:cs="宋体"/>
                <w:color w:val="auto"/>
                <w:sz w:val="24"/>
                <w:highlight w:val="none"/>
              </w:rPr>
            </w:pPr>
          </w:p>
        </w:tc>
        <w:tc>
          <w:tcPr>
            <w:tcW w:w="815" w:type="dxa"/>
            <w:vAlign w:val="center"/>
          </w:tcPr>
          <w:p w14:paraId="53475F2D">
            <w:pPr>
              <w:spacing w:line="240" w:lineRule="auto"/>
              <w:rPr>
                <w:rFonts w:ascii="宋体" w:hAnsi="宋体" w:cs="宋体"/>
                <w:color w:val="auto"/>
                <w:sz w:val="24"/>
                <w:highlight w:val="none"/>
              </w:rPr>
            </w:pPr>
          </w:p>
        </w:tc>
        <w:tc>
          <w:tcPr>
            <w:tcW w:w="1147" w:type="dxa"/>
            <w:vAlign w:val="center"/>
          </w:tcPr>
          <w:p w14:paraId="53475F2E">
            <w:pPr>
              <w:spacing w:line="240" w:lineRule="auto"/>
              <w:rPr>
                <w:rFonts w:ascii="宋体" w:hAnsi="宋体" w:cs="宋体"/>
                <w:color w:val="auto"/>
                <w:sz w:val="24"/>
                <w:highlight w:val="none"/>
              </w:rPr>
            </w:pPr>
          </w:p>
        </w:tc>
        <w:tc>
          <w:tcPr>
            <w:tcW w:w="1149" w:type="dxa"/>
            <w:vAlign w:val="center"/>
          </w:tcPr>
          <w:p w14:paraId="53475F2F">
            <w:pPr>
              <w:spacing w:line="240" w:lineRule="auto"/>
              <w:rPr>
                <w:rFonts w:ascii="宋体" w:hAnsi="宋体" w:cs="宋体"/>
                <w:color w:val="auto"/>
                <w:sz w:val="24"/>
                <w:highlight w:val="none"/>
              </w:rPr>
            </w:pPr>
          </w:p>
        </w:tc>
        <w:tc>
          <w:tcPr>
            <w:tcW w:w="1147" w:type="dxa"/>
            <w:vAlign w:val="center"/>
          </w:tcPr>
          <w:p w14:paraId="53475F30">
            <w:pPr>
              <w:spacing w:line="240" w:lineRule="auto"/>
              <w:rPr>
                <w:rFonts w:ascii="宋体" w:hAnsi="宋体" w:cs="宋体"/>
                <w:color w:val="auto"/>
                <w:sz w:val="24"/>
                <w:highlight w:val="none"/>
              </w:rPr>
            </w:pPr>
          </w:p>
        </w:tc>
        <w:tc>
          <w:tcPr>
            <w:tcW w:w="744" w:type="dxa"/>
            <w:vAlign w:val="center"/>
          </w:tcPr>
          <w:p w14:paraId="53475F31">
            <w:pPr>
              <w:spacing w:line="240" w:lineRule="auto"/>
              <w:rPr>
                <w:rFonts w:ascii="宋体" w:hAnsi="宋体" w:cs="宋体"/>
                <w:color w:val="auto"/>
                <w:sz w:val="24"/>
                <w:highlight w:val="none"/>
              </w:rPr>
            </w:pPr>
          </w:p>
        </w:tc>
        <w:tc>
          <w:tcPr>
            <w:tcW w:w="1166" w:type="dxa"/>
            <w:vAlign w:val="center"/>
          </w:tcPr>
          <w:p w14:paraId="53475F32">
            <w:pPr>
              <w:spacing w:line="240" w:lineRule="auto"/>
              <w:rPr>
                <w:rFonts w:ascii="宋体" w:hAnsi="宋体" w:cs="宋体"/>
                <w:color w:val="auto"/>
                <w:sz w:val="24"/>
                <w:highlight w:val="none"/>
              </w:rPr>
            </w:pPr>
          </w:p>
        </w:tc>
        <w:tc>
          <w:tcPr>
            <w:tcW w:w="1281" w:type="dxa"/>
            <w:vAlign w:val="center"/>
          </w:tcPr>
          <w:p w14:paraId="53475F33">
            <w:pPr>
              <w:spacing w:line="240" w:lineRule="auto"/>
              <w:rPr>
                <w:rFonts w:ascii="宋体" w:hAnsi="宋体" w:cs="宋体"/>
                <w:color w:val="auto"/>
                <w:sz w:val="24"/>
                <w:highlight w:val="none"/>
              </w:rPr>
            </w:pPr>
          </w:p>
        </w:tc>
      </w:tr>
      <w:tr w14:paraId="53475F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4" w:hRule="atLeast"/>
          <w:jc w:val="center"/>
        </w:trPr>
        <w:tc>
          <w:tcPr>
            <w:tcW w:w="926" w:type="dxa"/>
            <w:vAlign w:val="center"/>
          </w:tcPr>
          <w:p w14:paraId="53475F35">
            <w:pPr>
              <w:spacing w:line="240" w:lineRule="auto"/>
              <w:rPr>
                <w:rFonts w:ascii="宋体" w:hAnsi="宋体" w:cs="宋体"/>
                <w:color w:val="auto"/>
                <w:sz w:val="24"/>
                <w:highlight w:val="none"/>
              </w:rPr>
            </w:pPr>
          </w:p>
        </w:tc>
        <w:tc>
          <w:tcPr>
            <w:tcW w:w="669" w:type="dxa"/>
            <w:vAlign w:val="center"/>
          </w:tcPr>
          <w:p w14:paraId="53475F36">
            <w:pPr>
              <w:spacing w:line="240" w:lineRule="auto"/>
              <w:rPr>
                <w:rFonts w:ascii="宋体" w:hAnsi="宋体" w:cs="宋体"/>
                <w:color w:val="auto"/>
                <w:sz w:val="24"/>
                <w:highlight w:val="none"/>
              </w:rPr>
            </w:pPr>
          </w:p>
        </w:tc>
        <w:tc>
          <w:tcPr>
            <w:tcW w:w="827" w:type="dxa"/>
            <w:vAlign w:val="center"/>
          </w:tcPr>
          <w:p w14:paraId="53475F37">
            <w:pPr>
              <w:spacing w:line="240" w:lineRule="auto"/>
              <w:rPr>
                <w:rFonts w:ascii="宋体" w:hAnsi="宋体" w:cs="宋体"/>
                <w:color w:val="auto"/>
                <w:sz w:val="24"/>
                <w:highlight w:val="none"/>
              </w:rPr>
            </w:pPr>
          </w:p>
        </w:tc>
        <w:tc>
          <w:tcPr>
            <w:tcW w:w="815" w:type="dxa"/>
            <w:vAlign w:val="center"/>
          </w:tcPr>
          <w:p w14:paraId="53475F38">
            <w:pPr>
              <w:spacing w:line="240" w:lineRule="auto"/>
              <w:rPr>
                <w:rFonts w:ascii="宋体" w:hAnsi="宋体" w:cs="宋体"/>
                <w:color w:val="auto"/>
                <w:sz w:val="24"/>
                <w:highlight w:val="none"/>
              </w:rPr>
            </w:pPr>
          </w:p>
        </w:tc>
        <w:tc>
          <w:tcPr>
            <w:tcW w:w="1147" w:type="dxa"/>
            <w:vAlign w:val="center"/>
          </w:tcPr>
          <w:p w14:paraId="53475F39">
            <w:pPr>
              <w:spacing w:line="240" w:lineRule="auto"/>
              <w:rPr>
                <w:rFonts w:ascii="宋体" w:hAnsi="宋体" w:cs="宋体"/>
                <w:color w:val="auto"/>
                <w:sz w:val="24"/>
                <w:highlight w:val="none"/>
              </w:rPr>
            </w:pPr>
          </w:p>
        </w:tc>
        <w:tc>
          <w:tcPr>
            <w:tcW w:w="1149" w:type="dxa"/>
            <w:vAlign w:val="center"/>
          </w:tcPr>
          <w:p w14:paraId="53475F3A">
            <w:pPr>
              <w:spacing w:line="240" w:lineRule="auto"/>
              <w:rPr>
                <w:rFonts w:ascii="宋体" w:hAnsi="宋体" w:cs="宋体"/>
                <w:color w:val="auto"/>
                <w:sz w:val="24"/>
                <w:highlight w:val="none"/>
              </w:rPr>
            </w:pPr>
          </w:p>
        </w:tc>
        <w:tc>
          <w:tcPr>
            <w:tcW w:w="1147" w:type="dxa"/>
            <w:vAlign w:val="center"/>
          </w:tcPr>
          <w:p w14:paraId="53475F3B">
            <w:pPr>
              <w:spacing w:line="240" w:lineRule="auto"/>
              <w:rPr>
                <w:rFonts w:ascii="宋体" w:hAnsi="宋体" w:cs="宋体"/>
                <w:color w:val="auto"/>
                <w:sz w:val="24"/>
                <w:highlight w:val="none"/>
              </w:rPr>
            </w:pPr>
          </w:p>
        </w:tc>
        <w:tc>
          <w:tcPr>
            <w:tcW w:w="744" w:type="dxa"/>
            <w:vAlign w:val="center"/>
          </w:tcPr>
          <w:p w14:paraId="53475F3C">
            <w:pPr>
              <w:spacing w:line="240" w:lineRule="auto"/>
              <w:rPr>
                <w:rFonts w:ascii="宋体" w:hAnsi="宋体" w:cs="宋体"/>
                <w:color w:val="auto"/>
                <w:sz w:val="24"/>
                <w:highlight w:val="none"/>
              </w:rPr>
            </w:pPr>
          </w:p>
        </w:tc>
        <w:tc>
          <w:tcPr>
            <w:tcW w:w="1166" w:type="dxa"/>
            <w:vAlign w:val="center"/>
          </w:tcPr>
          <w:p w14:paraId="53475F3D">
            <w:pPr>
              <w:spacing w:line="240" w:lineRule="auto"/>
              <w:rPr>
                <w:rFonts w:ascii="宋体" w:hAnsi="宋体" w:cs="宋体"/>
                <w:color w:val="auto"/>
                <w:sz w:val="24"/>
                <w:highlight w:val="none"/>
              </w:rPr>
            </w:pPr>
          </w:p>
        </w:tc>
        <w:tc>
          <w:tcPr>
            <w:tcW w:w="1281" w:type="dxa"/>
            <w:vAlign w:val="center"/>
          </w:tcPr>
          <w:p w14:paraId="53475F3E">
            <w:pPr>
              <w:spacing w:line="240" w:lineRule="auto"/>
              <w:rPr>
                <w:rFonts w:ascii="宋体" w:hAnsi="宋体" w:cs="宋体"/>
                <w:color w:val="auto"/>
                <w:sz w:val="24"/>
                <w:highlight w:val="none"/>
              </w:rPr>
            </w:pPr>
          </w:p>
        </w:tc>
      </w:tr>
      <w:tr w14:paraId="53475F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1" w:hRule="atLeast"/>
          <w:jc w:val="center"/>
        </w:trPr>
        <w:tc>
          <w:tcPr>
            <w:tcW w:w="9871" w:type="dxa"/>
            <w:gridSpan w:val="10"/>
            <w:vAlign w:val="center"/>
          </w:tcPr>
          <w:p w14:paraId="53475F40">
            <w:pPr>
              <w:kinsoku w:val="0"/>
              <w:autoSpaceDE w:val="0"/>
              <w:autoSpaceDN w:val="0"/>
              <w:adjustRightInd w:val="0"/>
              <w:snapToGrid w:val="0"/>
              <w:spacing w:line="240" w:lineRule="auto"/>
              <w:ind w:left="119"/>
              <w:jc w:val="left"/>
              <w:textAlignment w:val="baseline"/>
              <w:rPr>
                <w:rFonts w:ascii="宋体" w:hAnsi="宋体" w:cs="宋体"/>
                <w:snapToGrid w:val="0"/>
                <w:color w:val="auto"/>
                <w:kern w:val="0"/>
                <w:sz w:val="24"/>
                <w:highlight w:val="none"/>
              </w:rPr>
            </w:pPr>
            <w:r>
              <w:rPr>
                <w:rFonts w:hint="eastAsia" w:ascii="宋体" w:hAnsi="宋体" w:cs="宋体"/>
                <w:snapToGrid w:val="0"/>
                <w:color w:val="auto"/>
                <w:kern w:val="0"/>
                <w:sz w:val="24"/>
                <w:highlight w:val="none"/>
              </w:rPr>
              <w:t>一旦我单位成交，将实行项目经理负责制，我方保证并配备上述项目管</w:t>
            </w:r>
            <w:r>
              <w:rPr>
                <w:rFonts w:hint="eastAsia" w:ascii="宋体" w:hAnsi="宋体" w:cs="宋体"/>
                <w:snapToGrid w:val="0"/>
                <w:color w:val="auto"/>
                <w:spacing w:val="-1"/>
                <w:kern w:val="0"/>
                <w:sz w:val="24"/>
                <w:highlight w:val="none"/>
              </w:rPr>
              <w:t>理机构。上述填报内容真实，若不</w:t>
            </w:r>
            <w:r>
              <w:rPr>
                <w:rFonts w:hint="eastAsia" w:ascii="宋体" w:hAnsi="宋体" w:cs="宋体"/>
                <w:snapToGrid w:val="0"/>
                <w:color w:val="auto"/>
                <w:spacing w:val="-3"/>
                <w:kern w:val="0"/>
                <w:sz w:val="24"/>
                <w:highlight w:val="none"/>
              </w:rPr>
              <w:t>真实，愿按有关规定接受处理。项目管理班子机构设置、职责分工等情况另附资料说明。</w:t>
            </w:r>
          </w:p>
        </w:tc>
      </w:tr>
    </w:tbl>
    <w:p w14:paraId="53475F42">
      <w:pPr>
        <w:widowControl/>
        <w:kinsoku w:val="0"/>
        <w:autoSpaceDE w:val="0"/>
        <w:autoSpaceDN w:val="0"/>
        <w:adjustRightInd w:val="0"/>
        <w:snapToGrid w:val="0"/>
        <w:spacing w:line="240" w:lineRule="auto"/>
        <w:ind w:firstLine="480" w:firstLineChars="200"/>
        <w:textAlignment w:val="baseline"/>
        <w:rPr>
          <w:rFonts w:ascii="宋体" w:hAnsi="宋体" w:cs="宋体"/>
          <w:color w:val="auto"/>
          <w:sz w:val="24"/>
          <w:highlight w:val="none"/>
        </w:rPr>
      </w:pPr>
      <w:r>
        <w:rPr>
          <w:rFonts w:hint="eastAsia" w:ascii="宋体" w:hAnsi="宋体" w:cs="宋体"/>
          <w:color w:val="auto"/>
          <w:sz w:val="24"/>
          <w:highlight w:val="none"/>
        </w:rPr>
        <w:t>备注：</w:t>
      </w:r>
    </w:p>
    <w:p w14:paraId="53475F43">
      <w:pPr>
        <w:widowControl/>
        <w:kinsoku w:val="0"/>
        <w:autoSpaceDE w:val="0"/>
        <w:autoSpaceDN w:val="0"/>
        <w:adjustRightInd w:val="0"/>
        <w:snapToGrid w:val="0"/>
        <w:spacing w:line="240" w:lineRule="auto"/>
        <w:ind w:firstLine="480" w:firstLineChars="200"/>
        <w:textAlignment w:val="baseline"/>
        <w:rPr>
          <w:rFonts w:ascii="宋体" w:hAnsi="宋体" w:cs="宋体"/>
          <w:color w:val="auto"/>
          <w:sz w:val="24"/>
          <w:highlight w:val="none"/>
        </w:rPr>
      </w:pPr>
      <w:r>
        <w:rPr>
          <w:rFonts w:hint="eastAsia" w:ascii="宋体" w:hAnsi="宋体" w:cs="宋体"/>
          <w:color w:val="auto"/>
          <w:sz w:val="24"/>
          <w:highlight w:val="none"/>
        </w:rPr>
        <w:t>1.本表所列岗位的所有管理人员的情况均应如实填写。可按以上格式扩展为多页填写。</w:t>
      </w:r>
    </w:p>
    <w:p w14:paraId="53475F44">
      <w:pPr>
        <w:widowControl/>
        <w:kinsoku w:val="0"/>
        <w:autoSpaceDE w:val="0"/>
        <w:autoSpaceDN w:val="0"/>
        <w:adjustRightInd w:val="0"/>
        <w:snapToGrid w:val="0"/>
        <w:spacing w:line="240" w:lineRule="auto"/>
        <w:ind w:firstLine="480" w:firstLineChars="200"/>
        <w:textAlignment w:val="baseline"/>
        <w:rPr>
          <w:rFonts w:ascii="宋体" w:hAnsi="宋体" w:cs="宋体"/>
          <w:color w:val="auto"/>
          <w:sz w:val="24"/>
          <w:highlight w:val="none"/>
        </w:rPr>
      </w:pPr>
      <w:r>
        <w:rPr>
          <w:rFonts w:hint="eastAsia" w:ascii="宋体" w:hAnsi="宋体" w:cs="宋体"/>
          <w:color w:val="auto"/>
          <w:sz w:val="24"/>
          <w:highlight w:val="none"/>
        </w:rPr>
        <w:t>2.供应商应当在本表后附所有管理人员的身份证、职称证、执业或职业资格证书的复印件并加盖供应商公章。</w:t>
      </w:r>
    </w:p>
    <w:p w14:paraId="53475F46">
      <w:pPr>
        <w:kinsoku w:val="0"/>
        <w:autoSpaceDE w:val="0"/>
        <w:autoSpaceDN w:val="0"/>
        <w:adjustRightInd w:val="0"/>
        <w:snapToGrid w:val="0"/>
        <w:spacing w:line="240" w:lineRule="auto"/>
        <w:jc w:val="left"/>
        <w:textAlignment w:val="baseline"/>
        <w:rPr>
          <w:rFonts w:ascii="宋体" w:hAnsi="宋体" w:cs="宋体"/>
          <w:snapToGrid w:val="0"/>
          <w:color w:val="auto"/>
          <w:kern w:val="0"/>
          <w:sz w:val="24"/>
          <w:highlight w:val="none"/>
        </w:rPr>
      </w:pPr>
    </w:p>
    <w:p w14:paraId="53475F47">
      <w:pPr>
        <w:adjustRightInd w:val="0"/>
        <w:snapToGrid w:val="0"/>
        <w:spacing w:line="240" w:lineRule="auto"/>
        <w:ind w:firstLine="960" w:firstLineChars="400"/>
        <w:jc w:val="left"/>
        <w:rPr>
          <w:rFonts w:ascii="宋体" w:hAnsi="宋体"/>
          <w:color w:val="auto"/>
          <w:sz w:val="24"/>
          <w:highlight w:val="none"/>
        </w:rPr>
      </w:pPr>
      <w:r>
        <w:rPr>
          <w:rFonts w:hint="eastAsia" w:ascii="宋体" w:hAnsi="宋体"/>
          <w:color w:val="auto"/>
          <w:sz w:val="24"/>
          <w:highlight w:val="none"/>
        </w:rPr>
        <w:t xml:space="preserve">磋商供应商名称(公章)： </w:t>
      </w:r>
    </w:p>
    <w:p w14:paraId="53475F48">
      <w:pPr>
        <w:adjustRightInd w:val="0"/>
        <w:snapToGrid w:val="0"/>
        <w:spacing w:line="240" w:lineRule="auto"/>
        <w:ind w:firstLine="960" w:firstLineChars="400"/>
        <w:jc w:val="left"/>
        <w:rPr>
          <w:rFonts w:ascii="宋体" w:hAnsi="宋体"/>
          <w:color w:val="auto"/>
          <w:sz w:val="24"/>
          <w:highlight w:val="none"/>
        </w:rPr>
      </w:pPr>
      <w:r>
        <w:rPr>
          <w:rFonts w:hint="eastAsia" w:ascii="宋体" w:hAnsi="宋体"/>
          <w:color w:val="auto"/>
          <w:sz w:val="24"/>
          <w:highlight w:val="none"/>
        </w:rPr>
        <w:t xml:space="preserve">法定代表人（负责人）或委托代理人(签名)：                          </w:t>
      </w:r>
    </w:p>
    <w:p w14:paraId="53475F49">
      <w:pPr>
        <w:spacing w:line="240" w:lineRule="auto"/>
        <w:ind w:firstLine="960" w:firstLineChars="400"/>
        <w:rPr>
          <w:rFonts w:ascii="宋体" w:hAnsi="宋体"/>
          <w:color w:val="auto"/>
          <w:sz w:val="24"/>
          <w:highlight w:val="none"/>
        </w:rPr>
      </w:pPr>
      <w:r>
        <w:rPr>
          <w:rFonts w:hint="eastAsia" w:ascii="宋体" w:hAnsi="宋体"/>
          <w:color w:val="auto"/>
          <w:sz w:val="24"/>
          <w:highlight w:val="none"/>
        </w:rPr>
        <w:t>日期：  年   月   日</w:t>
      </w:r>
    </w:p>
    <w:p w14:paraId="53475F4A">
      <w:pPr>
        <w:spacing w:line="360" w:lineRule="auto"/>
        <w:rPr>
          <w:rFonts w:ascii="宋体" w:hAnsi="宋体"/>
          <w:color w:val="auto"/>
          <w:highlight w:val="none"/>
        </w:rPr>
      </w:pPr>
      <w:r>
        <w:rPr>
          <w:rFonts w:hint="eastAsia" w:ascii="宋体" w:hAnsi="宋体"/>
          <w:color w:val="auto"/>
          <w:highlight w:val="none"/>
        </w:rPr>
        <w:br w:type="page"/>
      </w:r>
    </w:p>
    <w:p w14:paraId="53475F4B">
      <w:pPr>
        <w:spacing w:line="360" w:lineRule="auto"/>
        <w:ind w:left="2591"/>
        <w:rPr>
          <w:rFonts w:ascii="宋体" w:hAnsi="宋体" w:cs="宋体"/>
          <w:color w:val="auto"/>
          <w:sz w:val="31"/>
          <w:szCs w:val="31"/>
          <w:highlight w:val="none"/>
        </w:rPr>
      </w:pPr>
      <w:r>
        <w:rPr>
          <w:rFonts w:hint="eastAsia" w:ascii="宋体" w:hAnsi="宋体" w:cs="宋体"/>
          <w:color w:val="auto"/>
          <w:spacing w:val="-3"/>
          <w:position w:val="23"/>
          <w:sz w:val="31"/>
          <w:szCs w:val="31"/>
          <w:highlight w:val="none"/>
        </w:rPr>
        <w:t>（二） 拟投入的主要人员简历表</w:t>
      </w:r>
    </w:p>
    <w:p w14:paraId="53475F4D">
      <w:pPr>
        <w:spacing w:line="360" w:lineRule="auto"/>
        <w:ind w:left="4027"/>
        <w:rPr>
          <w:rFonts w:ascii="宋体" w:hAnsi="宋体" w:cs="宋体"/>
          <w:color w:val="auto"/>
          <w:highlight w:val="none"/>
        </w:rPr>
      </w:pPr>
      <w:r>
        <w:rPr>
          <w:rFonts w:hint="eastAsia" w:ascii="宋体" w:hAnsi="宋体" w:cs="宋体"/>
          <w:color w:val="auto"/>
          <w:spacing w:val="8"/>
          <w:sz w:val="31"/>
          <w:szCs w:val="31"/>
          <w:highlight w:val="none"/>
        </w:rPr>
        <w:t>项目经理简历表</w:t>
      </w:r>
    </w:p>
    <w:tbl>
      <w:tblPr>
        <w:tblStyle w:val="38"/>
        <w:tblW w:w="962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12"/>
        <w:gridCol w:w="418"/>
        <w:gridCol w:w="856"/>
        <w:gridCol w:w="692"/>
        <w:gridCol w:w="325"/>
        <w:gridCol w:w="208"/>
        <w:gridCol w:w="1441"/>
        <w:gridCol w:w="245"/>
        <w:gridCol w:w="1084"/>
        <w:gridCol w:w="89"/>
        <w:gridCol w:w="411"/>
        <w:gridCol w:w="1134"/>
        <w:gridCol w:w="87"/>
        <w:gridCol w:w="1396"/>
        <w:gridCol w:w="25"/>
      </w:tblGrid>
      <w:tr w14:paraId="53475F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9" w:hRule="atLeast"/>
          <w:jc w:val="center"/>
        </w:trPr>
        <w:tc>
          <w:tcPr>
            <w:tcW w:w="1212" w:type="dxa"/>
          </w:tcPr>
          <w:p w14:paraId="53475F4E">
            <w:pPr>
              <w:keepNext w:val="0"/>
              <w:keepLines w:val="0"/>
              <w:pageBreakBefore w:val="0"/>
              <w:widowControl w:val="0"/>
              <w:kinsoku w:val="0"/>
              <w:wordWrap/>
              <w:overflowPunct/>
              <w:topLinePunct w:val="0"/>
              <w:autoSpaceDE w:val="0"/>
              <w:autoSpaceDN w:val="0"/>
              <w:bidi w:val="0"/>
              <w:adjustRightInd w:val="0"/>
              <w:snapToGrid w:val="0"/>
              <w:spacing w:line="240" w:lineRule="auto"/>
              <w:ind w:left="392"/>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姓名</w:t>
            </w:r>
          </w:p>
        </w:tc>
        <w:tc>
          <w:tcPr>
            <w:tcW w:w="2291" w:type="dxa"/>
            <w:gridSpan w:val="4"/>
          </w:tcPr>
          <w:p w14:paraId="53475F4F">
            <w:pPr>
              <w:keepNext w:val="0"/>
              <w:keepLines w:val="0"/>
              <w:pageBreakBefore w:val="0"/>
              <w:widowControl w:val="0"/>
              <w:wordWrap/>
              <w:overflowPunct/>
              <w:topLinePunct w:val="0"/>
              <w:bidi w:val="0"/>
              <w:snapToGrid w:val="0"/>
              <w:spacing w:line="240" w:lineRule="auto"/>
              <w:rPr>
                <w:rFonts w:ascii="宋体" w:hAnsi="宋体" w:cs="宋体"/>
                <w:color w:val="auto"/>
                <w:sz w:val="24"/>
                <w:highlight w:val="none"/>
              </w:rPr>
            </w:pPr>
          </w:p>
        </w:tc>
        <w:tc>
          <w:tcPr>
            <w:tcW w:w="1894" w:type="dxa"/>
            <w:gridSpan w:val="3"/>
          </w:tcPr>
          <w:p w14:paraId="53475F50">
            <w:pPr>
              <w:keepNext w:val="0"/>
              <w:keepLines w:val="0"/>
              <w:pageBreakBefore w:val="0"/>
              <w:widowControl w:val="0"/>
              <w:kinsoku w:val="0"/>
              <w:wordWrap/>
              <w:overflowPunct/>
              <w:topLinePunct w:val="0"/>
              <w:autoSpaceDE w:val="0"/>
              <w:autoSpaceDN w:val="0"/>
              <w:bidi w:val="0"/>
              <w:adjustRightInd w:val="0"/>
              <w:snapToGrid w:val="0"/>
              <w:spacing w:line="240" w:lineRule="auto"/>
              <w:ind w:left="743"/>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性别</w:t>
            </w:r>
          </w:p>
        </w:tc>
        <w:tc>
          <w:tcPr>
            <w:tcW w:w="1584" w:type="dxa"/>
            <w:gridSpan w:val="3"/>
          </w:tcPr>
          <w:p w14:paraId="53475F51">
            <w:pPr>
              <w:keepNext w:val="0"/>
              <w:keepLines w:val="0"/>
              <w:pageBreakBefore w:val="0"/>
              <w:widowControl w:val="0"/>
              <w:wordWrap/>
              <w:overflowPunct/>
              <w:topLinePunct w:val="0"/>
              <w:bidi w:val="0"/>
              <w:snapToGrid w:val="0"/>
              <w:spacing w:line="240" w:lineRule="auto"/>
              <w:rPr>
                <w:rFonts w:ascii="宋体" w:hAnsi="宋体" w:cs="宋体"/>
                <w:color w:val="auto"/>
                <w:sz w:val="24"/>
                <w:highlight w:val="none"/>
              </w:rPr>
            </w:pPr>
          </w:p>
        </w:tc>
        <w:tc>
          <w:tcPr>
            <w:tcW w:w="1134" w:type="dxa"/>
          </w:tcPr>
          <w:p w14:paraId="53475F52">
            <w:pPr>
              <w:keepNext w:val="0"/>
              <w:keepLines w:val="0"/>
              <w:pageBreakBefore w:val="0"/>
              <w:widowControl w:val="0"/>
              <w:kinsoku w:val="0"/>
              <w:wordWrap/>
              <w:overflowPunct/>
              <w:topLinePunct w:val="0"/>
              <w:autoSpaceDE w:val="0"/>
              <w:autoSpaceDN w:val="0"/>
              <w:bidi w:val="0"/>
              <w:adjustRightInd w:val="0"/>
              <w:snapToGrid w:val="0"/>
              <w:spacing w:line="240" w:lineRule="auto"/>
              <w:ind w:left="350"/>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年龄</w:t>
            </w:r>
          </w:p>
        </w:tc>
        <w:tc>
          <w:tcPr>
            <w:tcW w:w="1508" w:type="dxa"/>
            <w:gridSpan w:val="3"/>
          </w:tcPr>
          <w:p w14:paraId="53475F53">
            <w:pPr>
              <w:keepNext w:val="0"/>
              <w:keepLines w:val="0"/>
              <w:pageBreakBefore w:val="0"/>
              <w:widowControl w:val="0"/>
              <w:wordWrap/>
              <w:overflowPunct/>
              <w:topLinePunct w:val="0"/>
              <w:bidi w:val="0"/>
              <w:snapToGrid w:val="0"/>
              <w:spacing w:line="240" w:lineRule="auto"/>
              <w:rPr>
                <w:rFonts w:ascii="宋体" w:hAnsi="宋体" w:cs="宋体"/>
                <w:color w:val="auto"/>
                <w:sz w:val="24"/>
                <w:highlight w:val="none"/>
              </w:rPr>
            </w:pPr>
          </w:p>
        </w:tc>
      </w:tr>
      <w:tr w14:paraId="53475F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1212" w:type="dxa"/>
          </w:tcPr>
          <w:p w14:paraId="53475F55">
            <w:pPr>
              <w:keepNext w:val="0"/>
              <w:keepLines w:val="0"/>
              <w:pageBreakBefore w:val="0"/>
              <w:widowControl w:val="0"/>
              <w:kinsoku w:val="0"/>
              <w:wordWrap/>
              <w:overflowPunct/>
              <w:topLinePunct w:val="0"/>
              <w:autoSpaceDE w:val="0"/>
              <w:autoSpaceDN w:val="0"/>
              <w:bidi w:val="0"/>
              <w:adjustRightInd w:val="0"/>
              <w:snapToGrid w:val="0"/>
              <w:spacing w:line="240" w:lineRule="auto"/>
              <w:ind w:left="415"/>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8"/>
                <w:kern w:val="0"/>
                <w:sz w:val="24"/>
                <w:highlight w:val="none"/>
                <w:lang w:eastAsia="en-US"/>
              </w:rPr>
              <w:t>岗位</w:t>
            </w:r>
          </w:p>
        </w:tc>
        <w:tc>
          <w:tcPr>
            <w:tcW w:w="2291" w:type="dxa"/>
            <w:gridSpan w:val="4"/>
          </w:tcPr>
          <w:p w14:paraId="53475F56">
            <w:pPr>
              <w:keepNext w:val="0"/>
              <w:keepLines w:val="0"/>
              <w:pageBreakBefore w:val="0"/>
              <w:widowControl w:val="0"/>
              <w:kinsoku w:val="0"/>
              <w:wordWrap/>
              <w:overflowPunct/>
              <w:topLinePunct w:val="0"/>
              <w:autoSpaceDE w:val="0"/>
              <w:autoSpaceDN w:val="0"/>
              <w:bidi w:val="0"/>
              <w:adjustRightInd w:val="0"/>
              <w:snapToGrid w:val="0"/>
              <w:spacing w:line="240" w:lineRule="auto"/>
              <w:ind w:left="721"/>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3"/>
                <w:kern w:val="0"/>
                <w:sz w:val="24"/>
                <w:highlight w:val="none"/>
                <w:lang w:eastAsia="en-US"/>
              </w:rPr>
              <w:t>项目经理</w:t>
            </w:r>
          </w:p>
        </w:tc>
        <w:tc>
          <w:tcPr>
            <w:tcW w:w="1894" w:type="dxa"/>
            <w:gridSpan w:val="3"/>
          </w:tcPr>
          <w:p w14:paraId="53475F57">
            <w:pPr>
              <w:keepNext w:val="0"/>
              <w:keepLines w:val="0"/>
              <w:pageBreakBefore w:val="0"/>
              <w:widowControl w:val="0"/>
              <w:kinsoku w:val="0"/>
              <w:wordWrap/>
              <w:overflowPunct/>
              <w:topLinePunct w:val="0"/>
              <w:autoSpaceDE w:val="0"/>
              <w:autoSpaceDN w:val="0"/>
              <w:bidi w:val="0"/>
              <w:adjustRightInd w:val="0"/>
              <w:snapToGrid w:val="0"/>
              <w:spacing w:line="240" w:lineRule="auto"/>
              <w:ind w:left="744"/>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职称</w:t>
            </w:r>
          </w:p>
        </w:tc>
        <w:tc>
          <w:tcPr>
            <w:tcW w:w="1584" w:type="dxa"/>
            <w:gridSpan w:val="3"/>
          </w:tcPr>
          <w:p w14:paraId="53475F58">
            <w:pPr>
              <w:keepNext w:val="0"/>
              <w:keepLines w:val="0"/>
              <w:pageBreakBefore w:val="0"/>
              <w:widowControl w:val="0"/>
              <w:wordWrap/>
              <w:overflowPunct/>
              <w:topLinePunct w:val="0"/>
              <w:bidi w:val="0"/>
              <w:snapToGrid w:val="0"/>
              <w:spacing w:line="240" w:lineRule="auto"/>
              <w:rPr>
                <w:rFonts w:ascii="宋体" w:hAnsi="宋体" w:cs="宋体"/>
                <w:color w:val="auto"/>
                <w:sz w:val="24"/>
                <w:highlight w:val="none"/>
              </w:rPr>
            </w:pPr>
          </w:p>
        </w:tc>
        <w:tc>
          <w:tcPr>
            <w:tcW w:w="1134" w:type="dxa"/>
          </w:tcPr>
          <w:p w14:paraId="53475F59">
            <w:pPr>
              <w:keepNext w:val="0"/>
              <w:keepLines w:val="0"/>
              <w:pageBreakBefore w:val="0"/>
              <w:widowControl w:val="0"/>
              <w:kinsoku w:val="0"/>
              <w:wordWrap/>
              <w:overflowPunct/>
              <w:topLinePunct w:val="0"/>
              <w:autoSpaceDE w:val="0"/>
              <w:autoSpaceDN w:val="0"/>
              <w:bidi w:val="0"/>
              <w:adjustRightInd w:val="0"/>
              <w:snapToGrid w:val="0"/>
              <w:spacing w:line="240" w:lineRule="auto"/>
              <w:ind w:left="353"/>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3"/>
                <w:kern w:val="0"/>
                <w:sz w:val="24"/>
                <w:highlight w:val="none"/>
                <w:lang w:eastAsia="en-US"/>
              </w:rPr>
              <w:t>学历</w:t>
            </w:r>
          </w:p>
        </w:tc>
        <w:tc>
          <w:tcPr>
            <w:tcW w:w="1508" w:type="dxa"/>
            <w:gridSpan w:val="3"/>
          </w:tcPr>
          <w:p w14:paraId="53475F5A">
            <w:pPr>
              <w:keepNext w:val="0"/>
              <w:keepLines w:val="0"/>
              <w:pageBreakBefore w:val="0"/>
              <w:widowControl w:val="0"/>
              <w:wordWrap/>
              <w:overflowPunct/>
              <w:topLinePunct w:val="0"/>
              <w:bidi w:val="0"/>
              <w:snapToGrid w:val="0"/>
              <w:spacing w:line="240" w:lineRule="auto"/>
              <w:rPr>
                <w:rFonts w:ascii="宋体" w:hAnsi="宋体" w:cs="宋体"/>
                <w:color w:val="auto"/>
                <w:sz w:val="24"/>
                <w:highlight w:val="none"/>
              </w:rPr>
            </w:pPr>
          </w:p>
        </w:tc>
      </w:tr>
      <w:tr w14:paraId="53475F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1212" w:type="dxa"/>
          </w:tcPr>
          <w:p w14:paraId="53475F5C">
            <w:pPr>
              <w:keepNext w:val="0"/>
              <w:keepLines w:val="0"/>
              <w:pageBreakBefore w:val="0"/>
              <w:widowControl w:val="0"/>
              <w:kinsoku w:val="0"/>
              <w:wordWrap/>
              <w:overflowPunct/>
              <w:topLinePunct w:val="0"/>
              <w:autoSpaceDE w:val="0"/>
              <w:autoSpaceDN w:val="0"/>
              <w:bidi w:val="0"/>
              <w:adjustRightInd w:val="0"/>
              <w:snapToGrid w:val="0"/>
              <w:spacing w:line="240" w:lineRule="auto"/>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从业开始 时间</w:t>
            </w:r>
          </w:p>
        </w:tc>
        <w:tc>
          <w:tcPr>
            <w:tcW w:w="2291" w:type="dxa"/>
            <w:gridSpan w:val="4"/>
          </w:tcPr>
          <w:p w14:paraId="53475F5D">
            <w:pPr>
              <w:keepNext w:val="0"/>
              <w:keepLines w:val="0"/>
              <w:pageBreakBefore w:val="0"/>
              <w:widowControl w:val="0"/>
              <w:wordWrap/>
              <w:overflowPunct/>
              <w:topLinePunct w:val="0"/>
              <w:bidi w:val="0"/>
              <w:snapToGrid w:val="0"/>
              <w:spacing w:line="240" w:lineRule="auto"/>
              <w:rPr>
                <w:rFonts w:ascii="宋体" w:hAnsi="宋体" w:cs="宋体"/>
                <w:color w:val="auto"/>
                <w:sz w:val="24"/>
                <w:highlight w:val="none"/>
              </w:rPr>
            </w:pPr>
          </w:p>
        </w:tc>
        <w:tc>
          <w:tcPr>
            <w:tcW w:w="1894" w:type="dxa"/>
            <w:gridSpan w:val="3"/>
          </w:tcPr>
          <w:p w14:paraId="53475F5E">
            <w:pPr>
              <w:keepNext w:val="0"/>
              <w:keepLines w:val="0"/>
              <w:pageBreakBefore w:val="0"/>
              <w:widowControl w:val="0"/>
              <w:kinsoku w:val="0"/>
              <w:wordWrap/>
              <w:overflowPunct/>
              <w:topLinePunct w:val="0"/>
              <w:autoSpaceDE w:val="0"/>
              <w:autoSpaceDN w:val="0"/>
              <w:bidi w:val="0"/>
              <w:adjustRightInd w:val="0"/>
              <w:snapToGrid w:val="0"/>
              <w:spacing w:line="240" w:lineRule="auto"/>
              <w:ind w:left="324"/>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职称获得时间</w:t>
            </w:r>
          </w:p>
        </w:tc>
        <w:tc>
          <w:tcPr>
            <w:tcW w:w="1584" w:type="dxa"/>
            <w:gridSpan w:val="3"/>
          </w:tcPr>
          <w:p w14:paraId="53475F5F">
            <w:pPr>
              <w:keepNext w:val="0"/>
              <w:keepLines w:val="0"/>
              <w:pageBreakBefore w:val="0"/>
              <w:widowControl w:val="0"/>
              <w:wordWrap/>
              <w:overflowPunct/>
              <w:topLinePunct w:val="0"/>
              <w:bidi w:val="0"/>
              <w:snapToGrid w:val="0"/>
              <w:spacing w:line="240" w:lineRule="auto"/>
              <w:rPr>
                <w:rFonts w:ascii="宋体" w:hAnsi="宋体" w:cs="宋体"/>
                <w:color w:val="auto"/>
                <w:sz w:val="24"/>
                <w:highlight w:val="none"/>
              </w:rPr>
            </w:pPr>
          </w:p>
        </w:tc>
        <w:tc>
          <w:tcPr>
            <w:tcW w:w="1134" w:type="dxa"/>
          </w:tcPr>
          <w:p w14:paraId="53475F60">
            <w:pPr>
              <w:keepNext w:val="0"/>
              <w:keepLines w:val="0"/>
              <w:pageBreakBefore w:val="0"/>
              <w:widowControl w:val="0"/>
              <w:kinsoku w:val="0"/>
              <w:wordWrap/>
              <w:overflowPunct/>
              <w:topLinePunct w:val="0"/>
              <w:autoSpaceDE w:val="0"/>
              <w:autoSpaceDN w:val="0"/>
              <w:bidi w:val="0"/>
              <w:adjustRightInd w:val="0"/>
              <w:snapToGrid w:val="0"/>
              <w:spacing w:line="240" w:lineRule="auto"/>
              <w:ind w:left="145"/>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3"/>
                <w:kern w:val="0"/>
                <w:sz w:val="24"/>
                <w:highlight w:val="none"/>
                <w:lang w:eastAsia="en-US"/>
              </w:rPr>
              <w:t>毕业时间</w:t>
            </w:r>
          </w:p>
        </w:tc>
        <w:tc>
          <w:tcPr>
            <w:tcW w:w="1508" w:type="dxa"/>
            <w:gridSpan w:val="3"/>
          </w:tcPr>
          <w:p w14:paraId="53475F61">
            <w:pPr>
              <w:keepNext w:val="0"/>
              <w:keepLines w:val="0"/>
              <w:pageBreakBefore w:val="0"/>
              <w:widowControl w:val="0"/>
              <w:wordWrap/>
              <w:overflowPunct/>
              <w:topLinePunct w:val="0"/>
              <w:bidi w:val="0"/>
              <w:snapToGrid w:val="0"/>
              <w:spacing w:line="240" w:lineRule="auto"/>
              <w:rPr>
                <w:rFonts w:ascii="宋体" w:hAnsi="宋体" w:cs="宋体"/>
                <w:color w:val="auto"/>
                <w:sz w:val="24"/>
                <w:highlight w:val="none"/>
              </w:rPr>
            </w:pPr>
          </w:p>
        </w:tc>
      </w:tr>
      <w:tr w14:paraId="53475F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1212" w:type="dxa"/>
          </w:tcPr>
          <w:p w14:paraId="53475F63">
            <w:pPr>
              <w:keepNext w:val="0"/>
              <w:keepLines w:val="0"/>
              <w:pageBreakBefore w:val="0"/>
              <w:widowControl w:val="0"/>
              <w:kinsoku w:val="0"/>
              <w:wordWrap/>
              <w:overflowPunct/>
              <w:topLinePunct w:val="0"/>
              <w:autoSpaceDE w:val="0"/>
              <w:autoSpaceDN w:val="0"/>
              <w:bidi w:val="0"/>
              <w:adjustRightInd w:val="0"/>
              <w:snapToGrid w:val="0"/>
              <w:spacing w:line="240" w:lineRule="auto"/>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担任项目 经理年限</w:t>
            </w:r>
          </w:p>
        </w:tc>
        <w:tc>
          <w:tcPr>
            <w:tcW w:w="2291" w:type="dxa"/>
            <w:gridSpan w:val="4"/>
          </w:tcPr>
          <w:p w14:paraId="53475F64">
            <w:pPr>
              <w:keepNext w:val="0"/>
              <w:keepLines w:val="0"/>
              <w:pageBreakBefore w:val="0"/>
              <w:widowControl w:val="0"/>
              <w:wordWrap/>
              <w:overflowPunct/>
              <w:topLinePunct w:val="0"/>
              <w:bidi w:val="0"/>
              <w:snapToGrid w:val="0"/>
              <w:spacing w:line="240" w:lineRule="auto"/>
              <w:rPr>
                <w:rFonts w:ascii="宋体" w:hAnsi="宋体" w:cs="宋体"/>
                <w:color w:val="auto"/>
                <w:sz w:val="24"/>
                <w:highlight w:val="none"/>
              </w:rPr>
            </w:pPr>
          </w:p>
        </w:tc>
        <w:tc>
          <w:tcPr>
            <w:tcW w:w="1649" w:type="dxa"/>
            <w:gridSpan w:val="2"/>
          </w:tcPr>
          <w:p w14:paraId="53475F65">
            <w:pPr>
              <w:keepNext w:val="0"/>
              <w:keepLines w:val="0"/>
              <w:pageBreakBefore w:val="0"/>
              <w:widowControl w:val="0"/>
              <w:kinsoku w:val="0"/>
              <w:wordWrap/>
              <w:overflowPunct/>
              <w:topLinePunct w:val="0"/>
              <w:autoSpaceDE w:val="0"/>
              <w:autoSpaceDN w:val="0"/>
              <w:bidi w:val="0"/>
              <w:adjustRightInd w:val="0"/>
              <w:snapToGrid w:val="0"/>
              <w:spacing w:line="240" w:lineRule="auto"/>
              <w:ind w:left="312"/>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3"/>
                <w:kern w:val="0"/>
                <w:sz w:val="24"/>
                <w:highlight w:val="none"/>
                <w:lang w:eastAsia="en-US"/>
              </w:rPr>
              <w:t>身份证号码</w:t>
            </w:r>
          </w:p>
        </w:tc>
        <w:tc>
          <w:tcPr>
            <w:tcW w:w="4471" w:type="dxa"/>
            <w:gridSpan w:val="8"/>
          </w:tcPr>
          <w:p w14:paraId="53475F66">
            <w:pPr>
              <w:keepNext w:val="0"/>
              <w:keepLines w:val="0"/>
              <w:pageBreakBefore w:val="0"/>
              <w:widowControl w:val="0"/>
              <w:wordWrap/>
              <w:overflowPunct/>
              <w:topLinePunct w:val="0"/>
              <w:bidi w:val="0"/>
              <w:snapToGrid w:val="0"/>
              <w:spacing w:line="240" w:lineRule="auto"/>
              <w:rPr>
                <w:rFonts w:ascii="宋体" w:hAnsi="宋体" w:cs="宋体"/>
                <w:color w:val="auto"/>
                <w:sz w:val="24"/>
                <w:highlight w:val="none"/>
              </w:rPr>
            </w:pPr>
          </w:p>
        </w:tc>
      </w:tr>
      <w:tr w14:paraId="53475F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jc w:val="center"/>
        </w:trPr>
        <w:tc>
          <w:tcPr>
            <w:tcW w:w="1212" w:type="dxa"/>
          </w:tcPr>
          <w:p w14:paraId="53475F68">
            <w:pPr>
              <w:keepNext w:val="0"/>
              <w:keepLines w:val="0"/>
              <w:pageBreakBefore w:val="0"/>
              <w:widowControl w:val="0"/>
              <w:kinsoku w:val="0"/>
              <w:wordWrap/>
              <w:overflowPunct/>
              <w:topLinePunct w:val="0"/>
              <w:autoSpaceDE w:val="0"/>
              <w:autoSpaceDN w:val="0"/>
              <w:bidi w:val="0"/>
              <w:adjustRightInd w:val="0"/>
              <w:snapToGrid w:val="0"/>
              <w:spacing w:line="240" w:lineRule="auto"/>
              <w:ind w:left="209"/>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证书名称</w:t>
            </w:r>
          </w:p>
        </w:tc>
        <w:tc>
          <w:tcPr>
            <w:tcW w:w="1274" w:type="dxa"/>
            <w:gridSpan w:val="2"/>
          </w:tcPr>
          <w:p w14:paraId="53475F69">
            <w:pPr>
              <w:keepNext w:val="0"/>
              <w:keepLines w:val="0"/>
              <w:pageBreakBefore w:val="0"/>
              <w:widowControl w:val="0"/>
              <w:kinsoku w:val="0"/>
              <w:wordWrap/>
              <w:overflowPunct/>
              <w:topLinePunct w:val="0"/>
              <w:autoSpaceDE w:val="0"/>
              <w:autoSpaceDN w:val="0"/>
              <w:bidi w:val="0"/>
              <w:adjustRightInd w:val="0"/>
              <w:snapToGrid w:val="0"/>
              <w:spacing w:line="240" w:lineRule="auto"/>
              <w:ind w:left="250"/>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注册专业</w:t>
            </w:r>
          </w:p>
        </w:tc>
        <w:tc>
          <w:tcPr>
            <w:tcW w:w="1225" w:type="dxa"/>
            <w:gridSpan w:val="3"/>
          </w:tcPr>
          <w:p w14:paraId="53475F6A">
            <w:pPr>
              <w:keepNext w:val="0"/>
              <w:keepLines w:val="0"/>
              <w:pageBreakBefore w:val="0"/>
              <w:widowControl w:val="0"/>
              <w:kinsoku w:val="0"/>
              <w:wordWrap/>
              <w:overflowPunct/>
              <w:topLinePunct w:val="0"/>
              <w:autoSpaceDE w:val="0"/>
              <w:autoSpaceDN w:val="0"/>
              <w:bidi w:val="0"/>
              <w:adjustRightInd w:val="0"/>
              <w:snapToGrid w:val="0"/>
              <w:spacing w:line="240" w:lineRule="auto"/>
              <w:ind w:left="441"/>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3"/>
                <w:kern w:val="0"/>
                <w:sz w:val="24"/>
                <w:highlight w:val="none"/>
                <w:lang w:eastAsia="en-US"/>
              </w:rPr>
              <w:t>级别</w:t>
            </w:r>
          </w:p>
        </w:tc>
        <w:tc>
          <w:tcPr>
            <w:tcW w:w="1441" w:type="dxa"/>
          </w:tcPr>
          <w:p w14:paraId="53475F6B">
            <w:pPr>
              <w:keepNext w:val="0"/>
              <w:keepLines w:val="0"/>
              <w:pageBreakBefore w:val="0"/>
              <w:widowControl w:val="0"/>
              <w:kinsoku w:val="0"/>
              <w:wordWrap/>
              <w:overflowPunct/>
              <w:topLinePunct w:val="0"/>
              <w:autoSpaceDE w:val="0"/>
              <w:autoSpaceDN w:val="0"/>
              <w:bidi w:val="0"/>
              <w:adjustRightInd w:val="0"/>
              <w:snapToGrid w:val="0"/>
              <w:spacing w:line="240" w:lineRule="auto"/>
              <w:ind w:left="321"/>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证书编号</w:t>
            </w:r>
          </w:p>
        </w:tc>
        <w:tc>
          <w:tcPr>
            <w:tcW w:w="1418" w:type="dxa"/>
            <w:gridSpan w:val="3"/>
          </w:tcPr>
          <w:p w14:paraId="53475F6C">
            <w:pPr>
              <w:keepNext w:val="0"/>
              <w:keepLines w:val="0"/>
              <w:pageBreakBefore w:val="0"/>
              <w:widowControl w:val="0"/>
              <w:kinsoku w:val="0"/>
              <w:wordWrap/>
              <w:overflowPunct/>
              <w:topLinePunct w:val="0"/>
              <w:autoSpaceDE w:val="0"/>
              <w:autoSpaceDN w:val="0"/>
              <w:bidi w:val="0"/>
              <w:adjustRightInd w:val="0"/>
              <w:snapToGrid w:val="0"/>
              <w:spacing w:line="240" w:lineRule="auto"/>
              <w:ind w:left="296"/>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注册时间</w:t>
            </w:r>
          </w:p>
        </w:tc>
        <w:tc>
          <w:tcPr>
            <w:tcW w:w="1632" w:type="dxa"/>
            <w:gridSpan w:val="3"/>
          </w:tcPr>
          <w:p w14:paraId="53475F6D">
            <w:pPr>
              <w:keepNext w:val="0"/>
              <w:keepLines w:val="0"/>
              <w:pageBreakBefore w:val="0"/>
              <w:widowControl w:val="0"/>
              <w:kinsoku w:val="0"/>
              <w:wordWrap/>
              <w:overflowPunct/>
              <w:topLinePunct w:val="0"/>
              <w:autoSpaceDE w:val="0"/>
              <w:autoSpaceDN w:val="0"/>
              <w:bidi w:val="0"/>
              <w:adjustRightInd w:val="0"/>
              <w:snapToGrid w:val="0"/>
              <w:spacing w:line="240" w:lineRule="auto"/>
              <w:ind w:left="405"/>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注册单位</w:t>
            </w:r>
          </w:p>
        </w:tc>
        <w:tc>
          <w:tcPr>
            <w:tcW w:w="1421" w:type="dxa"/>
            <w:gridSpan w:val="2"/>
          </w:tcPr>
          <w:p w14:paraId="53475F6E">
            <w:pPr>
              <w:keepNext w:val="0"/>
              <w:keepLines w:val="0"/>
              <w:pageBreakBefore w:val="0"/>
              <w:widowControl w:val="0"/>
              <w:kinsoku w:val="0"/>
              <w:wordWrap/>
              <w:overflowPunct/>
              <w:topLinePunct w:val="0"/>
              <w:autoSpaceDE w:val="0"/>
              <w:autoSpaceDN w:val="0"/>
              <w:bidi w:val="0"/>
              <w:adjustRightInd w:val="0"/>
              <w:snapToGrid w:val="0"/>
              <w:spacing w:line="240" w:lineRule="auto"/>
              <w:ind w:left="191"/>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1"/>
                <w:kern w:val="0"/>
                <w:sz w:val="24"/>
                <w:highlight w:val="none"/>
                <w:lang w:eastAsia="en-US"/>
              </w:rPr>
              <w:t>注册有效期</w:t>
            </w:r>
          </w:p>
        </w:tc>
      </w:tr>
      <w:tr w14:paraId="53475F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7" w:hRule="atLeast"/>
          <w:jc w:val="center"/>
        </w:trPr>
        <w:tc>
          <w:tcPr>
            <w:tcW w:w="1212" w:type="dxa"/>
          </w:tcPr>
          <w:p w14:paraId="53475F70">
            <w:pPr>
              <w:keepNext w:val="0"/>
              <w:keepLines w:val="0"/>
              <w:pageBreakBefore w:val="0"/>
              <w:widowControl w:val="0"/>
              <w:wordWrap/>
              <w:overflowPunct/>
              <w:topLinePunct w:val="0"/>
              <w:bidi w:val="0"/>
              <w:snapToGrid w:val="0"/>
              <w:spacing w:line="240" w:lineRule="auto"/>
              <w:rPr>
                <w:rFonts w:ascii="宋体" w:hAnsi="宋体" w:cs="宋体"/>
                <w:color w:val="auto"/>
                <w:sz w:val="24"/>
                <w:highlight w:val="none"/>
              </w:rPr>
            </w:pPr>
          </w:p>
        </w:tc>
        <w:tc>
          <w:tcPr>
            <w:tcW w:w="1274" w:type="dxa"/>
            <w:gridSpan w:val="2"/>
          </w:tcPr>
          <w:p w14:paraId="53475F71">
            <w:pPr>
              <w:keepNext w:val="0"/>
              <w:keepLines w:val="0"/>
              <w:pageBreakBefore w:val="0"/>
              <w:widowControl w:val="0"/>
              <w:wordWrap/>
              <w:overflowPunct/>
              <w:topLinePunct w:val="0"/>
              <w:bidi w:val="0"/>
              <w:snapToGrid w:val="0"/>
              <w:spacing w:line="240" w:lineRule="auto"/>
              <w:rPr>
                <w:rFonts w:ascii="宋体" w:hAnsi="宋体" w:cs="宋体"/>
                <w:color w:val="auto"/>
                <w:sz w:val="24"/>
                <w:highlight w:val="none"/>
              </w:rPr>
            </w:pPr>
          </w:p>
        </w:tc>
        <w:tc>
          <w:tcPr>
            <w:tcW w:w="1225" w:type="dxa"/>
            <w:gridSpan w:val="3"/>
          </w:tcPr>
          <w:p w14:paraId="53475F72">
            <w:pPr>
              <w:keepNext w:val="0"/>
              <w:keepLines w:val="0"/>
              <w:pageBreakBefore w:val="0"/>
              <w:widowControl w:val="0"/>
              <w:wordWrap/>
              <w:overflowPunct/>
              <w:topLinePunct w:val="0"/>
              <w:bidi w:val="0"/>
              <w:snapToGrid w:val="0"/>
              <w:spacing w:line="240" w:lineRule="auto"/>
              <w:rPr>
                <w:rFonts w:ascii="宋体" w:hAnsi="宋体" w:cs="宋体"/>
                <w:color w:val="auto"/>
                <w:sz w:val="24"/>
                <w:highlight w:val="none"/>
              </w:rPr>
            </w:pPr>
          </w:p>
        </w:tc>
        <w:tc>
          <w:tcPr>
            <w:tcW w:w="1441" w:type="dxa"/>
          </w:tcPr>
          <w:p w14:paraId="53475F73">
            <w:pPr>
              <w:keepNext w:val="0"/>
              <w:keepLines w:val="0"/>
              <w:pageBreakBefore w:val="0"/>
              <w:widowControl w:val="0"/>
              <w:wordWrap/>
              <w:overflowPunct/>
              <w:topLinePunct w:val="0"/>
              <w:bidi w:val="0"/>
              <w:snapToGrid w:val="0"/>
              <w:spacing w:line="240" w:lineRule="auto"/>
              <w:rPr>
                <w:rFonts w:ascii="宋体" w:hAnsi="宋体" w:cs="宋体"/>
                <w:color w:val="auto"/>
                <w:sz w:val="24"/>
                <w:highlight w:val="none"/>
              </w:rPr>
            </w:pPr>
          </w:p>
        </w:tc>
        <w:tc>
          <w:tcPr>
            <w:tcW w:w="1418" w:type="dxa"/>
            <w:gridSpan w:val="3"/>
          </w:tcPr>
          <w:p w14:paraId="53475F74">
            <w:pPr>
              <w:keepNext w:val="0"/>
              <w:keepLines w:val="0"/>
              <w:pageBreakBefore w:val="0"/>
              <w:widowControl w:val="0"/>
              <w:wordWrap/>
              <w:overflowPunct/>
              <w:topLinePunct w:val="0"/>
              <w:bidi w:val="0"/>
              <w:snapToGrid w:val="0"/>
              <w:spacing w:line="240" w:lineRule="auto"/>
              <w:rPr>
                <w:rFonts w:ascii="宋体" w:hAnsi="宋体" w:cs="宋体"/>
                <w:color w:val="auto"/>
                <w:sz w:val="24"/>
                <w:highlight w:val="none"/>
              </w:rPr>
            </w:pPr>
          </w:p>
        </w:tc>
        <w:tc>
          <w:tcPr>
            <w:tcW w:w="1632" w:type="dxa"/>
            <w:gridSpan w:val="3"/>
          </w:tcPr>
          <w:p w14:paraId="53475F75">
            <w:pPr>
              <w:keepNext w:val="0"/>
              <w:keepLines w:val="0"/>
              <w:pageBreakBefore w:val="0"/>
              <w:widowControl w:val="0"/>
              <w:wordWrap/>
              <w:overflowPunct/>
              <w:topLinePunct w:val="0"/>
              <w:bidi w:val="0"/>
              <w:snapToGrid w:val="0"/>
              <w:spacing w:line="240" w:lineRule="auto"/>
              <w:rPr>
                <w:rFonts w:ascii="宋体" w:hAnsi="宋体" w:cs="宋体"/>
                <w:color w:val="auto"/>
                <w:sz w:val="24"/>
                <w:highlight w:val="none"/>
              </w:rPr>
            </w:pPr>
          </w:p>
        </w:tc>
        <w:tc>
          <w:tcPr>
            <w:tcW w:w="1421" w:type="dxa"/>
            <w:gridSpan w:val="2"/>
          </w:tcPr>
          <w:p w14:paraId="53475F76">
            <w:pPr>
              <w:keepNext w:val="0"/>
              <w:keepLines w:val="0"/>
              <w:pageBreakBefore w:val="0"/>
              <w:widowControl w:val="0"/>
              <w:wordWrap/>
              <w:overflowPunct/>
              <w:topLinePunct w:val="0"/>
              <w:bidi w:val="0"/>
              <w:snapToGrid w:val="0"/>
              <w:spacing w:line="240" w:lineRule="auto"/>
              <w:rPr>
                <w:rFonts w:ascii="宋体" w:hAnsi="宋体" w:cs="宋体"/>
                <w:color w:val="auto"/>
                <w:sz w:val="24"/>
                <w:highlight w:val="none"/>
              </w:rPr>
            </w:pPr>
          </w:p>
        </w:tc>
      </w:tr>
      <w:tr w14:paraId="53475F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jc w:val="center"/>
        </w:trPr>
        <w:tc>
          <w:tcPr>
            <w:tcW w:w="1212" w:type="dxa"/>
          </w:tcPr>
          <w:p w14:paraId="53475F78">
            <w:pPr>
              <w:keepNext w:val="0"/>
              <w:keepLines w:val="0"/>
              <w:pageBreakBefore w:val="0"/>
              <w:widowControl w:val="0"/>
              <w:kinsoku w:val="0"/>
              <w:wordWrap/>
              <w:overflowPunct/>
              <w:topLinePunct w:val="0"/>
              <w:autoSpaceDE w:val="0"/>
              <w:autoSpaceDN w:val="0"/>
              <w:bidi w:val="0"/>
              <w:adjustRightInd w:val="0"/>
              <w:snapToGrid w:val="0"/>
              <w:spacing w:line="240" w:lineRule="auto"/>
              <w:ind w:left="213"/>
              <w:jc w:val="left"/>
              <w:textAlignment w:val="baseline"/>
              <w:rPr>
                <w:rFonts w:ascii="宋体" w:hAnsi="宋体" w:cs="宋体"/>
                <w:snapToGrid w:val="0"/>
                <w:color w:val="auto"/>
                <w:kern w:val="0"/>
                <w:sz w:val="24"/>
                <w:highlight w:val="none"/>
              </w:rPr>
            </w:pPr>
            <w:r>
              <w:rPr>
                <w:rFonts w:hint="eastAsia" w:ascii="宋体" w:hAnsi="宋体" w:cs="宋体"/>
                <w:snapToGrid w:val="0"/>
                <w:color w:val="auto"/>
                <w:spacing w:val="-3"/>
                <w:kern w:val="0"/>
                <w:sz w:val="24"/>
                <w:highlight w:val="none"/>
              </w:rPr>
              <w:t>安全生产</w:t>
            </w:r>
          </w:p>
          <w:p w14:paraId="53475F79">
            <w:pPr>
              <w:keepNext w:val="0"/>
              <w:keepLines w:val="0"/>
              <w:pageBreakBefore w:val="0"/>
              <w:widowControl w:val="0"/>
              <w:kinsoku w:val="0"/>
              <w:wordWrap/>
              <w:overflowPunct/>
              <w:topLinePunct w:val="0"/>
              <w:autoSpaceDE w:val="0"/>
              <w:autoSpaceDN w:val="0"/>
              <w:bidi w:val="0"/>
              <w:adjustRightInd w:val="0"/>
              <w:snapToGrid w:val="0"/>
              <w:spacing w:line="240" w:lineRule="auto"/>
              <w:ind w:left="209"/>
              <w:jc w:val="left"/>
              <w:textAlignment w:val="baseline"/>
              <w:rPr>
                <w:rFonts w:ascii="宋体" w:hAnsi="宋体" w:cs="宋体"/>
                <w:snapToGrid w:val="0"/>
                <w:color w:val="auto"/>
                <w:kern w:val="0"/>
                <w:sz w:val="24"/>
                <w:highlight w:val="none"/>
              </w:rPr>
            </w:pPr>
            <w:r>
              <w:rPr>
                <w:rFonts w:hint="eastAsia" w:ascii="宋体" w:hAnsi="宋体" w:cs="宋体"/>
                <w:snapToGrid w:val="0"/>
                <w:color w:val="auto"/>
                <w:spacing w:val="-2"/>
                <w:kern w:val="0"/>
                <w:sz w:val="24"/>
                <w:highlight w:val="none"/>
              </w:rPr>
              <w:t>考核合格</w:t>
            </w:r>
          </w:p>
          <w:p w14:paraId="53475F7A">
            <w:pPr>
              <w:keepNext w:val="0"/>
              <w:keepLines w:val="0"/>
              <w:pageBreakBefore w:val="0"/>
              <w:widowControl w:val="0"/>
              <w:kinsoku w:val="0"/>
              <w:wordWrap/>
              <w:overflowPunct/>
              <w:topLinePunct w:val="0"/>
              <w:autoSpaceDE w:val="0"/>
              <w:autoSpaceDN w:val="0"/>
              <w:bidi w:val="0"/>
              <w:adjustRightInd w:val="0"/>
              <w:snapToGrid w:val="0"/>
              <w:spacing w:line="240" w:lineRule="auto"/>
              <w:ind w:left="420"/>
              <w:jc w:val="left"/>
              <w:textAlignment w:val="baseline"/>
              <w:rPr>
                <w:rFonts w:ascii="宋体" w:hAnsi="宋体" w:cs="宋体"/>
                <w:snapToGrid w:val="0"/>
                <w:color w:val="auto"/>
                <w:kern w:val="0"/>
                <w:sz w:val="24"/>
                <w:highlight w:val="none"/>
              </w:rPr>
            </w:pPr>
            <w:r>
              <w:rPr>
                <w:rFonts w:hint="eastAsia" w:ascii="宋体" w:hAnsi="宋体" w:cs="宋体"/>
                <w:snapToGrid w:val="0"/>
                <w:color w:val="auto"/>
                <w:spacing w:val="-2"/>
                <w:kern w:val="0"/>
                <w:sz w:val="24"/>
                <w:highlight w:val="none"/>
              </w:rPr>
              <w:t>证书</w:t>
            </w:r>
          </w:p>
        </w:tc>
        <w:tc>
          <w:tcPr>
            <w:tcW w:w="1274" w:type="dxa"/>
            <w:gridSpan w:val="2"/>
          </w:tcPr>
          <w:p w14:paraId="53475F7B">
            <w:pPr>
              <w:keepNext w:val="0"/>
              <w:keepLines w:val="0"/>
              <w:pageBreakBefore w:val="0"/>
              <w:widowControl w:val="0"/>
              <w:wordWrap/>
              <w:overflowPunct/>
              <w:topLinePunct w:val="0"/>
              <w:bidi w:val="0"/>
              <w:snapToGrid w:val="0"/>
              <w:spacing w:line="240" w:lineRule="auto"/>
              <w:rPr>
                <w:rFonts w:ascii="宋体" w:hAnsi="宋体" w:cs="宋体"/>
                <w:color w:val="auto"/>
                <w:sz w:val="24"/>
                <w:highlight w:val="none"/>
              </w:rPr>
            </w:pPr>
          </w:p>
        </w:tc>
        <w:tc>
          <w:tcPr>
            <w:tcW w:w="1225" w:type="dxa"/>
            <w:gridSpan w:val="3"/>
          </w:tcPr>
          <w:p w14:paraId="53475F7C">
            <w:pPr>
              <w:keepNext w:val="0"/>
              <w:keepLines w:val="0"/>
              <w:pageBreakBefore w:val="0"/>
              <w:widowControl w:val="0"/>
              <w:wordWrap/>
              <w:overflowPunct/>
              <w:topLinePunct w:val="0"/>
              <w:bidi w:val="0"/>
              <w:snapToGrid w:val="0"/>
              <w:spacing w:line="240" w:lineRule="auto"/>
              <w:rPr>
                <w:rFonts w:ascii="宋体" w:hAnsi="宋体" w:cs="宋体"/>
                <w:color w:val="auto"/>
                <w:sz w:val="24"/>
                <w:highlight w:val="none"/>
              </w:rPr>
            </w:pPr>
          </w:p>
          <w:p w14:paraId="53475F7D">
            <w:pPr>
              <w:keepNext w:val="0"/>
              <w:keepLines w:val="0"/>
              <w:pageBreakBefore w:val="0"/>
              <w:widowControl w:val="0"/>
              <w:kinsoku w:val="0"/>
              <w:wordWrap/>
              <w:overflowPunct/>
              <w:topLinePunct w:val="0"/>
              <w:autoSpaceDE w:val="0"/>
              <w:autoSpaceDN w:val="0"/>
              <w:bidi w:val="0"/>
              <w:adjustRightInd w:val="0"/>
              <w:snapToGrid w:val="0"/>
              <w:spacing w:line="240" w:lineRule="auto"/>
              <w:ind w:left="440"/>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B</w:t>
            </w:r>
            <w:r>
              <w:rPr>
                <w:rFonts w:hint="eastAsia" w:ascii="宋体" w:hAnsi="宋体" w:cs="宋体"/>
                <w:snapToGrid w:val="0"/>
                <w:color w:val="auto"/>
                <w:spacing w:val="9"/>
                <w:kern w:val="0"/>
                <w:sz w:val="24"/>
                <w:highlight w:val="none"/>
                <w:lang w:eastAsia="en-US"/>
              </w:rPr>
              <w:t xml:space="preserve"> </w:t>
            </w:r>
            <w:r>
              <w:rPr>
                <w:rFonts w:hint="eastAsia" w:ascii="宋体" w:hAnsi="宋体" w:cs="宋体"/>
                <w:snapToGrid w:val="0"/>
                <w:color w:val="auto"/>
                <w:spacing w:val="-2"/>
                <w:kern w:val="0"/>
                <w:sz w:val="24"/>
                <w:highlight w:val="none"/>
                <w:lang w:eastAsia="en-US"/>
              </w:rPr>
              <w:t>类</w:t>
            </w:r>
          </w:p>
        </w:tc>
        <w:tc>
          <w:tcPr>
            <w:tcW w:w="1441" w:type="dxa"/>
          </w:tcPr>
          <w:p w14:paraId="53475F7E">
            <w:pPr>
              <w:keepNext w:val="0"/>
              <w:keepLines w:val="0"/>
              <w:pageBreakBefore w:val="0"/>
              <w:widowControl w:val="0"/>
              <w:wordWrap/>
              <w:overflowPunct/>
              <w:topLinePunct w:val="0"/>
              <w:bidi w:val="0"/>
              <w:snapToGrid w:val="0"/>
              <w:spacing w:line="240" w:lineRule="auto"/>
              <w:rPr>
                <w:rFonts w:ascii="宋体" w:hAnsi="宋体" w:cs="宋体"/>
                <w:color w:val="auto"/>
                <w:sz w:val="24"/>
                <w:highlight w:val="none"/>
              </w:rPr>
            </w:pPr>
          </w:p>
        </w:tc>
        <w:tc>
          <w:tcPr>
            <w:tcW w:w="1418" w:type="dxa"/>
            <w:gridSpan w:val="3"/>
          </w:tcPr>
          <w:p w14:paraId="53475F7F">
            <w:pPr>
              <w:keepNext w:val="0"/>
              <w:keepLines w:val="0"/>
              <w:pageBreakBefore w:val="0"/>
              <w:widowControl w:val="0"/>
              <w:wordWrap/>
              <w:overflowPunct/>
              <w:topLinePunct w:val="0"/>
              <w:bidi w:val="0"/>
              <w:snapToGrid w:val="0"/>
              <w:spacing w:line="240" w:lineRule="auto"/>
              <w:rPr>
                <w:rFonts w:ascii="宋体" w:hAnsi="宋体" w:cs="宋体"/>
                <w:color w:val="auto"/>
                <w:sz w:val="24"/>
                <w:highlight w:val="none"/>
              </w:rPr>
            </w:pPr>
          </w:p>
        </w:tc>
        <w:tc>
          <w:tcPr>
            <w:tcW w:w="1632" w:type="dxa"/>
            <w:gridSpan w:val="3"/>
          </w:tcPr>
          <w:p w14:paraId="53475F80">
            <w:pPr>
              <w:keepNext w:val="0"/>
              <w:keepLines w:val="0"/>
              <w:pageBreakBefore w:val="0"/>
              <w:widowControl w:val="0"/>
              <w:wordWrap/>
              <w:overflowPunct/>
              <w:topLinePunct w:val="0"/>
              <w:bidi w:val="0"/>
              <w:snapToGrid w:val="0"/>
              <w:spacing w:line="240" w:lineRule="auto"/>
              <w:rPr>
                <w:rFonts w:ascii="宋体" w:hAnsi="宋体" w:cs="宋体"/>
                <w:color w:val="auto"/>
                <w:sz w:val="24"/>
                <w:highlight w:val="none"/>
              </w:rPr>
            </w:pPr>
          </w:p>
        </w:tc>
        <w:tc>
          <w:tcPr>
            <w:tcW w:w="1421" w:type="dxa"/>
            <w:gridSpan w:val="2"/>
          </w:tcPr>
          <w:p w14:paraId="53475F81">
            <w:pPr>
              <w:keepNext w:val="0"/>
              <w:keepLines w:val="0"/>
              <w:pageBreakBefore w:val="0"/>
              <w:widowControl w:val="0"/>
              <w:wordWrap/>
              <w:overflowPunct/>
              <w:topLinePunct w:val="0"/>
              <w:bidi w:val="0"/>
              <w:snapToGrid w:val="0"/>
              <w:spacing w:line="240" w:lineRule="auto"/>
              <w:rPr>
                <w:rFonts w:ascii="宋体" w:hAnsi="宋体" w:cs="宋体"/>
                <w:color w:val="auto"/>
                <w:sz w:val="24"/>
                <w:highlight w:val="none"/>
              </w:rPr>
            </w:pPr>
          </w:p>
        </w:tc>
      </w:tr>
      <w:tr w14:paraId="53475F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jc w:val="center"/>
        </w:trPr>
        <w:tc>
          <w:tcPr>
            <w:tcW w:w="9623" w:type="dxa"/>
            <w:gridSpan w:val="15"/>
          </w:tcPr>
          <w:p w14:paraId="53475F83">
            <w:pPr>
              <w:keepNext w:val="0"/>
              <w:keepLines w:val="0"/>
              <w:pageBreakBefore w:val="0"/>
              <w:widowControl w:val="0"/>
              <w:kinsoku w:val="0"/>
              <w:wordWrap/>
              <w:overflowPunct/>
              <w:topLinePunct w:val="0"/>
              <w:autoSpaceDE w:val="0"/>
              <w:autoSpaceDN w:val="0"/>
              <w:bidi w:val="0"/>
              <w:adjustRightInd w:val="0"/>
              <w:snapToGrid w:val="0"/>
              <w:spacing w:line="240" w:lineRule="auto"/>
              <w:ind w:left="3664"/>
              <w:jc w:val="left"/>
              <w:textAlignment w:val="baseline"/>
              <w:rPr>
                <w:rFonts w:ascii="宋体" w:hAnsi="宋体" w:cs="宋体"/>
                <w:snapToGrid w:val="0"/>
                <w:color w:val="auto"/>
                <w:kern w:val="0"/>
                <w:sz w:val="24"/>
                <w:highlight w:val="none"/>
              </w:rPr>
            </w:pPr>
            <w:r>
              <w:rPr>
                <w:rFonts w:hint="eastAsia" w:ascii="宋体" w:hAnsi="宋体" w:cs="宋体"/>
                <w:snapToGrid w:val="0"/>
                <w:color w:val="auto"/>
                <w:spacing w:val="-1"/>
                <w:kern w:val="0"/>
                <w:sz w:val="24"/>
                <w:highlight w:val="none"/>
              </w:rPr>
              <w:t>在建和已完工程项目情况</w:t>
            </w:r>
          </w:p>
        </w:tc>
      </w:tr>
      <w:tr w14:paraId="53475F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jc w:val="center"/>
        </w:trPr>
        <w:tc>
          <w:tcPr>
            <w:tcW w:w="1630" w:type="dxa"/>
            <w:gridSpan w:val="2"/>
          </w:tcPr>
          <w:p w14:paraId="53475F85">
            <w:pPr>
              <w:keepNext w:val="0"/>
              <w:keepLines w:val="0"/>
              <w:pageBreakBefore w:val="0"/>
              <w:widowControl w:val="0"/>
              <w:wordWrap/>
              <w:overflowPunct/>
              <w:topLinePunct w:val="0"/>
              <w:bidi w:val="0"/>
              <w:snapToGrid w:val="0"/>
              <w:spacing w:line="240" w:lineRule="auto"/>
              <w:rPr>
                <w:rFonts w:ascii="宋体" w:hAnsi="宋体" w:cs="宋体"/>
                <w:color w:val="auto"/>
                <w:sz w:val="24"/>
                <w:highlight w:val="none"/>
              </w:rPr>
            </w:pPr>
          </w:p>
        </w:tc>
        <w:tc>
          <w:tcPr>
            <w:tcW w:w="1548" w:type="dxa"/>
            <w:gridSpan w:val="2"/>
          </w:tcPr>
          <w:p w14:paraId="53475F86">
            <w:pPr>
              <w:keepNext w:val="0"/>
              <w:keepLines w:val="0"/>
              <w:pageBreakBefore w:val="0"/>
              <w:widowControl w:val="0"/>
              <w:kinsoku w:val="0"/>
              <w:wordWrap/>
              <w:overflowPunct/>
              <w:topLinePunct w:val="0"/>
              <w:autoSpaceDE w:val="0"/>
              <w:autoSpaceDN w:val="0"/>
              <w:bidi w:val="0"/>
              <w:adjustRightInd w:val="0"/>
              <w:snapToGrid w:val="0"/>
              <w:spacing w:line="240" w:lineRule="auto"/>
              <w:ind w:left="493"/>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4"/>
                <w:kern w:val="0"/>
                <w:sz w:val="24"/>
                <w:highlight w:val="none"/>
                <w:lang w:eastAsia="en-US"/>
              </w:rPr>
              <w:t>项目</w:t>
            </w:r>
            <w:r>
              <w:rPr>
                <w:rFonts w:hint="eastAsia" w:ascii="宋体" w:hAnsi="宋体" w:cs="宋体"/>
                <w:snapToGrid w:val="0"/>
                <w:color w:val="auto"/>
                <w:spacing w:val="-26"/>
                <w:kern w:val="0"/>
                <w:sz w:val="24"/>
                <w:highlight w:val="none"/>
                <w:lang w:eastAsia="en-US"/>
              </w:rPr>
              <w:t xml:space="preserve"> </w:t>
            </w:r>
            <w:r>
              <w:rPr>
                <w:rFonts w:hint="eastAsia" w:ascii="宋体" w:hAnsi="宋体" w:cs="宋体"/>
                <w:snapToGrid w:val="0"/>
                <w:color w:val="auto"/>
                <w:spacing w:val="-4"/>
                <w:kern w:val="0"/>
                <w:sz w:val="24"/>
                <w:highlight w:val="none"/>
                <w:lang w:eastAsia="en-US"/>
              </w:rPr>
              <w:t>1</w:t>
            </w:r>
          </w:p>
        </w:tc>
        <w:tc>
          <w:tcPr>
            <w:tcW w:w="1974" w:type="dxa"/>
            <w:gridSpan w:val="3"/>
          </w:tcPr>
          <w:p w14:paraId="53475F87">
            <w:pPr>
              <w:keepNext w:val="0"/>
              <w:keepLines w:val="0"/>
              <w:pageBreakBefore w:val="0"/>
              <w:widowControl w:val="0"/>
              <w:kinsoku w:val="0"/>
              <w:wordWrap/>
              <w:overflowPunct/>
              <w:topLinePunct w:val="0"/>
              <w:autoSpaceDE w:val="0"/>
              <w:autoSpaceDN w:val="0"/>
              <w:bidi w:val="0"/>
              <w:adjustRightInd w:val="0"/>
              <w:snapToGrid w:val="0"/>
              <w:spacing w:line="240" w:lineRule="auto"/>
              <w:ind w:left="709"/>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4"/>
                <w:kern w:val="0"/>
                <w:sz w:val="24"/>
                <w:highlight w:val="none"/>
                <w:lang w:eastAsia="en-US"/>
              </w:rPr>
              <w:t>项目</w:t>
            </w:r>
            <w:r>
              <w:rPr>
                <w:rFonts w:hint="eastAsia" w:ascii="宋体" w:hAnsi="宋体" w:cs="宋体"/>
                <w:snapToGrid w:val="0"/>
                <w:color w:val="auto"/>
                <w:spacing w:val="-46"/>
                <w:kern w:val="0"/>
                <w:sz w:val="24"/>
                <w:highlight w:val="none"/>
                <w:lang w:eastAsia="en-US"/>
              </w:rPr>
              <w:t xml:space="preserve"> </w:t>
            </w:r>
            <w:r>
              <w:rPr>
                <w:rFonts w:hint="eastAsia" w:ascii="宋体" w:hAnsi="宋体" w:cs="宋体"/>
                <w:snapToGrid w:val="0"/>
                <w:color w:val="auto"/>
                <w:spacing w:val="-4"/>
                <w:kern w:val="0"/>
                <w:sz w:val="24"/>
                <w:highlight w:val="none"/>
                <w:lang w:eastAsia="en-US"/>
              </w:rPr>
              <w:t>2</w:t>
            </w:r>
          </w:p>
        </w:tc>
        <w:tc>
          <w:tcPr>
            <w:tcW w:w="1329" w:type="dxa"/>
            <w:gridSpan w:val="2"/>
          </w:tcPr>
          <w:p w14:paraId="53475F88">
            <w:pPr>
              <w:keepNext w:val="0"/>
              <w:keepLines w:val="0"/>
              <w:pageBreakBefore w:val="0"/>
              <w:widowControl w:val="0"/>
              <w:kinsoku w:val="0"/>
              <w:wordWrap/>
              <w:overflowPunct/>
              <w:topLinePunct w:val="0"/>
              <w:autoSpaceDE w:val="0"/>
              <w:autoSpaceDN w:val="0"/>
              <w:bidi w:val="0"/>
              <w:adjustRightInd w:val="0"/>
              <w:snapToGrid w:val="0"/>
              <w:spacing w:line="240" w:lineRule="auto"/>
              <w:ind w:left="387"/>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4"/>
                <w:kern w:val="0"/>
                <w:sz w:val="24"/>
                <w:highlight w:val="none"/>
                <w:lang w:eastAsia="en-US"/>
              </w:rPr>
              <w:t>项目</w:t>
            </w:r>
            <w:r>
              <w:rPr>
                <w:rFonts w:hint="eastAsia" w:ascii="宋体" w:hAnsi="宋体" w:cs="宋体"/>
                <w:snapToGrid w:val="0"/>
                <w:color w:val="auto"/>
                <w:spacing w:val="-42"/>
                <w:kern w:val="0"/>
                <w:sz w:val="24"/>
                <w:highlight w:val="none"/>
                <w:lang w:eastAsia="en-US"/>
              </w:rPr>
              <w:t xml:space="preserve"> </w:t>
            </w:r>
            <w:r>
              <w:rPr>
                <w:rFonts w:hint="eastAsia" w:ascii="宋体" w:hAnsi="宋体" w:cs="宋体"/>
                <w:snapToGrid w:val="0"/>
                <w:color w:val="auto"/>
                <w:spacing w:val="-4"/>
                <w:kern w:val="0"/>
                <w:sz w:val="24"/>
                <w:highlight w:val="none"/>
                <w:lang w:eastAsia="en-US"/>
              </w:rPr>
              <w:t>3</w:t>
            </w:r>
          </w:p>
        </w:tc>
        <w:tc>
          <w:tcPr>
            <w:tcW w:w="1634" w:type="dxa"/>
            <w:gridSpan w:val="3"/>
          </w:tcPr>
          <w:p w14:paraId="53475F89">
            <w:pPr>
              <w:keepNext w:val="0"/>
              <w:keepLines w:val="0"/>
              <w:pageBreakBefore w:val="0"/>
              <w:widowControl w:val="0"/>
              <w:kinsoku w:val="0"/>
              <w:wordWrap/>
              <w:overflowPunct/>
              <w:topLinePunct w:val="0"/>
              <w:autoSpaceDE w:val="0"/>
              <w:autoSpaceDN w:val="0"/>
              <w:bidi w:val="0"/>
              <w:adjustRightInd w:val="0"/>
              <w:snapToGrid w:val="0"/>
              <w:spacing w:line="240" w:lineRule="auto"/>
              <w:ind w:left="543"/>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4"/>
                <w:kern w:val="0"/>
                <w:sz w:val="24"/>
                <w:highlight w:val="none"/>
                <w:lang w:eastAsia="en-US"/>
              </w:rPr>
              <w:t>项目</w:t>
            </w:r>
            <w:r>
              <w:rPr>
                <w:rFonts w:hint="eastAsia" w:ascii="宋体" w:hAnsi="宋体" w:cs="宋体"/>
                <w:snapToGrid w:val="0"/>
                <w:color w:val="auto"/>
                <w:spacing w:val="-48"/>
                <w:kern w:val="0"/>
                <w:sz w:val="24"/>
                <w:highlight w:val="none"/>
                <w:lang w:eastAsia="en-US"/>
              </w:rPr>
              <w:t xml:space="preserve"> </w:t>
            </w:r>
            <w:r>
              <w:rPr>
                <w:rFonts w:hint="eastAsia" w:ascii="宋体" w:hAnsi="宋体" w:cs="宋体"/>
                <w:snapToGrid w:val="0"/>
                <w:color w:val="auto"/>
                <w:spacing w:val="-4"/>
                <w:kern w:val="0"/>
                <w:sz w:val="24"/>
                <w:highlight w:val="none"/>
                <w:lang w:eastAsia="en-US"/>
              </w:rPr>
              <w:t>4</w:t>
            </w:r>
          </w:p>
        </w:tc>
        <w:tc>
          <w:tcPr>
            <w:tcW w:w="1483" w:type="dxa"/>
            <w:gridSpan w:val="2"/>
          </w:tcPr>
          <w:p w14:paraId="53475F8A">
            <w:pPr>
              <w:keepNext w:val="0"/>
              <w:keepLines w:val="0"/>
              <w:pageBreakBefore w:val="0"/>
              <w:widowControl w:val="0"/>
              <w:kinsoku w:val="0"/>
              <w:wordWrap/>
              <w:overflowPunct/>
              <w:topLinePunct w:val="0"/>
              <w:autoSpaceDE w:val="0"/>
              <w:autoSpaceDN w:val="0"/>
              <w:bidi w:val="0"/>
              <w:adjustRightInd w:val="0"/>
              <w:snapToGrid w:val="0"/>
              <w:spacing w:line="240" w:lineRule="auto"/>
              <w:ind w:left="561"/>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5"/>
                <w:kern w:val="0"/>
                <w:position w:val="2"/>
                <w:sz w:val="24"/>
                <w:highlight w:val="none"/>
                <w:lang w:eastAsia="en-US"/>
              </w:rPr>
              <w:t>……</w:t>
            </w:r>
          </w:p>
        </w:tc>
        <w:tc>
          <w:tcPr>
            <w:tcW w:w="25" w:type="dxa"/>
            <w:tcBorders>
              <w:top w:val="single" w:color="FFFFFF" w:sz="2" w:space="0"/>
              <w:bottom w:val="nil"/>
              <w:right w:val="nil"/>
            </w:tcBorders>
          </w:tcPr>
          <w:p w14:paraId="53475F8B">
            <w:pPr>
              <w:keepNext w:val="0"/>
              <w:keepLines w:val="0"/>
              <w:pageBreakBefore w:val="0"/>
              <w:widowControl w:val="0"/>
              <w:wordWrap/>
              <w:overflowPunct/>
              <w:topLinePunct w:val="0"/>
              <w:bidi w:val="0"/>
              <w:snapToGrid w:val="0"/>
              <w:spacing w:line="240" w:lineRule="auto"/>
              <w:rPr>
                <w:rFonts w:ascii="宋体" w:hAnsi="宋体" w:cs="宋体"/>
                <w:color w:val="auto"/>
                <w:sz w:val="24"/>
                <w:highlight w:val="none"/>
              </w:rPr>
            </w:pPr>
          </w:p>
        </w:tc>
      </w:tr>
      <w:tr w14:paraId="53475F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7" w:hRule="atLeast"/>
          <w:jc w:val="center"/>
        </w:trPr>
        <w:tc>
          <w:tcPr>
            <w:tcW w:w="1630" w:type="dxa"/>
            <w:gridSpan w:val="2"/>
          </w:tcPr>
          <w:p w14:paraId="53475F8D">
            <w:pPr>
              <w:keepNext w:val="0"/>
              <w:keepLines w:val="0"/>
              <w:pageBreakBefore w:val="0"/>
              <w:widowControl w:val="0"/>
              <w:kinsoku w:val="0"/>
              <w:wordWrap/>
              <w:overflowPunct/>
              <w:topLinePunct w:val="0"/>
              <w:autoSpaceDE w:val="0"/>
              <w:autoSpaceDN w:val="0"/>
              <w:bidi w:val="0"/>
              <w:adjustRightInd w:val="0"/>
              <w:snapToGrid w:val="0"/>
              <w:spacing w:line="240" w:lineRule="auto"/>
              <w:ind w:left="405"/>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3"/>
                <w:kern w:val="0"/>
                <w:sz w:val="24"/>
                <w:highlight w:val="none"/>
                <w:lang w:eastAsia="en-US"/>
              </w:rPr>
              <w:t>项目名称</w:t>
            </w:r>
          </w:p>
        </w:tc>
        <w:tc>
          <w:tcPr>
            <w:tcW w:w="1548" w:type="dxa"/>
            <w:gridSpan w:val="2"/>
          </w:tcPr>
          <w:p w14:paraId="53475F8E">
            <w:pPr>
              <w:keepNext w:val="0"/>
              <w:keepLines w:val="0"/>
              <w:pageBreakBefore w:val="0"/>
              <w:widowControl w:val="0"/>
              <w:wordWrap/>
              <w:overflowPunct/>
              <w:topLinePunct w:val="0"/>
              <w:bidi w:val="0"/>
              <w:snapToGrid w:val="0"/>
              <w:spacing w:line="240" w:lineRule="auto"/>
              <w:rPr>
                <w:rFonts w:ascii="宋体" w:hAnsi="宋体" w:cs="宋体"/>
                <w:color w:val="auto"/>
                <w:sz w:val="24"/>
                <w:highlight w:val="none"/>
              </w:rPr>
            </w:pPr>
          </w:p>
        </w:tc>
        <w:tc>
          <w:tcPr>
            <w:tcW w:w="1974" w:type="dxa"/>
            <w:gridSpan w:val="3"/>
          </w:tcPr>
          <w:p w14:paraId="53475F8F">
            <w:pPr>
              <w:keepNext w:val="0"/>
              <w:keepLines w:val="0"/>
              <w:pageBreakBefore w:val="0"/>
              <w:widowControl w:val="0"/>
              <w:wordWrap/>
              <w:overflowPunct/>
              <w:topLinePunct w:val="0"/>
              <w:bidi w:val="0"/>
              <w:snapToGrid w:val="0"/>
              <w:spacing w:line="240" w:lineRule="auto"/>
              <w:rPr>
                <w:rFonts w:ascii="宋体" w:hAnsi="宋体" w:cs="宋体"/>
                <w:color w:val="auto"/>
                <w:sz w:val="24"/>
                <w:highlight w:val="none"/>
              </w:rPr>
            </w:pPr>
          </w:p>
        </w:tc>
        <w:tc>
          <w:tcPr>
            <w:tcW w:w="1329" w:type="dxa"/>
            <w:gridSpan w:val="2"/>
          </w:tcPr>
          <w:p w14:paraId="53475F90">
            <w:pPr>
              <w:keepNext w:val="0"/>
              <w:keepLines w:val="0"/>
              <w:pageBreakBefore w:val="0"/>
              <w:widowControl w:val="0"/>
              <w:wordWrap/>
              <w:overflowPunct/>
              <w:topLinePunct w:val="0"/>
              <w:bidi w:val="0"/>
              <w:snapToGrid w:val="0"/>
              <w:spacing w:line="240" w:lineRule="auto"/>
              <w:rPr>
                <w:rFonts w:ascii="宋体" w:hAnsi="宋体" w:cs="宋体"/>
                <w:color w:val="auto"/>
                <w:sz w:val="24"/>
                <w:highlight w:val="none"/>
              </w:rPr>
            </w:pPr>
          </w:p>
        </w:tc>
        <w:tc>
          <w:tcPr>
            <w:tcW w:w="1634" w:type="dxa"/>
            <w:gridSpan w:val="3"/>
          </w:tcPr>
          <w:p w14:paraId="53475F91">
            <w:pPr>
              <w:keepNext w:val="0"/>
              <w:keepLines w:val="0"/>
              <w:pageBreakBefore w:val="0"/>
              <w:widowControl w:val="0"/>
              <w:wordWrap/>
              <w:overflowPunct/>
              <w:topLinePunct w:val="0"/>
              <w:bidi w:val="0"/>
              <w:snapToGrid w:val="0"/>
              <w:spacing w:line="240" w:lineRule="auto"/>
              <w:rPr>
                <w:rFonts w:ascii="宋体" w:hAnsi="宋体" w:cs="宋体"/>
                <w:color w:val="auto"/>
                <w:sz w:val="24"/>
                <w:highlight w:val="none"/>
              </w:rPr>
            </w:pPr>
          </w:p>
        </w:tc>
        <w:tc>
          <w:tcPr>
            <w:tcW w:w="1483" w:type="dxa"/>
            <w:gridSpan w:val="2"/>
          </w:tcPr>
          <w:p w14:paraId="53475F92">
            <w:pPr>
              <w:keepNext w:val="0"/>
              <w:keepLines w:val="0"/>
              <w:pageBreakBefore w:val="0"/>
              <w:widowControl w:val="0"/>
              <w:wordWrap/>
              <w:overflowPunct/>
              <w:topLinePunct w:val="0"/>
              <w:bidi w:val="0"/>
              <w:snapToGrid w:val="0"/>
              <w:spacing w:line="240" w:lineRule="auto"/>
              <w:rPr>
                <w:rFonts w:ascii="宋体" w:hAnsi="宋体" w:cs="宋体"/>
                <w:color w:val="auto"/>
                <w:sz w:val="24"/>
                <w:highlight w:val="none"/>
              </w:rPr>
            </w:pPr>
          </w:p>
        </w:tc>
        <w:tc>
          <w:tcPr>
            <w:tcW w:w="25" w:type="dxa"/>
            <w:tcBorders>
              <w:top w:val="nil"/>
              <w:bottom w:val="nil"/>
              <w:right w:val="nil"/>
            </w:tcBorders>
          </w:tcPr>
          <w:p w14:paraId="53475F93">
            <w:pPr>
              <w:keepNext w:val="0"/>
              <w:keepLines w:val="0"/>
              <w:pageBreakBefore w:val="0"/>
              <w:widowControl w:val="0"/>
              <w:wordWrap/>
              <w:overflowPunct/>
              <w:topLinePunct w:val="0"/>
              <w:bidi w:val="0"/>
              <w:snapToGrid w:val="0"/>
              <w:spacing w:line="240" w:lineRule="auto"/>
              <w:rPr>
                <w:rFonts w:ascii="宋体" w:hAnsi="宋体" w:cs="宋体"/>
                <w:color w:val="auto"/>
                <w:sz w:val="24"/>
                <w:highlight w:val="none"/>
              </w:rPr>
            </w:pPr>
          </w:p>
        </w:tc>
      </w:tr>
      <w:tr w14:paraId="53475F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4" w:hRule="atLeast"/>
          <w:jc w:val="center"/>
        </w:trPr>
        <w:tc>
          <w:tcPr>
            <w:tcW w:w="1630" w:type="dxa"/>
            <w:gridSpan w:val="2"/>
          </w:tcPr>
          <w:p w14:paraId="53475F95">
            <w:pPr>
              <w:keepNext w:val="0"/>
              <w:keepLines w:val="0"/>
              <w:pageBreakBefore w:val="0"/>
              <w:widowControl w:val="0"/>
              <w:kinsoku w:val="0"/>
              <w:wordWrap/>
              <w:overflowPunct/>
              <w:topLinePunct w:val="0"/>
              <w:autoSpaceDE w:val="0"/>
              <w:autoSpaceDN w:val="0"/>
              <w:bidi w:val="0"/>
              <w:adjustRightInd w:val="0"/>
              <w:snapToGrid w:val="0"/>
              <w:spacing w:line="240" w:lineRule="auto"/>
              <w:ind w:left="404"/>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建设单位</w:t>
            </w:r>
          </w:p>
        </w:tc>
        <w:tc>
          <w:tcPr>
            <w:tcW w:w="1548" w:type="dxa"/>
            <w:gridSpan w:val="2"/>
          </w:tcPr>
          <w:p w14:paraId="53475F96">
            <w:pPr>
              <w:keepNext w:val="0"/>
              <w:keepLines w:val="0"/>
              <w:pageBreakBefore w:val="0"/>
              <w:widowControl w:val="0"/>
              <w:wordWrap/>
              <w:overflowPunct/>
              <w:topLinePunct w:val="0"/>
              <w:bidi w:val="0"/>
              <w:snapToGrid w:val="0"/>
              <w:spacing w:line="240" w:lineRule="auto"/>
              <w:rPr>
                <w:rFonts w:ascii="宋体" w:hAnsi="宋体" w:cs="宋体"/>
                <w:color w:val="auto"/>
                <w:sz w:val="24"/>
                <w:highlight w:val="none"/>
              </w:rPr>
            </w:pPr>
          </w:p>
        </w:tc>
        <w:tc>
          <w:tcPr>
            <w:tcW w:w="1974" w:type="dxa"/>
            <w:gridSpan w:val="3"/>
          </w:tcPr>
          <w:p w14:paraId="53475F97">
            <w:pPr>
              <w:keepNext w:val="0"/>
              <w:keepLines w:val="0"/>
              <w:pageBreakBefore w:val="0"/>
              <w:widowControl w:val="0"/>
              <w:wordWrap/>
              <w:overflowPunct/>
              <w:topLinePunct w:val="0"/>
              <w:bidi w:val="0"/>
              <w:snapToGrid w:val="0"/>
              <w:spacing w:line="240" w:lineRule="auto"/>
              <w:rPr>
                <w:rFonts w:ascii="宋体" w:hAnsi="宋体" w:cs="宋体"/>
                <w:color w:val="auto"/>
                <w:sz w:val="24"/>
                <w:highlight w:val="none"/>
              </w:rPr>
            </w:pPr>
          </w:p>
        </w:tc>
        <w:tc>
          <w:tcPr>
            <w:tcW w:w="1329" w:type="dxa"/>
            <w:gridSpan w:val="2"/>
          </w:tcPr>
          <w:p w14:paraId="53475F98">
            <w:pPr>
              <w:keepNext w:val="0"/>
              <w:keepLines w:val="0"/>
              <w:pageBreakBefore w:val="0"/>
              <w:widowControl w:val="0"/>
              <w:wordWrap/>
              <w:overflowPunct/>
              <w:topLinePunct w:val="0"/>
              <w:bidi w:val="0"/>
              <w:snapToGrid w:val="0"/>
              <w:spacing w:line="240" w:lineRule="auto"/>
              <w:rPr>
                <w:rFonts w:ascii="宋体" w:hAnsi="宋体" w:cs="宋体"/>
                <w:color w:val="auto"/>
                <w:sz w:val="24"/>
                <w:highlight w:val="none"/>
              </w:rPr>
            </w:pPr>
          </w:p>
        </w:tc>
        <w:tc>
          <w:tcPr>
            <w:tcW w:w="1634" w:type="dxa"/>
            <w:gridSpan w:val="3"/>
          </w:tcPr>
          <w:p w14:paraId="53475F99">
            <w:pPr>
              <w:keepNext w:val="0"/>
              <w:keepLines w:val="0"/>
              <w:pageBreakBefore w:val="0"/>
              <w:widowControl w:val="0"/>
              <w:wordWrap/>
              <w:overflowPunct/>
              <w:topLinePunct w:val="0"/>
              <w:bidi w:val="0"/>
              <w:snapToGrid w:val="0"/>
              <w:spacing w:line="240" w:lineRule="auto"/>
              <w:rPr>
                <w:rFonts w:ascii="宋体" w:hAnsi="宋体" w:cs="宋体"/>
                <w:color w:val="auto"/>
                <w:sz w:val="24"/>
                <w:highlight w:val="none"/>
              </w:rPr>
            </w:pPr>
          </w:p>
        </w:tc>
        <w:tc>
          <w:tcPr>
            <w:tcW w:w="1483" w:type="dxa"/>
            <w:gridSpan w:val="2"/>
          </w:tcPr>
          <w:p w14:paraId="53475F9A">
            <w:pPr>
              <w:keepNext w:val="0"/>
              <w:keepLines w:val="0"/>
              <w:pageBreakBefore w:val="0"/>
              <w:widowControl w:val="0"/>
              <w:wordWrap/>
              <w:overflowPunct/>
              <w:topLinePunct w:val="0"/>
              <w:bidi w:val="0"/>
              <w:snapToGrid w:val="0"/>
              <w:spacing w:line="240" w:lineRule="auto"/>
              <w:rPr>
                <w:rFonts w:ascii="宋体" w:hAnsi="宋体" w:cs="宋体"/>
                <w:color w:val="auto"/>
                <w:sz w:val="24"/>
                <w:highlight w:val="none"/>
              </w:rPr>
            </w:pPr>
          </w:p>
        </w:tc>
        <w:tc>
          <w:tcPr>
            <w:tcW w:w="25" w:type="dxa"/>
            <w:tcBorders>
              <w:top w:val="nil"/>
              <w:bottom w:val="nil"/>
              <w:right w:val="nil"/>
            </w:tcBorders>
          </w:tcPr>
          <w:p w14:paraId="53475F9B">
            <w:pPr>
              <w:keepNext w:val="0"/>
              <w:keepLines w:val="0"/>
              <w:pageBreakBefore w:val="0"/>
              <w:widowControl w:val="0"/>
              <w:wordWrap/>
              <w:overflowPunct/>
              <w:topLinePunct w:val="0"/>
              <w:bidi w:val="0"/>
              <w:snapToGrid w:val="0"/>
              <w:spacing w:line="240" w:lineRule="auto"/>
              <w:rPr>
                <w:rFonts w:ascii="宋体" w:hAnsi="宋体" w:cs="宋体"/>
                <w:color w:val="auto"/>
                <w:sz w:val="24"/>
                <w:highlight w:val="none"/>
              </w:rPr>
            </w:pPr>
          </w:p>
        </w:tc>
      </w:tr>
      <w:tr w14:paraId="53475F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7" w:hRule="atLeast"/>
          <w:jc w:val="center"/>
        </w:trPr>
        <w:tc>
          <w:tcPr>
            <w:tcW w:w="1630" w:type="dxa"/>
            <w:gridSpan w:val="2"/>
          </w:tcPr>
          <w:p w14:paraId="53475F9D">
            <w:pPr>
              <w:keepNext w:val="0"/>
              <w:keepLines w:val="0"/>
              <w:pageBreakBefore w:val="0"/>
              <w:widowControl w:val="0"/>
              <w:kinsoku w:val="0"/>
              <w:wordWrap/>
              <w:overflowPunct/>
              <w:topLinePunct w:val="0"/>
              <w:autoSpaceDE w:val="0"/>
              <w:autoSpaceDN w:val="0"/>
              <w:bidi w:val="0"/>
              <w:adjustRightInd w:val="0"/>
              <w:snapToGrid w:val="0"/>
              <w:spacing w:line="240" w:lineRule="auto"/>
              <w:ind w:left="404"/>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建设规模</w:t>
            </w:r>
          </w:p>
        </w:tc>
        <w:tc>
          <w:tcPr>
            <w:tcW w:w="1548" w:type="dxa"/>
            <w:gridSpan w:val="2"/>
          </w:tcPr>
          <w:p w14:paraId="53475F9E">
            <w:pPr>
              <w:keepNext w:val="0"/>
              <w:keepLines w:val="0"/>
              <w:pageBreakBefore w:val="0"/>
              <w:widowControl w:val="0"/>
              <w:wordWrap/>
              <w:overflowPunct/>
              <w:topLinePunct w:val="0"/>
              <w:bidi w:val="0"/>
              <w:snapToGrid w:val="0"/>
              <w:spacing w:line="240" w:lineRule="auto"/>
              <w:rPr>
                <w:rFonts w:ascii="宋体" w:hAnsi="宋体" w:cs="宋体"/>
                <w:color w:val="auto"/>
                <w:sz w:val="24"/>
                <w:highlight w:val="none"/>
              </w:rPr>
            </w:pPr>
          </w:p>
        </w:tc>
        <w:tc>
          <w:tcPr>
            <w:tcW w:w="1974" w:type="dxa"/>
            <w:gridSpan w:val="3"/>
          </w:tcPr>
          <w:p w14:paraId="53475F9F">
            <w:pPr>
              <w:keepNext w:val="0"/>
              <w:keepLines w:val="0"/>
              <w:pageBreakBefore w:val="0"/>
              <w:widowControl w:val="0"/>
              <w:wordWrap/>
              <w:overflowPunct/>
              <w:topLinePunct w:val="0"/>
              <w:bidi w:val="0"/>
              <w:snapToGrid w:val="0"/>
              <w:spacing w:line="240" w:lineRule="auto"/>
              <w:rPr>
                <w:rFonts w:ascii="宋体" w:hAnsi="宋体" w:cs="宋体"/>
                <w:color w:val="auto"/>
                <w:sz w:val="24"/>
                <w:highlight w:val="none"/>
              </w:rPr>
            </w:pPr>
          </w:p>
        </w:tc>
        <w:tc>
          <w:tcPr>
            <w:tcW w:w="1329" w:type="dxa"/>
            <w:gridSpan w:val="2"/>
          </w:tcPr>
          <w:p w14:paraId="53475FA0">
            <w:pPr>
              <w:keepNext w:val="0"/>
              <w:keepLines w:val="0"/>
              <w:pageBreakBefore w:val="0"/>
              <w:widowControl w:val="0"/>
              <w:wordWrap/>
              <w:overflowPunct/>
              <w:topLinePunct w:val="0"/>
              <w:bidi w:val="0"/>
              <w:snapToGrid w:val="0"/>
              <w:spacing w:line="240" w:lineRule="auto"/>
              <w:rPr>
                <w:rFonts w:ascii="宋体" w:hAnsi="宋体" w:cs="宋体"/>
                <w:color w:val="auto"/>
                <w:sz w:val="24"/>
                <w:highlight w:val="none"/>
              </w:rPr>
            </w:pPr>
          </w:p>
        </w:tc>
        <w:tc>
          <w:tcPr>
            <w:tcW w:w="1634" w:type="dxa"/>
            <w:gridSpan w:val="3"/>
          </w:tcPr>
          <w:p w14:paraId="53475FA1">
            <w:pPr>
              <w:keepNext w:val="0"/>
              <w:keepLines w:val="0"/>
              <w:pageBreakBefore w:val="0"/>
              <w:widowControl w:val="0"/>
              <w:wordWrap/>
              <w:overflowPunct/>
              <w:topLinePunct w:val="0"/>
              <w:bidi w:val="0"/>
              <w:snapToGrid w:val="0"/>
              <w:spacing w:line="240" w:lineRule="auto"/>
              <w:rPr>
                <w:rFonts w:ascii="宋体" w:hAnsi="宋体" w:cs="宋体"/>
                <w:color w:val="auto"/>
                <w:sz w:val="24"/>
                <w:highlight w:val="none"/>
              </w:rPr>
            </w:pPr>
          </w:p>
        </w:tc>
        <w:tc>
          <w:tcPr>
            <w:tcW w:w="1483" w:type="dxa"/>
            <w:gridSpan w:val="2"/>
          </w:tcPr>
          <w:p w14:paraId="53475FA2">
            <w:pPr>
              <w:keepNext w:val="0"/>
              <w:keepLines w:val="0"/>
              <w:pageBreakBefore w:val="0"/>
              <w:widowControl w:val="0"/>
              <w:wordWrap/>
              <w:overflowPunct/>
              <w:topLinePunct w:val="0"/>
              <w:bidi w:val="0"/>
              <w:snapToGrid w:val="0"/>
              <w:spacing w:line="240" w:lineRule="auto"/>
              <w:rPr>
                <w:rFonts w:ascii="宋体" w:hAnsi="宋体" w:cs="宋体"/>
                <w:color w:val="auto"/>
                <w:sz w:val="24"/>
                <w:highlight w:val="none"/>
              </w:rPr>
            </w:pPr>
          </w:p>
        </w:tc>
        <w:tc>
          <w:tcPr>
            <w:tcW w:w="25" w:type="dxa"/>
            <w:tcBorders>
              <w:top w:val="nil"/>
              <w:bottom w:val="nil"/>
              <w:right w:val="nil"/>
            </w:tcBorders>
          </w:tcPr>
          <w:p w14:paraId="53475FA3">
            <w:pPr>
              <w:keepNext w:val="0"/>
              <w:keepLines w:val="0"/>
              <w:pageBreakBefore w:val="0"/>
              <w:widowControl w:val="0"/>
              <w:wordWrap/>
              <w:overflowPunct/>
              <w:topLinePunct w:val="0"/>
              <w:bidi w:val="0"/>
              <w:snapToGrid w:val="0"/>
              <w:spacing w:line="240" w:lineRule="auto"/>
              <w:rPr>
                <w:rFonts w:ascii="宋体" w:hAnsi="宋体" w:cs="宋体"/>
                <w:color w:val="auto"/>
                <w:sz w:val="24"/>
                <w:highlight w:val="none"/>
              </w:rPr>
            </w:pPr>
          </w:p>
        </w:tc>
      </w:tr>
      <w:tr w14:paraId="53475F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4" w:hRule="atLeast"/>
          <w:jc w:val="center"/>
        </w:trPr>
        <w:tc>
          <w:tcPr>
            <w:tcW w:w="1630" w:type="dxa"/>
            <w:gridSpan w:val="2"/>
          </w:tcPr>
          <w:p w14:paraId="53475FA5">
            <w:pPr>
              <w:keepNext w:val="0"/>
              <w:keepLines w:val="0"/>
              <w:pageBreakBefore w:val="0"/>
              <w:widowControl w:val="0"/>
              <w:kinsoku w:val="0"/>
              <w:wordWrap/>
              <w:overflowPunct/>
              <w:topLinePunct w:val="0"/>
              <w:autoSpaceDE w:val="0"/>
              <w:autoSpaceDN w:val="0"/>
              <w:bidi w:val="0"/>
              <w:adjustRightInd w:val="0"/>
              <w:snapToGrid w:val="0"/>
              <w:spacing w:line="240" w:lineRule="auto"/>
              <w:ind w:left="402"/>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开工日期</w:t>
            </w:r>
          </w:p>
        </w:tc>
        <w:tc>
          <w:tcPr>
            <w:tcW w:w="1548" w:type="dxa"/>
            <w:gridSpan w:val="2"/>
          </w:tcPr>
          <w:p w14:paraId="53475FA6">
            <w:pPr>
              <w:keepNext w:val="0"/>
              <w:keepLines w:val="0"/>
              <w:pageBreakBefore w:val="0"/>
              <w:widowControl w:val="0"/>
              <w:wordWrap/>
              <w:overflowPunct/>
              <w:topLinePunct w:val="0"/>
              <w:bidi w:val="0"/>
              <w:snapToGrid w:val="0"/>
              <w:spacing w:line="240" w:lineRule="auto"/>
              <w:rPr>
                <w:rFonts w:ascii="宋体" w:hAnsi="宋体" w:cs="宋体"/>
                <w:color w:val="auto"/>
                <w:sz w:val="24"/>
                <w:highlight w:val="none"/>
              </w:rPr>
            </w:pPr>
          </w:p>
        </w:tc>
        <w:tc>
          <w:tcPr>
            <w:tcW w:w="1974" w:type="dxa"/>
            <w:gridSpan w:val="3"/>
          </w:tcPr>
          <w:p w14:paraId="53475FA7">
            <w:pPr>
              <w:keepNext w:val="0"/>
              <w:keepLines w:val="0"/>
              <w:pageBreakBefore w:val="0"/>
              <w:widowControl w:val="0"/>
              <w:wordWrap/>
              <w:overflowPunct/>
              <w:topLinePunct w:val="0"/>
              <w:bidi w:val="0"/>
              <w:snapToGrid w:val="0"/>
              <w:spacing w:line="240" w:lineRule="auto"/>
              <w:rPr>
                <w:rFonts w:ascii="宋体" w:hAnsi="宋体" w:cs="宋体"/>
                <w:color w:val="auto"/>
                <w:sz w:val="24"/>
                <w:highlight w:val="none"/>
              </w:rPr>
            </w:pPr>
          </w:p>
        </w:tc>
        <w:tc>
          <w:tcPr>
            <w:tcW w:w="1329" w:type="dxa"/>
            <w:gridSpan w:val="2"/>
          </w:tcPr>
          <w:p w14:paraId="53475FA8">
            <w:pPr>
              <w:keepNext w:val="0"/>
              <w:keepLines w:val="0"/>
              <w:pageBreakBefore w:val="0"/>
              <w:widowControl w:val="0"/>
              <w:wordWrap/>
              <w:overflowPunct/>
              <w:topLinePunct w:val="0"/>
              <w:bidi w:val="0"/>
              <w:snapToGrid w:val="0"/>
              <w:spacing w:line="240" w:lineRule="auto"/>
              <w:rPr>
                <w:rFonts w:ascii="宋体" w:hAnsi="宋体" w:cs="宋体"/>
                <w:color w:val="auto"/>
                <w:sz w:val="24"/>
                <w:highlight w:val="none"/>
              </w:rPr>
            </w:pPr>
          </w:p>
        </w:tc>
        <w:tc>
          <w:tcPr>
            <w:tcW w:w="1634" w:type="dxa"/>
            <w:gridSpan w:val="3"/>
          </w:tcPr>
          <w:p w14:paraId="53475FA9">
            <w:pPr>
              <w:keepNext w:val="0"/>
              <w:keepLines w:val="0"/>
              <w:pageBreakBefore w:val="0"/>
              <w:widowControl w:val="0"/>
              <w:wordWrap/>
              <w:overflowPunct/>
              <w:topLinePunct w:val="0"/>
              <w:bidi w:val="0"/>
              <w:snapToGrid w:val="0"/>
              <w:spacing w:line="240" w:lineRule="auto"/>
              <w:rPr>
                <w:rFonts w:ascii="宋体" w:hAnsi="宋体" w:cs="宋体"/>
                <w:color w:val="auto"/>
                <w:sz w:val="24"/>
                <w:highlight w:val="none"/>
              </w:rPr>
            </w:pPr>
          </w:p>
        </w:tc>
        <w:tc>
          <w:tcPr>
            <w:tcW w:w="1483" w:type="dxa"/>
            <w:gridSpan w:val="2"/>
          </w:tcPr>
          <w:p w14:paraId="53475FAA">
            <w:pPr>
              <w:keepNext w:val="0"/>
              <w:keepLines w:val="0"/>
              <w:pageBreakBefore w:val="0"/>
              <w:widowControl w:val="0"/>
              <w:wordWrap/>
              <w:overflowPunct/>
              <w:topLinePunct w:val="0"/>
              <w:bidi w:val="0"/>
              <w:snapToGrid w:val="0"/>
              <w:spacing w:line="240" w:lineRule="auto"/>
              <w:rPr>
                <w:rFonts w:ascii="宋体" w:hAnsi="宋体" w:cs="宋体"/>
                <w:color w:val="auto"/>
                <w:sz w:val="24"/>
                <w:highlight w:val="none"/>
              </w:rPr>
            </w:pPr>
          </w:p>
        </w:tc>
        <w:tc>
          <w:tcPr>
            <w:tcW w:w="25" w:type="dxa"/>
            <w:tcBorders>
              <w:top w:val="nil"/>
              <w:bottom w:val="nil"/>
              <w:right w:val="nil"/>
            </w:tcBorders>
          </w:tcPr>
          <w:p w14:paraId="53475FAB">
            <w:pPr>
              <w:keepNext w:val="0"/>
              <w:keepLines w:val="0"/>
              <w:pageBreakBefore w:val="0"/>
              <w:widowControl w:val="0"/>
              <w:wordWrap/>
              <w:overflowPunct/>
              <w:topLinePunct w:val="0"/>
              <w:bidi w:val="0"/>
              <w:snapToGrid w:val="0"/>
              <w:spacing w:line="240" w:lineRule="auto"/>
              <w:rPr>
                <w:rFonts w:ascii="宋体" w:hAnsi="宋体" w:cs="宋体"/>
                <w:color w:val="auto"/>
                <w:sz w:val="24"/>
                <w:highlight w:val="none"/>
              </w:rPr>
            </w:pPr>
          </w:p>
        </w:tc>
      </w:tr>
      <w:tr w14:paraId="53475F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jc w:val="center"/>
        </w:trPr>
        <w:tc>
          <w:tcPr>
            <w:tcW w:w="1630" w:type="dxa"/>
            <w:gridSpan w:val="2"/>
          </w:tcPr>
          <w:p w14:paraId="53475FAD">
            <w:pPr>
              <w:keepNext w:val="0"/>
              <w:keepLines w:val="0"/>
              <w:pageBreakBefore w:val="0"/>
              <w:widowControl w:val="0"/>
              <w:kinsoku w:val="0"/>
              <w:wordWrap/>
              <w:overflowPunct/>
              <w:topLinePunct w:val="0"/>
              <w:autoSpaceDE w:val="0"/>
              <w:autoSpaceDN w:val="0"/>
              <w:bidi w:val="0"/>
              <w:adjustRightInd w:val="0"/>
              <w:snapToGrid w:val="0"/>
              <w:spacing w:line="240" w:lineRule="auto"/>
              <w:ind w:left="402"/>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竣工日期</w:t>
            </w:r>
          </w:p>
        </w:tc>
        <w:tc>
          <w:tcPr>
            <w:tcW w:w="1548" w:type="dxa"/>
            <w:gridSpan w:val="2"/>
          </w:tcPr>
          <w:p w14:paraId="53475FAE">
            <w:pPr>
              <w:keepNext w:val="0"/>
              <w:keepLines w:val="0"/>
              <w:pageBreakBefore w:val="0"/>
              <w:widowControl w:val="0"/>
              <w:wordWrap/>
              <w:overflowPunct/>
              <w:topLinePunct w:val="0"/>
              <w:bidi w:val="0"/>
              <w:snapToGrid w:val="0"/>
              <w:spacing w:line="240" w:lineRule="auto"/>
              <w:rPr>
                <w:rFonts w:ascii="宋体" w:hAnsi="宋体" w:cs="宋体"/>
                <w:color w:val="auto"/>
                <w:sz w:val="24"/>
                <w:highlight w:val="none"/>
              </w:rPr>
            </w:pPr>
          </w:p>
        </w:tc>
        <w:tc>
          <w:tcPr>
            <w:tcW w:w="1974" w:type="dxa"/>
            <w:gridSpan w:val="3"/>
          </w:tcPr>
          <w:p w14:paraId="53475FAF">
            <w:pPr>
              <w:keepNext w:val="0"/>
              <w:keepLines w:val="0"/>
              <w:pageBreakBefore w:val="0"/>
              <w:widowControl w:val="0"/>
              <w:wordWrap/>
              <w:overflowPunct/>
              <w:topLinePunct w:val="0"/>
              <w:bidi w:val="0"/>
              <w:snapToGrid w:val="0"/>
              <w:spacing w:line="240" w:lineRule="auto"/>
              <w:rPr>
                <w:rFonts w:ascii="宋体" w:hAnsi="宋体" w:cs="宋体"/>
                <w:color w:val="auto"/>
                <w:sz w:val="24"/>
                <w:highlight w:val="none"/>
              </w:rPr>
            </w:pPr>
          </w:p>
        </w:tc>
        <w:tc>
          <w:tcPr>
            <w:tcW w:w="1329" w:type="dxa"/>
            <w:gridSpan w:val="2"/>
          </w:tcPr>
          <w:p w14:paraId="53475FB0">
            <w:pPr>
              <w:keepNext w:val="0"/>
              <w:keepLines w:val="0"/>
              <w:pageBreakBefore w:val="0"/>
              <w:widowControl w:val="0"/>
              <w:wordWrap/>
              <w:overflowPunct/>
              <w:topLinePunct w:val="0"/>
              <w:bidi w:val="0"/>
              <w:snapToGrid w:val="0"/>
              <w:spacing w:line="240" w:lineRule="auto"/>
              <w:rPr>
                <w:rFonts w:ascii="宋体" w:hAnsi="宋体" w:cs="宋体"/>
                <w:color w:val="auto"/>
                <w:sz w:val="24"/>
                <w:highlight w:val="none"/>
              </w:rPr>
            </w:pPr>
          </w:p>
        </w:tc>
        <w:tc>
          <w:tcPr>
            <w:tcW w:w="1634" w:type="dxa"/>
            <w:gridSpan w:val="3"/>
          </w:tcPr>
          <w:p w14:paraId="53475FB1">
            <w:pPr>
              <w:keepNext w:val="0"/>
              <w:keepLines w:val="0"/>
              <w:pageBreakBefore w:val="0"/>
              <w:widowControl w:val="0"/>
              <w:wordWrap/>
              <w:overflowPunct/>
              <w:topLinePunct w:val="0"/>
              <w:bidi w:val="0"/>
              <w:snapToGrid w:val="0"/>
              <w:spacing w:line="240" w:lineRule="auto"/>
              <w:rPr>
                <w:rFonts w:ascii="宋体" w:hAnsi="宋体" w:cs="宋体"/>
                <w:color w:val="auto"/>
                <w:sz w:val="24"/>
                <w:highlight w:val="none"/>
              </w:rPr>
            </w:pPr>
          </w:p>
        </w:tc>
        <w:tc>
          <w:tcPr>
            <w:tcW w:w="1483" w:type="dxa"/>
            <w:gridSpan w:val="2"/>
          </w:tcPr>
          <w:p w14:paraId="53475FB2">
            <w:pPr>
              <w:keepNext w:val="0"/>
              <w:keepLines w:val="0"/>
              <w:pageBreakBefore w:val="0"/>
              <w:widowControl w:val="0"/>
              <w:wordWrap/>
              <w:overflowPunct/>
              <w:topLinePunct w:val="0"/>
              <w:bidi w:val="0"/>
              <w:snapToGrid w:val="0"/>
              <w:spacing w:line="240" w:lineRule="auto"/>
              <w:rPr>
                <w:rFonts w:ascii="宋体" w:hAnsi="宋体" w:cs="宋体"/>
                <w:color w:val="auto"/>
                <w:sz w:val="24"/>
                <w:highlight w:val="none"/>
              </w:rPr>
            </w:pPr>
          </w:p>
        </w:tc>
        <w:tc>
          <w:tcPr>
            <w:tcW w:w="25" w:type="dxa"/>
            <w:tcBorders>
              <w:top w:val="nil"/>
              <w:bottom w:val="nil"/>
              <w:right w:val="nil"/>
            </w:tcBorders>
          </w:tcPr>
          <w:p w14:paraId="53475FB3">
            <w:pPr>
              <w:keepNext w:val="0"/>
              <w:keepLines w:val="0"/>
              <w:pageBreakBefore w:val="0"/>
              <w:widowControl w:val="0"/>
              <w:wordWrap/>
              <w:overflowPunct/>
              <w:topLinePunct w:val="0"/>
              <w:bidi w:val="0"/>
              <w:snapToGrid w:val="0"/>
              <w:spacing w:line="240" w:lineRule="auto"/>
              <w:rPr>
                <w:rFonts w:ascii="宋体" w:hAnsi="宋体" w:cs="宋体"/>
                <w:color w:val="auto"/>
                <w:sz w:val="24"/>
                <w:highlight w:val="none"/>
              </w:rPr>
            </w:pPr>
          </w:p>
        </w:tc>
      </w:tr>
      <w:tr w14:paraId="53475F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jc w:val="center"/>
        </w:trPr>
        <w:tc>
          <w:tcPr>
            <w:tcW w:w="1630" w:type="dxa"/>
            <w:gridSpan w:val="2"/>
          </w:tcPr>
          <w:p w14:paraId="53475FB5">
            <w:pPr>
              <w:keepNext w:val="0"/>
              <w:keepLines w:val="0"/>
              <w:pageBreakBefore w:val="0"/>
              <w:widowControl w:val="0"/>
              <w:kinsoku w:val="0"/>
              <w:wordWrap/>
              <w:overflowPunct/>
              <w:topLinePunct w:val="0"/>
              <w:autoSpaceDE w:val="0"/>
              <w:autoSpaceDN w:val="0"/>
              <w:bidi w:val="0"/>
              <w:adjustRightInd w:val="0"/>
              <w:snapToGrid w:val="0"/>
              <w:spacing w:line="240" w:lineRule="auto"/>
              <w:ind w:left="403"/>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人员角色</w:t>
            </w:r>
          </w:p>
        </w:tc>
        <w:tc>
          <w:tcPr>
            <w:tcW w:w="1548" w:type="dxa"/>
            <w:gridSpan w:val="2"/>
          </w:tcPr>
          <w:p w14:paraId="53475FB6">
            <w:pPr>
              <w:keepNext w:val="0"/>
              <w:keepLines w:val="0"/>
              <w:pageBreakBefore w:val="0"/>
              <w:widowControl w:val="0"/>
              <w:wordWrap/>
              <w:overflowPunct/>
              <w:topLinePunct w:val="0"/>
              <w:bidi w:val="0"/>
              <w:snapToGrid w:val="0"/>
              <w:spacing w:line="240" w:lineRule="auto"/>
              <w:rPr>
                <w:rFonts w:ascii="宋体" w:hAnsi="宋体" w:cs="宋体"/>
                <w:color w:val="auto"/>
                <w:sz w:val="24"/>
                <w:highlight w:val="none"/>
              </w:rPr>
            </w:pPr>
          </w:p>
        </w:tc>
        <w:tc>
          <w:tcPr>
            <w:tcW w:w="1974" w:type="dxa"/>
            <w:gridSpan w:val="3"/>
          </w:tcPr>
          <w:p w14:paraId="53475FB7">
            <w:pPr>
              <w:keepNext w:val="0"/>
              <w:keepLines w:val="0"/>
              <w:pageBreakBefore w:val="0"/>
              <w:widowControl w:val="0"/>
              <w:wordWrap/>
              <w:overflowPunct/>
              <w:topLinePunct w:val="0"/>
              <w:bidi w:val="0"/>
              <w:snapToGrid w:val="0"/>
              <w:spacing w:line="240" w:lineRule="auto"/>
              <w:rPr>
                <w:rFonts w:ascii="宋体" w:hAnsi="宋体" w:cs="宋体"/>
                <w:color w:val="auto"/>
                <w:sz w:val="24"/>
                <w:highlight w:val="none"/>
              </w:rPr>
            </w:pPr>
          </w:p>
        </w:tc>
        <w:tc>
          <w:tcPr>
            <w:tcW w:w="1329" w:type="dxa"/>
            <w:gridSpan w:val="2"/>
          </w:tcPr>
          <w:p w14:paraId="53475FB8">
            <w:pPr>
              <w:keepNext w:val="0"/>
              <w:keepLines w:val="0"/>
              <w:pageBreakBefore w:val="0"/>
              <w:widowControl w:val="0"/>
              <w:wordWrap/>
              <w:overflowPunct/>
              <w:topLinePunct w:val="0"/>
              <w:bidi w:val="0"/>
              <w:snapToGrid w:val="0"/>
              <w:spacing w:line="240" w:lineRule="auto"/>
              <w:rPr>
                <w:rFonts w:ascii="宋体" w:hAnsi="宋体" w:cs="宋体"/>
                <w:color w:val="auto"/>
                <w:sz w:val="24"/>
                <w:highlight w:val="none"/>
              </w:rPr>
            </w:pPr>
          </w:p>
        </w:tc>
        <w:tc>
          <w:tcPr>
            <w:tcW w:w="1634" w:type="dxa"/>
            <w:gridSpan w:val="3"/>
          </w:tcPr>
          <w:p w14:paraId="53475FB9">
            <w:pPr>
              <w:keepNext w:val="0"/>
              <w:keepLines w:val="0"/>
              <w:pageBreakBefore w:val="0"/>
              <w:widowControl w:val="0"/>
              <w:wordWrap/>
              <w:overflowPunct/>
              <w:topLinePunct w:val="0"/>
              <w:bidi w:val="0"/>
              <w:snapToGrid w:val="0"/>
              <w:spacing w:line="240" w:lineRule="auto"/>
              <w:rPr>
                <w:rFonts w:ascii="宋体" w:hAnsi="宋体" w:cs="宋体"/>
                <w:color w:val="auto"/>
                <w:sz w:val="24"/>
                <w:highlight w:val="none"/>
              </w:rPr>
            </w:pPr>
          </w:p>
        </w:tc>
        <w:tc>
          <w:tcPr>
            <w:tcW w:w="1483" w:type="dxa"/>
            <w:gridSpan w:val="2"/>
          </w:tcPr>
          <w:p w14:paraId="53475FBA">
            <w:pPr>
              <w:keepNext w:val="0"/>
              <w:keepLines w:val="0"/>
              <w:pageBreakBefore w:val="0"/>
              <w:widowControl w:val="0"/>
              <w:wordWrap/>
              <w:overflowPunct/>
              <w:topLinePunct w:val="0"/>
              <w:bidi w:val="0"/>
              <w:snapToGrid w:val="0"/>
              <w:spacing w:line="240" w:lineRule="auto"/>
              <w:rPr>
                <w:rFonts w:ascii="宋体" w:hAnsi="宋体" w:cs="宋体"/>
                <w:color w:val="auto"/>
                <w:sz w:val="24"/>
                <w:highlight w:val="none"/>
              </w:rPr>
            </w:pPr>
          </w:p>
        </w:tc>
        <w:tc>
          <w:tcPr>
            <w:tcW w:w="25" w:type="dxa"/>
            <w:tcBorders>
              <w:top w:val="nil"/>
              <w:bottom w:val="nil"/>
              <w:right w:val="nil"/>
            </w:tcBorders>
          </w:tcPr>
          <w:p w14:paraId="53475FBB">
            <w:pPr>
              <w:keepNext w:val="0"/>
              <w:keepLines w:val="0"/>
              <w:pageBreakBefore w:val="0"/>
              <w:widowControl w:val="0"/>
              <w:wordWrap/>
              <w:overflowPunct/>
              <w:topLinePunct w:val="0"/>
              <w:bidi w:val="0"/>
              <w:snapToGrid w:val="0"/>
              <w:spacing w:line="240" w:lineRule="auto"/>
              <w:rPr>
                <w:rFonts w:ascii="宋体" w:hAnsi="宋体" w:cs="宋体"/>
                <w:color w:val="auto"/>
                <w:sz w:val="24"/>
                <w:highlight w:val="none"/>
              </w:rPr>
            </w:pPr>
          </w:p>
        </w:tc>
      </w:tr>
      <w:tr w14:paraId="53475F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jc w:val="center"/>
        </w:trPr>
        <w:tc>
          <w:tcPr>
            <w:tcW w:w="1630" w:type="dxa"/>
            <w:gridSpan w:val="2"/>
          </w:tcPr>
          <w:p w14:paraId="53475FBD">
            <w:pPr>
              <w:keepNext w:val="0"/>
              <w:keepLines w:val="0"/>
              <w:pageBreakBefore w:val="0"/>
              <w:widowControl w:val="0"/>
              <w:kinsoku w:val="0"/>
              <w:wordWrap/>
              <w:overflowPunct/>
              <w:topLinePunct w:val="0"/>
              <w:autoSpaceDE w:val="0"/>
              <w:autoSpaceDN w:val="0"/>
              <w:bidi w:val="0"/>
              <w:adjustRightInd w:val="0"/>
              <w:snapToGrid w:val="0"/>
              <w:spacing w:line="240" w:lineRule="auto"/>
              <w:ind w:left="295"/>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1"/>
                <w:kern w:val="0"/>
                <w:sz w:val="24"/>
                <w:highlight w:val="none"/>
                <w:lang w:eastAsia="en-US"/>
              </w:rPr>
              <w:t>在建或已完</w:t>
            </w:r>
          </w:p>
        </w:tc>
        <w:tc>
          <w:tcPr>
            <w:tcW w:w="1548" w:type="dxa"/>
            <w:gridSpan w:val="2"/>
          </w:tcPr>
          <w:p w14:paraId="53475FBE">
            <w:pPr>
              <w:keepNext w:val="0"/>
              <w:keepLines w:val="0"/>
              <w:pageBreakBefore w:val="0"/>
              <w:widowControl w:val="0"/>
              <w:wordWrap/>
              <w:overflowPunct/>
              <w:topLinePunct w:val="0"/>
              <w:bidi w:val="0"/>
              <w:snapToGrid w:val="0"/>
              <w:spacing w:line="240" w:lineRule="auto"/>
              <w:rPr>
                <w:rFonts w:ascii="宋体" w:hAnsi="宋体" w:cs="宋体"/>
                <w:color w:val="auto"/>
                <w:sz w:val="24"/>
                <w:highlight w:val="none"/>
              </w:rPr>
            </w:pPr>
          </w:p>
        </w:tc>
        <w:tc>
          <w:tcPr>
            <w:tcW w:w="1974" w:type="dxa"/>
            <w:gridSpan w:val="3"/>
          </w:tcPr>
          <w:p w14:paraId="53475FBF">
            <w:pPr>
              <w:keepNext w:val="0"/>
              <w:keepLines w:val="0"/>
              <w:pageBreakBefore w:val="0"/>
              <w:widowControl w:val="0"/>
              <w:wordWrap/>
              <w:overflowPunct/>
              <w:topLinePunct w:val="0"/>
              <w:bidi w:val="0"/>
              <w:snapToGrid w:val="0"/>
              <w:spacing w:line="240" w:lineRule="auto"/>
              <w:rPr>
                <w:rFonts w:ascii="宋体" w:hAnsi="宋体" w:cs="宋体"/>
                <w:color w:val="auto"/>
                <w:sz w:val="24"/>
                <w:highlight w:val="none"/>
              </w:rPr>
            </w:pPr>
          </w:p>
        </w:tc>
        <w:tc>
          <w:tcPr>
            <w:tcW w:w="1329" w:type="dxa"/>
            <w:gridSpan w:val="2"/>
          </w:tcPr>
          <w:p w14:paraId="53475FC0">
            <w:pPr>
              <w:keepNext w:val="0"/>
              <w:keepLines w:val="0"/>
              <w:pageBreakBefore w:val="0"/>
              <w:widowControl w:val="0"/>
              <w:wordWrap/>
              <w:overflowPunct/>
              <w:topLinePunct w:val="0"/>
              <w:bidi w:val="0"/>
              <w:snapToGrid w:val="0"/>
              <w:spacing w:line="240" w:lineRule="auto"/>
              <w:rPr>
                <w:rFonts w:ascii="宋体" w:hAnsi="宋体" w:cs="宋体"/>
                <w:color w:val="auto"/>
                <w:sz w:val="24"/>
                <w:highlight w:val="none"/>
              </w:rPr>
            </w:pPr>
          </w:p>
        </w:tc>
        <w:tc>
          <w:tcPr>
            <w:tcW w:w="1634" w:type="dxa"/>
            <w:gridSpan w:val="3"/>
          </w:tcPr>
          <w:p w14:paraId="53475FC1">
            <w:pPr>
              <w:keepNext w:val="0"/>
              <w:keepLines w:val="0"/>
              <w:pageBreakBefore w:val="0"/>
              <w:widowControl w:val="0"/>
              <w:wordWrap/>
              <w:overflowPunct/>
              <w:topLinePunct w:val="0"/>
              <w:bidi w:val="0"/>
              <w:snapToGrid w:val="0"/>
              <w:spacing w:line="240" w:lineRule="auto"/>
              <w:rPr>
                <w:rFonts w:ascii="宋体" w:hAnsi="宋体" w:cs="宋体"/>
                <w:color w:val="auto"/>
                <w:sz w:val="24"/>
                <w:highlight w:val="none"/>
              </w:rPr>
            </w:pPr>
          </w:p>
        </w:tc>
        <w:tc>
          <w:tcPr>
            <w:tcW w:w="1483" w:type="dxa"/>
            <w:gridSpan w:val="2"/>
          </w:tcPr>
          <w:p w14:paraId="53475FC2">
            <w:pPr>
              <w:keepNext w:val="0"/>
              <w:keepLines w:val="0"/>
              <w:pageBreakBefore w:val="0"/>
              <w:widowControl w:val="0"/>
              <w:wordWrap/>
              <w:overflowPunct/>
              <w:topLinePunct w:val="0"/>
              <w:bidi w:val="0"/>
              <w:snapToGrid w:val="0"/>
              <w:spacing w:line="240" w:lineRule="auto"/>
              <w:rPr>
                <w:rFonts w:ascii="宋体" w:hAnsi="宋体" w:cs="宋体"/>
                <w:color w:val="auto"/>
                <w:sz w:val="24"/>
                <w:highlight w:val="none"/>
              </w:rPr>
            </w:pPr>
          </w:p>
        </w:tc>
        <w:tc>
          <w:tcPr>
            <w:tcW w:w="25" w:type="dxa"/>
            <w:tcBorders>
              <w:top w:val="nil"/>
              <w:bottom w:val="nil"/>
              <w:right w:val="nil"/>
            </w:tcBorders>
          </w:tcPr>
          <w:p w14:paraId="53475FC3">
            <w:pPr>
              <w:keepNext w:val="0"/>
              <w:keepLines w:val="0"/>
              <w:pageBreakBefore w:val="0"/>
              <w:widowControl w:val="0"/>
              <w:wordWrap/>
              <w:overflowPunct/>
              <w:topLinePunct w:val="0"/>
              <w:bidi w:val="0"/>
              <w:snapToGrid w:val="0"/>
              <w:spacing w:line="240" w:lineRule="auto"/>
              <w:rPr>
                <w:rFonts w:ascii="宋体" w:hAnsi="宋体" w:cs="宋体"/>
                <w:color w:val="auto"/>
                <w:sz w:val="24"/>
                <w:highlight w:val="none"/>
              </w:rPr>
            </w:pPr>
          </w:p>
        </w:tc>
      </w:tr>
      <w:tr w14:paraId="53475F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jc w:val="center"/>
        </w:trPr>
        <w:tc>
          <w:tcPr>
            <w:tcW w:w="1630" w:type="dxa"/>
            <w:gridSpan w:val="2"/>
          </w:tcPr>
          <w:p w14:paraId="53475FC5">
            <w:pPr>
              <w:keepNext w:val="0"/>
              <w:keepLines w:val="0"/>
              <w:pageBreakBefore w:val="0"/>
              <w:widowControl w:val="0"/>
              <w:kinsoku w:val="0"/>
              <w:wordWrap/>
              <w:overflowPunct/>
              <w:topLinePunct w:val="0"/>
              <w:autoSpaceDE w:val="0"/>
              <w:autoSpaceDN w:val="0"/>
              <w:bidi w:val="0"/>
              <w:adjustRightInd w:val="0"/>
              <w:snapToGrid w:val="0"/>
              <w:spacing w:line="240" w:lineRule="auto"/>
              <w:ind w:left="404"/>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工程质量</w:t>
            </w:r>
          </w:p>
        </w:tc>
        <w:tc>
          <w:tcPr>
            <w:tcW w:w="1548" w:type="dxa"/>
            <w:gridSpan w:val="2"/>
          </w:tcPr>
          <w:p w14:paraId="53475FC6">
            <w:pPr>
              <w:keepNext w:val="0"/>
              <w:keepLines w:val="0"/>
              <w:pageBreakBefore w:val="0"/>
              <w:widowControl w:val="0"/>
              <w:wordWrap/>
              <w:overflowPunct/>
              <w:topLinePunct w:val="0"/>
              <w:bidi w:val="0"/>
              <w:snapToGrid w:val="0"/>
              <w:spacing w:line="240" w:lineRule="auto"/>
              <w:rPr>
                <w:rFonts w:ascii="宋体" w:hAnsi="宋体" w:cs="宋体"/>
                <w:color w:val="auto"/>
                <w:sz w:val="24"/>
                <w:highlight w:val="none"/>
              </w:rPr>
            </w:pPr>
          </w:p>
        </w:tc>
        <w:tc>
          <w:tcPr>
            <w:tcW w:w="1974" w:type="dxa"/>
            <w:gridSpan w:val="3"/>
          </w:tcPr>
          <w:p w14:paraId="53475FC7">
            <w:pPr>
              <w:keepNext w:val="0"/>
              <w:keepLines w:val="0"/>
              <w:pageBreakBefore w:val="0"/>
              <w:widowControl w:val="0"/>
              <w:wordWrap/>
              <w:overflowPunct/>
              <w:topLinePunct w:val="0"/>
              <w:bidi w:val="0"/>
              <w:snapToGrid w:val="0"/>
              <w:spacing w:line="240" w:lineRule="auto"/>
              <w:rPr>
                <w:rFonts w:ascii="宋体" w:hAnsi="宋体" w:cs="宋体"/>
                <w:color w:val="auto"/>
                <w:sz w:val="24"/>
                <w:highlight w:val="none"/>
              </w:rPr>
            </w:pPr>
          </w:p>
        </w:tc>
        <w:tc>
          <w:tcPr>
            <w:tcW w:w="1329" w:type="dxa"/>
            <w:gridSpan w:val="2"/>
          </w:tcPr>
          <w:p w14:paraId="53475FC8">
            <w:pPr>
              <w:keepNext w:val="0"/>
              <w:keepLines w:val="0"/>
              <w:pageBreakBefore w:val="0"/>
              <w:widowControl w:val="0"/>
              <w:wordWrap/>
              <w:overflowPunct/>
              <w:topLinePunct w:val="0"/>
              <w:bidi w:val="0"/>
              <w:snapToGrid w:val="0"/>
              <w:spacing w:line="240" w:lineRule="auto"/>
              <w:rPr>
                <w:rFonts w:ascii="宋体" w:hAnsi="宋体" w:cs="宋体"/>
                <w:color w:val="auto"/>
                <w:sz w:val="24"/>
                <w:highlight w:val="none"/>
              </w:rPr>
            </w:pPr>
          </w:p>
        </w:tc>
        <w:tc>
          <w:tcPr>
            <w:tcW w:w="1634" w:type="dxa"/>
            <w:gridSpan w:val="3"/>
          </w:tcPr>
          <w:p w14:paraId="53475FC9">
            <w:pPr>
              <w:keepNext w:val="0"/>
              <w:keepLines w:val="0"/>
              <w:pageBreakBefore w:val="0"/>
              <w:widowControl w:val="0"/>
              <w:wordWrap/>
              <w:overflowPunct/>
              <w:topLinePunct w:val="0"/>
              <w:bidi w:val="0"/>
              <w:snapToGrid w:val="0"/>
              <w:spacing w:line="240" w:lineRule="auto"/>
              <w:rPr>
                <w:rFonts w:ascii="宋体" w:hAnsi="宋体" w:cs="宋体"/>
                <w:color w:val="auto"/>
                <w:sz w:val="24"/>
                <w:highlight w:val="none"/>
              </w:rPr>
            </w:pPr>
          </w:p>
        </w:tc>
        <w:tc>
          <w:tcPr>
            <w:tcW w:w="1483" w:type="dxa"/>
            <w:gridSpan w:val="2"/>
          </w:tcPr>
          <w:p w14:paraId="53475FCA">
            <w:pPr>
              <w:keepNext w:val="0"/>
              <w:keepLines w:val="0"/>
              <w:pageBreakBefore w:val="0"/>
              <w:widowControl w:val="0"/>
              <w:wordWrap/>
              <w:overflowPunct/>
              <w:topLinePunct w:val="0"/>
              <w:bidi w:val="0"/>
              <w:snapToGrid w:val="0"/>
              <w:spacing w:line="240" w:lineRule="auto"/>
              <w:rPr>
                <w:rFonts w:ascii="宋体" w:hAnsi="宋体" w:cs="宋体"/>
                <w:color w:val="auto"/>
                <w:sz w:val="24"/>
                <w:highlight w:val="none"/>
              </w:rPr>
            </w:pPr>
          </w:p>
        </w:tc>
        <w:tc>
          <w:tcPr>
            <w:tcW w:w="25" w:type="dxa"/>
            <w:tcBorders>
              <w:top w:val="nil"/>
              <w:bottom w:val="nil"/>
              <w:right w:val="nil"/>
            </w:tcBorders>
          </w:tcPr>
          <w:p w14:paraId="53475FCB">
            <w:pPr>
              <w:keepNext w:val="0"/>
              <w:keepLines w:val="0"/>
              <w:pageBreakBefore w:val="0"/>
              <w:widowControl w:val="0"/>
              <w:wordWrap/>
              <w:overflowPunct/>
              <w:topLinePunct w:val="0"/>
              <w:bidi w:val="0"/>
              <w:snapToGrid w:val="0"/>
              <w:spacing w:line="240" w:lineRule="auto"/>
              <w:rPr>
                <w:rFonts w:ascii="宋体" w:hAnsi="宋体" w:cs="宋体"/>
                <w:color w:val="auto"/>
                <w:sz w:val="24"/>
                <w:highlight w:val="none"/>
              </w:rPr>
            </w:pPr>
          </w:p>
        </w:tc>
      </w:tr>
      <w:tr w14:paraId="53475F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9" w:hRule="atLeast"/>
          <w:jc w:val="center"/>
        </w:trPr>
        <w:tc>
          <w:tcPr>
            <w:tcW w:w="1630" w:type="dxa"/>
            <w:gridSpan w:val="2"/>
          </w:tcPr>
          <w:p w14:paraId="53475FCD">
            <w:pPr>
              <w:keepNext w:val="0"/>
              <w:keepLines w:val="0"/>
              <w:pageBreakBefore w:val="0"/>
              <w:widowControl w:val="0"/>
              <w:kinsoku w:val="0"/>
              <w:wordWrap/>
              <w:overflowPunct/>
              <w:topLinePunct w:val="0"/>
              <w:autoSpaceDE w:val="0"/>
              <w:autoSpaceDN w:val="0"/>
              <w:bidi w:val="0"/>
              <w:adjustRightInd w:val="0"/>
              <w:snapToGrid w:val="0"/>
              <w:spacing w:line="240" w:lineRule="auto"/>
              <w:ind w:left="405"/>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3"/>
                <w:kern w:val="0"/>
                <w:sz w:val="24"/>
                <w:highlight w:val="none"/>
                <w:lang w:eastAsia="en-US"/>
              </w:rPr>
              <w:t>受奖情况</w:t>
            </w:r>
          </w:p>
        </w:tc>
        <w:tc>
          <w:tcPr>
            <w:tcW w:w="1548" w:type="dxa"/>
            <w:gridSpan w:val="2"/>
          </w:tcPr>
          <w:p w14:paraId="53475FCE">
            <w:pPr>
              <w:keepNext w:val="0"/>
              <w:keepLines w:val="0"/>
              <w:pageBreakBefore w:val="0"/>
              <w:widowControl w:val="0"/>
              <w:wordWrap/>
              <w:overflowPunct/>
              <w:topLinePunct w:val="0"/>
              <w:bidi w:val="0"/>
              <w:snapToGrid w:val="0"/>
              <w:spacing w:line="240" w:lineRule="auto"/>
              <w:rPr>
                <w:rFonts w:ascii="宋体" w:hAnsi="宋体" w:cs="宋体"/>
                <w:color w:val="auto"/>
                <w:sz w:val="24"/>
                <w:highlight w:val="none"/>
              </w:rPr>
            </w:pPr>
          </w:p>
        </w:tc>
        <w:tc>
          <w:tcPr>
            <w:tcW w:w="1974" w:type="dxa"/>
            <w:gridSpan w:val="3"/>
          </w:tcPr>
          <w:p w14:paraId="53475FCF">
            <w:pPr>
              <w:keepNext w:val="0"/>
              <w:keepLines w:val="0"/>
              <w:pageBreakBefore w:val="0"/>
              <w:widowControl w:val="0"/>
              <w:wordWrap/>
              <w:overflowPunct/>
              <w:topLinePunct w:val="0"/>
              <w:bidi w:val="0"/>
              <w:snapToGrid w:val="0"/>
              <w:spacing w:line="240" w:lineRule="auto"/>
              <w:rPr>
                <w:rFonts w:ascii="宋体" w:hAnsi="宋体" w:cs="宋体"/>
                <w:color w:val="auto"/>
                <w:sz w:val="24"/>
                <w:highlight w:val="none"/>
              </w:rPr>
            </w:pPr>
          </w:p>
        </w:tc>
        <w:tc>
          <w:tcPr>
            <w:tcW w:w="1329" w:type="dxa"/>
            <w:gridSpan w:val="2"/>
          </w:tcPr>
          <w:p w14:paraId="53475FD0">
            <w:pPr>
              <w:keepNext w:val="0"/>
              <w:keepLines w:val="0"/>
              <w:pageBreakBefore w:val="0"/>
              <w:widowControl w:val="0"/>
              <w:wordWrap/>
              <w:overflowPunct/>
              <w:topLinePunct w:val="0"/>
              <w:bidi w:val="0"/>
              <w:snapToGrid w:val="0"/>
              <w:spacing w:line="240" w:lineRule="auto"/>
              <w:rPr>
                <w:rFonts w:ascii="宋体" w:hAnsi="宋体" w:cs="宋体"/>
                <w:color w:val="auto"/>
                <w:sz w:val="24"/>
                <w:highlight w:val="none"/>
              </w:rPr>
            </w:pPr>
          </w:p>
        </w:tc>
        <w:tc>
          <w:tcPr>
            <w:tcW w:w="1634" w:type="dxa"/>
            <w:gridSpan w:val="3"/>
          </w:tcPr>
          <w:p w14:paraId="53475FD1">
            <w:pPr>
              <w:keepNext w:val="0"/>
              <w:keepLines w:val="0"/>
              <w:pageBreakBefore w:val="0"/>
              <w:widowControl w:val="0"/>
              <w:wordWrap/>
              <w:overflowPunct/>
              <w:topLinePunct w:val="0"/>
              <w:bidi w:val="0"/>
              <w:snapToGrid w:val="0"/>
              <w:spacing w:line="240" w:lineRule="auto"/>
              <w:rPr>
                <w:rFonts w:ascii="宋体" w:hAnsi="宋体" w:cs="宋体"/>
                <w:color w:val="auto"/>
                <w:sz w:val="24"/>
                <w:highlight w:val="none"/>
              </w:rPr>
            </w:pPr>
          </w:p>
        </w:tc>
        <w:tc>
          <w:tcPr>
            <w:tcW w:w="1483" w:type="dxa"/>
            <w:gridSpan w:val="2"/>
          </w:tcPr>
          <w:p w14:paraId="53475FD2">
            <w:pPr>
              <w:keepNext w:val="0"/>
              <w:keepLines w:val="0"/>
              <w:pageBreakBefore w:val="0"/>
              <w:widowControl w:val="0"/>
              <w:wordWrap/>
              <w:overflowPunct/>
              <w:topLinePunct w:val="0"/>
              <w:bidi w:val="0"/>
              <w:snapToGrid w:val="0"/>
              <w:spacing w:line="240" w:lineRule="auto"/>
              <w:rPr>
                <w:rFonts w:ascii="宋体" w:hAnsi="宋体" w:cs="宋体"/>
                <w:color w:val="auto"/>
                <w:sz w:val="24"/>
                <w:highlight w:val="none"/>
              </w:rPr>
            </w:pPr>
          </w:p>
        </w:tc>
        <w:tc>
          <w:tcPr>
            <w:tcW w:w="25" w:type="dxa"/>
            <w:tcBorders>
              <w:top w:val="nil"/>
              <w:bottom w:val="nil"/>
              <w:right w:val="nil"/>
            </w:tcBorders>
          </w:tcPr>
          <w:p w14:paraId="53475FD3">
            <w:pPr>
              <w:keepNext w:val="0"/>
              <w:keepLines w:val="0"/>
              <w:pageBreakBefore w:val="0"/>
              <w:widowControl w:val="0"/>
              <w:wordWrap/>
              <w:overflowPunct/>
              <w:topLinePunct w:val="0"/>
              <w:bidi w:val="0"/>
              <w:snapToGrid w:val="0"/>
              <w:spacing w:line="240" w:lineRule="auto"/>
              <w:rPr>
                <w:rFonts w:ascii="宋体" w:hAnsi="宋体" w:cs="宋体"/>
                <w:color w:val="auto"/>
                <w:sz w:val="24"/>
                <w:highlight w:val="none"/>
              </w:rPr>
            </w:pPr>
          </w:p>
        </w:tc>
      </w:tr>
    </w:tbl>
    <w:p w14:paraId="53475FD5">
      <w:pPr>
        <w:widowControl/>
        <w:kinsoku w:val="0"/>
        <w:autoSpaceDE w:val="0"/>
        <w:autoSpaceDN w:val="0"/>
        <w:adjustRightInd w:val="0"/>
        <w:snapToGrid w:val="0"/>
        <w:spacing w:line="240" w:lineRule="auto"/>
        <w:ind w:firstLine="480" w:firstLineChars="200"/>
        <w:textAlignment w:val="baseline"/>
        <w:rPr>
          <w:rFonts w:ascii="宋体" w:hAnsi="宋体" w:cs="宋体"/>
          <w:color w:val="auto"/>
          <w:sz w:val="24"/>
          <w:highlight w:val="none"/>
        </w:rPr>
      </w:pPr>
      <w:r>
        <w:rPr>
          <w:rFonts w:hint="eastAsia" w:ascii="宋体" w:hAnsi="宋体" w:cs="宋体"/>
          <w:color w:val="auto"/>
          <w:sz w:val="24"/>
          <w:highlight w:val="none"/>
        </w:rPr>
        <w:t>备注：</w:t>
      </w:r>
    </w:p>
    <w:p w14:paraId="53475FD6">
      <w:pPr>
        <w:widowControl/>
        <w:kinsoku w:val="0"/>
        <w:autoSpaceDE w:val="0"/>
        <w:autoSpaceDN w:val="0"/>
        <w:adjustRightInd w:val="0"/>
        <w:snapToGrid w:val="0"/>
        <w:spacing w:line="240" w:lineRule="auto"/>
        <w:ind w:firstLine="480" w:firstLineChars="200"/>
        <w:textAlignment w:val="baseline"/>
        <w:rPr>
          <w:rFonts w:ascii="宋体" w:hAnsi="宋体" w:cs="宋体"/>
          <w:color w:val="auto"/>
          <w:sz w:val="24"/>
          <w:highlight w:val="none"/>
        </w:rPr>
      </w:pPr>
      <w:r>
        <w:rPr>
          <w:rFonts w:hint="eastAsia" w:ascii="宋体" w:hAnsi="宋体" w:cs="宋体"/>
          <w:color w:val="auto"/>
          <w:sz w:val="24"/>
          <w:highlight w:val="none"/>
        </w:rPr>
        <w:t>1.项目数可以根据需要增加。</w:t>
      </w:r>
    </w:p>
    <w:p w14:paraId="53475FD7">
      <w:pPr>
        <w:widowControl/>
        <w:kinsoku w:val="0"/>
        <w:autoSpaceDE w:val="0"/>
        <w:autoSpaceDN w:val="0"/>
        <w:adjustRightInd w:val="0"/>
        <w:snapToGrid w:val="0"/>
        <w:spacing w:line="240" w:lineRule="auto"/>
        <w:ind w:firstLine="480" w:firstLineChars="200"/>
        <w:textAlignment w:val="baseline"/>
        <w:rPr>
          <w:rFonts w:ascii="宋体" w:hAnsi="宋体" w:cs="宋体"/>
          <w:color w:val="auto"/>
          <w:sz w:val="24"/>
          <w:highlight w:val="none"/>
        </w:rPr>
      </w:pPr>
      <w:r>
        <w:rPr>
          <w:rFonts w:hint="eastAsia" w:ascii="宋体" w:hAnsi="宋体" w:cs="宋体"/>
          <w:color w:val="auto"/>
          <w:sz w:val="24"/>
          <w:highlight w:val="none"/>
        </w:rPr>
        <w:t>2.本表后附项目经理的学历证、安全生产考核合格证（B 类）、本表所列证书复印件并加盖供应商公章。</w:t>
      </w:r>
    </w:p>
    <w:p w14:paraId="53475FD8">
      <w:pPr>
        <w:spacing w:line="360" w:lineRule="auto"/>
        <w:rPr>
          <w:rFonts w:ascii="宋体" w:hAnsi="宋体"/>
          <w:color w:val="auto"/>
          <w:sz w:val="24"/>
          <w:highlight w:val="none"/>
        </w:rPr>
      </w:pPr>
      <w:r>
        <w:rPr>
          <w:rFonts w:hint="eastAsia" w:ascii="宋体" w:hAnsi="宋体"/>
          <w:color w:val="auto"/>
          <w:sz w:val="24"/>
          <w:highlight w:val="none"/>
        </w:rPr>
        <w:br w:type="page"/>
      </w:r>
    </w:p>
    <w:p w14:paraId="53475FD9">
      <w:pPr>
        <w:spacing w:line="360" w:lineRule="auto"/>
        <w:ind w:left="1939"/>
        <w:rPr>
          <w:rFonts w:ascii="宋体" w:hAnsi="宋体" w:cs="宋体"/>
          <w:color w:val="auto"/>
          <w:sz w:val="31"/>
          <w:szCs w:val="31"/>
          <w:highlight w:val="none"/>
        </w:rPr>
      </w:pPr>
      <w:r>
        <w:rPr>
          <w:rFonts w:hint="eastAsia" w:ascii="宋体" w:hAnsi="宋体" w:cs="宋体"/>
          <w:color w:val="auto"/>
          <w:spacing w:val="3"/>
          <w:sz w:val="31"/>
          <w:szCs w:val="31"/>
          <w:highlight w:val="none"/>
        </w:rPr>
        <w:t>项目技术负责人（项目总工）</w:t>
      </w:r>
      <w:r>
        <w:rPr>
          <w:rFonts w:hint="eastAsia" w:ascii="宋体" w:hAnsi="宋体" w:cs="宋体"/>
          <w:color w:val="auto"/>
          <w:spacing w:val="-20"/>
          <w:sz w:val="31"/>
          <w:szCs w:val="31"/>
          <w:highlight w:val="none"/>
        </w:rPr>
        <w:t xml:space="preserve"> </w:t>
      </w:r>
      <w:r>
        <w:rPr>
          <w:rFonts w:hint="eastAsia" w:ascii="宋体" w:hAnsi="宋体" w:cs="宋体"/>
          <w:color w:val="auto"/>
          <w:spacing w:val="3"/>
          <w:sz w:val="31"/>
          <w:szCs w:val="31"/>
          <w:highlight w:val="none"/>
        </w:rPr>
        <w:t>简历表（如有）</w:t>
      </w:r>
    </w:p>
    <w:tbl>
      <w:tblPr>
        <w:tblStyle w:val="38"/>
        <w:tblW w:w="962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37"/>
        <w:gridCol w:w="192"/>
        <w:gridCol w:w="887"/>
        <w:gridCol w:w="660"/>
        <w:gridCol w:w="328"/>
        <w:gridCol w:w="235"/>
        <w:gridCol w:w="1415"/>
        <w:gridCol w:w="242"/>
        <w:gridCol w:w="1087"/>
        <w:gridCol w:w="89"/>
        <w:gridCol w:w="408"/>
        <w:gridCol w:w="1136"/>
        <w:gridCol w:w="87"/>
        <w:gridCol w:w="1395"/>
        <w:gridCol w:w="25"/>
      </w:tblGrid>
      <w:tr w14:paraId="53475F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9" w:hRule="atLeast"/>
          <w:jc w:val="center"/>
        </w:trPr>
        <w:tc>
          <w:tcPr>
            <w:tcW w:w="1437" w:type="dxa"/>
          </w:tcPr>
          <w:p w14:paraId="53475FDA">
            <w:pPr>
              <w:kinsoku w:val="0"/>
              <w:autoSpaceDE w:val="0"/>
              <w:autoSpaceDN w:val="0"/>
              <w:adjustRightInd w:val="0"/>
              <w:snapToGrid w:val="0"/>
              <w:spacing w:line="360" w:lineRule="auto"/>
              <w:ind w:left="382"/>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姓名</w:t>
            </w:r>
          </w:p>
        </w:tc>
        <w:tc>
          <w:tcPr>
            <w:tcW w:w="2067" w:type="dxa"/>
            <w:gridSpan w:val="4"/>
          </w:tcPr>
          <w:p w14:paraId="53475FDB">
            <w:pPr>
              <w:spacing w:line="360" w:lineRule="auto"/>
              <w:rPr>
                <w:rFonts w:ascii="宋体" w:hAnsi="宋体" w:cs="宋体"/>
                <w:color w:val="auto"/>
                <w:sz w:val="24"/>
                <w:highlight w:val="none"/>
              </w:rPr>
            </w:pPr>
          </w:p>
        </w:tc>
        <w:tc>
          <w:tcPr>
            <w:tcW w:w="1892" w:type="dxa"/>
            <w:gridSpan w:val="3"/>
          </w:tcPr>
          <w:p w14:paraId="53475FDC">
            <w:pPr>
              <w:kinsoku w:val="0"/>
              <w:autoSpaceDE w:val="0"/>
              <w:autoSpaceDN w:val="0"/>
              <w:adjustRightInd w:val="0"/>
              <w:snapToGrid w:val="0"/>
              <w:spacing w:line="360" w:lineRule="auto"/>
              <w:ind w:left="742"/>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性别</w:t>
            </w:r>
          </w:p>
        </w:tc>
        <w:tc>
          <w:tcPr>
            <w:tcW w:w="1584" w:type="dxa"/>
            <w:gridSpan w:val="3"/>
          </w:tcPr>
          <w:p w14:paraId="53475FDD">
            <w:pPr>
              <w:spacing w:line="360" w:lineRule="auto"/>
              <w:rPr>
                <w:rFonts w:ascii="宋体" w:hAnsi="宋体" w:cs="宋体"/>
                <w:color w:val="auto"/>
                <w:sz w:val="24"/>
                <w:highlight w:val="none"/>
              </w:rPr>
            </w:pPr>
          </w:p>
        </w:tc>
        <w:tc>
          <w:tcPr>
            <w:tcW w:w="1136" w:type="dxa"/>
          </w:tcPr>
          <w:p w14:paraId="53475FDE">
            <w:pPr>
              <w:kinsoku w:val="0"/>
              <w:autoSpaceDE w:val="0"/>
              <w:autoSpaceDN w:val="0"/>
              <w:adjustRightInd w:val="0"/>
              <w:snapToGrid w:val="0"/>
              <w:spacing w:line="360" w:lineRule="auto"/>
              <w:ind w:left="351"/>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年龄</w:t>
            </w:r>
          </w:p>
        </w:tc>
        <w:tc>
          <w:tcPr>
            <w:tcW w:w="1507" w:type="dxa"/>
            <w:gridSpan w:val="3"/>
          </w:tcPr>
          <w:p w14:paraId="53475FDF">
            <w:pPr>
              <w:spacing w:line="360" w:lineRule="auto"/>
              <w:rPr>
                <w:rFonts w:ascii="宋体" w:hAnsi="宋体" w:cs="宋体"/>
                <w:color w:val="auto"/>
                <w:sz w:val="24"/>
                <w:highlight w:val="none"/>
              </w:rPr>
            </w:pPr>
          </w:p>
        </w:tc>
      </w:tr>
      <w:tr w14:paraId="53475F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1437" w:type="dxa"/>
          </w:tcPr>
          <w:p w14:paraId="53475FE1">
            <w:pPr>
              <w:kinsoku w:val="0"/>
              <w:autoSpaceDE w:val="0"/>
              <w:autoSpaceDN w:val="0"/>
              <w:adjustRightInd w:val="0"/>
              <w:snapToGrid w:val="0"/>
              <w:spacing w:line="360" w:lineRule="auto"/>
              <w:ind w:left="405"/>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8"/>
                <w:kern w:val="0"/>
                <w:sz w:val="24"/>
                <w:highlight w:val="none"/>
                <w:lang w:eastAsia="en-US"/>
              </w:rPr>
              <w:t>岗位</w:t>
            </w:r>
          </w:p>
        </w:tc>
        <w:tc>
          <w:tcPr>
            <w:tcW w:w="2067" w:type="dxa"/>
            <w:gridSpan w:val="4"/>
          </w:tcPr>
          <w:p w14:paraId="53475FE2">
            <w:pPr>
              <w:kinsoku w:val="0"/>
              <w:autoSpaceDE w:val="0"/>
              <w:autoSpaceDN w:val="0"/>
              <w:adjustRightInd w:val="0"/>
              <w:snapToGrid w:val="0"/>
              <w:spacing w:line="360" w:lineRule="auto"/>
              <w:jc w:val="left"/>
              <w:textAlignment w:val="baseline"/>
              <w:rPr>
                <w:rFonts w:ascii="宋体" w:hAnsi="宋体" w:cs="宋体"/>
                <w:snapToGrid w:val="0"/>
                <w:color w:val="auto"/>
                <w:kern w:val="0"/>
                <w:sz w:val="24"/>
                <w:highlight w:val="none"/>
              </w:rPr>
            </w:pPr>
            <w:r>
              <w:rPr>
                <w:rFonts w:hint="eastAsia" w:ascii="宋体" w:hAnsi="宋体" w:cs="宋体"/>
                <w:snapToGrid w:val="0"/>
                <w:color w:val="auto"/>
                <w:spacing w:val="-2"/>
                <w:kern w:val="0"/>
                <w:sz w:val="24"/>
                <w:highlight w:val="none"/>
                <w:lang w:eastAsia="en-US"/>
              </w:rPr>
              <w:t>项目技术负责人（项目 总工）</w:t>
            </w:r>
          </w:p>
        </w:tc>
        <w:tc>
          <w:tcPr>
            <w:tcW w:w="1892" w:type="dxa"/>
            <w:gridSpan w:val="3"/>
          </w:tcPr>
          <w:p w14:paraId="53475FE3">
            <w:pPr>
              <w:kinsoku w:val="0"/>
              <w:autoSpaceDE w:val="0"/>
              <w:autoSpaceDN w:val="0"/>
              <w:adjustRightInd w:val="0"/>
              <w:snapToGrid w:val="0"/>
              <w:spacing w:line="360" w:lineRule="auto"/>
              <w:ind w:left="743"/>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职称</w:t>
            </w:r>
          </w:p>
        </w:tc>
        <w:tc>
          <w:tcPr>
            <w:tcW w:w="1584" w:type="dxa"/>
            <w:gridSpan w:val="3"/>
          </w:tcPr>
          <w:p w14:paraId="53475FE4">
            <w:pPr>
              <w:spacing w:line="360" w:lineRule="auto"/>
              <w:rPr>
                <w:rFonts w:ascii="宋体" w:hAnsi="宋体" w:cs="宋体"/>
                <w:color w:val="auto"/>
                <w:sz w:val="24"/>
                <w:highlight w:val="none"/>
              </w:rPr>
            </w:pPr>
          </w:p>
        </w:tc>
        <w:tc>
          <w:tcPr>
            <w:tcW w:w="1136" w:type="dxa"/>
          </w:tcPr>
          <w:p w14:paraId="53475FE5">
            <w:pPr>
              <w:kinsoku w:val="0"/>
              <w:autoSpaceDE w:val="0"/>
              <w:autoSpaceDN w:val="0"/>
              <w:adjustRightInd w:val="0"/>
              <w:snapToGrid w:val="0"/>
              <w:spacing w:line="360" w:lineRule="auto"/>
              <w:ind w:left="354"/>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3"/>
                <w:kern w:val="0"/>
                <w:sz w:val="24"/>
                <w:highlight w:val="none"/>
                <w:lang w:eastAsia="en-US"/>
              </w:rPr>
              <w:t>学历</w:t>
            </w:r>
          </w:p>
        </w:tc>
        <w:tc>
          <w:tcPr>
            <w:tcW w:w="1507" w:type="dxa"/>
            <w:gridSpan w:val="3"/>
          </w:tcPr>
          <w:p w14:paraId="53475FE6">
            <w:pPr>
              <w:spacing w:line="360" w:lineRule="auto"/>
              <w:rPr>
                <w:rFonts w:ascii="宋体" w:hAnsi="宋体" w:cs="宋体"/>
                <w:color w:val="auto"/>
                <w:sz w:val="24"/>
                <w:highlight w:val="none"/>
              </w:rPr>
            </w:pPr>
          </w:p>
        </w:tc>
      </w:tr>
      <w:tr w14:paraId="53475F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1437" w:type="dxa"/>
          </w:tcPr>
          <w:p w14:paraId="53475FE8">
            <w:pPr>
              <w:kinsoku w:val="0"/>
              <w:autoSpaceDE w:val="0"/>
              <w:autoSpaceDN w:val="0"/>
              <w:adjustRightInd w:val="0"/>
              <w:snapToGrid w:val="0"/>
              <w:spacing w:line="360" w:lineRule="auto"/>
              <w:ind w:right="155"/>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3"/>
                <w:kern w:val="0"/>
                <w:sz w:val="24"/>
                <w:highlight w:val="none"/>
                <w:lang w:eastAsia="en-US"/>
              </w:rPr>
              <w:t>从业始</w:t>
            </w:r>
            <w:r>
              <w:rPr>
                <w:rFonts w:hint="eastAsia" w:ascii="宋体" w:hAnsi="宋体" w:cs="宋体"/>
                <w:snapToGrid w:val="0"/>
                <w:color w:val="auto"/>
                <w:spacing w:val="-4"/>
                <w:kern w:val="0"/>
                <w:sz w:val="24"/>
                <w:highlight w:val="none"/>
                <w:lang w:eastAsia="en-US"/>
              </w:rPr>
              <w:t>时间</w:t>
            </w:r>
          </w:p>
        </w:tc>
        <w:tc>
          <w:tcPr>
            <w:tcW w:w="2067" w:type="dxa"/>
            <w:gridSpan w:val="4"/>
          </w:tcPr>
          <w:p w14:paraId="53475FE9">
            <w:pPr>
              <w:spacing w:line="360" w:lineRule="auto"/>
              <w:rPr>
                <w:rFonts w:ascii="宋体" w:hAnsi="宋体" w:cs="宋体"/>
                <w:color w:val="auto"/>
                <w:sz w:val="24"/>
                <w:highlight w:val="none"/>
              </w:rPr>
            </w:pPr>
          </w:p>
        </w:tc>
        <w:tc>
          <w:tcPr>
            <w:tcW w:w="1892" w:type="dxa"/>
            <w:gridSpan w:val="3"/>
          </w:tcPr>
          <w:p w14:paraId="53475FEA">
            <w:pPr>
              <w:kinsoku w:val="0"/>
              <w:autoSpaceDE w:val="0"/>
              <w:autoSpaceDN w:val="0"/>
              <w:adjustRightInd w:val="0"/>
              <w:snapToGrid w:val="0"/>
              <w:spacing w:line="360" w:lineRule="auto"/>
              <w:ind w:left="323"/>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职称获得时间</w:t>
            </w:r>
          </w:p>
        </w:tc>
        <w:tc>
          <w:tcPr>
            <w:tcW w:w="1584" w:type="dxa"/>
            <w:gridSpan w:val="3"/>
          </w:tcPr>
          <w:p w14:paraId="53475FEB">
            <w:pPr>
              <w:spacing w:line="360" w:lineRule="auto"/>
              <w:rPr>
                <w:rFonts w:ascii="宋体" w:hAnsi="宋体" w:cs="宋体"/>
                <w:color w:val="auto"/>
                <w:sz w:val="24"/>
                <w:highlight w:val="none"/>
              </w:rPr>
            </w:pPr>
          </w:p>
        </w:tc>
        <w:tc>
          <w:tcPr>
            <w:tcW w:w="1136" w:type="dxa"/>
          </w:tcPr>
          <w:p w14:paraId="53475FEC">
            <w:pPr>
              <w:kinsoku w:val="0"/>
              <w:autoSpaceDE w:val="0"/>
              <w:autoSpaceDN w:val="0"/>
              <w:adjustRightInd w:val="0"/>
              <w:snapToGrid w:val="0"/>
              <w:spacing w:line="360" w:lineRule="auto"/>
              <w:ind w:left="145"/>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3"/>
                <w:kern w:val="0"/>
                <w:sz w:val="24"/>
                <w:highlight w:val="none"/>
                <w:lang w:eastAsia="en-US"/>
              </w:rPr>
              <w:t>毕业时间</w:t>
            </w:r>
          </w:p>
        </w:tc>
        <w:tc>
          <w:tcPr>
            <w:tcW w:w="1507" w:type="dxa"/>
            <w:gridSpan w:val="3"/>
          </w:tcPr>
          <w:p w14:paraId="53475FED">
            <w:pPr>
              <w:spacing w:line="360" w:lineRule="auto"/>
              <w:rPr>
                <w:rFonts w:ascii="宋体" w:hAnsi="宋体" w:cs="宋体"/>
                <w:color w:val="auto"/>
                <w:sz w:val="24"/>
                <w:highlight w:val="none"/>
              </w:rPr>
            </w:pPr>
          </w:p>
        </w:tc>
      </w:tr>
      <w:tr w14:paraId="53475F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jc w:val="center"/>
        </w:trPr>
        <w:tc>
          <w:tcPr>
            <w:tcW w:w="1437" w:type="dxa"/>
          </w:tcPr>
          <w:p w14:paraId="53475FEF">
            <w:pPr>
              <w:kinsoku w:val="0"/>
              <w:autoSpaceDE w:val="0"/>
              <w:autoSpaceDN w:val="0"/>
              <w:adjustRightInd w:val="0"/>
              <w:snapToGrid w:val="0"/>
              <w:spacing w:line="360" w:lineRule="auto"/>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担任</w:t>
            </w:r>
            <w:r>
              <w:rPr>
                <w:rFonts w:hint="eastAsia" w:ascii="宋体" w:hAnsi="宋体" w:cs="宋体"/>
                <w:snapToGrid w:val="0"/>
                <w:color w:val="auto"/>
                <w:spacing w:val="-2"/>
                <w:kern w:val="0"/>
                <w:sz w:val="24"/>
                <w:highlight w:val="none"/>
              </w:rPr>
              <w:t>技术负责人</w:t>
            </w:r>
            <w:r>
              <w:rPr>
                <w:rFonts w:hint="eastAsia" w:ascii="宋体" w:hAnsi="宋体" w:cs="宋体"/>
                <w:snapToGrid w:val="0"/>
                <w:color w:val="auto"/>
                <w:spacing w:val="-2"/>
                <w:kern w:val="0"/>
                <w:sz w:val="24"/>
                <w:highlight w:val="none"/>
                <w:lang w:eastAsia="en-US"/>
              </w:rPr>
              <w:t>年限</w:t>
            </w:r>
          </w:p>
        </w:tc>
        <w:tc>
          <w:tcPr>
            <w:tcW w:w="2067" w:type="dxa"/>
            <w:gridSpan w:val="4"/>
          </w:tcPr>
          <w:p w14:paraId="53475FF0">
            <w:pPr>
              <w:spacing w:line="360" w:lineRule="auto"/>
              <w:rPr>
                <w:rFonts w:ascii="宋体" w:hAnsi="宋体" w:cs="宋体"/>
                <w:color w:val="auto"/>
                <w:sz w:val="24"/>
                <w:highlight w:val="none"/>
              </w:rPr>
            </w:pPr>
          </w:p>
        </w:tc>
        <w:tc>
          <w:tcPr>
            <w:tcW w:w="1650" w:type="dxa"/>
            <w:gridSpan w:val="2"/>
          </w:tcPr>
          <w:p w14:paraId="53475FF1">
            <w:pPr>
              <w:kinsoku w:val="0"/>
              <w:autoSpaceDE w:val="0"/>
              <w:autoSpaceDN w:val="0"/>
              <w:adjustRightInd w:val="0"/>
              <w:snapToGrid w:val="0"/>
              <w:spacing w:line="360" w:lineRule="auto"/>
              <w:ind w:left="311"/>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3"/>
                <w:kern w:val="0"/>
                <w:sz w:val="24"/>
                <w:highlight w:val="none"/>
                <w:lang w:eastAsia="en-US"/>
              </w:rPr>
              <w:t>身份证号码</w:t>
            </w:r>
          </w:p>
        </w:tc>
        <w:tc>
          <w:tcPr>
            <w:tcW w:w="4469" w:type="dxa"/>
            <w:gridSpan w:val="8"/>
          </w:tcPr>
          <w:p w14:paraId="53475FF2">
            <w:pPr>
              <w:spacing w:line="360" w:lineRule="auto"/>
              <w:rPr>
                <w:rFonts w:ascii="宋体" w:hAnsi="宋体" w:cs="宋体"/>
                <w:color w:val="auto"/>
                <w:sz w:val="24"/>
                <w:highlight w:val="none"/>
              </w:rPr>
            </w:pPr>
          </w:p>
        </w:tc>
      </w:tr>
      <w:tr w14:paraId="53475F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jc w:val="center"/>
        </w:trPr>
        <w:tc>
          <w:tcPr>
            <w:tcW w:w="1437" w:type="dxa"/>
          </w:tcPr>
          <w:p w14:paraId="53475FF4">
            <w:pPr>
              <w:kinsoku w:val="0"/>
              <w:autoSpaceDE w:val="0"/>
              <w:autoSpaceDN w:val="0"/>
              <w:adjustRightInd w:val="0"/>
              <w:snapToGrid w:val="0"/>
              <w:spacing w:line="360" w:lineRule="auto"/>
              <w:ind w:left="252"/>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证书名称</w:t>
            </w:r>
          </w:p>
        </w:tc>
        <w:tc>
          <w:tcPr>
            <w:tcW w:w="1079" w:type="dxa"/>
            <w:gridSpan w:val="2"/>
          </w:tcPr>
          <w:p w14:paraId="53475FF5">
            <w:pPr>
              <w:kinsoku w:val="0"/>
              <w:autoSpaceDE w:val="0"/>
              <w:autoSpaceDN w:val="0"/>
              <w:adjustRightInd w:val="0"/>
              <w:snapToGrid w:val="0"/>
              <w:spacing w:line="360" w:lineRule="auto"/>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注册专业</w:t>
            </w:r>
          </w:p>
        </w:tc>
        <w:tc>
          <w:tcPr>
            <w:tcW w:w="1223" w:type="dxa"/>
            <w:gridSpan w:val="3"/>
          </w:tcPr>
          <w:p w14:paraId="53475FF6">
            <w:pPr>
              <w:kinsoku w:val="0"/>
              <w:autoSpaceDE w:val="0"/>
              <w:autoSpaceDN w:val="0"/>
              <w:adjustRightInd w:val="0"/>
              <w:snapToGrid w:val="0"/>
              <w:spacing w:line="360" w:lineRule="auto"/>
              <w:ind w:left="411"/>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3"/>
                <w:kern w:val="0"/>
                <w:sz w:val="24"/>
                <w:highlight w:val="none"/>
                <w:lang w:eastAsia="en-US"/>
              </w:rPr>
              <w:t>级别</w:t>
            </w:r>
          </w:p>
        </w:tc>
        <w:tc>
          <w:tcPr>
            <w:tcW w:w="1415" w:type="dxa"/>
          </w:tcPr>
          <w:p w14:paraId="53475FF7">
            <w:pPr>
              <w:kinsoku w:val="0"/>
              <w:autoSpaceDE w:val="0"/>
              <w:autoSpaceDN w:val="0"/>
              <w:adjustRightInd w:val="0"/>
              <w:snapToGrid w:val="0"/>
              <w:spacing w:line="360" w:lineRule="auto"/>
              <w:ind w:left="293"/>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证书编号</w:t>
            </w:r>
          </w:p>
        </w:tc>
        <w:tc>
          <w:tcPr>
            <w:tcW w:w="1418" w:type="dxa"/>
            <w:gridSpan w:val="3"/>
          </w:tcPr>
          <w:p w14:paraId="53475FF8">
            <w:pPr>
              <w:kinsoku w:val="0"/>
              <w:autoSpaceDE w:val="0"/>
              <w:autoSpaceDN w:val="0"/>
              <w:adjustRightInd w:val="0"/>
              <w:snapToGrid w:val="0"/>
              <w:spacing w:line="360" w:lineRule="auto"/>
              <w:ind w:left="294"/>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注册时间</w:t>
            </w:r>
          </w:p>
        </w:tc>
        <w:tc>
          <w:tcPr>
            <w:tcW w:w="1631" w:type="dxa"/>
            <w:gridSpan w:val="3"/>
          </w:tcPr>
          <w:p w14:paraId="53475FF9">
            <w:pPr>
              <w:kinsoku w:val="0"/>
              <w:autoSpaceDE w:val="0"/>
              <w:autoSpaceDN w:val="0"/>
              <w:adjustRightInd w:val="0"/>
              <w:snapToGrid w:val="0"/>
              <w:spacing w:line="360" w:lineRule="auto"/>
              <w:ind w:left="402"/>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注册单位</w:t>
            </w:r>
          </w:p>
        </w:tc>
        <w:tc>
          <w:tcPr>
            <w:tcW w:w="1420" w:type="dxa"/>
            <w:gridSpan w:val="2"/>
          </w:tcPr>
          <w:p w14:paraId="53475FFA">
            <w:pPr>
              <w:kinsoku w:val="0"/>
              <w:autoSpaceDE w:val="0"/>
              <w:autoSpaceDN w:val="0"/>
              <w:adjustRightInd w:val="0"/>
              <w:snapToGrid w:val="0"/>
              <w:spacing w:line="360" w:lineRule="auto"/>
              <w:ind w:left="190"/>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1"/>
                <w:kern w:val="0"/>
                <w:sz w:val="24"/>
                <w:highlight w:val="none"/>
                <w:lang w:eastAsia="en-US"/>
              </w:rPr>
              <w:t>注册有效期</w:t>
            </w:r>
          </w:p>
        </w:tc>
      </w:tr>
      <w:tr w14:paraId="534760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jc w:val="center"/>
        </w:trPr>
        <w:tc>
          <w:tcPr>
            <w:tcW w:w="1437" w:type="dxa"/>
          </w:tcPr>
          <w:p w14:paraId="53475FFC">
            <w:pPr>
              <w:spacing w:line="360" w:lineRule="auto"/>
              <w:rPr>
                <w:rFonts w:ascii="宋体" w:hAnsi="宋体" w:cs="宋体"/>
                <w:color w:val="auto"/>
                <w:sz w:val="24"/>
                <w:highlight w:val="none"/>
              </w:rPr>
            </w:pPr>
          </w:p>
        </w:tc>
        <w:tc>
          <w:tcPr>
            <w:tcW w:w="1079" w:type="dxa"/>
            <w:gridSpan w:val="2"/>
          </w:tcPr>
          <w:p w14:paraId="53475FFD">
            <w:pPr>
              <w:spacing w:line="360" w:lineRule="auto"/>
              <w:rPr>
                <w:rFonts w:ascii="宋体" w:hAnsi="宋体" w:cs="宋体"/>
                <w:color w:val="auto"/>
                <w:sz w:val="24"/>
                <w:highlight w:val="none"/>
              </w:rPr>
            </w:pPr>
          </w:p>
        </w:tc>
        <w:tc>
          <w:tcPr>
            <w:tcW w:w="1223" w:type="dxa"/>
            <w:gridSpan w:val="3"/>
          </w:tcPr>
          <w:p w14:paraId="53475FFE">
            <w:pPr>
              <w:spacing w:line="360" w:lineRule="auto"/>
              <w:rPr>
                <w:rFonts w:ascii="宋体" w:hAnsi="宋体" w:cs="宋体"/>
                <w:color w:val="auto"/>
                <w:sz w:val="24"/>
                <w:highlight w:val="none"/>
              </w:rPr>
            </w:pPr>
          </w:p>
        </w:tc>
        <w:tc>
          <w:tcPr>
            <w:tcW w:w="1415" w:type="dxa"/>
          </w:tcPr>
          <w:p w14:paraId="53475FFF">
            <w:pPr>
              <w:spacing w:line="360" w:lineRule="auto"/>
              <w:rPr>
                <w:rFonts w:ascii="宋体" w:hAnsi="宋体" w:cs="宋体"/>
                <w:color w:val="auto"/>
                <w:sz w:val="24"/>
                <w:highlight w:val="none"/>
              </w:rPr>
            </w:pPr>
          </w:p>
        </w:tc>
        <w:tc>
          <w:tcPr>
            <w:tcW w:w="1418" w:type="dxa"/>
            <w:gridSpan w:val="3"/>
          </w:tcPr>
          <w:p w14:paraId="53476000">
            <w:pPr>
              <w:spacing w:line="360" w:lineRule="auto"/>
              <w:rPr>
                <w:rFonts w:ascii="宋体" w:hAnsi="宋体" w:cs="宋体"/>
                <w:color w:val="auto"/>
                <w:sz w:val="24"/>
                <w:highlight w:val="none"/>
              </w:rPr>
            </w:pPr>
          </w:p>
        </w:tc>
        <w:tc>
          <w:tcPr>
            <w:tcW w:w="1631" w:type="dxa"/>
            <w:gridSpan w:val="3"/>
          </w:tcPr>
          <w:p w14:paraId="53476001">
            <w:pPr>
              <w:spacing w:line="360" w:lineRule="auto"/>
              <w:rPr>
                <w:rFonts w:ascii="宋体" w:hAnsi="宋体" w:cs="宋体"/>
                <w:color w:val="auto"/>
                <w:sz w:val="24"/>
                <w:highlight w:val="none"/>
              </w:rPr>
            </w:pPr>
          </w:p>
        </w:tc>
        <w:tc>
          <w:tcPr>
            <w:tcW w:w="1420" w:type="dxa"/>
            <w:gridSpan w:val="2"/>
          </w:tcPr>
          <w:p w14:paraId="53476002">
            <w:pPr>
              <w:spacing w:line="360" w:lineRule="auto"/>
              <w:rPr>
                <w:rFonts w:ascii="宋体" w:hAnsi="宋体" w:cs="宋体"/>
                <w:color w:val="auto"/>
                <w:sz w:val="24"/>
                <w:highlight w:val="none"/>
              </w:rPr>
            </w:pPr>
          </w:p>
        </w:tc>
      </w:tr>
      <w:tr w14:paraId="534760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jc w:val="center"/>
        </w:trPr>
        <w:tc>
          <w:tcPr>
            <w:tcW w:w="1437" w:type="dxa"/>
          </w:tcPr>
          <w:p w14:paraId="53476004">
            <w:pPr>
              <w:spacing w:line="360" w:lineRule="auto"/>
              <w:rPr>
                <w:rFonts w:ascii="宋体" w:hAnsi="宋体" w:cs="宋体"/>
                <w:color w:val="auto"/>
                <w:sz w:val="24"/>
                <w:highlight w:val="none"/>
              </w:rPr>
            </w:pPr>
          </w:p>
        </w:tc>
        <w:tc>
          <w:tcPr>
            <w:tcW w:w="1079" w:type="dxa"/>
            <w:gridSpan w:val="2"/>
          </w:tcPr>
          <w:p w14:paraId="53476005">
            <w:pPr>
              <w:spacing w:line="360" w:lineRule="auto"/>
              <w:rPr>
                <w:rFonts w:ascii="宋体" w:hAnsi="宋体" w:cs="宋体"/>
                <w:color w:val="auto"/>
                <w:sz w:val="24"/>
                <w:highlight w:val="none"/>
              </w:rPr>
            </w:pPr>
          </w:p>
        </w:tc>
        <w:tc>
          <w:tcPr>
            <w:tcW w:w="1223" w:type="dxa"/>
            <w:gridSpan w:val="3"/>
          </w:tcPr>
          <w:p w14:paraId="53476006">
            <w:pPr>
              <w:spacing w:line="360" w:lineRule="auto"/>
              <w:rPr>
                <w:rFonts w:ascii="宋体" w:hAnsi="宋体" w:cs="宋体"/>
                <w:color w:val="auto"/>
                <w:sz w:val="24"/>
                <w:highlight w:val="none"/>
              </w:rPr>
            </w:pPr>
          </w:p>
        </w:tc>
        <w:tc>
          <w:tcPr>
            <w:tcW w:w="1415" w:type="dxa"/>
          </w:tcPr>
          <w:p w14:paraId="53476007">
            <w:pPr>
              <w:spacing w:line="360" w:lineRule="auto"/>
              <w:rPr>
                <w:rFonts w:ascii="宋体" w:hAnsi="宋体" w:cs="宋体"/>
                <w:color w:val="auto"/>
                <w:sz w:val="24"/>
                <w:highlight w:val="none"/>
              </w:rPr>
            </w:pPr>
          </w:p>
        </w:tc>
        <w:tc>
          <w:tcPr>
            <w:tcW w:w="1418" w:type="dxa"/>
            <w:gridSpan w:val="3"/>
          </w:tcPr>
          <w:p w14:paraId="53476008">
            <w:pPr>
              <w:spacing w:line="360" w:lineRule="auto"/>
              <w:rPr>
                <w:rFonts w:ascii="宋体" w:hAnsi="宋体" w:cs="宋体"/>
                <w:color w:val="auto"/>
                <w:sz w:val="24"/>
                <w:highlight w:val="none"/>
              </w:rPr>
            </w:pPr>
          </w:p>
        </w:tc>
        <w:tc>
          <w:tcPr>
            <w:tcW w:w="1631" w:type="dxa"/>
            <w:gridSpan w:val="3"/>
          </w:tcPr>
          <w:p w14:paraId="53476009">
            <w:pPr>
              <w:spacing w:line="360" w:lineRule="auto"/>
              <w:rPr>
                <w:rFonts w:ascii="宋体" w:hAnsi="宋体" w:cs="宋体"/>
                <w:color w:val="auto"/>
                <w:sz w:val="24"/>
                <w:highlight w:val="none"/>
              </w:rPr>
            </w:pPr>
          </w:p>
        </w:tc>
        <w:tc>
          <w:tcPr>
            <w:tcW w:w="1420" w:type="dxa"/>
            <w:gridSpan w:val="2"/>
          </w:tcPr>
          <w:p w14:paraId="5347600A">
            <w:pPr>
              <w:spacing w:line="360" w:lineRule="auto"/>
              <w:rPr>
                <w:rFonts w:ascii="宋体" w:hAnsi="宋体" w:cs="宋体"/>
                <w:color w:val="auto"/>
                <w:sz w:val="24"/>
                <w:highlight w:val="none"/>
              </w:rPr>
            </w:pPr>
          </w:p>
        </w:tc>
      </w:tr>
      <w:tr w14:paraId="534760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6" w:hRule="atLeast"/>
          <w:jc w:val="center"/>
        </w:trPr>
        <w:tc>
          <w:tcPr>
            <w:tcW w:w="9623" w:type="dxa"/>
            <w:gridSpan w:val="15"/>
          </w:tcPr>
          <w:p w14:paraId="5347600C">
            <w:pPr>
              <w:kinsoku w:val="0"/>
              <w:autoSpaceDE w:val="0"/>
              <w:autoSpaceDN w:val="0"/>
              <w:adjustRightInd w:val="0"/>
              <w:snapToGrid w:val="0"/>
              <w:spacing w:line="360" w:lineRule="auto"/>
              <w:ind w:left="3664"/>
              <w:jc w:val="left"/>
              <w:textAlignment w:val="baseline"/>
              <w:rPr>
                <w:rFonts w:ascii="宋体" w:hAnsi="宋体" w:cs="宋体"/>
                <w:snapToGrid w:val="0"/>
                <w:color w:val="auto"/>
                <w:kern w:val="0"/>
                <w:sz w:val="24"/>
                <w:highlight w:val="none"/>
              </w:rPr>
            </w:pPr>
            <w:r>
              <w:rPr>
                <w:rFonts w:hint="eastAsia" w:ascii="宋体" w:hAnsi="宋体" w:cs="宋体"/>
                <w:snapToGrid w:val="0"/>
                <w:color w:val="auto"/>
                <w:spacing w:val="-1"/>
                <w:kern w:val="0"/>
                <w:sz w:val="24"/>
                <w:highlight w:val="none"/>
              </w:rPr>
              <w:t>在建和已完工程项目情况</w:t>
            </w:r>
          </w:p>
        </w:tc>
      </w:tr>
      <w:tr w14:paraId="534760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jc w:val="center"/>
        </w:trPr>
        <w:tc>
          <w:tcPr>
            <w:tcW w:w="1629" w:type="dxa"/>
            <w:gridSpan w:val="2"/>
          </w:tcPr>
          <w:p w14:paraId="5347600E">
            <w:pPr>
              <w:spacing w:line="360" w:lineRule="auto"/>
              <w:rPr>
                <w:rFonts w:ascii="宋体" w:hAnsi="宋体" w:cs="宋体"/>
                <w:color w:val="auto"/>
                <w:sz w:val="24"/>
                <w:highlight w:val="none"/>
              </w:rPr>
            </w:pPr>
          </w:p>
        </w:tc>
        <w:tc>
          <w:tcPr>
            <w:tcW w:w="1547" w:type="dxa"/>
            <w:gridSpan w:val="2"/>
          </w:tcPr>
          <w:p w14:paraId="5347600F">
            <w:pPr>
              <w:kinsoku w:val="0"/>
              <w:autoSpaceDE w:val="0"/>
              <w:autoSpaceDN w:val="0"/>
              <w:adjustRightInd w:val="0"/>
              <w:snapToGrid w:val="0"/>
              <w:spacing w:line="360" w:lineRule="auto"/>
              <w:ind w:left="494"/>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4"/>
                <w:kern w:val="0"/>
                <w:sz w:val="24"/>
                <w:highlight w:val="none"/>
                <w:lang w:eastAsia="en-US"/>
              </w:rPr>
              <w:t>项目</w:t>
            </w:r>
            <w:r>
              <w:rPr>
                <w:rFonts w:hint="eastAsia" w:ascii="宋体" w:hAnsi="宋体" w:cs="宋体"/>
                <w:snapToGrid w:val="0"/>
                <w:color w:val="auto"/>
                <w:spacing w:val="-26"/>
                <w:kern w:val="0"/>
                <w:sz w:val="24"/>
                <w:highlight w:val="none"/>
                <w:lang w:eastAsia="en-US"/>
              </w:rPr>
              <w:t xml:space="preserve"> </w:t>
            </w:r>
            <w:r>
              <w:rPr>
                <w:rFonts w:hint="eastAsia" w:ascii="宋体" w:hAnsi="宋体" w:cs="宋体"/>
                <w:snapToGrid w:val="0"/>
                <w:color w:val="auto"/>
                <w:spacing w:val="-4"/>
                <w:kern w:val="0"/>
                <w:sz w:val="24"/>
                <w:highlight w:val="none"/>
                <w:lang w:eastAsia="en-US"/>
              </w:rPr>
              <w:t>1</w:t>
            </w:r>
          </w:p>
        </w:tc>
        <w:tc>
          <w:tcPr>
            <w:tcW w:w="1978" w:type="dxa"/>
            <w:gridSpan w:val="3"/>
          </w:tcPr>
          <w:p w14:paraId="53476010">
            <w:pPr>
              <w:kinsoku w:val="0"/>
              <w:autoSpaceDE w:val="0"/>
              <w:autoSpaceDN w:val="0"/>
              <w:adjustRightInd w:val="0"/>
              <w:snapToGrid w:val="0"/>
              <w:spacing w:line="360" w:lineRule="auto"/>
              <w:ind w:left="711"/>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4"/>
                <w:kern w:val="0"/>
                <w:sz w:val="24"/>
                <w:highlight w:val="none"/>
                <w:lang w:eastAsia="en-US"/>
              </w:rPr>
              <w:t>项目</w:t>
            </w:r>
            <w:r>
              <w:rPr>
                <w:rFonts w:hint="eastAsia" w:ascii="宋体" w:hAnsi="宋体" w:cs="宋体"/>
                <w:snapToGrid w:val="0"/>
                <w:color w:val="auto"/>
                <w:spacing w:val="-46"/>
                <w:kern w:val="0"/>
                <w:sz w:val="24"/>
                <w:highlight w:val="none"/>
                <w:lang w:eastAsia="en-US"/>
              </w:rPr>
              <w:t xml:space="preserve"> </w:t>
            </w:r>
            <w:r>
              <w:rPr>
                <w:rFonts w:hint="eastAsia" w:ascii="宋体" w:hAnsi="宋体" w:cs="宋体"/>
                <w:snapToGrid w:val="0"/>
                <w:color w:val="auto"/>
                <w:spacing w:val="-4"/>
                <w:kern w:val="0"/>
                <w:sz w:val="24"/>
                <w:highlight w:val="none"/>
                <w:lang w:eastAsia="en-US"/>
              </w:rPr>
              <w:t>2</w:t>
            </w:r>
          </w:p>
        </w:tc>
        <w:tc>
          <w:tcPr>
            <w:tcW w:w="1329" w:type="dxa"/>
            <w:gridSpan w:val="2"/>
          </w:tcPr>
          <w:p w14:paraId="53476011">
            <w:pPr>
              <w:kinsoku w:val="0"/>
              <w:autoSpaceDE w:val="0"/>
              <w:autoSpaceDN w:val="0"/>
              <w:adjustRightInd w:val="0"/>
              <w:snapToGrid w:val="0"/>
              <w:spacing w:line="360" w:lineRule="auto"/>
              <w:ind w:left="385"/>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4"/>
                <w:kern w:val="0"/>
                <w:sz w:val="24"/>
                <w:highlight w:val="none"/>
                <w:lang w:eastAsia="en-US"/>
              </w:rPr>
              <w:t>项目</w:t>
            </w:r>
            <w:r>
              <w:rPr>
                <w:rFonts w:hint="eastAsia" w:ascii="宋体" w:hAnsi="宋体" w:cs="宋体"/>
                <w:snapToGrid w:val="0"/>
                <w:color w:val="auto"/>
                <w:spacing w:val="-42"/>
                <w:kern w:val="0"/>
                <w:sz w:val="24"/>
                <w:highlight w:val="none"/>
                <w:lang w:eastAsia="en-US"/>
              </w:rPr>
              <w:t xml:space="preserve"> </w:t>
            </w:r>
            <w:r>
              <w:rPr>
                <w:rFonts w:hint="eastAsia" w:ascii="宋体" w:hAnsi="宋体" w:cs="宋体"/>
                <w:snapToGrid w:val="0"/>
                <w:color w:val="auto"/>
                <w:spacing w:val="-4"/>
                <w:kern w:val="0"/>
                <w:sz w:val="24"/>
                <w:highlight w:val="none"/>
                <w:lang w:eastAsia="en-US"/>
              </w:rPr>
              <w:t>3</w:t>
            </w:r>
          </w:p>
        </w:tc>
        <w:tc>
          <w:tcPr>
            <w:tcW w:w="1633" w:type="dxa"/>
            <w:gridSpan w:val="3"/>
          </w:tcPr>
          <w:p w14:paraId="53476012">
            <w:pPr>
              <w:kinsoku w:val="0"/>
              <w:autoSpaceDE w:val="0"/>
              <w:autoSpaceDN w:val="0"/>
              <w:adjustRightInd w:val="0"/>
              <w:snapToGrid w:val="0"/>
              <w:spacing w:line="360" w:lineRule="auto"/>
              <w:ind w:left="541"/>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4"/>
                <w:kern w:val="0"/>
                <w:sz w:val="24"/>
                <w:highlight w:val="none"/>
                <w:lang w:eastAsia="en-US"/>
              </w:rPr>
              <w:t>项目</w:t>
            </w:r>
            <w:r>
              <w:rPr>
                <w:rFonts w:hint="eastAsia" w:ascii="宋体" w:hAnsi="宋体" w:cs="宋体"/>
                <w:snapToGrid w:val="0"/>
                <w:color w:val="auto"/>
                <w:spacing w:val="-48"/>
                <w:kern w:val="0"/>
                <w:sz w:val="24"/>
                <w:highlight w:val="none"/>
                <w:lang w:eastAsia="en-US"/>
              </w:rPr>
              <w:t xml:space="preserve"> </w:t>
            </w:r>
            <w:r>
              <w:rPr>
                <w:rFonts w:hint="eastAsia" w:ascii="宋体" w:hAnsi="宋体" w:cs="宋体"/>
                <w:snapToGrid w:val="0"/>
                <w:color w:val="auto"/>
                <w:spacing w:val="-4"/>
                <w:kern w:val="0"/>
                <w:sz w:val="24"/>
                <w:highlight w:val="none"/>
                <w:lang w:eastAsia="en-US"/>
              </w:rPr>
              <w:t>4</w:t>
            </w:r>
          </w:p>
        </w:tc>
        <w:tc>
          <w:tcPr>
            <w:tcW w:w="1482" w:type="dxa"/>
            <w:gridSpan w:val="2"/>
          </w:tcPr>
          <w:p w14:paraId="53476013">
            <w:pPr>
              <w:kinsoku w:val="0"/>
              <w:autoSpaceDE w:val="0"/>
              <w:autoSpaceDN w:val="0"/>
              <w:adjustRightInd w:val="0"/>
              <w:snapToGrid w:val="0"/>
              <w:spacing w:line="360" w:lineRule="auto"/>
              <w:ind w:left="560"/>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5"/>
                <w:kern w:val="0"/>
                <w:position w:val="2"/>
                <w:sz w:val="24"/>
                <w:highlight w:val="none"/>
                <w:lang w:eastAsia="en-US"/>
              </w:rPr>
              <w:t>……</w:t>
            </w:r>
          </w:p>
        </w:tc>
        <w:tc>
          <w:tcPr>
            <w:tcW w:w="25" w:type="dxa"/>
            <w:tcBorders>
              <w:top w:val="single" w:color="FFFFFF" w:sz="2" w:space="0"/>
              <w:bottom w:val="nil"/>
              <w:right w:val="nil"/>
            </w:tcBorders>
          </w:tcPr>
          <w:p w14:paraId="53476014">
            <w:pPr>
              <w:spacing w:line="360" w:lineRule="auto"/>
              <w:rPr>
                <w:rFonts w:ascii="宋体" w:hAnsi="宋体" w:cs="宋体"/>
                <w:color w:val="auto"/>
                <w:sz w:val="24"/>
                <w:highlight w:val="none"/>
              </w:rPr>
            </w:pPr>
          </w:p>
        </w:tc>
      </w:tr>
      <w:tr w14:paraId="534760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jc w:val="center"/>
        </w:trPr>
        <w:tc>
          <w:tcPr>
            <w:tcW w:w="1629" w:type="dxa"/>
            <w:gridSpan w:val="2"/>
          </w:tcPr>
          <w:p w14:paraId="53476016">
            <w:pPr>
              <w:kinsoku w:val="0"/>
              <w:autoSpaceDE w:val="0"/>
              <w:autoSpaceDN w:val="0"/>
              <w:adjustRightInd w:val="0"/>
              <w:snapToGrid w:val="0"/>
              <w:spacing w:line="360" w:lineRule="auto"/>
              <w:ind w:left="405"/>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3"/>
                <w:kern w:val="0"/>
                <w:sz w:val="24"/>
                <w:highlight w:val="none"/>
                <w:lang w:eastAsia="en-US"/>
              </w:rPr>
              <w:t>项目名称</w:t>
            </w:r>
          </w:p>
        </w:tc>
        <w:tc>
          <w:tcPr>
            <w:tcW w:w="1547" w:type="dxa"/>
            <w:gridSpan w:val="2"/>
          </w:tcPr>
          <w:p w14:paraId="53476017">
            <w:pPr>
              <w:spacing w:line="360" w:lineRule="auto"/>
              <w:rPr>
                <w:rFonts w:ascii="宋体" w:hAnsi="宋体" w:cs="宋体"/>
                <w:color w:val="auto"/>
                <w:sz w:val="24"/>
                <w:highlight w:val="none"/>
              </w:rPr>
            </w:pPr>
          </w:p>
        </w:tc>
        <w:tc>
          <w:tcPr>
            <w:tcW w:w="1978" w:type="dxa"/>
            <w:gridSpan w:val="3"/>
          </w:tcPr>
          <w:p w14:paraId="53476018">
            <w:pPr>
              <w:spacing w:line="360" w:lineRule="auto"/>
              <w:rPr>
                <w:rFonts w:ascii="宋体" w:hAnsi="宋体" w:cs="宋体"/>
                <w:color w:val="auto"/>
                <w:sz w:val="24"/>
                <w:highlight w:val="none"/>
              </w:rPr>
            </w:pPr>
          </w:p>
        </w:tc>
        <w:tc>
          <w:tcPr>
            <w:tcW w:w="1329" w:type="dxa"/>
            <w:gridSpan w:val="2"/>
          </w:tcPr>
          <w:p w14:paraId="53476019">
            <w:pPr>
              <w:spacing w:line="360" w:lineRule="auto"/>
              <w:rPr>
                <w:rFonts w:ascii="宋体" w:hAnsi="宋体" w:cs="宋体"/>
                <w:color w:val="auto"/>
                <w:sz w:val="24"/>
                <w:highlight w:val="none"/>
              </w:rPr>
            </w:pPr>
          </w:p>
        </w:tc>
        <w:tc>
          <w:tcPr>
            <w:tcW w:w="1633" w:type="dxa"/>
            <w:gridSpan w:val="3"/>
          </w:tcPr>
          <w:p w14:paraId="5347601A">
            <w:pPr>
              <w:spacing w:line="360" w:lineRule="auto"/>
              <w:rPr>
                <w:rFonts w:ascii="宋体" w:hAnsi="宋体" w:cs="宋体"/>
                <w:color w:val="auto"/>
                <w:sz w:val="24"/>
                <w:highlight w:val="none"/>
              </w:rPr>
            </w:pPr>
          </w:p>
        </w:tc>
        <w:tc>
          <w:tcPr>
            <w:tcW w:w="1482" w:type="dxa"/>
            <w:gridSpan w:val="2"/>
          </w:tcPr>
          <w:p w14:paraId="5347601B">
            <w:pPr>
              <w:spacing w:line="360" w:lineRule="auto"/>
              <w:rPr>
                <w:rFonts w:ascii="宋体" w:hAnsi="宋体" w:cs="宋体"/>
                <w:color w:val="auto"/>
                <w:sz w:val="24"/>
                <w:highlight w:val="none"/>
              </w:rPr>
            </w:pPr>
          </w:p>
        </w:tc>
        <w:tc>
          <w:tcPr>
            <w:tcW w:w="25" w:type="dxa"/>
            <w:tcBorders>
              <w:top w:val="nil"/>
              <w:bottom w:val="nil"/>
              <w:right w:val="nil"/>
            </w:tcBorders>
          </w:tcPr>
          <w:p w14:paraId="5347601C">
            <w:pPr>
              <w:spacing w:line="360" w:lineRule="auto"/>
              <w:rPr>
                <w:rFonts w:ascii="宋体" w:hAnsi="宋体" w:cs="宋体"/>
                <w:color w:val="auto"/>
                <w:sz w:val="24"/>
                <w:highlight w:val="none"/>
              </w:rPr>
            </w:pPr>
          </w:p>
        </w:tc>
      </w:tr>
      <w:tr w14:paraId="534760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7" w:hRule="atLeast"/>
          <w:jc w:val="center"/>
        </w:trPr>
        <w:tc>
          <w:tcPr>
            <w:tcW w:w="1629" w:type="dxa"/>
            <w:gridSpan w:val="2"/>
          </w:tcPr>
          <w:p w14:paraId="5347601E">
            <w:pPr>
              <w:kinsoku w:val="0"/>
              <w:autoSpaceDE w:val="0"/>
              <w:autoSpaceDN w:val="0"/>
              <w:adjustRightInd w:val="0"/>
              <w:snapToGrid w:val="0"/>
              <w:spacing w:line="360" w:lineRule="auto"/>
              <w:ind w:left="404"/>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建设单位</w:t>
            </w:r>
          </w:p>
        </w:tc>
        <w:tc>
          <w:tcPr>
            <w:tcW w:w="1547" w:type="dxa"/>
            <w:gridSpan w:val="2"/>
          </w:tcPr>
          <w:p w14:paraId="5347601F">
            <w:pPr>
              <w:spacing w:line="360" w:lineRule="auto"/>
              <w:rPr>
                <w:rFonts w:ascii="宋体" w:hAnsi="宋体" w:cs="宋体"/>
                <w:color w:val="auto"/>
                <w:sz w:val="24"/>
                <w:highlight w:val="none"/>
              </w:rPr>
            </w:pPr>
          </w:p>
        </w:tc>
        <w:tc>
          <w:tcPr>
            <w:tcW w:w="1978" w:type="dxa"/>
            <w:gridSpan w:val="3"/>
          </w:tcPr>
          <w:p w14:paraId="53476020">
            <w:pPr>
              <w:spacing w:line="360" w:lineRule="auto"/>
              <w:rPr>
                <w:rFonts w:ascii="宋体" w:hAnsi="宋体" w:cs="宋体"/>
                <w:color w:val="auto"/>
                <w:sz w:val="24"/>
                <w:highlight w:val="none"/>
              </w:rPr>
            </w:pPr>
          </w:p>
        </w:tc>
        <w:tc>
          <w:tcPr>
            <w:tcW w:w="1329" w:type="dxa"/>
            <w:gridSpan w:val="2"/>
          </w:tcPr>
          <w:p w14:paraId="53476021">
            <w:pPr>
              <w:spacing w:line="360" w:lineRule="auto"/>
              <w:rPr>
                <w:rFonts w:ascii="宋体" w:hAnsi="宋体" w:cs="宋体"/>
                <w:color w:val="auto"/>
                <w:sz w:val="24"/>
                <w:highlight w:val="none"/>
              </w:rPr>
            </w:pPr>
          </w:p>
        </w:tc>
        <w:tc>
          <w:tcPr>
            <w:tcW w:w="1633" w:type="dxa"/>
            <w:gridSpan w:val="3"/>
          </w:tcPr>
          <w:p w14:paraId="53476022">
            <w:pPr>
              <w:spacing w:line="360" w:lineRule="auto"/>
              <w:rPr>
                <w:rFonts w:ascii="宋体" w:hAnsi="宋体" w:cs="宋体"/>
                <w:color w:val="auto"/>
                <w:sz w:val="24"/>
                <w:highlight w:val="none"/>
              </w:rPr>
            </w:pPr>
          </w:p>
        </w:tc>
        <w:tc>
          <w:tcPr>
            <w:tcW w:w="1482" w:type="dxa"/>
            <w:gridSpan w:val="2"/>
          </w:tcPr>
          <w:p w14:paraId="53476023">
            <w:pPr>
              <w:spacing w:line="360" w:lineRule="auto"/>
              <w:rPr>
                <w:rFonts w:ascii="宋体" w:hAnsi="宋体" w:cs="宋体"/>
                <w:color w:val="auto"/>
                <w:sz w:val="24"/>
                <w:highlight w:val="none"/>
              </w:rPr>
            </w:pPr>
          </w:p>
        </w:tc>
        <w:tc>
          <w:tcPr>
            <w:tcW w:w="25" w:type="dxa"/>
            <w:tcBorders>
              <w:top w:val="nil"/>
              <w:bottom w:val="nil"/>
              <w:right w:val="nil"/>
            </w:tcBorders>
          </w:tcPr>
          <w:p w14:paraId="53476024">
            <w:pPr>
              <w:spacing w:line="360" w:lineRule="auto"/>
              <w:rPr>
                <w:rFonts w:ascii="宋体" w:hAnsi="宋体" w:cs="宋体"/>
                <w:color w:val="auto"/>
                <w:sz w:val="24"/>
                <w:highlight w:val="none"/>
              </w:rPr>
            </w:pPr>
          </w:p>
        </w:tc>
      </w:tr>
      <w:tr w14:paraId="534760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4" w:hRule="atLeast"/>
          <w:jc w:val="center"/>
        </w:trPr>
        <w:tc>
          <w:tcPr>
            <w:tcW w:w="1629" w:type="dxa"/>
            <w:gridSpan w:val="2"/>
          </w:tcPr>
          <w:p w14:paraId="53476026">
            <w:pPr>
              <w:kinsoku w:val="0"/>
              <w:autoSpaceDE w:val="0"/>
              <w:autoSpaceDN w:val="0"/>
              <w:adjustRightInd w:val="0"/>
              <w:snapToGrid w:val="0"/>
              <w:spacing w:line="360" w:lineRule="auto"/>
              <w:ind w:left="404"/>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建设规模</w:t>
            </w:r>
          </w:p>
        </w:tc>
        <w:tc>
          <w:tcPr>
            <w:tcW w:w="1547" w:type="dxa"/>
            <w:gridSpan w:val="2"/>
          </w:tcPr>
          <w:p w14:paraId="53476027">
            <w:pPr>
              <w:spacing w:line="360" w:lineRule="auto"/>
              <w:rPr>
                <w:rFonts w:ascii="宋体" w:hAnsi="宋体" w:cs="宋体"/>
                <w:color w:val="auto"/>
                <w:sz w:val="24"/>
                <w:highlight w:val="none"/>
              </w:rPr>
            </w:pPr>
          </w:p>
        </w:tc>
        <w:tc>
          <w:tcPr>
            <w:tcW w:w="1978" w:type="dxa"/>
            <w:gridSpan w:val="3"/>
          </w:tcPr>
          <w:p w14:paraId="53476028">
            <w:pPr>
              <w:spacing w:line="360" w:lineRule="auto"/>
              <w:rPr>
                <w:rFonts w:ascii="宋体" w:hAnsi="宋体" w:cs="宋体"/>
                <w:color w:val="auto"/>
                <w:sz w:val="24"/>
                <w:highlight w:val="none"/>
              </w:rPr>
            </w:pPr>
          </w:p>
        </w:tc>
        <w:tc>
          <w:tcPr>
            <w:tcW w:w="1329" w:type="dxa"/>
            <w:gridSpan w:val="2"/>
          </w:tcPr>
          <w:p w14:paraId="53476029">
            <w:pPr>
              <w:spacing w:line="360" w:lineRule="auto"/>
              <w:rPr>
                <w:rFonts w:ascii="宋体" w:hAnsi="宋体" w:cs="宋体"/>
                <w:color w:val="auto"/>
                <w:sz w:val="24"/>
                <w:highlight w:val="none"/>
              </w:rPr>
            </w:pPr>
          </w:p>
        </w:tc>
        <w:tc>
          <w:tcPr>
            <w:tcW w:w="1633" w:type="dxa"/>
            <w:gridSpan w:val="3"/>
          </w:tcPr>
          <w:p w14:paraId="5347602A">
            <w:pPr>
              <w:spacing w:line="360" w:lineRule="auto"/>
              <w:rPr>
                <w:rFonts w:ascii="宋体" w:hAnsi="宋体" w:cs="宋体"/>
                <w:color w:val="auto"/>
                <w:sz w:val="24"/>
                <w:highlight w:val="none"/>
              </w:rPr>
            </w:pPr>
          </w:p>
        </w:tc>
        <w:tc>
          <w:tcPr>
            <w:tcW w:w="1482" w:type="dxa"/>
            <w:gridSpan w:val="2"/>
          </w:tcPr>
          <w:p w14:paraId="5347602B">
            <w:pPr>
              <w:spacing w:line="360" w:lineRule="auto"/>
              <w:rPr>
                <w:rFonts w:ascii="宋体" w:hAnsi="宋体" w:cs="宋体"/>
                <w:color w:val="auto"/>
                <w:sz w:val="24"/>
                <w:highlight w:val="none"/>
              </w:rPr>
            </w:pPr>
          </w:p>
        </w:tc>
        <w:tc>
          <w:tcPr>
            <w:tcW w:w="25" w:type="dxa"/>
            <w:tcBorders>
              <w:top w:val="nil"/>
              <w:bottom w:val="nil"/>
              <w:right w:val="nil"/>
            </w:tcBorders>
          </w:tcPr>
          <w:p w14:paraId="5347602C">
            <w:pPr>
              <w:spacing w:line="360" w:lineRule="auto"/>
              <w:rPr>
                <w:rFonts w:ascii="宋体" w:hAnsi="宋体" w:cs="宋体"/>
                <w:color w:val="auto"/>
                <w:sz w:val="24"/>
                <w:highlight w:val="none"/>
              </w:rPr>
            </w:pPr>
          </w:p>
        </w:tc>
      </w:tr>
      <w:tr w14:paraId="534760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7" w:hRule="atLeast"/>
          <w:jc w:val="center"/>
        </w:trPr>
        <w:tc>
          <w:tcPr>
            <w:tcW w:w="1629" w:type="dxa"/>
            <w:gridSpan w:val="2"/>
          </w:tcPr>
          <w:p w14:paraId="5347602E">
            <w:pPr>
              <w:kinsoku w:val="0"/>
              <w:autoSpaceDE w:val="0"/>
              <w:autoSpaceDN w:val="0"/>
              <w:adjustRightInd w:val="0"/>
              <w:snapToGrid w:val="0"/>
              <w:spacing w:line="360" w:lineRule="auto"/>
              <w:ind w:left="402"/>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开工日期</w:t>
            </w:r>
          </w:p>
        </w:tc>
        <w:tc>
          <w:tcPr>
            <w:tcW w:w="1547" w:type="dxa"/>
            <w:gridSpan w:val="2"/>
          </w:tcPr>
          <w:p w14:paraId="5347602F">
            <w:pPr>
              <w:spacing w:line="360" w:lineRule="auto"/>
              <w:rPr>
                <w:rFonts w:ascii="宋体" w:hAnsi="宋体" w:cs="宋体"/>
                <w:color w:val="auto"/>
                <w:sz w:val="24"/>
                <w:highlight w:val="none"/>
              </w:rPr>
            </w:pPr>
          </w:p>
        </w:tc>
        <w:tc>
          <w:tcPr>
            <w:tcW w:w="1978" w:type="dxa"/>
            <w:gridSpan w:val="3"/>
          </w:tcPr>
          <w:p w14:paraId="53476030">
            <w:pPr>
              <w:spacing w:line="360" w:lineRule="auto"/>
              <w:rPr>
                <w:rFonts w:ascii="宋体" w:hAnsi="宋体" w:cs="宋体"/>
                <w:color w:val="auto"/>
                <w:sz w:val="24"/>
                <w:highlight w:val="none"/>
              </w:rPr>
            </w:pPr>
          </w:p>
        </w:tc>
        <w:tc>
          <w:tcPr>
            <w:tcW w:w="1329" w:type="dxa"/>
            <w:gridSpan w:val="2"/>
          </w:tcPr>
          <w:p w14:paraId="53476031">
            <w:pPr>
              <w:spacing w:line="360" w:lineRule="auto"/>
              <w:rPr>
                <w:rFonts w:ascii="宋体" w:hAnsi="宋体" w:cs="宋体"/>
                <w:color w:val="auto"/>
                <w:sz w:val="24"/>
                <w:highlight w:val="none"/>
              </w:rPr>
            </w:pPr>
          </w:p>
        </w:tc>
        <w:tc>
          <w:tcPr>
            <w:tcW w:w="1633" w:type="dxa"/>
            <w:gridSpan w:val="3"/>
          </w:tcPr>
          <w:p w14:paraId="53476032">
            <w:pPr>
              <w:spacing w:line="360" w:lineRule="auto"/>
              <w:rPr>
                <w:rFonts w:ascii="宋体" w:hAnsi="宋体" w:cs="宋体"/>
                <w:color w:val="auto"/>
                <w:sz w:val="24"/>
                <w:highlight w:val="none"/>
              </w:rPr>
            </w:pPr>
          </w:p>
        </w:tc>
        <w:tc>
          <w:tcPr>
            <w:tcW w:w="1482" w:type="dxa"/>
            <w:gridSpan w:val="2"/>
          </w:tcPr>
          <w:p w14:paraId="53476033">
            <w:pPr>
              <w:spacing w:line="360" w:lineRule="auto"/>
              <w:rPr>
                <w:rFonts w:ascii="宋体" w:hAnsi="宋体" w:cs="宋体"/>
                <w:color w:val="auto"/>
                <w:sz w:val="24"/>
                <w:highlight w:val="none"/>
              </w:rPr>
            </w:pPr>
          </w:p>
        </w:tc>
        <w:tc>
          <w:tcPr>
            <w:tcW w:w="25" w:type="dxa"/>
            <w:tcBorders>
              <w:top w:val="nil"/>
              <w:bottom w:val="nil"/>
              <w:right w:val="nil"/>
            </w:tcBorders>
          </w:tcPr>
          <w:p w14:paraId="53476034">
            <w:pPr>
              <w:spacing w:line="360" w:lineRule="auto"/>
              <w:rPr>
                <w:rFonts w:ascii="宋体" w:hAnsi="宋体" w:cs="宋体"/>
                <w:color w:val="auto"/>
                <w:sz w:val="24"/>
                <w:highlight w:val="none"/>
              </w:rPr>
            </w:pPr>
          </w:p>
        </w:tc>
      </w:tr>
      <w:tr w14:paraId="534760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5" w:hRule="atLeast"/>
          <w:jc w:val="center"/>
        </w:trPr>
        <w:tc>
          <w:tcPr>
            <w:tcW w:w="1629" w:type="dxa"/>
            <w:gridSpan w:val="2"/>
          </w:tcPr>
          <w:p w14:paraId="53476036">
            <w:pPr>
              <w:kinsoku w:val="0"/>
              <w:autoSpaceDE w:val="0"/>
              <w:autoSpaceDN w:val="0"/>
              <w:adjustRightInd w:val="0"/>
              <w:snapToGrid w:val="0"/>
              <w:spacing w:line="360" w:lineRule="auto"/>
              <w:ind w:left="402"/>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竣工日期</w:t>
            </w:r>
          </w:p>
        </w:tc>
        <w:tc>
          <w:tcPr>
            <w:tcW w:w="1547" w:type="dxa"/>
            <w:gridSpan w:val="2"/>
          </w:tcPr>
          <w:p w14:paraId="53476037">
            <w:pPr>
              <w:spacing w:line="360" w:lineRule="auto"/>
              <w:rPr>
                <w:rFonts w:ascii="宋体" w:hAnsi="宋体" w:cs="宋体"/>
                <w:color w:val="auto"/>
                <w:sz w:val="24"/>
                <w:highlight w:val="none"/>
              </w:rPr>
            </w:pPr>
          </w:p>
        </w:tc>
        <w:tc>
          <w:tcPr>
            <w:tcW w:w="1978" w:type="dxa"/>
            <w:gridSpan w:val="3"/>
          </w:tcPr>
          <w:p w14:paraId="53476038">
            <w:pPr>
              <w:spacing w:line="360" w:lineRule="auto"/>
              <w:rPr>
                <w:rFonts w:ascii="宋体" w:hAnsi="宋体" w:cs="宋体"/>
                <w:color w:val="auto"/>
                <w:sz w:val="24"/>
                <w:highlight w:val="none"/>
              </w:rPr>
            </w:pPr>
          </w:p>
        </w:tc>
        <w:tc>
          <w:tcPr>
            <w:tcW w:w="1329" w:type="dxa"/>
            <w:gridSpan w:val="2"/>
          </w:tcPr>
          <w:p w14:paraId="53476039">
            <w:pPr>
              <w:spacing w:line="360" w:lineRule="auto"/>
              <w:rPr>
                <w:rFonts w:ascii="宋体" w:hAnsi="宋体" w:cs="宋体"/>
                <w:color w:val="auto"/>
                <w:sz w:val="24"/>
                <w:highlight w:val="none"/>
              </w:rPr>
            </w:pPr>
          </w:p>
        </w:tc>
        <w:tc>
          <w:tcPr>
            <w:tcW w:w="1633" w:type="dxa"/>
            <w:gridSpan w:val="3"/>
          </w:tcPr>
          <w:p w14:paraId="5347603A">
            <w:pPr>
              <w:spacing w:line="360" w:lineRule="auto"/>
              <w:rPr>
                <w:rFonts w:ascii="宋体" w:hAnsi="宋体" w:cs="宋体"/>
                <w:color w:val="auto"/>
                <w:sz w:val="24"/>
                <w:highlight w:val="none"/>
              </w:rPr>
            </w:pPr>
          </w:p>
        </w:tc>
        <w:tc>
          <w:tcPr>
            <w:tcW w:w="1482" w:type="dxa"/>
            <w:gridSpan w:val="2"/>
          </w:tcPr>
          <w:p w14:paraId="5347603B">
            <w:pPr>
              <w:spacing w:line="360" w:lineRule="auto"/>
              <w:rPr>
                <w:rFonts w:ascii="宋体" w:hAnsi="宋体" w:cs="宋体"/>
                <w:color w:val="auto"/>
                <w:sz w:val="24"/>
                <w:highlight w:val="none"/>
              </w:rPr>
            </w:pPr>
          </w:p>
        </w:tc>
        <w:tc>
          <w:tcPr>
            <w:tcW w:w="25" w:type="dxa"/>
            <w:tcBorders>
              <w:top w:val="nil"/>
              <w:bottom w:val="nil"/>
              <w:right w:val="nil"/>
            </w:tcBorders>
          </w:tcPr>
          <w:p w14:paraId="5347603C">
            <w:pPr>
              <w:spacing w:line="360" w:lineRule="auto"/>
              <w:rPr>
                <w:rFonts w:ascii="宋体" w:hAnsi="宋体" w:cs="宋体"/>
                <w:color w:val="auto"/>
                <w:sz w:val="24"/>
                <w:highlight w:val="none"/>
              </w:rPr>
            </w:pPr>
          </w:p>
        </w:tc>
      </w:tr>
      <w:tr w14:paraId="534760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jc w:val="center"/>
        </w:trPr>
        <w:tc>
          <w:tcPr>
            <w:tcW w:w="1629" w:type="dxa"/>
            <w:gridSpan w:val="2"/>
          </w:tcPr>
          <w:p w14:paraId="5347603E">
            <w:pPr>
              <w:kinsoku w:val="0"/>
              <w:autoSpaceDE w:val="0"/>
              <w:autoSpaceDN w:val="0"/>
              <w:adjustRightInd w:val="0"/>
              <w:snapToGrid w:val="0"/>
              <w:spacing w:line="360" w:lineRule="auto"/>
              <w:ind w:left="403"/>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人员角色</w:t>
            </w:r>
          </w:p>
        </w:tc>
        <w:tc>
          <w:tcPr>
            <w:tcW w:w="1547" w:type="dxa"/>
            <w:gridSpan w:val="2"/>
          </w:tcPr>
          <w:p w14:paraId="5347603F">
            <w:pPr>
              <w:spacing w:line="360" w:lineRule="auto"/>
              <w:rPr>
                <w:rFonts w:ascii="宋体" w:hAnsi="宋体" w:cs="宋体"/>
                <w:color w:val="auto"/>
                <w:sz w:val="24"/>
                <w:highlight w:val="none"/>
              </w:rPr>
            </w:pPr>
          </w:p>
        </w:tc>
        <w:tc>
          <w:tcPr>
            <w:tcW w:w="1978" w:type="dxa"/>
            <w:gridSpan w:val="3"/>
          </w:tcPr>
          <w:p w14:paraId="53476040">
            <w:pPr>
              <w:spacing w:line="360" w:lineRule="auto"/>
              <w:rPr>
                <w:rFonts w:ascii="宋体" w:hAnsi="宋体" w:cs="宋体"/>
                <w:color w:val="auto"/>
                <w:sz w:val="24"/>
                <w:highlight w:val="none"/>
              </w:rPr>
            </w:pPr>
          </w:p>
        </w:tc>
        <w:tc>
          <w:tcPr>
            <w:tcW w:w="1329" w:type="dxa"/>
            <w:gridSpan w:val="2"/>
          </w:tcPr>
          <w:p w14:paraId="53476041">
            <w:pPr>
              <w:spacing w:line="360" w:lineRule="auto"/>
              <w:rPr>
                <w:rFonts w:ascii="宋体" w:hAnsi="宋体" w:cs="宋体"/>
                <w:color w:val="auto"/>
                <w:sz w:val="24"/>
                <w:highlight w:val="none"/>
              </w:rPr>
            </w:pPr>
          </w:p>
        </w:tc>
        <w:tc>
          <w:tcPr>
            <w:tcW w:w="1633" w:type="dxa"/>
            <w:gridSpan w:val="3"/>
          </w:tcPr>
          <w:p w14:paraId="53476042">
            <w:pPr>
              <w:spacing w:line="360" w:lineRule="auto"/>
              <w:rPr>
                <w:rFonts w:ascii="宋体" w:hAnsi="宋体" w:cs="宋体"/>
                <w:color w:val="auto"/>
                <w:sz w:val="24"/>
                <w:highlight w:val="none"/>
              </w:rPr>
            </w:pPr>
          </w:p>
        </w:tc>
        <w:tc>
          <w:tcPr>
            <w:tcW w:w="1482" w:type="dxa"/>
            <w:gridSpan w:val="2"/>
          </w:tcPr>
          <w:p w14:paraId="53476043">
            <w:pPr>
              <w:spacing w:line="360" w:lineRule="auto"/>
              <w:rPr>
                <w:rFonts w:ascii="宋体" w:hAnsi="宋体" w:cs="宋体"/>
                <w:color w:val="auto"/>
                <w:sz w:val="24"/>
                <w:highlight w:val="none"/>
              </w:rPr>
            </w:pPr>
          </w:p>
        </w:tc>
        <w:tc>
          <w:tcPr>
            <w:tcW w:w="25" w:type="dxa"/>
            <w:tcBorders>
              <w:top w:val="nil"/>
              <w:bottom w:val="nil"/>
              <w:right w:val="nil"/>
            </w:tcBorders>
          </w:tcPr>
          <w:p w14:paraId="53476044">
            <w:pPr>
              <w:spacing w:line="360" w:lineRule="auto"/>
              <w:rPr>
                <w:rFonts w:ascii="宋体" w:hAnsi="宋体" w:cs="宋体"/>
                <w:color w:val="auto"/>
                <w:sz w:val="24"/>
                <w:highlight w:val="none"/>
              </w:rPr>
            </w:pPr>
          </w:p>
        </w:tc>
      </w:tr>
      <w:tr w14:paraId="534760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jc w:val="center"/>
        </w:trPr>
        <w:tc>
          <w:tcPr>
            <w:tcW w:w="1629" w:type="dxa"/>
            <w:gridSpan w:val="2"/>
          </w:tcPr>
          <w:p w14:paraId="53476046">
            <w:pPr>
              <w:kinsoku w:val="0"/>
              <w:autoSpaceDE w:val="0"/>
              <w:autoSpaceDN w:val="0"/>
              <w:adjustRightInd w:val="0"/>
              <w:snapToGrid w:val="0"/>
              <w:spacing w:line="360" w:lineRule="auto"/>
              <w:ind w:left="295"/>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1"/>
                <w:kern w:val="0"/>
                <w:sz w:val="24"/>
                <w:highlight w:val="none"/>
                <w:lang w:eastAsia="en-US"/>
              </w:rPr>
              <w:t>在建或已完</w:t>
            </w:r>
          </w:p>
        </w:tc>
        <w:tc>
          <w:tcPr>
            <w:tcW w:w="1547" w:type="dxa"/>
            <w:gridSpan w:val="2"/>
          </w:tcPr>
          <w:p w14:paraId="53476047">
            <w:pPr>
              <w:spacing w:line="360" w:lineRule="auto"/>
              <w:rPr>
                <w:rFonts w:ascii="宋体" w:hAnsi="宋体" w:cs="宋体"/>
                <w:color w:val="auto"/>
                <w:sz w:val="24"/>
                <w:highlight w:val="none"/>
              </w:rPr>
            </w:pPr>
          </w:p>
        </w:tc>
        <w:tc>
          <w:tcPr>
            <w:tcW w:w="1978" w:type="dxa"/>
            <w:gridSpan w:val="3"/>
          </w:tcPr>
          <w:p w14:paraId="53476048">
            <w:pPr>
              <w:spacing w:line="360" w:lineRule="auto"/>
              <w:rPr>
                <w:rFonts w:ascii="宋体" w:hAnsi="宋体" w:cs="宋体"/>
                <w:color w:val="auto"/>
                <w:sz w:val="24"/>
                <w:highlight w:val="none"/>
              </w:rPr>
            </w:pPr>
          </w:p>
        </w:tc>
        <w:tc>
          <w:tcPr>
            <w:tcW w:w="1329" w:type="dxa"/>
            <w:gridSpan w:val="2"/>
          </w:tcPr>
          <w:p w14:paraId="53476049">
            <w:pPr>
              <w:spacing w:line="360" w:lineRule="auto"/>
              <w:rPr>
                <w:rFonts w:ascii="宋体" w:hAnsi="宋体" w:cs="宋体"/>
                <w:color w:val="auto"/>
                <w:sz w:val="24"/>
                <w:highlight w:val="none"/>
              </w:rPr>
            </w:pPr>
          </w:p>
        </w:tc>
        <w:tc>
          <w:tcPr>
            <w:tcW w:w="1633" w:type="dxa"/>
            <w:gridSpan w:val="3"/>
          </w:tcPr>
          <w:p w14:paraId="5347604A">
            <w:pPr>
              <w:spacing w:line="360" w:lineRule="auto"/>
              <w:rPr>
                <w:rFonts w:ascii="宋体" w:hAnsi="宋体" w:cs="宋体"/>
                <w:color w:val="auto"/>
                <w:sz w:val="24"/>
                <w:highlight w:val="none"/>
              </w:rPr>
            </w:pPr>
          </w:p>
        </w:tc>
        <w:tc>
          <w:tcPr>
            <w:tcW w:w="1482" w:type="dxa"/>
            <w:gridSpan w:val="2"/>
          </w:tcPr>
          <w:p w14:paraId="5347604B">
            <w:pPr>
              <w:spacing w:line="360" w:lineRule="auto"/>
              <w:rPr>
                <w:rFonts w:ascii="宋体" w:hAnsi="宋体" w:cs="宋体"/>
                <w:color w:val="auto"/>
                <w:sz w:val="24"/>
                <w:highlight w:val="none"/>
              </w:rPr>
            </w:pPr>
          </w:p>
        </w:tc>
        <w:tc>
          <w:tcPr>
            <w:tcW w:w="25" w:type="dxa"/>
            <w:tcBorders>
              <w:top w:val="nil"/>
              <w:bottom w:val="nil"/>
              <w:right w:val="nil"/>
            </w:tcBorders>
          </w:tcPr>
          <w:p w14:paraId="5347604C">
            <w:pPr>
              <w:spacing w:line="360" w:lineRule="auto"/>
              <w:rPr>
                <w:rFonts w:ascii="宋体" w:hAnsi="宋体" w:cs="宋体"/>
                <w:color w:val="auto"/>
                <w:sz w:val="24"/>
                <w:highlight w:val="none"/>
              </w:rPr>
            </w:pPr>
          </w:p>
        </w:tc>
      </w:tr>
      <w:tr w14:paraId="534760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jc w:val="center"/>
        </w:trPr>
        <w:tc>
          <w:tcPr>
            <w:tcW w:w="1629" w:type="dxa"/>
            <w:gridSpan w:val="2"/>
          </w:tcPr>
          <w:p w14:paraId="5347604E">
            <w:pPr>
              <w:kinsoku w:val="0"/>
              <w:autoSpaceDE w:val="0"/>
              <w:autoSpaceDN w:val="0"/>
              <w:adjustRightInd w:val="0"/>
              <w:snapToGrid w:val="0"/>
              <w:spacing w:line="360" w:lineRule="auto"/>
              <w:ind w:left="404"/>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工程质量</w:t>
            </w:r>
          </w:p>
        </w:tc>
        <w:tc>
          <w:tcPr>
            <w:tcW w:w="1547" w:type="dxa"/>
            <w:gridSpan w:val="2"/>
          </w:tcPr>
          <w:p w14:paraId="5347604F">
            <w:pPr>
              <w:spacing w:line="360" w:lineRule="auto"/>
              <w:rPr>
                <w:rFonts w:ascii="宋体" w:hAnsi="宋体" w:cs="宋体"/>
                <w:color w:val="auto"/>
                <w:sz w:val="24"/>
                <w:highlight w:val="none"/>
              </w:rPr>
            </w:pPr>
          </w:p>
        </w:tc>
        <w:tc>
          <w:tcPr>
            <w:tcW w:w="1978" w:type="dxa"/>
            <w:gridSpan w:val="3"/>
          </w:tcPr>
          <w:p w14:paraId="53476050">
            <w:pPr>
              <w:spacing w:line="360" w:lineRule="auto"/>
              <w:rPr>
                <w:rFonts w:ascii="宋体" w:hAnsi="宋体" w:cs="宋体"/>
                <w:color w:val="auto"/>
                <w:sz w:val="24"/>
                <w:highlight w:val="none"/>
              </w:rPr>
            </w:pPr>
          </w:p>
        </w:tc>
        <w:tc>
          <w:tcPr>
            <w:tcW w:w="1329" w:type="dxa"/>
            <w:gridSpan w:val="2"/>
          </w:tcPr>
          <w:p w14:paraId="53476051">
            <w:pPr>
              <w:spacing w:line="360" w:lineRule="auto"/>
              <w:rPr>
                <w:rFonts w:ascii="宋体" w:hAnsi="宋体" w:cs="宋体"/>
                <w:color w:val="auto"/>
                <w:sz w:val="24"/>
                <w:highlight w:val="none"/>
              </w:rPr>
            </w:pPr>
          </w:p>
        </w:tc>
        <w:tc>
          <w:tcPr>
            <w:tcW w:w="1633" w:type="dxa"/>
            <w:gridSpan w:val="3"/>
          </w:tcPr>
          <w:p w14:paraId="53476052">
            <w:pPr>
              <w:spacing w:line="360" w:lineRule="auto"/>
              <w:rPr>
                <w:rFonts w:ascii="宋体" w:hAnsi="宋体" w:cs="宋体"/>
                <w:color w:val="auto"/>
                <w:sz w:val="24"/>
                <w:highlight w:val="none"/>
              </w:rPr>
            </w:pPr>
          </w:p>
        </w:tc>
        <w:tc>
          <w:tcPr>
            <w:tcW w:w="1482" w:type="dxa"/>
            <w:gridSpan w:val="2"/>
          </w:tcPr>
          <w:p w14:paraId="53476053">
            <w:pPr>
              <w:spacing w:line="360" w:lineRule="auto"/>
              <w:rPr>
                <w:rFonts w:ascii="宋体" w:hAnsi="宋体" w:cs="宋体"/>
                <w:color w:val="auto"/>
                <w:sz w:val="24"/>
                <w:highlight w:val="none"/>
              </w:rPr>
            </w:pPr>
          </w:p>
        </w:tc>
        <w:tc>
          <w:tcPr>
            <w:tcW w:w="25" w:type="dxa"/>
            <w:tcBorders>
              <w:top w:val="nil"/>
              <w:bottom w:val="nil"/>
              <w:right w:val="nil"/>
            </w:tcBorders>
          </w:tcPr>
          <w:p w14:paraId="53476054">
            <w:pPr>
              <w:spacing w:line="360" w:lineRule="auto"/>
              <w:rPr>
                <w:rFonts w:ascii="宋体" w:hAnsi="宋体" w:cs="宋体"/>
                <w:color w:val="auto"/>
                <w:sz w:val="24"/>
                <w:highlight w:val="none"/>
              </w:rPr>
            </w:pPr>
          </w:p>
        </w:tc>
      </w:tr>
      <w:tr w14:paraId="534760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9" w:hRule="atLeast"/>
          <w:jc w:val="center"/>
        </w:trPr>
        <w:tc>
          <w:tcPr>
            <w:tcW w:w="1629" w:type="dxa"/>
            <w:gridSpan w:val="2"/>
          </w:tcPr>
          <w:p w14:paraId="53476056">
            <w:pPr>
              <w:kinsoku w:val="0"/>
              <w:autoSpaceDE w:val="0"/>
              <w:autoSpaceDN w:val="0"/>
              <w:adjustRightInd w:val="0"/>
              <w:snapToGrid w:val="0"/>
              <w:spacing w:line="360" w:lineRule="auto"/>
              <w:ind w:left="405"/>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3"/>
                <w:kern w:val="0"/>
                <w:sz w:val="24"/>
                <w:highlight w:val="none"/>
                <w:lang w:eastAsia="en-US"/>
              </w:rPr>
              <w:t>受奖情况</w:t>
            </w:r>
          </w:p>
        </w:tc>
        <w:tc>
          <w:tcPr>
            <w:tcW w:w="1547" w:type="dxa"/>
            <w:gridSpan w:val="2"/>
          </w:tcPr>
          <w:p w14:paraId="53476057">
            <w:pPr>
              <w:spacing w:line="360" w:lineRule="auto"/>
              <w:rPr>
                <w:rFonts w:ascii="宋体" w:hAnsi="宋体" w:cs="宋体"/>
                <w:color w:val="auto"/>
                <w:sz w:val="24"/>
                <w:highlight w:val="none"/>
              </w:rPr>
            </w:pPr>
          </w:p>
        </w:tc>
        <w:tc>
          <w:tcPr>
            <w:tcW w:w="1978" w:type="dxa"/>
            <w:gridSpan w:val="3"/>
          </w:tcPr>
          <w:p w14:paraId="53476058">
            <w:pPr>
              <w:spacing w:line="360" w:lineRule="auto"/>
              <w:rPr>
                <w:rFonts w:ascii="宋体" w:hAnsi="宋体" w:cs="宋体"/>
                <w:color w:val="auto"/>
                <w:sz w:val="24"/>
                <w:highlight w:val="none"/>
              </w:rPr>
            </w:pPr>
          </w:p>
        </w:tc>
        <w:tc>
          <w:tcPr>
            <w:tcW w:w="1329" w:type="dxa"/>
            <w:gridSpan w:val="2"/>
          </w:tcPr>
          <w:p w14:paraId="53476059">
            <w:pPr>
              <w:spacing w:line="360" w:lineRule="auto"/>
              <w:rPr>
                <w:rFonts w:ascii="宋体" w:hAnsi="宋体" w:cs="宋体"/>
                <w:color w:val="auto"/>
                <w:sz w:val="24"/>
                <w:highlight w:val="none"/>
              </w:rPr>
            </w:pPr>
          </w:p>
        </w:tc>
        <w:tc>
          <w:tcPr>
            <w:tcW w:w="1633" w:type="dxa"/>
            <w:gridSpan w:val="3"/>
          </w:tcPr>
          <w:p w14:paraId="5347605A">
            <w:pPr>
              <w:spacing w:line="360" w:lineRule="auto"/>
              <w:rPr>
                <w:rFonts w:ascii="宋体" w:hAnsi="宋体" w:cs="宋体"/>
                <w:color w:val="auto"/>
                <w:sz w:val="24"/>
                <w:highlight w:val="none"/>
              </w:rPr>
            </w:pPr>
          </w:p>
        </w:tc>
        <w:tc>
          <w:tcPr>
            <w:tcW w:w="1482" w:type="dxa"/>
            <w:gridSpan w:val="2"/>
          </w:tcPr>
          <w:p w14:paraId="5347605B">
            <w:pPr>
              <w:spacing w:line="360" w:lineRule="auto"/>
              <w:rPr>
                <w:rFonts w:ascii="宋体" w:hAnsi="宋体" w:cs="宋体"/>
                <w:color w:val="auto"/>
                <w:sz w:val="24"/>
                <w:highlight w:val="none"/>
              </w:rPr>
            </w:pPr>
          </w:p>
        </w:tc>
        <w:tc>
          <w:tcPr>
            <w:tcW w:w="25" w:type="dxa"/>
            <w:tcBorders>
              <w:top w:val="nil"/>
              <w:bottom w:val="nil"/>
              <w:right w:val="nil"/>
            </w:tcBorders>
          </w:tcPr>
          <w:p w14:paraId="5347605C">
            <w:pPr>
              <w:spacing w:line="360" w:lineRule="auto"/>
              <w:rPr>
                <w:rFonts w:ascii="宋体" w:hAnsi="宋体" w:cs="宋体"/>
                <w:color w:val="auto"/>
                <w:sz w:val="24"/>
                <w:highlight w:val="none"/>
              </w:rPr>
            </w:pPr>
          </w:p>
        </w:tc>
      </w:tr>
    </w:tbl>
    <w:p w14:paraId="5347605E">
      <w:pPr>
        <w:spacing w:line="360" w:lineRule="auto"/>
        <w:ind w:left="385"/>
        <w:rPr>
          <w:rFonts w:ascii="宋体" w:hAnsi="宋体" w:cs="宋体"/>
          <w:color w:val="auto"/>
          <w:sz w:val="24"/>
          <w:highlight w:val="none"/>
        </w:rPr>
      </w:pPr>
      <w:r>
        <w:rPr>
          <w:rFonts w:hint="eastAsia" w:ascii="宋体" w:hAnsi="宋体" w:cs="宋体"/>
          <w:color w:val="auto"/>
          <w:spacing w:val="-13"/>
          <w:sz w:val="24"/>
          <w:highlight w:val="none"/>
        </w:rPr>
        <w:t>备注：</w:t>
      </w:r>
    </w:p>
    <w:p w14:paraId="5347605F">
      <w:pPr>
        <w:spacing w:line="360" w:lineRule="auto"/>
        <w:ind w:left="818"/>
        <w:rPr>
          <w:rFonts w:ascii="宋体" w:hAnsi="宋体" w:cs="宋体"/>
          <w:color w:val="auto"/>
          <w:sz w:val="24"/>
          <w:highlight w:val="none"/>
        </w:rPr>
      </w:pPr>
      <w:r>
        <w:rPr>
          <w:rFonts w:hint="eastAsia" w:ascii="宋体" w:hAnsi="宋体" w:cs="宋体"/>
          <w:color w:val="auto"/>
          <w:spacing w:val="-3"/>
          <w:sz w:val="24"/>
          <w:highlight w:val="none"/>
        </w:rPr>
        <w:t>1.项目数可以根据需要增加。</w:t>
      </w:r>
    </w:p>
    <w:p w14:paraId="53476060">
      <w:pPr>
        <w:spacing w:line="360" w:lineRule="auto"/>
        <w:ind w:left="805"/>
        <w:rPr>
          <w:rFonts w:ascii="宋体" w:hAnsi="宋体" w:cs="宋体"/>
          <w:color w:val="auto"/>
          <w:sz w:val="24"/>
          <w:highlight w:val="none"/>
        </w:rPr>
      </w:pPr>
      <w:r>
        <w:rPr>
          <w:rFonts w:hint="eastAsia" w:ascii="宋体" w:hAnsi="宋体" w:cs="宋体"/>
          <w:color w:val="auto"/>
          <w:spacing w:val="-3"/>
          <w:sz w:val="24"/>
          <w:highlight w:val="none"/>
        </w:rPr>
        <w:t>2.本表后附项目技术负责人（项目总工）</w:t>
      </w:r>
      <w:r>
        <w:rPr>
          <w:rFonts w:hint="eastAsia" w:ascii="宋体" w:hAnsi="宋体" w:cs="宋体"/>
          <w:color w:val="auto"/>
          <w:spacing w:val="-36"/>
          <w:sz w:val="24"/>
          <w:highlight w:val="none"/>
        </w:rPr>
        <w:t xml:space="preserve"> </w:t>
      </w:r>
      <w:r>
        <w:rPr>
          <w:rFonts w:hint="eastAsia" w:ascii="宋体" w:hAnsi="宋体" w:cs="宋体"/>
          <w:color w:val="auto"/>
          <w:spacing w:val="-3"/>
          <w:sz w:val="24"/>
          <w:highlight w:val="none"/>
        </w:rPr>
        <w:t>的学历证、本表所列证书复</w:t>
      </w:r>
      <w:r>
        <w:rPr>
          <w:rFonts w:hint="eastAsia" w:ascii="宋体" w:hAnsi="宋体" w:cs="宋体"/>
          <w:color w:val="auto"/>
          <w:spacing w:val="-4"/>
          <w:sz w:val="24"/>
          <w:highlight w:val="none"/>
        </w:rPr>
        <w:t>印件并加盖供应商公章。</w:t>
      </w:r>
    </w:p>
    <w:p w14:paraId="53476061">
      <w:pPr>
        <w:spacing w:line="360" w:lineRule="auto"/>
        <w:rPr>
          <w:rFonts w:ascii="宋体" w:hAnsi="宋体"/>
          <w:color w:val="auto"/>
          <w:highlight w:val="none"/>
        </w:rPr>
      </w:pPr>
      <w:r>
        <w:rPr>
          <w:rFonts w:hint="eastAsia" w:ascii="宋体" w:hAnsi="宋体"/>
          <w:color w:val="auto"/>
          <w:sz w:val="24"/>
          <w:highlight w:val="none"/>
        </w:rPr>
        <w:br w:type="page"/>
      </w:r>
    </w:p>
    <w:p w14:paraId="53476062">
      <w:pPr>
        <w:spacing w:line="360" w:lineRule="auto"/>
        <w:ind w:left="2739"/>
        <w:rPr>
          <w:rFonts w:ascii="宋体" w:hAnsi="宋体" w:cs="宋体"/>
          <w:color w:val="auto"/>
          <w:sz w:val="31"/>
          <w:szCs w:val="31"/>
          <w:highlight w:val="none"/>
        </w:rPr>
      </w:pPr>
      <w:bookmarkStart w:id="32" w:name="_Toc28941"/>
      <w:bookmarkStart w:id="33" w:name="_Toc4741"/>
      <w:r>
        <w:rPr>
          <w:rFonts w:hint="eastAsia" w:ascii="宋体" w:hAnsi="宋体" w:cs="宋体"/>
          <w:color w:val="auto"/>
          <w:spacing w:val="10"/>
          <w:sz w:val="31"/>
          <w:szCs w:val="31"/>
          <w:highlight w:val="none"/>
        </w:rPr>
        <w:t>专职安全生产管理人员简历表</w:t>
      </w:r>
      <w:bookmarkEnd w:id="32"/>
      <w:bookmarkEnd w:id="33"/>
    </w:p>
    <w:tbl>
      <w:tblPr>
        <w:tblStyle w:val="38"/>
        <w:tblW w:w="962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99"/>
        <w:gridCol w:w="429"/>
        <w:gridCol w:w="843"/>
        <w:gridCol w:w="704"/>
        <w:gridCol w:w="520"/>
        <w:gridCol w:w="1417"/>
        <w:gridCol w:w="1370"/>
        <w:gridCol w:w="49"/>
        <w:gridCol w:w="459"/>
        <w:gridCol w:w="1128"/>
        <w:gridCol w:w="45"/>
        <w:gridCol w:w="1437"/>
        <w:gridCol w:w="23"/>
      </w:tblGrid>
      <w:tr w14:paraId="534760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9" w:hRule="atLeast"/>
          <w:jc w:val="center"/>
        </w:trPr>
        <w:tc>
          <w:tcPr>
            <w:tcW w:w="1200" w:type="dxa"/>
          </w:tcPr>
          <w:p w14:paraId="53476063">
            <w:pPr>
              <w:kinsoku w:val="0"/>
              <w:autoSpaceDE w:val="0"/>
              <w:autoSpaceDN w:val="0"/>
              <w:adjustRightInd w:val="0"/>
              <w:snapToGrid w:val="0"/>
              <w:spacing w:line="360" w:lineRule="auto"/>
              <w:ind w:left="382"/>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姓名</w:t>
            </w:r>
          </w:p>
        </w:tc>
        <w:tc>
          <w:tcPr>
            <w:tcW w:w="2498" w:type="dxa"/>
            <w:gridSpan w:val="4"/>
          </w:tcPr>
          <w:p w14:paraId="53476064">
            <w:pPr>
              <w:spacing w:line="360" w:lineRule="auto"/>
              <w:rPr>
                <w:rFonts w:ascii="宋体" w:hAnsi="宋体" w:cs="宋体"/>
                <w:color w:val="auto"/>
                <w:sz w:val="24"/>
                <w:highlight w:val="none"/>
              </w:rPr>
            </w:pPr>
          </w:p>
        </w:tc>
        <w:tc>
          <w:tcPr>
            <w:tcW w:w="1417" w:type="dxa"/>
          </w:tcPr>
          <w:p w14:paraId="53476065">
            <w:pPr>
              <w:kinsoku w:val="0"/>
              <w:autoSpaceDE w:val="0"/>
              <w:autoSpaceDN w:val="0"/>
              <w:adjustRightInd w:val="0"/>
              <w:snapToGrid w:val="0"/>
              <w:spacing w:line="360" w:lineRule="auto"/>
              <w:ind w:left="732"/>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性别</w:t>
            </w:r>
          </w:p>
        </w:tc>
        <w:tc>
          <w:tcPr>
            <w:tcW w:w="1878" w:type="dxa"/>
            <w:gridSpan w:val="3"/>
          </w:tcPr>
          <w:p w14:paraId="53476066">
            <w:pPr>
              <w:spacing w:line="360" w:lineRule="auto"/>
              <w:rPr>
                <w:rFonts w:ascii="宋体" w:hAnsi="宋体" w:cs="宋体"/>
                <w:color w:val="auto"/>
                <w:sz w:val="24"/>
                <w:highlight w:val="none"/>
              </w:rPr>
            </w:pPr>
          </w:p>
        </w:tc>
        <w:tc>
          <w:tcPr>
            <w:tcW w:w="1128" w:type="dxa"/>
          </w:tcPr>
          <w:p w14:paraId="53476067">
            <w:pPr>
              <w:kinsoku w:val="0"/>
              <w:autoSpaceDE w:val="0"/>
              <w:autoSpaceDN w:val="0"/>
              <w:adjustRightInd w:val="0"/>
              <w:snapToGrid w:val="0"/>
              <w:spacing w:line="360" w:lineRule="auto"/>
              <w:ind w:left="338"/>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年龄</w:t>
            </w:r>
          </w:p>
        </w:tc>
        <w:tc>
          <w:tcPr>
            <w:tcW w:w="1502" w:type="dxa"/>
            <w:gridSpan w:val="3"/>
          </w:tcPr>
          <w:p w14:paraId="53476068">
            <w:pPr>
              <w:spacing w:line="360" w:lineRule="auto"/>
              <w:rPr>
                <w:rFonts w:ascii="宋体" w:hAnsi="宋体" w:cs="宋体"/>
                <w:color w:val="auto"/>
                <w:sz w:val="24"/>
                <w:highlight w:val="none"/>
              </w:rPr>
            </w:pPr>
          </w:p>
        </w:tc>
      </w:tr>
      <w:tr w14:paraId="534760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1200" w:type="dxa"/>
          </w:tcPr>
          <w:p w14:paraId="5347606A">
            <w:pPr>
              <w:kinsoku w:val="0"/>
              <w:autoSpaceDE w:val="0"/>
              <w:autoSpaceDN w:val="0"/>
              <w:adjustRightInd w:val="0"/>
              <w:snapToGrid w:val="0"/>
              <w:spacing w:line="360" w:lineRule="auto"/>
              <w:ind w:left="405"/>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8"/>
                <w:kern w:val="0"/>
                <w:sz w:val="24"/>
                <w:highlight w:val="none"/>
                <w:lang w:eastAsia="en-US"/>
              </w:rPr>
              <w:t>岗位</w:t>
            </w:r>
          </w:p>
        </w:tc>
        <w:tc>
          <w:tcPr>
            <w:tcW w:w="2498" w:type="dxa"/>
            <w:gridSpan w:val="4"/>
          </w:tcPr>
          <w:p w14:paraId="5347606B">
            <w:pPr>
              <w:kinsoku w:val="0"/>
              <w:autoSpaceDE w:val="0"/>
              <w:autoSpaceDN w:val="0"/>
              <w:adjustRightInd w:val="0"/>
              <w:snapToGrid w:val="0"/>
              <w:spacing w:line="360" w:lineRule="auto"/>
              <w:ind w:left="90"/>
              <w:jc w:val="left"/>
              <w:textAlignment w:val="baseline"/>
              <w:rPr>
                <w:rFonts w:ascii="宋体" w:hAnsi="宋体" w:cs="宋体"/>
                <w:snapToGrid w:val="0"/>
                <w:color w:val="auto"/>
                <w:kern w:val="0"/>
                <w:sz w:val="24"/>
                <w:highlight w:val="none"/>
              </w:rPr>
            </w:pPr>
            <w:r>
              <w:rPr>
                <w:rFonts w:hint="eastAsia" w:ascii="宋体" w:hAnsi="宋体" w:cs="宋体"/>
                <w:snapToGrid w:val="0"/>
                <w:color w:val="auto"/>
                <w:spacing w:val="-1"/>
                <w:kern w:val="0"/>
                <w:sz w:val="24"/>
                <w:highlight w:val="none"/>
              </w:rPr>
              <w:t>专职安全生产管理人员</w:t>
            </w:r>
          </w:p>
        </w:tc>
        <w:tc>
          <w:tcPr>
            <w:tcW w:w="1417" w:type="dxa"/>
          </w:tcPr>
          <w:p w14:paraId="5347606C">
            <w:pPr>
              <w:kinsoku w:val="0"/>
              <w:autoSpaceDE w:val="0"/>
              <w:autoSpaceDN w:val="0"/>
              <w:adjustRightInd w:val="0"/>
              <w:snapToGrid w:val="0"/>
              <w:spacing w:line="360" w:lineRule="auto"/>
              <w:ind w:left="733"/>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职称</w:t>
            </w:r>
          </w:p>
        </w:tc>
        <w:tc>
          <w:tcPr>
            <w:tcW w:w="1878" w:type="dxa"/>
            <w:gridSpan w:val="3"/>
          </w:tcPr>
          <w:p w14:paraId="5347606D">
            <w:pPr>
              <w:spacing w:line="360" w:lineRule="auto"/>
              <w:rPr>
                <w:rFonts w:ascii="宋体" w:hAnsi="宋体" w:cs="宋体"/>
                <w:color w:val="auto"/>
                <w:sz w:val="24"/>
                <w:highlight w:val="none"/>
              </w:rPr>
            </w:pPr>
          </w:p>
        </w:tc>
        <w:tc>
          <w:tcPr>
            <w:tcW w:w="1128" w:type="dxa"/>
          </w:tcPr>
          <w:p w14:paraId="5347606E">
            <w:pPr>
              <w:kinsoku w:val="0"/>
              <w:autoSpaceDE w:val="0"/>
              <w:autoSpaceDN w:val="0"/>
              <w:adjustRightInd w:val="0"/>
              <w:snapToGrid w:val="0"/>
              <w:spacing w:line="360" w:lineRule="auto"/>
              <w:ind w:left="341"/>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3"/>
                <w:kern w:val="0"/>
                <w:sz w:val="24"/>
                <w:highlight w:val="none"/>
                <w:lang w:eastAsia="en-US"/>
              </w:rPr>
              <w:t>学历</w:t>
            </w:r>
          </w:p>
        </w:tc>
        <w:tc>
          <w:tcPr>
            <w:tcW w:w="1502" w:type="dxa"/>
            <w:gridSpan w:val="3"/>
          </w:tcPr>
          <w:p w14:paraId="5347606F">
            <w:pPr>
              <w:spacing w:line="360" w:lineRule="auto"/>
              <w:rPr>
                <w:rFonts w:ascii="宋体" w:hAnsi="宋体" w:cs="宋体"/>
                <w:color w:val="auto"/>
                <w:sz w:val="24"/>
                <w:highlight w:val="none"/>
              </w:rPr>
            </w:pPr>
          </w:p>
        </w:tc>
      </w:tr>
      <w:tr w14:paraId="534760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1200" w:type="dxa"/>
          </w:tcPr>
          <w:p w14:paraId="53476071">
            <w:pPr>
              <w:kinsoku w:val="0"/>
              <w:autoSpaceDE w:val="0"/>
              <w:autoSpaceDN w:val="0"/>
              <w:adjustRightInd w:val="0"/>
              <w:snapToGrid w:val="0"/>
              <w:spacing w:line="360" w:lineRule="auto"/>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从业开始 时间</w:t>
            </w:r>
          </w:p>
        </w:tc>
        <w:tc>
          <w:tcPr>
            <w:tcW w:w="2498" w:type="dxa"/>
            <w:gridSpan w:val="4"/>
          </w:tcPr>
          <w:p w14:paraId="53476072">
            <w:pPr>
              <w:spacing w:line="360" w:lineRule="auto"/>
              <w:rPr>
                <w:rFonts w:ascii="宋体" w:hAnsi="宋体" w:cs="宋体"/>
                <w:color w:val="auto"/>
                <w:sz w:val="24"/>
                <w:highlight w:val="none"/>
              </w:rPr>
            </w:pPr>
          </w:p>
        </w:tc>
        <w:tc>
          <w:tcPr>
            <w:tcW w:w="1417" w:type="dxa"/>
          </w:tcPr>
          <w:p w14:paraId="53476073">
            <w:pPr>
              <w:kinsoku w:val="0"/>
              <w:autoSpaceDE w:val="0"/>
              <w:autoSpaceDN w:val="0"/>
              <w:adjustRightInd w:val="0"/>
              <w:snapToGrid w:val="0"/>
              <w:spacing w:line="360" w:lineRule="auto"/>
              <w:ind w:left="313"/>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职称获得时间</w:t>
            </w:r>
          </w:p>
        </w:tc>
        <w:tc>
          <w:tcPr>
            <w:tcW w:w="1878" w:type="dxa"/>
            <w:gridSpan w:val="3"/>
          </w:tcPr>
          <w:p w14:paraId="53476074">
            <w:pPr>
              <w:spacing w:line="360" w:lineRule="auto"/>
              <w:rPr>
                <w:rFonts w:ascii="宋体" w:hAnsi="宋体" w:cs="宋体"/>
                <w:color w:val="auto"/>
                <w:sz w:val="24"/>
                <w:highlight w:val="none"/>
              </w:rPr>
            </w:pPr>
          </w:p>
        </w:tc>
        <w:tc>
          <w:tcPr>
            <w:tcW w:w="1128" w:type="dxa"/>
          </w:tcPr>
          <w:p w14:paraId="53476075">
            <w:pPr>
              <w:kinsoku w:val="0"/>
              <w:autoSpaceDE w:val="0"/>
              <w:autoSpaceDN w:val="0"/>
              <w:adjustRightInd w:val="0"/>
              <w:snapToGrid w:val="0"/>
              <w:spacing w:line="360" w:lineRule="auto"/>
              <w:ind w:left="132"/>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3"/>
                <w:kern w:val="0"/>
                <w:sz w:val="24"/>
                <w:highlight w:val="none"/>
                <w:lang w:eastAsia="en-US"/>
              </w:rPr>
              <w:t>毕业时间</w:t>
            </w:r>
          </w:p>
        </w:tc>
        <w:tc>
          <w:tcPr>
            <w:tcW w:w="1502" w:type="dxa"/>
            <w:gridSpan w:val="3"/>
          </w:tcPr>
          <w:p w14:paraId="53476076">
            <w:pPr>
              <w:spacing w:line="360" w:lineRule="auto"/>
              <w:rPr>
                <w:rFonts w:ascii="宋体" w:hAnsi="宋体" w:cs="宋体"/>
                <w:color w:val="auto"/>
                <w:sz w:val="24"/>
                <w:highlight w:val="none"/>
              </w:rPr>
            </w:pPr>
          </w:p>
        </w:tc>
      </w:tr>
      <w:tr w14:paraId="534760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1200" w:type="dxa"/>
          </w:tcPr>
          <w:p w14:paraId="53476078">
            <w:pPr>
              <w:kinsoku w:val="0"/>
              <w:autoSpaceDE w:val="0"/>
              <w:autoSpaceDN w:val="0"/>
              <w:adjustRightInd w:val="0"/>
              <w:snapToGrid w:val="0"/>
              <w:spacing w:line="360" w:lineRule="auto"/>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担任</w:t>
            </w:r>
            <w:r>
              <w:rPr>
                <w:rFonts w:hint="eastAsia" w:ascii="宋体" w:hAnsi="宋体" w:cs="宋体"/>
                <w:snapToGrid w:val="0"/>
                <w:color w:val="auto"/>
                <w:spacing w:val="-2"/>
                <w:kern w:val="0"/>
                <w:sz w:val="24"/>
                <w:highlight w:val="none"/>
              </w:rPr>
              <w:t>专职安全员</w:t>
            </w:r>
            <w:r>
              <w:rPr>
                <w:rFonts w:hint="eastAsia" w:ascii="宋体" w:hAnsi="宋体" w:cs="宋体"/>
                <w:snapToGrid w:val="0"/>
                <w:color w:val="auto"/>
                <w:spacing w:val="-2"/>
                <w:kern w:val="0"/>
                <w:sz w:val="24"/>
                <w:highlight w:val="none"/>
                <w:lang w:eastAsia="en-US"/>
              </w:rPr>
              <w:t>年限</w:t>
            </w:r>
          </w:p>
        </w:tc>
        <w:tc>
          <w:tcPr>
            <w:tcW w:w="2498" w:type="dxa"/>
            <w:gridSpan w:val="4"/>
          </w:tcPr>
          <w:p w14:paraId="53476079">
            <w:pPr>
              <w:spacing w:line="360" w:lineRule="auto"/>
              <w:rPr>
                <w:rFonts w:ascii="宋体" w:hAnsi="宋体" w:cs="宋体"/>
                <w:color w:val="auto"/>
                <w:sz w:val="24"/>
                <w:highlight w:val="none"/>
              </w:rPr>
            </w:pPr>
          </w:p>
        </w:tc>
        <w:tc>
          <w:tcPr>
            <w:tcW w:w="1417" w:type="dxa"/>
          </w:tcPr>
          <w:p w14:paraId="5347607A">
            <w:pPr>
              <w:kinsoku w:val="0"/>
              <w:autoSpaceDE w:val="0"/>
              <w:autoSpaceDN w:val="0"/>
              <w:adjustRightInd w:val="0"/>
              <w:snapToGrid w:val="0"/>
              <w:spacing w:line="360" w:lineRule="auto"/>
              <w:ind w:left="544" w:right="179" w:hanging="307"/>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3"/>
                <w:kern w:val="0"/>
                <w:sz w:val="24"/>
                <w:highlight w:val="none"/>
                <w:lang w:eastAsia="en-US"/>
              </w:rPr>
              <w:t>身份证号</w:t>
            </w:r>
            <w:r>
              <w:rPr>
                <w:rFonts w:hint="eastAsia" w:ascii="宋体" w:hAnsi="宋体" w:cs="宋体"/>
                <w:snapToGrid w:val="0"/>
                <w:color w:val="auto"/>
                <w:kern w:val="0"/>
                <w:sz w:val="24"/>
                <w:highlight w:val="none"/>
                <w:lang w:eastAsia="en-US"/>
              </w:rPr>
              <w:t xml:space="preserve"> 码</w:t>
            </w:r>
          </w:p>
        </w:tc>
        <w:tc>
          <w:tcPr>
            <w:tcW w:w="4508" w:type="dxa"/>
            <w:gridSpan w:val="7"/>
          </w:tcPr>
          <w:p w14:paraId="5347607B">
            <w:pPr>
              <w:spacing w:line="360" w:lineRule="auto"/>
              <w:rPr>
                <w:rFonts w:ascii="宋体" w:hAnsi="宋体" w:cs="宋体"/>
                <w:color w:val="auto"/>
                <w:sz w:val="24"/>
                <w:highlight w:val="none"/>
              </w:rPr>
            </w:pPr>
          </w:p>
        </w:tc>
      </w:tr>
      <w:tr w14:paraId="534760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jc w:val="center"/>
        </w:trPr>
        <w:tc>
          <w:tcPr>
            <w:tcW w:w="1200" w:type="dxa"/>
          </w:tcPr>
          <w:p w14:paraId="5347607D">
            <w:pPr>
              <w:kinsoku w:val="0"/>
              <w:autoSpaceDE w:val="0"/>
              <w:autoSpaceDN w:val="0"/>
              <w:adjustRightInd w:val="0"/>
              <w:snapToGrid w:val="0"/>
              <w:spacing w:line="360" w:lineRule="auto"/>
              <w:ind w:left="209"/>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证书名称</w:t>
            </w:r>
          </w:p>
        </w:tc>
        <w:tc>
          <w:tcPr>
            <w:tcW w:w="1274" w:type="dxa"/>
            <w:gridSpan w:val="2"/>
          </w:tcPr>
          <w:p w14:paraId="5347607E">
            <w:pPr>
              <w:kinsoku w:val="0"/>
              <w:autoSpaceDE w:val="0"/>
              <w:autoSpaceDN w:val="0"/>
              <w:adjustRightInd w:val="0"/>
              <w:snapToGrid w:val="0"/>
              <w:spacing w:line="360" w:lineRule="auto"/>
              <w:ind w:left="262"/>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注册专业</w:t>
            </w:r>
          </w:p>
        </w:tc>
        <w:tc>
          <w:tcPr>
            <w:tcW w:w="1224" w:type="dxa"/>
            <w:gridSpan w:val="2"/>
          </w:tcPr>
          <w:p w14:paraId="5347607F">
            <w:pPr>
              <w:kinsoku w:val="0"/>
              <w:autoSpaceDE w:val="0"/>
              <w:autoSpaceDN w:val="0"/>
              <w:adjustRightInd w:val="0"/>
              <w:snapToGrid w:val="0"/>
              <w:spacing w:line="360" w:lineRule="auto"/>
              <w:ind w:left="453"/>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3"/>
                <w:kern w:val="0"/>
                <w:sz w:val="24"/>
                <w:highlight w:val="none"/>
                <w:lang w:eastAsia="en-US"/>
              </w:rPr>
              <w:t>级别</w:t>
            </w:r>
          </w:p>
        </w:tc>
        <w:tc>
          <w:tcPr>
            <w:tcW w:w="1417" w:type="dxa"/>
          </w:tcPr>
          <w:p w14:paraId="53476080">
            <w:pPr>
              <w:kinsoku w:val="0"/>
              <w:autoSpaceDE w:val="0"/>
              <w:autoSpaceDN w:val="0"/>
              <w:adjustRightInd w:val="0"/>
              <w:snapToGrid w:val="0"/>
              <w:spacing w:line="360" w:lineRule="auto"/>
              <w:ind w:left="334"/>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证书编号</w:t>
            </w:r>
          </w:p>
        </w:tc>
        <w:tc>
          <w:tcPr>
            <w:tcW w:w="1419" w:type="dxa"/>
            <w:gridSpan w:val="2"/>
          </w:tcPr>
          <w:p w14:paraId="53476081">
            <w:pPr>
              <w:kinsoku w:val="0"/>
              <w:autoSpaceDE w:val="0"/>
              <w:autoSpaceDN w:val="0"/>
              <w:adjustRightInd w:val="0"/>
              <w:snapToGrid w:val="0"/>
              <w:spacing w:line="360" w:lineRule="auto"/>
              <w:ind w:left="333"/>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注册时间</w:t>
            </w:r>
          </w:p>
        </w:tc>
        <w:tc>
          <w:tcPr>
            <w:tcW w:w="1632" w:type="dxa"/>
            <w:gridSpan w:val="3"/>
          </w:tcPr>
          <w:p w14:paraId="53476082">
            <w:pPr>
              <w:kinsoku w:val="0"/>
              <w:autoSpaceDE w:val="0"/>
              <w:autoSpaceDN w:val="0"/>
              <w:adjustRightInd w:val="0"/>
              <w:snapToGrid w:val="0"/>
              <w:spacing w:line="360" w:lineRule="auto"/>
              <w:ind w:left="441"/>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注册单位</w:t>
            </w:r>
          </w:p>
        </w:tc>
        <w:tc>
          <w:tcPr>
            <w:tcW w:w="1457" w:type="dxa"/>
            <w:gridSpan w:val="2"/>
          </w:tcPr>
          <w:p w14:paraId="53476083">
            <w:pPr>
              <w:kinsoku w:val="0"/>
              <w:autoSpaceDE w:val="0"/>
              <w:autoSpaceDN w:val="0"/>
              <w:adjustRightInd w:val="0"/>
              <w:snapToGrid w:val="0"/>
              <w:spacing w:line="360" w:lineRule="auto"/>
              <w:ind w:left="227"/>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1"/>
                <w:kern w:val="0"/>
                <w:sz w:val="24"/>
                <w:highlight w:val="none"/>
                <w:lang w:eastAsia="en-US"/>
              </w:rPr>
              <w:t>注册有效期</w:t>
            </w:r>
          </w:p>
        </w:tc>
      </w:tr>
      <w:tr w14:paraId="534760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3" w:hRule="atLeast"/>
          <w:jc w:val="center"/>
        </w:trPr>
        <w:tc>
          <w:tcPr>
            <w:tcW w:w="1200" w:type="dxa"/>
          </w:tcPr>
          <w:p w14:paraId="53476085">
            <w:pPr>
              <w:kinsoku w:val="0"/>
              <w:autoSpaceDE w:val="0"/>
              <w:autoSpaceDN w:val="0"/>
              <w:adjustRightInd w:val="0"/>
              <w:snapToGrid w:val="0"/>
              <w:spacing w:line="360" w:lineRule="auto"/>
              <w:jc w:val="left"/>
              <w:textAlignment w:val="baseline"/>
              <w:rPr>
                <w:rFonts w:ascii="宋体" w:hAnsi="宋体" w:cs="宋体"/>
                <w:snapToGrid w:val="0"/>
                <w:color w:val="auto"/>
                <w:kern w:val="0"/>
                <w:sz w:val="24"/>
                <w:highlight w:val="none"/>
              </w:rPr>
            </w:pPr>
            <w:r>
              <w:rPr>
                <w:rFonts w:hint="eastAsia" w:ascii="宋体" w:hAnsi="宋体" w:cs="宋体"/>
                <w:snapToGrid w:val="0"/>
                <w:color w:val="auto"/>
                <w:spacing w:val="-3"/>
                <w:kern w:val="0"/>
                <w:sz w:val="24"/>
                <w:highlight w:val="none"/>
              </w:rPr>
              <w:t>安全生产</w:t>
            </w:r>
            <w:r>
              <w:rPr>
                <w:rFonts w:hint="eastAsia" w:ascii="宋体" w:hAnsi="宋体" w:cs="宋体"/>
                <w:snapToGrid w:val="0"/>
                <w:color w:val="auto"/>
                <w:spacing w:val="-2"/>
                <w:kern w:val="0"/>
                <w:sz w:val="24"/>
                <w:highlight w:val="none"/>
              </w:rPr>
              <w:t>考核合格证书</w:t>
            </w:r>
          </w:p>
        </w:tc>
        <w:tc>
          <w:tcPr>
            <w:tcW w:w="1274" w:type="dxa"/>
            <w:gridSpan w:val="2"/>
          </w:tcPr>
          <w:p w14:paraId="53476086">
            <w:pPr>
              <w:spacing w:line="360" w:lineRule="auto"/>
              <w:rPr>
                <w:rFonts w:ascii="宋体" w:hAnsi="宋体" w:cs="宋体"/>
                <w:color w:val="auto"/>
                <w:sz w:val="24"/>
                <w:highlight w:val="none"/>
              </w:rPr>
            </w:pPr>
          </w:p>
        </w:tc>
        <w:tc>
          <w:tcPr>
            <w:tcW w:w="1224" w:type="dxa"/>
            <w:gridSpan w:val="2"/>
          </w:tcPr>
          <w:p w14:paraId="53476087">
            <w:pPr>
              <w:spacing w:line="360" w:lineRule="auto"/>
              <w:rPr>
                <w:rFonts w:ascii="宋体" w:hAnsi="宋体" w:cs="宋体"/>
                <w:color w:val="auto"/>
                <w:sz w:val="24"/>
                <w:highlight w:val="none"/>
              </w:rPr>
            </w:pPr>
          </w:p>
          <w:p w14:paraId="53476088">
            <w:pPr>
              <w:kinsoku w:val="0"/>
              <w:autoSpaceDE w:val="0"/>
              <w:autoSpaceDN w:val="0"/>
              <w:adjustRightInd w:val="0"/>
              <w:snapToGrid w:val="0"/>
              <w:spacing w:line="360" w:lineRule="auto"/>
              <w:ind w:left="456"/>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4"/>
                <w:kern w:val="0"/>
                <w:sz w:val="24"/>
                <w:highlight w:val="none"/>
                <w:lang w:eastAsia="en-US"/>
              </w:rPr>
              <w:t>C</w:t>
            </w:r>
            <w:r>
              <w:rPr>
                <w:rFonts w:hint="eastAsia" w:ascii="宋体" w:hAnsi="宋体" w:cs="宋体"/>
                <w:snapToGrid w:val="0"/>
                <w:color w:val="auto"/>
                <w:spacing w:val="9"/>
                <w:kern w:val="0"/>
                <w:sz w:val="24"/>
                <w:highlight w:val="none"/>
                <w:lang w:eastAsia="en-US"/>
              </w:rPr>
              <w:t xml:space="preserve"> </w:t>
            </w:r>
            <w:r>
              <w:rPr>
                <w:rFonts w:hint="eastAsia" w:ascii="宋体" w:hAnsi="宋体" w:cs="宋体"/>
                <w:snapToGrid w:val="0"/>
                <w:color w:val="auto"/>
                <w:spacing w:val="-4"/>
                <w:kern w:val="0"/>
                <w:sz w:val="24"/>
                <w:highlight w:val="none"/>
                <w:lang w:eastAsia="en-US"/>
              </w:rPr>
              <w:t>类</w:t>
            </w:r>
          </w:p>
        </w:tc>
        <w:tc>
          <w:tcPr>
            <w:tcW w:w="1417" w:type="dxa"/>
          </w:tcPr>
          <w:p w14:paraId="53476089">
            <w:pPr>
              <w:spacing w:line="360" w:lineRule="auto"/>
              <w:rPr>
                <w:rFonts w:ascii="宋体" w:hAnsi="宋体" w:cs="宋体"/>
                <w:color w:val="auto"/>
                <w:sz w:val="24"/>
                <w:highlight w:val="none"/>
              </w:rPr>
            </w:pPr>
          </w:p>
        </w:tc>
        <w:tc>
          <w:tcPr>
            <w:tcW w:w="1419" w:type="dxa"/>
            <w:gridSpan w:val="2"/>
          </w:tcPr>
          <w:p w14:paraId="5347608A">
            <w:pPr>
              <w:spacing w:line="360" w:lineRule="auto"/>
              <w:rPr>
                <w:rFonts w:ascii="宋体" w:hAnsi="宋体" w:cs="宋体"/>
                <w:color w:val="auto"/>
                <w:sz w:val="24"/>
                <w:highlight w:val="none"/>
              </w:rPr>
            </w:pPr>
          </w:p>
        </w:tc>
        <w:tc>
          <w:tcPr>
            <w:tcW w:w="1632" w:type="dxa"/>
            <w:gridSpan w:val="3"/>
          </w:tcPr>
          <w:p w14:paraId="5347608B">
            <w:pPr>
              <w:spacing w:line="360" w:lineRule="auto"/>
              <w:rPr>
                <w:rFonts w:ascii="宋体" w:hAnsi="宋体" w:cs="宋体"/>
                <w:color w:val="auto"/>
                <w:sz w:val="24"/>
                <w:highlight w:val="none"/>
              </w:rPr>
            </w:pPr>
          </w:p>
        </w:tc>
        <w:tc>
          <w:tcPr>
            <w:tcW w:w="1457" w:type="dxa"/>
            <w:gridSpan w:val="2"/>
          </w:tcPr>
          <w:p w14:paraId="5347608C">
            <w:pPr>
              <w:spacing w:line="360" w:lineRule="auto"/>
              <w:rPr>
                <w:rFonts w:ascii="宋体" w:hAnsi="宋体" w:cs="宋体"/>
                <w:color w:val="auto"/>
                <w:sz w:val="24"/>
                <w:highlight w:val="none"/>
              </w:rPr>
            </w:pPr>
          </w:p>
        </w:tc>
      </w:tr>
      <w:tr w14:paraId="534760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jc w:val="center"/>
        </w:trPr>
        <w:tc>
          <w:tcPr>
            <w:tcW w:w="1200" w:type="dxa"/>
          </w:tcPr>
          <w:p w14:paraId="5347608E">
            <w:pPr>
              <w:spacing w:line="360" w:lineRule="auto"/>
              <w:rPr>
                <w:rFonts w:ascii="宋体" w:hAnsi="宋体" w:cs="宋体"/>
                <w:color w:val="auto"/>
                <w:sz w:val="24"/>
                <w:highlight w:val="none"/>
              </w:rPr>
            </w:pPr>
          </w:p>
        </w:tc>
        <w:tc>
          <w:tcPr>
            <w:tcW w:w="1274" w:type="dxa"/>
            <w:gridSpan w:val="2"/>
          </w:tcPr>
          <w:p w14:paraId="5347608F">
            <w:pPr>
              <w:spacing w:line="360" w:lineRule="auto"/>
              <w:rPr>
                <w:rFonts w:ascii="宋体" w:hAnsi="宋体" w:cs="宋体"/>
                <w:color w:val="auto"/>
                <w:sz w:val="24"/>
                <w:highlight w:val="none"/>
              </w:rPr>
            </w:pPr>
          </w:p>
        </w:tc>
        <w:tc>
          <w:tcPr>
            <w:tcW w:w="1224" w:type="dxa"/>
            <w:gridSpan w:val="2"/>
          </w:tcPr>
          <w:p w14:paraId="53476090">
            <w:pPr>
              <w:spacing w:line="360" w:lineRule="auto"/>
              <w:rPr>
                <w:rFonts w:ascii="宋体" w:hAnsi="宋体" w:cs="宋体"/>
                <w:color w:val="auto"/>
                <w:sz w:val="24"/>
                <w:highlight w:val="none"/>
              </w:rPr>
            </w:pPr>
          </w:p>
        </w:tc>
        <w:tc>
          <w:tcPr>
            <w:tcW w:w="1417" w:type="dxa"/>
          </w:tcPr>
          <w:p w14:paraId="53476091">
            <w:pPr>
              <w:spacing w:line="360" w:lineRule="auto"/>
              <w:rPr>
                <w:rFonts w:ascii="宋体" w:hAnsi="宋体" w:cs="宋体"/>
                <w:color w:val="auto"/>
                <w:sz w:val="24"/>
                <w:highlight w:val="none"/>
              </w:rPr>
            </w:pPr>
          </w:p>
        </w:tc>
        <w:tc>
          <w:tcPr>
            <w:tcW w:w="1419" w:type="dxa"/>
            <w:gridSpan w:val="2"/>
          </w:tcPr>
          <w:p w14:paraId="53476092">
            <w:pPr>
              <w:spacing w:line="360" w:lineRule="auto"/>
              <w:rPr>
                <w:rFonts w:ascii="宋体" w:hAnsi="宋体" w:cs="宋体"/>
                <w:color w:val="auto"/>
                <w:sz w:val="24"/>
                <w:highlight w:val="none"/>
              </w:rPr>
            </w:pPr>
          </w:p>
        </w:tc>
        <w:tc>
          <w:tcPr>
            <w:tcW w:w="1632" w:type="dxa"/>
            <w:gridSpan w:val="3"/>
          </w:tcPr>
          <w:p w14:paraId="53476093">
            <w:pPr>
              <w:spacing w:line="360" w:lineRule="auto"/>
              <w:rPr>
                <w:rFonts w:ascii="宋体" w:hAnsi="宋体" w:cs="宋体"/>
                <w:color w:val="auto"/>
                <w:sz w:val="24"/>
                <w:highlight w:val="none"/>
              </w:rPr>
            </w:pPr>
          </w:p>
        </w:tc>
        <w:tc>
          <w:tcPr>
            <w:tcW w:w="1457" w:type="dxa"/>
            <w:gridSpan w:val="2"/>
          </w:tcPr>
          <w:p w14:paraId="53476094">
            <w:pPr>
              <w:spacing w:line="360" w:lineRule="auto"/>
              <w:rPr>
                <w:rFonts w:ascii="宋体" w:hAnsi="宋体" w:cs="宋体"/>
                <w:color w:val="auto"/>
                <w:sz w:val="24"/>
                <w:highlight w:val="none"/>
              </w:rPr>
            </w:pPr>
          </w:p>
        </w:tc>
      </w:tr>
      <w:tr w14:paraId="534760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jc w:val="center"/>
        </w:trPr>
        <w:tc>
          <w:tcPr>
            <w:tcW w:w="9623" w:type="dxa"/>
            <w:gridSpan w:val="13"/>
          </w:tcPr>
          <w:p w14:paraId="53476096">
            <w:pPr>
              <w:kinsoku w:val="0"/>
              <w:autoSpaceDE w:val="0"/>
              <w:autoSpaceDN w:val="0"/>
              <w:adjustRightInd w:val="0"/>
              <w:snapToGrid w:val="0"/>
              <w:spacing w:line="360" w:lineRule="auto"/>
              <w:ind w:left="3664"/>
              <w:jc w:val="left"/>
              <w:textAlignment w:val="baseline"/>
              <w:rPr>
                <w:rFonts w:ascii="宋体" w:hAnsi="宋体" w:cs="宋体"/>
                <w:snapToGrid w:val="0"/>
                <w:color w:val="auto"/>
                <w:kern w:val="0"/>
                <w:sz w:val="24"/>
                <w:highlight w:val="none"/>
              </w:rPr>
            </w:pPr>
            <w:r>
              <w:rPr>
                <w:rFonts w:hint="eastAsia" w:ascii="宋体" w:hAnsi="宋体" w:cs="宋体"/>
                <w:snapToGrid w:val="0"/>
                <w:color w:val="auto"/>
                <w:spacing w:val="-1"/>
                <w:kern w:val="0"/>
                <w:sz w:val="24"/>
                <w:highlight w:val="none"/>
              </w:rPr>
              <w:t>在建和已完工程项目情况</w:t>
            </w:r>
          </w:p>
        </w:tc>
      </w:tr>
      <w:tr w14:paraId="534760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jc w:val="center"/>
        </w:trPr>
        <w:tc>
          <w:tcPr>
            <w:tcW w:w="1630" w:type="dxa"/>
            <w:gridSpan w:val="2"/>
          </w:tcPr>
          <w:p w14:paraId="53476098">
            <w:pPr>
              <w:spacing w:line="360" w:lineRule="auto"/>
              <w:rPr>
                <w:rFonts w:ascii="宋体" w:hAnsi="宋体" w:cs="宋体"/>
                <w:color w:val="auto"/>
                <w:sz w:val="24"/>
                <w:highlight w:val="none"/>
              </w:rPr>
            </w:pPr>
          </w:p>
        </w:tc>
        <w:tc>
          <w:tcPr>
            <w:tcW w:w="1548" w:type="dxa"/>
            <w:gridSpan w:val="2"/>
          </w:tcPr>
          <w:p w14:paraId="53476099">
            <w:pPr>
              <w:kinsoku w:val="0"/>
              <w:autoSpaceDE w:val="0"/>
              <w:autoSpaceDN w:val="0"/>
              <w:adjustRightInd w:val="0"/>
              <w:snapToGrid w:val="0"/>
              <w:spacing w:line="360" w:lineRule="auto"/>
              <w:ind w:left="493"/>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4"/>
                <w:kern w:val="0"/>
                <w:sz w:val="24"/>
                <w:highlight w:val="none"/>
                <w:lang w:eastAsia="en-US"/>
              </w:rPr>
              <w:t>项目</w:t>
            </w:r>
            <w:r>
              <w:rPr>
                <w:rFonts w:hint="eastAsia" w:ascii="宋体" w:hAnsi="宋体" w:cs="宋体"/>
                <w:snapToGrid w:val="0"/>
                <w:color w:val="auto"/>
                <w:spacing w:val="-26"/>
                <w:kern w:val="0"/>
                <w:sz w:val="24"/>
                <w:highlight w:val="none"/>
                <w:lang w:eastAsia="en-US"/>
              </w:rPr>
              <w:t xml:space="preserve"> </w:t>
            </w:r>
            <w:r>
              <w:rPr>
                <w:rFonts w:hint="eastAsia" w:ascii="宋体" w:hAnsi="宋体" w:cs="宋体"/>
                <w:snapToGrid w:val="0"/>
                <w:color w:val="auto"/>
                <w:spacing w:val="-4"/>
                <w:kern w:val="0"/>
                <w:sz w:val="24"/>
                <w:highlight w:val="none"/>
                <w:lang w:eastAsia="en-US"/>
              </w:rPr>
              <w:t>1</w:t>
            </w:r>
          </w:p>
        </w:tc>
        <w:tc>
          <w:tcPr>
            <w:tcW w:w="1937" w:type="dxa"/>
            <w:gridSpan w:val="2"/>
          </w:tcPr>
          <w:p w14:paraId="5347609A">
            <w:pPr>
              <w:kinsoku w:val="0"/>
              <w:autoSpaceDE w:val="0"/>
              <w:autoSpaceDN w:val="0"/>
              <w:adjustRightInd w:val="0"/>
              <w:snapToGrid w:val="0"/>
              <w:spacing w:line="360" w:lineRule="auto"/>
              <w:ind w:left="637"/>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4"/>
                <w:kern w:val="0"/>
                <w:sz w:val="24"/>
                <w:highlight w:val="none"/>
                <w:lang w:eastAsia="en-US"/>
              </w:rPr>
              <w:t>项目</w:t>
            </w:r>
            <w:r>
              <w:rPr>
                <w:rFonts w:hint="eastAsia" w:ascii="宋体" w:hAnsi="宋体" w:cs="宋体"/>
                <w:snapToGrid w:val="0"/>
                <w:color w:val="auto"/>
                <w:spacing w:val="-46"/>
                <w:kern w:val="0"/>
                <w:sz w:val="24"/>
                <w:highlight w:val="none"/>
                <w:lang w:eastAsia="en-US"/>
              </w:rPr>
              <w:t xml:space="preserve"> </w:t>
            </w:r>
            <w:r>
              <w:rPr>
                <w:rFonts w:hint="eastAsia" w:ascii="宋体" w:hAnsi="宋体" w:cs="宋体"/>
                <w:snapToGrid w:val="0"/>
                <w:color w:val="auto"/>
                <w:spacing w:val="-4"/>
                <w:kern w:val="0"/>
                <w:sz w:val="24"/>
                <w:highlight w:val="none"/>
                <w:lang w:eastAsia="en-US"/>
              </w:rPr>
              <w:t>2</w:t>
            </w:r>
          </w:p>
        </w:tc>
        <w:tc>
          <w:tcPr>
            <w:tcW w:w="1370" w:type="dxa"/>
          </w:tcPr>
          <w:p w14:paraId="5347609B">
            <w:pPr>
              <w:kinsoku w:val="0"/>
              <w:autoSpaceDE w:val="0"/>
              <w:autoSpaceDN w:val="0"/>
              <w:adjustRightInd w:val="0"/>
              <w:snapToGrid w:val="0"/>
              <w:spacing w:line="360" w:lineRule="auto"/>
              <w:ind w:left="456"/>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4"/>
                <w:kern w:val="0"/>
                <w:sz w:val="24"/>
                <w:highlight w:val="none"/>
                <w:lang w:eastAsia="en-US"/>
              </w:rPr>
              <w:t>项目</w:t>
            </w:r>
            <w:r>
              <w:rPr>
                <w:rFonts w:hint="eastAsia" w:ascii="宋体" w:hAnsi="宋体" w:cs="宋体"/>
                <w:snapToGrid w:val="0"/>
                <w:color w:val="auto"/>
                <w:spacing w:val="-42"/>
                <w:kern w:val="0"/>
                <w:sz w:val="24"/>
                <w:highlight w:val="none"/>
                <w:lang w:eastAsia="en-US"/>
              </w:rPr>
              <w:t xml:space="preserve"> </w:t>
            </w:r>
            <w:r>
              <w:rPr>
                <w:rFonts w:hint="eastAsia" w:ascii="宋体" w:hAnsi="宋体" w:cs="宋体"/>
                <w:snapToGrid w:val="0"/>
                <w:color w:val="auto"/>
                <w:spacing w:val="-4"/>
                <w:kern w:val="0"/>
                <w:sz w:val="24"/>
                <w:highlight w:val="none"/>
                <w:lang w:eastAsia="en-US"/>
              </w:rPr>
              <w:t>3</w:t>
            </w:r>
          </w:p>
        </w:tc>
        <w:tc>
          <w:tcPr>
            <w:tcW w:w="1636" w:type="dxa"/>
            <w:gridSpan w:val="3"/>
          </w:tcPr>
          <w:p w14:paraId="5347609C">
            <w:pPr>
              <w:kinsoku w:val="0"/>
              <w:autoSpaceDE w:val="0"/>
              <w:autoSpaceDN w:val="0"/>
              <w:adjustRightInd w:val="0"/>
              <w:snapToGrid w:val="0"/>
              <w:spacing w:line="360" w:lineRule="auto"/>
              <w:ind w:left="539"/>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4"/>
                <w:kern w:val="0"/>
                <w:sz w:val="24"/>
                <w:highlight w:val="none"/>
                <w:lang w:eastAsia="en-US"/>
              </w:rPr>
              <w:t>项目</w:t>
            </w:r>
            <w:r>
              <w:rPr>
                <w:rFonts w:hint="eastAsia" w:ascii="宋体" w:hAnsi="宋体" w:cs="宋体"/>
                <w:snapToGrid w:val="0"/>
                <w:color w:val="auto"/>
                <w:spacing w:val="-48"/>
                <w:kern w:val="0"/>
                <w:sz w:val="24"/>
                <w:highlight w:val="none"/>
                <w:lang w:eastAsia="en-US"/>
              </w:rPr>
              <w:t xml:space="preserve"> </w:t>
            </w:r>
            <w:r>
              <w:rPr>
                <w:rFonts w:hint="eastAsia" w:ascii="宋体" w:hAnsi="宋体" w:cs="宋体"/>
                <w:snapToGrid w:val="0"/>
                <w:color w:val="auto"/>
                <w:spacing w:val="-4"/>
                <w:kern w:val="0"/>
                <w:sz w:val="24"/>
                <w:highlight w:val="none"/>
                <w:lang w:eastAsia="en-US"/>
              </w:rPr>
              <w:t>4</w:t>
            </w:r>
          </w:p>
        </w:tc>
        <w:tc>
          <w:tcPr>
            <w:tcW w:w="1482" w:type="dxa"/>
            <w:gridSpan w:val="2"/>
          </w:tcPr>
          <w:p w14:paraId="5347609D">
            <w:pPr>
              <w:kinsoku w:val="0"/>
              <w:autoSpaceDE w:val="0"/>
              <w:autoSpaceDN w:val="0"/>
              <w:adjustRightInd w:val="0"/>
              <w:snapToGrid w:val="0"/>
              <w:spacing w:line="360" w:lineRule="auto"/>
              <w:ind w:left="555"/>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5"/>
                <w:kern w:val="0"/>
                <w:position w:val="2"/>
                <w:sz w:val="24"/>
                <w:highlight w:val="none"/>
                <w:lang w:eastAsia="en-US"/>
              </w:rPr>
              <w:t>……</w:t>
            </w:r>
          </w:p>
        </w:tc>
        <w:tc>
          <w:tcPr>
            <w:tcW w:w="20" w:type="dxa"/>
            <w:tcBorders>
              <w:top w:val="single" w:color="FFFFFF" w:sz="2" w:space="0"/>
              <w:bottom w:val="nil"/>
              <w:right w:val="nil"/>
            </w:tcBorders>
          </w:tcPr>
          <w:p w14:paraId="5347609E">
            <w:pPr>
              <w:spacing w:line="360" w:lineRule="auto"/>
              <w:rPr>
                <w:rFonts w:ascii="宋体" w:hAnsi="宋体" w:cs="宋体"/>
                <w:color w:val="auto"/>
                <w:sz w:val="24"/>
                <w:highlight w:val="none"/>
              </w:rPr>
            </w:pPr>
          </w:p>
        </w:tc>
      </w:tr>
      <w:tr w14:paraId="534760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7" w:hRule="atLeast"/>
          <w:jc w:val="center"/>
        </w:trPr>
        <w:tc>
          <w:tcPr>
            <w:tcW w:w="1630" w:type="dxa"/>
            <w:gridSpan w:val="2"/>
          </w:tcPr>
          <w:p w14:paraId="534760A0">
            <w:pPr>
              <w:kinsoku w:val="0"/>
              <w:autoSpaceDE w:val="0"/>
              <w:autoSpaceDN w:val="0"/>
              <w:adjustRightInd w:val="0"/>
              <w:snapToGrid w:val="0"/>
              <w:spacing w:line="360" w:lineRule="auto"/>
              <w:ind w:left="405"/>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3"/>
                <w:kern w:val="0"/>
                <w:sz w:val="24"/>
                <w:highlight w:val="none"/>
                <w:lang w:eastAsia="en-US"/>
              </w:rPr>
              <w:t>项目名称</w:t>
            </w:r>
          </w:p>
        </w:tc>
        <w:tc>
          <w:tcPr>
            <w:tcW w:w="1548" w:type="dxa"/>
            <w:gridSpan w:val="2"/>
          </w:tcPr>
          <w:p w14:paraId="534760A1">
            <w:pPr>
              <w:spacing w:line="360" w:lineRule="auto"/>
              <w:rPr>
                <w:rFonts w:ascii="宋体" w:hAnsi="宋体" w:cs="宋体"/>
                <w:color w:val="auto"/>
                <w:sz w:val="24"/>
                <w:highlight w:val="none"/>
              </w:rPr>
            </w:pPr>
          </w:p>
        </w:tc>
        <w:tc>
          <w:tcPr>
            <w:tcW w:w="1937" w:type="dxa"/>
            <w:gridSpan w:val="2"/>
          </w:tcPr>
          <w:p w14:paraId="534760A2">
            <w:pPr>
              <w:spacing w:line="360" w:lineRule="auto"/>
              <w:rPr>
                <w:rFonts w:ascii="宋体" w:hAnsi="宋体" w:cs="宋体"/>
                <w:color w:val="auto"/>
                <w:sz w:val="24"/>
                <w:highlight w:val="none"/>
              </w:rPr>
            </w:pPr>
          </w:p>
        </w:tc>
        <w:tc>
          <w:tcPr>
            <w:tcW w:w="1370" w:type="dxa"/>
          </w:tcPr>
          <w:p w14:paraId="534760A3">
            <w:pPr>
              <w:spacing w:line="360" w:lineRule="auto"/>
              <w:rPr>
                <w:rFonts w:ascii="宋体" w:hAnsi="宋体" w:cs="宋体"/>
                <w:color w:val="auto"/>
                <w:sz w:val="24"/>
                <w:highlight w:val="none"/>
              </w:rPr>
            </w:pPr>
          </w:p>
        </w:tc>
        <w:tc>
          <w:tcPr>
            <w:tcW w:w="1636" w:type="dxa"/>
            <w:gridSpan w:val="3"/>
          </w:tcPr>
          <w:p w14:paraId="534760A4">
            <w:pPr>
              <w:spacing w:line="360" w:lineRule="auto"/>
              <w:rPr>
                <w:rFonts w:ascii="宋体" w:hAnsi="宋体" w:cs="宋体"/>
                <w:color w:val="auto"/>
                <w:sz w:val="24"/>
                <w:highlight w:val="none"/>
              </w:rPr>
            </w:pPr>
          </w:p>
        </w:tc>
        <w:tc>
          <w:tcPr>
            <w:tcW w:w="1482" w:type="dxa"/>
            <w:gridSpan w:val="2"/>
          </w:tcPr>
          <w:p w14:paraId="534760A5">
            <w:pPr>
              <w:spacing w:line="360" w:lineRule="auto"/>
              <w:rPr>
                <w:rFonts w:ascii="宋体" w:hAnsi="宋体" w:cs="宋体"/>
                <w:color w:val="auto"/>
                <w:sz w:val="24"/>
                <w:highlight w:val="none"/>
              </w:rPr>
            </w:pPr>
          </w:p>
        </w:tc>
        <w:tc>
          <w:tcPr>
            <w:tcW w:w="20" w:type="dxa"/>
            <w:tcBorders>
              <w:top w:val="nil"/>
              <w:bottom w:val="nil"/>
              <w:right w:val="nil"/>
            </w:tcBorders>
          </w:tcPr>
          <w:p w14:paraId="534760A6">
            <w:pPr>
              <w:spacing w:line="360" w:lineRule="auto"/>
              <w:rPr>
                <w:rFonts w:ascii="宋体" w:hAnsi="宋体" w:cs="宋体"/>
                <w:color w:val="auto"/>
                <w:sz w:val="24"/>
                <w:highlight w:val="none"/>
              </w:rPr>
            </w:pPr>
          </w:p>
        </w:tc>
      </w:tr>
      <w:tr w14:paraId="534760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4" w:hRule="atLeast"/>
          <w:jc w:val="center"/>
        </w:trPr>
        <w:tc>
          <w:tcPr>
            <w:tcW w:w="1630" w:type="dxa"/>
            <w:gridSpan w:val="2"/>
          </w:tcPr>
          <w:p w14:paraId="534760A8">
            <w:pPr>
              <w:kinsoku w:val="0"/>
              <w:autoSpaceDE w:val="0"/>
              <w:autoSpaceDN w:val="0"/>
              <w:adjustRightInd w:val="0"/>
              <w:snapToGrid w:val="0"/>
              <w:spacing w:line="360" w:lineRule="auto"/>
              <w:ind w:left="404"/>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建设单位</w:t>
            </w:r>
          </w:p>
        </w:tc>
        <w:tc>
          <w:tcPr>
            <w:tcW w:w="1548" w:type="dxa"/>
            <w:gridSpan w:val="2"/>
          </w:tcPr>
          <w:p w14:paraId="534760A9">
            <w:pPr>
              <w:spacing w:line="360" w:lineRule="auto"/>
              <w:rPr>
                <w:rFonts w:ascii="宋体" w:hAnsi="宋体" w:cs="宋体"/>
                <w:color w:val="auto"/>
                <w:sz w:val="24"/>
                <w:highlight w:val="none"/>
              </w:rPr>
            </w:pPr>
          </w:p>
        </w:tc>
        <w:tc>
          <w:tcPr>
            <w:tcW w:w="1937" w:type="dxa"/>
            <w:gridSpan w:val="2"/>
          </w:tcPr>
          <w:p w14:paraId="534760AA">
            <w:pPr>
              <w:spacing w:line="360" w:lineRule="auto"/>
              <w:rPr>
                <w:rFonts w:ascii="宋体" w:hAnsi="宋体" w:cs="宋体"/>
                <w:color w:val="auto"/>
                <w:sz w:val="24"/>
                <w:highlight w:val="none"/>
              </w:rPr>
            </w:pPr>
          </w:p>
        </w:tc>
        <w:tc>
          <w:tcPr>
            <w:tcW w:w="1370" w:type="dxa"/>
          </w:tcPr>
          <w:p w14:paraId="534760AB">
            <w:pPr>
              <w:spacing w:line="360" w:lineRule="auto"/>
              <w:rPr>
                <w:rFonts w:ascii="宋体" w:hAnsi="宋体" w:cs="宋体"/>
                <w:color w:val="auto"/>
                <w:sz w:val="24"/>
                <w:highlight w:val="none"/>
              </w:rPr>
            </w:pPr>
          </w:p>
        </w:tc>
        <w:tc>
          <w:tcPr>
            <w:tcW w:w="1636" w:type="dxa"/>
            <w:gridSpan w:val="3"/>
          </w:tcPr>
          <w:p w14:paraId="534760AC">
            <w:pPr>
              <w:spacing w:line="360" w:lineRule="auto"/>
              <w:rPr>
                <w:rFonts w:ascii="宋体" w:hAnsi="宋体" w:cs="宋体"/>
                <w:color w:val="auto"/>
                <w:sz w:val="24"/>
                <w:highlight w:val="none"/>
              </w:rPr>
            </w:pPr>
          </w:p>
        </w:tc>
        <w:tc>
          <w:tcPr>
            <w:tcW w:w="1482" w:type="dxa"/>
            <w:gridSpan w:val="2"/>
          </w:tcPr>
          <w:p w14:paraId="534760AD">
            <w:pPr>
              <w:spacing w:line="360" w:lineRule="auto"/>
              <w:rPr>
                <w:rFonts w:ascii="宋体" w:hAnsi="宋体" w:cs="宋体"/>
                <w:color w:val="auto"/>
                <w:sz w:val="24"/>
                <w:highlight w:val="none"/>
              </w:rPr>
            </w:pPr>
          </w:p>
        </w:tc>
        <w:tc>
          <w:tcPr>
            <w:tcW w:w="20" w:type="dxa"/>
            <w:tcBorders>
              <w:top w:val="nil"/>
              <w:bottom w:val="nil"/>
              <w:right w:val="nil"/>
            </w:tcBorders>
          </w:tcPr>
          <w:p w14:paraId="534760AE">
            <w:pPr>
              <w:spacing w:line="360" w:lineRule="auto"/>
              <w:rPr>
                <w:rFonts w:ascii="宋体" w:hAnsi="宋体" w:cs="宋体"/>
                <w:color w:val="auto"/>
                <w:sz w:val="24"/>
                <w:highlight w:val="none"/>
              </w:rPr>
            </w:pPr>
          </w:p>
        </w:tc>
      </w:tr>
      <w:tr w14:paraId="534760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7" w:hRule="atLeast"/>
          <w:jc w:val="center"/>
        </w:trPr>
        <w:tc>
          <w:tcPr>
            <w:tcW w:w="1630" w:type="dxa"/>
            <w:gridSpan w:val="2"/>
          </w:tcPr>
          <w:p w14:paraId="534760B0">
            <w:pPr>
              <w:kinsoku w:val="0"/>
              <w:autoSpaceDE w:val="0"/>
              <w:autoSpaceDN w:val="0"/>
              <w:adjustRightInd w:val="0"/>
              <w:snapToGrid w:val="0"/>
              <w:spacing w:line="360" w:lineRule="auto"/>
              <w:ind w:left="404"/>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建设规模</w:t>
            </w:r>
          </w:p>
        </w:tc>
        <w:tc>
          <w:tcPr>
            <w:tcW w:w="1548" w:type="dxa"/>
            <w:gridSpan w:val="2"/>
          </w:tcPr>
          <w:p w14:paraId="534760B1">
            <w:pPr>
              <w:spacing w:line="360" w:lineRule="auto"/>
              <w:rPr>
                <w:rFonts w:ascii="宋体" w:hAnsi="宋体" w:cs="宋体"/>
                <w:color w:val="auto"/>
                <w:sz w:val="24"/>
                <w:highlight w:val="none"/>
              </w:rPr>
            </w:pPr>
          </w:p>
        </w:tc>
        <w:tc>
          <w:tcPr>
            <w:tcW w:w="1937" w:type="dxa"/>
            <w:gridSpan w:val="2"/>
          </w:tcPr>
          <w:p w14:paraId="534760B2">
            <w:pPr>
              <w:spacing w:line="360" w:lineRule="auto"/>
              <w:rPr>
                <w:rFonts w:ascii="宋体" w:hAnsi="宋体" w:cs="宋体"/>
                <w:color w:val="auto"/>
                <w:sz w:val="24"/>
                <w:highlight w:val="none"/>
              </w:rPr>
            </w:pPr>
          </w:p>
        </w:tc>
        <w:tc>
          <w:tcPr>
            <w:tcW w:w="1370" w:type="dxa"/>
          </w:tcPr>
          <w:p w14:paraId="534760B3">
            <w:pPr>
              <w:spacing w:line="360" w:lineRule="auto"/>
              <w:rPr>
                <w:rFonts w:ascii="宋体" w:hAnsi="宋体" w:cs="宋体"/>
                <w:color w:val="auto"/>
                <w:sz w:val="24"/>
                <w:highlight w:val="none"/>
              </w:rPr>
            </w:pPr>
          </w:p>
        </w:tc>
        <w:tc>
          <w:tcPr>
            <w:tcW w:w="1636" w:type="dxa"/>
            <w:gridSpan w:val="3"/>
          </w:tcPr>
          <w:p w14:paraId="534760B4">
            <w:pPr>
              <w:spacing w:line="360" w:lineRule="auto"/>
              <w:rPr>
                <w:rFonts w:ascii="宋体" w:hAnsi="宋体" w:cs="宋体"/>
                <w:color w:val="auto"/>
                <w:sz w:val="24"/>
                <w:highlight w:val="none"/>
              </w:rPr>
            </w:pPr>
          </w:p>
        </w:tc>
        <w:tc>
          <w:tcPr>
            <w:tcW w:w="1482" w:type="dxa"/>
            <w:gridSpan w:val="2"/>
          </w:tcPr>
          <w:p w14:paraId="534760B5">
            <w:pPr>
              <w:spacing w:line="360" w:lineRule="auto"/>
              <w:rPr>
                <w:rFonts w:ascii="宋体" w:hAnsi="宋体" w:cs="宋体"/>
                <w:color w:val="auto"/>
                <w:sz w:val="24"/>
                <w:highlight w:val="none"/>
              </w:rPr>
            </w:pPr>
          </w:p>
        </w:tc>
        <w:tc>
          <w:tcPr>
            <w:tcW w:w="20" w:type="dxa"/>
            <w:tcBorders>
              <w:top w:val="nil"/>
              <w:bottom w:val="nil"/>
              <w:right w:val="nil"/>
            </w:tcBorders>
          </w:tcPr>
          <w:p w14:paraId="534760B6">
            <w:pPr>
              <w:spacing w:line="360" w:lineRule="auto"/>
              <w:rPr>
                <w:rFonts w:ascii="宋体" w:hAnsi="宋体" w:cs="宋体"/>
                <w:color w:val="auto"/>
                <w:sz w:val="24"/>
                <w:highlight w:val="none"/>
              </w:rPr>
            </w:pPr>
          </w:p>
        </w:tc>
      </w:tr>
      <w:tr w14:paraId="534760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4" w:hRule="atLeast"/>
          <w:jc w:val="center"/>
        </w:trPr>
        <w:tc>
          <w:tcPr>
            <w:tcW w:w="1630" w:type="dxa"/>
            <w:gridSpan w:val="2"/>
          </w:tcPr>
          <w:p w14:paraId="534760B8">
            <w:pPr>
              <w:kinsoku w:val="0"/>
              <w:autoSpaceDE w:val="0"/>
              <w:autoSpaceDN w:val="0"/>
              <w:adjustRightInd w:val="0"/>
              <w:snapToGrid w:val="0"/>
              <w:spacing w:line="360" w:lineRule="auto"/>
              <w:ind w:left="402"/>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开工日期</w:t>
            </w:r>
          </w:p>
        </w:tc>
        <w:tc>
          <w:tcPr>
            <w:tcW w:w="1548" w:type="dxa"/>
            <w:gridSpan w:val="2"/>
          </w:tcPr>
          <w:p w14:paraId="534760B9">
            <w:pPr>
              <w:spacing w:line="360" w:lineRule="auto"/>
              <w:rPr>
                <w:rFonts w:ascii="宋体" w:hAnsi="宋体" w:cs="宋体"/>
                <w:color w:val="auto"/>
                <w:sz w:val="24"/>
                <w:highlight w:val="none"/>
              </w:rPr>
            </w:pPr>
          </w:p>
        </w:tc>
        <w:tc>
          <w:tcPr>
            <w:tcW w:w="1937" w:type="dxa"/>
            <w:gridSpan w:val="2"/>
          </w:tcPr>
          <w:p w14:paraId="534760BA">
            <w:pPr>
              <w:spacing w:line="360" w:lineRule="auto"/>
              <w:rPr>
                <w:rFonts w:ascii="宋体" w:hAnsi="宋体" w:cs="宋体"/>
                <w:color w:val="auto"/>
                <w:sz w:val="24"/>
                <w:highlight w:val="none"/>
              </w:rPr>
            </w:pPr>
          </w:p>
        </w:tc>
        <w:tc>
          <w:tcPr>
            <w:tcW w:w="1370" w:type="dxa"/>
          </w:tcPr>
          <w:p w14:paraId="534760BB">
            <w:pPr>
              <w:spacing w:line="360" w:lineRule="auto"/>
              <w:rPr>
                <w:rFonts w:ascii="宋体" w:hAnsi="宋体" w:cs="宋体"/>
                <w:color w:val="auto"/>
                <w:sz w:val="24"/>
                <w:highlight w:val="none"/>
              </w:rPr>
            </w:pPr>
          </w:p>
        </w:tc>
        <w:tc>
          <w:tcPr>
            <w:tcW w:w="1636" w:type="dxa"/>
            <w:gridSpan w:val="3"/>
          </w:tcPr>
          <w:p w14:paraId="534760BC">
            <w:pPr>
              <w:spacing w:line="360" w:lineRule="auto"/>
              <w:rPr>
                <w:rFonts w:ascii="宋体" w:hAnsi="宋体" w:cs="宋体"/>
                <w:color w:val="auto"/>
                <w:sz w:val="24"/>
                <w:highlight w:val="none"/>
              </w:rPr>
            </w:pPr>
          </w:p>
        </w:tc>
        <w:tc>
          <w:tcPr>
            <w:tcW w:w="1482" w:type="dxa"/>
            <w:gridSpan w:val="2"/>
          </w:tcPr>
          <w:p w14:paraId="534760BD">
            <w:pPr>
              <w:spacing w:line="360" w:lineRule="auto"/>
              <w:rPr>
                <w:rFonts w:ascii="宋体" w:hAnsi="宋体" w:cs="宋体"/>
                <w:color w:val="auto"/>
                <w:sz w:val="24"/>
                <w:highlight w:val="none"/>
              </w:rPr>
            </w:pPr>
          </w:p>
        </w:tc>
        <w:tc>
          <w:tcPr>
            <w:tcW w:w="20" w:type="dxa"/>
            <w:tcBorders>
              <w:top w:val="nil"/>
              <w:bottom w:val="nil"/>
              <w:right w:val="nil"/>
            </w:tcBorders>
          </w:tcPr>
          <w:p w14:paraId="534760BE">
            <w:pPr>
              <w:spacing w:line="360" w:lineRule="auto"/>
              <w:rPr>
                <w:rFonts w:ascii="宋体" w:hAnsi="宋体" w:cs="宋体"/>
                <w:color w:val="auto"/>
                <w:sz w:val="24"/>
                <w:highlight w:val="none"/>
              </w:rPr>
            </w:pPr>
          </w:p>
        </w:tc>
      </w:tr>
      <w:tr w14:paraId="534760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jc w:val="center"/>
        </w:trPr>
        <w:tc>
          <w:tcPr>
            <w:tcW w:w="1630" w:type="dxa"/>
            <w:gridSpan w:val="2"/>
          </w:tcPr>
          <w:p w14:paraId="534760C0">
            <w:pPr>
              <w:kinsoku w:val="0"/>
              <w:autoSpaceDE w:val="0"/>
              <w:autoSpaceDN w:val="0"/>
              <w:adjustRightInd w:val="0"/>
              <w:snapToGrid w:val="0"/>
              <w:spacing w:line="360" w:lineRule="auto"/>
              <w:ind w:left="402"/>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竣工日期</w:t>
            </w:r>
          </w:p>
        </w:tc>
        <w:tc>
          <w:tcPr>
            <w:tcW w:w="1548" w:type="dxa"/>
            <w:gridSpan w:val="2"/>
          </w:tcPr>
          <w:p w14:paraId="534760C1">
            <w:pPr>
              <w:spacing w:line="360" w:lineRule="auto"/>
              <w:rPr>
                <w:rFonts w:ascii="宋体" w:hAnsi="宋体" w:cs="宋体"/>
                <w:color w:val="auto"/>
                <w:sz w:val="24"/>
                <w:highlight w:val="none"/>
              </w:rPr>
            </w:pPr>
          </w:p>
        </w:tc>
        <w:tc>
          <w:tcPr>
            <w:tcW w:w="1937" w:type="dxa"/>
            <w:gridSpan w:val="2"/>
          </w:tcPr>
          <w:p w14:paraId="534760C2">
            <w:pPr>
              <w:spacing w:line="360" w:lineRule="auto"/>
              <w:rPr>
                <w:rFonts w:ascii="宋体" w:hAnsi="宋体" w:cs="宋体"/>
                <w:color w:val="auto"/>
                <w:sz w:val="24"/>
                <w:highlight w:val="none"/>
              </w:rPr>
            </w:pPr>
          </w:p>
        </w:tc>
        <w:tc>
          <w:tcPr>
            <w:tcW w:w="1370" w:type="dxa"/>
          </w:tcPr>
          <w:p w14:paraId="534760C3">
            <w:pPr>
              <w:spacing w:line="360" w:lineRule="auto"/>
              <w:rPr>
                <w:rFonts w:ascii="宋体" w:hAnsi="宋体" w:cs="宋体"/>
                <w:color w:val="auto"/>
                <w:sz w:val="24"/>
                <w:highlight w:val="none"/>
              </w:rPr>
            </w:pPr>
          </w:p>
        </w:tc>
        <w:tc>
          <w:tcPr>
            <w:tcW w:w="1636" w:type="dxa"/>
            <w:gridSpan w:val="3"/>
          </w:tcPr>
          <w:p w14:paraId="534760C4">
            <w:pPr>
              <w:spacing w:line="360" w:lineRule="auto"/>
              <w:rPr>
                <w:rFonts w:ascii="宋体" w:hAnsi="宋体" w:cs="宋体"/>
                <w:color w:val="auto"/>
                <w:sz w:val="24"/>
                <w:highlight w:val="none"/>
              </w:rPr>
            </w:pPr>
          </w:p>
        </w:tc>
        <w:tc>
          <w:tcPr>
            <w:tcW w:w="1482" w:type="dxa"/>
            <w:gridSpan w:val="2"/>
          </w:tcPr>
          <w:p w14:paraId="534760C5">
            <w:pPr>
              <w:spacing w:line="360" w:lineRule="auto"/>
              <w:rPr>
                <w:rFonts w:ascii="宋体" w:hAnsi="宋体" w:cs="宋体"/>
                <w:color w:val="auto"/>
                <w:sz w:val="24"/>
                <w:highlight w:val="none"/>
              </w:rPr>
            </w:pPr>
          </w:p>
        </w:tc>
        <w:tc>
          <w:tcPr>
            <w:tcW w:w="20" w:type="dxa"/>
            <w:tcBorders>
              <w:top w:val="nil"/>
              <w:bottom w:val="nil"/>
              <w:right w:val="nil"/>
            </w:tcBorders>
          </w:tcPr>
          <w:p w14:paraId="534760C6">
            <w:pPr>
              <w:spacing w:line="360" w:lineRule="auto"/>
              <w:rPr>
                <w:rFonts w:ascii="宋体" w:hAnsi="宋体" w:cs="宋体"/>
                <w:color w:val="auto"/>
                <w:sz w:val="24"/>
                <w:highlight w:val="none"/>
              </w:rPr>
            </w:pPr>
          </w:p>
        </w:tc>
      </w:tr>
      <w:tr w14:paraId="534760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jc w:val="center"/>
        </w:trPr>
        <w:tc>
          <w:tcPr>
            <w:tcW w:w="1630" w:type="dxa"/>
            <w:gridSpan w:val="2"/>
          </w:tcPr>
          <w:p w14:paraId="534760C8">
            <w:pPr>
              <w:kinsoku w:val="0"/>
              <w:autoSpaceDE w:val="0"/>
              <w:autoSpaceDN w:val="0"/>
              <w:adjustRightInd w:val="0"/>
              <w:snapToGrid w:val="0"/>
              <w:spacing w:line="360" w:lineRule="auto"/>
              <w:ind w:left="403"/>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人员角色</w:t>
            </w:r>
          </w:p>
        </w:tc>
        <w:tc>
          <w:tcPr>
            <w:tcW w:w="1548" w:type="dxa"/>
            <w:gridSpan w:val="2"/>
          </w:tcPr>
          <w:p w14:paraId="534760C9">
            <w:pPr>
              <w:spacing w:line="360" w:lineRule="auto"/>
              <w:rPr>
                <w:rFonts w:ascii="宋体" w:hAnsi="宋体" w:cs="宋体"/>
                <w:color w:val="auto"/>
                <w:sz w:val="24"/>
                <w:highlight w:val="none"/>
              </w:rPr>
            </w:pPr>
          </w:p>
        </w:tc>
        <w:tc>
          <w:tcPr>
            <w:tcW w:w="1937" w:type="dxa"/>
            <w:gridSpan w:val="2"/>
          </w:tcPr>
          <w:p w14:paraId="534760CA">
            <w:pPr>
              <w:spacing w:line="360" w:lineRule="auto"/>
              <w:rPr>
                <w:rFonts w:ascii="宋体" w:hAnsi="宋体" w:cs="宋体"/>
                <w:color w:val="auto"/>
                <w:sz w:val="24"/>
                <w:highlight w:val="none"/>
              </w:rPr>
            </w:pPr>
          </w:p>
        </w:tc>
        <w:tc>
          <w:tcPr>
            <w:tcW w:w="1370" w:type="dxa"/>
          </w:tcPr>
          <w:p w14:paraId="534760CB">
            <w:pPr>
              <w:spacing w:line="360" w:lineRule="auto"/>
              <w:rPr>
                <w:rFonts w:ascii="宋体" w:hAnsi="宋体" w:cs="宋体"/>
                <w:color w:val="auto"/>
                <w:sz w:val="24"/>
                <w:highlight w:val="none"/>
              </w:rPr>
            </w:pPr>
          </w:p>
        </w:tc>
        <w:tc>
          <w:tcPr>
            <w:tcW w:w="1636" w:type="dxa"/>
            <w:gridSpan w:val="3"/>
          </w:tcPr>
          <w:p w14:paraId="534760CC">
            <w:pPr>
              <w:spacing w:line="360" w:lineRule="auto"/>
              <w:rPr>
                <w:rFonts w:ascii="宋体" w:hAnsi="宋体" w:cs="宋体"/>
                <w:color w:val="auto"/>
                <w:sz w:val="24"/>
                <w:highlight w:val="none"/>
              </w:rPr>
            </w:pPr>
          </w:p>
        </w:tc>
        <w:tc>
          <w:tcPr>
            <w:tcW w:w="1482" w:type="dxa"/>
            <w:gridSpan w:val="2"/>
          </w:tcPr>
          <w:p w14:paraId="534760CD">
            <w:pPr>
              <w:spacing w:line="360" w:lineRule="auto"/>
              <w:rPr>
                <w:rFonts w:ascii="宋体" w:hAnsi="宋体" w:cs="宋体"/>
                <w:color w:val="auto"/>
                <w:sz w:val="24"/>
                <w:highlight w:val="none"/>
              </w:rPr>
            </w:pPr>
          </w:p>
        </w:tc>
        <w:tc>
          <w:tcPr>
            <w:tcW w:w="20" w:type="dxa"/>
            <w:tcBorders>
              <w:top w:val="nil"/>
              <w:bottom w:val="nil"/>
              <w:right w:val="nil"/>
            </w:tcBorders>
          </w:tcPr>
          <w:p w14:paraId="534760CE">
            <w:pPr>
              <w:spacing w:line="360" w:lineRule="auto"/>
              <w:rPr>
                <w:rFonts w:ascii="宋体" w:hAnsi="宋体" w:cs="宋体"/>
                <w:color w:val="auto"/>
                <w:sz w:val="24"/>
                <w:highlight w:val="none"/>
              </w:rPr>
            </w:pPr>
          </w:p>
        </w:tc>
      </w:tr>
      <w:tr w14:paraId="534760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jc w:val="center"/>
        </w:trPr>
        <w:tc>
          <w:tcPr>
            <w:tcW w:w="1630" w:type="dxa"/>
            <w:gridSpan w:val="2"/>
          </w:tcPr>
          <w:p w14:paraId="534760D0">
            <w:pPr>
              <w:kinsoku w:val="0"/>
              <w:autoSpaceDE w:val="0"/>
              <w:autoSpaceDN w:val="0"/>
              <w:adjustRightInd w:val="0"/>
              <w:snapToGrid w:val="0"/>
              <w:spacing w:line="360" w:lineRule="auto"/>
              <w:ind w:left="295"/>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1"/>
                <w:kern w:val="0"/>
                <w:sz w:val="24"/>
                <w:highlight w:val="none"/>
                <w:lang w:eastAsia="en-US"/>
              </w:rPr>
              <w:t>在建或已完</w:t>
            </w:r>
          </w:p>
        </w:tc>
        <w:tc>
          <w:tcPr>
            <w:tcW w:w="1548" w:type="dxa"/>
            <w:gridSpan w:val="2"/>
          </w:tcPr>
          <w:p w14:paraId="534760D1">
            <w:pPr>
              <w:spacing w:line="360" w:lineRule="auto"/>
              <w:rPr>
                <w:rFonts w:ascii="宋体" w:hAnsi="宋体" w:cs="宋体"/>
                <w:color w:val="auto"/>
                <w:sz w:val="24"/>
                <w:highlight w:val="none"/>
              </w:rPr>
            </w:pPr>
          </w:p>
        </w:tc>
        <w:tc>
          <w:tcPr>
            <w:tcW w:w="1937" w:type="dxa"/>
            <w:gridSpan w:val="2"/>
          </w:tcPr>
          <w:p w14:paraId="534760D2">
            <w:pPr>
              <w:spacing w:line="360" w:lineRule="auto"/>
              <w:rPr>
                <w:rFonts w:ascii="宋体" w:hAnsi="宋体" w:cs="宋体"/>
                <w:color w:val="auto"/>
                <w:sz w:val="24"/>
                <w:highlight w:val="none"/>
              </w:rPr>
            </w:pPr>
          </w:p>
        </w:tc>
        <w:tc>
          <w:tcPr>
            <w:tcW w:w="1370" w:type="dxa"/>
          </w:tcPr>
          <w:p w14:paraId="534760D3">
            <w:pPr>
              <w:spacing w:line="360" w:lineRule="auto"/>
              <w:rPr>
                <w:rFonts w:ascii="宋体" w:hAnsi="宋体" w:cs="宋体"/>
                <w:color w:val="auto"/>
                <w:sz w:val="24"/>
                <w:highlight w:val="none"/>
              </w:rPr>
            </w:pPr>
          </w:p>
        </w:tc>
        <w:tc>
          <w:tcPr>
            <w:tcW w:w="1636" w:type="dxa"/>
            <w:gridSpan w:val="3"/>
          </w:tcPr>
          <w:p w14:paraId="534760D4">
            <w:pPr>
              <w:spacing w:line="360" w:lineRule="auto"/>
              <w:rPr>
                <w:rFonts w:ascii="宋体" w:hAnsi="宋体" w:cs="宋体"/>
                <w:color w:val="auto"/>
                <w:sz w:val="24"/>
                <w:highlight w:val="none"/>
              </w:rPr>
            </w:pPr>
          </w:p>
        </w:tc>
        <w:tc>
          <w:tcPr>
            <w:tcW w:w="1482" w:type="dxa"/>
            <w:gridSpan w:val="2"/>
          </w:tcPr>
          <w:p w14:paraId="534760D5">
            <w:pPr>
              <w:spacing w:line="360" w:lineRule="auto"/>
              <w:rPr>
                <w:rFonts w:ascii="宋体" w:hAnsi="宋体" w:cs="宋体"/>
                <w:color w:val="auto"/>
                <w:sz w:val="24"/>
                <w:highlight w:val="none"/>
              </w:rPr>
            </w:pPr>
          </w:p>
        </w:tc>
        <w:tc>
          <w:tcPr>
            <w:tcW w:w="20" w:type="dxa"/>
            <w:tcBorders>
              <w:top w:val="nil"/>
              <w:bottom w:val="nil"/>
              <w:right w:val="nil"/>
            </w:tcBorders>
          </w:tcPr>
          <w:p w14:paraId="534760D6">
            <w:pPr>
              <w:spacing w:line="360" w:lineRule="auto"/>
              <w:rPr>
                <w:rFonts w:ascii="宋体" w:hAnsi="宋体" w:cs="宋体"/>
                <w:color w:val="auto"/>
                <w:sz w:val="24"/>
                <w:highlight w:val="none"/>
              </w:rPr>
            </w:pPr>
          </w:p>
        </w:tc>
      </w:tr>
      <w:tr w14:paraId="534760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jc w:val="center"/>
        </w:trPr>
        <w:tc>
          <w:tcPr>
            <w:tcW w:w="1630" w:type="dxa"/>
            <w:gridSpan w:val="2"/>
          </w:tcPr>
          <w:p w14:paraId="534760D8">
            <w:pPr>
              <w:kinsoku w:val="0"/>
              <w:autoSpaceDE w:val="0"/>
              <w:autoSpaceDN w:val="0"/>
              <w:adjustRightInd w:val="0"/>
              <w:snapToGrid w:val="0"/>
              <w:spacing w:line="360" w:lineRule="auto"/>
              <w:ind w:left="404"/>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工程质量</w:t>
            </w:r>
          </w:p>
        </w:tc>
        <w:tc>
          <w:tcPr>
            <w:tcW w:w="1548" w:type="dxa"/>
            <w:gridSpan w:val="2"/>
          </w:tcPr>
          <w:p w14:paraId="534760D9">
            <w:pPr>
              <w:spacing w:line="360" w:lineRule="auto"/>
              <w:rPr>
                <w:rFonts w:ascii="宋体" w:hAnsi="宋体" w:cs="宋体"/>
                <w:color w:val="auto"/>
                <w:sz w:val="24"/>
                <w:highlight w:val="none"/>
              </w:rPr>
            </w:pPr>
          </w:p>
        </w:tc>
        <w:tc>
          <w:tcPr>
            <w:tcW w:w="1937" w:type="dxa"/>
            <w:gridSpan w:val="2"/>
          </w:tcPr>
          <w:p w14:paraId="534760DA">
            <w:pPr>
              <w:spacing w:line="360" w:lineRule="auto"/>
              <w:rPr>
                <w:rFonts w:ascii="宋体" w:hAnsi="宋体" w:cs="宋体"/>
                <w:color w:val="auto"/>
                <w:sz w:val="24"/>
                <w:highlight w:val="none"/>
              </w:rPr>
            </w:pPr>
          </w:p>
        </w:tc>
        <w:tc>
          <w:tcPr>
            <w:tcW w:w="1370" w:type="dxa"/>
          </w:tcPr>
          <w:p w14:paraId="534760DB">
            <w:pPr>
              <w:spacing w:line="360" w:lineRule="auto"/>
              <w:rPr>
                <w:rFonts w:ascii="宋体" w:hAnsi="宋体" w:cs="宋体"/>
                <w:color w:val="auto"/>
                <w:sz w:val="24"/>
                <w:highlight w:val="none"/>
              </w:rPr>
            </w:pPr>
          </w:p>
        </w:tc>
        <w:tc>
          <w:tcPr>
            <w:tcW w:w="1636" w:type="dxa"/>
            <w:gridSpan w:val="3"/>
          </w:tcPr>
          <w:p w14:paraId="534760DC">
            <w:pPr>
              <w:spacing w:line="360" w:lineRule="auto"/>
              <w:rPr>
                <w:rFonts w:ascii="宋体" w:hAnsi="宋体" w:cs="宋体"/>
                <w:color w:val="auto"/>
                <w:sz w:val="24"/>
                <w:highlight w:val="none"/>
              </w:rPr>
            </w:pPr>
          </w:p>
        </w:tc>
        <w:tc>
          <w:tcPr>
            <w:tcW w:w="1482" w:type="dxa"/>
            <w:gridSpan w:val="2"/>
          </w:tcPr>
          <w:p w14:paraId="534760DD">
            <w:pPr>
              <w:spacing w:line="360" w:lineRule="auto"/>
              <w:rPr>
                <w:rFonts w:ascii="宋体" w:hAnsi="宋体" w:cs="宋体"/>
                <w:color w:val="auto"/>
                <w:sz w:val="24"/>
                <w:highlight w:val="none"/>
              </w:rPr>
            </w:pPr>
          </w:p>
        </w:tc>
        <w:tc>
          <w:tcPr>
            <w:tcW w:w="20" w:type="dxa"/>
            <w:tcBorders>
              <w:top w:val="nil"/>
              <w:bottom w:val="nil"/>
              <w:right w:val="nil"/>
            </w:tcBorders>
          </w:tcPr>
          <w:p w14:paraId="534760DE">
            <w:pPr>
              <w:spacing w:line="360" w:lineRule="auto"/>
              <w:rPr>
                <w:rFonts w:ascii="宋体" w:hAnsi="宋体" w:cs="宋体"/>
                <w:color w:val="auto"/>
                <w:sz w:val="24"/>
                <w:highlight w:val="none"/>
              </w:rPr>
            </w:pPr>
          </w:p>
        </w:tc>
      </w:tr>
      <w:tr w14:paraId="534760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9" w:hRule="atLeast"/>
          <w:jc w:val="center"/>
        </w:trPr>
        <w:tc>
          <w:tcPr>
            <w:tcW w:w="1630" w:type="dxa"/>
            <w:gridSpan w:val="2"/>
          </w:tcPr>
          <w:p w14:paraId="534760E0">
            <w:pPr>
              <w:kinsoku w:val="0"/>
              <w:autoSpaceDE w:val="0"/>
              <w:autoSpaceDN w:val="0"/>
              <w:adjustRightInd w:val="0"/>
              <w:snapToGrid w:val="0"/>
              <w:spacing w:line="360" w:lineRule="auto"/>
              <w:ind w:left="405"/>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3"/>
                <w:kern w:val="0"/>
                <w:sz w:val="24"/>
                <w:highlight w:val="none"/>
                <w:lang w:eastAsia="en-US"/>
              </w:rPr>
              <w:t>受奖情况</w:t>
            </w:r>
          </w:p>
        </w:tc>
        <w:tc>
          <w:tcPr>
            <w:tcW w:w="1548" w:type="dxa"/>
            <w:gridSpan w:val="2"/>
          </w:tcPr>
          <w:p w14:paraId="534760E1">
            <w:pPr>
              <w:spacing w:line="360" w:lineRule="auto"/>
              <w:rPr>
                <w:rFonts w:ascii="宋体" w:hAnsi="宋体" w:cs="宋体"/>
                <w:color w:val="auto"/>
                <w:sz w:val="24"/>
                <w:highlight w:val="none"/>
              </w:rPr>
            </w:pPr>
          </w:p>
        </w:tc>
        <w:tc>
          <w:tcPr>
            <w:tcW w:w="1937" w:type="dxa"/>
            <w:gridSpan w:val="2"/>
          </w:tcPr>
          <w:p w14:paraId="534760E2">
            <w:pPr>
              <w:spacing w:line="360" w:lineRule="auto"/>
              <w:rPr>
                <w:rFonts w:ascii="宋体" w:hAnsi="宋体" w:cs="宋体"/>
                <w:color w:val="auto"/>
                <w:sz w:val="24"/>
                <w:highlight w:val="none"/>
              </w:rPr>
            </w:pPr>
          </w:p>
        </w:tc>
        <w:tc>
          <w:tcPr>
            <w:tcW w:w="1370" w:type="dxa"/>
          </w:tcPr>
          <w:p w14:paraId="534760E3">
            <w:pPr>
              <w:spacing w:line="360" w:lineRule="auto"/>
              <w:rPr>
                <w:rFonts w:ascii="宋体" w:hAnsi="宋体" w:cs="宋体"/>
                <w:color w:val="auto"/>
                <w:sz w:val="24"/>
                <w:highlight w:val="none"/>
              </w:rPr>
            </w:pPr>
          </w:p>
        </w:tc>
        <w:tc>
          <w:tcPr>
            <w:tcW w:w="1636" w:type="dxa"/>
            <w:gridSpan w:val="3"/>
          </w:tcPr>
          <w:p w14:paraId="534760E4">
            <w:pPr>
              <w:spacing w:line="360" w:lineRule="auto"/>
              <w:rPr>
                <w:rFonts w:ascii="宋体" w:hAnsi="宋体" w:cs="宋体"/>
                <w:color w:val="auto"/>
                <w:sz w:val="24"/>
                <w:highlight w:val="none"/>
              </w:rPr>
            </w:pPr>
          </w:p>
        </w:tc>
        <w:tc>
          <w:tcPr>
            <w:tcW w:w="1482" w:type="dxa"/>
            <w:gridSpan w:val="2"/>
          </w:tcPr>
          <w:p w14:paraId="534760E5">
            <w:pPr>
              <w:spacing w:line="360" w:lineRule="auto"/>
              <w:rPr>
                <w:rFonts w:ascii="宋体" w:hAnsi="宋体" w:cs="宋体"/>
                <w:color w:val="auto"/>
                <w:sz w:val="24"/>
                <w:highlight w:val="none"/>
              </w:rPr>
            </w:pPr>
          </w:p>
        </w:tc>
        <w:tc>
          <w:tcPr>
            <w:tcW w:w="20" w:type="dxa"/>
            <w:tcBorders>
              <w:top w:val="nil"/>
              <w:bottom w:val="nil"/>
              <w:right w:val="nil"/>
            </w:tcBorders>
          </w:tcPr>
          <w:p w14:paraId="534760E6">
            <w:pPr>
              <w:spacing w:line="360" w:lineRule="auto"/>
              <w:rPr>
                <w:rFonts w:ascii="宋体" w:hAnsi="宋体" w:cs="宋体"/>
                <w:color w:val="auto"/>
                <w:sz w:val="24"/>
                <w:highlight w:val="none"/>
              </w:rPr>
            </w:pPr>
          </w:p>
        </w:tc>
      </w:tr>
    </w:tbl>
    <w:p w14:paraId="534760E8">
      <w:pPr>
        <w:spacing w:line="240" w:lineRule="auto"/>
        <w:ind w:left="385"/>
        <w:rPr>
          <w:rFonts w:ascii="宋体" w:hAnsi="宋体" w:cs="宋体"/>
          <w:color w:val="auto"/>
          <w:sz w:val="24"/>
          <w:highlight w:val="none"/>
        </w:rPr>
      </w:pPr>
      <w:r>
        <w:rPr>
          <w:rFonts w:hint="eastAsia" w:ascii="宋体" w:hAnsi="宋体" w:cs="宋体"/>
          <w:color w:val="auto"/>
          <w:spacing w:val="-13"/>
          <w:sz w:val="24"/>
          <w:highlight w:val="none"/>
        </w:rPr>
        <w:t>备注：</w:t>
      </w:r>
    </w:p>
    <w:p w14:paraId="534760E9">
      <w:pPr>
        <w:adjustRightInd w:val="0"/>
        <w:snapToGrid w:val="0"/>
        <w:spacing w:line="240" w:lineRule="auto"/>
        <w:rPr>
          <w:rFonts w:ascii="宋体" w:hAnsi="宋体" w:cs="宋体"/>
          <w:color w:val="auto"/>
          <w:sz w:val="24"/>
          <w:highlight w:val="none"/>
        </w:rPr>
      </w:pPr>
      <w:r>
        <w:rPr>
          <w:rFonts w:hint="eastAsia" w:ascii="宋体" w:hAnsi="宋体" w:cs="宋体"/>
          <w:color w:val="auto"/>
          <w:spacing w:val="-1"/>
          <w:sz w:val="24"/>
          <w:highlight w:val="none"/>
        </w:rPr>
        <w:t>1.供应商可以根据项目情况增减表格内容，项目数可以根据需要</w:t>
      </w:r>
      <w:r>
        <w:rPr>
          <w:rFonts w:hint="eastAsia" w:ascii="宋体" w:hAnsi="宋体" w:cs="宋体"/>
          <w:color w:val="auto"/>
          <w:spacing w:val="-2"/>
          <w:sz w:val="24"/>
          <w:highlight w:val="none"/>
        </w:rPr>
        <w:t>增加。</w:t>
      </w:r>
    </w:p>
    <w:p w14:paraId="534760EA">
      <w:pPr>
        <w:adjustRightInd w:val="0"/>
        <w:snapToGrid w:val="0"/>
        <w:spacing w:line="240" w:lineRule="auto"/>
        <w:rPr>
          <w:rFonts w:ascii="宋体" w:hAnsi="宋体" w:cs="宋体"/>
          <w:color w:val="auto"/>
          <w:spacing w:val="-4"/>
          <w:sz w:val="24"/>
          <w:highlight w:val="none"/>
        </w:rPr>
      </w:pPr>
      <w:r>
        <w:rPr>
          <w:rFonts w:hint="eastAsia" w:ascii="宋体" w:hAnsi="宋体" w:cs="宋体"/>
          <w:color w:val="auto"/>
          <w:spacing w:val="-3"/>
          <w:position w:val="19"/>
          <w:sz w:val="24"/>
          <w:highlight w:val="none"/>
        </w:rPr>
        <w:t>2.本表后附专职安全生产管理人员的学历证、安全生产考核合格证（C</w:t>
      </w:r>
      <w:r>
        <w:rPr>
          <w:rFonts w:hint="eastAsia" w:ascii="宋体" w:hAnsi="宋体" w:cs="宋体"/>
          <w:color w:val="auto"/>
          <w:spacing w:val="-34"/>
          <w:position w:val="19"/>
          <w:sz w:val="24"/>
          <w:highlight w:val="none"/>
        </w:rPr>
        <w:t xml:space="preserve"> </w:t>
      </w:r>
      <w:r>
        <w:rPr>
          <w:rFonts w:hint="eastAsia" w:ascii="宋体" w:hAnsi="宋体" w:cs="宋体"/>
          <w:color w:val="auto"/>
          <w:spacing w:val="-3"/>
          <w:position w:val="19"/>
          <w:sz w:val="24"/>
          <w:highlight w:val="none"/>
        </w:rPr>
        <w:t>类）、本表所列证书复印件</w:t>
      </w:r>
    </w:p>
    <w:p w14:paraId="457F7902">
      <w:pPr>
        <w:rPr>
          <w:rFonts w:hint="eastAsia" w:ascii="宋体" w:hAnsi="宋体" w:cs="宋体"/>
          <w:b/>
          <w:bCs/>
          <w:color w:val="auto"/>
          <w:spacing w:val="9"/>
          <w:sz w:val="24"/>
          <w:highlight w:val="none"/>
        </w:rPr>
      </w:pPr>
      <w:r>
        <w:rPr>
          <w:rFonts w:hint="eastAsia" w:ascii="宋体" w:hAnsi="宋体" w:cs="宋体"/>
          <w:b/>
          <w:bCs/>
          <w:color w:val="auto"/>
          <w:spacing w:val="9"/>
          <w:sz w:val="24"/>
          <w:highlight w:val="none"/>
        </w:rPr>
        <w:br w:type="page"/>
      </w:r>
    </w:p>
    <w:p w14:paraId="534760EB">
      <w:pPr>
        <w:adjustRightInd w:val="0"/>
        <w:snapToGrid w:val="0"/>
        <w:spacing w:line="360" w:lineRule="auto"/>
        <w:ind w:right="1470" w:rightChars="700"/>
        <w:rPr>
          <w:rFonts w:ascii="宋体" w:hAnsi="宋体" w:cs="宋体"/>
          <w:b/>
          <w:bCs/>
          <w:color w:val="auto"/>
          <w:spacing w:val="9"/>
          <w:sz w:val="24"/>
          <w:highlight w:val="none"/>
        </w:rPr>
      </w:pPr>
      <w:r>
        <w:rPr>
          <w:rFonts w:hint="eastAsia" w:ascii="宋体" w:hAnsi="宋体" w:cs="宋体"/>
          <w:b/>
          <w:bCs/>
          <w:color w:val="auto"/>
          <w:spacing w:val="9"/>
          <w:sz w:val="24"/>
          <w:highlight w:val="none"/>
        </w:rPr>
        <w:t>附件11</w:t>
      </w:r>
    </w:p>
    <w:p w14:paraId="534760EC">
      <w:pPr>
        <w:spacing w:line="360" w:lineRule="auto"/>
        <w:ind w:left="2904"/>
        <w:rPr>
          <w:rFonts w:ascii="宋体" w:hAnsi="宋体" w:cs="宋体"/>
          <w:b/>
          <w:bCs/>
          <w:color w:val="auto"/>
          <w:sz w:val="43"/>
          <w:szCs w:val="43"/>
          <w:highlight w:val="none"/>
        </w:rPr>
      </w:pPr>
      <w:r>
        <w:rPr>
          <w:rFonts w:hint="eastAsia" w:ascii="宋体" w:hAnsi="宋体" w:cs="宋体"/>
          <w:b/>
          <w:bCs/>
          <w:color w:val="auto"/>
          <w:spacing w:val="9"/>
          <w:sz w:val="43"/>
          <w:szCs w:val="43"/>
          <w:highlight w:val="none"/>
        </w:rPr>
        <w:t>拟分包项目情况表</w:t>
      </w:r>
    </w:p>
    <w:p w14:paraId="534760ED">
      <w:pPr>
        <w:kinsoku w:val="0"/>
        <w:autoSpaceDE w:val="0"/>
        <w:autoSpaceDN w:val="0"/>
        <w:adjustRightInd w:val="0"/>
        <w:snapToGrid w:val="0"/>
        <w:spacing w:line="360" w:lineRule="auto"/>
        <w:jc w:val="left"/>
        <w:textAlignment w:val="baseline"/>
        <w:rPr>
          <w:rFonts w:ascii="宋体" w:hAnsi="宋体" w:cs="宋体"/>
          <w:snapToGrid w:val="0"/>
          <w:color w:val="auto"/>
          <w:kern w:val="0"/>
          <w:szCs w:val="21"/>
          <w:highlight w:val="none"/>
        </w:rPr>
      </w:pPr>
    </w:p>
    <w:p w14:paraId="534760EF">
      <w:pPr>
        <w:kinsoku w:val="0"/>
        <w:autoSpaceDE w:val="0"/>
        <w:autoSpaceDN w:val="0"/>
        <w:adjustRightInd w:val="0"/>
        <w:snapToGrid w:val="0"/>
        <w:spacing w:line="360" w:lineRule="auto"/>
        <w:jc w:val="left"/>
        <w:textAlignment w:val="baseline"/>
        <w:rPr>
          <w:rFonts w:ascii="宋体" w:hAnsi="宋体" w:cs="宋体"/>
          <w:snapToGrid w:val="0"/>
          <w:color w:val="auto"/>
          <w:kern w:val="0"/>
          <w:sz w:val="24"/>
          <w:highlight w:val="none"/>
        </w:rPr>
      </w:pPr>
    </w:p>
    <w:p w14:paraId="534760F0">
      <w:pPr>
        <w:spacing w:line="360" w:lineRule="auto"/>
        <w:ind w:left="233"/>
        <w:rPr>
          <w:rFonts w:ascii="宋体" w:hAnsi="宋体" w:cs="宋体"/>
          <w:color w:val="auto"/>
          <w:sz w:val="24"/>
          <w:highlight w:val="none"/>
        </w:rPr>
      </w:pPr>
      <w:r>
        <w:rPr>
          <w:rFonts w:hint="eastAsia" w:ascii="宋体" w:hAnsi="宋体" w:cs="宋体"/>
          <w:color w:val="auto"/>
          <w:spacing w:val="-27"/>
          <w:sz w:val="24"/>
          <w:highlight w:val="none"/>
        </w:rPr>
        <w:t>分标（如有）：</w:t>
      </w:r>
      <w:r>
        <w:rPr>
          <w:rFonts w:hint="eastAsia" w:ascii="宋体" w:hAnsi="宋体" w:cs="宋体"/>
          <w:color w:val="auto"/>
          <w:spacing w:val="55"/>
          <w:sz w:val="24"/>
          <w:highlight w:val="none"/>
        </w:rPr>
        <w:t xml:space="preserve"> </w:t>
      </w:r>
      <w:r>
        <w:rPr>
          <w:rFonts w:hint="eastAsia" w:ascii="宋体" w:hAnsi="宋体" w:cs="宋体"/>
          <w:color w:val="auto"/>
          <w:sz w:val="24"/>
          <w:highlight w:val="none"/>
          <w:u w:val="single"/>
        </w:rPr>
        <w:t xml:space="preserve">                 </w:t>
      </w:r>
    </w:p>
    <w:p w14:paraId="534760F1">
      <w:pPr>
        <w:spacing w:line="360" w:lineRule="auto"/>
        <w:rPr>
          <w:rFonts w:ascii="宋体" w:hAnsi="宋体" w:cs="宋体"/>
          <w:color w:val="auto"/>
          <w:sz w:val="24"/>
          <w:highlight w:val="none"/>
        </w:rPr>
      </w:pPr>
    </w:p>
    <w:tbl>
      <w:tblPr>
        <w:tblStyle w:val="38"/>
        <w:tblW w:w="9316" w:type="dxa"/>
        <w:tblInd w:w="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71"/>
        <w:gridCol w:w="1693"/>
        <w:gridCol w:w="751"/>
        <w:gridCol w:w="947"/>
        <w:gridCol w:w="1123"/>
        <w:gridCol w:w="1091"/>
        <w:gridCol w:w="1195"/>
        <w:gridCol w:w="1269"/>
        <w:gridCol w:w="676"/>
      </w:tblGrid>
      <w:tr w14:paraId="534760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2" w:hRule="atLeast"/>
        </w:trPr>
        <w:tc>
          <w:tcPr>
            <w:tcW w:w="571" w:type="dxa"/>
            <w:vMerge w:val="restart"/>
            <w:tcBorders>
              <w:bottom w:val="nil"/>
            </w:tcBorders>
            <w:textDirection w:val="tbRlV"/>
          </w:tcPr>
          <w:p w14:paraId="534760F2">
            <w:pPr>
              <w:kinsoku w:val="0"/>
              <w:autoSpaceDE w:val="0"/>
              <w:autoSpaceDN w:val="0"/>
              <w:adjustRightInd w:val="0"/>
              <w:snapToGrid w:val="0"/>
              <w:spacing w:line="360" w:lineRule="auto"/>
              <w:ind w:left="202"/>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序</w:t>
            </w:r>
            <w:r>
              <w:rPr>
                <w:rFonts w:hint="eastAsia" w:ascii="宋体" w:hAnsi="宋体" w:cs="宋体"/>
                <w:snapToGrid w:val="0"/>
                <w:color w:val="auto"/>
                <w:spacing w:val="-6"/>
                <w:kern w:val="0"/>
                <w:sz w:val="24"/>
                <w:highlight w:val="none"/>
                <w:lang w:eastAsia="en-US"/>
              </w:rPr>
              <w:t xml:space="preserve"> </w:t>
            </w:r>
            <w:r>
              <w:rPr>
                <w:rFonts w:hint="eastAsia" w:ascii="宋体" w:hAnsi="宋体" w:cs="宋体"/>
                <w:snapToGrid w:val="0"/>
                <w:color w:val="auto"/>
                <w:spacing w:val="2"/>
                <w:kern w:val="0"/>
                <w:sz w:val="24"/>
                <w:highlight w:val="none"/>
                <w:lang w:eastAsia="en-US"/>
              </w:rPr>
              <w:t>号</w:t>
            </w:r>
          </w:p>
        </w:tc>
        <w:tc>
          <w:tcPr>
            <w:tcW w:w="1693" w:type="dxa"/>
            <w:vMerge w:val="restart"/>
            <w:tcBorders>
              <w:bottom w:val="nil"/>
            </w:tcBorders>
          </w:tcPr>
          <w:p w14:paraId="534760F3">
            <w:pPr>
              <w:kinsoku w:val="0"/>
              <w:autoSpaceDE w:val="0"/>
              <w:autoSpaceDN w:val="0"/>
              <w:adjustRightInd w:val="0"/>
              <w:snapToGrid w:val="0"/>
              <w:spacing w:line="360" w:lineRule="auto"/>
              <w:ind w:left="115" w:right="106" w:firstLine="106"/>
              <w:jc w:val="left"/>
              <w:textAlignment w:val="baseline"/>
              <w:rPr>
                <w:rFonts w:ascii="宋体" w:hAnsi="宋体" w:cs="宋体"/>
                <w:snapToGrid w:val="0"/>
                <w:color w:val="auto"/>
                <w:kern w:val="0"/>
                <w:sz w:val="24"/>
                <w:highlight w:val="none"/>
              </w:rPr>
            </w:pPr>
            <w:r>
              <w:rPr>
                <w:rFonts w:hint="eastAsia" w:ascii="宋体" w:hAnsi="宋体" w:cs="宋体"/>
                <w:snapToGrid w:val="0"/>
                <w:color w:val="auto"/>
                <w:spacing w:val="-1"/>
                <w:kern w:val="0"/>
                <w:sz w:val="24"/>
                <w:highlight w:val="none"/>
              </w:rPr>
              <w:t>拟分包项目名</w:t>
            </w:r>
            <w:r>
              <w:rPr>
                <w:rFonts w:hint="eastAsia" w:ascii="宋体" w:hAnsi="宋体" w:cs="宋体"/>
                <w:snapToGrid w:val="0"/>
                <w:color w:val="auto"/>
                <w:kern w:val="0"/>
                <w:sz w:val="24"/>
                <w:highlight w:val="none"/>
              </w:rPr>
              <w:t xml:space="preserve">  </w:t>
            </w:r>
            <w:r>
              <w:rPr>
                <w:rFonts w:hint="eastAsia" w:ascii="宋体" w:hAnsi="宋体" w:cs="宋体"/>
                <w:snapToGrid w:val="0"/>
                <w:color w:val="auto"/>
                <w:spacing w:val="-1"/>
                <w:kern w:val="0"/>
                <w:sz w:val="24"/>
                <w:highlight w:val="none"/>
              </w:rPr>
              <w:t>称、范围及理由</w:t>
            </w:r>
          </w:p>
        </w:tc>
        <w:tc>
          <w:tcPr>
            <w:tcW w:w="6376" w:type="dxa"/>
            <w:gridSpan w:val="6"/>
          </w:tcPr>
          <w:p w14:paraId="534760F4">
            <w:pPr>
              <w:kinsoku w:val="0"/>
              <w:autoSpaceDE w:val="0"/>
              <w:autoSpaceDN w:val="0"/>
              <w:adjustRightInd w:val="0"/>
              <w:snapToGrid w:val="0"/>
              <w:spacing w:line="360" w:lineRule="auto"/>
              <w:ind w:left="2668"/>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1"/>
                <w:kern w:val="0"/>
                <w:sz w:val="24"/>
                <w:highlight w:val="none"/>
                <w:lang w:eastAsia="en-US"/>
              </w:rPr>
              <w:t>拟选分包人</w:t>
            </w:r>
          </w:p>
        </w:tc>
        <w:tc>
          <w:tcPr>
            <w:tcW w:w="676" w:type="dxa"/>
            <w:vMerge w:val="restart"/>
            <w:tcBorders>
              <w:bottom w:val="nil"/>
            </w:tcBorders>
          </w:tcPr>
          <w:p w14:paraId="534760F5">
            <w:pPr>
              <w:spacing w:line="360" w:lineRule="auto"/>
              <w:rPr>
                <w:rFonts w:ascii="宋体" w:hAnsi="宋体" w:cs="宋体"/>
                <w:color w:val="auto"/>
                <w:sz w:val="24"/>
                <w:highlight w:val="none"/>
              </w:rPr>
            </w:pPr>
          </w:p>
          <w:p w14:paraId="534760F6">
            <w:pPr>
              <w:kinsoku w:val="0"/>
              <w:autoSpaceDE w:val="0"/>
              <w:autoSpaceDN w:val="0"/>
              <w:adjustRightInd w:val="0"/>
              <w:snapToGrid w:val="0"/>
              <w:spacing w:line="360" w:lineRule="auto"/>
              <w:ind w:left="135"/>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3"/>
                <w:kern w:val="0"/>
                <w:sz w:val="24"/>
                <w:highlight w:val="none"/>
                <w:lang w:eastAsia="en-US"/>
              </w:rPr>
              <w:t>备注</w:t>
            </w:r>
          </w:p>
        </w:tc>
      </w:tr>
      <w:tr w14:paraId="534761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571" w:type="dxa"/>
            <w:vMerge w:val="continue"/>
            <w:tcBorders>
              <w:top w:val="nil"/>
            </w:tcBorders>
            <w:textDirection w:val="tbRlV"/>
          </w:tcPr>
          <w:p w14:paraId="534760F8">
            <w:pPr>
              <w:spacing w:line="360" w:lineRule="auto"/>
              <w:rPr>
                <w:rFonts w:ascii="宋体" w:hAnsi="宋体" w:cs="宋体"/>
                <w:color w:val="auto"/>
                <w:sz w:val="24"/>
                <w:highlight w:val="none"/>
              </w:rPr>
            </w:pPr>
          </w:p>
        </w:tc>
        <w:tc>
          <w:tcPr>
            <w:tcW w:w="1693" w:type="dxa"/>
            <w:vMerge w:val="continue"/>
            <w:tcBorders>
              <w:top w:val="nil"/>
            </w:tcBorders>
          </w:tcPr>
          <w:p w14:paraId="534760F9">
            <w:pPr>
              <w:spacing w:line="360" w:lineRule="auto"/>
              <w:rPr>
                <w:rFonts w:ascii="宋体" w:hAnsi="宋体" w:cs="宋体"/>
                <w:color w:val="auto"/>
                <w:sz w:val="24"/>
                <w:highlight w:val="none"/>
              </w:rPr>
            </w:pPr>
          </w:p>
        </w:tc>
        <w:tc>
          <w:tcPr>
            <w:tcW w:w="1698" w:type="dxa"/>
            <w:gridSpan w:val="2"/>
          </w:tcPr>
          <w:p w14:paraId="534760FA">
            <w:pPr>
              <w:kinsoku w:val="0"/>
              <w:autoSpaceDE w:val="0"/>
              <w:autoSpaceDN w:val="0"/>
              <w:adjustRightInd w:val="0"/>
              <w:snapToGrid w:val="0"/>
              <w:spacing w:line="360" w:lineRule="auto"/>
              <w:ind w:left="120"/>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1"/>
                <w:kern w:val="0"/>
                <w:sz w:val="24"/>
                <w:highlight w:val="none"/>
                <w:lang w:eastAsia="en-US"/>
              </w:rPr>
              <w:t>拟选分包人名称</w:t>
            </w:r>
          </w:p>
        </w:tc>
        <w:tc>
          <w:tcPr>
            <w:tcW w:w="1123" w:type="dxa"/>
          </w:tcPr>
          <w:p w14:paraId="534760FB">
            <w:pPr>
              <w:kinsoku w:val="0"/>
              <w:autoSpaceDE w:val="0"/>
              <w:autoSpaceDN w:val="0"/>
              <w:adjustRightInd w:val="0"/>
              <w:snapToGrid w:val="0"/>
              <w:spacing w:line="360" w:lineRule="auto"/>
              <w:ind w:left="150"/>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注册地点</w:t>
            </w:r>
          </w:p>
        </w:tc>
        <w:tc>
          <w:tcPr>
            <w:tcW w:w="1091" w:type="dxa"/>
          </w:tcPr>
          <w:p w14:paraId="534760FC">
            <w:pPr>
              <w:kinsoku w:val="0"/>
              <w:autoSpaceDE w:val="0"/>
              <w:autoSpaceDN w:val="0"/>
              <w:adjustRightInd w:val="0"/>
              <w:snapToGrid w:val="0"/>
              <w:spacing w:line="360" w:lineRule="auto"/>
              <w:ind w:left="136"/>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3"/>
                <w:kern w:val="0"/>
                <w:sz w:val="24"/>
                <w:highlight w:val="none"/>
                <w:lang w:eastAsia="en-US"/>
              </w:rPr>
              <w:t>企业资质</w:t>
            </w:r>
          </w:p>
        </w:tc>
        <w:tc>
          <w:tcPr>
            <w:tcW w:w="1195" w:type="dxa"/>
          </w:tcPr>
          <w:p w14:paraId="534760FD">
            <w:pPr>
              <w:kinsoku w:val="0"/>
              <w:autoSpaceDE w:val="0"/>
              <w:autoSpaceDN w:val="0"/>
              <w:adjustRightInd w:val="0"/>
              <w:snapToGrid w:val="0"/>
              <w:spacing w:line="360" w:lineRule="auto"/>
              <w:ind w:left="185"/>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有关业绩</w:t>
            </w:r>
          </w:p>
        </w:tc>
        <w:tc>
          <w:tcPr>
            <w:tcW w:w="1269" w:type="dxa"/>
          </w:tcPr>
          <w:p w14:paraId="534760FE">
            <w:pPr>
              <w:kinsoku w:val="0"/>
              <w:autoSpaceDE w:val="0"/>
              <w:autoSpaceDN w:val="0"/>
              <w:adjustRightInd w:val="0"/>
              <w:snapToGrid w:val="0"/>
              <w:spacing w:line="360" w:lineRule="auto"/>
              <w:ind w:left="117"/>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1"/>
                <w:kern w:val="0"/>
                <w:sz w:val="24"/>
                <w:highlight w:val="none"/>
                <w:lang w:eastAsia="en-US"/>
              </w:rPr>
              <w:t>拟分包金额</w:t>
            </w:r>
          </w:p>
        </w:tc>
        <w:tc>
          <w:tcPr>
            <w:tcW w:w="676" w:type="dxa"/>
            <w:vMerge w:val="continue"/>
            <w:tcBorders>
              <w:top w:val="nil"/>
            </w:tcBorders>
          </w:tcPr>
          <w:p w14:paraId="534760FF">
            <w:pPr>
              <w:spacing w:line="360" w:lineRule="auto"/>
              <w:rPr>
                <w:rFonts w:ascii="宋体" w:hAnsi="宋体" w:cs="宋体"/>
                <w:color w:val="auto"/>
                <w:sz w:val="24"/>
                <w:highlight w:val="none"/>
              </w:rPr>
            </w:pPr>
          </w:p>
        </w:tc>
      </w:tr>
      <w:tr w14:paraId="534761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0" w:hRule="atLeast"/>
        </w:trPr>
        <w:tc>
          <w:tcPr>
            <w:tcW w:w="571" w:type="dxa"/>
            <w:vMerge w:val="restart"/>
            <w:tcBorders>
              <w:bottom w:val="nil"/>
            </w:tcBorders>
          </w:tcPr>
          <w:p w14:paraId="53476101">
            <w:pPr>
              <w:spacing w:line="360" w:lineRule="auto"/>
              <w:rPr>
                <w:rFonts w:ascii="宋体" w:hAnsi="宋体" w:cs="宋体"/>
                <w:color w:val="auto"/>
                <w:sz w:val="24"/>
                <w:highlight w:val="none"/>
              </w:rPr>
            </w:pPr>
          </w:p>
        </w:tc>
        <w:tc>
          <w:tcPr>
            <w:tcW w:w="1693" w:type="dxa"/>
            <w:vMerge w:val="restart"/>
            <w:tcBorders>
              <w:bottom w:val="nil"/>
            </w:tcBorders>
          </w:tcPr>
          <w:p w14:paraId="53476102">
            <w:pPr>
              <w:spacing w:line="360" w:lineRule="auto"/>
              <w:rPr>
                <w:rFonts w:ascii="宋体" w:hAnsi="宋体" w:cs="宋体"/>
                <w:color w:val="auto"/>
                <w:sz w:val="24"/>
                <w:highlight w:val="none"/>
              </w:rPr>
            </w:pPr>
          </w:p>
        </w:tc>
        <w:tc>
          <w:tcPr>
            <w:tcW w:w="751" w:type="dxa"/>
          </w:tcPr>
          <w:p w14:paraId="53476103">
            <w:pPr>
              <w:spacing w:line="360" w:lineRule="auto"/>
              <w:ind w:left="342"/>
              <w:rPr>
                <w:rFonts w:ascii="宋体" w:hAnsi="宋体" w:cs="宋体"/>
                <w:color w:val="auto"/>
                <w:sz w:val="24"/>
                <w:highlight w:val="none"/>
              </w:rPr>
            </w:pPr>
            <w:r>
              <w:rPr>
                <w:rFonts w:hint="eastAsia" w:ascii="宋体" w:hAnsi="宋体" w:cs="宋体"/>
                <w:color w:val="auto"/>
                <w:sz w:val="24"/>
                <w:highlight w:val="none"/>
              </w:rPr>
              <w:t>1</w:t>
            </w:r>
          </w:p>
        </w:tc>
        <w:tc>
          <w:tcPr>
            <w:tcW w:w="947" w:type="dxa"/>
          </w:tcPr>
          <w:p w14:paraId="53476104">
            <w:pPr>
              <w:spacing w:line="360" w:lineRule="auto"/>
              <w:rPr>
                <w:rFonts w:ascii="宋体" w:hAnsi="宋体" w:cs="宋体"/>
                <w:color w:val="auto"/>
                <w:sz w:val="24"/>
                <w:highlight w:val="none"/>
              </w:rPr>
            </w:pPr>
          </w:p>
        </w:tc>
        <w:tc>
          <w:tcPr>
            <w:tcW w:w="1123" w:type="dxa"/>
          </w:tcPr>
          <w:p w14:paraId="53476105">
            <w:pPr>
              <w:spacing w:line="360" w:lineRule="auto"/>
              <w:rPr>
                <w:rFonts w:ascii="宋体" w:hAnsi="宋体" w:cs="宋体"/>
                <w:color w:val="auto"/>
                <w:sz w:val="24"/>
                <w:highlight w:val="none"/>
              </w:rPr>
            </w:pPr>
          </w:p>
        </w:tc>
        <w:tc>
          <w:tcPr>
            <w:tcW w:w="1091" w:type="dxa"/>
          </w:tcPr>
          <w:p w14:paraId="53476106">
            <w:pPr>
              <w:spacing w:line="360" w:lineRule="auto"/>
              <w:rPr>
                <w:rFonts w:ascii="宋体" w:hAnsi="宋体" w:cs="宋体"/>
                <w:color w:val="auto"/>
                <w:sz w:val="24"/>
                <w:highlight w:val="none"/>
              </w:rPr>
            </w:pPr>
          </w:p>
        </w:tc>
        <w:tc>
          <w:tcPr>
            <w:tcW w:w="1195" w:type="dxa"/>
          </w:tcPr>
          <w:p w14:paraId="53476107">
            <w:pPr>
              <w:spacing w:line="360" w:lineRule="auto"/>
              <w:rPr>
                <w:rFonts w:ascii="宋体" w:hAnsi="宋体" w:cs="宋体"/>
                <w:color w:val="auto"/>
                <w:sz w:val="24"/>
                <w:highlight w:val="none"/>
              </w:rPr>
            </w:pPr>
          </w:p>
        </w:tc>
        <w:tc>
          <w:tcPr>
            <w:tcW w:w="1269" w:type="dxa"/>
          </w:tcPr>
          <w:p w14:paraId="53476108">
            <w:pPr>
              <w:spacing w:line="360" w:lineRule="auto"/>
              <w:rPr>
                <w:rFonts w:ascii="宋体" w:hAnsi="宋体" w:cs="宋体"/>
                <w:color w:val="auto"/>
                <w:sz w:val="24"/>
                <w:highlight w:val="none"/>
              </w:rPr>
            </w:pPr>
          </w:p>
        </w:tc>
        <w:tc>
          <w:tcPr>
            <w:tcW w:w="676" w:type="dxa"/>
          </w:tcPr>
          <w:p w14:paraId="53476109">
            <w:pPr>
              <w:spacing w:line="360" w:lineRule="auto"/>
              <w:rPr>
                <w:rFonts w:ascii="宋体" w:hAnsi="宋体" w:cs="宋体"/>
                <w:color w:val="auto"/>
                <w:sz w:val="24"/>
                <w:highlight w:val="none"/>
              </w:rPr>
            </w:pPr>
          </w:p>
        </w:tc>
      </w:tr>
      <w:tr w14:paraId="534761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571" w:type="dxa"/>
            <w:vMerge w:val="continue"/>
            <w:tcBorders>
              <w:top w:val="nil"/>
              <w:bottom w:val="nil"/>
            </w:tcBorders>
          </w:tcPr>
          <w:p w14:paraId="5347610B">
            <w:pPr>
              <w:spacing w:line="360" w:lineRule="auto"/>
              <w:rPr>
                <w:rFonts w:ascii="宋体" w:hAnsi="宋体" w:cs="宋体"/>
                <w:color w:val="auto"/>
                <w:sz w:val="24"/>
                <w:highlight w:val="none"/>
              </w:rPr>
            </w:pPr>
          </w:p>
        </w:tc>
        <w:tc>
          <w:tcPr>
            <w:tcW w:w="1693" w:type="dxa"/>
            <w:vMerge w:val="continue"/>
            <w:tcBorders>
              <w:top w:val="nil"/>
              <w:bottom w:val="nil"/>
            </w:tcBorders>
          </w:tcPr>
          <w:p w14:paraId="5347610C">
            <w:pPr>
              <w:spacing w:line="360" w:lineRule="auto"/>
              <w:rPr>
                <w:rFonts w:ascii="宋体" w:hAnsi="宋体" w:cs="宋体"/>
                <w:color w:val="auto"/>
                <w:sz w:val="24"/>
                <w:highlight w:val="none"/>
              </w:rPr>
            </w:pPr>
          </w:p>
        </w:tc>
        <w:tc>
          <w:tcPr>
            <w:tcW w:w="751" w:type="dxa"/>
          </w:tcPr>
          <w:p w14:paraId="5347610D">
            <w:pPr>
              <w:spacing w:line="360" w:lineRule="auto"/>
              <w:ind w:left="322"/>
              <w:rPr>
                <w:rFonts w:ascii="宋体" w:hAnsi="宋体" w:cs="宋体"/>
                <w:color w:val="auto"/>
                <w:sz w:val="24"/>
                <w:highlight w:val="none"/>
              </w:rPr>
            </w:pPr>
            <w:r>
              <w:rPr>
                <w:rFonts w:hint="eastAsia" w:ascii="宋体" w:hAnsi="宋体" w:cs="宋体"/>
                <w:color w:val="auto"/>
                <w:sz w:val="24"/>
                <w:highlight w:val="none"/>
              </w:rPr>
              <w:t>2</w:t>
            </w:r>
          </w:p>
        </w:tc>
        <w:tc>
          <w:tcPr>
            <w:tcW w:w="947" w:type="dxa"/>
          </w:tcPr>
          <w:p w14:paraId="5347610E">
            <w:pPr>
              <w:spacing w:line="360" w:lineRule="auto"/>
              <w:rPr>
                <w:rFonts w:ascii="宋体" w:hAnsi="宋体" w:cs="宋体"/>
                <w:color w:val="auto"/>
                <w:sz w:val="24"/>
                <w:highlight w:val="none"/>
              </w:rPr>
            </w:pPr>
          </w:p>
        </w:tc>
        <w:tc>
          <w:tcPr>
            <w:tcW w:w="1123" w:type="dxa"/>
          </w:tcPr>
          <w:p w14:paraId="5347610F">
            <w:pPr>
              <w:spacing w:line="360" w:lineRule="auto"/>
              <w:rPr>
                <w:rFonts w:ascii="宋体" w:hAnsi="宋体" w:cs="宋体"/>
                <w:color w:val="auto"/>
                <w:sz w:val="24"/>
                <w:highlight w:val="none"/>
              </w:rPr>
            </w:pPr>
          </w:p>
        </w:tc>
        <w:tc>
          <w:tcPr>
            <w:tcW w:w="1091" w:type="dxa"/>
          </w:tcPr>
          <w:p w14:paraId="53476110">
            <w:pPr>
              <w:spacing w:line="360" w:lineRule="auto"/>
              <w:rPr>
                <w:rFonts w:ascii="宋体" w:hAnsi="宋体" w:cs="宋体"/>
                <w:color w:val="auto"/>
                <w:sz w:val="24"/>
                <w:highlight w:val="none"/>
              </w:rPr>
            </w:pPr>
          </w:p>
        </w:tc>
        <w:tc>
          <w:tcPr>
            <w:tcW w:w="1195" w:type="dxa"/>
          </w:tcPr>
          <w:p w14:paraId="53476111">
            <w:pPr>
              <w:spacing w:line="360" w:lineRule="auto"/>
              <w:rPr>
                <w:rFonts w:ascii="宋体" w:hAnsi="宋体" w:cs="宋体"/>
                <w:color w:val="auto"/>
                <w:sz w:val="24"/>
                <w:highlight w:val="none"/>
              </w:rPr>
            </w:pPr>
          </w:p>
        </w:tc>
        <w:tc>
          <w:tcPr>
            <w:tcW w:w="1269" w:type="dxa"/>
          </w:tcPr>
          <w:p w14:paraId="53476112">
            <w:pPr>
              <w:spacing w:line="360" w:lineRule="auto"/>
              <w:rPr>
                <w:rFonts w:ascii="宋体" w:hAnsi="宋体" w:cs="宋体"/>
                <w:color w:val="auto"/>
                <w:sz w:val="24"/>
                <w:highlight w:val="none"/>
              </w:rPr>
            </w:pPr>
          </w:p>
        </w:tc>
        <w:tc>
          <w:tcPr>
            <w:tcW w:w="676" w:type="dxa"/>
          </w:tcPr>
          <w:p w14:paraId="53476113">
            <w:pPr>
              <w:spacing w:line="360" w:lineRule="auto"/>
              <w:rPr>
                <w:rFonts w:ascii="宋体" w:hAnsi="宋体" w:cs="宋体"/>
                <w:color w:val="auto"/>
                <w:sz w:val="24"/>
                <w:highlight w:val="none"/>
              </w:rPr>
            </w:pPr>
          </w:p>
        </w:tc>
      </w:tr>
      <w:tr w14:paraId="534761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571" w:type="dxa"/>
            <w:vMerge w:val="continue"/>
            <w:tcBorders>
              <w:top w:val="nil"/>
            </w:tcBorders>
          </w:tcPr>
          <w:p w14:paraId="53476115">
            <w:pPr>
              <w:spacing w:line="360" w:lineRule="auto"/>
              <w:rPr>
                <w:rFonts w:ascii="宋体" w:hAnsi="宋体" w:cs="宋体"/>
                <w:color w:val="auto"/>
                <w:sz w:val="24"/>
                <w:highlight w:val="none"/>
              </w:rPr>
            </w:pPr>
          </w:p>
        </w:tc>
        <w:tc>
          <w:tcPr>
            <w:tcW w:w="1693" w:type="dxa"/>
            <w:vMerge w:val="continue"/>
            <w:tcBorders>
              <w:top w:val="nil"/>
            </w:tcBorders>
          </w:tcPr>
          <w:p w14:paraId="53476116">
            <w:pPr>
              <w:spacing w:line="360" w:lineRule="auto"/>
              <w:rPr>
                <w:rFonts w:ascii="宋体" w:hAnsi="宋体" w:cs="宋体"/>
                <w:color w:val="auto"/>
                <w:sz w:val="24"/>
                <w:highlight w:val="none"/>
              </w:rPr>
            </w:pPr>
          </w:p>
        </w:tc>
        <w:tc>
          <w:tcPr>
            <w:tcW w:w="751" w:type="dxa"/>
          </w:tcPr>
          <w:p w14:paraId="53476117">
            <w:pPr>
              <w:spacing w:line="360" w:lineRule="auto"/>
              <w:ind w:left="326"/>
              <w:rPr>
                <w:rFonts w:ascii="宋体" w:hAnsi="宋体" w:cs="宋体"/>
                <w:color w:val="auto"/>
                <w:sz w:val="24"/>
                <w:highlight w:val="none"/>
              </w:rPr>
            </w:pPr>
            <w:r>
              <w:rPr>
                <w:rFonts w:hint="eastAsia" w:ascii="宋体" w:hAnsi="宋体" w:cs="宋体"/>
                <w:color w:val="auto"/>
                <w:sz w:val="24"/>
                <w:highlight w:val="none"/>
              </w:rPr>
              <w:t>3</w:t>
            </w:r>
          </w:p>
        </w:tc>
        <w:tc>
          <w:tcPr>
            <w:tcW w:w="947" w:type="dxa"/>
          </w:tcPr>
          <w:p w14:paraId="53476118">
            <w:pPr>
              <w:spacing w:line="360" w:lineRule="auto"/>
              <w:rPr>
                <w:rFonts w:ascii="宋体" w:hAnsi="宋体" w:cs="宋体"/>
                <w:color w:val="auto"/>
                <w:sz w:val="24"/>
                <w:highlight w:val="none"/>
              </w:rPr>
            </w:pPr>
          </w:p>
        </w:tc>
        <w:tc>
          <w:tcPr>
            <w:tcW w:w="1123" w:type="dxa"/>
          </w:tcPr>
          <w:p w14:paraId="53476119">
            <w:pPr>
              <w:spacing w:line="360" w:lineRule="auto"/>
              <w:rPr>
                <w:rFonts w:ascii="宋体" w:hAnsi="宋体" w:cs="宋体"/>
                <w:color w:val="auto"/>
                <w:sz w:val="24"/>
                <w:highlight w:val="none"/>
              </w:rPr>
            </w:pPr>
          </w:p>
        </w:tc>
        <w:tc>
          <w:tcPr>
            <w:tcW w:w="1091" w:type="dxa"/>
          </w:tcPr>
          <w:p w14:paraId="5347611A">
            <w:pPr>
              <w:spacing w:line="360" w:lineRule="auto"/>
              <w:rPr>
                <w:rFonts w:ascii="宋体" w:hAnsi="宋体" w:cs="宋体"/>
                <w:color w:val="auto"/>
                <w:sz w:val="24"/>
                <w:highlight w:val="none"/>
              </w:rPr>
            </w:pPr>
          </w:p>
        </w:tc>
        <w:tc>
          <w:tcPr>
            <w:tcW w:w="1195" w:type="dxa"/>
          </w:tcPr>
          <w:p w14:paraId="5347611B">
            <w:pPr>
              <w:spacing w:line="360" w:lineRule="auto"/>
              <w:rPr>
                <w:rFonts w:ascii="宋体" w:hAnsi="宋体" w:cs="宋体"/>
                <w:color w:val="auto"/>
                <w:sz w:val="24"/>
                <w:highlight w:val="none"/>
              </w:rPr>
            </w:pPr>
          </w:p>
        </w:tc>
        <w:tc>
          <w:tcPr>
            <w:tcW w:w="1269" w:type="dxa"/>
          </w:tcPr>
          <w:p w14:paraId="5347611C">
            <w:pPr>
              <w:spacing w:line="360" w:lineRule="auto"/>
              <w:rPr>
                <w:rFonts w:ascii="宋体" w:hAnsi="宋体" w:cs="宋体"/>
                <w:color w:val="auto"/>
                <w:sz w:val="24"/>
                <w:highlight w:val="none"/>
              </w:rPr>
            </w:pPr>
          </w:p>
        </w:tc>
        <w:tc>
          <w:tcPr>
            <w:tcW w:w="676" w:type="dxa"/>
          </w:tcPr>
          <w:p w14:paraId="5347611D">
            <w:pPr>
              <w:spacing w:line="360" w:lineRule="auto"/>
              <w:rPr>
                <w:rFonts w:ascii="宋体" w:hAnsi="宋体" w:cs="宋体"/>
                <w:color w:val="auto"/>
                <w:sz w:val="24"/>
                <w:highlight w:val="none"/>
              </w:rPr>
            </w:pPr>
          </w:p>
        </w:tc>
      </w:tr>
      <w:tr w14:paraId="534761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0" w:hRule="atLeast"/>
        </w:trPr>
        <w:tc>
          <w:tcPr>
            <w:tcW w:w="571" w:type="dxa"/>
            <w:vMerge w:val="restart"/>
            <w:tcBorders>
              <w:bottom w:val="nil"/>
            </w:tcBorders>
          </w:tcPr>
          <w:p w14:paraId="5347611F">
            <w:pPr>
              <w:spacing w:line="360" w:lineRule="auto"/>
              <w:rPr>
                <w:rFonts w:ascii="宋体" w:hAnsi="宋体" w:cs="宋体"/>
                <w:color w:val="auto"/>
                <w:sz w:val="24"/>
                <w:highlight w:val="none"/>
              </w:rPr>
            </w:pPr>
          </w:p>
        </w:tc>
        <w:tc>
          <w:tcPr>
            <w:tcW w:w="1693" w:type="dxa"/>
            <w:vMerge w:val="restart"/>
            <w:tcBorders>
              <w:bottom w:val="nil"/>
            </w:tcBorders>
          </w:tcPr>
          <w:p w14:paraId="53476120">
            <w:pPr>
              <w:spacing w:line="360" w:lineRule="auto"/>
              <w:rPr>
                <w:rFonts w:ascii="宋体" w:hAnsi="宋体" w:cs="宋体"/>
                <w:color w:val="auto"/>
                <w:sz w:val="24"/>
                <w:highlight w:val="none"/>
              </w:rPr>
            </w:pPr>
          </w:p>
        </w:tc>
        <w:tc>
          <w:tcPr>
            <w:tcW w:w="751" w:type="dxa"/>
          </w:tcPr>
          <w:p w14:paraId="53476121">
            <w:pPr>
              <w:spacing w:line="360" w:lineRule="auto"/>
              <w:ind w:left="342"/>
              <w:rPr>
                <w:rFonts w:ascii="宋体" w:hAnsi="宋体" w:cs="宋体"/>
                <w:color w:val="auto"/>
                <w:sz w:val="24"/>
                <w:highlight w:val="none"/>
              </w:rPr>
            </w:pPr>
            <w:r>
              <w:rPr>
                <w:rFonts w:hint="eastAsia" w:ascii="宋体" w:hAnsi="宋体" w:cs="宋体"/>
                <w:color w:val="auto"/>
                <w:sz w:val="24"/>
                <w:highlight w:val="none"/>
              </w:rPr>
              <w:t>1</w:t>
            </w:r>
          </w:p>
        </w:tc>
        <w:tc>
          <w:tcPr>
            <w:tcW w:w="947" w:type="dxa"/>
          </w:tcPr>
          <w:p w14:paraId="53476122">
            <w:pPr>
              <w:spacing w:line="360" w:lineRule="auto"/>
              <w:rPr>
                <w:rFonts w:ascii="宋体" w:hAnsi="宋体" w:cs="宋体"/>
                <w:color w:val="auto"/>
                <w:sz w:val="24"/>
                <w:highlight w:val="none"/>
              </w:rPr>
            </w:pPr>
          </w:p>
        </w:tc>
        <w:tc>
          <w:tcPr>
            <w:tcW w:w="1123" w:type="dxa"/>
          </w:tcPr>
          <w:p w14:paraId="53476123">
            <w:pPr>
              <w:spacing w:line="360" w:lineRule="auto"/>
              <w:rPr>
                <w:rFonts w:ascii="宋体" w:hAnsi="宋体" w:cs="宋体"/>
                <w:color w:val="auto"/>
                <w:sz w:val="24"/>
                <w:highlight w:val="none"/>
              </w:rPr>
            </w:pPr>
          </w:p>
        </w:tc>
        <w:tc>
          <w:tcPr>
            <w:tcW w:w="1091" w:type="dxa"/>
          </w:tcPr>
          <w:p w14:paraId="53476124">
            <w:pPr>
              <w:spacing w:line="360" w:lineRule="auto"/>
              <w:rPr>
                <w:rFonts w:ascii="宋体" w:hAnsi="宋体" w:cs="宋体"/>
                <w:color w:val="auto"/>
                <w:sz w:val="24"/>
                <w:highlight w:val="none"/>
              </w:rPr>
            </w:pPr>
          </w:p>
        </w:tc>
        <w:tc>
          <w:tcPr>
            <w:tcW w:w="1195" w:type="dxa"/>
          </w:tcPr>
          <w:p w14:paraId="53476125">
            <w:pPr>
              <w:spacing w:line="360" w:lineRule="auto"/>
              <w:rPr>
                <w:rFonts w:ascii="宋体" w:hAnsi="宋体" w:cs="宋体"/>
                <w:color w:val="auto"/>
                <w:sz w:val="24"/>
                <w:highlight w:val="none"/>
              </w:rPr>
            </w:pPr>
          </w:p>
        </w:tc>
        <w:tc>
          <w:tcPr>
            <w:tcW w:w="1269" w:type="dxa"/>
          </w:tcPr>
          <w:p w14:paraId="53476126">
            <w:pPr>
              <w:spacing w:line="360" w:lineRule="auto"/>
              <w:rPr>
                <w:rFonts w:ascii="宋体" w:hAnsi="宋体" w:cs="宋体"/>
                <w:color w:val="auto"/>
                <w:sz w:val="24"/>
                <w:highlight w:val="none"/>
              </w:rPr>
            </w:pPr>
          </w:p>
        </w:tc>
        <w:tc>
          <w:tcPr>
            <w:tcW w:w="676" w:type="dxa"/>
          </w:tcPr>
          <w:p w14:paraId="53476127">
            <w:pPr>
              <w:spacing w:line="360" w:lineRule="auto"/>
              <w:rPr>
                <w:rFonts w:ascii="宋体" w:hAnsi="宋体" w:cs="宋体"/>
                <w:color w:val="auto"/>
                <w:sz w:val="24"/>
                <w:highlight w:val="none"/>
              </w:rPr>
            </w:pPr>
          </w:p>
        </w:tc>
      </w:tr>
      <w:tr w14:paraId="534761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571" w:type="dxa"/>
            <w:vMerge w:val="continue"/>
            <w:tcBorders>
              <w:top w:val="nil"/>
              <w:bottom w:val="nil"/>
            </w:tcBorders>
          </w:tcPr>
          <w:p w14:paraId="53476129">
            <w:pPr>
              <w:spacing w:line="360" w:lineRule="auto"/>
              <w:rPr>
                <w:rFonts w:ascii="宋体" w:hAnsi="宋体" w:cs="宋体"/>
                <w:color w:val="auto"/>
                <w:sz w:val="24"/>
                <w:highlight w:val="none"/>
              </w:rPr>
            </w:pPr>
          </w:p>
        </w:tc>
        <w:tc>
          <w:tcPr>
            <w:tcW w:w="1693" w:type="dxa"/>
            <w:vMerge w:val="continue"/>
            <w:tcBorders>
              <w:top w:val="nil"/>
              <w:bottom w:val="nil"/>
            </w:tcBorders>
          </w:tcPr>
          <w:p w14:paraId="5347612A">
            <w:pPr>
              <w:spacing w:line="360" w:lineRule="auto"/>
              <w:rPr>
                <w:rFonts w:ascii="宋体" w:hAnsi="宋体" w:cs="宋体"/>
                <w:color w:val="auto"/>
                <w:sz w:val="24"/>
                <w:highlight w:val="none"/>
              </w:rPr>
            </w:pPr>
          </w:p>
        </w:tc>
        <w:tc>
          <w:tcPr>
            <w:tcW w:w="751" w:type="dxa"/>
          </w:tcPr>
          <w:p w14:paraId="5347612B">
            <w:pPr>
              <w:spacing w:line="360" w:lineRule="auto"/>
              <w:ind w:left="322"/>
              <w:rPr>
                <w:rFonts w:ascii="宋体" w:hAnsi="宋体" w:cs="宋体"/>
                <w:color w:val="auto"/>
                <w:sz w:val="24"/>
                <w:highlight w:val="none"/>
              </w:rPr>
            </w:pPr>
            <w:r>
              <w:rPr>
                <w:rFonts w:hint="eastAsia" w:ascii="宋体" w:hAnsi="宋体" w:cs="宋体"/>
                <w:color w:val="auto"/>
                <w:sz w:val="24"/>
                <w:highlight w:val="none"/>
              </w:rPr>
              <w:t>2</w:t>
            </w:r>
          </w:p>
        </w:tc>
        <w:tc>
          <w:tcPr>
            <w:tcW w:w="947" w:type="dxa"/>
          </w:tcPr>
          <w:p w14:paraId="5347612C">
            <w:pPr>
              <w:spacing w:line="360" w:lineRule="auto"/>
              <w:rPr>
                <w:rFonts w:ascii="宋体" w:hAnsi="宋体" w:cs="宋体"/>
                <w:color w:val="auto"/>
                <w:sz w:val="24"/>
                <w:highlight w:val="none"/>
              </w:rPr>
            </w:pPr>
          </w:p>
        </w:tc>
        <w:tc>
          <w:tcPr>
            <w:tcW w:w="1123" w:type="dxa"/>
          </w:tcPr>
          <w:p w14:paraId="5347612D">
            <w:pPr>
              <w:spacing w:line="360" w:lineRule="auto"/>
              <w:rPr>
                <w:rFonts w:ascii="宋体" w:hAnsi="宋体" w:cs="宋体"/>
                <w:color w:val="auto"/>
                <w:sz w:val="24"/>
                <w:highlight w:val="none"/>
              </w:rPr>
            </w:pPr>
          </w:p>
        </w:tc>
        <w:tc>
          <w:tcPr>
            <w:tcW w:w="1091" w:type="dxa"/>
          </w:tcPr>
          <w:p w14:paraId="5347612E">
            <w:pPr>
              <w:spacing w:line="360" w:lineRule="auto"/>
              <w:rPr>
                <w:rFonts w:ascii="宋体" w:hAnsi="宋体" w:cs="宋体"/>
                <w:color w:val="auto"/>
                <w:sz w:val="24"/>
                <w:highlight w:val="none"/>
              </w:rPr>
            </w:pPr>
          </w:p>
        </w:tc>
        <w:tc>
          <w:tcPr>
            <w:tcW w:w="1195" w:type="dxa"/>
          </w:tcPr>
          <w:p w14:paraId="5347612F">
            <w:pPr>
              <w:spacing w:line="360" w:lineRule="auto"/>
              <w:rPr>
                <w:rFonts w:ascii="宋体" w:hAnsi="宋体" w:cs="宋体"/>
                <w:color w:val="auto"/>
                <w:sz w:val="24"/>
                <w:highlight w:val="none"/>
              </w:rPr>
            </w:pPr>
          </w:p>
        </w:tc>
        <w:tc>
          <w:tcPr>
            <w:tcW w:w="1269" w:type="dxa"/>
          </w:tcPr>
          <w:p w14:paraId="53476130">
            <w:pPr>
              <w:spacing w:line="360" w:lineRule="auto"/>
              <w:rPr>
                <w:rFonts w:ascii="宋体" w:hAnsi="宋体" w:cs="宋体"/>
                <w:color w:val="auto"/>
                <w:sz w:val="24"/>
                <w:highlight w:val="none"/>
              </w:rPr>
            </w:pPr>
          </w:p>
        </w:tc>
        <w:tc>
          <w:tcPr>
            <w:tcW w:w="676" w:type="dxa"/>
          </w:tcPr>
          <w:p w14:paraId="53476131">
            <w:pPr>
              <w:spacing w:line="360" w:lineRule="auto"/>
              <w:rPr>
                <w:rFonts w:ascii="宋体" w:hAnsi="宋体" w:cs="宋体"/>
                <w:color w:val="auto"/>
                <w:sz w:val="24"/>
                <w:highlight w:val="none"/>
              </w:rPr>
            </w:pPr>
          </w:p>
        </w:tc>
      </w:tr>
      <w:tr w14:paraId="534761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2" w:hRule="atLeast"/>
        </w:trPr>
        <w:tc>
          <w:tcPr>
            <w:tcW w:w="571" w:type="dxa"/>
            <w:vMerge w:val="continue"/>
            <w:tcBorders>
              <w:top w:val="nil"/>
            </w:tcBorders>
          </w:tcPr>
          <w:p w14:paraId="53476133">
            <w:pPr>
              <w:spacing w:line="360" w:lineRule="auto"/>
              <w:rPr>
                <w:rFonts w:ascii="宋体" w:hAnsi="宋体" w:cs="宋体"/>
                <w:color w:val="auto"/>
                <w:sz w:val="24"/>
                <w:highlight w:val="none"/>
              </w:rPr>
            </w:pPr>
          </w:p>
        </w:tc>
        <w:tc>
          <w:tcPr>
            <w:tcW w:w="1693" w:type="dxa"/>
            <w:vMerge w:val="continue"/>
            <w:tcBorders>
              <w:top w:val="nil"/>
            </w:tcBorders>
          </w:tcPr>
          <w:p w14:paraId="53476134">
            <w:pPr>
              <w:spacing w:line="360" w:lineRule="auto"/>
              <w:rPr>
                <w:rFonts w:ascii="宋体" w:hAnsi="宋体" w:cs="宋体"/>
                <w:color w:val="auto"/>
                <w:sz w:val="24"/>
                <w:highlight w:val="none"/>
              </w:rPr>
            </w:pPr>
          </w:p>
        </w:tc>
        <w:tc>
          <w:tcPr>
            <w:tcW w:w="751" w:type="dxa"/>
          </w:tcPr>
          <w:p w14:paraId="53476135">
            <w:pPr>
              <w:spacing w:line="360" w:lineRule="auto"/>
              <w:ind w:left="326"/>
              <w:rPr>
                <w:rFonts w:ascii="宋体" w:hAnsi="宋体" w:cs="宋体"/>
                <w:color w:val="auto"/>
                <w:sz w:val="24"/>
                <w:highlight w:val="none"/>
              </w:rPr>
            </w:pPr>
            <w:r>
              <w:rPr>
                <w:rFonts w:hint="eastAsia" w:ascii="宋体" w:hAnsi="宋体" w:cs="宋体"/>
                <w:color w:val="auto"/>
                <w:sz w:val="24"/>
                <w:highlight w:val="none"/>
              </w:rPr>
              <w:t>3</w:t>
            </w:r>
          </w:p>
        </w:tc>
        <w:tc>
          <w:tcPr>
            <w:tcW w:w="947" w:type="dxa"/>
          </w:tcPr>
          <w:p w14:paraId="53476136">
            <w:pPr>
              <w:spacing w:line="360" w:lineRule="auto"/>
              <w:rPr>
                <w:rFonts w:ascii="宋体" w:hAnsi="宋体" w:cs="宋体"/>
                <w:color w:val="auto"/>
                <w:sz w:val="24"/>
                <w:highlight w:val="none"/>
              </w:rPr>
            </w:pPr>
          </w:p>
        </w:tc>
        <w:tc>
          <w:tcPr>
            <w:tcW w:w="1123" w:type="dxa"/>
          </w:tcPr>
          <w:p w14:paraId="53476137">
            <w:pPr>
              <w:spacing w:line="360" w:lineRule="auto"/>
              <w:rPr>
                <w:rFonts w:ascii="宋体" w:hAnsi="宋体" w:cs="宋体"/>
                <w:color w:val="auto"/>
                <w:sz w:val="24"/>
                <w:highlight w:val="none"/>
              </w:rPr>
            </w:pPr>
          </w:p>
        </w:tc>
        <w:tc>
          <w:tcPr>
            <w:tcW w:w="1091" w:type="dxa"/>
          </w:tcPr>
          <w:p w14:paraId="53476138">
            <w:pPr>
              <w:spacing w:line="360" w:lineRule="auto"/>
              <w:rPr>
                <w:rFonts w:ascii="宋体" w:hAnsi="宋体" w:cs="宋体"/>
                <w:color w:val="auto"/>
                <w:sz w:val="24"/>
                <w:highlight w:val="none"/>
              </w:rPr>
            </w:pPr>
          </w:p>
        </w:tc>
        <w:tc>
          <w:tcPr>
            <w:tcW w:w="1195" w:type="dxa"/>
          </w:tcPr>
          <w:p w14:paraId="53476139">
            <w:pPr>
              <w:spacing w:line="360" w:lineRule="auto"/>
              <w:rPr>
                <w:rFonts w:ascii="宋体" w:hAnsi="宋体" w:cs="宋体"/>
                <w:color w:val="auto"/>
                <w:sz w:val="24"/>
                <w:highlight w:val="none"/>
              </w:rPr>
            </w:pPr>
          </w:p>
        </w:tc>
        <w:tc>
          <w:tcPr>
            <w:tcW w:w="1269" w:type="dxa"/>
          </w:tcPr>
          <w:p w14:paraId="5347613A">
            <w:pPr>
              <w:spacing w:line="360" w:lineRule="auto"/>
              <w:rPr>
                <w:rFonts w:ascii="宋体" w:hAnsi="宋体" w:cs="宋体"/>
                <w:color w:val="auto"/>
                <w:sz w:val="24"/>
                <w:highlight w:val="none"/>
              </w:rPr>
            </w:pPr>
          </w:p>
        </w:tc>
        <w:tc>
          <w:tcPr>
            <w:tcW w:w="676" w:type="dxa"/>
          </w:tcPr>
          <w:p w14:paraId="5347613B">
            <w:pPr>
              <w:spacing w:line="360" w:lineRule="auto"/>
              <w:rPr>
                <w:rFonts w:ascii="宋体" w:hAnsi="宋体" w:cs="宋体"/>
                <w:color w:val="auto"/>
                <w:sz w:val="24"/>
                <w:highlight w:val="none"/>
              </w:rPr>
            </w:pPr>
          </w:p>
        </w:tc>
      </w:tr>
    </w:tbl>
    <w:p w14:paraId="5347613D">
      <w:pPr>
        <w:spacing w:line="360" w:lineRule="auto"/>
        <w:ind w:left="713"/>
        <w:rPr>
          <w:rFonts w:ascii="宋体" w:hAnsi="宋体" w:cs="宋体"/>
          <w:color w:val="auto"/>
          <w:sz w:val="24"/>
          <w:highlight w:val="none"/>
        </w:rPr>
      </w:pPr>
      <w:r>
        <w:rPr>
          <w:rFonts w:hint="eastAsia" w:ascii="宋体" w:hAnsi="宋体" w:cs="宋体"/>
          <w:color w:val="auto"/>
          <w:spacing w:val="-6"/>
          <w:sz w:val="24"/>
          <w:highlight w:val="none"/>
        </w:rPr>
        <w:t>备注： 1.若无分包计划，则供应商应在本表填写</w:t>
      </w:r>
      <w:r>
        <w:rPr>
          <w:rFonts w:hint="eastAsia" w:ascii="宋体" w:hAnsi="宋体" w:cs="宋体"/>
          <w:color w:val="auto"/>
          <w:spacing w:val="-7"/>
          <w:sz w:val="24"/>
          <w:highlight w:val="none"/>
        </w:rPr>
        <w:t>“无”。</w:t>
      </w:r>
    </w:p>
    <w:p w14:paraId="5347613E">
      <w:pPr>
        <w:spacing w:line="360" w:lineRule="auto"/>
        <w:ind w:firstLine="1428" w:firstLineChars="600"/>
        <w:rPr>
          <w:rFonts w:ascii="宋体" w:hAnsi="宋体" w:cs="宋体"/>
          <w:color w:val="auto"/>
          <w:spacing w:val="-2"/>
          <w:sz w:val="24"/>
          <w:highlight w:val="none"/>
        </w:rPr>
        <w:sectPr>
          <w:pgSz w:w="11906" w:h="16838"/>
          <w:pgMar w:top="1247" w:right="1247" w:bottom="1247" w:left="1247" w:header="851" w:footer="992" w:gutter="0"/>
          <w:cols w:space="720" w:num="1"/>
          <w:titlePg/>
          <w:docGrid w:linePitch="312" w:charSpace="0"/>
        </w:sectPr>
      </w:pPr>
      <w:r>
        <w:rPr>
          <w:rFonts w:hint="eastAsia" w:ascii="宋体" w:hAnsi="宋体" w:cs="宋体"/>
          <w:color w:val="auto"/>
          <w:spacing w:val="-1"/>
          <w:sz w:val="24"/>
          <w:highlight w:val="none"/>
        </w:rPr>
        <w:t>2.本表所列分包仅限于承包人自行施工范围内的非主体</w:t>
      </w:r>
      <w:r>
        <w:rPr>
          <w:rFonts w:hint="eastAsia" w:ascii="宋体" w:hAnsi="宋体" w:cs="宋体"/>
          <w:color w:val="auto"/>
          <w:spacing w:val="-2"/>
          <w:sz w:val="24"/>
          <w:highlight w:val="none"/>
        </w:rPr>
        <w:t>、非关键工程。</w:t>
      </w:r>
    </w:p>
    <w:p w14:paraId="5347613F">
      <w:pPr>
        <w:tabs>
          <w:tab w:val="left" w:pos="5387"/>
        </w:tabs>
        <w:spacing w:line="360" w:lineRule="auto"/>
        <w:jc w:val="left"/>
        <w:rPr>
          <w:rFonts w:ascii="宋体" w:hAnsi="宋体"/>
          <w:b/>
          <w:color w:val="auto"/>
          <w:sz w:val="24"/>
          <w:highlight w:val="none"/>
        </w:rPr>
      </w:pPr>
      <w:r>
        <w:rPr>
          <w:rFonts w:hint="eastAsia" w:ascii="宋体" w:hAnsi="宋体"/>
          <w:b/>
          <w:color w:val="auto"/>
          <w:sz w:val="24"/>
          <w:highlight w:val="none"/>
        </w:rPr>
        <w:t>附件12</w:t>
      </w:r>
    </w:p>
    <w:p w14:paraId="53476140">
      <w:pPr>
        <w:tabs>
          <w:tab w:val="left" w:pos="5387"/>
        </w:tabs>
        <w:spacing w:line="360" w:lineRule="auto"/>
        <w:jc w:val="center"/>
        <w:rPr>
          <w:rFonts w:ascii="宋体" w:hAnsi="宋体"/>
          <w:b/>
          <w:color w:val="auto"/>
          <w:sz w:val="28"/>
          <w:szCs w:val="28"/>
          <w:highlight w:val="none"/>
        </w:rPr>
      </w:pPr>
      <w:r>
        <w:rPr>
          <w:rFonts w:hint="eastAsia" w:ascii="宋体" w:hAnsi="宋体"/>
          <w:b/>
          <w:color w:val="auto"/>
          <w:sz w:val="28"/>
          <w:szCs w:val="28"/>
          <w:highlight w:val="none"/>
        </w:rPr>
        <w:t>建设工程项目管理承诺书</w:t>
      </w:r>
    </w:p>
    <w:p w14:paraId="53476141">
      <w:pPr>
        <w:spacing w:line="360" w:lineRule="auto"/>
        <w:jc w:val="left"/>
        <w:rPr>
          <w:rFonts w:ascii="宋体" w:hAnsi="宋体" w:cs="宋体"/>
          <w:color w:val="auto"/>
          <w:sz w:val="24"/>
          <w:highlight w:val="none"/>
        </w:rPr>
      </w:pPr>
      <w:r>
        <w:rPr>
          <w:rFonts w:hint="eastAsia" w:ascii="宋体" w:hAnsi="宋体" w:cs="宋体"/>
          <w:color w:val="auto"/>
          <w:sz w:val="24"/>
          <w:highlight w:val="none"/>
        </w:rPr>
        <w:t>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（采购人名称）：</w:t>
      </w:r>
    </w:p>
    <w:p w14:paraId="53476142">
      <w:pPr>
        <w:spacing w:line="360" w:lineRule="auto"/>
        <w:ind w:left="-10" w:firstLine="520" w:firstLineChars="217"/>
        <w:jc w:val="left"/>
        <w:rPr>
          <w:rFonts w:ascii="宋体" w:hAnsi="宋体" w:cs="宋体"/>
          <w:color w:val="auto"/>
          <w:sz w:val="24"/>
          <w:highlight w:val="none"/>
        </w:rPr>
      </w:pPr>
      <w:r>
        <w:rPr>
          <w:rFonts w:hint="eastAsia" w:ascii="宋体" w:hAnsi="宋体" w:cs="宋体"/>
          <w:color w:val="auto"/>
          <w:sz w:val="24"/>
          <w:highlight w:val="none"/>
        </w:rPr>
        <w:t>作为参与</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（工程名称）项目的磋商供应商，根据国家、自治区相关文件规定，我方在此向采购人承诺：</w:t>
      </w:r>
    </w:p>
    <w:p w14:paraId="53476143">
      <w:pPr>
        <w:spacing w:line="360" w:lineRule="auto"/>
        <w:ind w:left="-10" w:firstLine="520" w:firstLineChars="217"/>
        <w:jc w:val="left"/>
        <w:rPr>
          <w:rFonts w:ascii="宋体" w:hAnsi="宋体" w:cs="宋体"/>
          <w:color w:val="auto"/>
          <w:sz w:val="24"/>
          <w:highlight w:val="none"/>
        </w:rPr>
      </w:pPr>
      <w:r>
        <w:rPr>
          <w:rFonts w:hint="eastAsia" w:ascii="宋体" w:hAnsi="宋体" w:cs="宋体"/>
          <w:color w:val="auto"/>
          <w:sz w:val="24"/>
          <w:highlight w:val="none"/>
        </w:rPr>
        <w:t>1、一旦成交，我方保证按照政府相关部门的规定，在发出成交通知书之日起7个工作日内足额将农民工工资保障金转入农民工工资保障金专用账户。一旦我方所承包的该项目中出现拖欠农民工工资情况，由劳动保障、住房城乡建设行政主管部门按照《关于进一步完善建筑行业农民工工资保证金制度的通知》（桂劳社发〔2009〕50号）从我方农民工工资保障金中先予划支。</w:t>
      </w:r>
    </w:p>
    <w:p w14:paraId="53476144">
      <w:pPr>
        <w:spacing w:line="360" w:lineRule="auto"/>
        <w:ind w:left="-10" w:firstLine="520" w:firstLineChars="217"/>
        <w:jc w:val="left"/>
        <w:rPr>
          <w:rFonts w:ascii="宋体" w:hAnsi="宋体" w:cs="宋体"/>
          <w:color w:val="auto"/>
          <w:sz w:val="24"/>
          <w:highlight w:val="none"/>
        </w:rPr>
      </w:pPr>
      <w:r>
        <w:rPr>
          <w:rFonts w:hint="eastAsia" w:ascii="宋体" w:hAnsi="宋体" w:cs="宋体"/>
          <w:color w:val="auto"/>
          <w:sz w:val="24"/>
          <w:highlight w:val="none"/>
        </w:rPr>
        <w:t>2、一旦成交，我方保证在施工过程中，严格执行《广西壮族自治区建筑工程安全文明施工费使用管理细则》（桂建质〔2015〕16号）的有关规定，确保建设工程各项安全防护、文明施工措施落实到位。如我方在该项目的承包中出现未按桂建质〔2015〕16号文附件一规定执行的情形，我方愿意按照相关规定接受建设单位及有关主管部门的处罚。</w:t>
      </w:r>
    </w:p>
    <w:p w14:paraId="53476145">
      <w:pPr>
        <w:spacing w:line="360" w:lineRule="auto"/>
        <w:ind w:left="-2" w:leftChars="-1" w:firstLine="513" w:firstLineChars="214"/>
        <w:jc w:val="left"/>
        <w:rPr>
          <w:rFonts w:ascii="宋体" w:hAnsi="宋体" w:cs="宋体"/>
          <w:color w:val="auto"/>
          <w:sz w:val="24"/>
          <w:highlight w:val="none"/>
        </w:rPr>
      </w:pPr>
      <w:r>
        <w:rPr>
          <w:rFonts w:hint="eastAsia" w:ascii="宋体" w:hAnsi="宋体" w:cs="宋体"/>
          <w:color w:val="auto"/>
          <w:sz w:val="24"/>
          <w:highlight w:val="none"/>
        </w:rPr>
        <w:t>3、一旦成交，我方保证在施工过程中，严格执行散装水泥和预拌混凝土管理的有关规定，确保建设工程按规定使用散装水泥和预拌混凝土。如我方在该项目的承包中出现未按规定执行的情形，我方愿意按照相关规定接受建设单位及有关主管部门的处罚。</w:t>
      </w:r>
    </w:p>
    <w:p w14:paraId="53476146">
      <w:pPr>
        <w:spacing w:line="360" w:lineRule="auto"/>
        <w:ind w:left="-10" w:firstLine="520" w:firstLineChars="217"/>
        <w:jc w:val="left"/>
        <w:rPr>
          <w:rFonts w:ascii="宋体" w:hAnsi="宋体" w:cs="宋体"/>
          <w:color w:val="auto"/>
          <w:sz w:val="24"/>
          <w:highlight w:val="none"/>
        </w:rPr>
      </w:pPr>
      <w:r>
        <w:rPr>
          <w:rFonts w:hint="eastAsia" w:ascii="宋体" w:hAnsi="宋体" w:cs="宋体"/>
          <w:color w:val="auto"/>
          <w:sz w:val="24"/>
          <w:highlight w:val="none"/>
        </w:rPr>
        <w:t>4、一旦成交，我方保证在施工过程中，严格执行《关于禁止使用不符合规范要求的竹脚手架的通知》（桂建管字〔2003〕40号）的有关规定，不使用竹脚手架。如我方在该项目的承包中出现未按规定执行的情形，我方愿意按照相关规定接受建设单位及有关主管部门的处罚。</w:t>
      </w:r>
    </w:p>
    <w:p w14:paraId="53476147">
      <w:pPr>
        <w:spacing w:line="360" w:lineRule="auto"/>
        <w:ind w:left="-10" w:firstLine="520" w:firstLineChars="217"/>
        <w:jc w:val="left"/>
        <w:rPr>
          <w:rFonts w:ascii="宋体" w:hAnsi="宋体" w:cs="宋体"/>
          <w:color w:val="auto"/>
          <w:sz w:val="24"/>
          <w:highlight w:val="none"/>
        </w:rPr>
      </w:pPr>
      <w:r>
        <w:rPr>
          <w:rFonts w:hint="eastAsia" w:ascii="宋体" w:hAnsi="宋体" w:cs="宋体"/>
          <w:color w:val="auto"/>
          <w:sz w:val="24"/>
          <w:highlight w:val="none"/>
        </w:rPr>
        <w:t>5、一旦成交，我方保证严格执行《危险性较大的分部分项工程安全管理规定》（建办质〔2018〕31号）的规定，强化对深基坑、高切坡、高大模板、人工挖孔桩、起重吊装、临时活动板房等重大危险源的专项施工方案的编制、论证、审批、实施、检测的风险管理。</w:t>
      </w:r>
    </w:p>
    <w:p w14:paraId="53476148">
      <w:pPr>
        <w:pStyle w:val="10"/>
        <w:overflowPunct w:val="0"/>
        <w:spacing w:line="360" w:lineRule="auto"/>
        <w:ind w:firstLine="0"/>
        <w:contextualSpacing/>
        <w:jc w:val="left"/>
        <w:rPr>
          <w:rFonts w:ascii="宋体" w:hAnsi="宋体" w:cs="方正小标宋简体"/>
          <w:color w:val="auto"/>
          <w:sz w:val="24"/>
          <w:szCs w:val="24"/>
          <w:highlight w:val="none"/>
        </w:rPr>
      </w:pPr>
    </w:p>
    <w:p w14:paraId="53476149">
      <w:pPr>
        <w:adjustRightInd w:val="0"/>
        <w:snapToGrid w:val="0"/>
        <w:spacing w:line="360" w:lineRule="auto"/>
        <w:ind w:firstLine="960" w:firstLineChars="400"/>
        <w:jc w:val="left"/>
        <w:rPr>
          <w:rFonts w:ascii="宋体" w:hAnsi="宋体"/>
          <w:color w:val="auto"/>
          <w:sz w:val="24"/>
          <w:highlight w:val="none"/>
        </w:rPr>
      </w:pPr>
      <w:r>
        <w:rPr>
          <w:rFonts w:hint="eastAsia" w:ascii="宋体" w:hAnsi="宋体"/>
          <w:color w:val="auto"/>
          <w:sz w:val="24"/>
          <w:highlight w:val="none"/>
        </w:rPr>
        <w:t xml:space="preserve">磋商供应商名称(公章)： </w:t>
      </w:r>
    </w:p>
    <w:p w14:paraId="5347614A">
      <w:pPr>
        <w:adjustRightInd w:val="0"/>
        <w:snapToGrid w:val="0"/>
        <w:spacing w:line="360" w:lineRule="auto"/>
        <w:ind w:firstLine="960" w:firstLineChars="400"/>
        <w:jc w:val="left"/>
        <w:rPr>
          <w:rFonts w:ascii="宋体" w:hAnsi="宋体"/>
          <w:color w:val="auto"/>
          <w:sz w:val="24"/>
          <w:highlight w:val="none"/>
        </w:rPr>
      </w:pPr>
      <w:r>
        <w:rPr>
          <w:rFonts w:hint="eastAsia" w:ascii="宋体" w:hAnsi="宋体"/>
          <w:color w:val="auto"/>
          <w:sz w:val="24"/>
          <w:highlight w:val="none"/>
        </w:rPr>
        <w:t xml:space="preserve">法定代表人（负责人）或委托代理人(签名)：                          </w:t>
      </w:r>
    </w:p>
    <w:p w14:paraId="5347614B">
      <w:pPr>
        <w:spacing w:line="360" w:lineRule="auto"/>
        <w:ind w:firstLine="960" w:firstLineChars="400"/>
        <w:rPr>
          <w:rFonts w:ascii="宋体" w:hAnsi="宋体"/>
          <w:color w:val="auto"/>
          <w:sz w:val="24"/>
          <w:highlight w:val="none"/>
        </w:rPr>
      </w:pPr>
      <w:r>
        <w:rPr>
          <w:rFonts w:hint="eastAsia" w:ascii="宋体" w:hAnsi="宋体"/>
          <w:color w:val="auto"/>
          <w:sz w:val="24"/>
          <w:highlight w:val="none"/>
        </w:rPr>
        <w:t>日期：  年   月   日</w:t>
      </w:r>
    </w:p>
    <w:p w14:paraId="5347614C">
      <w:pPr>
        <w:spacing w:line="360" w:lineRule="auto"/>
        <w:jc w:val="center"/>
        <w:rPr>
          <w:rFonts w:ascii="宋体" w:hAnsi="宋体"/>
          <w:b/>
          <w:color w:val="auto"/>
          <w:sz w:val="28"/>
          <w:szCs w:val="28"/>
          <w:highlight w:val="none"/>
        </w:rPr>
      </w:pPr>
    </w:p>
    <w:p w14:paraId="5347614D">
      <w:pPr>
        <w:spacing w:line="360" w:lineRule="auto"/>
        <w:jc w:val="center"/>
        <w:rPr>
          <w:rFonts w:ascii="宋体" w:hAnsi="宋体"/>
          <w:b/>
          <w:color w:val="auto"/>
          <w:sz w:val="28"/>
          <w:szCs w:val="28"/>
          <w:highlight w:val="none"/>
        </w:rPr>
      </w:pPr>
    </w:p>
    <w:p w14:paraId="5347614E">
      <w:pPr>
        <w:spacing w:line="360" w:lineRule="auto"/>
        <w:jc w:val="center"/>
        <w:rPr>
          <w:rFonts w:ascii="宋体" w:hAnsi="宋体"/>
          <w:b/>
          <w:color w:val="auto"/>
          <w:sz w:val="28"/>
          <w:szCs w:val="28"/>
          <w:highlight w:val="none"/>
        </w:rPr>
      </w:pPr>
      <w:r>
        <w:rPr>
          <w:rFonts w:hint="eastAsia" w:ascii="宋体" w:hAnsi="宋体"/>
          <w:b/>
          <w:color w:val="auto"/>
          <w:sz w:val="28"/>
          <w:szCs w:val="28"/>
          <w:highlight w:val="none"/>
        </w:rPr>
        <w:t>广西壮族自治区建筑工程安全文明施工措施项目清单内容</w:t>
      </w:r>
    </w:p>
    <w:p w14:paraId="5347614F">
      <w:pPr>
        <w:spacing w:line="360" w:lineRule="auto"/>
        <w:jc w:val="center"/>
        <w:rPr>
          <w:rFonts w:ascii="宋体" w:hAnsi="宋体"/>
          <w:bCs/>
          <w:color w:val="auto"/>
          <w:sz w:val="24"/>
          <w:highlight w:val="none"/>
        </w:rPr>
      </w:pPr>
      <w:r>
        <w:rPr>
          <w:rFonts w:hint="eastAsia" w:ascii="宋体" w:hAnsi="宋体"/>
          <w:bCs/>
          <w:color w:val="auto"/>
          <w:sz w:val="24"/>
          <w:highlight w:val="none"/>
        </w:rPr>
        <w:t>（桂建质〔2015〕16号文附件一）</w:t>
      </w:r>
    </w:p>
    <w:p w14:paraId="53476150">
      <w:pPr>
        <w:spacing w:line="360" w:lineRule="auto"/>
        <w:jc w:val="center"/>
        <w:rPr>
          <w:rFonts w:ascii="宋体" w:hAnsi="宋体"/>
          <w:b/>
          <w:color w:val="auto"/>
          <w:sz w:val="24"/>
          <w:highlight w:val="none"/>
        </w:rPr>
      </w:pPr>
      <w:r>
        <w:rPr>
          <w:rFonts w:hint="eastAsia" w:ascii="宋体" w:hAnsi="宋体"/>
          <w:b/>
          <w:color w:val="auto"/>
          <w:sz w:val="24"/>
          <w:highlight w:val="none"/>
        </w:rPr>
        <w:t>广西壮族自治区</w:t>
      </w:r>
    </w:p>
    <w:p w14:paraId="53476151">
      <w:pPr>
        <w:spacing w:line="360" w:lineRule="auto"/>
        <w:jc w:val="center"/>
        <w:rPr>
          <w:rFonts w:ascii="宋体" w:hAnsi="宋体"/>
          <w:b/>
          <w:color w:val="auto"/>
          <w:sz w:val="24"/>
          <w:highlight w:val="none"/>
        </w:rPr>
      </w:pPr>
      <w:r>
        <w:rPr>
          <w:rFonts w:hint="eastAsia" w:ascii="宋体" w:hAnsi="宋体"/>
          <w:b/>
          <w:color w:val="auto"/>
          <w:sz w:val="24"/>
          <w:highlight w:val="none"/>
        </w:rPr>
        <w:t>建设工程安全文明施工措施项目清单内容</w:t>
      </w:r>
    </w:p>
    <w:tbl>
      <w:tblPr>
        <w:tblStyle w:val="38"/>
        <w:tblpPr w:leftFromText="180" w:rightFromText="180" w:vertAnchor="text" w:horzAnchor="page" w:tblpX="1320" w:tblpY="40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525"/>
        <w:gridCol w:w="1260"/>
        <w:gridCol w:w="6930"/>
      </w:tblGrid>
      <w:tr w14:paraId="534761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blHeader/>
        </w:trPr>
        <w:tc>
          <w:tcPr>
            <w:tcW w:w="738" w:type="dxa"/>
            <w:tcBorders>
              <w:top w:val="single" w:color="auto" w:sz="4" w:space="0"/>
              <w:left w:val="single" w:color="auto" w:sz="4" w:space="0"/>
              <w:bottom w:val="single" w:color="auto" w:sz="4" w:space="0"/>
              <w:right w:val="single" w:color="auto" w:sz="4" w:space="0"/>
            </w:tcBorders>
            <w:vAlign w:val="center"/>
          </w:tcPr>
          <w:p w14:paraId="53476152">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类别</w:t>
            </w:r>
          </w:p>
        </w:tc>
        <w:tc>
          <w:tcPr>
            <w:tcW w:w="1785" w:type="dxa"/>
            <w:gridSpan w:val="2"/>
            <w:tcBorders>
              <w:top w:val="single" w:color="auto" w:sz="4" w:space="0"/>
              <w:left w:val="single" w:color="auto" w:sz="4" w:space="0"/>
              <w:bottom w:val="single" w:color="auto" w:sz="4" w:space="0"/>
              <w:right w:val="single" w:color="auto" w:sz="4" w:space="0"/>
            </w:tcBorders>
            <w:vAlign w:val="center"/>
          </w:tcPr>
          <w:p w14:paraId="53476153">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项目名称</w:t>
            </w:r>
          </w:p>
        </w:tc>
        <w:tc>
          <w:tcPr>
            <w:tcW w:w="6930" w:type="dxa"/>
            <w:tcBorders>
              <w:top w:val="single" w:color="auto" w:sz="4" w:space="0"/>
              <w:left w:val="single" w:color="auto" w:sz="4" w:space="0"/>
              <w:bottom w:val="single" w:color="auto" w:sz="4" w:space="0"/>
              <w:right w:val="single" w:color="auto" w:sz="4" w:space="0"/>
            </w:tcBorders>
            <w:vAlign w:val="center"/>
          </w:tcPr>
          <w:p w14:paraId="53476154">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主要内容和要求</w:t>
            </w:r>
          </w:p>
        </w:tc>
      </w:tr>
      <w:tr w14:paraId="534761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restart"/>
            <w:tcBorders>
              <w:top w:val="single" w:color="auto" w:sz="4" w:space="0"/>
              <w:left w:val="single" w:color="auto" w:sz="4" w:space="0"/>
              <w:bottom w:val="single" w:color="auto" w:sz="4" w:space="0"/>
              <w:right w:val="single" w:color="auto" w:sz="4" w:space="0"/>
            </w:tcBorders>
            <w:vAlign w:val="center"/>
          </w:tcPr>
          <w:p w14:paraId="53476156">
            <w:pPr>
              <w:spacing w:line="360" w:lineRule="auto"/>
              <w:jc w:val="center"/>
              <w:rPr>
                <w:rFonts w:ascii="宋体" w:hAnsi="宋体" w:cs="宋体"/>
                <w:bCs/>
                <w:color w:val="auto"/>
                <w:sz w:val="24"/>
                <w:highlight w:val="none"/>
              </w:rPr>
            </w:pPr>
            <w:r>
              <w:rPr>
                <w:rFonts w:hint="eastAsia" w:ascii="宋体" w:hAnsi="宋体" w:cs="宋体"/>
                <w:bCs/>
                <w:color w:val="auto"/>
                <w:sz w:val="24"/>
                <w:highlight w:val="none"/>
              </w:rPr>
              <w:t>文明</w:t>
            </w:r>
          </w:p>
          <w:p w14:paraId="53476157">
            <w:pPr>
              <w:spacing w:line="360" w:lineRule="auto"/>
              <w:jc w:val="center"/>
              <w:rPr>
                <w:rFonts w:ascii="宋体" w:hAnsi="宋体" w:cs="宋体"/>
                <w:bCs/>
                <w:color w:val="auto"/>
                <w:sz w:val="24"/>
                <w:highlight w:val="none"/>
              </w:rPr>
            </w:pPr>
            <w:r>
              <w:rPr>
                <w:rFonts w:hint="eastAsia" w:ascii="宋体" w:hAnsi="宋体" w:cs="宋体"/>
                <w:bCs/>
                <w:color w:val="auto"/>
                <w:sz w:val="24"/>
                <w:highlight w:val="none"/>
              </w:rPr>
              <w:t>施工</w:t>
            </w:r>
          </w:p>
          <w:p w14:paraId="53476158">
            <w:pPr>
              <w:spacing w:line="360" w:lineRule="auto"/>
              <w:jc w:val="center"/>
              <w:rPr>
                <w:rFonts w:ascii="宋体" w:hAnsi="宋体" w:cs="宋体"/>
                <w:bCs/>
                <w:color w:val="auto"/>
                <w:sz w:val="24"/>
                <w:highlight w:val="none"/>
              </w:rPr>
            </w:pPr>
            <w:r>
              <w:rPr>
                <w:rFonts w:hint="eastAsia" w:ascii="宋体" w:hAnsi="宋体" w:cs="宋体"/>
                <w:bCs/>
                <w:color w:val="auto"/>
                <w:sz w:val="24"/>
                <w:highlight w:val="none"/>
              </w:rPr>
              <w:t>与</w:t>
            </w:r>
          </w:p>
          <w:p w14:paraId="53476159">
            <w:pPr>
              <w:spacing w:line="360" w:lineRule="auto"/>
              <w:jc w:val="center"/>
              <w:rPr>
                <w:rFonts w:ascii="宋体" w:hAnsi="宋体" w:cs="宋体"/>
                <w:bCs/>
                <w:color w:val="auto"/>
                <w:sz w:val="24"/>
                <w:highlight w:val="none"/>
              </w:rPr>
            </w:pPr>
            <w:r>
              <w:rPr>
                <w:rFonts w:hint="eastAsia" w:ascii="宋体" w:hAnsi="宋体" w:cs="宋体"/>
                <w:bCs/>
                <w:color w:val="auto"/>
                <w:sz w:val="24"/>
                <w:highlight w:val="none"/>
              </w:rPr>
              <w:t>环境</w:t>
            </w:r>
          </w:p>
          <w:p w14:paraId="5347615A">
            <w:pPr>
              <w:spacing w:line="360" w:lineRule="auto"/>
              <w:jc w:val="center"/>
              <w:rPr>
                <w:rFonts w:ascii="宋体" w:hAnsi="宋体" w:cs="宋体"/>
                <w:bCs/>
                <w:color w:val="auto"/>
                <w:sz w:val="24"/>
                <w:highlight w:val="none"/>
              </w:rPr>
            </w:pPr>
            <w:r>
              <w:rPr>
                <w:rFonts w:hint="eastAsia" w:ascii="宋体" w:hAnsi="宋体" w:cs="宋体"/>
                <w:bCs/>
                <w:color w:val="auto"/>
                <w:sz w:val="24"/>
                <w:highlight w:val="none"/>
              </w:rPr>
              <w:t>保护</w:t>
            </w:r>
          </w:p>
        </w:tc>
        <w:tc>
          <w:tcPr>
            <w:tcW w:w="1785" w:type="dxa"/>
            <w:gridSpan w:val="2"/>
            <w:tcBorders>
              <w:top w:val="single" w:color="auto" w:sz="4" w:space="0"/>
              <w:left w:val="single" w:color="auto" w:sz="4" w:space="0"/>
              <w:bottom w:val="single" w:color="auto" w:sz="4" w:space="0"/>
              <w:right w:val="single" w:color="auto" w:sz="4" w:space="0"/>
            </w:tcBorders>
            <w:vAlign w:val="center"/>
          </w:tcPr>
          <w:p w14:paraId="5347615B">
            <w:pPr>
              <w:spacing w:line="360" w:lineRule="auto"/>
              <w:jc w:val="center"/>
              <w:rPr>
                <w:rFonts w:ascii="宋体" w:hAnsi="宋体" w:cs="宋体"/>
                <w:bCs/>
                <w:color w:val="auto"/>
                <w:sz w:val="24"/>
                <w:highlight w:val="none"/>
              </w:rPr>
            </w:pPr>
            <w:r>
              <w:rPr>
                <w:rFonts w:hint="eastAsia" w:ascii="宋体" w:hAnsi="宋体" w:cs="宋体"/>
                <w:bCs/>
                <w:color w:val="auto"/>
                <w:sz w:val="24"/>
                <w:highlight w:val="none"/>
              </w:rPr>
              <w:t>安全警示</w:t>
            </w:r>
          </w:p>
          <w:p w14:paraId="5347615C">
            <w:pPr>
              <w:spacing w:line="360" w:lineRule="auto"/>
              <w:jc w:val="center"/>
              <w:rPr>
                <w:rFonts w:ascii="宋体" w:hAnsi="宋体" w:cs="宋体"/>
                <w:bCs/>
                <w:color w:val="auto"/>
                <w:sz w:val="24"/>
                <w:highlight w:val="none"/>
              </w:rPr>
            </w:pPr>
            <w:r>
              <w:rPr>
                <w:rFonts w:hint="eastAsia" w:ascii="宋体" w:hAnsi="宋体" w:cs="宋体"/>
                <w:bCs/>
                <w:color w:val="auto"/>
                <w:sz w:val="24"/>
                <w:highlight w:val="none"/>
              </w:rPr>
              <w:t>标志牌</w:t>
            </w:r>
          </w:p>
        </w:tc>
        <w:tc>
          <w:tcPr>
            <w:tcW w:w="6930" w:type="dxa"/>
            <w:tcBorders>
              <w:top w:val="single" w:color="auto" w:sz="4" w:space="0"/>
              <w:left w:val="single" w:color="auto" w:sz="4" w:space="0"/>
              <w:bottom w:val="single" w:color="auto" w:sz="4" w:space="0"/>
              <w:right w:val="single" w:color="auto" w:sz="4" w:space="0"/>
            </w:tcBorders>
            <w:vAlign w:val="center"/>
          </w:tcPr>
          <w:p w14:paraId="5347615D">
            <w:pPr>
              <w:spacing w:line="360" w:lineRule="auto"/>
              <w:jc w:val="left"/>
              <w:rPr>
                <w:rFonts w:ascii="宋体" w:hAnsi="宋体" w:cs="宋体"/>
                <w:bCs/>
                <w:color w:val="auto"/>
                <w:sz w:val="24"/>
                <w:highlight w:val="none"/>
              </w:rPr>
            </w:pPr>
            <w:r>
              <w:rPr>
                <w:rFonts w:hint="eastAsia" w:ascii="宋体" w:hAnsi="宋体" w:cs="宋体"/>
                <w:bCs/>
                <w:color w:val="auto"/>
                <w:sz w:val="24"/>
                <w:highlight w:val="none"/>
              </w:rPr>
              <w:t>在易发伤亡事故（或危险）处设置明显的、符合国家标准要求的安全警示标志牌。</w:t>
            </w:r>
          </w:p>
        </w:tc>
      </w:tr>
      <w:tr w14:paraId="534761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5347615F">
            <w:pPr>
              <w:spacing w:line="360" w:lineRule="auto"/>
              <w:jc w:val="center"/>
              <w:rPr>
                <w:rFonts w:ascii="宋体" w:hAnsi="宋体" w:cs="宋体"/>
                <w:bCs/>
                <w:color w:val="auto"/>
                <w:sz w:val="24"/>
                <w:highlight w:val="none"/>
              </w:rPr>
            </w:pPr>
          </w:p>
        </w:tc>
        <w:tc>
          <w:tcPr>
            <w:tcW w:w="1785" w:type="dxa"/>
            <w:gridSpan w:val="2"/>
            <w:tcBorders>
              <w:top w:val="single" w:color="auto" w:sz="4" w:space="0"/>
              <w:left w:val="single" w:color="auto" w:sz="4" w:space="0"/>
              <w:bottom w:val="single" w:color="auto" w:sz="4" w:space="0"/>
              <w:right w:val="single" w:color="auto" w:sz="4" w:space="0"/>
            </w:tcBorders>
            <w:vAlign w:val="center"/>
          </w:tcPr>
          <w:p w14:paraId="53476160">
            <w:pPr>
              <w:spacing w:line="360" w:lineRule="auto"/>
              <w:jc w:val="center"/>
              <w:rPr>
                <w:rFonts w:ascii="宋体" w:hAnsi="宋体" w:cs="宋体"/>
                <w:bCs/>
                <w:color w:val="auto"/>
                <w:sz w:val="24"/>
                <w:highlight w:val="none"/>
              </w:rPr>
            </w:pPr>
            <w:r>
              <w:rPr>
                <w:rFonts w:hint="eastAsia" w:ascii="宋体" w:hAnsi="宋体" w:cs="宋体"/>
                <w:bCs/>
                <w:color w:val="auto"/>
                <w:sz w:val="24"/>
                <w:highlight w:val="none"/>
              </w:rPr>
              <w:t>现场围挡</w:t>
            </w:r>
          </w:p>
        </w:tc>
        <w:tc>
          <w:tcPr>
            <w:tcW w:w="6930" w:type="dxa"/>
            <w:tcBorders>
              <w:top w:val="single" w:color="auto" w:sz="4" w:space="0"/>
              <w:left w:val="single" w:color="auto" w:sz="4" w:space="0"/>
              <w:bottom w:val="single" w:color="auto" w:sz="4" w:space="0"/>
              <w:right w:val="single" w:color="auto" w:sz="4" w:space="0"/>
            </w:tcBorders>
            <w:vAlign w:val="center"/>
          </w:tcPr>
          <w:p w14:paraId="53476161">
            <w:pPr>
              <w:spacing w:line="360" w:lineRule="auto"/>
              <w:jc w:val="left"/>
              <w:rPr>
                <w:rFonts w:ascii="宋体" w:hAnsi="宋体" w:cs="宋体"/>
                <w:bCs/>
                <w:color w:val="auto"/>
                <w:sz w:val="24"/>
                <w:highlight w:val="none"/>
              </w:rPr>
            </w:pPr>
            <w:r>
              <w:rPr>
                <w:rFonts w:hint="eastAsia" w:ascii="宋体" w:hAnsi="宋体" w:cs="宋体"/>
                <w:bCs/>
                <w:color w:val="auto"/>
                <w:sz w:val="24"/>
                <w:highlight w:val="none"/>
              </w:rPr>
              <w:t>1.现场采用封闭围挡，高度不小于1.8m。</w:t>
            </w:r>
          </w:p>
          <w:p w14:paraId="53476162">
            <w:pPr>
              <w:spacing w:line="360" w:lineRule="auto"/>
              <w:jc w:val="left"/>
              <w:rPr>
                <w:rFonts w:ascii="宋体" w:hAnsi="宋体" w:cs="宋体"/>
                <w:bCs/>
                <w:color w:val="auto"/>
                <w:sz w:val="24"/>
                <w:highlight w:val="none"/>
              </w:rPr>
            </w:pPr>
            <w:r>
              <w:rPr>
                <w:rFonts w:hint="eastAsia" w:ascii="宋体" w:hAnsi="宋体" w:cs="宋体"/>
                <w:bCs/>
                <w:color w:val="auto"/>
                <w:sz w:val="24"/>
                <w:highlight w:val="none"/>
              </w:rPr>
              <w:t>2.围挡材料可用彩色、定型钢板，砖、砼砌块等墙体。</w:t>
            </w:r>
          </w:p>
        </w:tc>
      </w:tr>
      <w:tr w14:paraId="534761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53476164">
            <w:pPr>
              <w:spacing w:line="360" w:lineRule="auto"/>
              <w:jc w:val="center"/>
              <w:rPr>
                <w:rFonts w:ascii="宋体" w:hAnsi="宋体" w:cs="宋体"/>
                <w:bCs/>
                <w:color w:val="auto"/>
                <w:sz w:val="24"/>
                <w:highlight w:val="none"/>
              </w:rPr>
            </w:pPr>
          </w:p>
        </w:tc>
        <w:tc>
          <w:tcPr>
            <w:tcW w:w="1785" w:type="dxa"/>
            <w:gridSpan w:val="2"/>
            <w:tcBorders>
              <w:top w:val="single" w:color="auto" w:sz="4" w:space="0"/>
              <w:left w:val="single" w:color="auto" w:sz="4" w:space="0"/>
              <w:bottom w:val="single" w:color="auto" w:sz="4" w:space="0"/>
              <w:right w:val="single" w:color="auto" w:sz="4" w:space="0"/>
            </w:tcBorders>
            <w:vAlign w:val="center"/>
          </w:tcPr>
          <w:p w14:paraId="53476165">
            <w:pPr>
              <w:spacing w:line="360" w:lineRule="auto"/>
              <w:jc w:val="center"/>
              <w:rPr>
                <w:rFonts w:ascii="宋体" w:hAnsi="宋体" w:cs="宋体"/>
                <w:bCs/>
                <w:color w:val="auto"/>
                <w:sz w:val="24"/>
                <w:highlight w:val="none"/>
              </w:rPr>
            </w:pPr>
            <w:r>
              <w:rPr>
                <w:rFonts w:hint="eastAsia" w:ascii="宋体" w:hAnsi="宋体" w:cs="宋体"/>
                <w:bCs/>
                <w:color w:val="auto"/>
                <w:sz w:val="24"/>
                <w:highlight w:val="none"/>
              </w:rPr>
              <w:t>七牌二图</w:t>
            </w:r>
          </w:p>
        </w:tc>
        <w:tc>
          <w:tcPr>
            <w:tcW w:w="6930" w:type="dxa"/>
            <w:tcBorders>
              <w:top w:val="single" w:color="auto" w:sz="4" w:space="0"/>
              <w:left w:val="single" w:color="auto" w:sz="4" w:space="0"/>
              <w:bottom w:val="single" w:color="auto" w:sz="4" w:space="0"/>
              <w:right w:val="single" w:color="auto" w:sz="4" w:space="0"/>
            </w:tcBorders>
            <w:vAlign w:val="center"/>
          </w:tcPr>
          <w:p w14:paraId="53476166">
            <w:pPr>
              <w:spacing w:line="360" w:lineRule="auto"/>
              <w:jc w:val="left"/>
              <w:rPr>
                <w:rFonts w:ascii="宋体" w:hAnsi="宋体" w:cs="宋体"/>
                <w:bCs/>
                <w:color w:val="auto"/>
                <w:sz w:val="24"/>
                <w:highlight w:val="none"/>
              </w:rPr>
            </w:pPr>
            <w:r>
              <w:rPr>
                <w:rFonts w:hint="eastAsia" w:ascii="宋体" w:hAnsi="宋体" w:cs="宋体"/>
                <w:bCs/>
                <w:color w:val="auto"/>
                <w:sz w:val="24"/>
                <w:highlight w:val="none"/>
              </w:rPr>
              <w:t>在进门处悬挂工程概况、现场出入制度、管理人员名单及监督电话、安全生产规定、文明施工、消防保卫、节能公示等七牌以及；施工现场总平面图、工程效果图。</w:t>
            </w:r>
          </w:p>
        </w:tc>
      </w:tr>
      <w:tr w14:paraId="534761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53476168">
            <w:pPr>
              <w:spacing w:line="360" w:lineRule="auto"/>
              <w:jc w:val="center"/>
              <w:rPr>
                <w:rFonts w:ascii="宋体" w:hAnsi="宋体" w:cs="宋体"/>
                <w:bCs/>
                <w:color w:val="auto"/>
                <w:sz w:val="24"/>
                <w:highlight w:val="none"/>
              </w:rPr>
            </w:pPr>
          </w:p>
        </w:tc>
        <w:tc>
          <w:tcPr>
            <w:tcW w:w="1785" w:type="dxa"/>
            <w:gridSpan w:val="2"/>
            <w:tcBorders>
              <w:top w:val="single" w:color="auto" w:sz="4" w:space="0"/>
              <w:left w:val="single" w:color="auto" w:sz="4" w:space="0"/>
              <w:bottom w:val="single" w:color="auto" w:sz="4" w:space="0"/>
              <w:right w:val="single" w:color="auto" w:sz="4" w:space="0"/>
            </w:tcBorders>
            <w:vAlign w:val="center"/>
          </w:tcPr>
          <w:p w14:paraId="53476169">
            <w:pPr>
              <w:spacing w:line="360" w:lineRule="auto"/>
              <w:jc w:val="center"/>
              <w:rPr>
                <w:rFonts w:ascii="宋体" w:hAnsi="宋体" w:cs="宋体"/>
                <w:bCs/>
                <w:color w:val="auto"/>
                <w:sz w:val="24"/>
                <w:highlight w:val="none"/>
              </w:rPr>
            </w:pPr>
            <w:r>
              <w:rPr>
                <w:rFonts w:hint="eastAsia" w:ascii="宋体" w:hAnsi="宋体" w:cs="宋体"/>
                <w:bCs/>
                <w:color w:val="auto"/>
                <w:sz w:val="24"/>
                <w:highlight w:val="none"/>
              </w:rPr>
              <w:t>企业标志</w:t>
            </w:r>
          </w:p>
        </w:tc>
        <w:tc>
          <w:tcPr>
            <w:tcW w:w="6930" w:type="dxa"/>
            <w:tcBorders>
              <w:top w:val="single" w:color="auto" w:sz="4" w:space="0"/>
              <w:left w:val="single" w:color="auto" w:sz="4" w:space="0"/>
              <w:bottom w:val="single" w:color="auto" w:sz="4" w:space="0"/>
              <w:right w:val="single" w:color="auto" w:sz="4" w:space="0"/>
            </w:tcBorders>
            <w:vAlign w:val="center"/>
          </w:tcPr>
          <w:p w14:paraId="5347616A">
            <w:pPr>
              <w:spacing w:line="360" w:lineRule="auto"/>
              <w:jc w:val="left"/>
              <w:rPr>
                <w:rFonts w:ascii="宋体" w:hAnsi="宋体" w:cs="宋体"/>
                <w:bCs/>
                <w:color w:val="auto"/>
                <w:sz w:val="24"/>
                <w:highlight w:val="none"/>
              </w:rPr>
            </w:pPr>
            <w:r>
              <w:rPr>
                <w:rFonts w:hint="eastAsia" w:ascii="宋体" w:hAnsi="宋体" w:cs="宋体"/>
                <w:bCs/>
                <w:color w:val="auto"/>
                <w:sz w:val="24"/>
                <w:highlight w:val="none"/>
              </w:rPr>
              <w:t>现场出入的大门应设有本企业标志或企业标识。</w:t>
            </w:r>
          </w:p>
        </w:tc>
      </w:tr>
      <w:tr w14:paraId="534761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5347616C">
            <w:pPr>
              <w:spacing w:line="360" w:lineRule="auto"/>
              <w:jc w:val="center"/>
              <w:rPr>
                <w:rFonts w:ascii="宋体" w:hAnsi="宋体" w:cs="宋体"/>
                <w:bCs/>
                <w:color w:val="auto"/>
                <w:sz w:val="24"/>
                <w:highlight w:val="none"/>
              </w:rPr>
            </w:pPr>
          </w:p>
        </w:tc>
        <w:tc>
          <w:tcPr>
            <w:tcW w:w="1785" w:type="dxa"/>
            <w:gridSpan w:val="2"/>
            <w:tcBorders>
              <w:top w:val="single" w:color="auto" w:sz="4" w:space="0"/>
              <w:left w:val="single" w:color="auto" w:sz="4" w:space="0"/>
              <w:bottom w:val="single" w:color="auto" w:sz="4" w:space="0"/>
              <w:right w:val="single" w:color="auto" w:sz="4" w:space="0"/>
            </w:tcBorders>
            <w:vAlign w:val="center"/>
          </w:tcPr>
          <w:p w14:paraId="5347616D">
            <w:pPr>
              <w:spacing w:line="360" w:lineRule="auto"/>
              <w:jc w:val="center"/>
              <w:rPr>
                <w:rFonts w:ascii="宋体" w:hAnsi="宋体" w:cs="宋体"/>
                <w:bCs/>
                <w:color w:val="auto"/>
                <w:sz w:val="24"/>
                <w:highlight w:val="none"/>
              </w:rPr>
            </w:pPr>
            <w:r>
              <w:rPr>
                <w:rFonts w:hint="eastAsia" w:ascii="宋体" w:hAnsi="宋体" w:cs="宋体"/>
                <w:bCs/>
                <w:color w:val="auto"/>
                <w:sz w:val="24"/>
                <w:highlight w:val="none"/>
              </w:rPr>
              <w:t>场容场貌</w:t>
            </w:r>
          </w:p>
        </w:tc>
        <w:tc>
          <w:tcPr>
            <w:tcW w:w="6930" w:type="dxa"/>
            <w:tcBorders>
              <w:top w:val="single" w:color="auto" w:sz="4" w:space="0"/>
              <w:left w:val="single" w:color="auto" w:sz="4" w:space="0"/>
              <w:bottom w:val="single" w:color="auto" w:sz="4" w:space="0"/>
              <w:right w:val="single" w:color="auto" w:sz="4" w:space="0"/>
            </w:tcBorders>
            <w:vAlign w:val="center"/>
          </w:tcPr>
          <w:p w14:paraId="5347616E">
            <w:pPr>
              <w:spacing w:line="360" w:lineRule="auto"/>
              <w:jc w:val="left"/>
              <w:rPr>
                <w:rFonts w:ascii="宋体" w:hAnsi="宋体" w:cs="宋体"/>
                <w:bCs/>
                <w:color w:val="auto"/>
                <w:sz w:val="24"/>
                <w:highlight w:val="none"/>
              </w:rPr>
            </w:pPr>
            <w:r>
              <w:rPr>
                <w:rFonts w:hint="eastAsia" w:ascii="宋体" w:hAnsi="宋体" w:cs="宋体"/>
                <w:bCs/>
                <w:color w:val="auto"/>
                <w:sz w:val="24"/>
                <w:highlight w:val="none"/>
              </w:rPr>
              <w:t>1.道路畅通；</w:t>
            </w:r>
          </w:p>
          <w:p w14:paraId="5347616F">
            <w:pPr>
              <w:spacing w:line="360" w:lineRule="auto"/>
              <w:jc w:val="left"/>
              <w:rPr>
                <w:rFonts w:ascii="宋体" w:hAnsi="宋体" w:cs="宋体"/>
                <w:bCs/>
                <w:color w:val="auto"/>
                <w:sz w:val="24"/>
                <w:highlight w:val="none"/>
              </w:rPr>
            </w:pPr>
            <w:r>
              <w:rPr>
                <w:rFonts w:hint="eastAsia" w:ascii="宋体" w:hAnsi="宋体" w:cs="宋体"/>
                <w:bCs/>
                <w:color w:val="auto"/>
                <w:sz w:val="24"/>
                <w:highlight w:val="none"/>
              </w:rPr>
              <w:t>2.排水沟、排水设施畅通；</w:t>
            </w:r>
          </w:p>
          <w:p w14:paraId="53476170">
            <w:pPr>
              <w:spacing w:line="360" w:lineRule="auto"/>
              <w:jc w:val="left"/>
              <w:rPr>
                <w:rFonts w:ascii="宋体" w:hAnsi="宋体" w:cs="宋体"/>
                <w:bCs/>
                <w:color w:val="auto"/>
                <w:sz w:val="24"/>
                <w:highlight w:val="none"/>
              </w:rPr>
            </w:pPr>
            <w:r>
              <w:rPr>
                <w:rFonts w:hint="eastAsia" w:ascii="宋体" w:hAnsi="宋体" w:cs="宋体"/>
                <w:bCs/>
                <w:color w:val="auto"/>
                <w:sz w:val="24"/>
                <w:highlight w:val="none"/>
              </w:rPr>
              <w:t>3.工地地面硬化处理（办公区，生活区，现场道路，材料堆放、混凝土搅拌、砂浆搅拌、钢筋加工等场地，外脚手架基础等）。</w:t>
            </w:r>
          </w:p>
        </w:tc>
      </w:tr>
      <w:tr w14:paraId="534761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53476172">
            <w:pPr>
              <w:spacing w:line="360" w:lineRule="auto"/>
              <w:jc w:val="center"/>
              <w:rPr>
                <w:rFonts w:ascii="宋体" w:hAnsi="宋体" w:cs="宋体"/>
                <w:bCs/>
                <w:color w:val="auto"/>
                <w:sz w:val="24"/>
                <w:highlight w:val="none"/>
              </w:rPr>
            </w:pPr>
          </w:p>
        </w:tc>
        <w:tc>
          <w:tcPr>
            <w:tcW w:w="1785" w:type="dxa"/>
            <w:gridSpan w:val="2"/>
            <w:tcBorders>
              <w:top w:val="single" w:color="auto" w:sz="4" w:space="0"/>
              <w:left w:val="single" w:color="auto" w:sz="4" w:space="0"/>
              <w:bottom w:val="single" w:color="auto" w:sz="4" w:space="0"/>
              <w:right w:val="single" w:color="auto" w:sz="4" w:space="0"/>
            </w:tcBorders>
            <w:vAlign w:val="center"/>
          </w:tcPr>
          <w:p w14:paraId="53476173">
            <w:pPr>
              <w:spacing w:line="360" w:lineRule="auto"/>
              <w:jc w:val="center"/>
              <w:rPr>
                <w:rFonts w:ascii="宋体" w:hAnsi="宋体" w:cs="宋体"/>
                <w:bCs/>
                <w:color w:val="auto"/>
                <w:sz w:val="24"/>
                <w:highlight w:val="none"/>
              </w:rPr>
            </w:pPr>
            <w:r>
              <w:rPr>
                <w:rFonts w:hint="eastAsia" w:ascii="宋体" w:hAnsi="宋体" w:cs="宋体"/>
                <w:bCs/>
                <w:color w:val="auto"/>
                <w:sz w:val="24"/>
                <w:highlight w:val="none"/>
              </w:rPr>
              <w:t>材料堆放</w:t>
            </w:r>
          </w:p>
        </w:tc>
        <w:tc>
          <w:tcPr>
            <w:tcW w:w="6930" w:type="dxa"/>
            <w:tcBorders>
              <w:top w:val="single" w:color="auto" w:sz="4" w:space="0"/>
              <w:left w:val="single" w:color="auto" w:sz="4" w:space="0"/>
              <w:bottom w:val="single" w:color="auto" w:sz="4" w:space="0"/>
              <w:right w:val="single" w:color="auto" w:sz="4" w:space="0"/>
            </w:tcBorders>
            <w:vAlign w:val="center"/>
          </w:tcPr>
          <w:p w14:paraId="53476174">
            <w:pPr>
              <w:spacing w:line="360" w:lineRule="auto"/>
              <w:jc w:val="left"/>
              <w:rPr>
                <w:rFonts w:ascii="宋体" w:hAnsi="宋体" w:cs="宋体"/>
                <w:bCs/>
                <w:color w:val="auto"/>
                <w:sz w:val="24"/>
                <w:highlight w:val="none"/>
              </w:rPr>
            </w:pPr>
            <w:r>
              <w:rPr>
                <w:rFonts w:hint="eastAsia" w:ascii="宋体" w:hAnsi="宋体" w:cs="宋体"/>
                <w:bCs/>
                <w:color w:val="auto"/>
                <w:sz w:val="24"/>
                <w:highlight w:val="none"/>
              </w:rPr>
              <w:t>（1）材料、构件、料具等堆放时，悬挂有名称、品种、规格等标牌；</w:t>
            </w:r>
          </w:p>
          <w:p w14:paraId="53476175">
            <w:pPr>
              <w:spacing w:line="360" w:lineRule="auto"/>
              <w:jc w:val="left"/>
              <w:rPr>
                <w:rFonts w:ascii="宋体" w:hAnsi="宋体" w:cs="宋体"/>
                <w:bCs/>
                <w:color w:val="auto"/>
                <w:sz w:val="24"/>
                <w:highlight w:val="none"/>
              </w:rPr>
            </w:pPr>
            <w:r>
              <w:rPr>
                <w:rFonts w:hint="eastAsia" w:ascii="宋体" w:hAnsi="宋体" w:cs="宋体"/>
                <w:bCs/>
                <w:color w:val="auto"/>
                <w:sz w:val="24"/>
                <w:highlight w:val="none"/>
              </w:rPr>
              <w:t>（2）水泥和其他易飞扬细颗粒建筑材料应封闭存放或采取覆盖等措施；</w:t>
            </w:r>
          </w:p>
          <w:p w14:paraId="53476176">
            <w:pPr>
              <w:spacing w:line="360" w:lineRule="auto"/>
              <w:jc w:val="left"/>
              <w:rPr>
                <w:rFonts w:ascii="宋体" w:hAnsi="宋体" w:cs="宋体"/>
                <w:bCs/>
                <w:color w:val="auto"/>
                <w:sz w:val="24"/>
                <w:highlight w:val="none"/>
              </w:rPr>
            </w:pPr>
            <w:r>
              <w:rPr>
                <w:rFonts w:hint="eastAsia" w:ascii="宋体" w:hAnsi="宋体" w:cs="宋体"/>
                <w:bCs/>
                <w:color w:val="auto"/>
                <w:sz w:val="24"/>
                <w:highlight w:val="none"/>
              </w:rPr>
              <w:t>（3）易燃、易爆和有毒有害物品分类存放。</w:t>
            </w:r>
          </w:p>
        </w:tc>
      </w:tr>
      <w:tr w14:paraId="534761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53476178">
            <w:pPr>
              <w:spacing w:line="360" w:lineRule="auto"/>
              <w:jc w:val="center"/>
              <w:rPr>
                <w:rFonts w:ascii="宋体" w:hAnsi="宋体" w:cs="宋体"/>
                <w:bCs/>
                <w:color w:val="auto"/>
                <w:sz w:val="24"/>
                <w:highlight w:val="none"/>
              </w:rPr>
            </w:pPr>
          </w:p>
        </w:tc>
        <w:tc>
          <w:tcPr>
            <w:tcW w:w="1785" w:type="dxa"/>
            <w:gridSpan w:val="2"/>
            <w:tcBorders>
              <w:top w:val="single" w:color="auto" w:sz="4" w:space="0"/>
              <w:left w:val="single" w:color="auto" w:sz="4" w:space="0"/>
              <w:bottom w:val="single" w:color="auto" w:sz="4" w:space="0"/>
              <w:right w:val="single" w:color="auto" w:sz="4" w:space="0"/>
            </w:tcBorders>
            <w:vAlign w:val="center"/>
          </w:tcPr>
          <w:p w14:paraId="53476179">
            <w:pPr>
              <w:spacing w:line="360" w:lineRule="auto"/>
              <w:jc w:val="center"/>
              <w:rPr>
                <w:rFonts w:ascii="宋体" w:hAnsi="宋体" w:cs="宋体"/>
                <w:bCs/>
                <w:color w:val="auto"/>
                <w:sz w:val="24"/>
                <w:highlight w:val="none"/>
              </w:rPr>
            </w:pPr>
            <w:r>
              <w:rPr>
                <w:rFonts w:hint="eastAsia" w:ascii="宋体" w:hAnsi="宋体" w:cs="宋体"/>
                <w:bCs/>
                <w:color w:val="auto"/>
                <w:sz w:val="24"/>
                <w:highlight w:val="none"/>
              </w:rPr>
              <w:t>现场防火</w:t>
            </w:r>
          </w:p>
        </w:tc>
        <w:tc>
          <w:tcPr>
            <w:tcW w:w="6930" w:type="dxa"/>
            <w:tcBorders>
              <w:top w:val="single" w:color="auto" w:sz="4" w:space="0"/>
              <w:left w:val="single" w:color="auto" w:sz="4" w:space="0"/>
              <w:bottom w:val="single" w:color="auto" w:sz="4" w:space="0"/>
              <w:right w:val="single" w:color="auto" w:sz="4" w:space="0"/>
            </w:tcBorders>
            <w:vAlign w:val="center"/>
          </w:tcPr>
          <w:p w14:paraId="5347617A">
            <w:pPr>
              <w:spacing w:line="360" w:lineRule="auto"/>
              <w:jc w:val="left"/>
              <w:rPr>
                <w:rFonts w:ascii="宋体" w:hAnsi="宋体" w:cs="宋体"/>
                <w:bCs/>
                <w:color w:val="auto"/>
                <w:sz w:val="24"/>
                <w:highlight w:val="none"/>
              </w:rPr>
            </w:pPr>
            <w:r>
              <w:rPr>
                <w:rFonts w:hint="eastAsia" w:ascii="宋体" w:hAnsi="宋体" w:cs="宋体"/>
                <w:bCs/>
                <w:color w:val="auto"/>
                <w:sz w:val="24"/>
                <w:highlight w:val="none"/>
              </w:rPr>
              <w:t>消防器材配置合理，符合消防要求。</w:t>
            </w:r>
          </w:p>
        </w:tc>
      </w:tr>
      <w:tr w14:paraId="534761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5347617C">
            <w:pPr>
              <w:spacing w:line="360" w:lineRule="auto"/>
              <w:jc w:val="center"/>
              <w:rPr>
                <w:rFonts w:ascii="宋体" w:hAnsi="宋体" w:cs="宋体"/>
                <w:bCs/>
                <w:color w:val="auto"/>
                <w:sz w:val="24"/>
                <w:highlight w:val="none"/>
              </w:rPr>
            </w:pPr>
          </w:p>
        </w:tc>
        <w:tc>
          <w:tcPr>
            <w:tcW w:w="1785" w:type="dxa"/>
            <w:gridSpan w:val="2"/>
            <w:tcBorders>
              <w:top w:val="single" w:color="auto" w:sz="4" w:space="0"/>
              <w:left w:val="single" w:color="auto" w:sz="4" w:space="0"/>
              <w:bottom w:val="single" w:color="auto" w:sz="4" w:space="0"/>
              <w:right w:val="single" w:color="auto" w:sz="4" w:space="0"/>
            </w:tcBorders>
            <w:vAlign w:val="center"/>
          </w:tcPr>
          <w:p w14:paraId="5347617D">
            <w:pPr>
              <w:spacing w:line="360" w:lineRule="auto"/>
              <w:jc w:val="center"/>
              <w:rPr>
                <w:rFonts w:ascii="宋体" w:hAnsi="宋体" w:cs="宋体"/>
                <w:bCs/>
                <w:color w:val="auto"/>
                <w:sz w:val="24"/>
                <w:highlight w:val="none"/>
              </w:rPr>
            </w:pPr>
            <w:r>
              <w:rPr>
                <w:rFonts w:hint="eastAsia" w:ascii="宋体" w:hAnsi="宋体" w:cs="宋体"/>
                <w:bCs/>
                <w:color w:val="auto"/>
                <w:sz w:val="24"/>
                <w:highlight w:val="none"/>
              </w:rPr>
              <w:t>垃圾清运</w:t>
            </w:r>
          </w:p>
        </w:tc>
        <w:tc>
          <w:tcPr>
            <w:tcW w:w="6930" w:type="dxa"/>
            <w:tcBorders>
              <w:top w:val="single" w:color="auto" w:sz="4" w:space="0"/>
              <w:left w:val="single" w:color="auto" w:sz="4" w:space="0"/>
              <w:bottom w:val="single" w:color="auto" w:sz="4" w:space="0"/>
              <w:right w:val="single" w:color="auto" w:sz="4" w:space="0"/>
            </w:tcBorders>
            <w:vAlign w:val="center"/>
          </w:tcPr>
          <w:p w14:paraId="5347617E">
            <w:pPr>
              <w:spacing w:line="360" w:lineRule="auto"/>
              <w:jc w:val="left"/>
              <w:rPr>
                <w:rFonts w:ascii="宋体" w:hAnsi="宋体" w:cs="宋体"/>
                <w:bCs/>
                <w:color w:val="auto"/>
                <w:sz w:val="24"/>
                <w:highlight w:val="none"/>
              </w:rPr>
            </w:pPr>
            <w:r>
              <w:rPr>
                <w:rFonts w:hint="eastAsia" w:ascii="宋体" w:hAnsi="宋体" w:cs="宋体"/>
                <w:bCs/>
                <w:color w:val="auto"/>
                <w:sz w:val="24"/>
                <w:highlight w:val="none"/>
              </w:rPr>
              <w:t>1.施工现场应设置密闭式垃圾站，施工垃圾、生活垃圾应分类存放。</w:t>
            </w:r>
          </w:p>
          <w:p w14:paraId="5347617F">
            <w:pPr>
              <w:spacing w:line="360" w:lineRule="auto"/>
              <w:jc w:val="left"/>
              <w:rPr>
                <w:rFonts w:ascii="宋体" w:hAnsi="宋体" w:cs="宋体"/>
                <w:bCs/>
                <w:color w:val="auto"/>
                <w:sz w:val="24"/>
                <w:highlight w:val="none"/>
              </w:rPr>
            </w:pPr>
            <w:r>
              <w:rPr>
                <w:rFonts w:hint="eastAsia" w:ascii="宋体" w:hAnsi="宋体" w:cs="宋体"/>
                <w:bCs/>
                <w:color w:val="auto"/>
                <w:sz w:val="24"/>
                <w:highlight w:val="none"/>
              </w:rPr>
              <w:t>2.施工垃圾必须采用相应容器或管道运输。</w:t>
            </w:r>
          </w:p>
        </w:tc>
      </w:tr>
      <w:tr w14:paraId="534761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53476181">
            <w:pPr>
              <w:spacing w:line="360" w:lineRule="auto"/>
              <w:jc w:val="center"/>
              <w:rPr>
                <w:rFonts w:ascii="宋体" w:hAnsi="宋体" w:cs="宋体"/>
                <w:bCs/>
                <w:color w:val="auto"/>
                <w:sz w:val="24"/>
                <w:highlight w:val="none"/>
              </w:rPr>
            </w:pPr>
          </w:p>
        </w:tc>
        <w:tc>
          <w:tcPr>
            <w:tcW w:w="1785" w:type="dxa"/>
            <w:gridSpan w:val="2"/>
            <w:tcBorders>
              <w:top w:val="single" w:color="auto" w:sz="4" w:space="0"/>
              <w:left w:val="single" w:color="auto" w:sz="4" w:space="0"/>
              <w:bottom w:val="single" w:color="auto" w:sz="4" w:space="0"/>
              <w:right w:val="single" w:color="auto" w:sz="4" w:space="0"/>
            </w:tcBorders>
            <w:vAlign w:val="center"/>
          </w:tcPr>
          <w:p w14:paraId="53476182">
            <w:pPr>
              <w:spacing w:line="360" w:lineRule="auto"/>
              <w:jc w:val="center"/>
              <w:rPr>
                <w:rFonts w:ascii="宋体" w:hAnsi="宋体" w:cs="宋体"/>
                <w:bCs/>
                <w:color w:val="auto"/>
                <w:sz w:val="24"/>
                <w:highlight w:val="none"/>
              </w:rPr>
            </w:pPr>
            <w:r>
              <w:rPr>
                <w:rFonts w:hint="eastAsia" w:ascii="宋体" w:hAnsi="宋体" w:cs="宋体"/>
                <w:bCs/>
                <w:color w:val="auto"/>
                <w:sz w:val="24"/>
                <w:highlight w:val="none"/>
              </w:rPr>
              <w:t>宣传栏、环保及不扰民措施</w:t>
            </w:r>
          </w:p>
        </w:tc>
        <w:tc>
          <w:tcPr>
            <w:tcW w:w="6930" w:type="dxa"/>
            <w:tcBorders>
              <w:top w:val="single" w:color="auto" w:sz="4" w:space="0"/>
              <w:left w:val="single" w:color="auto" w:sz="4" w:space="0"/>
              <w:bottom w:val="single" w:color="auto" w:sz="4" w:space="0"/>
              <w:right w:val="single" w:color="auto" w:sz="4" w:space="0"/>
            </w:tcBorders>
            <w:vAlign w:val="center"/>
          </w:tcPr>
          <w:p w14:paraId="53476183">
            <w:pPr>
              <w:spacing w:line="360" w:lineRule="auto"/>
              <w:jc w:val="left"/>
              <w:rPr>
                <w:rFonts w:ascii="宋体" w:hAnsi="宋体" w:cs="宋体"/>
                <w:bCs/>
                <w:color w:val="auto"/>
                <w:sz w:val="24"/>
                <w:highlight w:val="none"/>
              </w:rPr>
            </w:pPr>
            <w:r>
              <w:rPr>
                <w:rFonts w:hint="eastAsia" w:ascii="宋体" w:hAnsi="宋体" w:cs="宋体"/>
                <w:bCs/>
                <w:color w:val="auto"/>
                <w:sz w:val="24"/>
                <w:highlight w:val="none"/>
              </w:rPr>
              <w:t>宣传栏、安全宣传标语等，洗车（防止污染市区道路）、粉尘、噪声控制，排污（污水、废气）措施等。</w:t>
            </w:r>
          </w:p>
        </w:tc>
      </w:tr>
      <w:tr w14:paraId="534761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restart"/>
            <w:tcBorders>
              <w:top w:val="single" w:color="auto" w:sz="4" w:space="0"/>
              <w:left w:val="single" w:color="auto" w:sz="4" w:space="0"/>
              <w:bottom w:val="single" w:color="auto" w:sz="4" w:space="0"/>
              <w:right w:val="single" w:color="auto" w:sz="4" w:space="0"/>
            </w:tcBorders>
            <w:vAlign w:val="center"/>
          </w:tcPr>
          <w:p w14:paraId="53476185">
            <w:pPr>
              <w:spacing w:line="360" w:lineRule="auto"/>
              <w:jc w:val="center"/>
              <w:rPr>
                <w:rFonts w:ascii="宋体" w:hAnsi="宋体" w:cs="宋体"/>
                <w:bCs/>
                <w:color w:val="auto"/>
                <w:sz w:val="24"/>
                <w:highlight w:val="none"/>
              </w:rPr>
            </w:pPr>
            <w:r>
              <w:rPr>
                <w:rFonts w:hint="eastAsia" w:ascii="宋体" w:hAnsi="宋体" w:cs="宋体"/>
                <w:bCs/>
                <w:color w:val="auto"/>
                <w:sz w:val="24"/>
                <w:highlight w:val="none"/>
              </w:rPr>
              <w:t>临时设施</w:t>
            </w:r>
          </w:p>
        </w:tc>
        <w:tc>
          <w:tcPr>
            <w:tcW w:w="1785" w:type="dxa"/>
            <w:gridSpan w:val="2"/>
            <w:tcBorders>
              <w:top w:val="single" w:color="auto" w:sz="4" w:space="0"/>
              <w:left w:val="single" w:color="auto" w:sz="4" w:space="0"/>
              <w:bottom w:val="single" w:color="auto" w:sz="4" w:space="0"/>
              <w:right w:val="single" w:color="auto" w:sz="4" w:space="0"/>
            </w:tcBorders>
            <w:vAlign w:val="center"/>
          </w:tcPr>
          <w:p w14:paraId="53476186">
            <w:pPr>
              <w:spacing w:line="360" w:lineRule="auto"/>
              <w:jc w:val="center"/>
              <w:rPr>
                <w:rFonts w:ascii="宋体" w:hAnsi="宋体" w:cs="宋体"/>
                <w:bCs/>
                <w:color w:val="auto"/>
                <w:sz w:val="24"/>
                <w:highlight w:val="none"/>
              </w:rPr>
            </w:pPr>
            <w:r>
              <w:rPr>
                <w:rFonts w:hint="eastAsia" w:ascii="宋体" w:hAnsi="宋体" w:cs="宋体"/>
                <w:bCs/>
                <w:color w:val="auto"/>
                <w:sz w:val="24"/>
                <w:highlight w:val="none"/>
              </w:rPr>
              <w:t>现场办公</w:t>
            </w:r>
          </w:p>
          <w:p w14:paraId="53476187">
            <w:pPr>
              <w:spacing w:line="360" w:lineRule="auto"/>
              <w:jc w:val="center"/>
              <w:rPr>
                <w:rFonts w:ascii="宋体" w:hAnsi="宋体" w:cs="宋体"/>
                <w:bCs/>
                <w:color w:val="auto"/>
                <w:sz w:val="24"/>
                <w:highlight w:val="none"/>
              </w:rPr>
            </w:pPr>
            <w:r>
              <w:rPr>
                <w:rFonts w:hint="eastAsia" w:ascii="宋体" w:hAnsi="宋体" w:cs="宋体"/>
                <w:bCs/>
                <w:color w:val="auto"/>
                <w:sz w:val="24"/>
                <w:highlight w:val="none"/>
              </w:rPr>
              <w:t>生活设施</w:t>
            </w:r>
          </w:p>
        </w:tc>
        <w:tc>
          <w:tcPr>
            <w:tcW w:w="6930" w:type="dxa"/>
            <w:tcBorders>
              <w:top w:val="single" w:color="auto" w:sz="4" w:space="0"/>
              <w:left w:val="single" w:color="auto" w:sz="4" w:space="0"/>
              <w:bottom w:val="single" w:color="auto" w:sz="4" w:space="0"/>
              <w:right w:val="single" w:color="auto" w:sz="4" w:space="0"/>
            </w:tcBorders>
            <w:vAlign w:val="center"/>
          </w:tcPr>
          <w:p w14:paraId="53476188">
            <w:pPr>
              <w:spacing w:line="360" w:lineRule="auto"/>
              <w:jc w:val="left"/>
              <w:rPr>
                <w:rFonts w:ascii="宋体" w:hAnsi="宋体" w:cs="宋体"/>
                <w:bCs/>
                <w:color w:val="auto"/>
                <w:sz w:val="24"/>
                <w:highlight w:val="none"/>
              </w:rPr>
            </w:pPr>
            <w:r>
              <w:rPr>
                <w:rFonts w:hint="eastAsia" w:ascii="宋体" w:hAnsi="宋体" w:cs="宋体"/>
                <w:bCs/>
                <w:color w:val="auto"/>
                <w:sz w:val="24"/>
                <w:highlight w:val="none"/>
              </w:rPr>
              <w:t>1.施工现场办公、生活区与作业区分开设置，保持安全距离。</w:t>
            </w:r>
          </w:p>
          <w:p w14:paraId="53476189">
            <w:pPr>
              <w:spacing w:line="360" w:lineRule="auto"/>
              <w:jc w:val="left"/>
              <w:rPr>
                <w:rFonts w:ascii="宋体" w:hAnsi="宋体" w:cs="宋体"/>
                <w:bCs/>
                <w:color w:val="auto"/>
                <w:sz w:val="24"/>
                <w:highlight w:val="none"/>
              </w:rPr>
            </w:pPr>
            <w:r>
              <w:rPr>
                <w:rFonts w:hint="eastAsia" w:ascii="宋体" w:hAnsi="宋体" w:cs="宋体"/>
                <w:bCs/>
                <w:color w:val="auto"/>
                <w:sz w:val="24"/>
                <w:highlight w:val="none"/>
              </w:rPr>
              <w:t>2.工地办公室、现场宿舍、食堂、厕所、饮水、沐浴、休息场所等符合卫生、消防安全要求；</w:t>
            </w:r>
          </w:p>
        </w:tc>
      </w:tr>
      <w:tr w14:paraId="534761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5347618B">
            <w:pPr>
              <w:spacing w:line="360" w:lineRule="auto"/>
              <w:jc w:val="center"/>
              <w:rPr>
                <w:rFonts w:ascii="宋体" w:hAnsi="宋体" w:cs="宋体"/>
                <w:bCs/>
                <w:color w:val="auto"/>
                <w:sz w:val="24"/>
                <w:highlight w:val="none"/>
              </w:rPr>
            </w:pPr>
          </w:p>
        </w:tc>
        <w:tc>
          <w:tcPr>
            <w:tcW w:w="525" w:type="dxa"/>
            <w:vMerge w:val="restart"/>
            <w:tcBorders>
              <w:top w:val="single" w:color="auto" w:sz="4" w:space="0"/>
              <w:left w:val="single" w:color="auto" w:sz="4" w:space="0"/>
              <w:bottom w:val="single" w:color="auto" w:sz="4" w:space="0"/>
              <w:right w:val="single" w:color="auto" w:sz="4" w:space="0"/>
            </w:tcBorders>
            <w:vAlign w:val="center"/>
          </w:tcPr>
          <w:p w14:paraId="5347618C">
            <w:pPr>
              <w:spacing w:line="360" w:lineRule="auto"/>
              <w:jc w:val="center"/>
              <w:rPr>
                <w:rFonts w:ascii="宋体" w:hAnsi="宋体" w:cs="宋体"/>
                <w:bCs/>
                <w:color w:val="auto"/>
                <w:sz w:val="24"/>
                <w:highlight w:val="none"/>
              </w:rPr>
            </w:pPr>
            <w:r>
              <w:rPr>
                <w:rFonts w:hint="eastAsia" w:ascii="宋体" w:hAnsi="宋体" w:cs="宋体"/>
                <w:bCs/>
                <w:color w:val="auto"/>
                <w:sz w:val="24"/>
                <w:highlight w:val="none"/>
              </w:rPr>
              <w:t>施工现场</w:t>
            </w:r>
          </w:p>
          <w:p w14:paraId="5347618D">
            <w:pPr>
              <w:spacing w:line="360" w:lineRule="auto"/>
              <w:jc w:val="center"/>
              <w:rPr>
                <w:rFonts w:ascii="宋体" w:hAnsi="宋体" w:cs="宋体"/>
                <w:bCs/>
                <w:color w:val="auto"/>
                <w:sz w:val="24"/>
                <w:highlight w:val="none"/>
              </w:rPr>
            </w:pPr>
            <w:r>
              <w:rPr>
                <w:rFonts w:hint="eastAsia" w:ascii="宋体" w:hAnsi="宋体" w:cs="宋体"/>
                <w:bCs/>
                <w:color w:val="auto"/>
                <w:sz w:val="24"/>
                <w:highlight w:val="none"/>
              </w:rPr>
              <w:t>临时用电</w:t>
            </w:r>
          </w:p>
        </w:tc>
        <w:tc>
          <w:tcPr>
            <w:tcW w:w="1260" w:type="dxa"/>
            <w:tcBorders>
              <w:top w:val="single" w:color="auto" w:sz="4" w:space="0"/>
              <w:left w:val="single" w:color="auto" w:sz="4" w:space="0"/>
              <w:bottom w:val="single" w:color="auto" w:sz="4" w:space="0"/>
              <w:right w:val="single" w:color="auto" w:sz="4" w:space="0"/>
            </w:tcBorders>
            <w:vAlign w:val="center"/>
          </w:tcPr>
          <w:p w14:paraId="5347618E">
            <w:pPr>
              <w:spacing w:line="360" w:lineRule="auto"/>
              <w:jc w:val="center"/>
              <w:rPr>
                <w:rFonts w:ascii="宋体" w:hAnsi="宋体" w:cs="宋体"/>
                <w:bCs/>
                <w:color w:val="auto"/>
                <w:sz w:val="24"/>
                <w:highlight w:val="none"/>
              </w:rPr>
            </w:pPr>
            <w:r>
              <w:rPr>
                <w:rFonts w:hint="eastAsia" w:ascii="宋体" w:hAnsi="宋体" w:cs="宋体"/>
                <w:bCs/>
                <w:color w:val="auto"/>
                <w:sz w:val="24"/>
                <w:highlight w:val="none"/>
              </w:rPr>
              <w:t>配电线路</w:t>
            </w:r>
          </w:p>
        </w:tc>
        <w:tc>
          <w:tcPr>
            <w:tcW w:w="6930" w:type="dxa"/>
            <w:tcBorders>
              <w:top w:val="single" w:color="auto" w:sz="4" w:space="0"/>
              <w:left w:val="single" w:color="auto" w:sz="4" w:space="0"/>
              <w:bottom w:val="single" w:color="auto" w:sz="4" w:space="0"/>
              <w:right w:val="single" w:color="auto" w:sz="4" w:space="0"/>
            </w:tcBorders>
            <w:vAlign w:val="center"/>
          </w:tcPr>
          <w:p w14:paraId="5347618F">
            <w:pPr>
              <w:spacing w:line="360" w:lineRule="auto"/>
              <w:jc w:val="left"/>
              <w:rPr>
                <w:rFonts w:ascii="宋体" w:hAnsi="宋体" w:cs="宋体"/>
                <w:bCs/>
                <w:color w:val="auto"/>
                <w:sz w:val="24"/>
                <w:highlight w:val="none"/>
              </w:rPr>
            </w:pPr>
            <w:r>
              <w:rPr>
                <w:rFonts w:hint="eastAsia" w:ascii="宋体" w:hAnsi="宋体" w:cs="宋体"/>
                <w:bCs/>
                <w:color w:val="auto"/>
                <w:sz w:val="24"/>
                <w:highlight w:val="none"/>
              </w:rPr>
              <w:t>1.按照TN-S系统要求配备五芯电缆、四芯电缆和三芯电缆。</w:t>
            </w:r>
          </w:p>
          <w:p w14:paraId="53476190">
            <w:pPr>
              <w:spacing w:line="360" w:lineRule="auto"/>
              <w:jc w:val="left"/>
              <w:rPr>
                <w:rFonts w:ascii="宋体" w:hAnsi="宋体" w:cs="宋体"/>
                <w:bCs/>
                <w:color w:val="auto"/>
                <w:sz w:val="24"/>
                <w:highlight w:val="none"/>
              </w:rPr>
            </w:pPr>
            <w:r>
              <w:rPr>
                <w:rFonts w:hint="eastAsia" w:ascii="宋体" w:hAnsi="宋体" w:cs="宋体"/>
                <w:bCs/>
                <w:color w:val="auto"/>
                <w:sz w:val="24"/>
                <w:highlight w:val="none"/>
              </w:rPr>
              <w:t>2.按要求架设临时用电线路的电杆、横担、瓷夹、瓷瓶等，或电缆埋地的地沟。</w:t>
            </w:r>
          </w:p>
          <w:p w14:paraId="53476191">
            <w:pPr>
              <w:spacing w:line="360" w:lineRule="auto"/>
              <w:jc w:val="left"/>
              <w:rPr>
                <w:rFonts w:ascii="宋体" w:hAnsi="宋体" w:cs="宋体"/>
                <w:bCs/>
                <w:color w:val="auto"/>
                <w:sz w:val="24"/>
                <w:highlight w:val="none"/>
              </w:rPr>
            </w:pPr>
            <w:r>
              <w:rPr>
                <w:rFonts w:hint="eastAsia" w:ascii="宋体" w:hAnsi="宋体" w:cs="宋体"/>
                <w:bCs/>
                <w:color w:val="auto"/>
                <w:sz w:val="24"/>
                <w:highlight w:val="none"/>
              </w:rPr>
              <w:t>3.对靠近施工现场的外电线路，设置木质、塑料等绝缘体的防护设施。</w:t>
            </w:r>
          </w:p>
        </w:tc>
      </w:tr>
      <w:tr w14:paraId="534761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53476193">
            <w:pPr>
              <w:spacing w:line="360" w:lineRule="auto"/>
              <w:jc w:val="center"/>
              <w:rPr>
                <w:rFonts w:ascii="宋体" w:hAnsi="宋体" w:cs="宋体"/>
                <w:bCs/>
                <w:color w:val="auto"/>
                <w:sz w:val="24"/>
                <w:highlight w:val="none"/>
              </w:rPr>
            </w:pPr>
          </w:p>
        </w:tc>
        <w:tc>
          <w:tcPr>
            <w:tcW w:w="525" w:type="dxa"/>
            <w:vMerge w:val="continue"/>
            <w:tcBorders>
              <w:top w:val="single" w:color="auto" w:sz="4" w:space="0"/>
              <w:left w:val="single" w:color="auto" w:sz="4" w:space="0"/>
              <w:bottom w:val="single" w:color="auto" w:sz="4" w:space="0"/>
              <w:right w:val="single" w:color="auto" w:sz="4" w:space="0"/>
            </w:tcBorders>
            <w:vAlign w:val="center"/>
          </w:tcPr>
          <w:p w14:paraId="53476194">
            <w:pPr>
              <w:spacing w:line="360" w:lineRule="auto"/>
              <w:jc w:val="center"/>
              <w:rPr>
                <w:rFonts w:ascii="宋体" w:hAnsi="宋体" w:cs="宋体"/>
                <w:bCs/>
                <w:color w:val="auto"/>
                <w:sz w:val="24"/>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53476195">
            <w:pPr>
              <w:spacing w:line="360" w:lineRule="auto"/>
              <w:jc w:val="center"/>
              <w:rPr>
                <w:rFonts w:ascii="宋体" w:hAnsi="宋体" w:cs="宋体"/>
                <w:bCs/>
                <w:color w:val="auto"/>
                <w:sz w:val="24"/>
                <w:highlight w:val="none"/>
              </w:rPr>
            </w:pPr>
            <w:r>
              <w:rPr>
                <w:rFonts w:hint="eastAsia" w:ascii="宋体" w:hAnsi="宋体" w:cs="宋体"/>
                <w:bCs/>
                <w:color w:val="auto"/>
                <w:sz w:val="24"/>
                <w:highlight w:val="none"/>
              </w:rPr>
              <w:t>配电箱</w:t>
            </w:r>
          </w:p>
          <w:p w14:paraId="53476196">
            <w:pPr>
              <w:spacing w:line="360" w:lineRule="auto"/>
              <w:jc w:val="center"/>
              <w:rPr>
                <w:rFonts w:ascii="宋体" w:hAnsi="宋体" w:cs="宋体"/>
                <w:bCs/>
                <w:color w:val="auto"/>
                <w:sz w:val="24"/>
                <w:highlight w:val="none"/>
              </w:rPr>
            </w:pPr>
            <w:r>
              <w:rPr>
                <w:rFonts w:hint="eastAsia" w:ascii="宋体" w:hAnsi="宋体" w:cs="宋体"/>
                <w:bCs/>
                <w:color w:val="auto"/>
                <w:sz w:val="24"/>
                <w:highlight w:val="none"/>
              </w:rPr>
              <w:t>开关箱</w:t>
            </w:r>
          </w:p>
        </w:tc>
        <w:tc>
          <w:tcPr>
            <w:tcW w:w="6930" w:type="dxa"/>
            <w:tcBorders>
              <w:top w:val="single" w:color="auto" w:sz="4" w:space="0"/>
              <w:left w:val="single" w:color="auto" w:sz="4" w:space="0"/>
              <w:bottom w:val="single" w:color="auto" w:sz="4" w:space="0"/>
              <w:right w:val="single" w:color="auto" w:sz="4" w:space="0"/>
            </w:tcBorders>
            <w:vAlign w:val="center"/>
          </w:tcPr>
          <w:p w14:paraId="53476197">
            <w:pPr>
              <w:spacing w:line="360" w:lineRule="auto"/>
              <w:jc w:val="left"/>
              <w:rPr>
                <w:rFonts w:ascii="宋体" w:hAnsi="宋体" w:cs="宋体"/>
                <w:bCs/>
                <w:color w:val="auto"/>
                <w:sz w:val="24"/>
                <w:highlight w:val="none"/>
              </w:rPr>
            </w:pPr>
            <w:r>
              <w:rPr>
                <w:rFonts w:hint="eastAsia" w:ascii="宋体" w:hAnsi="宋体" w:cs="宋体"/>
                <w:bCs/>
                <w:color w:val="auto"/>
                <w:sz w:val="24"/>
                <w:highlight w:val="none"/>
              </w:rPr>
              <w:t>1.按三级配电要求，配备总配电箱、分配电箱、开关箱三类（铁质）标准电箱。开关箱应符合一机、一箱、一闸、一漏。三类电箱中的各类电器应是合格品。</w:t>
            </w:r>
          </w:p>
          <w:p w14:paraId="53476198">
            <w:pPr>
              <w:spacing w:line="360" w:lineRule="auto"/>
              <w:jc w:val="left"/>
              <w:rPr>
                <w:rFonts w:ascii="宋体" w:hAnsi="宋体" w:cs="宋体"/>
                <w:bCs/>
                <w:color w:val="auto"/>
                <w:sz w:val="24"/>
                <w:highlight w:val="none"/>
              </w:rPr>
            </w:pPr>
            <w:r>
              <w:rPr>
                <w:rFonts w:hint="eastAsia" w:ascii="宋体" w:hAnsi="宋体" w:cs="宋体"/>
                <w:bCs/>
                <w:color w:val="auto"/>
                <w:sz w:val="24"/>
                <w:highlight w:val="none"/>
              </w:rPr>
              <w:t>2.按两级保护的要求，选取符合容量要求和质量合格的总配电箱和开关箱中的漏电保护器。</w:t>
            </w:r>
          </w:p>
          <w:p w14:paraId="53476199">
            <w:pPr>
              <w:spacing w:line="360" w:lineRule="auto"/>
              <w:jc w:val="left"/>
              <w:rPr>
                <w:rFonts w:ascii="宋体" w:hAnsi="宋体" w:cs="宋体"/>
                <w:bCs/>
                <w:color w:val="auto"/>
                <w:sz w:val="24"/>
                <w:highlight w:val="none"/>
              </w:rPr>
            </w:pPr>
            <w:r>
              <w:rPr>
                <w:rFonts w:hint="eastAsia" w:ascii="宋体" w:hAnsi="宋体" w:cs="宋体"/>
                <w:bCs/>
                <w:color w:val="auto"/>
                <w:sz w:val="24"/>
                <w:highlight w:val="none"/>
              </w:rPr>
              <w:t>3.对大型、落地式分配电箱、开关箱设置防护棚和通透式围挡。</w:t>
            </w:r>
          </w:p>
        </w:tc>
      </w:tr>
      <w:tr w14:paraId="534761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5347619B">
            <w:pPr>
              <w:spacing w:line="360" w:lineRule="auto"/>
              <w:jc w:val="center"/>
              <w:rPr>
                <w:rFonts w:ascii="宋体" w:hAnsi="宋体" w:cs="宋体"/>
                <w:bCs/>
                <w:color w:val="auto"/>
                <w:sz w:val="24"/>
                <w:highlight w:val="none"/>
              </w:rPr>
            </w:pPr>
          </w:p>
        </w:tc>
        <w:tc>
          <w:tcPr>
            <w:tcW w:w="525" w:type="dxa"/>
            <w:vMerge w:val="continue"/>
            <w:tcBorders>
              <w:top w:val="single" w:color="auto" w:sz="4" w:space="0"/>
              <w:left w:val="single" w:color="auto" w:sz="4" w:space="0"/>
              <w:bottom w:val="single" w:color="auto" w:sz="4" w:space="0"/>
              <w:right w:val="single" w:color="auto" w:sz="4" w:space="0"/>
            </w:tcBorders>
            <w:vAlign w:val="center"/>
          </w:tcPr>
          <w:p w14:paraId="5347619C">
            <w:pPr>
              <w:spacing w:line="360" w:lineRule="auto"/>
              <w:jc w:val="center"/>
              <w:rPr>
                <w:rFonts w:ascii="宋体" w:hAnsi="宋体" w:cs="宋体"/>
                <w:bCs/>
                <w:color w:val="auto"/>
                <w:sz w:val="24"/>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5347619D">
            <w:pPr>
              <w:spacing w:line="360" w:lineRule="auto"/>
              <w:jc w:val="center"/>
              <w:rPr>
                <w:rFonts w:ascii="宋体" w:hAnsi="宋体" w:cs="宋体"/>
                <w:bCs/>
                <w:color w:val="auto"/>
                <w:sz w:val="24"/>
                <w:highlight w:val="none"/>
              </w:rPr>
            </w:pPr>
            <w:r>
              <w:rPr>
                <w:rFonts w:hint="eastAsia" w:ascii="宋体" w:hAnsi="宋体" w:cs="宋体"/>
                <w:bCs/>
                <w:color w:val="auto"/>
                <w:sz w:val="24"/>
                <w:highlight w:val="none"/>
              </w:rPr>
              <w:t>接地装置</w:t>
            </w:r>
          </w:p>
        </w:tc>
        <w:tc>
          <w:tcPr>
            <w:tcW w:w="6930" w:type="dxa"/>
            <w:tcBorders>
              <w:top w:val="single" w:color="auto" w:sz="4" w:space="0"/>
              <w:left w:val="single" w:color="auto" w:sz="4" w:space="0"/>
              <w:bottom w:val="single" w:color="auto" w:sz="4" w:space="0"/>
              <w:right w:val="single" w:color="auto" w:sz="4" w:space="0"/>
            </w:tcBorders>
            <w:vAlign w:val="center"/>
          </w:tcPr>
          <w:p w14:paraId="5347619E">
            <w:pPr>
              <w:spacing w:line="360" w:lineRule="auto"/>
              <w:jc w:val="left"/>
              <w:rPr>
                <w:rFonts w:ascii="宋体" w:hAnsi="宋体" w:cs="宋体"/>
                <w:bCs/>
                <w:color w:val="auto"/>
                <w:sz w:val="24"/>
                <w:highlight w:val="none"/>
              </w:rPr>
            </w:pPr>
            <w:r>
              <w:rPr>
                <w:rFonts w:hint="eastAsia" w:ascii="宋体" w:hAnsi="宋体" w:cs="宋体"/>
                <w:bCs/>
                <w:color w:val="auto"/>
                <w:sz w:val="24"/>
                <w:highlight w:val="none"/>
              </w:rPr>
              <w:t>施工现场应设置不少于三处的接地保护装置。</w:t>
            </w:r>
          </w:p>
        </w:tc>
      </w:tr>
      <w:tr w14:paraId="534761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81" w:hRule="atLeast"/>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534761A0">
            <w:pPr>
              <w:spacing w:line="360" w:lineRule="auto"/>
              <w:jc w:val="center"/>
              <w:rPr>
                <w:rFonts w:ascii="宋体" w:hAnsi="宋体" w:cs="宋体"/>
                <w:bCs/>
                <w:color w:val="auto"/>
                <w:sz w:val="24"/>
                <w:highlight w:val="none"/>
              </w:rPr>
            </w:pPr>
          </w:p>
        </w:tc>
        <w:tc>
          <w:tcPr>
            <w:tcW w:w="525" w:type="dxa"/>
            <w:vMerge w:val="continue"/>
            <w:tcBorders>
              <w:top w:val="single" w:color="auto" w:sz="4" w:space="0"/>
              <w:left w:val="single" w:color="auto" w:sz="4" w:space="0"/>
              <w:bottom w:val="single" w:color="auto" w:sz="4" w:space="0"/>
              <w:right w:val="single" w:color="auto" w:sz="4" w:space="0"/>
            </w:tcBorders>
            <w:vAlign w:val="center"/>
          </w:tcPr>
          <w:p w14:paraId="534761A1">
            <w:pPr>
              <w:spacing w:line="360" w:lineRule="auto"/>
              <w:jc w:val="center"/>
              <w:rPr>
                <w:rFonts w:ascii="宋体" w:hAnsi="宋体" w:cs="宋体"/>
                <w:bCs/>
                <w:color w:val="auto"/>
                <w:sz w:val="24"/>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534761A2">
            <w:pPr>
              <w:spacing w:line="360" w:lineRule="auto"/>
              <w:jc w:val="center"/>
              <w:rPr>
                <w:rFonts w:ascii="宋体" w:hAnsi="宋体" w:cs="宋体"/>
                <w:bCs/>
                <w:color w:val="auto"/>
                <w:sz w:val="24"/>
                <w:highlight w:val="none"/>
              </w:rPr>
            </w:pPr>
            <w:r>
              <w:rPr>
                <w:rFonts w:hint="eastAsia" w:ascii="宋体" w:hAnsi="宋体" w:cs="宋体"/>
                <w:bCs/>
                <w:color w:val="auto"/>
                <w:sz w:val="24"/>
                <w:highlight w:val="none"/>
              </w:rPr>
              <w:t>现场变配电装置</w:t>
            </w:r>
          </w:p>
        </w:tc>
        <w:tc>
          <w:tcPr>
            <w:tcW w:w="6930" w:type="dxa"/>
            <w:tcBorders>
              <w:top w:val="single" w:color="auto" w:sz="4" w:space="0"/>
              <w:left w:val="single" w:color="auto" w:sz="4" w:space="0"/>
              <w:bottom w:val="single" w:color="auto" w:sz="4" w:space="0"/>
              <w:right w:val="single" w:color="auto" w:sz="4" w:space="0"/>
            </w:tcBorders>
            <w:vAlign w:val="center"/>
          </w:tcPr>
          <w:p w14:paraId="534761A3">
            <w:pPr>
              <w:spacing w:line="360" w:lineRule="auto"/>
              <w:jc w:val="left"/>
              <w:rPr>
                <w:rFonts w:ascii="宋体" w:hAnsi="宋体" w:cs="宋体"/>
                <w:bCs/>
                <w:color w:val="auto"/>
                <w:sz w:val="24"/>
                <w:highlight w:val="none"/>
              </w:rPr>
            </w:pPr>
            <w:r>
              <w:rPr>
                <w:rFonts w:hint="eastAsia" w:ascii="宋体" w:hAnsi="宋体" w:cs="宋体"/>
                <w:bCs/>
                <w:color w:val="auto"/>
                <w:sz w:val="24"/>
                <w:highlight w:val="none"/>
              </w:rPr>
              <w:t>总配电室建筑材料必须达到三级防火要求，室内做硬地坪、电缆沟、吊顶。</w:t>
            </w:r>
          </w:p>
        </w:tc>
      </w:tr>
      <w:tr w14:paraId="534761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restart"/>
            <w:tcBorders>
              <w:top w:val="single" w:color="auto" w:sz="4" w:space="0"/>
              <w:left w:val="single" w:color="auto" w:sz="4" w:space="0"/>
              <w:bottom w:val="single" w:color="auto" w:sz="4" w:space="0"/>
              <w:right w:val="single" w:color="auto" w:sz="4" w:space="0"/>
            </w:tcBorders>
            <w:vAlign w:val="center"/>
          </w:tcPr>
          <w:p w14:paraId="534761A5">
            <w:pPr>
              <w:spacing w:line="360" w:lineRule="auto"/>
              <w:jc w:val="center"/>
              <w:rPr>
                <w:rFonts w:ascii="宋体" w:hAnsi="宋体" w:cs="宋体"/>
                <w:bCs/>
                <w:color w:val="auto"/>
                <w:sz w:val="24"/>
                <w:highlight w:val="none"/>
              </w:rPr>
            </w:pPr>
            <w:r>
              <w:rPr>
                <w:rFonts w:hint="eastAsia" w:ascii="宋体" w:hAnsi="宋体" w:cs="宋体"/>
                <w:bCs/>
                <w:color w:val="auto"/>
                <w:sz w:val="24"/>
                <w:highlight w:val="none"/>
              </w:rPr>
              <w:t>安全施工</w:t>
            </w:r>
          </w:p>
        </w:tc>
        <w:tc>
          <w:tcPr>
            <w:tcW w:w="525" w:type="dxa"/>
            <w:vMerge w:val="restart"/>
            <w:tcBorders>
              <w:top w:val="single" w:color="auto" w:sz="4" w:space="0"/>
              <w:left w:val="single" w:color="auto" w:sz="4" w:space="0"/>
              <w:bottom w:val="single" w:color="auto" w:sz="4" w:space="0"/>
              <w:right w:val="single" w:color="auto" w:sz="4" w:space="0"/>
            </w:tcBorders>
            <w:vAlign w:val="center"/>
          </w:tcPr>
          <w:p w14:paraId="534761A6">
            <w:pPr>
              <w:spacing w:line="360" w:lineRule="auto"/>
              <w:jc w:val="center"/>
              <w:rPr>
                <w:rFonts w:ascii="宋体" w:hAnsi="宋体" w:cs="宋体"/>
                <w:bCs/>
                <w:color w:val="auto"/>
                <w:sz w:val="24"/>
                <w:highlight w:val="none"/>
              </w:rPr>
            </w:pPr>
            <w:r>
              <w:rPr>
                <w:rFonts w:hint="eastAsia" w:ascii="宋体" w:hAnsi="宋体" w:cs="宋体"/>
                <w:bCs/>
                <w:color w:val="auto"/>
                <w:sz w:val="24"/>
                <w:highlight w:val="none"/>
              </w:rPr>
              <w:t>临边洞口交叉高处作业防护</w:t>
            </w:r>
          </w:p>
        </w:tc>
        <w:tc>
          <w:tcPr>
            <w:tcW w:w="1260" w:type="dxa"/>
            <w:tcBorders>
              <w:top w:val="single" w:color="auto" w:sz="4" w:space="0"/>
              <w:left w:val="single" w:color="auto" w:sz="4" w:space="0"/>
              <w:bottom w:val="single" w:color="auto" w:sz="4" w:space="0"/>
              <w:right w:val="single" w:color="auto" w:sz="4" w:space="0"/>
            </w:tcBorders>
            <w:vAlign w:val="center"/>
          </w:tcPr>
          <w:p w14:paraId="534761A7">
            <w:pPr>
              <w:spacing w:line="360" w:lineRule="auto"/>
              <w:jc w:val="center"/>
              <w:rPr>
                <w:rFonts w:ascii="宋体" w:hAnsi="宋体" w:cs="宋体"/>
                <w:bCs/>
                <w:color w:val="auto"/>
                <w:sz w:val="24"/>
                <w:highlight w:val="none"/>
              </w:rPr>
            </w:pPr>
            <w:r>
              <w:rPr>
                <w:rFonts w:hint="eastAsia" w:ascii="宋体" w:hAnsi="宋体" w:cs="宋体"/>
                <w:bCs/>
                <w:color w:val="auto"/>
                <w:sz w:val="24"/>
                <w:highlight w:val="none"/>
              </w:rPr>
              <w:t>楼层、屋面、阳台等临边</w:t>
            </w:r>
          </w:p>
        </w:tc>
        <w:tc>
          <w:tcPr>
            <w:tcW w:w="6930" w:type="dxa"/>
            <w:tcBorders>
              <w:top w:val="single" w:color="auto" w:sz="4" w:space="0"/>
              <w:left w:val="single" w:color="auto" w:sz="4" w:space="0"/>
              <w:bottom w:val="single" w:color="auto" w:sz="4" w:space="0"/>
              <w:right w:val="single" w:color="auto" w:sz="4" w:space="0"/>
            </w:tcBorders>
            <w:vAlign w:val="center"/>
          </w:tcPr>
          <w:p w14:paraId="534761A8">
            <w:pPr>
              <w:spacing w:line="360" w:lineRule="auto"/>
              <w:jc w:val="left"/>
              <w:rPr>
                <w:rFonts w:ascii="宋体" w:hAnsi="宋体" w:cs="宋体"/>
                <w:bCs/>
                <w:color w:val="auto"/>
                <w:sz w:val="24"/>
                <w:highlight w:val="none"/>
              </w:rPr>
            </w:pPr>
            <w:r>
              <w:rPr>
                <w:rFonts w:hint="eastAsia" w:ascii="宋体" w:hAnsi="宋体" w:cs="宋体"/>
                <w:bCs/>
                <w:color w:val="auto"/>
                <w:sz w:val="24"/>
                <w:highlight w:val="none"/>
              </w:rPr>
              <w:t xml:space="preserve">设两道防护栏杆和18cm高的踢脚板，用密目式安全立网全封闭。 </w:t>
            </w:r>
          </w:p>
        </w:tc>
      </w:tr>
      <w:tr w14:paraId="534761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534761AA">
            <w:pPr>
              <w:spacing w:line="360" w:lineRule="auto"/>
              <w:jc w:val="center"/>
              <w:rPr>
                <w:rFonts w:ascii="宋体" w:hAnsi="宋体" w:cs="宋体"/>
                <w:bCs/>
                <w:color w:val="auto"/>
                <w:sz w:val="24"/>
                <w:highlight w:val="none"/>
              </w:rPr>
            </w:pPr>
          </w:p>
        </w:tc>
        <w:tc>
          <w:tcPr>
            <w:tcW w:w="525" w:type="dxa"/>
            <w:vMerge w:val="continue"/>
            <w:tcBorders>
              <w:top w:val="single" w:color="auto" w:sz="4" w:space="0"/>
              <w:left w:val="single" w:color="auto" w:sz="4" w:space="0"/>
              <w:bottom w:val="single" w:color="auto" w:sz="4" w:space="0"/>
              <w:right w:val="single" w:color="auto" w:sz="4" w:space="0"/>
            </w:tcBorders>
            <w:vAlign w:val="center"/>
          </w:tcPr>
          <w:p w14:paraId="534761AB">
            <w:pPr>
              <w:spacing w:line="360" w:lineRule="auto"/>
              <w:jc w:val="center"/>
              <w:rPr>
                <w:rFonts w:ascii="宋体" w:hAnsi="宋体" w:cs="宋体"/>
                <w:bCs/>
                <w:color w:val="auto"/>
                <w:sz w:val="24"/>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534761AC">
            <w:pPr>
              <w:spacing w:line="360" w:lineRule="auto"/>
              <w:jc w:val="center"/>
              <w:rPr>
                <w:rFonts w:ascii="宋体" w:hAnsi="宋体" w:cs="宋体"/>
                <w:bCs/>
                <w:color w:val="auto"/>
                <w:sz w:val="24"/>
                <w:highlight w:val="none"/>
              </w:rPr>
            </w:pPr>
            <w:r>
              <w:rPr>
                <w:rFonts w:hint="eastAsia" w:ascii="宋体" w:hAnsi="宋体" w:cs="宋体"/>
                <w:bCs/>
                <w:color w:val="auto"/>
                <w:sz w:val="24"/>
                <w:highlight w:val="none"/>
              </w:rPr>
              <w:t>通道口</w:t>
            </w:r>
          </w:p>
        </w:tc>
        <w:tc>
          <w:tcPr>
            <w:tcW w:w="6930" w:type="dxa"/>
            <w:tcBorders>
              <w:top w:val="single" w:color="auto" w:sz="4" w:space="0"/>
              <w:left w:val="single" w:color="auto" w:sz="4" w:space="0"/>
              <w:bottom w:val="single" w:color="auto" w:sz="4" w:space="0"/>
              <w:right w:val="single" w:color="auto" w:sz="4" w:space="0"/>
            </w:tcBorders>
            <w:vAlign w:val="center"/>
          </w:tcPr>
          <w:p w14:paraId="534761AD">
            <w:pPr>
              <w:spacing w:line="360" w:lineRule="auto"/>
              <w:jc w:val="left"/>
              <w:rPr>
                <w:rFonts w:ascii="宋体" w:hAnsi="宋体" w:cs="宋体"/>
                <w:bCs/>
                <w:color w:val="auto"/>
                <w:sz w:val="24"/>
                <w:highlight w:val="none"/>
              </w:rPr>
            </w:pPr>
            <w:r>
              <w:rPr>
                <w:rFonts w:hint="eastAsia" w:ascii="宋体" w:hAnsi="宋体" w:cs="宋体"/>
                <w:bCs/>
                <w:color w:val="auto"/>
                <w:sz w:val="24"/>
                <w:highlight w:val="none"/>
              </w:rPr>
              <w:t>设防护棚，防护棚应为不小于5cm厚的木板或两道相距50cm的竹笆。两侧应沿栏杆架用密目式安全网封闭。</w:t>
            </w:r>
          </w:p>
        </w:tc>
      </w:tr>
      <w:tr w14:paraId="534761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534761AF">
            <w:pPr>
              <w:spacing w:line="360" w:lineRule="auto"/>
              <w:jc w:val="center"/>
              <w:rPr>
                <w:rFonts w:ascii="宋体" w:hAnsi="宋体" w:cs="宋体"/>
                <w:bCs/>
                <w:color w:val="auto"/>
                <w:sz w:val="24"/>
                <w:highlight w:val="none"/>
              </w:rPr>
            </w:pPr>
          </w:p>
        </w:tc>
        <w:tc>
          <w:tcPr>
            <w:tcW w:w="525" w:type="dxa"/>
            <w:vMerge w:val="continue"/>
            <w:tcBorders>
              <w:top w:val="single" w:color="auto" w:sz="4" w:space="0"/>
              <w:left w:val="single" w:color="auto" w:sz="4" w:space="0"/>
              <w:bottom w:val="single" w:color="auto" w:sz="4" w:space="0"/>
              <w:right w:val="single" w:color="auto" w:sz="4" w:space="0"/>
            </w:tcBorders>
            <w:vAlign w:val="center"/>
          </w:tcPr>
          <w:p w14:paraId="534761B0">
            <w:pPr>
              <w:spacing w:line="360" w:lineRule="auto"/>
              <w:jc w:val="center"/>
              <w:rPr>
                <w:rFonts w:ascii="宋体" w:hAnsi="宋体" w:cs="宋体"/>
                <w:bCs/>
                <w:color w:val="auto"/>
                <w:sz w:val="24"/>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534761B1">
            <w:pPr>
              <w:spacing w:line="360" w:lineRule="auto"/>
              <w:jc w:val="center"/>
              <w:rPr>
                <w:rFonts w:ascii="宋体" w:hAnsi="宋体" w:cs="宋体"/>
                <w:bCs/>
                <w:color w:val="auto"/>
                <w:sz w:val="24"/>
                <w:highlight w:val="none"/>
              </w:rPr>
            </w:pPr>
            <w:r>
              <w:rPr>
                <w:rFonts w:hint="eastAsia" w:ascii="宋体" w:hAnsi="宋体" w:cs="宋体"/>
                <w:bCs/>
                <w:color w:val="auto"/>
                <w:sz w:val="24"/>
                <w:highlight w:val="none"/>
              </w:rPr>
              <w:t>预留洞口</w:t>
            </w:r>
          </w:p>
        </w:tc>
        <w:tc>
          <w:tcPr>
            <w:tcW w:w="6930" w:type="dxa"/>
            <w:tcBorders>
              <w:top w:val="single" w:color="auto" w:sz="4" w:space="0"/>
              <w:left w:val="single" w:color="auto" w:sz="4" w:space="0"/>
              <w:bottom w:val="single" w:color="auto" w:sz="4" w:space="0"/>
              <w:right w:val="single" w:color="auto" w:sz="4" w:space="0"/>
            </w:tcBorders>
            <w:vAlign w:val="center"/>
          </w:tcPr>
          <w:p w14:paraId="534761B2">
            <w:pPr>
              <w:spacing w:line="360" w:lineRule="auto"/>
              <w:jc w:val="left"/>
              <w:rPr>
                <w:rFonts w:ascii="宋体" w:hAnsi="宋体" w:cs="宋体"/>
                <w:bCs/>
                <w:color w:val="auto"/>
                <w:sz w:val="24"/>
                <w:highlight w:val="none"/>
              </w:rPr>
            </w:pPr>
            <w:r>
              <w:rPr>
                <w:rFonts w:hint="eastAsia" w:ascii="宋体" w:hAnsi="宋体" w:cs="宋体"/>
                <w:bCs/>
                <w:color w:val="auto"/>
                <w:sz w:val="24"/>
                <w:highlight w:val="none"/>
              </w:rPr>
              <w:t>用硬质材料全封闭；短边超过1.5m长的洞口，除封闭外四周还应设有防护栏杆。</w:t>
            </w:r>
          </w:p>
        </w:tc>
      </w:tr>
      <w:tr w14:paraId="534761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534761B4">
            <w:pPr>
              <w:spacing w:line="360" w:lineRule="auto"/>
              <w:jc w:val="center"/>
              <w:rPr>
                <w:rFonts w:ascii="宋体" w:hAnsi="宋体" w:cs="宋体"/>
                <w:bCs/>
                <w:color w:val="auto"/>
                <w:sz w:val="24"/>
                <w:highlight w:val="none"/>
              </w:rPr>
            </w:pPr>
          </w:p>
        </w:tc>
        <w:tc>
          <w:tcPr>
            <w:tcW w:w="525" w:type="dxa"/>
            <w:vMerge w:val="continue"/>
            <w:tcBorders>
              <w:top w:val="single" w:color="auto" w:sz="4" w:space="0"/>
              <w:left w:val="single" w:color="auto" w:sz="4" w:space="0"/>
              <w:bottom w:val="single" w:color="auto" w:sz="4" w:space="0"/>
              <w:right w:val="single" w:color="auto" w:sz="4" w:space="0"/>
            </w:tcBorders>
            <w:vAlign w:val="center"/>
          </w:tcPr>
          <w:p w14:paraId="534761B5">
            <w:pPr>
              <w:spacing w:line="360" w:lineRule="auto"/>
              <w:jc w:val="center"/>
              <w:rPr>
                <w:rFonts w:ascii="宋体" w:hAnsi="宋体" w:cs="宋体"/>
                <w:bCs/>
                <w:color w:val="auto"/>
                <w:sz w:val="24"/>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534761B6">
            <w:pPr>
              <w:spacing w:line="360" w:lineRule="auto"/>
              <w:jc w:val="center"/>
              <w:rPr>
                <w:rFonts w:ascii="宋体" w:hAnsi="宋体" w:cs="宋体"/>
                <w:bCs/>
                <w:color w:val="auto"/>
                <w:sz w:val="24"/>
                <w:highlight w:val="none"/>
              </w:rPr>
            </w:pPr>
            <w:r>
              <w:rPr>
                <w:rFonts w:hint="eastAsia" w:ascii="宋体" w:hAnsi="宋体" w:cs="宋体"/>
                <w:bCs/>
                <w:color w:val="auto"/>
                <w:sz w:val="24"/>
                <w:highlight w:val="none"/>
              </w:rPr>
              <w:t>电梯井口</w:t>
            </w:r>
          </w:p>
        </w:tc>
        <w:tc>
          <w:tcPr>
            <w:tcW w:w="6930" w:type="dxa"/>
            <w:tcBorders>
              <w:top w:val="single" w:color="auto" w:sz="4" w:space="0"/>
              <w:left w:val="single" w:color="auto" w:sz="4" w:space="0"/>
              <w:bottom w:val="single" w:color="auto" w:sz="4" w:space="0"/>
              <w:right w:val="single" w:color="auto" w:sz="4" w:space="0"/>
            </w:tcBorders>
            <w:vAlign w:val="center"/>
          </w:tcPr>
          <w:p w14:paraId="534761B7">
            <w:pPr>
              <w:spacing w:line="360" w:lineRule="auto"/>
              <w:jc w:val="left"/>
              <w:rPr>
                <w:rFonts w:ascii="宋体" w:hAnsi="宋体" w:cs="宋体"/>
                <w:bCs/>
                <w:color w:val="auto"/>
                <w:sz w:val="24"/>
                <w:highlight w:val="none"/>
              </w:rPr>
            </w:pPr>
            <w:r>
              <w:rPr>
                <w:rFonts w:hint="eastAsia" w:ascii="宋体" w:hAnsi="宋体" w:cs="宋体"/>
                <w:bCs/>
                <w:color w:val="auto"/>
                <w:sz w:val="24"/>
                <w:highlight w:val="none"/>
              </w:rPr>
              <w:t>设置定型化、工具化的防护门。在电梯井内每隔2层（不大于10m）设置一道水平防护。</w:t>
            </w:r>
          </w:p>
        </w:tc>
      </w:tr>
      <w:tr w14:paraId="534761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534761B9">
            <w:pPr>
              <w:spacing w:line="360" w:lineRule="auto"/>
              <w:jc w:val="center"/>
              <w:rPr>
                <w:rFonts w:ascii="宋体" w:hAnsi="宋体" w:cs="宋体"/>
                <w:bCs/>
                <w:color w:val="auto"/>
                <w:sz w:val="24"/>
                <w:highlight w:val="none"/>
              </w:rPr>
            </w:pPr>
          </w:p>
        </w:tc>
        <w:tc>
          <w:tcPr>
            <w:tcW w:w="525" w:type="dxa"/>
            <w:vMerge w:val="continue"/>
            <w:tcBorders>
              <w:top w:val="single" w:color="auto" w:sz="4" w:space="0"/>
              <w:left w:val="single" w:color="auto" w:sz="4" w:space="0"/>
              <w:bottom w:val="single" w:color="auto" w:sz="4" w:space="0"/>
              <w:right w:val="single" w:color="auto" w:sz="4" w:space="0"/>
            </w:tcBorders>
            <w:vAlign w:val="center"/>
          </w:tcPr>
          <w:p w14:paraId="534761BA">
            <w:pPr>
              <w:spacing w:line="360" w:lineRule="auto"/>
              <w:jc w:val="center"/>
              <w:rPr>
                <w:rFonts w:ascii="宋体" w:hAnsi="宋体" w:cs="宋体"/>
                <w:bCs/>
                <w:color w:val="auto"/>
                <w:sz w:val="24"/>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534761BB">
            <w:pPr>
              <w:spacing w:line="360" w:lineRule="auto"/>
              <w:jc w:val="center"/>
              <w:rPr>
                <w:rFonts w:ascii="宋体" w:hAnsi="宋体" w:cs="宋体"/>
                <w:bCs/>
                <w:color w:val="auto"/>
                <w:sz w:val="24"/>
                <w:highlight w:val="none"/>
              </w:rPr>
            </w:pPr>
            <w:r>
              <w:rPr>
                <w:rFonts w:hint="eastAsia" w:ascii="宋体" w:hAnsi="宋体" w:cs="宋体"/>
                <w:bCs/>
                <w:color w:val="auto"/>
                <w:sz w:val="24"/>
                <w:highlight w:val="none"/>
              </w:rPr>
              <w:t>楼梯边</w:t>
            </w:r>
          </w:p>
        </w:tc>
        <w:tc>
          <w:tcPr>
            <w:tcW w:w="6930" w:type="dxa"/>
            <w:tcBorders>
              <w:top w:val="single" w:color="auto" w:sz="4" w:space="0"/>
              <w:left w:val="single" w:color="auto" w:sz="4" w:space="0"/>
              <w:bottom w:val="single" w:color="auto" w:sz="4" w:space="0"/>
              <w:right w:val="single" w:color="auto" w:sz="4" w:space="0"/>
            </w:tcBorders>
            <w:vAlign w:val="center"/>
          </w:tcPr>
          <w:p w14:paraId="534761BC">
            <w:pPr>
              <w:spacing w:line="360" w:lineRule="auto"/>
              <w:jc w:val="left"/>
              <w:rPr>
                <w:rFonts w:ascii="宋体" w:hAnsi="宋体" w:cs="宋体"/>
                <w:bCs/>
                <w:color w:val="auto"/>
                <w:sz w:val="24"/>
                <w:highlight w:val="none"/>
              </w:rPr>
            </w:pPr>
            <w:r>
              <w:rPr>
                <w:rFonts w:hint="eastAsia" w:ascii="宋体" w:hAnsi="宋体" w:cs="宋体"/>
                <w:bCs/>
                <w:color w:val="auto"/>
                <w:sz w:val="24"/>
                <w:highlight w:val="none"/>
              </w:rPr>
              <w:t>设1.2m高的定型化、工具化、标准化的防护栏，18cm高的踢脚板。</w:t>
            </w:r>
          </w:p>
        </w:tc>
      </w:tr>
      <w:tr w14:paraId="534761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534761BE">
            <w:pPr>
              <w:spacing w:line="360" w:lineRule="auto"/>
              <w:jc w:val="center"/>
              <w:rPr>
                <w:rFonts w:ascii="宋体" w:hAnsi="宋体" w:cs="宋体"/>
                <w:bCs/>
                <w:color w:val="auto"/>
                <w:sz w:val="24"/>
                <w:highlight w:val="none"/>
              </w:rPr>
            </w:pPr>
          </w:p>
        </w:tc>
        <w:tc>
          <w:tcPr>
            <w:tcW w:w="525" w:type="dxa"/>
            <w:vMerge w:val="continue"/>
            <w:tcBorders>
              <w:top w:val="single" w:color="auto" w:sz="4" w:space="0"/>
              <w:left w:val="single" w:color="auto" w:sz="4" w:space="0"/>
              <w:bottom w:val="single" w:color="auto" w:sz="4" w:space="0"/>
              <w:right w:val="single" w:color="auto" w:sz="4" w:space="0"/>
            </w:tcBorders>
            <w:vAlign w:val="center"/>
          </w:tcPr>
          <w:p w14:paraId="534761BF">
            <w:pPr>
              <w:spacing w:line="360" w:lineRule="auto"/>
              <w:jc w:val="center"/>
              <w:rPr>
                <w:rFonts w:ascii="宋体" w:hAnsi="宋体" w:cs="宋体"/>
                <w:bCs/>
                <w:color w:val="auto"/>
                <w:sz w:val="24"/>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534761C0">
            <w:pPr>
              <w:spacing w:line="360" w:lineRule="auto"/>
              <w:jc w:val="center"/>
              <w:rPr>
                <w:rFonts w:ascii="宋体" w:hAnsi="宋体" w:cs="宋体"/>
                <w:bCs/>
                <w:color w:val="auto"/>
                <w:sz w:val="24"/>
                <w:highlight w:val="none"/>
              </w:rPr>
            </w:pPr>
            <w:r>
              <w:rPr>
                <w:rFonts w:hint="eastAsia" w:ascii="宋体" w:hAnsi="宋体" w:cs="宋体"/>
                <w:bCs/>
                <w:color w:val="auto"/>
                <w:sz w:val="24"/>
                <w:highlight w:val="none"/>
              </w:rPr>
              <w:t>垂直方向交叉作业</w:t>
            </w:r>
          </w:p>
        </w:tc>
        <w:tc>
          <w:tcPr>
            <w:tcW w:w="6930" w:type="dxa"/>
            <w:tcBorders>
              <w:top w:val="single" w:color="auto" w:sz="4" w:space="0"/>
              <w:left w:val="single" w:color="auto" w:sz="4" w:space="0"/>
              <w:bottom w:val="single" w:color="auto" w:sz="4" w:space="0"/>
              <w:right w:val="single" w:color="auto" w:sz="4" w:space="0"/>
            </w:tcBorders>
            <w:vAlign w:val="center"/>
          </w:tcPr>
          <w:p w14:paraId="534761C1">
            <w:pPr>
              <w:spacing w:line="360" w:lineRule="auto"/>
              <w:jc w:val="left"/>
              <w:rPr>
                <w:rFonts w:ascii="宋体" w:hAnsi="宋体" w:cs="宋体"/>
                <w:bCs/>
                <w:color w:val="auto"/>
                <w:sz w:val="24"/>
                <w:highlight w:val="none"/>
              </w:rPr>
            </w:pPr>
            <w:r>
              <w:rPr>
                <w:rFonts w:hint="eastAsia" w:ascii="宋体" w:hAnsi="宋体" w:cs="宋体"/>
                <w:bCs/>
                <w:color w:val="auto"/>
                <w:sz w:val="24"/>
                <w:highlight w:val="none"/>
              </w:rPr>
              <w:t>设置防护隔离棚或其他设施。</w:t>
            </w:r>
          </w:p>
        </w:tc>
      </w:tr>
      <w:tr w14:paraId="534761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534761C3">
            <w:pPr>
              <w:spacing w:line="360" w:lineRule="auto"/>
              <w:jc w:val="center"/>
              <w:rPr>
                <w:rFonts w:ascii="宋体" w:hAnsi="宋体" w:cs="宋体"/>
                <w:bCs/>
                <w:color w:val="auto"/>
                <w:sz w:val="24"/>
                <w:highlight w:val="none"/>
              </w:rPr>
            </w:pPr>
          </w:p>
        </w:tc>
        <w:tc>
          <w:tcPr>
            <w:tcW w:w="525" w:type="dxa"/>
            <w:vMerge w:val="continue"/>
            <w:tcBorders>
              <w:top w:val="single" w:color="auto" w:sz="4" w:space="0"/>
              <w:left w:val="single" w:color="auto" w:sz="4" w:space="0"/>
              <w:bottom w:val="single" w:color="auto" w:sz="4" w:space="0"/>
              <w:right w:val="single" w:color="auto" w:sz="4" w:space="0"/>
            </w:tcBorders>
            <w:vAlign w:val="center"/>
          </w:tcPr>
          <w:p w14:paraId="534761C4">
            <w:pPr>
              <w:spacing w:line="360" w:lineRule="auto"/>
              <w:jc w:val="center"/>
              <w:rPr>
                <w:rFonts w:ascii="宋体" w:hAnsi="宋体" w:cs="宋体"/>
                <w:bCs/>
                <w:color w:val="auto"/>
                <w:sz w:val="24"/>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534761C5">
            <w:pPr>
              <w:spacing w:line="360" w:lineRule="auto"/>
              <w:jc w:val="center"/>
              <w:rPr>
                <w:rFonts w:ascii="宋体" w:hAnsi="宋体" w:cs="宋体"/>
                <w:bCs/>
                <w:color w:val="auto"/>
                <w:sz w:val="24"/>
                <w:highlight w:val="none"/>
              </w:rPr>
            </w:pPr>
            <w:r>
              <w:rPr>
                <w:rFonts w:hint="eastAsia" w:ascii="宋体" w:hAnsi="宋体" w:cs="宋体"/>
                <w:bCs/>
                <w:color w:val="auto"/>
                <w:sz w:val="24"/>
                <w:highlight w:val="none"/>
              </w:rPr>
              <w:t>高空作业</w:t>
            </w:r>
          </w:p>
        </w:tc>
        <w:tc>
          <w:tcPr>
            <w:tcW w:w="6930" w:type="dxa"/>
            <w:tcBorders>
              <w:top w:val="single" w:color="auto" w:sz="4" w:space="0"/>
              <w:left w:val="single" w:color="auto" w:sz="4" w:space="0"/>
              <w:bottom w:val="single" w:color="auto" w:sz="4" w:space="0"/>
              <w:right w:val="single" w:color="auto" w:sz="4" w:space="0"/>
            </w:tcBorders>
            <w:vAlign w:val="center"/>
          </w:tcPr>
          <w:p w14:paraId="534761C6">
            <w:pPr>
              <w:spacing w:line="360" w:lineRule="auto"/>
              <w:jc w:val="left"/>
              <w:rPr>
                <w:rFonts w:ascii="宋体" w:hAnsi="宋体" w:cs="宋体"/>
                <w:bCs/>
                <w:color w:val="auto"/>
                <w:sz w:val="24"/>
                <w:highlight w:val="none"/>
              </w:rPr>
            </w:pPr>
            <w:r>
              <w:rPr>
                <w:rFonts w:hint="eastAsia" w:ascii="宋体" w:hAnsi="宋体" w:cs="宋体"/>
                <w:bCs/>
                <w:color w:val="auto"/>
                <w:sz w:val="24"/>
                <w:highlight w:val="none"/>
              </w:rPr>
              <w:t>有悬挂安全带的悬索或其他设施；有操作平台；有上下的梯子或其他形式的通道。</w:t>
            </w:r>
          </w:p>
        </w:tc>
      </w:tr>
      <w:tr w14:paraId="534761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534761C8">
            <w:pPr>
              <w:spacing w:line="360" w:lineRule="auto"/>
              <w:jc w:val="center"/>
              <w:rPr>
                <w:rFonts w:ascii="宋体" w:hAnsi="宋体" w:cs="宋体"/>
                <w:bCs/>
                <w:color w:val="auto"/>
                <w:sz w:val="24"/>
                <w:highlight w:val="none"/>
              </w:rPr>
            </w:pPr>
          </w:p>
        </w:tc>
        <w:tc>
          <w:tcPr>
            <w:tcW w:w="525" w:type="dxa"/>
            <w:vMerge w:val="continue"/>
            <w:tcBorders>
              <w:top w:val="single" w:color="auto" w:sz="4" w:space="0"/>
              <w:left w:val="single" w:color="auto" w:sz="4" w:space="0"/>
              <w:bottom w:val="single" w:color="auto" w:sz="4" w:space="0"/>
              <w:right w:val="single" w:color="auto" w:sz="4" w:space="0"/>
            </w:tcBorders>
            <w:vAlign w:val="center"/>
          </w:tcPr>
          <w:p w14:paraId="534761C9">
            <w:pPr>
              <w:spacing w:line="360" w:lineRule="auto"/>
              <w:jc w:val="center"/>
              <w:rPr>
                <w:rFonts w:ascii="宋体" w:hAnsi="宋体" w:cs="宋体"/>
                <w:bCs/>
                <w:color w:val="auto"/>
                <w:sz w:val="24"/>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534761CA">
            <w:pPr>
              <w:spacing w:line="360" w:lineRule="auto"/>
              <w:jc w:val="center"/>
              <w:rPr>
                <w:rFonts w:ascii="宋体" w:hAnsi="宋体" w:cs="宋体"/>
                <w:bCs/>
                <w:color w:val="auto"/>
                <w:sz w:val="24"/>
                <w:highlight w:val="none"/>
              </w:rPr>
            </w:pPr>
            <w:r>
              <w:rPr>
                <w:rFonts w:hint="eastAsia" w:ascii="宋体" w:hAnsi="宋体" w:cs="宋体"/>
                <w:bCs/>
                <w:color w:val="auto"/>
                <w:sz w:val="24"/>
                <w:highlight w:val="none"/>
              </w:rPr>
              <w:t>基坑、物料平台</w:t>
            </w:r>
          </w:p>
        </w:tc>
        <w:tc>
          <w:tcPr>
            <w:tcW w:w="6930" w:type="dxa"/>
            <w:tcBorders>
              <w:top w:val="single" w:color="auto" w:sz="4" w:space="0"/>
              <w:left w:val="single" w:color="auto" w:sz="4" w:space="0"/>
              <w:bottom w:val="single" w:color="auto" w:sz="4" w:space="0"/>
              <w:right w:val="single" w:color="auto" w:sz="4" w:space="0"/>
            </w:tcBorders>
            <w:vAlign w:val="center"/>
          </w:tcPr>
          <w:p w14:paraId="534761CB">
            <w:pPr>
              <w:spacing w:line="360" w:lineRule="auto"/>
              <w:jc w:val="left"/>
              <w:rPr>
                <w:rFonts w:ascii="宋体" w:hAnsi="宋体" w:cs="宋体"/>
                <w:bCs/>
                <w:color w:val="auto"/>
                <w:sz w:val="24"/>
                <w:highlight w:val="none"/>
              </w:rPr>
            </w:pPr>
            <w:r>
              <w:rPr>
                <w:rFonts w:hint="eastAsia" w:ascii="宋体" w:hAnsi="宋体" w:cs="宋体"/>
                <w:bCs/>
                <w:color w:val="auto"/>
                <w:sz w:val="24"/>
                <w:highlight w:val="none"/>
              </w:rPr>
              <w:t>设1.2m高标准化的防护栏，用密目式安全立网封闭，悬挂标识。</w:t>
            </w:r>
          </w:p>
        </w:tc>
      </w:tr>
      <w:tr w14:paraId="53476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534761CD">
            <w:pPr>
              <w:spacing w:line="360" w:lineRule="auto"/>
              <w:jc w:val="center"/>
              <w:rPr>
                <w:rFonts w:ascii="宋体" w:hAnsi="宋体" w:cs="宋体"/>
                <w:bCs/>
                <w:color w:val="auto"/>
                <w:sz w:val="24"/>
                <w:highlight w:val="none"/>
              </w:rPr>
            </w:pPr>
          </w:p>
        </w:tc>
        <w:tc>
          <w:tcPr>
            <w:tcW w:w="1785" w:type="dxa"/>
            <w:gridSpan w:val="2"/>
            <w:tcBorders>
              <w:top w:val="single" w:color="auto" w:sz="4" w:space="0"/>
              <w:left w:val="single" w:color="auto" w:sz="4" w:space="0"/>
              <w:bottom w:val="single" w:color="auto" w:sz="4" w:space="0"/>
              <w:right w:val="single" w:color="auto" w:sz="4" w:space="0"/>
            </w:tcBorders>
            <w:vAlign w:val="center"/>
          </w:tcPr>
          <w:p w14:paraId="534761CE">
            <w:pPr>
              <w:spacing w:line="360" w:lineRule="auto"/>
              <w:jc w:val="center"/>
              <w:rPr>
                <w:rFonts w:ascii="宋体" w:hAnsi="宋体" w:cs="宋体"/>
                <w:bCs/>
                <w:color w:val="auto"/>
                <w:sz w:val="24"/>
                <w:highlight w:val="none"/>
              </w:rPr>
            </w:pPr>
            <w:r>
              <w:rPr>
                <w:rFonts w:hint="eastAsia" w:ascii="宋体" w:hAnsi="宋体" w:cs="宋体"/>
                <w:bCs/>
                <w:color w:val="auto"/>
                <w:sz w:val="24"/>
                <w:highlight w:val="none"/>
              </w:rPr>
              <w:t>安全防护用品</w:t>
            </w:r>
          </w:p>
        </w:tc>
        <w:tc>
          <w:tcPr>
            <w:tcW w:w="6930" w:type="dxa"/>
            <w:tcBorders>
              <w:top w:val="single" w:color="auto" w:sz="4" w:space="0"/>
              <w:left w:val="single" w:color="auto" w:sz="4" w:space="0"/>
              <w:bottom w:val="single" w:color="auto" w:sz="4" w:space="0"/>
              <w:right w:val="single" w:color="auto" w:sz="4" w:space="0"/>
            </w:tcBorders>
            <w:vAlign w:val="center"/>
          </w:tcPr>
          <w:p w14:paraId="534761CF">
            <w:pPr>
              <w:spacing w:line="360" w:lineRule="auto"/>
              <w:jc w:val="left"/>
              <w:rPr>
                <w:rFonts w:ascii="宋体" w:hAnsi="宋体" w:cs="宋体"/>
                <w:bCs/>
                <w:color w:val="auto"/>
                <w:sz w:val="24"/>
                <w:highlight w:val="none"/>
              </w:rPr>
            </w:pPr>
            <w:r>
              <w:rPr>
                <w:rFonts w:hint="eastAsia" w:ascii="宋体" w:hAnsi="宋体" w:cs="宋体"/>
                <w:bCs/>
                <w:color w:val="auto"/>
                <w:sz w:val="24"/>
                <w:highlight w:val="none"/>
              </w:rPr>
              <w:t>安全帽、安全带、特种作业人员（电工、焊工、架子工等）防护服装、用品等。</w:t>
            </w:r>
          </w:p>
        </w:tc>
      </w:tr>
      <w:tr w14:paraId="534761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restart"/>
            <w:tcBorders>
              <w:top w:val="single" w:color="auto" w:sz="4" w:space="0"/>
              <w:left w:val="single" w:color="auto" w:sz="4" w:space="0"/>
              <w:bottom w:val="single" w:color="auto" w:sz="4" w:space="0"/>
              <w:right w:val="single" w:color="auto" w:sz="4" w:space="0"/>
            </w:tcBorders>
            <w:vAlign w:val="center"/>
          </w:tcPr>
          <w:p w14:paraId="534761D1">
            <w:pPr>
              <w:spacing w:line="360" w:lineRule="auto"/>
              <w:jc w:val="center"/>
              <w:rPr>
                <w:rFonts w:ascii="宋体" w:hAnsi="宋体" w:cs="宋体"/>
                <w:bCs/>
                <w:color w:val="auto"/>
                <w:sz w:val="24"/>
                <w:highlight w:val="none"/>
              </w:rPr>
            </w:pPr>
            <w:r>
              <w:rPr>
                <w:rFonts w:hint="eastAsia" w:ascii="宋体" w:hAnsi="宋体" w:cs="宋体"/>
                <w:bCs/>
                <w:color w:val="auto"/>
                <w:sz w:val="24"/>
                <w:highlight w:val="none"/>
              </w:rPr>
              <w:t>其他</w:t>
            </w:r>
          </w:p>
        </w:tc>
        <w:tc>
          <w:tcPr>
            <w:tcW w:w="525" w:type="dxa"/>
            <w:vMerge w:val="restart"/>
            <w:tcBorders>
              <w:top w:val="single" w:color="auto" w:sz="4" w:space="0"/>
              <w:left w:val="single" w:color="auto" w:sz="4" w:space="0"/>
              <w:bottom w:val="single" w:color="auto" w:sz="4" w:space="0"/>
              <w:right w:val="single" w:color="auto" w:sz="4" w:space="0"/>
            </w:tcBorders>
            <w:vAlign w:val="center"/>
          </w:tcPr>
          <w:p w14:paraId="534761D2">
            <w:pPr>
              <w:spacing w:line="360" w:lineRule="auto"/>
              <w:jc w:val="center"/>
              <w:rPr>
                <w:rFonts w:ascii="宋体" w:hAnsi="宋体" w:cs="宋体"/>
                <w:bCs/>
                <w:color w:val="auto"/>
                <w:sz w:val="24"/>
                <w:highlight w:val="none"/>
              </w:rPr>
            </w:pPr>
            <w:r>
              <w:rPr>
                <w:rFonts w:hint="eastAsia" w:ascii="宋体" w:hAnsi="宋体" w:cs="宋体"/>
                <w:bCs/>
                <w:color w:val="auto"/>
                <w:sz w:val="24"/>
                <w:highlight w:val="none"/>
              </w:rPr>
              <w:t>机械设备防护</w:t>
            </w:r>
          </w:p>
        </w:tc>
        <w:tc>
          <w:tcPr>
            <w:tcW w:w="1260" w:type="dxa"/>
            <w:tcBorders>
              <w:top w:val="single" w:color="auto" w:sz="4" w:space="0"/>
              <w:left w:val="single" w:color="auto" w:sz="4" w:space="0"/>
              <w:bottom w:val="single" w:color="auto" w:sz="4" w:space="0"/>
              <w:right w:val="single" w:color="auto" w:sz="4" w:space="0"/>
            </w:tcBorders>
            <w:vAlign w:val="center"/>
          </w:tcPr>
          <w:p w14:paraId="534761D3">
            <w:pPr>
              <w:spacing w:line="360" w:lineRule="auto"/>
              <w:jc w:val="center"/>
              <w:rPr>
                <w:rFonts w:ascii="宋体" w:hAnsi="宋体" w:cs="宋体"/>
                <w:bCs/>
                <w:color w:val="auto"/>
                <w:sz w:val="24"/>
                <w:highlight w:val="none"/>
              </w:rPr>
            </w:pPr>
            <w:r>
              <w:rPr>
                <w:rFonts w:hint="eastAsia" w:ascii="宋体" w:hAnsi="宋体" w:cs="宋体"/>
                <w:bCs/>
                <w:color w:val="auto"/>
                <w:sz w:val="24"/>
                <w:highlight w:val="none"/>
              </w:rPr>
              <w:t>中小型机械</w:t>
            </w:r>
          </w:p>
        </w:tc>
        <w:tc>
          <w:tcPr>
            <w:tcW w:w="6930" w:type="dxa"/>
            <w:tcBorders>
              <w:top w:val="single" w:color="auto" w:sz="4" w:space="0"/>
              <w:left w:val="single" w:color="auto" w:sz="4" w:space="0"/>
              <w:bottom w:val="single" w:color="auto" w:sz="4" w:space="0"/>
              <w:right w:val="single" w:color="auto" w:sz="4" w:space="0"/>
            </w:tcBorders>
            <w:vAlign w:val="center"/>
          </w:tcPr>
          <w:p w14:paraId="534761D4">
            <w:pPr>
              <w:spacing w:line="360" w:lineRule="auto"/>
              <w:jc w:val="left"/>
              <w:rPr>
                <w:rFonts w:ascii="宋体" w:hAnsi="宋体" w:cs="宋体"/>
                <w:bCs/>
                <w:color w:val="auto"/>
                <w:sz w:val="24"/>
                <w:highlight w:val="none"/>
              </w:rPr>
            </w:pPr>
            <w:r>
              <w:rPr>
                <w:rFonts w:hint="eastAsia" w:ascii="宋体" w:hAnsi="宋体" w:cs="宋体"/>
                <w:bCs/>
                <w:color w:val="auto"/>
                <w:sz w:val="24"/>
                <w:highlight w:val="none"/>
              </w:rPr>
              <w:t>设防护棚（同通道口防护并有防雨措施）。</w:t>
            </w:r>
          </w:p>
        </w:tc>
      </w:tr>
      <w:tr w14:paraId="534761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534761D6">
            <w:pPr>
              <w:spacing w:line="360" w:lineRule="auto"/>
              <w:jc w:val="center"/>
              <w:rPr>
                <w:rFonts w:ascii="宋体" w:hAnsi="宋体" w:cs="宋体"/>
                <w:bCs/>
                <w:color w:val="auto"/>
                <w:sz w:val="24"/>
                <w:highlight w:val="none"/>
              </w:rPr>
            </w:pPr>
          </w:p>
        </w:tc>
        <w:tc>
          <w:tcPr>
            <w:tcW w:w="525" w:type="dxa"/>
            <w:vMerge w:val="continue"/>
            <w:tcBorders>
              <w:top w:val="single" w:color="auto" w:sz="4" w:space="0"/>
              <w:left w:val="single" w:color="auto" w:sz="4" w:space="0"/>
              <w:bottom w:val="single" w:color="auto" w:sz="4" w:space="0"/>
              <w:right w:val="single" w:color="auto" w:sz="4" w:space="0"/>
            </w:tcBorders>
            <w:vAlign w:val="center"/>
          </w:tcPr>
          <w:p w14:paraId="534761D7">
            <w:pPr>
              <w:spacing w:line="360" w:lineRule="auto"/>
              <w:jc w:val="center"/>
              <w:rPr>
                <w:rFonts w:ascii="宋体" w:hAnsi="宋体" w:cs="宋体"/>
                <w:bCs/>
                <w:color w:val="auto"/>
                <w:sz w:val="24"/>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534761D8">
            <w:pPr>
              <w:spacing w:line="360" w:lineRule="auto"/>
              <w:jc w:val="center"/>
              <w:rPr>
                <w:rFonts w:ascii="宋体" w:hAnsi="宋体" w:cs="宋体"/>
                <w:bCs/>
                <w:color w:val="auto"/>
                <w:sz w:val="24"/>
                <w:highlight w:val="none"/>
              </w:rPr>
            </w:pPr>
            <w:r>
              <w:rPr>
                <w:rFonts w:hint="eastAsia" w:ascii="宋体" w:hAnsi="宋体" w:cs="宋体"/>
                <w:bCs/>
                <w:color w:val="auto"/>
                <w:sz w:val="24"/>
                <w:highlight w:val="none"/>
              </w:rPr>
              <w:t>垂直运输设备防护</w:t>
            </w:r>
          </w:p>
        </w:tc>
        <w:tc>
          <w:tcPr>
            <w:tcW w:w="6930" w:type="dxa"/>
            <w:tcBorders>
              <w:top w:val="single" w:color="auto" w:sz="4" w:space="0"/>
              <w:left w:val="single" w:color="auto" w:sz="4" w:space="0"/>
              <w:bottom w:val="single" w:color="auto" w:sz="4" w:space="0"/>
              <w:right w:val="single" w:color="auto" w:sz="4" w:space="0"/>
            </w:tcBorders>
            <w:vAlign w:val="center"/>
          </w:tcPr>
          <w:p w14:paraId="534761D9">
            <w:pPr>
              <w:spacing w:line="360" w:lineRule="auto"/>
              <w:jc w:val="left"/>
              <w:rPr>
                <w:rFonts w:ascii="宋体" w:hAnsi="宋体" w:cs="宋体"/>
                <w:bCs/>
                <w:color w:val="auto"/>
                <w:sz w:val="24"/>
                <w:highlight w:val="none"/>
              </w:rPr>
            </w:pPr>
            <w:r>
              <w:rPr>
                <w:rFonts w:hint="eastAsia" w:ascii="宋体" w:hAnsi="宋体" w:cs="宋体"/>
                <w:bCs/>
                <w:color w:val="auto"/>
                <w:sz w:val="24"/>
                <w:highlight w:val="none"/>
              </w:rPr>
              <w:t>（1）垂直运输设备检测、检验。</w:t>
            </w:r>
          </w:p>
          <w:p w14:paraId="534761DA">
            <w:pPr>
              <w:spacing w:line="360" w:lineRule="auto"/>
              <w:jc w:val="left"/>
              <w:rPr>
                <w:rFonts w:ascii="宋体" w:hAnsi="宋体" w:cs="宋体"/>
                <w:bCs/>
                <w:color w:val="auto"/>
                <w:sz w:val="24"/>
                <w:highlight w:val="none"/>
              </w:rPr>
            </w:pPr>
            <w:r>
              <w:rPr>
                <w:rFonts w:hint="eastAsia" w:ascii="宋体" w:hAnsi="宋体" w:cs="宋体"/>
                <w:bCs/>
                <w:color w:val="auto"/>
                <w:sz w:val="24"/>
                <w:highlight w:val="none"/>
              </w:rPr>
              <w:t>（2）物料提升机、施工电梯等物料平台搭设、外侧用密目式安全立网全封闭，安全防护门、防护棚等。</w:t>
            </w:r>
          </w:p>
        </w:tc>
      </w:tr>
      <w:tr w14:paraId="534761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534761DC">
            <w:pPr>
              <w:spacing w:line="360" w:lineRule="auto"/>
              <w:jc w:val="center"/>
              <w:rPr>
                <w:rFonts w:ascii="宋体" w:hAnsi="宋体" w:cs="宋体"/>
                <w:bCs/>
                <w:color w:val="auto"/>
                <w:sz w:val="24"/>
                <w:highlight w:val="none"/>
              </w:rPr>
            </w:pPr>
          </w:p>
        </w:tc>
        <w:tc>
          <w:tcPr>
            <w:tcW w:w="1785" w:type="dxa"/>
            <w:gridSpan w:val="2"/>
            <w:tcBorders>
              <w:top w:val="single" w:color="auto" w:sz="4" w:space="0"/>
              <w:left w:val="single" w:color="auto" w:sz="4" w:space="0"/>
              <w:bottom w:val="single" w:color="auto" w:sz="4" w:space="0"/>
              <w:right w:val="single" w:color="auto" w:sz="4" w:space="0"/>
            </w:tcBorders>
            <w:vAlign w:val="center"/>
          </w:tcPr>
          <w:p w14:paraId="534761DD">
            <w:pPr>
              <w:spacing w:line="360" w:lineRule="auto"/>
              <w:jc w:val="center"/>
              <w:rPr>
                <w:rFonts w:ascii="宋体" w:hAnsi="宋体" w:cs="宋体"/>
                <w:bCs/>
                <w:color w:val="auto"/>
                <w:sz w:val="24"/>
                <w:highlight w:val="none"/>
              </w:rPr>
            </w:pPr>
            <w:r>
              <w:rPr>
                <w:rFonts w:hint="eastAsia" w:ascii="宋体" w:hAnsi="宋体" w:cs="宋体"/>
                <w:bCs/>
                <w:color w:val="auto"/>
                <w:sz w:val="24"/>
                <w:highlight w:val="none"/>
              </w:rPr>
              <w:t>专家论证审查</w:t>
            </w:r>
          </w:p>
        </w:tc>
        <w:tc>
          <w:tcPr>
            <w:tcW w:w="6930" w:type="dxa"/>
            <w:tcBorders>
              <w:top w:val="single" w:color="auto" w:sz="4" w:space="0"/>
              <w:left w:val="single" w:color="auto" w:sz="4" w:space="0"/>
              <w:bottom w:val="single" w:color="auto" w:sz="4" w:space="0"/>
              <w:right w:val="single" w:color="auto" w:sz="4" w:space="0"/>
            </w:tcBorders>
            <w:vAlign w:val="center"/>
          </w:tcPr>
          <w:p w14:paraId="534761DE">
            <w:pPr>
              <w:spacing w:line="360" w:lineRule="auto"/>
              <w:jc w:val="left"/>
              <w:rPr>
                <w:rFonts w:ascii="宋体" w:hAnsi="宋体" w:cs="宋体"/>
                <w:bCs/>
                <w:color w:val="auto"/>
                <w:sz w:val="24"/>
                <w:highlight w:val="none"/>
              </w:rPr>
            </w:pPr>
            <w:r>
              <w:rPr>
                <w:rFonts w:hint="eastAsia" w:ascii="宋体" w:hAnsi="宋体" w:cs="宋体"/>
                <w:bCs/>
                <w:color w:val="auto"/>
                <w:sz w:val="24"/>
                <w:highlight w:val="none"/>
              </w:rPr>
              <w:t>超过一定规模的危险性较大分部分项工程专家论证审查。</w:t>
            </w:r>
          </w:p>
        </w:tc>
      </w:tr>
      <w:tr w14:paraId="534761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534761E0">
            <w:pPr>
              <w:spacing w:line="360" w:lineRule="auto"/>
              <w:jc w:val="center"/>
              <w:rPr>
                <w:rFonts w:ascii="宋体" w:hAnsi="宋体" w:cs="宋体"/>
                <w:bCs/>
                <w:color w:val="auto"/>
                <w:sz w:val="24"/>
                <w:highlight w:val="none"/>
              </w:rPr>
            </w:pPr>
          </w:p>
        </w:tc>
        <w:tc>
          <w:tcPr>
            <w:tcW w:w="1785" w:type="dxa"/>
            <w:gridSpan w:val="2"/>
            <w:tcBorders>
              <w:top w:val="single" w:color="auto" w:sz="4" w:space="0"/>
              <w:left w:val="single" w:color="auto" w:sz="4" w:space="0"/>
              <w:bottom w:val="single" w:color="auto" w:sz="4" w:space="0"/>
              <w:right w:val="single" w:color="auto" w:sz="4" w:space="0"/>
            </w:tcBorders>
            <w:vAlign w:val="center"/>
          </w:tcPr>
          <w:p w14:paraId="534761E1">
            <w:pPr>
              <w:spacing w:line="360" w:lineRule="auto"/>
              <w:jc w:val="center"/>
              <w:rPr>
                <w:rFonts w:ascii="宋体" w:hAnsi="宋体" w:cs="宋体"/>
                <w:bCs/>
                <w:color w:val="auto"/>
                <w:sz w:val="24"/>
                <w:highlight w:val="none"/>
              </w:rPr>
            </w:pPr>
            <w:r>
              <w:rPr>
                <w:rFonts w:hint="eastAsia" w:ascii="宋体" w:hAnsi="宋体" w:cs="宋体"/>
                <w:bCs/>
                <w:color w:val="auto"/>
                <w:sz w:val="24"/>
                <w:highlight w:val="none"/>
              </w:rPr>
              <w:t>应急救援预案</w:t>
            </w:r>
          </w:p>
        </w:tc>
        <w:tc>
          <w:tcPr>
            <w:tcW w:w="6930" w:type="dxa"/>
            <w:tcBorders>
              <w:top w:val="single" w:color="auto" w:sz="4" w:space="0"/>
              <w:left w:val="single" w:color="auto" w:sz="4" w:space="0"/>
              <w:bottom w:val="single" w:color="auto" w:sz="4" w:space="0"/>
              <w:right w:val="single" w:color="auto" w:sz="4" w:space="0"/>
            </w:tcBorders>
            <w:vAlign w:val="center"/>
          </w:tcPr>
          <w:p w14:paraId="534761E2">
            <w:pPr>
              <w:spacing w:line="360" w:lineRule="auto"/>
              <w:jc w:val="left"/>
              <w:rPr>
                <w:rFonts w:ascii="宋体" w:hAnsi="宋体" w:cs="宋体"/>
                <w:bCs/>
                <w:color w:val="auto"/>
                <w:sz w:val="24"/>
                <w:highlight w:val="none"/>
              </w:rPr>
            </w:pPr>
            <w:r>
              <w:rPr>
                <w:rFonts w:hint="eastAsia" w:ascii="宋体" w:hAnsi="宋体" w:cs="宋体"/>
                <w:bCs/>
                <w:color w:val="auto"/>
                <w:sz w:val="24"/>
                <w:highlight w:val="none"/>
              </w:rPr>
              <w:t>救援器材准备及演练等。</w:t>
            </w:r>
          </w:p>
        </w:tc>
      </w:tr>
      <w:tr w14:paraId="534761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534761E4">
            <w:pPr>
              <w:spacing w:line="360" w:lineRule="auto"/>
              <w:jc w:val="center"/>
              <w:rPr>
                <w:rFonts w:ascii="宋体" w:hAnsi="宋体" w:cs="宋体"/>
                <w:bCs/>
                <w:color w:val="auto"/>
                <w:sz w:val="24"/>
                <w:highlight w:val="none"/>
              </w:rPr>
            </w:pPr>
          </w:p>
        </w:tc>
        <w:tc>
          <w:tcPr>
            <w:tcW w:w="1785" w:type="dxa"/>
            <w:gridSpan w:val="2"/>
            <w:tcBorders>
              <w:top w:val="single" w:color="auto" w:sz="4" w:space="0"/>
              <w:left w:val="single" w:color="auto" w:sz="4" w:space="0"/>
              <w:bottom w:val="single" w:color="auto" w:sz="4" w:space="0"/>
              <w:right w:val="single" w:color="auto" w:sz="4" w:space="0"/>
            </w:tcBorders>
            <w:vAlign w:val="center"/>
          </w:tcPr>
          <w:p w14:paraId="534761E5">
            <w:pPr>
              <w:spacing w:line="360" w:lineRule="auto"/>
              <w:jc w:val="center"/>
              <w:rPr>
                <w:rFonts w:ascii="宋体" w:hAnsi="宋体" w:cs="宋体"/>
                <w:bCs/>
                <w:color w:val="auto"/>
                <w:sz w:val="24"/>
                <w:highlight w:val="none"/>
              </w:rPr>
            </w:pPr>
            <w:r>
              <w:rPr>
                <w:rFonts w:hint="eastAsia" w:ascii="宋体" w:hAnsi="宋体" w:cs="宋体"/>
                <w:bCs/>
                <w:color w:val="auto"/>
                <w:sz w:val="24"/>
                <w:highlight w:val="none"/>
              </w:rPr>
              <w:t>非正常情况施工</w:t>
            </w:r>
          </w:p>
        </w:tc>
        <w:tc>
          <w:tcPr>
            <w:tcW w:w="6930" w:type="dxa"/>
            <w:tcBorders>
              <w:top w:val="single" w:color="auto" w:sz="4" w:space="0"/>
              <w:left w:val="single" w:color="auto" w:sz="4" w:space="0"/>
              <w:bottom w:val="single" w:color="auto" w:sz="4" w:space="0"/>
              <w:right w:val="single" w:color="auto" w:sz="4" w:space="0"/>
            </w:tcBorders>
            <w:vAlign w:val="center"/>
          </w:tcPr>
          <w:p w14:paraId="534761E6">
            <w:pPr>
              <w:spacing w:line="360" w:lineRule="auto"/>
              <w:jc w:val="left"/>
              <w:rPr>
                <w:rFonts w:ascii="宋体" w:hAnsi="宋体" w:cs="宋体"/>
                <w:bCs/>
                <w:color w:val="auto"/>
                <w:sz w:val="24"/>
                <w:highlight w:val="none"/>
              </w:rPr>
            </w:pPr>
            <w:r>
              <w:rPr>
                <w:rFonts w:hint="eastAsia" w:ascii="宋体" w:hAnsi="宋体" w:cs="宋体"/>
                <w:bCs/>
                <w:color w:val="auto"/>
                <w:sz w:val="24"/>
                <w:highlight w:val="none"/>
              </w:rPr>
              <w:t>其它特殊情况下的防护费用，如：城市主干道、人流密集、河边等处施工及文物、古建筑、古树保护等。</w:t>
            </w:r>
          </w:p>
        </w:tc>
      </w:tr>
    </w:tbl>
    <w:p w14:paraId="534761E8">
      <w:pPr>
        <w:spacing w:line="360" w:lineRule="auto"/>
        <w:ind w:firstLine="480" w:firstLineChars="200"/>
        <w:rPr>
          <w:rFonts w:ascii="宋体" w:hAnsi="宋体" w:cs="宋体"/>
          <w:color w:val="auto"/>
          <w:sz w:val="24"/>
          <w:highlight w:val="none"/>
        </w:rPr>
      </w:pPr>
    </w:p>
    <w:p w14:paraId="534761E9">
      <w:pPr>
        <w:spacing w:line="360" w:lineRule="auto"/>
        <w:ind w:firstLine="480" w:firstLineChars="200"/>
        <w:jc w:val="left"/>
        <w:rPr>
          <w:rFonts w:ascii="宋体" w:hAnsi="宋体" w:cs="宋体"/>
          <w:bCs/>
          <w:color w:val="auto"/>
          <w:sz w:val="24"/>
          <w:highlight w:val="none"/>
        </w:rPr>
      </w:pPr>
      <w:r>
        <w:rPr>
          <w:rFonts w:hint="eastAsia" w:ascii="宋体" w:hAnsi="宋体" w:cs="宋体"/>
          <w:bCs/>
          <w:color w:val="auto"/>
          <w:sz w:val="24"/>
          <w:highlight w:val="none"/>
        </w:rPr>
        <w:t>注：本表所列建筑工程安全、文明施工，是依据现行法律法规及标准规范确定的。如法律法规和标准规范修订，本表所列项目应按照修订后的法律法规和标准规范进行调整。</w:t>
      </w:r>
    </w:p>
    <w:p w14:paraId="534761EA">
      <w:pPr>
        <w:pStyle w:val="4"/>
        <w:spacing w:line="360" w:lineRule="auto"/>
        <w:rPr>
          <w:rFonts w:ascii="宋体" w:hAnsi="宋体"/>
          <w:color w:val="auto"/>
          <w:highlight w:val="none"/>
        </w:rPr>
      </w:pPr>
    </w:p>
    <w:p w14:paraId="534761EB">
      <w:pPr>
        <w:pStyle w:val="27"/>
        <w:spacing w:line="360" w:lineRule="auto"/>
        <w:rPr>
          <w:rFonts w:ascii="宋体" w:hAnsi="宋体"/>
          <w:color w:val="auto"/>
          <w:highlight w:val="none"/>
        </w:rPr>
      </w:pPr>
    </w:p>
    <w:p w14:paraId="534761EC">
      <w:pPr>
        <w:pStyle w:val="23"/>
        <w:spacing w:line="360" w:lineRule="auto"/>
        <w:rPr>
          <w:rFonts w:hAnsi="宋体"/>
          <w:color w:val="auto"/>
          <w:highlight w:val="none"/>
        </w:rPr>
        <w:sectPr>
          <w:footerReference r:id="rId9" w:type="first"/>
          <w:footerReference r:id="rId8" w:type="default"/>
          <w:pgSz w:w="11906" w:h="16838"/>
          <w:pgMar w:top="1247" w:right="1247" w:bottom="1247" w:left="1247" w:header="851" w:footer="992" w:gutter="0"/>
          <w:pgNumType w:fmt="decimal"/>
          <w:cols w:space="720" w:num="1"/>
          <w:titlePg/>
          <w:docGrid w:linePitch="312" w:charSpace="0"/>
        </w:sectPr>
      </w:pPr>
    </w:p>
    <w:p w14:paraId="534761ED">
      <w:pPr>
        <w:adjustRightInd w:val="0"/>
        <w:snapToGrid w:val="0"/>
        <w:spacing w:line="360" w:lineRule="auto"/>
        <w:rPr>
          <w:rFonts w:ascii="宋体" w:hAnsi="宋体"/>
          <w:b/>
          <w:color w:val="auto"/>
          <w:sz w:val="24"/>
          <w:highlight w:val="none"/>
        </w:rPr>
      </w:pPr>
      <w:r>
        <w:rPr>
          <w:rFonts w:hint="eastAsia" w:ascii="宋体" w:hAnsi="宋体"/>
          <w:b/>
          <w:color w:val="auto"/>
          <w:sz w:val="24"/>
          <w:highlight w:val="none"/>
        </w:rPr>
        <w:t>附件13</w:t>
      </w:r>
    </w:p>
    <w:p w14:paraId="534761EE">
      <w:pPr>
        <w:spacing w:line="360" w:lineRule="auto"/>
        <w:jc w:val="center"/>
        <w:rPr>
          <w:rFonts w:ascii="宋体" w:hAnsi="宋体"/>
          <w:b/>
          <w:bCs/>
          <w:color w:val="auto"/>
          <w:sz w:val="32"/>
          <w:szCs w:val="32"/>
          <w:highlight w:val="none"/>
        </w:rPr>
      </w:pPr>
      <w:r>
        <w:rPr>
          <w:rFonts w:hint="eastAsia" w:ascii="宋体" w:hAnsi="宋体"/>
          <w:b/>
          <w:bCs/>
          <w:color w:val="auto"/>
          <w:sz w:val="32"/>
          <w:szCs w:val="32"/>
          <w:highlight w:val="none"/>
        </w:rPr>
        <w:t>中小企业声明函（工程）</w:t>
      </w:r>
    </w:p>
    <w:p w14:paraId="534761EF">
      <w:pPr>
        <w:spacing w:line="360" w:lineRule="auto"/>
        <w:ind w:firstLine="708" w:firstLineChars="294"/>
        <w:rPr>
          <w:rFonts w:ascii="宋体" w:hAnsi="宋体" w:cs="宋体"/>
          <w:b/>
          <w:bCs/>
          <w:color w:val="auto"/>
          <w:sz w:val="24"/>
          <w:highlight w:val="none"/>
        </w:rPr>
      </w:pPr>
    </w:p>
    <w:p w14:paraId="534761F0">
      <w:pPr>
        <w:spacing w:line="360" w:lineRule="auto"/>
        <w:ind w:firstLine="420"/>
        <w:rPr>
          <w:rFonts w:ascii="宋体" w:hAnsi="宋体"/>
          <w:bCs/>
          <w:color w:val="auto"/>
          <w:sz w:val="24"/>
          <w:highlight w:val="none"/>
        </w:rPr>
      </w:pPr>
      <w:r>
        <w:rPr>
          <w:rFonts w:ascii="宋体" w:hAnsi="宋体"/>
          <w:bCs/>
          <w:color w:val="auto"/>
          <w:sz w:val="24"/>
          <w:highlight w:val="none"/>
        </w:rPr>
        <w:t>本公司（联合体）郑重声明，根据《政府采购促进中小企业发展管理办法》（财库﹝2020﹞46 号）的规定，本公司（联合体）参加</w:t>
      </w:r>
      <w:r>
        <w:rPr>
          <w:rFonts w:ascii="宋体" w:hAnsi="宋体"/>
          <w:bCs/>
          <w:color w:val="auto"/>
          <w:sz w:val="24"/>
          <w:highlight w:val="none"/>
          <w:u w:val="single"/>
        </w:rPr>
        <w:t>（单位名称）</w:t>
      </w:r>
      <w:r>
        <w:rPr>
          <w:rFonts w:ascii="宋体" w:hAnsi="宋体"/>
          <w:bCs/>
          <w:color w:val="auto"/>
          <w:sz w:val="24"/>
          <w:highlight w:val="none"/>
        </w:rPr>
        <w:t>的</w:t>
      </w:r>
      <w:r>
        <w:rPr>
          <w:rFonts w:ascii="宋体" w:hAnsi="宋体"/>
          <w:bCs/>
          <w:color w:val="auto"/>
          <w:sz w:val="24"/>
          <w:highlight w:val="none"/>
          <w:u w:val="single"/>
        </w:rPr>
        <w:t>（项目名称）</w:t>
      </w:r>
      <w:r>
        <w:rPr>
          <w:rFonts w:ascii="宋体" w:hAnsi="宋体"/>
          <w:bCs/>
          <w:color w:val="auto"/>
          <w:sz w:val="24"/>
          <w:highlight w:val="none"/>
        </w:rPr>
        <w:t>采购活动，工程的施工单位全部为符合政策要求的中小企业。相关企业（含联合体中的中小企业、签订分包意向协议的中小企业）的具体情况如下：</w:t>
      </w:r>
    </w:p>
    <w:p w14:paraId="534761F1">
      <w:pPr>
        <w:spacing w:line="360" w:lineRule="auto"/>
        <w:ind w:firstLine="420"/>
        <w:rPr>
          <w:rFonts w:ascii="宋体" w:hAnsi="宋体"/>
          <w:bCs/>
          <w:color w:val="auto"/>
          <w:sz w:val="24"/>
          <w:highlight w:val="none"/>
        </w:rPr>
      </w:pPr>
      <w:r>
        <w:rPr>
          <w:rFonts w:ascii="宋体" w:hAnsi="宋体"/>
          <w:bCs/>
          <w:color w:val="auto"/>
          <w:sz w:val="24"/>
          <w:highlight w:val="none"/>
        </w:rPr>
        <w:t>1.</w:t>
      </w:r>
      <w:r>
        <w:rPr>
          <w:rFonts w:hint="eastAsia" w:ascii="宋体" w:hAnsi="宋体"/>
          <w:bCs/>
          <w:color w:val="auto"/>
          <w:sz w:val="24"/>
          <w:highlight w:val="none"/>
          <w:u w:val="single"/>
        </w:rPr>
        <w:t>（标的名称）</w:t>
      </w:r>
      <w:r>
        <w:rPr>
          <w:rFonts w:hint="eastAsia" w:ascii="宋体" w:hAnsi="宋体"/>
          <w:bCs/>
          <w:color w:val="auto"/>
          <w:sz w:val="24"/>
          <w:highlight w:val="none"/>
        </w:rPr>
        <w:t>，属于</w:t>
      </w:r>
      <w:r>
        <w:rPr>
          <w:rFonts w:hint="eastAsia" w:ascii="宋体" w:hAnsi="宋体"/>
          <w:bCs/>
          <w:color w:val="auto"/>
          <w:sz w:val="24"/>
          <w:highlight w:val="none"/>
          <w:u w:val="single"/>
        </w:rPr>
        <w:t>（采购文件中明确的所属行业）</w:t>
      </w:r>
      <w:r>
        <w:rPr>
          <w:rFonts w:hint="eastAsia" w:ascii="宋体" w:hAnsi="宋体"/>
          <w:bCs/>
          <w:color w:val="auto"/>
          <w:sz w:val="24"/>
          <w:highlight w:val="none"/>
        </w:rPr>
        <w:t>行业；承建企业为</w:t>
      </w:r>
      <w:r>
        <w:rPr>
          <w:rFonts w:hint="eastAsia" w:ascii="宋体" w:hAnsi="宋体"/>
          <w:bCs/>
          <w:color w:val="auto"/>
          <w:sz w:val="24"/>
          <w:highlight w:val="none"/>
          <w:u w:val="single"/>
        </w:rPr>
        <w:t>（企业名称）</w:t>
      </w:r>
      <w:r>
        <w:rPr>
          <w:rFonts w:hint="eastAsia" w:ascii="宋体" w:hAnsi="宋体"/>
          <w:bCs/>
          <w:color w:val="auto"/>
          <w:sz w:val="24"/>
          <w:highlight w:val="none"/>
        </w:rPr>
        <w:t>，从业人员</w:t>
      </w:r>
      <w:r>
        <w:rPr>
          <w:rFonts w:ascii="宋体" w:hAnsi="宋体"/>
          <w:bCs/>
          <w:color w:val="auto"/>
          <w:sz w:val="24"/>
          <w:highlight w:val="none"/>
          <w:u w:val="single"/>
        </w:rPr>
        <w:t xml:space="preserve">    </w:t>
      </w:r>
      <w:r>
        <w:rPr>
          <w:rFonts w:hint="eastAsia" w:ascii="宋体" w:hAnsi="宋体"/>
          <w:bCs/>
          <w:color w:val="auto"/>
          <w:sz w:val="24"/>
          <w:highlight w:val="none"/>
        </w:rPr>
        <w:t>人，营业收入为</w:t>
      </w:r>
      <w:r>
        <w:rPr>
          <w:rFonts w:ascii="宋体" w:hAnsi="宋体"/>
          <w:bCs/>
          <w:color w:val="auto"/>
          <w:sz w:val="24"/>
          <w:highlight w:val="none"/>
          <w:u w:val="single"/>
        </w:rPr>
        <w:t xml:space="preserve">    </w:t>
      </w:r>
      <w:r>
        <w:rPr>
          <w:rFonts w:hint="eastAsia" w:ascii="宋体" w:hAnsi="宋体"/>
          <w:bCs/>
          <w:color w:val="auto"/>
          <w:sz w:val="24"/>
          <w:highlight w:val="none"/>
        </w:rPr>
        <w:t>万元，资产总额为</w:t>
      </w:r>
      <w:r>
        <w:rPr>
          <w:rFonts w:ascii="宋体" w:hAnsi="宋体"/>
          <w:bCs/>
          <w:color w:val="auto"/>
          <w:sz w:val="24"/>
          <w:highlight w:val="none"/>
          <w:u w:val="single"/>
        </w:rPr>
        <w:t xml:space="preserve">    </w:t>
      </w:r>
      <w:r>
        <w:rPr>
          <w:rFonts w:hint="eastAsia" w:ascii="宋体" w:hAnsi="宋体"/>
          <w:bCs/>
          <w:color w:val="auto"/>
          <w:sz w:val="24"/>
          <w:highlight w:val="none"/>
        </w:rPr>
        <w:t>万元，属于</w:t>
      </w:r>
      <w:r>
        <w:rPr>
          <w:rFonts w:hint="eastAsia" w:ascii="宋体" w:hAnsi="宋体"/>
          <w:bCs/>
          <w:color w:val="auto"/>
          <w:sz w:val="24"/>
          <w:highlight w:val="none"/>
          <w:u w:val="single"/>
        </w:rPr>
        <w:t>（中型企业、小型企业、微型企业）</w:t>
      </w:r>
      <w:r>
        <w:rPr>
          <w:rFonts w:hint="eastAsia" w:ascii="宋体" w:hAnsi="宋体"/>
          <w:bCs/>
          <w:color w:val="auto"/>
          <w:sz w:val="24"/>
          <w:highlight w:val="none"/>
        </w:rPr>
        <w:t>；</w:t>
      </w:r>
    </w:p>
    <w:p w14:paraId="534761F2">
      <w:pPr>
        <w:spacing w:line="360" w:lineRule="auto"/>
        <w:ind w:firstLine="420"/>
        <w:rPr>
          <w:rFonts w:ascii="宋体" w:hAnsi="宋体"/>
          <w:bCs/>
          <w:color w:val="auto"/>
          <w:sz w:val="24"/>
          <w:highlight w:val="none"/>
        </w:rPr>
      </w:pPr>
      <w:r>
        <w:rPr>
          <w:rFonts w:ascii="宋体" w:hAnsi="宋体"/>
          <w:bCs/>
          <w:color w:val="auto"/>
          <w:sz w:val="24"/>
          <w:highlight w:val="none"/>
        </w:rPr>
        <w:t>2.</w:t>
      </w:r>
      <w:r>
        <w:rPr>
          <w:rFonts w:hint="eastAsia" w:ascii="宋体" w:hAnsi="宋体"/>
          <w:bCs/>
          <w:color w:val="auto"/>
          <w:sz w:val="24"/>
          <w:highlight w:val="none"/>
          <w:u w:val="single"/>
        </w:rPr>
        <w:t>（标的名称）</w:t>
      </w:r>
      <w:r>
        <w:rPr>
          <w:rFonts w:hint="eastAsia" w:ascii="宋体" w:hAnsi="宋体"/>
          <w:bCs/>
          <w:color w:val="auto"/>
          <w:sz w:val="24"/>
          <w:highlight w:val="none"/>
        </w:rPr>
        <w:t>，属于</w:t>
      </w:r>
      <w:r>
        <w:rPr>
          <w:rFonts w:hint="eastAsia" w:ascii="宋体" w:hAnsi="宋体"/>
          <w:bCs/>
          <w:color w:val="auto"/>
          <w:sz w:val="24"/>
          <w:highlight w:val="none"/>
          <w:u w:val="single"/>
        </w:rPr>
        <w:t>（采购文件中明确的所属行业）</w:t>
      </w:r>
      <w:r>
        <w:rPr>
          <w:rFonts w:hint="eastAsia" w:ascii="宋体" w:hAnsi="宋体"/>
          <w:bCs/>
          <w:color w:val="auto"/>
          <w:sz w:val="24"/>
          <w:highlight w:val="none"/>
        </w:rPr>
        <w:t>行业；承建企业为</w:t>
      </w:r>
      <w:r>
        <w:rPr>
          <w:rFonts w:hint="eastAsia" w:ascii="宋体" w:hAnsi="宋体"/>
          <w:bCs/>
          <w:color w:val="auto"/>
          <w:sz w:val="24"/>
          <w:highlight w:val="none"/>
          <w:u w:val="single"/>
        </w:rPr>
        <w:t>（企业名称）</w:t>
      </w:r>
      <w:r>
        <w:rPr>
          <w:rFonts w:hint="eastAsia" w:ascii="宋体" w:hAnsi="宋体"/>
          <w:bCs/>
          <w:color w:val="auto"/>
          <w:sz w:val="24"/>
          <w:highlight w:val="none"/>
        </w:rPr>
        <w:t>，从业人员</w:t>
      </w:r>
      <w:r>
        <w:rPr>
          <w:rFonts w:ascii="宋体" w:hAnsi="宋体"/>
          <w:bCs/>
          <w:color w:val="auto"/>
          <w:sz w:val="24"/>
          <w:highlight w:val="none"/>
          <w:u w:val="single"/>
        </w:rPr>
        <w:t xml:space="preserve">    </w:t>
      </w:r>
      <w:r>
        <w:rPr>
          <w:rFonts w:hint="eastAsia" w:ascii="宋体" w:hAnsi="宋体"/>
          <w:bCs/>
          <w:color w:val="auto"/>
          <w:sz w:val="24"/>
          <w:highlight w:val="none"/>
        </w:rPr>
        <w:t>人，营业收入为</w:t>
      </w:r>
      <w:r>
        <w:rPr>
          <w:rFonts w:ascii="宋体" w:hAnsi="宋体"/>
          <w:bCs/>
          <w:color w:val="auto"/>
          <w:sz w:val="24"/>
          <w:highlight w:val="none"/>
          <w:u w:val="single"/>
        </w:rPr>
        <w:t xml:space="preserve">    </w:t>
      </w:r>
      <w:r>
        <w:rPr>
          <w:rFonts w:hint="eastAsia" w:ascii="宋体" w:hAnsi="宋体"/>
          <w:bCs/>
          <w:color w:val="auto"/>
          <w:sz w:val="24"/>
          <w:highlight w:val="none"/>
        </w:rPr>
        <w:t>万元，资产总额为</w:t>
      </w:r>
      <w:r>
        <w:rPr>
          <w:rFonts w:ascii="宋体" w:hAnsi="宋体"/>
          <w:bCs/>
          <w:color w:val="auto"/>
          <w:sz w:val="24"/>
          <w:highlight w:val="none"/>
          <w:u w:val="single"/>
        </w:rPr>
        <w:t xml:space="preserve">    </w:t>
      </w:r>
      <w:r>
        <w:rPr>
          <w:rFonts w:hint="eastAsia" w:ascii="宋体" w:hAnsi="宋体"/>
          <w:bCs/>
          <w:color w:val="auto"/>
          <w:sz w:val="24"/>
          <w:highlight w:val="none"/>
        </w:rPr>
        <w:t>万元，属于</w:t>
      </w:r>
      <w:r>
        <w:rPr>
          <w:rFonts w:hint="eastAsia" w:ascii="宋体" w:hAnsi="宋体"/>
          <w:bCs/>
          <w:color w:val="auto"/>
          <w:sz w:val="24"/>
          <w:highlight w:val="none"/>
          <w:u w:val="single"/>
        </w:rPr>
        <w:t>（中型企业、小型企业、微型企业）</w:t>
      </w:r>
      <w:r>
        <w:rPr>
          <w:rFonts w:hint="eastAsia" w:ascii="宋体" w:hAnsi="宋体"/>
          <w:bCs/>
          <w:color w:val="auto"/>
          <w:sz w:val="24"/>
          <w:highlight w:val="none"/>
        </w:rPr>
        <w:t>；</w:t>
      </w:r>
    </w:p>
    <w:p w14:paraId="534761F3">
      <w:pPr>
        <w:spacing w:line="360" w:lineRule="auto"/>
        <w:ind w:firstLine="420"/>
        <w:rPr>
          <w:rFonts w:ascii="宋体" w:hAnsi="宋体"/>
          <w:bCs/>
          <w:color w:val="auto"/>
          <w:sz w:val="24"/>
          <w:highlight w:val="none"/>
        </w:rPr>
      </w:pPr>
      <w:r>
        <w:rPr>
          <w:rFonts w:hint="eastAsia" w:ascii="宋体" w:hAnsi="宋体"/>
          <w:bCs/>
          <w:color w:val="auto"/>
          <w:sz w:val="24"/>
          <w:highlight w:val="none"/>
        </w:rPr>
        <w:t>……</w:t>
      </w:r>
    </w:p>
    <w:p w14:paraId="534761F4">
      <w:pPr>
        <w:spacing w:line="360" w:lineRule="auto"/>
        <w:ind w:firstLine="420"/>
        <w:rPr>
          <w:rFonts w:ascii="宋体" w:hAnsi="宋体"/>
          <w:bCs/>
          <w:color w:val="auto"/>
          <w:sz w:val="24"/>
          <w:highlight w:val="none"/>
        </w:rPr>
      </w:pPr>
      <w:r>
        <w:rPr>
          <w:rFonts w:hint="eastAsia" w:ascii="宋体" w:hAnsi="宋体"/>
          <w:bCs/>
          <w:color w:val="auto"/>
          <w:sz w:val="24"/>
          <w:highlight w:val="none"/>
        </w:rPr>
        <w:t>以上企业，不属于大企业的分支机构，不存在控股股东为大企业的情形，也不存在与大企业的负责人为同一人的情形。</w:t>
      </w:r>
    </w:p>
    <w:p w14:paraId="534761F5">
      <w:pPr>
        <w:spacing w:line="360" w:lineRule="auto"/>
        <w:ind w:firstLine="420"/>
        <w:rPr>
          <w:rFonts w:ascii="宋体" w:hAnsi="宋体"/>
          <w:bCs/>
          <w:color w:val="auto"/>
          <w:sz w:val="24"/>
          <w:highlight w:val="none"/>
        </w:rPr>
      </w:pPr>
      <w:r>
        <w:rPr>
          <w:rFonts w:hint="eastAsia" w:ascii="宋体" w:hAnsi="宋体"/>
          <w:bCs/>
          <w:color w:val="auto"/>
          <w:sz w:val="24"/>
          <w:highlight w:val="none"/>
        </w:rPr>
        <w:t>本企业对上述声明内容的真实性负责。如有虚假，将依法承担相应责任。</w:t>
      </w:r>
    </w:p>
    <w:p w14:paraId="534761F6">
      <w:pPr>
        <w:adjustRightInd w:val="0"/>
        <w:snapToGrid w:val="0"/>
        <w:spacing w:line="360" w:lineRule="auto"/>
        <w:ind w:firstLine="4200" w:firstLineChars="1750"/>
        <w:jc w:val="left"/>
        <w:rPr>
          <w:rFonts w:ascii="宋体" w:hAnsi="宋体"/>
          <w:color w:val="auto"/>
          <w:sz w:val="24"/>
          <w:highlight w:val="none"/>
        </w:rPr>
      </w:pPr>
    </w:p>
    <w:p w14:paraId="534761F7">
      <w:pPr>
        <w:adjustRightInd w:val="0"/>
        <w:snapToGrid w:val="0"/>
        <w:spacing w:line="360" w:lineRule="auto"/>
        <w:ind w:firstLine="4200" w:firstLineChars="1750"/>
        <w:jc w:val="left"/>
        <w:rPr>
          <w:rFonts w:ascii="宋体" w:hAnsi="宋体"/>
          <w:color w:val="auto"/>
          <w:sz w:val="24"/>
          <w:highlight w:val="none"/>
        </w:rPr>
      </w:pPr>
      <w:r>
        <w:rPr>
          <w:rFonts w:hint="eastAsia" w:ascii="宋体" w:hAnsi="宋体"/>
          <w:color w:val="auto"/>
          <w:sz w:val="24"/>
          <w:highlight w:val="none"/>
        </w:rPr>
        <w:t xml:space="preserve">供应商名称（公章）：                          </w:t>
      </w:r>
    </w:p>
    <w:p w14:paraId="534761F8">
      <w:pPr>
        <w:spacing w:line="360" w:lineRule="auto"/>
        <w:ind w:firstLine="3600" w:firstLineChars="1500"/>
        <w:rPr>
          <w:rFonts w:ascii="宋体" w:hAnsi="宋体"/>
          <w:bCs/>
          <w:color w:val="auto"/>
          <w:sz w:val="24"/>
          <w:highlight w:val="none"/>
        </w:rPr>
      </w:pPr>
      <w:r>
        <w:rPr>
          <w:rFonts w:hint="eastAsia" w:ascii="宋体" w:hAnsi="宋体"/>
          <w:color w:val="auto"/>
          <w:sz w:val="24"/>
          <w:highlight w:val="none"/>
        </w:rPr>
        <w:t xml:space="preserve">     日期：  年   月   日</w:t>
      </w:r>
    </w:p>
    <w:p w14:paraId="534761F9">
      <w:pPr>
        <w:spacing w:line="360" w:lineRule="auto"/>
        <w:jc w:val="left"/>
        <w:rPr>
          <w:rFonts w:ascii="宋体" w:hAnsi="宋体"/>
          <w:bCs/>
          <w:color w:val="auto"/>
          <w:sz w:val="24"/>
          <w:highlight w:val="none"/>
        </w:rPr>
      </w:pPr>
      <w:r>
        <w:rPr>
          <w:rFonts w:hint="eastAsia" w:ascii="宋体" w:hAnsi="宋体"/>
          <w:bCs/>
          <w:color w:val="auto"/>
          <w:sz w:val="24"/>
          <w:highlight w:val="none"/>
        </w:rPr>
        <w:t>注：（</w:t>
      </w:r>
      <w:r>
        <w:rPr>
          <w:rFonts w:ascii="宋体" w:hAnsi="宋体"/>
          <w:bCs/>
          <w:color w:val="auto"/>
          <w:sz w:val="24"/>
          <w:highlight w:val="none"/>
        </w:rPr>
        <w:t>1</w:t>
      </w:r>
      <w:r>
        <w:rPr>
          <w:rFonts w:hint="eastAsia" w:ascii="宋体" w:hAnsi="宋体"/>
          <w:bCs/>
          <w:color w:val="auto"/>
          <w:sz w:val="24"/>
          <w:highlight w:val="none"/>
        </w:rPr>
        <w:t>）如磋商供应商为联合体或分包的，声明函中“项目名称”应填写联合体中中小企业承担的具体内容或者中小企业具体分包内容。</w:t>
      </w:r>
    </w:p>
    <w:p w14:paraId="534761FA">
      <w:pPr>
        <w:spacing w:line="360" w:lineRule="auto"/>
        <w:jc w:val="left"/>
        <w:rPr>
          <w:rFonts w:ascii="宋体" w:hAnsi="宋体"/>
          <w:bCs/>
          <w:color w:val="auto"/>
          <w:sz w:val="24"/>
          <w:highlight w:val="none"/>
        </w:rPr>
      </w:pPr>
      <w:r>
        <w:rPr>
          <w:rFonts w:hint="eastAsia" w:ascii="宋体" w:hAnsi="宋体"/>
          <w:bCs/>
          <w:color w:val="auto"/>
          <w:sz w:val="24"/>
          <w:highlight w:val="none"/>
        </w:rPr>
        <w:t>（</w:t>
      </w:r>
      <w:r>
        <w:rPr>
          <w:rFonts w:ascii="宋体" w:hAnsi="宋体"/>
          <w:bCs/>
          <w:color w:val="auto"/>
          <w:sz w:val="24"/>
          <w:highlight w:val="none"/>
        </w:rPr>
        <w:t>2</w:t>
      </w:r>
      <w:r>
        <w:rPr>
          <w:rFonts w:hint="eastAsia" w:ascii="宋体" w:hAnsi="宋体"/>
          <w:bCs/>
          <w:color w:val="auto"/>
          <w:sz w:val="24"/>
          <w:highlight w:val="none"/>
        </w:rPr>
        <w:t>）请根据真实情况出具《中小企业声明函》。</w:t>
      </w:r>
      <w:r>
        <w:rPr>
          <w:rFonts w:hint="eastAsia" w:ascii="宋体" w:hAnsi="宋体"/>
          <w:color w:val="auto"/>
          <w:sz w:val="24"/>
          <w:highlight w:val="none"/>
        </w:rPr>
        <w:t>成交候选人享受《政府采购促进中小企业发展管理办法》（财库〔2020〕46号）</w:t>
      </w:r>
      <w:r>
        <w:rPr>
          <w:rFonts w:hint="eastAsia" w:ascii="宋体" w:hAnsi="宋体" w:cs="宋体"/>
          <w:color w:val="auto"/>
          <w:sz w:val="24"/>
          <w:highlight w:val="none"/>
        </w:rPr>
        <w:t>、</w:t>
      </w:r>
      <w:r>
        <w:rPr>
          <w:rFonts w:hint="eastAsia" w:ascii="宋体" w:hAnsi="宋体" w:cs="宋体"/>
          <w:color w:val="auto"/>
          <w:sz w:val="24"/>
          <w:highlight w:val="none"/>
          <w:lang w:bidi="ar"/>
        </w:rPr>
        <w:t>财政部《关于进一步加大政府采购支持中小企业力度的通知》（财库〔2022〕19号）</w:t>
      </w:r>
      <w:r>
        <w:rPr>
          <w:rFonts w:hint="eastAsia" w:ascii="宋体" w:hAnsi="宋体"/>
          <w:color w:val="auto"/>
          <w:sz w:val="24"/>
          <w:highlight w:val="none"/>
        </w:rPr>
        <w:t>规定的中小企业扶持政策的，采购人、采购代理机构应当随成交结果公开成交供应商的《中小企业声明函》</w:t>
      </w:r>
      <w:r>
        <w:rPr>
          <w:rFonts w:hint="eastAsia" w:ascii="宋体" w:hAnsi="宋体"/>
          <w:bCs/>
          <w:color w:val="auto"/>
          <w:sz w:val="24"/>
          <w:highlight w:val="none"/>
        </w:rPr>
        <w:t>，接受社会监督。</w:t>
      </w:r>
    </w:p>
    <w:p w14:paraId="534761FB">
      <w:pPr>
        <w:spacing w:line="360" w:lineRule="auto"/>
        <w:jc w:val="left"/>
        <w:rPr>
          <w:rFonts w:ascii="宋体" w:hAnsi="宋体"/>
          <w:bCs/>
          <w:color w:val="auto"/>
          <w:sz w:val="24"/>
          <w:highlight w:val="none"/>
        </w:rPr>
      </w:pPr>
      <w:r>
        <w:rPr>
          <w:rFonts w:hint="eastAsia" w:ascii="宋体" w:hAnsi="宋体"/>
          <w:bCs/>
          <w:color w:val="auto"/>
          <w:sz w:val="24"/>
          <w:highlight w:val="none"/>
        </w:rPr>
        <w:t>（</w:t>
      </w:r>
      <w:r>
        <w:rPr>
          <w:rFonts w:ascii="宋体" w:hAnsi="宋体"/>
          <w:bCs/>
          <w:color w:val="auto"/>
          <w:sz w:val="24"/>
          <w:highlight w:val="none"/>
        </w:rPr>
        <w:t>3</w:t>
      </w:r>
      <w:r>
        <w:rPr>
          <w:rFonts w:hint="eastAsia" w:ascii="宋体" w:hAnsi="宋体"/>
          <w:bCs/>
          <w:color w:val="auto"/>
          <w:sz w:val="24"/>
          <w:highlight w:val="none"/>
        </w:rPr>
        <w:t>）从业人员、营业收入、资产总额填报上一年度数据，无上一年度数据的新成立企业可不填报。</w:t>
      </w:r>
    </w:p>
    <w:p w14:paraId="534761FC">
      <w:pPr>
        <w:rPr>
          <w:rFonts w:ascii="宋体" w:hAnsi="宋体"/>
          <w:bCs/>
          <w:color w:val="auto"/>
          <w:sz w:val="24"/>
          <w:highlight w:val="none"/>
        </w:rPr>
      </w:pPr>
      <w:r>
        <w:rPr>
          <w:rFonts w:hint="eastAsia" w:ascii="宋体" w:hAnsi="宋体"/>
          <w:bCs/>
          <w:color w:val="auto"/>
          <w:sz w:val="24"/>
          <w:highlight w:val="none"/>
        </w:rPr>
        <w:br w:type="page"/>
      </w:r>
    </w:p>
    <w:p w14:paraId="534761FD">
      <w:pPr>
        <w:spacing w:line="360" w:lineRule="auto"/>
        <w:rPr>
          <w:rFonts w:ascii="宋体" w:hAnsi="宋体" w:cs="宋体"/>
          <w:b/>
          <w:color w:val="auto"/>
          <w:spacing w:val="6"/>
          <w:sz w:val="24"/>
          <w:highlight w:val="none"/>
        </w:rPr>
      </w:pPr>
      <w:r>
        <w:rPr>
          <w:rFonts w:hint="eastAsia" w:ascii="宋体" w:hAnsi="宋体" w:cs="宋体"/>
          <w:b/>
          <w:color w:val="auto"/>
          <w:spacing w:val="6"/>
          <w:sz w:val="24"/>
          <w:highlight w:val="none"/>
        </w:rPr>
        <w:t>附件14</w:t>
      </w:r>
    </w:p>
    <w:p w14:paraId="534761FE">
      <w:pPr>
        <w:widowControl/>
        <w:shd w:val="clear" w:color="auto" w:fill="FFFFFF"/>
        <w:spacing w:before="100" w:after="100" w:line="480" w:lineRule="atLeast"/>
        <w:jc w:val="center"/>
        <w:outlineLvl w:val="0"/>
        <w:rPr>
          <w:rFonts w:ascii="宋体" w:hAnsi="宋体" w:cs="宋体"/>
          <w:b/>
          <w:bCs/>
          <w:color w:val="auto"/>
          <w:kern w:val="0"/>
          <w:sz w:val="28"/>
          <w:szCs w:val="28"/>
          <w:highlight w:val="none"/>
        </w:rPr>
      </w:pPr>
      <w:bookmarkStart w:id="34" w:name="_Toc24358"/>
      <w:r>
        <w:rPr>
          <w:rFonts w:hint="eastAsia" w:ascii="宋体" w:hAnsi="宋体" w:cs="宋体"/>
          <w:b/>
          <w:bCs/>
          <w:color w:val="auto"/>
          <w:kern w:val="0"/>
          <w:sz w:val="28"/>
          <w:szCs w:val="28"/>
          <w:highlight w:val="none"/>
          <w:shd w:val="clear" w:color="auto" w:fill="FFFFFF"/>
        </w:rPr>
        <w:t>统计上大中小微型企业划分标准</w:t>
      </w:r>
      <w:bookmarkEnd w:id="34"/>
    </w:p>
    <w:tbl>
      <w:tblPr>
        <w:tblStyle w:val="38"/>
        <w:tblW w:w="9000" w:type="dxa"/>
        <w:jc w:val="center"/>
        <w:tblLayout w:type="fixed"/>
        <w:tblCellMar>
          <w:top w:w="0" w:type="dxa"/>
          <w:left w:w="0" w:type="dxa"/>
          <w:bottom w:w="0" w:type="dxa"/>
          <w:right w:w="0" w:type="dxa"/>
        </w:tblCellMar>
      </w:tblPr>
      <w:tblGrid>
        <w:gridCol w:w="1755"/>
        <w:gridCol w:w="1361"/>
        <w:gridCol w:w="1123"/>
        <w:gridCol w:w="891"/>
        <w:gridCol w:w="1500"/>
        <w:gridCol w:w="1470"/>
        <w:gridCol w:w="900"/>
      </w:tblGrid>
      <w:tr w14:paraId="53476206">
        <w:tblPrEx>
          <w:tblCellMar>
            <w:top w:w="0" w:type="dxa"/>
            <w:left w:w="0" w:type="dxa"/>
            <w:bottom w:w="0" w:type="dxa"/>
            <w:right w:w="0" w:type="dxa"/>
          </w:tblCellMar>
        </w:tblPrEx>
        <w:trPr>
          <w:trHeight w:val="497" w:hRule="atLeast"/>
          <w:jc w:val="center"/>
        </w:trPr>
        <w:tc>
          <w:tcPr>
            <w:tcW w:w="1755" w:type="dxa"/>
            <w:tcBorders>
              <w:top w:val="single" w:color="B7B7B7" w:sz="4" w:space="0"/>
              <w:left w:val="single" w:color="B7B7B7" w:sz="4" w:space="0"/>
              <w:bottom w:val="single" w:color="B7B7B7" w:sz="4" w:space="0"/>
              <w:right w:val="single" w:color="B7B7B7" w:sz="4" w:space="0"/>
            </w:tcBorders>
            <w:tcMar>
              <w:top w:w="60" w:type="dxa"/>
              <w:left w:w="60" w:type="dxa"/>
              <w:bottom w:w="60" w:type="dxa"/>
              <w:right w:w="60" w:type="dxa"/>
            </w:tcMar>
            <w:vAlign w:val="center"/>
          </w:tcPr>
          <w:p w14:paraId="534761FF">
            <w:pPr>
              <w:widowControl/>
              <w:jc w:val="center"/>
              <w:rPr>
                <w:rFonts w:ascii="宋体" w:hAnsi="宋体" w:cs="宋体"/>
                <w:b/>
                <w:bCs/>
                <w:color w:val="auto"/>
                <w:sz w:val="24"/>
                <w:highlight w:val="none"/>
              </w:rPr>
            </w:pPr>
            <w:r>
              <w:rPr>
                <w:rFonts w:hint="eastAsia" w:ascii="宋体" w:hAnsi="宋体" w:cs="宋体"/>
                <w:b/>
                <w:bCs/>
                <w:color w:val="auto"/>
                <w:kern w:val="0"/>
                <w:sz w:val="24"/>
                <w:highlight w:val="none"/>
                <w:lang w:bidi="ar"/>
              </w:rPr>
              <w:t>行业名称</w:t>
            </w:r>
          </w:p>
        </w:tc>
        <w:tc>
          <w:tcPr>
            <w:tcW w:w="1361" w:type="dxa"/>
            <w:tcBorders>
              <w:top w:val="single" w:color="B7B7B7" w:sz="4" w:space="0"/>
              <w:left w:val="single" w:color="B7B7B7" w:sz="4" w:space="0"/>
              <w:bottom w:val="single" w:color="B7B7B7" w:sz="4" w:space="0"/>
              <w:right w:val="single" w:color="B7B7B7" w:sz="4" w:space="0"/>
            </w:tcBorders>
            <w:tcMar>
              <w:top w:w="60" w:type="dxa"/>
              <w:left w:w="60" w:type="dxa"/>
              <w:bottom w:w="60" w:type="dxa"/>
              <w:right w:w="60" w:type="dxa"/>
            </w:tcMar>
            <w:vAlign w:val="center"/>
          </w:tcPr>
          <w:p w14:paraId="53476200">
            <w:pPr>
              <w:widowControl/>
              <w:jc w:val="center"/>
              <w:rPr>
                <w:rFonts w:ascii="宋体" w:hAnsi="宋体" w:cs="宋体"/>
                <w:b/>
                <w:bCs/>
                <w:color w:val="auto"/>
                <w:sz w:val="24"/>
                <w:highlight w:val="none"/>
              </w:rPr>
            </w:pPr>
            <w:r>
              <w:rPr>
                <w:rFonts w:hint="eastAsia" w:ascii="宋体" w:hAnsi="宋体" w:cs="宋体"/>
                <w:b/>
                <w:bCs/>
                <w:color w:val="auto"/>
                <w:kern w:val="0"/>
                <w:sz w:val="24"/>
                <w:highlight w:val="none"/>
                <w:lang w:bidi="ar"/>
              </w:rPr>
              <w:t>指标名称</w:t>
            </w:r>
          </w:p>
        </w:tc>
        <w:tc>
          <w:tcPr>
            <w:tcW w:w="1123" w:type="dxa"/>
            <w:tcBorders>
              <w:top w:val="single" w:color="B7B7B7" w:sz="4" w:space="0"/>
              <w:left w:val="single" w:color="B7B7B7" w:sz="4" w:space="0"/>
              <w:bottom w:val="single" w:color="B7B7B7" w:sz="4" w:space="0"/>
              <w:right w:val="single" w:color="B7B7B7" w:sz="4" w:space="0"/>
            </w:tcBorders>
            <w:tcMar>
              <w:top w:w="60" w:type="dxa"/>
              <w:left w:w="60" w:type="dxa"/>
              <w:bottom w:w="60" w:type="dxa"/>
              <w:right w:w="60" w:type="dxa"/>
            </w:tcMar>
            <w:vAlign w:val="center"/>
          </w:tcPr>
          <w:p w14:paraId="53476201">
            <w:pPr>
              <w:widowControl/>
              <w:jc w:val="center"/>
              <w:rPr>
                <w:rFonts w:ascii="宋体" w:hAnsi="宋体" w:cs="宋体"/>
                <w:b/>
                <w:bCs/>
                <w:color w:val="auto"/>
                <w:sz w:val="24"/>
                <w:highlight w:val="none"/>
              </w:rPr>
            </w:pPr>
            <w:r>
              <w:rPr>
                <w:rFonts w:hint="eastAsia" w:ascii="宋体" w:hAnsi="宋体" w:cs="宋体"/>
                <w:b/>
                <w:bCs/>
                <w:color w:val="auto"/>
                <w:kern w:val="0"/>
                <w:sz w:val="24"/>
                <w:highlight w:val="none"/>
                <w:lang w:bidi="ar"/>
              </w:rPr>
              <w:t>计量单位</w:t>
            </w:r>
          </w:p>
        </w:tc>
        <w:tc>
          <w:tcPr>
            <w:tcW w:w="891" w:type="dxa"/>
            <w:tcBorders>
              <w:top w:val="single" w:color="B7B7B7" w:sz="4" w:space="0"/>
              <w:left w:val="single" w:color="B7B7B7" w:sz="4" w:space="0"/>
              <w:bottom w:val="single" w:color="B7B7B7" w:sz="4" w:space="0"/>
              <w:right w:val="single" w:color="B7B7B7" w:sz="4" w:space="0"/>
            </w:tcBorders>
            <w:tcMar>
              <w:top w:w="60" w:type="dxa"/>
              <w:left w:w="60" w:type="dxa"/>
              <w:bottom w:w="60" w:type="dxa"/>
              <w:right w:w="60" w:type="dxa"/>
            </w:tcMar>
            <w:vAlign w:val="center"/>
          </w:tcPr>
          <w:p w14:paraId="53476202">
            <w:pPr>
              <w:widowControl/>
              <w:jc w:val="center"/>
              <w:rPr>
                <w:rFonts w:ascii="宋体" w:hAnsi="宋体" w:cs="宋体"/>
                <w:b/>
                <w:bCs/>
                <w:color w:val="auto"/>
                <w:sz w:val="24"/>
                <w:highlight w:val="none"/>
              </w:rPr>
            </w:pPr>
            <w:r>
              <w:rPr>
                <w:rFonts w:hint="eastAsia" w:ascii="宋体" w:hAnsi="宋体" w:cs="宋体"/>
                <w:b/>
                <w:bCs/>
                <w:color w:val="auto"/>
                <w:kern w:val="0"/>
                <w:sz w:val="24"/>
                <w:highlight w:val="none"/>
                <w:lang w:bidi="ar"/>
              </w:rPr>
              <w:t>大型</w:t>
            </w:r>
          </w:p>
        </w:tc>
        <w:tc>
          <w:tcPr>
            <w:tcW w:w="1500" w:type="dxa"/>
            <w:tcBorders>
              <w:top w:val="single" w:color="B7B7B7" w:sz="4" w:space="0"/>
              <w:left w:val="single" w:color="B7B7B7" w:sz="4" w:space="0"/>
              <w:bottom w:val="single" w:color="B7B7B7" w:sz="4" w:space="0"/>
              <w:right w:val="single" w:color="B7B7B7" w:sz="4" w:space="0"/>
            </w:tcBorders>
            <w:tcMar>
              <w:top w:w="60" w:type="dxa"/>
              <w:left w:w="60" w:type="dxa"/>
              <w:bottom w:w="60" w:type="dxa"/>
              <w:right w:w="60" w:type="dxa"/>
            </w:tcMar>
            <w:vAlign w:val="center"/>
          </w:tcPr>
          <w:p w14:paraId="53476203">
            <w:pPr>
              <w:widowControl/>
              <w:jc w:val="center"/>
              <w:rPr>
                <w:rFonts w:ascii="宋体" w:hAnsi="宋体" w:cs="宋体"/>
                <w:b/>
                <w:bCs/>
                <w:color w:val="auto"/>
                <w:sz w:val="24"/>
                <w:highlight w:val="none"/>
              </w:rPr>
            </w:pPr>
            <w:r>
              <w:rPr>
                <w:rFonts w:hint="eastAsia" w:ascii="宋体" w:hAnsi="宋体" w:cs="宋体"/>
                <w:b/>
                <w:bCs/>
                <w:color w:val="auto"/>
                <w:kern w:val="0"/>
                <w:sz w:val="24"/>
                <w:highlight w:val="none"/>
                <w:lang w:bidi="ar"/>
              </w:rPr>
              <w:t>中型</w:t>
            </w:r>
          </w:p>
        </w:tc>
        <w:tc>
          <w:tcPr>
            <w:tcW w:w="1470" w:type="dxa"/>
            <w:tcBorders>
              <w:top w:val="single" w:color="B7B7B7" w:sz="4" w:space="0"/>
              <w:left w:val="single" w:color="B7B7B7" w:sz="4" w:space="0"/>
              <w:bottom w:val="single" w:color="B7B7B7" w:sz="4" w:space="0"/>
              <w:right w:val="single" w:color="B7B7B7" w:sz="4" w:space="0"/>
            </w:tcBorders>
            <w:tcMar>
              <w:top w:w="60" w:type="dxa"/>
              <w:left w:w="60" w:type="dxa"/>
              <w:bottom w:w="60" w:type="dxa"/>
              <w:right w:w="60" w:type="dxa"/>
            </w:tcMar>
            <w:vAlign w:val="center"/>
          </w:tcPr>
          <w:p w14:paraId="53476204">
            <w:pPr>
              <w:widowControl/>
              <w:jc w:val="center"/>
              <w:rPr>
                <w:rFonts w:ascii="宋体" w:hAnsi="宋体" w:cs="宋体"/>
                <w:b/>
                <w:bCs/>
                <w:color w:val="auto"/>
                <w:sz w:val="24"/>
                <w:highlight w:val="none"/>
              </w:rPr>
            </w:pPr>
            <w:r>
              <w:rPr>
                <w:rFonts w:hint="eastAsia" w:ascii="宋体" w:hAnsi="宋体" w:cs="宋体"/>
                <w:b/>
                <w:bCs/>
                <w:color w:val="auto"/>
                <w:kern w:val="0"/>
                <w:sz w:val="24"/>
                <w:highlight w:val="none"/>
                <w:lang w:bidi="ar"/>
              </w:rPr>
              <w:t>小型</w:t>
            </w:r>
          </w:p>
        </w:tc>
        <w:tc>
          <w:tcPr>
            <w:tcW w:w="900" w:type="dxa"/>
            <w:tcBorders>
              <w:top w:val="single" w:color="B7B7B7" w:sz="4" w:space="0"/>
              <w:left w:val="single" w:color="B7B7B7" w:sz="4" w:space="0"/>
              <w:bottom w:val="single" w:color="B7B7B7" w:sz="4" w:space="0"/>
              <w:right w:val="single" w:color="B7B7B7" w:sz="4" w:space="0"/>
            </w:tcBorders>
            <w:tcMar>
              <w:top w:w="60" w:type="dxa"/>
              <w:left w:w="60" w:type="dxa"/>
              <w:bottom w:w="60" w:type="dxa"/>
              <w:right w:w="60" w:type="dxa"/>
            </w:tcMar>
            <w:vAlign w:val="center"/>
          </w:tcPr>
          <w:p w14:paraId="53476205">
            <w:pPr>
              <w:widowControl/>
              <w:jc w:val="center"/>
              <w:rPr>
                <w:rFonts w:ascii="宋体" w:hAnsi="宋体" w:cs="宋体"/>
                <w:b/>
                <w:bCs/>
                <w:color w:val="auto"/>
                <w:sz w:val="24"/>
                <w:highlight w:val="none"/>
              </w:rPr>
            </w:pPr>
            <w:r>
              <w:rPr>
                <w:rFonts w:hint="eastAsia" w:ascii="宋体" w:hAnsi="宋体" w:cs="宋体"/>
                <w:b/>
                <w:bCs/>
                <w:color w:val="auto"/>
                <w:kern w:val="0"/>
                <w:sz w:val="24"/>
                <w:highlight w:val="none"/>
                <w:lang w:bidi="ar"/>
              </w:rPr>
              <w:t>微型</w:t>
            </w:r>
          </w:p>
        </w:tc>
      </w:tr>
      <w:tr w14:paraId="5347620E">
        <w:tblPrEx>
          <w:tblCellMar>
            <w:top w:w="0" w:type="dxa"/>
            <w:left w:w="0" w:type="dxa"/>
            <w:bottom w:w="0" w:type="dxa"/>
            <w:right w:w="0" w:type="dxa"/>
          </w:tblCellMar>
        </w:tblPrEx>
        <w:trPr>
          <w:jc w:val="center"/>
        </w:trPr>
        <w:tc>
          <w:tcPr>
            <w:tcW w:w="1755" w:type="dxa"/>
            <w:tcBorders>
              <w:top w:val="single" w:color="B7B7B7" w:sz="4" w:space="0"/>
              <w:left w:val="single" w:color="B7B7B7" w:sz="4" w:space="0"/>
              <w:bottom w:val="single" w:color="B7B7B7" w:sz="4" w:space="0"/>
              <w:right w:val="single" w:color="B7B7B7" w:sz="4" w:space="0"/>
            </w:tcBorders>
            <w:vAlign w:val="center"/>
          </w:tcPr>
          <w:p w14:paraId="53476207">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农、林、牧、渔业</w:t>
            </w:r>
          </w:p>
        </w:tc>
        <w:tc>
          <w:tcPr>
            <w:tcW w:w="1361" w:type="dxa"/>
            <w:tcBorders>
              <w:top w:val="single" w:color="B7B7B7" w:sz="4" w:space="0"/>
              <w:left w:val="single" w:color="B7B7B7" w:sz="4" w:space="0"/>
              <w:bottom w:val="single" w:color="B7B7B7" w:sz="4" w:space="0"/>
              <w:right w:val="single" w:color="B7B7B7" w:sz="4" w:space="0"/>
            </w:tcBorders>
            <w:vAlign w:val="center"/>
          </w:tcPr>
          <w:p w14:paraId="53476208">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营业收入(Y)</w:t>
            </w:r>
          </w:p>
        </w:tc>
        <w:tc>
          <w:tcPr>
            <w:tcW w:w="1123" w:type="dxa"/>
            <w:tcBorders>
              <w:top w:val="single" w:color="B7B7B7" w:sz="4" w:space="0"/>
              <w:left w:val="single" w:color="B7B7B7" w:sz="4" w:space="0"/>
              <w:bottom w:val="single" w:color="B7B7B7" w:sz="4" w:space="0"/>
              <w:right w:val="single" w:color="B7B7B7" w:sz="4" w:space="0"/>
            </w:tcBorders>
            <w:vAlign w:val="center"/>
          </w:tcPr>
          <w:p w14:paraId="53476209">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万元</w:t>
            </w:r>
          </w:p>
        </w:tc>
        <w:tc>
          <w:tcPr>
            <w:tcW w:w="891" w:type="dxa"/>
            <w:tcBorders>
              <w:top w:val="single" w:color="B7B7B7" w:sz="4" w:space="0"/>
              <w:left w:val="single" w:color="B7B7B7" w:sz="4" w:space="0"/>
              <w:bottom w:val="single" w:color="B7B7B7" w:sz="4" w:space="0"/>
              <w:right w:val="single" w:color="B7B7B7" w:sz="4" w:space="0"/>
            </w:tcBorders>
            <w:vAlign w:val="center"/>
          </w:tcPr>
          <w:p w14:paraId="5347620A">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Y≥20000</w:t>
            </w:r>
          </w:p>
        </w:tc>
        <w:tc>
          <w:tcPr>
            <w:tcW w:w="1500" w:type="dxa"/>
            <w:tcBorders>
              <w:top w:val="single" w:color="B7B7B7" w:sz="4" w:space="0"/>
              <w:left w:val="single" w:color="B7B7B7" w:sz="4" w:space="0"/>
              <w:bottom w:val="single" w:color="B7B7B7" w:sz="4" w:space="0"/>
              <w:right w:val="single" w:color="B7B7B7" w:sz="4" w:space="0"/>
            </w:tcBorders>
            <w:vAlign w:val="center"/>
          </w:tcPr>
          <w:p w14:paraId="5347620B">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500≤Y＜20000</w:t>
            </w:r>
          </w:p>
        </w:tc>
        <w:tc>
          <w:tcPr>
            <w:tcW w:w="1470" w:type="dxa"/>
            <w:tcBorders>
              <w:top w:val="single" w:color="B7B7B7" w:sz="4" w:space="0"/>
              <w:left w:val="single" w:color="B7B7B7" w:sz="4" w:space="0"/>
              <w:bottom w:val="single" w:color="B7B7B7" w:sz="4" w:space="0"/>
              <w:right w:val="single" w:color="B7B7B7" w:sz="4" w:space="0"/>
            </w:tcBorders>
            <w:vAlign w:val="center"/>
          </w:tcPr>
          <w:p w14:paraId="5347620C">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50≤Y＜500</w:t>
            </w:r>
          </w:p>
        </w:tc>
        <w:tc>
          <w:tcPr>
            <w:tcW w:w="900" w:type="dxa"/>
            <w:tcBorders>
              <w:top w:val="single" w:color="B7B7B7" w:sz="4" w:space="0"/>
              <w:left w:val="single" w:color="B7B7B7" w:sz="4" w:space="0"/>
              <w:bottom w:val="single" w:color="B7B7B7" w:sz="4" w:space="0"/>
              <w:right w:val="single" w:color="B7B7B7" w:sz="4" w:space="0"/>
            </w:tcBorders>
            <w:vAlign w:val="center"/>
          </w:tcPr>
          <w:p w14:paraId="5347620D">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Y＜50</w:t>
            </w:r>
          </w:p>
        </w:tc>
      </w:tr>
      <w:tr w14:paraId="53476216">
        <w:tblPrEx>
          <w:tblCellMar>
            <w:top w:w="0" w:type="dxa"/>
            <w:left w:w="0" w:type="dxa"/>
            <w:bottom w:w="0" w:type="dxa"/>
            <w:right w:w="0" w:type="dxa"/>
          </w:tblCellMar>
        </w:tblPrEx>
        <w:trPr>
          <w:jc w:val="center"/>
        </w:trPr>
        <w:tc>
          <w:tcPr>
            <w:tcW w:w="1755" w:type="dxa"/>
            <w:vMerge w:val="restart"/>
            <w:tcBorders>
              <w:top w:val="single" w:color="B7B7B7" w:sz="4" w:space="0"/>
              <w:left w:val="single" w:color="B7B7B7" w:sz="4" w:space="0"/>
              <w:bottom w:val="single" w:color="B7B7B7" w:sz="4" w:space="0"/>
              <w:right w:val="single" w:color="B7B7B7" w:sz="4" w:space="0"/>
            </w:tcBorders>
            <w:vAlign w:val="center"/>
          </w:tcPr>
          <w:p w14:paraId="5347620F">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工业 *</w:t>
            </w:r>
          </w:p>
        </w:tc>
        <w:tc>
          <w:tcPr>
            <w:tcW w:w="1361" w:type="dxa"/>
            <w:tcBorders>
              <w:top w:val="single" w:color="B7B7B7" w:sz="4" w:space="0"/>
              <w:left w:val="single" w:color="B7B7B7" w:sz="4" w:space="0"/>
              <w:bottom w:val="single" w:color="B7B7B7" w:sz="4" w:space="0"/>
              <w:right w:val="single" w:color="B7B7B7" w:sz="4" w:space="0"/>
            </w:tcBorders>
            <w:vAlign w:val="center"/>
          </w:tcPr>
          <w:p w14:paraId="53476210">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从业人员(X)</w:t>
            </w:r>
          </w:p>
        </w:tc>
        <w:tc>
          <w:tcPr>
            <w:tcW w:w="1123" w:type="dxa"/>
            <w:tcBorders>
              <w:top w:val="single" w:color="B7B7B7" w:sz="4" w:space="0"/>
              <w:left w:val="single" w:color="B7B7B7" w:sz="4" w:space="0"/>
              <w:bottom w:val="single" w:color="B7B7B7" w:sz="4" w:space="0"/>
              <w:right w:val="single" w:color="B7B7B7" w:sz="4" w:space="0"/>
            </w:tcBorders>
            <w:vAlign w:val="center"/>
          </w:tcPr>
          <w:p w14:paraId="53476211">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人</w:t>
            </w:r>
          </w:p>
        </w:tc>
        <w:tc>
          <w:tcPr>
            <w:tcW w:w="891" w:type="dxa"/>
            <w:tcBorders>
              <w:top w:val="single" w:color="B7B7B7" w:sz="4" w:space="0"/>
              <w:left w:val="single" w:color="B7B7B7" w:sz="4" w:space="0"/>
              <w:bottom w:val="single" w:color="B7B7B7" w:sz="4" w:space="0"/>
              <w:right w:val="single" w:color="B7B7B7" w:sz="4" w:space="0"/>
            </w:tcBorders>
            <w:vAlign w:val="center"/>
          </w:tcPr>
          <w:p w14:paraId="53476212">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X≥1000</w:t>
            </w:r>
          </w:p>
        </w:tc>
        <w:tc>
          <w:tcPr>
            <w:tcW w:w="1500" w:type="dxa"/>
            <w:tcBorders>
              <w:top w:val="single" w:color="B7B7B7" w:sz="4" w:space="0"/>
              <w:left w:val="single" w:color="B7B7B7" w:sz="4" w:space="0"/>
              <w:bottom w:val="single" w:color="B7B7B7" w:sz="4" w:space="0"/>
              <w:right w:val="single" w:color="B7B7B7" w:sz="4" w:space="0"/>
            </w:tcBorders>
            <w:vAlign w:val="center"/>
          </w:tcPr>
          <w:p w14:paraId="53476213">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300≤X＜1000</w:t>
            </w:r>
          </w:p>
        </w:tc>
        <w:tc>
          <w:tcPr>
            <w:tcW w:w="1470" w:type="dxa"/>
            <w:tcBorders>
              <w:top w:val="single" w:color="B7B7B7" w:sz="4" w:space="0"/>
              <w:left w:val="single" w:color="B7B7B7" w:sz="4" w:space="0"/>
              <w:bottom w:val="single" w:color="B7B7B7" w:sz="4" w:space="0"/>
              <w:right w:val="single" w:color="B7B7B7" w:sz="4" w:space="0"/>
            </w:tcBorders>
            <w:vAlign w:val="center"/>
          </w:tcPr>
          <w:p w14:paraId="53476214">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20≤X＜300</w:t>
            </w:r>
          </w:p>
        </w:tc>
        <w:tc>
          <w:tcPr>
            <w:tcW w:w="900" w:type="dxa"/>
            <w:tcBorders>
              <w:top w:val="single" w:color="B7B7B7" w:sz="4" w:space="0"/>
              <w:left w:val="single" w:color="B7B7B7" w:sz="4" w:space="0"/>
              <w:bottom w:val="single" w:color="B7B7B7" w:sz="4" w:space="0"/>
              <w:right w:val="single" w:color="B7B7B7" w:sz="4" w:space="0"/>
            </w:tcBorders>
            <w:vAlign w:val="center"/>
          </w:tcPr>
          <w:p w14:paraId="53476215">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X＜20</w:t>
            </w:r>
          </w:p>
        </w:tc>
      </w:tr>
      <w:tr w14:paraId="5347621E">
        <w:tblPrEx>
          <w:tblCellMar>
            <w:top w:w="0" w:type="dxa"/>
            <w:left w:w="0" w:type="dxa"/>
            <w:bottom w:w="0" w:type="dxa"/>
            <w:right w:w="0" w:type="dxa"/>
          </w:tblCellMar>
        </w:tblPrEx>
        <w:trPr>
          <w:jc w:val="center"/>
        </w:trPr>
        <w:tc>
          <w:tcPr>
            <w:tcW w:w="1755" w:type="dxa"/>
            <w:vMerge w:val="continue"/>
            <w:tcBorders>
              <w:top w:val="single" w:color="B7B7B7" w:sz="4" w:space="0"/>
              <w:left w:val="single" w:color="B7B7B7" w:sz="4" w:space="0"/>
              <w:bottom w:val="single" w:color="B7B7B7" w:sz="4" w:space="0"/>
              <w:right w:val="single" w:color="B7B7B7" w:sz="4" w:space="0"/>
            </w:tcBorders>
            <w:vAlign w:val="center"/>
          </w:tcPr>
          <w:p w14:paraId="53476217">
            <w:pPr>
              <w:jc w:val="center"/>
              <w:rPr>
                <w:rFonts w:ascii="宋体" w:hAnsi="宋体" w:cs="宋体"/>
                <w:color w:val="auto"/>
                <w:sz w:val="24"/>
                <w:szCs w:val="21"/>
                <w:highlight w:val="none"/>
              </w:rPr>
            </w:pPr>
          </w:p>
        </w:tc>
        <w:tc>
          <w:tcPr>
            <w:tcW w:w="1361" w:type="dxa"/>
            <w:tcBorders>
              <w:top w:val="single" w:color="B7B7B7" w:sz="4" w:space="0"/>
              <w:left w:val="single" w:color="B7B7B7" w:sz="4" w:space="0"/>
              <w:bottom w:val="single" w:color="B7B7B7" w:sz="4" w:space="0"/>
              <w:right w:val="single" w:color="B7B7B7" w:sz="4" w:space="0"/>
            </w:tcBorders>
            <w:vAlign w:val="center"/>
          </w:tcPr>
          <w:p w14:paraId="53476218">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营业收入(Y)</w:t>
            </w:r>
          </w:p>
        </w:tc>
        <w:tc>
          <w:tcPr>
            <w:tcW w:w="1123" w:type="dxa"/>
            <w:tcBorders>
              <w:top w:val="single" w:color="B7B7B7" w:sz="4" w:space="0"/>
              <w:left w:val="single" w:color="B7B7B7" w:sz="4" w:space="0"/>
              <w:bottom w:val="single" w:color="B7B7B7" w:sz="4" w:space="0"/>
              <w:right w:val="single" w:color="B7B7B7" w:sz="4" w:space="0"/>
            </w:tcBorders>
            <w:vAlign w:val="center"/>
          </w:tcPr>
          <w:p w14:paraId="53476219">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万元</w:t>
            </w:r>
          </w:p>
        </w:tc>
        <w:tc>
          <w:tcPr>
            <w:tcW w:w="891" w:type="dxa"/>
            <w:tcBorders>
              <w:top w:val="single" w:color="B7B7B7" w:sz="4" w:space="0"/>
              <w:left w:val="single" w:color="B7B7B7" w:sz="4" w:space="0"/>
              <w:bottom w:val="single" w:color="B7B7B7" w:sz="4" w:space="0"/>
              <w:right w:val="single" w:color="B7B7B7" w:sz="4" w:space="0"/>
            </w:tcBorders>
            <w:vAlign w:val="center"/>
          </w:tcPr>
          <w:p w14:paraId="5347621A">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Y≥40000</w:t>
            </w:r>
          </w:p>
        </w:tc>
        <w:tc>
          <w:tcPr>
            <w:tcW w:w="1500" w:type="dxa"/>
            <w:tcBorders>
              <w:top w:val="single" w:color="B7B7B7" w:sz="4" w:space="0"/>
              <w:left w:val="single" w:color="B7B7B7" w:sz="4" w:space="0"/>
              <w:bottom w:val="single" w:color="B7B7B7" w:sz="4" w:space="0"/>
              <w:right w:val="single" w:color="B7B7B7" w:sz="4" w:space="0"/>
            </w:tcBorders>
            <w:vAlign w:val="center"/>
          </w:tcPr>
          <w:p w14:paraId="5347621B">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2000≤Y＜40000</w:t>
            </w:r>
          </w:p>
        </w:tc>
        <w:tc>
          <w:tcPr>
            <w:tcW w:w="1470" w:type="dxa"/>
            <w:tcBorders>
              <w:top w:val="single" w:color="B7B7B7" w:sz="4" w:space="0"/>
              <w:left w:val="single" w:color="B7B7B7" w:sz="4" w:space="0"/>
              <w:bottom w:val="single" w:color="B7B7B7" w:sz="4" w:space="0"/>
              <w:right w:val="single" w:color="B7B7B7" w:sz="4" w:space="0"/>
            </w:tcBorders>
            <w:vAlign w:val="center"/>
          </w:tcPr>
          <w:p w14:paraId="5347621C">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300≤Y＜2000</w:t>
            </w:r>
          </w:p>
        </w:tc>
        <w:tc>
          <w:tcPr>
            <w:tcW w:w="900" w:type="dxa"/>
            <w:tcBorders>
              <w:top w:val="single" w:color="B7B7B7" w:sz="4" w:space="0"/>
              <w:left w:val="single" w:color="B7B7B7" w:sz="4" w:space="0"/>
              <w:bottom w:val="single" w:color="B7B7B7" w:sz="4" w:space="0"/>
              <w:right w:val="single" w:color="B7B7B7" w:sz="4" w:space="0"/>
            </w:tcBorders>
            <w:vAlign w:val="center"/>
          </w:tcPr>
          <w:p w14:paraId="5347621D">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Y＜300</w:t>
            </w:r>
          </w:p>
        </w:tc>
      </w:tr>
      <w:tr w14:paraId="53476226">
        <w:tblPrEx>
          <w:tblCellMar>
            <w:top w:w="0" w:type="dxa"/>
            <w:left w:w="0" w:type="dxa"/>
            <w:bottom w:w="0" w:type="dxa"/>
            <w:right w:w="0" w:type="dxa"/>
          </w:tblCellMar>
        </w:tblPrEx>
        <w:trPr>
          <w:jc w:val="center"/>
        </w:trPr>
        <w:tc>
          <w:tcPr>
            <w:tcW w:w="1755" w:type="dxa"/>
            <w:vMerge w:val="restart"/>
            <w:tcBorders>
              <w:top w:val="single" w:color="B7B7B7" w:sz="4" w:space="0"/>
              <w:left w:val="single" w:color="B7B7B7" w:sz="4" w:space="0"/>
              <w:bottom w:val="single" w:color="B7B7B7" w:sz="4" w:space="0"/>
              <w:right w:val="single" w:color="B7B7B7" w:sz="4" w:space="0"/>
            </w:tcBorders>
            <w:vAlign w:val="center"/>
          </w:tcPr>
          <w:p w14:paraId="5347621F">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建筑业</w:t>
            </w:r>
          </w:p>
        </w:tc>
        <w:tc>
          <w:tcPr>
            <w:tcW w:w="1361" w:type="dxa"/>
            <w:tcBorders>
              <w:top w:val="single" w:color="B7B7B7" w:sz="4" w:space="0"/>
              <w:left w:val="single" w:color="B7B7B7" w:sz="4" w:space="0"/>
              <w:bottom w:val="single" w:color="B7B7B7" w:sz="4" w:space="0"/>
              <w:right w:val="single" w:color="B7B7B7" w:sz="4" w:space="0"/>
            </w:tcBorders>
            <w:vAlign w:val="center"/>
          </w:tcPr>
          <w:p w14:paraId="53476220">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营业收入(Y)</w:t>
            </w:r>
          </w:p>
        </w:tc>
        <w:tc>
          <w:tcPr>
            <w:tcW w:w="1123" w:type="dxa"/>
            <w:tcBorders>
              <w:top w:val="single" w:color="B7B7B7" w:sz="4" w:space="0"/>
              <w:left w:val="single" w:color="B7B7B7" w:sz="4" w:space="0"/>
              <w:bottom w:val="single" w:color="B7B7B7" w:sz="4" w:space="0"/>
              <w:right w:val="single" w:color="B7B7B7" w:sz="4" w:space="0"/>
            </w:tcBorders>
            <w:vAlign w:val="center"/>
          </w:tcPr>
          <w:p w14:paraId="53476221">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万元</w:t>
            </w:r>
          </w:p>
        </w:tc>
        <w:tc>
          <w:tcPr>
            <w:tcW w:w="891" w:type="dxa"/>
            <w:tcBorders>
              <w:top w:val="single" w:color="B7B7B7" w:sz="4" w:space="0"/>
              <w:left w:val="single" w:color="B7B7B7" w:sz="4" w:space="0"/>
              <w:bottom w:val="single" w:color="B7B7B7" w:sz="4" w:space="0"/>
              <w:right w:val="single" w:color="B7B7B7" w:sz="4" w:space="0"/>
            </w:tcBorders>
            <w:vAlign w:val="center"/>
          </w:tcPr>
          <w:p w14:paraId="53476222">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Y≥80000</w:t>
            </w:r>
          </w:p>
        </w:tc>
        <w:tc>
          <w:tcPr>
            <w:tcW w:w="1500" w:type="dxa"/>
            <w:tcBorders>
              <w:top w:val="single" w:color="B7B7B7" w:sz="4" w:space="0"/>
              <w:left w:val="single" w:color="B7B7B7" w:sz="4" w:space="0"/>
              <w:bottom w:val="single" w:color="B7B7B7" w:sz="4" w:space="0"/>
              <w:right w:val="single" w:color="B7B7B7" w:sz="4" w:space="0"/>
            </w:tcBorders>
            <w:vAlign w:val="center"/>
          </w:tcPr>
          <w:p w14:paraId="53476223">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6000≤Y＜80000</w:t>
            </w:r>
          </w:p>
        </w:tc>
        <w:tc>
          <w:tcPr>
            <w:tcW w:w="1470" w:type="dxa"/>
            <w:tcBorders>
              <w:top w:val="single" w:color="B7B7B7" w:sz="4" w:space="0"/>
              <w:left w:val="single" w:color="B7B7B7" w:sz="4" w:space="0"/>
              <w:bottom w:val="single" w:color="B7B7B7" w:sz="4" w:space="0"/>
              <w:right w:val="single" w:color="B7B7B7" w:sz="4" w:space="0"/>
            </w:tcBorders>
            <w:vAlign w:val="center"/>
          </w:tcPr>
          <w:p w14:paraId="53476224">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300≤Y＜6000</w:t>
            </w:r>
          </w:p>
        </w:tc>
        <w:tc>
          <w:tcPr>
            <w:tcW w:w="900" w:type="dxa"/>
            <w:tcBorders>
              <w:top w:val="single" w:color="B7B7B7" w:sz="4" w:space="0"/>
              <w:left w:val="single" w:color="B7B7B7" w:sz="4" w:space="0"/>
              <w:bottom w:val="single" w:color="B7B7B7" w:sz="4" w:space="0"/>
              <w:right w:val="single" w:color="B7B7B7" w:sz="4" w:space="0"/>
            </w:tcBorders>
            <w:vAlign w:val="center"/>
          </w:tcPr>
          <w:p w14:paraId="53476225">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Y＜300</w:t>
            </w:r>
          </w:p>
        </w:tc>
      </w:tr>
      <w:tr w14:paraId="5347622E">
        <w:tblPrEx>
          <w:tblCellMar>
            <w:top w:w="0" w:type="dxa"/>
            <w:left w:w="0" w:type="dxa"/>
            <w:bottom w:w="0" w:type="dxa"/>
            <w:right w:w="0" w:type="dxa"/>
          </w:tblCellMar>
        </w:tblPrEx>
        <w:trPr>
          <w:trHeight w:val="451" w:hRule="atLeast"/>
          <w:jc w:val="center"/>
        </w:trPr>
        <w:tc>
          <w:tcPr>
            <w:tcW w:w="1755" w:type="dxa"/>
            <w:vMerge w:val="continue"/>
            <w:tcBorders>
              <w:top w:val="single" w:color="B7B7B7" w:sz="4" w:space="0"/>
              <w:left w:val="single" w:color="B7B7B7" w:sz="4" w:space="0"/>
              <w:bottom w:val="single" w:color="B7B7B7" w:sz="4" w:space="0"/>
              <w:right w:val="single" w:color="B7B7B7" w:sz="4" w:space="0"/>
            </w:tcBorders>
            <w:vAlign w:val="center"/>
          </w:tcPr>
          <w:p w14:paraId="53476227">
            <w:pPr>
              <w:jc w:val="center"/>
              <w:rPr>
                <w:rFonts w:ascii="宋体" w:hAnsi="宋体" w:cs="宋体"/>
                <w:color w:val="auto"/>
                <w:sz w:val="24"/>
                <w:szCs w:val="21"/>
                <w:highlight w:val="none"/>
              </w:rPr>
            </w:pPr>
          </w:p>
        </w:tc>
        <w:tc>
          <w:tcPr>
            <w:tcW w:w="1361" w:type="dxa"/>
            <w:tcBorders>
              <w:top w:val="single" w:color="B7B7B7" w:sz="4" w:space="0"/>
              <w:left w:val="single" w:color="B7B7B7" w:sz="4" w:space="0"/>
              <w:bottom w:val="single" w:color="B7B7B7" w:sz="4" w:space="0"/>
              <w:right w:val="single" w:color="B7B7B7" w:sz="4" w:space="0"/>
            </w:tcBorders>
            <w:vAlign w:val="center"/>
          </w:tcPr>
          <w:p w14:paraId="53476228">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资产总额(Z)</w:t>
            </w:r>
          </w:p>
        </w:tc>
        <w:tc>
          <w:tcPr>
            <w:tcW w:w="1123" w:type="dxa"/>
            <w:tcBorders>
              <w:top w:val="single" w:color="B7B7B7" w:sz="4" w:space="0"/>
              <w:left w:val="single" w:color="B7B7B7" w:sz="4" w:space="0"/>
              <w:bottom w:val="single" w:color="B7B7B7" w:sz="4" w:space="0"/>
              <w:right w:val="single" w:color="B7B7B7" w:sz="4" w:space="0"/>
            </w:tcBorders>
            <w:vAlign w:val="center"/>
          </w:tcPr>
          <w:p w14:paraId="53476229">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万元</w:t>
            </w:r>
          </w:p>
        </w:tc>
        <w:tc>
          <w:tcPr>
            <w:tcW w:w="891" w:type="dxa"/>
            <w:tcBorders>
              <w:top w:val="single" w:color="B7B7B7" w:sz="4" w:space="0"/>
              <w:left w:val="single" w:color="B7B7B7" w:sz="4" w:space="0"/>
              <w:bottom w:val="single" w:color="B7B7B7" w:sz="4" w:space="0"/>
              <w:right w:val="single" w:color="B7B7B7" w:sz="4" w:space="0"/>
            </w:tcBorders>
            <w:vAlign w:val="center"/>
          </w:tcPr>
          <w:p w14:paraId="5347622A">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Z≥80000</w:t>
            </w:r>
          </w:p>
        </w:tc>
        <w:tc>
          <w:tcPr>
            <w:tcW w:w="1500" w:type="dxa"/>
            <w:tcBorders>
              <w:top w:val="single" w:color="B7B7B7" w:sz="4" w:space="0"/>
              <w:left w:val="single" w:color="B7B7B7" w:sz="4" w:space="0"/>
              <w:bottom w:val="single" w:color="B7B7B7" w:sz="4" w:space="0"/>
              <w:right w:val="single" w:color="B7B7B7" w:sz="4" w:space="0"/>
            </w:tcBorders>
            <w:vAlign w:val="center"/>
          </w:tcPr>
          <w:p w14:paraId="5347622B">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5000≤Z＜80000</w:t>
            </w:r>
          </w:p>
        </w:tc>
        <w:tc>
          <w:tcPr>
            <w:tcW w:w="1470" w:type="dxa"/>
            <w:tcBorders>
              <w:top w:val="single" w:color="B7B7B7" w:sz="4" w:space="0"/>
              <w:left w:val="single" w:color="B7B7B7" w:sz="4" w:space="0"/>
              <w:bottom w:val="single" w:color="B7B7B7" w:sz="4" w:space="0"/>
              <w:right w:val="single" w:color="B7B7B7" w:sz="4" w:space="0"/>
            </w:tcBorders>
            <w:vAlign w:val="center"/>
          </w:tcPr>
          <w:p w14:paraId="5347622C">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300≤Z＜5000</w:t>
            </w:r>
          </w:p>
        </w:tc>
        <w:tc>
          <w:tcPr>
            <w:tcW w:w="900" w:type="dxa"/>
            <w:tcBorders>
              <w:top w:val="single" w:color="B7B7B7" w:sz="4" w:space="0"/>
              <w:left w:val="single" w:color="B7B7B7" w:sz="4" w:space="0"/>
              <w:bottom w:val="single" w:color="B7B7B7" w:sz="4" w:space="0"/>
              <w:right w:val="single" w:color="B7B7B7" w:sz="4" w:space="0"/>
            </w:tcBorders>
            <w:vAlign w:val="center"/>
          </w:tcPr>
          <w:p w14:paraId="5347622D">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Z＜300</w:t>
            </w:r>
          </w:p>
        </w:tc>
      </w:tr>
      <w:tr w14:paraId="53476236">
        <w:tblPrEx>
          <w:tblCellMar>
            <w:top w:w="0" w:type="dxa"/>
            <w:left w:w="0" w:type="dxa"/>
            <w:bottom w:w="0" w:type="dxa"/>
            <w:right w:w="0" w:type="dxa"/>
          </w:tblCellMar>
        </w:tblPrEx>
        <w:trPr>
          <w:jc w:val="center"/>
        </w:trPr>
        <w:tc>
          <w:tcPr>
            <w:tcW w:w="1755" w:type="dxa"/>
            <w:vMerge w:val="restart"/>
            <w:tcBorders>
              <w:top w:val="single" w:color="B7B7B7" w:sz="4" w:space="0"/>
              <w:left w:val="single" w:color="B7B7B7" w:sz="4" w:space="0"/>
              <w:bottom w:val="single" w:color="B7B7B7" w:sz="4" w:space="0"/>
              <w:right w:val="single" w:color="B7B7B7" w:sz="4" w:space="0"/>
            </w:tcBorders>
            <w:vAlign w:val="center"/>
          </w:tcPr>
          <w:p w14:paraId="5347622F">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批发业</w:t>
            </w:r>
          </w:p>
        </w:tc>
        <w:tc>
          <w:tcPr>
            <w:tcW w:w="1361" w:type="dxa"/>
            <w:tcBorders>
              <w:top w:val="single" w:color="B7B7B7" w:sz="4" w:space="0"/>
              <w:left w:val="single" w:color="B7B7B7" w:sz="4" w:space="0"/>
              <w:bottom w:val="single" w:color="B7B7B7" w:sz="4" w:space="0"/>
              <w:right w:val="single" w:color="B7B7B7" w:sz="4" w:space="0"/>
            </w:tcBorders>
            <w:vAlign w:val="center"/>
          </w:tcPr>
          <w:p w14:paraId="53476230">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从业人员(X)</w:t>
            </w:r>
          </w:p>
        </w:tc>
        <w:tc>
          <w:tcPr>
            <w:tcW w:w="1123" w:type="dxa"/>
            <w:tcBorders>
              <w:top w:val="single" w:color="B7B7B7" w:sz="4" w:space="0"/>
              <w:left w:val="single" w:color="B7B7B7" w:sz="4" w:space="0"/>
              <w:bottom w:val="single" w:color="B7B7B7" w:sz="4" w:space="0"/>
              <w:right w:val="single" w:color="B7B7B7" w:sz="4" w:space="0"/>
            </w:tcBorders>
            <w:vAlign w:val="center"/>
          </w:tcPr>
          <w:p w14:paraId="53476231">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人</w:t>
            </w:r>
          </w:p>
        </w:tc>
        <w:tc>
          <w:tcPr>
            <w:tcW w:w="891" w:type="dxa"/>
            <w:tcBorders>
              <w:top w:val="single" w:color="B7B7B7" w:sz="4" w:space="0"/>
              <w:left w:val="single" w:color="B7B7B7" w:sz="4" w:space="0"/>
              <w:bottom w:val="single" w:color="B7B7B7" w:sz="4" w:space="0"/>
              <w:right w:val="single" w:color="B7B7B7" w:sz="4" w:space="0"/>
            </w:tcBorders>
            <w:vAlign w:val="center"/>
          </w:tcPr>
          <w:p w14:paraId="53476232">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X≥200</w:t>
            </w:r>
          </w:p>
        </w:tc>
        <w:tc>
          <w:tcPr>
            <w:tcW w:w="1500" w:type="dxa"/>
            <w:tcBorders>
              <w:top w:val="single" w:color="B7B7B7" w:sz="4" w:space="0"/>
              <w:left w:val="single" w:color="B7B7B7" w:sz="4" w:space="0"/>
              <w:bottom w:val="single" w:color="B7B7B7" w:sz="4" w:space="0"/>
              <w:right w:val="single" w:color="B7B7B7" w:sz="4" w:space="0"/>
            </w:tcBorders>
            <w:vAlign w:val="center"/>
          </w:tcPr>
          <w:p w14:paraId="53476233">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20≤X＜200</w:t>
            </w:r>
          </w:p>
        </w:tc>
        <w:tc>
          <w:tcPr>
            <w:tcW w:w="1470" w:type="dxa"/>
            <w:tcBorders>
              <w:top w:val="single" w:color="B7B7B7" w:sz="4" w:space="0"/>
              <w:left w:val="single" w:color="B7B7B7" w:sz="4" w:space="0"/>
              <w:bottom w:val="single" w:color="B7B7B7" w:sz="4" w:space="0"/>
              <w:right w:val="single" w:color="B7B7B7" w:sz="4" w:space="0"/>
            </w:tcBorders>
            <w:vAlign w:val="center"/>
          </w:tcPr>
          <w:p w14:paraId="53476234">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5≤X＜20</w:t>
            </w:r>
          </w:p>
        </w:tc>
        <w:tc>
          <w:tcPr>
            <w:tcW w:w="900" w:type="dxa"/>
            <w:tcBorders>
              <w:top w:val="single" w:color="B7B7B7" w:sz="4" w:space="0"/>
              <w:left w:val="single" w:color="B7B7B7" w:sz="4" w:space="0"/>
              <w:bottom w:val="single" w:color="B7B7B7" w:sz="4" w:space="0"/>
              <w:right w:val="single" w:color="B7B7B7" w:sz="4" w:space="0"/>
            </w:tcBorders>
            <w:vAlign w:val="center"/>
          </w:tcPr>
          <w:p w14:paraId="53476235">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X＜5</w:t>
            </w:r>
          </w:p>
        </w:tc>
      </w:tr>
      <w:tr w14:paraId="5347623E">
        <w:tblPrEx>
          <w:tblCellMar>
            <w:top w:w="0" w:type="dxa"/>
            <w:left w:w="0" w:type="dxa"/>
            <w:bottom w:w="0" w:type="dxa"/>
            <w:right w:w="0" w:type="dxa"/>
          </w:tblCellMar>
        </w:tblPrEx>
        <w:trPr>
          <w:jc w:val="center"/>
        </w:trPr>
        <w:tc>
          <w:tcPr>
            <w:tcW w:w="1755" w:type="dxa"/>
            <w:vMerge w:val="continue"/>
            <w:tcBorders>
              <w:top w:val="single" w:color="B7B7B7" w:sz="4" w:space="0"/>
              <w:left w:val="single" w:color="B7B7B7" w:sz="4" w:space="0"/>
              <w:bottom w:val="single" w:color="B7B7B7" w:sz="4" w:space="0"/>
              <w:right w:val="single" w:color="B7B7B7" w:sz="4" w:space="0"/>
            </w:tcBorders>
            <w:vAlign w:val="center"/>
          </w:tcPr>
          <w:p w14:paraId="53476237">
            <w:pPr>
              <w:jc w:val="center"/>
              <w:rPr>
                <w:rFonts w:ascii="宋体" w:hAnsi="宋体" w:cs="宋体"/>
                <w:color w:val="auto"/>
                <w:sz w:val="24"/>
                <w:szCs w:val="21"/>
                <w:highlight w:val="none"/>
              </w:rPr>
            </w:pPr>
          </w:p>
        </w:tc>
        <w:tc>
          <w:tcPr>
            <w:tcW w:w="1361" w:type="dxa"/>
            <w:tcBorders>
              <w:top w:val="single" w:color="B7B7B7" w:sz="4" w:space="0"/>
              <w:left w:val="single" w:color="B7B7B7" w:sz="4" w:space="0"/>
              <w:bottom w:val="single" w:color="B7B7B7" w:sz="4" w:space="0"/>
              <w:right w:val="single" w:color="B7B7B7" w:sz="4" w:space="0"/>
            </w:tcBorders>
            <w:vAlign w:val="center"/>
          </w:tcPr>
          <w:p w14:paraId="53476238">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营业收入(Y)</w:t>
            </w:r>
          </w:p>
        </w:tc>
        <w:tc>
          <w:tcPr>
            <w:tcW w:w="1123" w:type="dxa"/>
            <w:tcBorders>
              <w:top w:val="single" w:color="B7B7B7" w:sz="4" w:space="0"/>
              <w:left w:val="single" w:color="B7B7B7" w:sz="4" w:space="0"/>
              <w:bottom w:val="single" w:color="B7B7B7" w:sz="4" w:space="0"/>
              <w:right w:val="single" w:color="B7B7B7" w:sz="4" w:space="0"/>
            </w:tcBorders>
            <w:vAlign w:val="center"/>
          </w:tcPr>
          <w:p w14:paraId="53476239">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万元</w:t>
            </w:r>
          </w:p>
        </w:tc>
        <w:tc>
          <w:tcPr>
            <w:tcW w:w="891" w:type="dxa"/>
            <w:tcBorders>
              <w:top w:val="single" w:color="B7B7B7" w:sz="4" w:space="0"/>
              <w:left w:val="single" w:color="B7B7B7" w:sz="4" w:space="0"/>
              <w:bottom w:val="single" w:color="B7B7B7" w:sz="4" w:space="0"/>
              <w:right w:val="single" w:color="B7B7B7" w:sz="4" w:space="0"/>
            </w:tcBorders>
            <w:vAlign w:val="center"/>
          </w:tcPr>
          <w:p w14:paraId="5347623A">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Y≥40000</w:t>
            </w:r>
          </w:p>
        </w:tc>
        <w:tc>
          <w:tcPr>
            <w:tcW w:w="1500" w:type="dxa"/>
            <w:tcBorders>
              <w:top w:val="single" w:color="B7B7B7" w:sz="4" w:space="0"/>
              <w:left w:val="single" w:color="B7B7B7" w:sz="4" w:space="0"/>
              <w:bottom w:val="single" w:color="B7B7B7" w:sz="4" w:space="0"/>
              <w:right w:val="single" w:color="B7B7B7" w:sz="4" w:space="0"/>
            </w:tcBorders>
            <w:vAlign w:val="center"/>
          </w:tcPr>
          <w:p w14:paraId="5347623B">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5000≤Y＜40000</w:t>
            </w:r>
          </w:p>
        </w:tc>
        <w:tc>
          <w:tcPr>
            <w:tcW w:w="1470" w:type="dxa"/>
            <w:tcBorders>
              <w:top w:val="single" w:color="B7B7B7" w:sz="4" w:space="0"/>
              <w:left w:val="single" w:color="B7B7B7" w:sz="4" w:space="0"/>
              <w:bottom w:val="single" w:color="B7B7B7" w:sz="4" w:space="0"/>
              <w:right w:val="single" w:color="B7B7B7" w:sz="4" w:space="0"/>
            </w:tcBorders>
            <w:vAlign w:val="center"/>
          </w:tcPr>
          <w:p w14:paraId="5347623C">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1000≤Y＜5000</w:t>
            </w:r>
          </w:p>
        </w:tc>
        <w:tc>
          <w:tcPr>
            <w:tcW w:w="900" w:type="dxa"/>
            <w:tcBorders>
              <w:top w:val="single" w:color="B7B7B7" w:sz="4" w:space="0"/>
              <w:left w:val="single" w:color="B7B7B7" w:sz="4" w:space="0"/>
              <w:bottom w:val="single" w:color="B7B7B7" w:sz="4" w:space="0"/>
              <w:right w:val="single" w:color="B7B7B7" w:sz="4" w:space="0"/>
            </w:tcBorders>
            <w:vAlign w:val="center"/>
          </w:tcPr>
          <w:p w14:paraId="5347623D">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Y＜1000</w:t>
            </w:r>
          </w:p>
        </w:tc>
      </w:tr>
      <w:tr w14:paraId="53476246">
        <w:tblPrEx>
          <w:tblCellMar>
            <w:top w:w="0" w:type="dxa"/>
            <w:left w:w="0" w:type="dxa"/>
            <w:bottom w:w="0" w:type="dxa"/>
            <w:right w:w="0" w:type="dxa"/>
          </w:tblCellMar>
        </w:tblPrEx>
        <w:trPr>
          <w:jc w:val="center"/>
        </w:trPr>
        <w:tc>
          <w:tcPr>
            <w:tcW w:w="1755" w:type="dxa"/>
            <w:vMerge w:val="restart"/>
            <w:tcBorders>
              <w:top w:val="single" w:color="B7B7B7" w:sz="4" w:space="0"/>
              <w:left w:val="single" w:color="B7B7B7" w:sz="4" w:space="0"/>
              <w:bottom w:val="single" w:color="B7B7B7" w:sz="4" w:space="0"/>
              <w:right w:val="single" w:color="B7B7B7" w:sz="4" w:space="0"/>
            </w:tcBorders>
            <w:vAlign w:val="center"/>
          </w:tcPr>
          <w:p w14:paraId="5347623F">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零售业</w:t>
            </w:r>
          </w:p>
        </w:tc>
        <w:tc>
          <w:tcPr>
            <w:tcW w:w="1361" w:type="dxa"/>
            <w:tcBorders>
              <w:top w:val="single" w:color="B7B7B7" w:sz="4" w:space="0"/>
              <w:left w:val="single" w:color="B7B7B7" w:sz="4" w:space="0"/>
              <w:bottom w:val="single" w:color="B7B7B7" w:sz="4" w:space="0"/>
              <w:right w:val="single" w:color="B7B7B7" w:sz="4" w:space="0"/>
            </w:tcBorders>
            <w:vAlign w:val="center"/>
          </w:tcPr>
          <w:p w14:paraId="53476240">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从业人员(X)</w:t>
            </w:r>
          </w:p>
        </w:tc>
        <w:tc>
          <w:tcPr>
            <w:tcW w:w="1123" w:type="dxa"/>
            <w:tcBorders>
              <w:top w:val="single" w:color="B7B7B7" w:sz="4" w:space="0"/>
              <w:left w:val="single" w:color="B7B7B7" w:sz="4" w:space="0"/>
              <w:bottom w:val="single" w:color="B7B7B7" w:sz="4" w:space="0"/>
              <w:right w:val="single" w:color="B7B7B7" w:sz="4" w:space="0"/>
            </w:tcBorders>
            <w:vAlign w:val="center"/>
          </w:tcPr>
          <w:p w14:paraId="53476241">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人</w:t>
            </w:r>
          </w:p>
        </w:tc>
        <w:tc>
          <w:tcPr>
            <w:tcW w:w="891" w:type="dxa"/>
            <w:tcBorders>
              <w:top w:val="single" w:color="B7B7B7" w:sz="4" w:space="0"/>
              <w:left w:val="single" w:color="B7B7B7" w:sz="4" w:space="0"/>
              <w:bottom w:val="single" w:color="B7B7B7" w:sz="4" w:space="0"/>
              <w:right w:val="single" w:color="B7B7B7" w:sz="4" w:space="0"/>
            </w:tcBorders>
            <w:vAlign w:val="center"/>
          </w:tcPr>
          <w:p w14:paraId="53476242">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X≥300</w:t>
            </w:r>
          </w:p>
        </w:tc>
        <w:tc>
          <w:tcPr>
            <w:tcW w:w="1500" w:type="dxa"/>
            <w:tcBorders>
              <w:top w:val="single" w:color="B7B7B7" w:sz="4" w:space="0"/>
              <w:left w:val="single" w:color="B7B7B7" w:sz="4" w:space="0"/>
              <w:bottom w:val="single" w:color="B7B7B7" w:sz="4" w:space="0"/>
              <w:right w:val="single" w:color="B7B7B7" w:sz="4" w:space="0"/>
            </w:tcBorders>
            <w:vAlign w:val="center"/>
          </w:tcPr>
          <w:p w14:paraId="53476243">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50≤X＜300</w:t>
            </w:r>
          </w:p>
        </w:tc>
        <w:tc>
          <w:tcPr>
            <w:tcW w:w="1470" w:type="dxa"/>
            <w:tcBorders>
              <w:top w:val="single" w:color="B7B7B7" w:sz="4" w:space="0"/>
              <w:left w:val="single" w:color="B7B7B7" w:sz="4" w:space="0"/>
              <w:bottom w:val="single" w:color="B7B7B7" w:sz="4" w:space="0"/>
              <w:right w:val="single" w:color="B7B7B7" w:sz="4" w:space="0"/>
            </w:tcBorders>
            <w:vAlign w:val="center"/>
          </w:tcPr>
          <w:p w14:paraId="53476244">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10≤X＜50</w:t>
            </w:r>
          </w:p>
        </w:tc>
        <w:tc>
          <w:tcPr>
            <w:tcW w:w="900" w:type="dxa"/>
            <w:tcBorders>
              <w:top w:val="single" w:color="B7B7B7" w:sz="4" w:space="0"/>
              <w:left w:val="single" w:color="B7B7B7" w:sz="4" w:space="0"/>
              <w:bottom w:val="single" w:color="B7B7B7" w:sz="4" w:space="0"/>
              <w:right w:val="single" w:color="B7B7B7" w:sz="4" w:space="0"/>
            </w:tcBorders>
            <w:vAlign w:val="center"/>
          </w:tcPr>
          <w:p w14:paraId="53476245">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X＜10</w:t>
            </w:r>
          </w:p>
        </w:tc>
      </w:tr>
      <w:tr w14:paraId="5347624E">
        <w:tblPrEx>
          <w:tblCellMar>
            <w:top w:w="0" w:type="dxa"/>
            <w:left w:w="0" w:type="dxa"/>
            <w:bottom w:w="0" w:type="dxa"/>
            <w:right w:w="0" w:type="dxa"/>
          </w:tblCellMar>
        </w:tblPrEx>
        <w:trPr>
          <w:jc w:val="center"/>
        </w:trPr>
        <w:tc>
          <w:tcPr>
            <w:tcW w:w="1755" w:type="dxa"/>
            <w:vMerge w:val="continue"/>
            <w:tcBorders>
              <w:top w:val="single" w:color="B7B7B7" w:sz="4" w:space="0"/>
              <w:left w:val="single" w:color="B7B7B7" w:sz="4" w:space="0"/>
              <w:bottom w:val="single" w:color="B7B7B7" w:sz="4" w:space="0"/>
              <w:right w:val="single" w:color="B7B7B7" w:sz="4" w:space="0"/>
            </w:tcBorders>
            <w:vAlign w:val="center"/>
          </w:tcPr>
          <w:p w14:paraId="53476247">
            <w:pPr>
              <w:jc w:val="center"/>
              <w:rPr>
                <w:rFonts w:ascii="宋体" w:hAnsi="宋体" w:cs="宋体"/>
                <w:color w:val="auto"/>
                <w:sz w:val="24"/>
                <w:szCs w:val="21"/>
                <w:highlight w:val="none"/>
              </w:rPr>
            </w:pPr>
          </w:p>
        </w:tc>
        <w:tc>
          <w:tcPr>
            <w:tcW w:w="1361" w:type="dxa"/>
            <w:tcBorders>
              <w:top w:val="single" w:color="B7B7B7" w:sz="4" w:space="0"/>
              <w:left w:val="single" w:color="B7B7B7" w:sz="4" w:space="0"/>
              <w:bottom w:val="single" w:color="B7B7B7" w:sz="4" w:space="0"/>
              <w:right w:val="single" w:color="B7B7B7" w:sz="4" w:space="0"/>
            </w:tcBorders>
            <w:vAlign w:val="center"/>
          </w:tcPr>
          <w:p w14:paraId="53476248">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营业收入(Y)</w:t>
            </w:r>
          </w:p>
        </w:tc>
        <w:tc>
          <w:tcPr>
            <w:tcW w:w="1123" w:type="dxa"/>
            <w:tcBorders>
              <w:top w:val="single" w:color="B7B7B7" w:sz="4" w:space="0"/>
              <w:left w:val="single" w:color="B7B7B7" w:sz="4" w:space="0"/>
              <w:bottom w:val="single" w:color="B7B7B7" w:sz="4" w:space="0"/>
              <w:right w:val="single" w:color="B7B7B7" w:sz="4" w:space="0"/>
            </w:tcBorders>
            <w:vAlign w:val="center"/>
          </w:tcPr>
          <w:p w14:paraId="53476249">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万元</w:t>
            </w:r>
          </w:p>
        </w:tc>
        <w:tc>
          <w:tcPr>
            <w:tcW w:w="891" w:type="dxa"/>
            <w:tcBorders>
              <w:top w:val="single" w:color="B7B7B7" w:sz="4" w:space="0"/>
              <w:left w:val="single" w:color="B7B7B7" w:sz="4" w:space="0"/>
              <w:bottom w:val="single" w:color="B7B7B7" w:sz="4" w:space="0"/>
              <w:right w:val="single" w:color="B7B7B7" w:sz="4" w:space="0"/>
            </w:tcBorders>
            <w:vAlign w:val="center"/>
          </w:tcPr>
          <w:p w14:paraId="5347624A">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Y≥20000</w:t>
            </w:r>
          </w:p>
        </w:tc>
        <w:tc>
          <w:tcPr>
            <w:tcW w:w="1500" w:type="dxa"/>
            <w:tcBorders>
              <w:top w:val="single" w:color="B7B7B7" w:sz="4" w:space="0"/>
              <w:left w:val="single" w:color="B7B7B7" w:sz="4" w:space="0"/>
              <w:bottom w:val="single" w:color="B7B7B7" w:sz="4" w:space="0"/>
              <w:right w:val="single" w:color="B7B7B7" w:sz="4" w:space="0"/>
            </w:tcBorders>
            <w:vAlign w:val="center"/>
          </w:tcPr>
          <w:p w14:paraId="5347624B">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500≤Y＜20000</w:t>
            </w:r>
          </w:p>
        </w:tc>
        <w:tc>
          <w:tcPr>
            <w:tcW w:w="1470" w:type="dxa"/>
            <w:tcBorders>
              <w:top w:val="single" w:color="B7B7B7" w:sz="4" w:space="0"/>
              <w:left w:val="single" w:color="B7B7B7" w:sz="4" w:space="0"/>
              <w:bottom w:val="single" w:color="B7B7B7" w:sz="4" w:space="0"/>
              <w:right w:val="single" w:color="B7B7B7" w:sz="4" w:space="0"/>
            </w:tcBorders>
            <w:vAlign w:val="center"/>
          </w:tcPr>
          <w:p w14:paraId="5347624C">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100≤Y＜500</w:t>
            </w:r>
          </w:p>
        </w:tc>
        <w:tc>
          <w:tcPr>
            <w:tcW w:w="900" w:type="dxa"/>
            <w:tcBorders>
              <w:top w:val="single" w:color="B7B7B7" w:sz="4" w:space="0"/>
              <w:left w:val="single" w:color="B7B7B7" w:sz="4" w:space="0"/>
              <w:bottom w:val="single" w:color="B7B7B7" w:sz="4" w:space="0"/>
              <w:right w:val="single" w:color="B7B7B7" w:sz="4" w:space="0"/>
            </w:tcBorders>
            <w:vAlign w:val="center"/>
          </w:tcPr>
          <w:p w14:paraId="5347624D">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Y＜100</w:t>
            </w:r>
          </w:p>
        </w:tc>
      </w:tr>
      <w:tr w14:paraId="53476256">
        <w:tblPrEx>
          <w:tblCellMar>
            <w:top w:w="0" w:type="dxa"/>
            <w:left w:w="0" w:type="dxa"/>
            <w:bottom w:w="0" w:type="dxa"/>
            <w:right w:w="0" w:type="dxa"/>
          </w:tblCellMar>
        </w:tblPrEx>
        <w:trPr>
          <w:jc w:val="center"/>
        </w:trPr>
        <w:tc>
          <w:tcPr>
            <w:tcW w:w="1755" w:type="dxa"/>
            <w:vMerge w:val="restart"/>
            <w:tcBorders>
              <w:top w:val="single" w:color="B7B7B7" w:sz="4" w:space="0"/>
              <w:left w:val="single" w:color="B7B7B7" w:sz="4" w:space="0"/>
              <w:bottom w:val="single" w:color="B7B7B7" w:sz="4" w:space="0"/>
              <w:right w:val="single" w:color="B7B7B7" w:sz="4" w:space="0"/>
            </w:tcBorders>
            <w:vAlign w:val="center"/>
          </w:tcPr>
          <w:p w14:paraId="5347624F">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交通运输业 *</w:t>
            </w:r>
          </w:p>
        </w:tc>
        <w:tc>
          <w:tcPr>
            <w:tcW w:w="1361" w:type="dxa"/>
            <w:tcBorders>
              <w:top w:val="single" w:color="B7B7B7" w:sz="4" w:space="0"/>
              <w:left w:val="single" w:color="B7B7B7" w:sz="4" w:space="0"/>
              <w:bottom w:val="single" w:color="B7B7B7" w:sz="4" w:space="0"/>
              <w:right w:val="single" w:color="B7B7B7" w:sz="4" w:space="0"/>
            </w:tcBorders>
            <w:vAlign w:val="center"/>
          </w:tcPr>
          <w:p w14:paraId="53476250">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从业人员(X)</w:t>
            </w:r>
          </w:p>
        </w:tc>
        <w:tc>
          <w:tcPr>
            <w:tcW w:w="1123" w:type="dxa"/>
            <w:tcBorders>
              <w:top w:val="single" w:color="B7B7B7" w:sz="4" w:space="0"/>
              <w:left w:val="single" w:color="B7B7B7" w:sz="4" w:space="0"/>
              <w:bottom w:val="single" w:color="B7B7B7" w:sz="4" w:space="0"/>
              <w:right w:val="single" w:color="B7B7B7" w:sz="4" w:space="0"/>
            </w:tcBorders>
            <w:vAlign w:val="center"/>
          </w:tcPr>
          <w:p w14:paraId="53476251">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人</w:t>
            </w:r>
          </w:p>
        </w:tc>
        <w:tc>
          <w:tcPr>
            <w:tcW w:w="891" w:type="dxa"/>
            <w:tcBorders>
              <w:top w:val="single" w:color="B7B7B7" w:sz="4" w:space="0"/>
              <w:left w:val="single" w:color="B7B7B7" w:sz="4" w:space="0"/>
              <w:bottom w:val="single" w:color="B7B7B7" w:sz="4" w:space="0"/>
              <w:right w:val="single" w:color="B7B7B7" w:sz="4" w:space="0"/>
            </w:tcBorders>
            <w:vAlign w:val="center"/>
          </w:tcPr>
          <w:p w14:paraId="53476252">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X≥1000</w:t>
            </w:r>
          </w:p>
        </w:tc>
        <w:tc>
          <w:tcPr>
            <w:tcW w:w="1500" w:type="dxa"/>
            <w:tcBorders>
              <w:top w:val="single" w:color="B7B7B7" w:sz="4" w:space="0"/>
              <w:left w:val="single" w:color="B7B7B7" w:sz="4" w:space="0"/>
              <w:bottom w:val="single" w:color="B7B7B7" w:sz="4" w:space="0"/>
              <w:right w:val="single" w:color="B7B7B7" w:sz="4" w:space="0"/>
            </w:tcBorders>
            <w:vAlign w:val="center"/>
          </w:tcPr>
          <w:p w14:paraId="53476253">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300≤X＜1000</w:t>
            </w:r>
          </w:p>
        </w:tc>
        <w:tc>
          <w:tcPr>
            <w:tcW w:w="1470" w:type="dxa"/>
            <w:tcBorders>
              <w:top w:val="single" w:color="B7B7B7" w:sz="4" w:space="0"/>
              <w:left w:val="single" w:color="B7B7B7" w:sz="4" w:space="0"/>
              <w:bottom w:val="single" w:color="B7B7B7" w:sz="4" w:space="0"/>
              <w:right w:val="single" w:color="B7B7B7" w:sz="4" w:space="0"/>
            </w:tcBorders>
            <w:vAlign w:val="center"/>
          </w:tcPr>
          <w:p w14:paraId="53476254">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20≤X＜300</w:t>
            </w:r>
          </w:p>
        </w:tc>
        <w:tc>
          <w:tcPr>
            <w:tcW w:w="900" w:type="dxa"/>
            <w:tcBorders>
              <w:top w:val="single" w:color="B7B7B7" w:sz="4" w:space="0"/>
              <w:left w:val="single" w:color="B7B7B7" w:sz="4" w:space="0"/>
              <w:bottom w:val="single" w:color="B7B7B7" w:sz="4" w:space="0"/>
              <w:right w:val="single" w:color="B7B7B7" w:sz="4" w:space="0"/>
            </w:tcBorders>
            <w:vAlign w:val="center"/>
          </w:tcPr>
          <w:p w14:paraId="53476255">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X＜20</w:t>
            </w:r>
          </w:p>
        </w:tc>
      </w:tr>
      <w:tr w14:paraId="5347625E">
        <w:tblPrEx>
          <w:tblCellMar>
            <w:top w:w="0" w:type="dxa"/>
            <w:left w:w="0" w:type="dxa"/>
            <w:bottom w:w="0" w:type="dxa"/>
            <w:right w:w="0" w:type="dxa"/>
          </w:tblCellMar>
        </w:tblPrEx>
        <w:trPr>
          <w:jc w:val="center"/>
        </w:trPr>
        <w:tc>
          <w:tcPr>
            <w:tcW w:w="1755" w:type="dxa"/>
            <w:vMerge w:val="continue"/>
            <w:tcBorders>
              <w:top w:val="single" w:color="B7B7B7" w:sz="4" w:space="0"/>
              <w:left w:val="single" w:color="B7B7B7" w:sz="4" w:space="0"/>
              <w:bottom w:val="single" w:color="B7B7B7" w:sz="4" w:space="0"/>
              <w:right w:val="single" w:color="B7B7B7" w:sz="4" w:space="0"/>
            </w:tcBorders>
            <w:vAlign w:val="center"/>
          </w:tcPr>
          <w:p w14:paraId="53476257">
            <w:pPr>
              <w:jc w:val="center"/>
              <w:rPr>
                <w:rFonts w:ascii="宋体" w:hAnsi="宋体" w:cs="宋体"/>
                <w:color w:val="auto"/>
                <w:sz w:val="24"/>
                <w:szCs w:val="21"/>
                <w:highlight w:val="none"/>
              </w:rPr>
            </w:pPr>
          </w:p>
        </w:tc>
        <w:tc>
          <w:tcPr>
            <w:tcW w:w="1361" w:type="dxa"/>
            <w:tcBorders>
              <w:top w:val="single" w:color="B7B7B7" w:sz="4" w:space="0"/>
              <w:left w:val="single" w:color="B7B7B7" w:sz="4" w:space="0"/>
              <w:bottom w:val="single" w:color="B7B7B7" w:sz="4" w:space="0"/>
              <w:right w:val="single" w:color="B7B7B7" w:sz="4" w:space="0"/>
            </w:tcBorders>
            <w:vAlign w:val="center"/>
          </w:tcPr>
          <w:p w14:paraId="53476258">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营业收入(Y)</w:t>
            </w:r>
          </w:p>
        </w:tc>
        <w:tc>
          <w:tcPr>
            <w:tcW w:w="1123" w:type="dxa"/>
            <w:tcBorders>
              <w:top w:val="single" w:color="B7B7B7" w:sz="4" w:space="0"/>
              <w:left w:val="single" w:color="B7B7B7" w:sz="4" w:space="0"/>
              <w:bottom w:val="single" w:color="B7B7B7" w:sz="4" w:space="0"/>
              <w:right w:val="single" w:color="B7B7B7" w:sz="4" w:space="0"/>
            </w:tcBorders>
            <w:vAlign w:val="center"/>
          </w:tcPr>
          <w:p w14:paraId="53476259">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万元</w:t>
            </w:r>
          </w:p>
        </w:tc>
        <w:tc>
          <w:tcPr>
            <w:tcW w:w="891" w:type="dxa"/>
            <w:tcBorders>
              <w:top w:val="single" w:color="B7B7B7" w:sz="4" w:space="0"/>
              <w:left w:val="single" w:color="B7B7B7" w:sz="4" w:space="0"/>
              <w:bottom w:val="single" w:color="B7B7B7" w:sz="4" w:space="0"/>
              <w:right w:val="single" w:color="B7B7B7" w:sz="4" w:space="0"/>
            </w:tcBorders>
            <w:vAlign w:val="center"/>
          </w:tcPr>
          <w:p w14:paraId="5347625A">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Y≥30000</w:t>
            </w:r>
          </w:p>
        </w:tc>
        <w:tc>
          <w:tcPr>
            <w:tcW w:w="1500" w:type="dxa"/>
            <w:tcBorders>
              <w:top w:val="single" w:color="B7B7B7" w:sz="4" w:space="0"/>
              <w:left w:val="single" w:color="B7B7B7" w:sz="4" w:space="0"/>
              <w:bottom w:val="single" w:color="B7B7B7" w:sz="4" w:space="0"/>
              <w:right w:val="single" w:color="B7B7B7" w:sz="4" w:space="0"/>
            </w:tcBorders>
            <w:vAlign w:val="center"/>
          </w:tcPr>
          <w:p w14:paraId="5347625B">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3000≤Y＜30000</w:t>
            </w:r>
          </w:p>
        </w:tc>
        <w:tc>
          <w:tcPr>
            <w:tcW w:w="1470" w:type="dxa"/>
            <w:tcBorders>
              <w:top w:val="single" w:color="B7B7B7" w:sz="4" w:space="0"/>
              <w:left w:val="single" w:color="B7B7B7" w:sz="4" w:space="0"/>
              <w:bottom w:val="single" w:color="B7B7B7" w:sz="4" w:space="0"/>
              <w:right w:val="single" w:color="B7B7B7" w:sz="4" w:space="0"/>
            </w:tcBorders>
            <w:vAlign w:val="center"/>
          </w:tcPr>
          <w:p w14:paraId="5347625C">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200≤Y＜3000</w:t>
            </w:r>
          </w:p>
        </w:tc>
        <w:tc>
          <w:tcPr>
            <w:tcW w:w="900" w:type="dxa"/>
            <w:tcBorders>
              <w:top w:val="single" w:color="B7B7B7" w:sz="4" w:space="0"/>
              <w:left w:val="single" w:color="B7B7B7" w:sz="4" w:space="0"/>
              <w:bottom w:val="single" w:color="B7B7B7" w:sz="4" w:space="0"/>
              <w:right w:val="single" w:color="B7B7B7" w:sz="4" w:space="0"/>
            </w:tcBorders>
            <w:vAlign w:val="center"/>
          </w:tcPr>
          <w:p w14:paraId="5347625D">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Y＜200</w:t>
            </w:r>
          </w:p>
        </w:tc>
      </w:tr>
      <w:tr w14:paraId="53476266">
        <w:tblPrEx>
          <w:tblCellMar>
            <w:top w:w="0" w:type="dxa"/>
            <w:left w:w="0" w:type="dxa"/>
            <w:bottom w:w="0" w:type="dxa"/>
            <w:right w:w="0" w:type="dxa"/>
          </w:tblCellMar>
        </w:tblPrEx>
        <w:trPr>
          <w:jc w:val="center"/>
        </w:trPr>
        <w:tc>
          <w:tcPr>
            <w:tcW w:w="1755" w:type="dxa"/>
            <w:vMerge w:val="restart"/>
            <w:tcBorders>
              <w:top w:val="single" w:color="B7B7B7" w:sz="4" w:space="0"/>
              <w:left w:val="single" w:color="B7B7B7" w:sz="4" w:space="0"/>
              <w:bottom w:val="single" w:color="B7B7B7" w:sz="4" w:space="0"/>
              <w:right w:val="single" w:color="B7B7B7" w:sz="4" w:space="0"/>
            </w:tcBorders>
            <w:vAlign w:val="center"/>
          </w:tcPr>
          <w:p w14:paraId="5347625F">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仓储业*</w:t>
            </w:r>
          </w:p>
        </w:tc>
        <w:tc>
          <w:tcPr>
            <w:tcW w:w="1361" w:type="dxa"/>
            <w:tcBorders>
              <w:top w:val="single" w:color="B7B7B7" w:sz="4" w:space="0"/>
              <w:left w:val="single" w:color="B7B7B7" w:sz="4" w:space="0"/>
              <w:bottom w:val="single" w:color="B7B7B7" w:sz="4" w:space="0"/>
              <w:right w:val="single" w:color="B7B7B7" w:sz="4" w:space="0"/>
            </w:tcBorders>
            <w:vAlign w:val="center"/>
          </w:tcPr>
          <w:p w14:paraId="53476260">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从业人员(X)</w:t>
            </w:r>
          </w:p>
        </w:tc>
        <w:tc>
          <w:tcPr>
            <w:tcW w:w="1123" w:type="dxa"/>
            <w:tcBorders>
              <w:top w:val="single" w:color="B7B7B7" w:sz="4" w:space="0"/>
              <w:left w:val="single" w:color="B7B7B7" w:sz="4" w:space="0"/>
              <w:bottom w:val="single" w:color="B7B7B7" w:sz="4" w:space="0"/>
              <w:right w:val="single" w:color="B7B7B7" w:sz="4" w:space="0"/>
            </w:tcBorders>
            <w:vAlign w:val="center"/>
          </w:tcPr>
          <w:p w14:paraId="53476261">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人</w:t>
            </w:r>
          </w:p>
        </w:tc>
        <w:tc>
          <w:tcPr>
            <w:tcW w:w="891" w:type="dxa"/>
            <w:tcBorders>
              <w:top w:val="single" w:color="B7B7B7" w:sz="4" w:space="0"/>
              <w:left w:val="single" w:color="B7B7B7" w:sz="4" w:space="0"/>
              <w:bottom w:val="single" w:color="B7B7B7" w:sz="4" w:space="0"/>
              <w:right w:val="single" w:color="B7B7B7" w:sz="4" w:space="0"/>
            </w:tcBorders>
            <w:vAlign w:val="center"/>
          </w:tcPr>
          <w:p w14:paraId="53476262">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X≥200</w:t>
            </w:r>
          </w:p>
        </w:tc>
        <w:tc>
          <w:tcPr>
            <w:tcW w:w="1500" w:type="dxa"/>
            <w:tcBorders>
              <w:top w:val="single" w:color="B7B7B7" w:sz="4" w:space="0"/>
              <w:left w:val="single" w:color="B7B7B7" w:sz="4" w:space="0"/>
              <w:bottom w:val="single" w:color="B7B7B7" w:sz="4" w:space="0"/>
              <w:right w:val="single" w:color="B7B7B7" w:sz="4" w:space="0"/>
            </w:tcBorders>
            <w:vAlign w:val="center"/>
          </w:tcPr>
          <w:p w14:paraId="53476263">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100≤X＜200</w:t>
            </w:r>
          </w:p>
        </w:tc>
        <w:tc>
          <w:tcPr>
            <w:tcW w:w="1470" w:type="dxa"/>
            <w:tcBorders>
              <w:top w:val="single" w:color="B7B7B7" w:sz="4" w:space="0"/>
              <w:left w:val="single" w:color="B7B7B7" w:sz="4" w:space="0"/>
              <w:bottom w:val="single" w:color="B7B7B7" w:sz="4" w:space="0"/>
              <w:right w:val="single" w:color="B7B7B7" w:sz="4" w:space="0"/>
            </w:tcBorders>
            <w:vAlign w:val="center"/>
          </w:tcPr>
          <w:p w14:paraId="53476264">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20≤X＜100</w:t>
            </w:r>
          </w:p>
        </w:tc>
        <w:tc>
          <w:tcPr>
            <w:tcW w:w="900" w:type="dxa"/>
            <w:tcBorders>
              <w:top w:val="single" w:color="B7B7B7" w:sz="4" w:space="0"/>
              <w:left w:val="single" w:color="B7B7B7" w:sz="4" w:space="0"/>
              <w:bottom w:val="single" w:color="B7B7B7" w:sz="4" w:space="0"/>
              <w:right w:val="single" w:color="B7B7B7" w:sz="4" w:space="0"/>
            </w:tcBorders>
            <w:vAlign w:val="center"/>
          </w:tcPr>
          <w:p w14:paraId="53476265">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X＜20</w:t>
            </w:r>
          </w:p>
        </w:tc>
      </w:tr>
      <w:tr w14:paraId="5347626E">
        <w:tblPrEx>
          <w:tblCellMar>
            <w:top w:w="0" w:type="dxa"/>
            <w:left w:w="0" w:type="dxa"/>
            <w:bottom w:w="0" w:type="dxa"/>
            <w:right w:w="0" w:type="dxa"/>
          </w:tblCellMar>
        </w:tblPrEx>
        <w:trPr>
          <w:jc w:val="center"/>
        </w:trPr>
        <w:tc>
          <w:tcPr>
            <w:tcW w:w="1755" w:type="dxa"/>
            <w:vMerge w:val="continue"/>
            <w:tcBorders>
              <w:top w:val="single" w:color="B7B7B7" w:sz="4" w:space="0"/>
              <w:left w:val="single" w:color="B7B7B7" w:sz="4" w:space="0"/>
              <w:bottom w:val="single" w:color="B7B7B7" w:sz="4" w:space="0"/>
              <w:right w:val="single" w:color="B7B7B7" w:sz="4" w:space="0"/>
            </w:tcBorders>
            <w:vAlign w:val="center"/>
          </w:tcPr>
          <w:p w14:paraId="53476267">
            <w:pPr>
              <w:jc w:val="center"/>
              <w:rPr>
                <w:rFonts w:ascii="宋体" w:hAnsi="宋体" w:cs="宋体"/>
                <w:color w:val="auto"/>
                <w:sz w:val="24"/>
                <w:szCs w:val="21"/>
                <w:highlight w:val="none"/>
              </w:rPr>
            </w:pPr>
          </w:p>
        </w:tc>
        <w:tc>
          <w:tcPr>
            <w:tcW w:w="1361" w:type="dxa"/>
            <w:tcBorders>
              <w:top w:val="single" w:color="B7B7B7" w:sz="4" w:space="0"/>
              <w:left w:val="single" w:color="B7B7B7" w:sz="4" w:space="0"/>
              <w:bottom w:val="single" w:color="B7B7B7" w:sz="4" w:space="0"/>
              <w:right w:val="single" w:color="B7B7B7" w:sz="4" w:space="0"/>
            </w:tcBorders>
            <w:vAlign w:val="center"/>
          </w:tcPr>
          <w:p w14:paraId="53476268">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营业收入(Y)</w:t>
            </w:r>
          </w:p>
        </w:tc>
        <w:tc>
          <w:tcPr>
            <w:tcW w:w="1123" w:type="dxa"/>
            <w:tcBorders>
              <w:top w:val="single" w:color="B7B7B7" w:sz="4" w:space="0"/>
              <w:left w:val="single" w:color="B7B7B7" w:sz="4" w:space="0"/>
              <w:bottom w:val="single" w:color="B7B7B7" w:sz="4" w:space="0"/>
              <w:right w:val="single" w:color="B7B7B7" w:sz="4" w:space="0"/>
            </w:tcBorders>
            <w:vAlign w:val="center"/>
          </w:tcPr>
          <w:p w14:paraId="53476269">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万元</w:t>
            </w:r>
          </w:p>
        </w:tc>
        <w:tc>
          <w:tcPr>
            <w:tcW w:w="891" w:type="dxa"/>
            <w:tcBorders>
              <w:top w:val="single" w:color="B7B7B7" w:sz="4" w:space="0"/>
              <w:left w:val="single" w:color="B7B7B7" w:sz="4" w:space="0"/>
              <w:bottom w:val="single" w:color="B7B7B7" w:sz="4" w:space="0"/>
              <w:right w:val="single" w:color="B7B7B7" w:sz="4" w:space="0"/>
            </w:tcBorders>
            <w:vAlign w:val="center"/>
          </w:tcPr>
          <w:p w14:paraId="5347626A">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Y≥30000</w:t>
            </w:r>
          </w:p>
        </w:tc>
        <w:tc>
          <w:tcPr>
            <w:tcW w:w="1500" w:type="dxa"/>
            <w:tcBorders>
              <w:top w:val="single" w:color="B7B7B7" w:sz="4" w:space="0"/>
              <w:left w:val="single" w:color="B7B7B7" w:sz="4" w:space="0"/>
              <w:bottom w:val="single" w:color="B7B7B7" w:sz="4" w:space="0"/>
              <w:right w:val="single" w:color="B7B7B7" w:sz="4" w:space="0"/>
            </w:tcBorders>
            <w:vAlign w:val="center"/>
          </w:tcPr>
          <w:p w14:paraId="5347626B">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1000≤Y＜30000</w:t>
            </w:r>
          </w:p>
        </w:tc>
        <w:tc>
          <w:tcPr>
            <w:tcW w:w="1470" w:type="dxa"/>
            <w:tcBorders>
              <w:top w:val="single" w:color="B7B7B7" w:sz="4" w:space="0"/>
              <w:left w:val="single" w:color="B7B7B7" w:sz="4" w:space="0"/>
              <w:bottom w:val="single" w:color="B7B7B7" w:sz="4" w:space="0"/>
              <w:right w:val="single" w:color="B7B7B7" w:sz="4" w:space="0"/>
            </w:tcBorders>
            <w:vAlign w:val="center"/>
          </w:tcPr>
          <w:p w14:paraId="5347626C">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100≤Y＜1000</w:t>
            </w:r>
          </w:p>
        </w:tc>
        <w:tc>
          <w:tcPr>
            <w:tcW w:w="900" w:type="dxa"/>
            <w:tcBorders>
              <w:top w:val="single" w:color="B7B7B7" w:sz="4" w:space="0"/>
              <w:left w:val="single" w:color="B7B7B7" w:sz="4" w:space="0"/>
              <w:bottom w:val="single" w:color="B7B7B7" w:sz="4" w:space="0"/>
              <w:right w:val="single" w:color="B7B7B7" w:sz="4" w:space="0"/>
            </w:tcBorders>
            <w:vAlign w:val="center"/>
          </w:tcPr>
          <w:p w14:paraId="5347626D">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Y＜100</w:t>
            </w:r>
          </w:p>
        </w:tc>
      </w:tr>
      <w:tr w14:paraId="53476276">
        <w:tblPrEx>
          <w:tblCellMar>
            <w:top w:w="0" w:type="dxa"/>
            <w:left w:w="0" w:type="dxa"/>
            <w:bottom w:w="0" w:type="dxa"/>
            <w:right w:w="0" w:type="dxa"/>
          </w:tblCellMar>
        </w:tblPrEx>
        <w:trPr>
          <w:jc w:val="center"/>
        </w:trPr>
        <w:tc>
          <w:tcPr>
            <w:tcW w:w="1755" w:type="dxa"/>
            <w:vMerge w:val="restart"/>
            <w:tcBorders>
              <w:top w:val="single" w:color="B7B7B7" w:sz="4" w:space="0"/>
              <w:left w:val="single" w:color="B7B7B7" w:sz="4" w:space="0"/>
              <w:bottom w:val="single" w:color="B7B7B7" w:sz="4" w:space="0"/>
              <w:right w:val="single" w:color="B7B7B7" w:sz="4" w:space="0"/>
            </w:tcBorders>
            <w:vAlign w:val="center"/>
          </w:tcPr>
          <w:p w14:paraId="5347626F">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邮政业</w:t>
            </w:r>
          </w:p>
        </w:tc>
        <w:tc>
          <w:tcPr>
            <w:tcW w:w="1361" w:type="dxa"/>
            <w:tcBorders>
              <w:top w:val="single" w:color="B7B7B7" w:sz="4" w:space="0"/>
              <w:left w:val="single" w:color="B7B7B7" w:sz="4" w:space="0"/>
              <w:bottom w:val="single" w:color="B7B7B7" w:sz="4" w:space="0"/>
              <w:right w:val="single" w:color="B7B7B7" w:sz="4" w:space="0"/>
            </w:tcBorders>
            <w:vAlign w:val="center"/>
          </w:tcPr>
          <w:p w14:paraId="53476270">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从业人员(X)</w:t>
            </w:r>
          </w:p>
        </w:tc>
        <w:tc>
          <w:tcPr>
            <w:tcW w:w="1123" w:type="dxa"/>
            <w:tcBorders>
              <w:top w:val="single" w:color="B7B7B7" w:sz="4" w:space="0"/>
              <w:left w:val="single" w:color="B7B7B7" w:sz="4" w:space="0"/>
              <w:bottom w:val="single" w:color="B7B7B7" w:sz="4" w:space="0"/>
              <w:right w:val="single" w:color="B7B7B7" w:sz="4" w:space="0"/>
            </w:tcBorders>
            <w:vAlign w:val="center"/>
          </w:tcPr>
          <w:p w14:paraId="53476271">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人</w:t>
            </w:r>
          </w:p>
        </w:tc>
        <w:tc>
          <w:tcPr>
            <w:tcW w:w="891" w:type="dxa"/>
            <w:tcBorders>
              <w:top w:val="single" w:color="B7B7B7" w:sz="4" w:space="0"/>
              <w:left w:val="single" w:color="B7B7B7" w:sz="4" w:space="0"/>
              <w:bottom w:val="single" w:color="B7B7B7" w:sz="4" w:space="0"/>
              <w:right w:val="single" w:color="B7B7B7" w:sz="4" w:space="0"/>
            </w:tcBorders>
            <w:vAlign w:val="center"/>
          </w:tcPr>
          <w:p w14:paraId="53476272">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X≥1000</w:t>
            </w:r>
          </w:p>
        </w:tc>
        <w:tc>
          <w:tcPr>
            <w:tcW w:w="1500" w:type="dxa"/>
            <w:tcBorders>
              <w:top w:val="single" w:color="B7B7B7" w:sz="4" w:space="0"/>
              <w:left w:val="single" w:color="B7B7B7" w:sz="4" w:space="0"/>
              <w:bottom w:val="single" w:color="B7B7B7" w:sz="4" w:space="0"/>
              <w:right w:val="single" w:color="B7B7B7" w:sz="4" w:space="0"/>
            </w:tcBorders>
            <w:vAlign w:val="center"/>
          </w:tcPr>
          <w:p w14:paraId="53476273">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300≤X＜1000</w:t>
            </w:r>
          </w:p>
        </w:tc>
        <w:tc>
          <w:tcPr>
            <w:tcW w:w="1470" w:type="dxa"/>
            <w:tcBorders>
              <w:top w:val="single" w:color="B7B7B7" w:sz="4" w:space="0"/>
              <w:left w:val="single" w:color="B7B7B7" w:sz="4" w:space="0"/>
              <w:bottom w:val="single" w:color="B7B7B7" w:sz="4" w:space="0"/>
              <w:right w:val="single" w:color="B7B7B7" w:sz="4" w:space="0"/>
            </w:tcBorders>
            <w:vAlign w:val="center"/>
          </w:tcPr>
          <w:p w14:paraId="53476274">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20≤X＜300</w:t>
            </w:r>
          </w:p>
        </w:tc>
        <w:tc>
          <w:tcPr>
            <w:tcW w:w="900" w:type="dxa"/>
            <w:tcBorders>
              <w:top w:val="single" w:color="B7B7B7" w:sz="4" w:space="0"/>
              <w:left w:val="single" w:color="B7B7B7" w:sz="4" w:space="0"/>
              <w:bottom w:val="single" w:color="B7B7B7" w:sz="4" w:space="0"/>
              <w:right w:val="single" w:color="B7B7B7" w:sz="4" w:space="0"/>
            </w:tcBorders>
            <w:vAlign w:val="center"/>
          </w:tcPr>
          <w:p w14:paraId="53476275">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X＜20</w:t>
            </w:r>
          </w:p>
        </w:tc>
      </w:tr>
      <w:tr w14:paraId="5347627E">
        <w:tblPrEx>
          <w:tblCellMar>
            <w:top w:w="0" w:type="dxa"/>
            <w:left w:w="0" w:type="dxa"/>
            <w:bottom w:w="0" w:type="dxa"/>
            <w:right w:w="0" w:type="dxa"/>
          </w:tblCellMar>
        </w:tblPrEx>
        <w:trPr>
          <w:jc w:val="center"/>
        </w:trPr>
        <w:tc>
          <w:tcPr>
            <w:tcW w:w="1755" w:type="dxa"/>
            <w:vMerge w:val="continue"/>
            <w:tcBorders>
              <w:top w:val="single" w:color="B7B7B7" w:sz="4" w:space="0"/>
              <w:left w:val="single" w:color="B7B7B7" w:sz="4" w:space="0"/>
              <w:bottom w:val="single" w:color="B7B7B7" w:sz="4" w:space="0"/>
              <w:right w:val="single" w:color="B7B7B7" w:sz="4" w:space="0"/>
            </w:tcBorders>
            <w:vAlign w:val="center"/>
          </w:tcPr>
          <w:p w14:paraId="53476277">
            <w:pPr>
              <w:jc w:val="center"/>
              <w:rPr>
                <w:rFonts w:ascii="宋体" w:hAnsi="宋体" w:cs="宋体"/>
                <w:color w:val="auto"/>
                <w:sz w:val="24"/>
                <w:szCs w:val="21"/>
                <w:highlight w:val="none"/>
              </w:rPr>
            </w:pPr>
          </w:p>
        </w:tc>
        <w:tc>
          <w:tcPr>
            <w:tcW w:w="1361" w:type="dxa"/>
            <w:tcBorders>
              <w:top w:val="single" w:color="B7B7B7" w:sz="4" w:space="0"/>
              <w:left w:val="single" w:color="B7B7B7" w:sz="4" w:space="0"/>
              <w:bottom w:val="single" w:color="B7B7B7" w:sz="4" w:space="0"/>
              <w:right w:val="single" w:color="B7B7B7" w:sz="4" w:space="0"/>
            </w:tcBorders>
            <w:vAlign w:val="center"/>
          </w:tcPr>
          <w:p w14:paraId="53476278">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营业收入(Y)</w:t>
            </w:r>
          </w:p>
        </w:tc>
        <w:tc>
          <w:tcPr>
            <w:tcW w:w="1123" w:type="dxa"/>
            <w:tcBorders>
              <w:top w:val="single" w:color="B7B7B7" w:sz="4" w:space="0"/>
              <w:left w:val="single" w:color="B7B7B7" w:sz="4" w:space="0"/>
              <w:bottom w:val="single" w:color="B7B7B7" w:sz="4" w:space="0"/>
              <w:right w:val="single" w:color="B7B7B7" w:sz="4" w:space="0"/>
            </w:tcBorders>
            <w:vAlign w:val="center"/>
          </w:tcPr>
          <w:p w14:paraId="53476279">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万元</w:t>
            </w:r>
          </w:p>
        </w:tc>
        <w:tc>
          <w:tcPr>
            <w:tcW w:w="891" w:type="dxa"/>
            <w:tcBorders>
              <w:top w:val="single" w:color="B7B7B7" w:sz="4" w:space="0"/>
              <w:left w:val="single" w:color="B7B7B7" w:sz="4" w:space="0"/>
              <w:bottom w:val="single" w:color="B7B7B7" w:sz="4" w:space="0"/>
              <w:right w:val="single" w:color="B7B7B7" w:sz="4" w:space="0"/>
            </w:tcBorders>
            <w:vAlign w:val="center"/>
          </w:tcPr>
          <w:p w14:paraId="5347627A">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Y≥30000</w:t>
            </w:r>
          </w:p>
        </w:tc>
        <w:tc>
          <w:tcPr>
            <w:tcW w:w="1500" w:type="dxa"/>
            <w:tcBorders>
              <w:top w:val="single" w:color="B7B7B7" w:sz="4" w:space="0"/>
              <w:left w:val="single" w:color="B7B7B7" w:sz="4" w:space="0"/>
              <w:bottom w:val="single" w:color="B7B7B7" w:sz="4" w:space="0"/>
              <w:right w:val="single" w:color="B7B7B7" w:sz="4" w:space="0"/>
            </w:tcBorders>
            <w:vAlign w:val="center"/>
          </w:tcPr>
          <w:p w14:paraId="5347627B">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2000≤Y＜30000</w:t>
            </w:r>
          </w:p>
        </w:tc>
        <w:tc>
          <w:tcPr>
            <w:tcW w:w="1470" w:type="dxa"/>
            <w:tcBorders>
              <w:top w:val="single" w:color="B7B7B7" w:sz="4" w:space="0"/>
              <w:left w:val="single" w:color="B7B7B7" w:sz="4" w:space="0"/>
              <w:bottom w:val="single" w:color="B7B7B7" w:sz="4" w:space="0"/>
              <w:right w:val="single" w:color="B7B7B7" w:sz="4" w:space="0"/>
            </w:tcBorders>
            <w:vAlign w:val="center"/>
          </w:tcPr>
          <w:p w14:paraId="5347627C">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100≤Y＜2000</w:t>
            </w:r>
          </w:p>
        </w:tc>
        <w:tc>
          <w:tcPr>
            <w:tcW w:w="900" w:type="dxa"/>
            <w:tcBorders>
              <w:top w:val="single" w:color="B7B7B7" w:sz="4" w:space="0"/>
              <w:left w:val="single" w:color="B7B7B7" w:sz="4" w:space="0"/>
              <w:bottom w:val="single" w:color="B7B7B7" w:sz="4" w:space="0"/>
              <w:right w:val="single" w:color="B7B7B7" w:sz="4" w:space="0"/>
            </w:tcBorders>
            <w:vAlign w:val="center"/>
          </w:tcPr>
          <w:p w14:paraId="5347627D">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Y＜100</w:t>
            </w:r>
          </w:p>
        </w:tc>
      </w:tr>
      <w:tr w14:paraId="53476286">
        <w:tblPrEx>
          <w:tblCellMar>
            <w:top w:w="0" w:type="dxa"/>
            <w:left w:w="0" w:type="dxa"/>
            <w:bottom w:w="0" w:type="dxa"/>
            <w:right w:w="0" w:type="dxa"/>
          </w:tblCellMar>
        </w:tblPrEx>
        <w:trPr>
          <w:jc w:val="center"/>
        </w:trPr>
        <w:tc>
          <w:tcPr>
            <w:tcW w:w="1755" w:type="dxa"/>
            <w:vMerge w:val="restart"/>
            <w:tcBorders>
              <w:top w:val="single" w:color="B7B7B7" w:sz="4" w:space="0"/>
              <w:left w:val="single" w:color="B7B7B7" w:sz="4" w:space="0"/>
              <w:bottom w:val="single" w:color="B7B7B7" w:sz="4" w:space="0"/>
              <w:right w:val="single" w:color="B7B7B7" w:sz="4" w:space="0"/>
            </w:tcBorders>
            <w:vAlign w:val="center"/>
          </w:tcPr>
          <w:p w14:paraId="5347627F">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住宿业</w:t>
            </w:r>
          </w:p>
        </w:tc>
        <w:tc>
          <w:tcPr>
            <w:tcW w:w="1361" w:type="dxa"/>
            <w:tcBorders>
              <w:top w:val="single" w:color="B7B7B7" w:sz="4" w:space="0"/>
              <w:left w:val="single" w:color="B7B7B7" w:sz="4" w:space="0"/>
              <w:bottom w:val="single" w:color="B7B7B7" w:sz="4" w:space="0"/>
              <w:right w:val="single" w:color="B7B7B7" w:sz="4" w:space="0"/>
            </w:tcBorders>
            <w:vAlign w:val="center"/>
          </w:tcPr>
          <w:p w14:paraId="53476280">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从业人员(X)</w:t>
            </w:r>
          </w:p>
        </w:tc>
        <w:tc>
          <w:tcPr>
            <w:tcW w:w="1123" w:type="dxa"/>
            <w:tcBorders>
              <w:top w:val="single" w:color="B7B7B7" w:sz="4" w:space="0"/>
              <w:left w:val="single" w:color="B7B7B7" w:sz="4" w:space="0"/>
              <w:bottom w:val="single" w:color="B7B7B7" w:sz="4" w:space="0"/>
              <w:right w:val="single" w:color="B7B7B7" w:sz="4" w:space="0"/>
            </w:tcBorders>
            <w:vAlign w:val="center"/>
          </w:tcPr>
          <w:p w14:paraId="53476281">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人</w:t>
            </w:r>
          </w:p>
        </w:tc>
        <w:tc>
          <w:tcPr>
            <w:tcW w:w="891" w:type="dxa"/>
            <w:tcBorders>
              <w:top w:val="single" w:color="B7B7B7" w:sz="4" w:space="0"/>
              <w:left w:val="single" w:color="B7B7B7" w:sz="4" w:space="0"/>
              <w:bottom w:val="single" w:color="B7B7B7" w:sz="4" w:space="0"/>
              <w:right w:val="single" w:color="B7B7B7" w:sz="4" w:space="0"/>
            </w:tcBorders>
            <w:vAlign w:val="center"/>
          </w:tcPr>
          <w:p w14:paraId="53476282">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X≥300</w:t>
            </w:r>
          </w:p>
        </w:tc>
        <w:tc>
          <w:tcPr>
            <w:tcW w:w="1500" w:type="dxa"/>
            <w:tcBorders>
              <w:top w:val="single" w:color="B7B7B7" w:sz="4" w:space="0"/>
              <w:left w:val="single" w:color="B7B7B7" w:sz="4" w:space="0"/>
              <w:bottom w:val="single" w:color="B7B7B7" w:sz="4" w:space="0"/>
              <w:right w:val="single" w:color="B7B7B7" w:sz="4" w:space="0"/>
            </w:tcBorders>
            <w:vAlign w:val="center"/>
          </w:tcPr>
          <w:p w14:paraId="53476283">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100≤X＜300</w:t>
            </w:r>
          </w:p>
        </w:tc>
        <w:tc>
          <w:tcPr>
            <w:tcW w:w="1470" w:type="dxa"/>
            <w:tcBorders>
              <w:top w:val="single" w:color="B7B7B7" w:sz="4" w:space="0"/>
              <w:left w:val="single" w:color="B7B7B7" w:sz="4" w:space="0"/>
              <w:bottom w:val="single" w:color="B7B7B7" w:sz="4" w:space="0"/>
              <w:right w:val="single" w:color="B7B7B7" w:sz="4" w:space="0"/>
            </w:tcBorders>
            <w:vAlign w:val="center"/>
          </w:tcPr>
          <w:p w14:paraId="53476284">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10≤X＜100</w:t>
            </w:r>
          </w:p>
        </w:tc>
        <w:tc>
          <w:tcPr>
            <w:tcW w:w="900" w:type="dxa"/>
            <w:tcBorders>
              <w:top w:val="single" w:color="B7B7B7" w:sz="4" w:space="0"/>
              <w:left w:val="single" w:color="B7B7B7" w:sz="4" w:space="0"/>
              <w:bottom w:val="single" w:color="B7B7B7" w:sz="4" w:space="0"/>
              <w:right w:val="single" w:color="B7B7B7" w:sz="4" w:space="0"/>
            </w:tcBorders>
            <w:vAlign w:val="center"/>
          </w:tcPr>
          <w:p w14:paraId="53476285">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X＜10</w:t>
            </w:r>
          </w:p>
        </w:tc>
      </w:tr>
      <w:tr w14:paraId="5347628E">
        <w:tblPrEx>
          <w:tblCellMar>
            <w:top w:w="0" w:type="dxa"/>
            <w:left w:w="0" w:type="dxa"/>
            <w:bottom w:w="0" w:type="dxa"/>
            <w:right w:w="0" w:type="dxa"/>
          </w:tblCellMar>
        </w:tblPrEx>
        <w:trPr>
          <w:jc w:val="center"/>
        </w:trPr>
        <w:tc>
          <w:tcPr>
            <w:tcW w:w="1755" w:type="dxa"/>
            <w:vMerge w:val="continue"/>
            <w:tcBorders>
              <w:top w:val="single" w:color="B7B7B7" w:sz="4" w:space="0"/>
              <w:left w:val="single" w:color="B7B7B7" w:sz="4" w:space="0"/>
              <w:bottom w:val="single" w:color="B7B7B7" w:sz="4" w:space="0"/>
              <w:right w:val="single" w:color="B7B7B7" w:sz="4" w:space="0"/>
            </w:tcBorders>
            <w:vAlign w:val="center"/>
          </w:tcPr>
          <w:p w14:paraId="53476287">
            <w:pPr>
              <w:jc w:val="center"/>
              <w:rPr>
                <w:rFonts w:ascii="宋体" w:hAnsi="宋体" w:cs="宋体"/>
                <w:color w:val="auto"/>
                <w:sz w:val="24"/>
                <w:szCs w:val="21"/>
                <w:highlight w:val="none"/>
              </w:rPr>
            </w:pPr>
          </w:p>
        </w:tc>
        <w:tc>
          <w:tcPr>
            <w:tcW w:w="1361" w:type="dxa"/>
            <w:tcBorders>
              <w:top w:val="single" w:color="B7B7B7" w:sz="4" w:space="0"/>
              <w:left w:val="single" w:color="B7B7B7" w:sz="4" w:space="0"/>
              <w:bottom w:val="single" w:color="B7B7B7" w:sz="4" w:space="0"/>
              <w:right w:val="single" w:color="B7B7B7" w:sz="4" w:space="0"/>
            </w:tcBorders>
            <w:vAlign w:val="center"/>
          </w:tcPr>
          <w:p w14:paraId="53476288">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营业收入(Y)</w:t>
            </w:r>
          </w:p>
        </w:tc>
        <w:tc>
          <w:tcPr>
            <w:tcW w:w="1123" w:type="dxa"/>
            <w:tcBorders>
              <w:top w:val="single" w:color="B7B7B7" w:sz="4" w:space="0"/>
              <w:left w:val="single" w:color="B7B7B7" w:sz="4" w:space="0"/>
              <w:bottom w:val="single" w:color="B7B7B7" w:sz="4" w:space="0"/>
              <w:right w:val="single" w:color="B7B7B7" w:sz="4" w:space="0"/>
            </w:tcBorders>
            <w:vAlign w:val="center"/>
          </w:tcPr>
          <w:p w14:paraId="53476289">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万元</w:t>
            </w:r>
          </w:p>
        </w:tc>
        <w:tc>
          <w:tcPr>
            <w:tcW w:w="891" w:type="dxa"/>
            <w:tcBorders>
              <w:top w:val="single" w:color="B7B7B7" w:sz="4" w:space="0"/>
              <w:left w:val="single" w:color="B7B7B7" w:sz="4" w:space="0"/>
              <w:bottom w:val="single" w:color="B7B7B7" w:sz="4" w:space="0"/>
              <w:right w:val="single" w:color="B7B7B7" w:sz="4" w:space="0"/>
            </w:tcBorders>
            <w:vAlign w:val="center"/>
          </w:tcPr>
          <w:p w14:paraId="5347628A">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Y≥10000</w:t>
            </w:r>
          </w:p>
        </w:tc>
        <w:tc>
          <w:tcPr>
            <w:tcW w:w="1500" w:type="dxa"/>
            <w:tcBorders>
              <w:top w:val="single" w:color="B7B7B7" w:sz="4" w:space="0"/>
              <w:left w:val="single" w:color="B7B7B7" w:sz="4" w:space="0"/>
              <w:bottom w:val="single" w:color="B7B7B7" w:sz="4" w:space="0"/>
              <w:right w:val="single" w:color="B7B7B7" w:sz="4" w:space="0"/>
            </w:tcBorders>
            <w:vAlign w:val="center"/>
          </w:tcPr>
          <w:p w14:paraId="5347628B">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2000≤Y＜10000</w:t>
            </w:r>
          </w:p>
        </w:tc>
        <w:tc>
          <w:tcPr>
            <w:tcW w:w="1470" w:type="dxa"/>
            <w:tcBorders>
              <w:top w:val="single" w:color="B7B7B7" w:sz="4" w:space="0"/>
              <w:left w:val="single" w:color="B7B7B7" w:sz="4" w:space="0"/>
              <w:bottom w:val="single" w:color="B7B7B7" w:sz="4" w:space="0"/>
              <w:right w:val="single" w:color="B7B7B7" w:sz="4" w:space="0"/>
            </w:tcBorders>
            <w:vAlign w:val="center"/>
          </w:tcPr>
          <w:p w14:paraId="5347628C">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100≤Y＜2000</w:t>
            </w:r>
          </w:p>
        </w:tc>
        <w:tc>
          <w:tcPr>
            <w:tcW w:w="900" w:type="dxa"/>
            <w:tcBorders>
              <w:top w:val="single" w:color="B7B7B7" w:sz="4" w:space="0"/>
              <w:left w:val="single" w:color="B7B7B7" w:sz="4" w:space="0"/>
              <w:bottom w:val="single" w:color="B7B7B7" w:sz="4" w:space="0"/>
              <w:right w:val="single" w:color="B7B7B7" w:sz="4" w:space="0"/>
            </w:tcBorders>
            <w:vAlign w:val="center"/>
          </w:tcPr>
          <w:p w14:paraId="5347628D">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Y＜100</w:t>
            </w:r>
          </w:p>
        </w:tc>
      </w:tr>
      <w:tr w14:paraId="53476296">
        <w:tblPrEx>
          <w:tblCellMar>
            <w:top w:w="0" w:type="dxa"/>
            <w:left w:w="0" w:type="dxa"/>
            <w:bottom w:w="0" w:type="dxa"/>
            <w:right w:w="0" w:type="dxa"/>
          </w:tblCellMar>
        </w:tblPrEx>
        <w:trPr>
          <w:jc w:val="center"/>
        </w:trPr>
        <w:tc>
          <w:tcPr>
            <w:tcW w:w="1755" w:type="dxa"/>
            <w:vMerge w:val="restart"/>
            <w:tcBorders>
              <w:top w:val="single" w:color="B7B7B7" w:sz="4" w:space="0"/>
              <w:left w:val="single" w:color="B7B7B7" w:sz="4" w:space="0"/>
              <w:bottom w:val="single" w:color="B7B7B7" w:sz="4" w:space="0"/>
              <w:right w:val="single" w:color="B7B7B7" w:sz="4" w:space="0"/>
            </w:tcBorders>
            <w:vAlign w:val="center"/>
          </w:tcPr>
          <w:p w14:paraId="5347628F">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餐饮业</w:t>
            </w:r>
          </w:p>
        </w:tc>
        <w:tc>
          <w:tcPr>
            <w:tcW w:w="1361" w:type="dxa"/>
            <w:tcBorders>
              <w:top w:val="single" w:color="B7B7B7" w:sz="4" w:space="0"/>
              <w:left w:val="single" w:color="B7B7B7" w:sz="4" w:space="0"/>
              <w:bottom w:val="single" w:color="B7B7B7" w:sz="4" w:space="0"/>
              <w:right w:val="single" w:color="B7B7B7" w:sz="4" w:space="0"/>
            </w:tcBorders>
            <w:vAlign w:val="center"/>
          </w:tcPr>
          <w:p w14:paraId="53476290">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从业人员(X)</w:t>
            </w:r>
          </w:p>
        </w:tc>
        <w:tc>
          <w:tcPr>
            <w:tcW w:w="1123" w:type="dxa"/>
            <w:tcBorders>
              <w:top w:val="single" w:color="B7B7B7" w:sz="4" w:space="0"/>
              <w:left w:val="single" w:color="B7B7B7" w:sz="4" w:space="0"/>
              <w:bottom w:val="single" w:color="B7B7B7" w:sz="4" w:space="0"/>
              <w:right w:val="single" w:color="B7B7B7" w:sz="4" w:space="0"/>
            </w:tcBorders>
            <w:vAlign w:val="center"/>
          </w:tcPr>
          <w:p w14:paraId="53476291">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人</w:t>
            </w:r>
          </w:p>
        </w:tc>
        <w:tc>
          <w:tcPr>
            <w:tcW w:w="891" w:type="dxa"/>
            <w:tcBorders>
              <w:top w:val="single" w:color="B7B7B7" w:sz="4" w:space="0"/>
              <w:left w:val="single" w:color="B7B7B7" w:sz="4" w:space="0"/>
              <w:bottom w:val="single" w:color="B7B7B7" w:sz="4" w:space="0"/>
              <w:right w:val="single" w:color="B7B7B7" w:sz="4" w:space="0"/>
            </w:tcBorders>
            <w:vAlign w:val="center"/>
          </w:tcPr>
          <w:p w14:paraId="53476292">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X≥300</w:t>
            </w:r>
          </w:p>
        </w:tc>
        <w:tc>
          <w:tcPr>
            <w:tcW w:w="1500" w:type="dxa"/>
            <w:tcBorders>
              <w:top w:val="single" w:color="B7B7B7" w:sz="4" w:space="0"/>
              <w:left w:val="single" w:color="B7B7B7" w:sz="4" w:space="0"/>
              <w:bottom w:val="single" w:color="B7B7B7" w:sz="4" w:space="0"/>
              <w:right w:val="single" w:color="B7B7B7" w:sz="4" w:space="0"/>
            </w:tcBorders>
            <w:vAlign w:val="center"/>
          </w:tcPr>
          <w:p w14:paraId="53476293">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100≤X＜300</w:t>
            </w:r>
          </w:p>
        </w:tc>
        <w:tc>
          <w:tcPr>
            <w:tcW w:w="1470" w:type="dxa"/>
            <w:tcBorders>
              <w:top w:val="single" w:color="B7B7B7" w:sz="4" w:space="0"/>
              <w:left w:val="single" w:color="B7B7B7" w:sz="4" w:space="0"/>
              <w:bottom w:val="single" w:color="B7B7B7" w:sz="4" w:space="0"/>
              <w:right w:val="single" w:color="B7B7B7" w:sz="4" w:space="0"/>
            </w:tcBorders>
            <w:vAlign w:val="center"/>
          </w:tcPr>
          <w:p w14:paraId="53476294">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10≤X＜100</w:t>
            </w:r>
          </w:p>
        </w:tc>
        <w:tc>
          <w:tcPr>
            <w:tcW w:w="900" w:type="dxa"/>
            <w:tcBorders>
              <w:top w:val="single" w:color="B7B7B7" w:sz="4" w:space="0"/>
              <w:left w:val="single" w:color="B7B7B7" w:sz="4" w:space="0"/>
              <w:bottom w:val="single" w:color="B7B7B7" w:sz="4" w:space="0"/>
              <w:right w:val="single" w:color="B7B7B7" w:sz="4" w:space="0"/>
            </w:tcBorders>
            <w:vAlign w:val="center"/>
          </w:tcPr>
          <w:p w14:paraId="53476295">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X＜10</w:t>
            </w:r>
          </w:p>
        </w:tc>
      </w:tr>
      <w:tr w14:paraId="5347629E">
        <w:tblPrEx>
          <w:tblCellMar>
            <w:top w:w="0" w:type="dxa"/>
            <w:left w:w="0" w:type="dxa"/>
            <w:bottom w:w="0" w:type="dxa"/>
            <w:right w:w="0" w:type="dxa"/>
          </w:tblCellMar>
        </w:tblPrEx>
        <w:trPr>
          <w:jc w:val="center"/>
        </w:trPr>
        <w:tc>
          <w:tcPr>
            <w:tcW w:w="1755" w:type="dxa"/>
            <w:vMerge w:val="continue"/>
            <w:tcBorders>
              <w:top w:val="single" w:color="B7B7B7" w:sz="4" w:space="0"/>
              <w:left w:val="single" w:color="B7B7B7" w:sz="4" w:space="0"/>
              <w:bottom w:val="single" w:color="B7B7B7" w:sz="4" w:space="0"/>
              <w:right w:val="single" w:color="B7B7B7" w:sz="4" w:space="0"/>
            </w:tcBorders>
            <w:vAlign w:val="center"/>
          </w:tcPr>
          <w:p w14:paraId="53476297">
            <w:pPr>
              <w:jc w:val="center"/>
              <w:rPr>
                <w:rFonts w:ascii="宋体" w:hAnsi="宋体" w:cs="宋体"/>
                <w:color w:val="auto"/>
                <w:sz w:val="24"/>
                <w:szCs w:val="21"/>
                <w:highlight w:val="none"/>
              </w:rPr>
            </w:pPr>
          </w:p>
        </w:tc>
        <w:tc>
          <w:tcPr>
            <w:tcW w:w="1361" w:type="dxa"/>
            <w:tcBorders>
              <w:top w:val="single" w:color="B7B7B7" w:sz="4" w:space="0"/>
              <w:left w:val="single" w:color="B7B7B7" w:sz="4" w:space="0"/>
              <w:bottom w:val="single" w:color="B7B7B7" w:sz="4" w:space="0"/>
              <w:right w:val="single" w:color="B7B7B7" w:sz="4" w:space="0"/>
            </w:tcBorders>
            <w:vAlign w:val="center"/>
          </w:tcPr>
          <w:p w14:paraId="53476298">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营业收入(Y)</w:t>
            </w:r>
          </w:p>
        </w:tc>
        <w:tc>
          <w:tcPr>
            <w:tcW w:w="1123" w:type="dxa"/>
            <w:tcBorders>
              <w:top w:val="single" w:color="B7B7B7" w:sz="4" w:space="0"/>
              <w:left w:val="single" w:color="B7B7B7" w:sz="4" w:space="0"/>
              <w:bottom w:val="single" w:color="B7B7B7" w:sz="4" w:space="0"/>
              <w:right w:val="single" w:color="B7B7B7" w:sz="4" w:space="0"/>
            </w:tcBorders>
            <w:vAlign w:val="center"/>
          </w:tcPr>
          <w:p w14:paraId="53476299">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万元</w:t>
            </w:r>
          </w:p>
        </w:tc>
        <w:tc>
          <w:tcPr>
            <w:tcW w:w="891" w:type="dxa"/>
            <w:tcBorders>
              <w:top w:val="single" w:color="B7B7B7" w:sz="4" w:space="0"/>
              <w:left w:val="single" w:color="B7B7B7" w:sz="4" w:space="0"/>
              <w:bottom w:val="single" w:color="B7B7B7" w:sz="4" w:space="0"/>
              <w:right w:val="single" w:color="B7B7B7" w:sz="4" w:space="0"/>
            </w:tcBorders>
            <w:vAlign w:val="center"/>
          </w:tcPr>
          <w:p w14:paraId="5347629A">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Y≥10000</w:t>
            </w:r>
          </w:p>
        </w:tc>
        <w:tc>
          <w:tcPr>
            <w:tcW w:w="1500" w:type="dxa"/>
            <w:tcBorders>
              <w:top w:val="single" w:color="B7B7B7" w:sz="4" w:space="0"/>
              <w:left w:val="single" w:color="B7B7B7" w:sz="4" w:space="0"/>
              <w:bottom w:val="single" w:color="B7B7B7" w:sz="4" w:space="0"/>
              <w:right w:val="single" w:color="B7B7B7" w:sz="4" w:space="0"/>
            </w:tcBorders>
            <w:vAlign w:val="center"/>
          </w:tcPr>
          <w:p w14:paraId="5347629B">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2000≤Y＜10000</w:t>
            </w:r>
          </w:p>
        </w:tc>
        <w:tc>
          <w:tcPr>
            <w:tcW w:w="1470" w:type="dxa"/>
            <w:tcBorders>
              <w:top w:val="single" w:color="B7B7B7" w:sz="4" w:space="0"/>
              <w:left w:val="single" w:color="B7B7B7" w:sz="4" w:space="0"/>
              <w:bottom w:val="single" w:color="B7B7B7" w:sz="4" w:space="0"/>
              <w:right w:val="single" w:color="B7B7B7" w:sz="4" w:space="0"/>
            </w:tcBorders>
            <w:vAlign w:val="center"/>
          </w:tcPr>
          <w:p w14:paraId="5347629C">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100≤Y＜2000</w:t>
            </w:r>
          </w:p>
        </w:tc>
        <w:tc>
          <w:tcPr>
            <w:tcW w:w="900" w:type="dxa"/>
            <w:tcBorders>
              <w:top w:val="single" w:color="B7B7B7" w:sz="4" w:space="0"/>
              <w:left w:val="single" w:color="B7B7B7" w:sz="4" w:space="0"/>
              <w:bottom w:val="single" w:color="B7B7B7" w:sz="4" w:space="0"/>
              <w:right w:val="single" w:color="B7B7B7" w:sz="4" w:space="0"/>
            </w:tcBorders>
            <w:vAlign w:val="center"/>
          </w:tcPr>
          <w:p w14:paraId="5347629D">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Y＜100</w:t>
            </w:r>
          </w:p>
        </w:tc>
      </w:tr>
      <w:tr w14:paraId="534762A6">
        <w:tblPrEx>
          <w:tblCellMar>
            <w:top w:w="0" w:type="dxa"/>
            <w:left w:w="0" w:type="dxa"/>
            <w:bottom w:w="0" w:type="dxa"/>
            <w:right w:w="0" w:type="dxa"/>
          </w:tblCellMar>
        </w:tblPrEx>
        <w:trPr>
          <w:jc w:val="center"/>
        </w:trPr>
        <w:tc>
          <w:tcPr>
            <w:tcW w:w="1755" w:type="dxa"/>
            <w:vMerge w:val="restart"/>
            <w:tcBorders>
              <w:top w:val="single" w:color="B7B7B7" w:sz="4" w:space="0"/>
              <w:left w:val="single" w:color="B7B7B7" w:sz="4" w:space="0"/>
              <w:bottom w:val="single" w:color="B7B7B7" w:sz="4" w:space="0"/>
              <w:right w:val="single" w:color="B7B7B7" w:sz="4" w:space="0"/>
            </w:tcBorders>
            <w:vAlign w:val="center"/>
          </w:tcPr>
          <w:p w14:paraId="5347629F">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信息传输业 *</w:t>
            </w:r>
          </w:p>
        </w:tc>
        <w:tc>
          <w:tcPr>
            <w:tcW w:w="1361" w:type="dxa"/>
            <w:tcBorders>
              <w:top w:val="single" w:color="B7B7B7" w:sz="4" w:space="0"/>
              <w:left w:val="single" w:color="B7B7B7" w:sz="4" w:space="0"/>
              <w:bottom w:val="single" w:color="B7B7B7" w:sz="4" w:space="0"/>
              <w:right w:val="single" w:color="B7B7B7" w:sz="4" w:space="0"/>
            </w:tcBorders>
            <w:vAlign w:val="center"/>
          </w:tcPr>
          <w:p w14:paraId="534762A0">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从业人员(X)</w:t>
            </w:r>
          </w:p>
        </w:tc>
        <w:tc>
          <w:tcPr>
            <w:tcW w:w="1123" w:type="dxa"/>
            <w:tcBorders>
              <w:top w:val="single" w:color="B7B7B7" w:sz="4" w:space="0"/>
              <w:left w:val="single" w:color="B7B7B7" w:sz="4" w:space="0"/>
              <w:bottom w:val="single" w:color="B7B7B7" w:sz="4" w:space="0"/>
              <w:right w:val="single" w:color="B7B7B7" w:sz="4" w:space="0"/>
            </w:tcBorders>
            <w:vAlign w:val="center"/>
          </w:tcPr>
          <w:p w14:paraId="534762A1">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人</w:t>
            </w:r>
          </w:p>
        </w:tc>
        <w:tc>
          <w:tcPr>
            <w:tcW w:w="891" w:type="dxa"/>
            <w:tcBorders>
              <w:top w:val="single" w:color="B7B7B7" w:sz="4" w:space="0"/>
              <w:left w:val="single" w:color="B7B7B7" w:sz="4" w:space="0"/>
              <w:bottom w:val="single" w:color="B7B7B7" w:sz="4" w:space="0"/>
              <w:right w:val="single" w:color="B7B7B7" w:sz="4" w:space="0"/>
            </w:tcBorders>
            <w:vAlign w:val="center"/>
          </w:tcPr>
          <w:p w14:paraId="534762A2">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X≥2000</w:t>
            </w:r>
          </w:p>
        </w:tc>
        <w:tc>
          <w:tcPr>
            <w:tcW w:w="1500" w:type="dxa"/>
            <w:tcBorders>
              <w:top w:val="single" w:color="B7B7B7" w:sz="4" w:space="0"/>
              <w:left w:val="single" w:color="B7B7B7" w:sz="4" w:space="0"/>
              <w:bottom w:val="single" w:color="B7B7B7" w:sz="4" w:space="0"/>
              <w:right w:val="single" w:color="B7B7B7" w:sz="4" w:space="0"/>
            </w:tcBorders>
            <w:vAlign w:val="center"/>
          </w:tcPr>
          <w:p w14:paraId="534762A3">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100≤X＜2000</w:t>
            </w:r>
          </w:p>
        </w:tc>
        <w:tc>
          <w:tcPr>
            <w:tcW w:w="1470" w:type="dxa"/>
            <w:tcBorders>
              <w:top w:val="single" w:color="B7B7B7" w:sz="4" w:space="0"/>
              <w:left w:val="single" w:color="B7B7B7" w:sz="4" w:space="0"/>
              <w:bottom w:val="single" w:color="B7B7B7" w:sz="4" w:space="0"/>
              <w:right w:val="single" w:color="B7B7B7" w:sz="4" w:space="0"/>
            </w:tcBorders>
            <w:vAlign w:val="center"/>
          </w:tcPr>
          <w:p w14:paraId="534762A4">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10≤X＜100</w:t>
            </w:r>
          </w:p>
        </w:tc>
        <w:tc>
          <w:tcPr>
            <w:tcW w:w="900" w:type="dxa"/>
            <w:tcBorders>
              <w:top w:val="single" w:color="B7B7B7" w:sz="4" w:space="0"/>
              <w:left w:val="single" w:color="B7B7B7" w:sz="4" w:space="0"/>
              <w:bottom w:val="single" w:color="B7B7B7" w:sz="4" w:space="0"/>
              <w:right w:val="single" w:color="B7B7B7" w:sz="4" w:space="0"/>
            </w:tcBorders>
            <w:vAlign w:val="center"/>
          </w:tcPr>
          <w:p w14:paraId="534762A5">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X＜10</w:t>
            </w:r>
          </w:p>
        </w:tc>
      </w:tr>
      <w:tr w14:paraId="534762AE">
        <w:tblPrEx>
          <w:tblCellMar>
            <w:top w:w="0" w:type="dxa"/>
            <w:left w:w="0" w:type="dxa"/>
            <w:bottom w:w="0" w:type="dxa"/>
            <w:right w:w="0" w:type="dxa"/>
          </w:tblCellMar>
        </w:tblPrEx>
        <w:trPr>
          <w:jc w:val="center"/>
        </w:trPr>
        <w:tc>
          <w:tcPr>
            <w:tcW w:w="1755" w:type="dxa"/>
            <w:vMerge w:val="continue"/>
            <w:tcBorders>
              <w:top w:val="single" w:color="B7B7B7" w:sz="4" w:space="0"/>
              <w:left w:val="single" w:color="B7B7B7" w:sz="4" w:space="0"/>
              <w:bottom w:val="single" w:color="B7B7B7" w:sz="4" w:space="0"/>
              <w:right w:val="single" w:color="B7B7B7" w:sz="4" w:space="0"/>
            </w:tcBorders>
            <w:vAlign w:val="center"/>
          </w:tcPr>
          <w:p w14:paraId="534762A7">
            <w:pPr>
              <w:jc w:val="center"/>
              <w:rPr>
                <w:rFonts w:ascii="宋体" w:hAnsi="宋体" w:cs="宋体"/>
                <w:color w:val="auto"/>
                <w:sz w:val="24"/>
                <w:szCs w:val="21"/>
                <w:highlight w:val="none"/>
              </w:rPr>
            </w:pPr>
          </w:p>
        </w:tc>
        <w:tc>
          <w:tcPr>
            <w:tcW w:w="1361" w:type="dxa"/>
            <w:tcBorders>
              <w:top w:val="single" w:color="B7B7B7" w:sz="4" w:space="0"/>
              <w:left w:val="single" w:color="B7B7B7" w:sz="4" w:space="0"/>
              <w:bottom w:val="single" w:color="B7B7B7" w:sz="4" w:space="0"/>
              <w:right w:val="single" w:color="B7B7B7" w:sz="4" w:space="0"/>
            </w:tcBorders>
            <w:vAlign w:val="center"/>
          </w:tcPr>
          <w:p w14:paraId="534762A8">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营业收入(Y)</w:t>
            </w:r>
          </w:p>
        </w:tc>
        <w:tc>
          <w:tcPr>
            <w:tcW w:w="1123" w:type="dxa"/>
            <w:tcBorders>
              <w:top w:val="single" w:color="B7B7B7" w:sz="4" w:space="0"/>
              <w:left w:val="single" w:color="B7B7B7" w:sz="4" w:space="0"/>
              <w:bottom w:val="single" w:color="B7B7B7" w:sz="4" w:space="0"/>
              <w:right w:val="single" w:color="B7B7B7" w:sz="4" w:space="0"/>
            </w:tcBorders>
            <w:vAlign w:val="center"/>
          </w:tcPr>
          <w:p w14:paraId="534762A9">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万元</w:t>
            </w:r>
          </w:p>
        </w:tc>
        <w:tc>
          <w:tcPr>
            <w:tcW w:w="891" w:type="dxa"/>
            <w:tcBorders>
              <w:top w:val="single" w:color="B7B7B7" w:sz="4" w:space="0"/>
              <w:left w:val="single" w:color="B7B7B7" w:sz="4" w:space="0"/>
              <w:bottom w:val="single" w:color="B7B7B7" w:sz="4" w:space="0"/>
              <w:right w:val="single" w:color="B7B7B7" w:sz="4" w:space="0"/>
            </w:tcBorders>
            <w:vAlign w:val="center"/>
          </w:tcPr>
          <w:p w14:paraId="534762AA">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Y≥100000</w:t>
            </w:r>
          </w:p>
        </w:tc>
        <w:tc>
          <w:tcPr>
            <w:tcW w:w="1500" w:type="dxa"/>
            <w:tcBorders>
              <w:top w:val="single" w:color="B7B7B7" w:sz="4" w:space="0"/>
              <w:left w:val="single" w:color="B7B7B7" w:sz="4" w:space="0"/>
              <w:bottom w:val="single" w:color="B7B7B7" w:sz="4" w:space="0"/>
              <w:right w:val="single" w:color="B7B7B7" w:sz="4" w:space="0"/>
            </w:tcBorders>
            <w:vAlign w:val="center"/>
          </w:tcPr>
          <w:p w14:paraId="534762AB">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1000≤Y＜100000</w:t>
            </w:r>
          </w:p>
        </w:tc>
        <w:tc>
          <w:tcPr>
            <w:tcW w:w="1470" w:type="dxa"/>
            <w:tcBorders>
              <w:top w:val="single" w:color="B7B7B7" w:sz="4" w:space="0"/>
              <w:left w:val="single" w:color="B7B7B7" w:sz="4" w:space="0"/>
              <w:bottom w:val="single" w:color="B7B7B7" w:sz="4" w:space="0"/>
              <w:right w:val="single" w:color="B7B7B7" w:sz="4" w:space="0"/>
            </w:tcBorders>
            <w:vAlign w:val="center"/>
          </w:tcPr>
          <w:p w14:paraId="534762AC">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100≤Y＜1000</w:t>
            </w:r>
          </w:p>
        </w:tc>
        <w:tc>
          <w:tcPr>
            <w:tcW w:w="900" w:type="dxa"/>
            <w:tcBorders>
              <w:top w:val="single" w:color="B7B7B7" w:sz="4" w:space="0"/>
              <w:left w:val="single" w:color="B7B7B7" w:sz="4" w:space="0"/>
              <w:bottom w:val="single" w:color="B7B7B7" w:sz="4" w:space="0"/>
              <w:right w:val="single" w:color="B7B7B7" w:sz="4" w:space="0"/>
            </w:tcBorders>
            <w:vAlign w:val="center"/>
          </w:tcPr>
          <w:p w14:paraId="534762AD">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Y＜100</w:t>
            </w:r>
          </w:p>
        </w:tc>
      </w:tr>
      <w:tr w14:paraId="534762B6">
        <w:tblPrEx>
          <w:tblCellMar>
            <w:top w:w="0" w:type="dxa"/>
            <w:left w:w="0" w:type="dxa"/>
            <w:bottom w:w="0" w:type="dxa"/>
            <w:right w:w="0" w:type="dxa"/>
          </w:tblCellMar>
        </w:tblPrEx>
        <w:trPr>
          <w:jc w:val="center"/>
        </w:trPr>
        <w:tc>
          <w:tcPr>
            <w:tcW w:w="1755" w:type="dxa"/>
            <w:vMerge w:val="restart"/>
            <w:tcBorders>
              <w:top w:val="single" w:color="B7B7B7" w:sz="4" w:space="0"/>
              <w:left w:val="single" w:color="B7B7B7" w:sz="4" w:space="0"/>
              <w:bottom w:val="single" w:color="B7B7B7" w:sz="4" w:space="0"/>
              <w:right w:val="single" w:color="B7B7B7" w:sz="4" w:space="0"/>
            </w:tcBorders>
            <w:vAlign w:val="center"/>
          </w:tcPr>
          <w:p w14:paraId="534762AF">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软件和信息技术服务业</w:t>
            </w:r>
          </w:p>
        </w:tc>
        <w:tc>
          <w:tcPr>
            <w:tcW w:w="1361" w:type="dxa"/>
            <w:tcBorders>
              <w:top w:val="single" w:color="B7B7B7" w:sz="4" w:space="0"/>
              <w:left w:val="single" w:color="B7B7B7" w:sz="4" w:space="0"/>
              <w:bottom w:val="single" w:color="B7B7B7" w:sz="4" w:space="0"/>
              <w:right w:val="single" w:color="B7B7B7" w:sz="4" w:space="0"/>
            </w:tcBorders>
            <w:vAlign w:val="center"/>
          </w:tcPr>
          <w:p w14:paraId="534762B0">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从业人员(X)</w:t>
            </w:r>
          </w:p>
        </w:tc>
        <w:tc>
          <w:tcPr>
            <w:tcW w:w="1123" w:type="dxa"/>
            <w:tcBorders>
              <w:top w:val="single" w:color="B7B7B7" w:sz="4" w:space="0"/>
              <w:left w:val="single" w:color="B7B7B7" w:sz="4" w:space="0"/>
              <w:bottom w:val="single" w:color="B7B7B7" w:sz="4" w:space="0"/>
              <w:right w:val="single" w:color="B7B7B7" w:sz="4" w:space="0"/>
            </w:tcBorders>
            <w:vAlign w:val="center"/>
          </w:tcPr>
          <w:p w14:paraId="534762B1">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人</w:t>
            </w:r>
          </w:p>
        </w:tc>
        <w:tc>
          <w:tcPr>
            <w:tcW w:w="891" w:type="dxa"/>
            <w:tcBorders>
              <w:top w:val="single" w:color="B7B7B7" w:sz="4" w:space="0"/>
              <w:left w:val="single" w:color="B7B7B7" w:sz="4" w:space="0"/>
              <w:bottom w:val="single" w:color="B7B7B7" w:sz="4" w:space="0"/>
              <w:right w:val="single" w:color="B7B7B7" w:sz="4" w:space="0"/>
            </w:tcBorders>
            <w:vAlign w:val="center"/>
          </w:tcPr>
          <w:p w14:paraId="534762B2">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X≥300</w:t>
            </w:r>
          </w:p>
        </w:tc>
        <w:tc>
          <w:tcPr>
            <w:tcW w:w="1500" w:type="dxa"/>
            <w:tcBorders>
              <w:top w:val="single" w:color="B7B7B7" w:sz="4" w:space="0"/>
              <w:left w:val="single" w:color="B7B7B7" w:sz="4" w:space="0"/>
              <w:bottom w:val="single" w:color="B7B7B7" w:sz="4" w:space="0"/>
              <w:right w:val="single" w:color="B7B7B7" w:sz="4" w:space="0"/>
            </w:tcBorders>
            <w:vAlign w:val="center"/>
          </w:tcPr>
          <w:p w14:paraId="534762B3">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100≤X＜300</w:t>
            </w:r>
          </w:p>
        </w:tc>
        <w:tc>
          <w:tcPr>
            <w:tcW w:w="1470" w:type="dxa"/>
            <w:tcBorders>
              <w:top w:val="single" w:color="B7B7B7" w:sz="4" w:space="0"/>
              <w:left w:val="single" w:color="B7B7B7" w:sz="4" w:space="0"/>
              <w:bottom w:val="single" w:color="B7B7B7" w:sz="4" w:space="0"/>
              <w:right w:val="single" w:color="B7B7B7" w:sz="4" w:space="0"/>
            </w:tcBorders>
            <w:vAlign w:val="center"/>
          </w:tcPr>
          <w:p w14:paraId="534762B4">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10≤X＜100</w:t>
            </w:r>
          </w:p>
        </w:tc>
        <w:tc>
          <w:tcPr>
            <w:tcW w:w="900" w:type="dxa"/>
            <w:tcBorders>
              <w:top w:val="single" w:color="B7B7B7" w:sz="4" w:space="0"/>
              <w:left w:val="single" w:color="B7B7B7" w:sz="4" w:space="0"/>
              <w:bottom w:val="single" w:color="B7B7B7" w:sz="4" w:space="0"/>
              <w:right w:val="single" w:color="B7B7B7" w:sz="4" w:space="0"/>
            </w:tcBorders>
            <w:vAlign w:val="center"/>
          </w:tcPr>
          <w:p w14:paraId="534762B5">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X＜10</w:t>
            </w:r>
          </w:p>
        </w:tc>
      </w:tr>
      <w:tr w14:paraId="534762BE">
        <w:tblPrEx>
          <w:tblCellMar>
            <w:top w:w="0" w:type="dxa"/>
            <w:left w:w="0" w:type="dxa"/>
            <w:bottom w:w="0" w:type="dxa"/>
            <w:right w:w="0" w:type="dxa"/>
          </w:tblCellMar>
        </w:tblPrEx>
        <w:trPr>
          <w:jc w:val="center"/>
        </w:trPr>
        <w:tc>
          <w:tcPr>
            <w:tcW w:w="1755" w:type="dxa"/>
            <w:vMerge w:val="continue"/>
            <w:tcBorders>
              <w:top w:val="single" w:color="B7B7B7" w:sz="4" w:space="0"/>
              <w:left w:val="single" w:color="B7B7B7" w:sz="4" w:space="0"/>
              <w:bottom w:val="single" w:color="B7B7B7" w:sz="4" w:space="0"/>
              <w:right w:val="single" w:color="B7B7B7" w:sz="4" w:space="0"/>
            </w:tcBorders>
            <w:vAlign w:val="center"/>
          </w:tcPr>
          <w:p w14:paraId="534762B7">
            <w:pPr>
              <w:jc w:val="center"/>
              <w:rPr>
                <w:rFonts w:ascii="宋体" w:hAnsi="宋体" w:cs="宋体"/>
                <w:color w:val="auto"/>
                <w:sz w:val="24"/>
                <w:szCs w:val="21"/>
                <w:highlight w:val="none"/>
              </w:rPr>
            </w:pPr>
          </w:p>
        </w:tc>
        <w:tc>
          <w:tcPr>
            <w:tcW w:w="1361" w:type="dxa"/>
            <w:tcBorders>
              <w:top w:val="single" w:color="B7B7B7" w:sz="4" w:space="0"/>
              <w:left w:val="single" w:color="B7B7B7" w:sz="4" w:space="0"/>
              <w:bottom w:val="single" w:color="B7B7B7" w:sz="4" w:space="0"/>
              <w:right w:val="single" w:color="B7B7B7" w:sz="4" w:space="0"/>
            </w:tcBorders>
            <w:vAlign w:val="center"/>
          </w:tcPr>
          <w:p w14:paraId="534762B8">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营业收入(Y)</w:t>
            </w:r>
          </w:p>
        </w:tc>
        <w:tc>
          <w:tcPr>
            <w:tcW w:w="1123" w:type="dxa"/>
            <w:tcBorders>
              <w:top w:val="single" w:color="B7B7B7" w:sz="4" w:space="0"/>
              <w:left w:val="single" w:color="B7B7B7" w:sz="4" w:space="0"/>
              <w:bottom w:val="single" w:color="B7B7B7" w:sz="4" w:space="0"/>
              <w:right w:val="single" w:color="B7B7B7" w:sz="4" w:space="0"/>
            </w:tcBorders>
            <w:vAlign w:val="center"/>
          </w:tcPr>
          <w:p w14:paraId="534762B9">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万元</w:t>
            </w:r>
          </w:p>
        </w:tc>
        <w:tc>
          <w:tcPr>
            <w:tcW w:w="891" w:type="dxa"/>
            <w:tcBorders>
              <w:top w:val="single" w:color="B7B7B7" w:sz="4" w:space="0"/>
              <w:left w:val="single" w:color="B7B7B7" w:sz="4" w:space="0"/>
              <w:bottom w:val="single" w:color="B7B7B7" w:sz="4" w:space="0"/>
              <w:right w:val="single" w:color="B7B7B7" w:sz="4" w:space="0"/>
            </w:tcBorders>
            <w:vAlign w:val="center"/>
          </w:tcPr>
          <w:p w14:paraId="534762BA">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Y≥10000</w:t>
            </w:r>
          </w:p>
        </w:tc>
        <w:tc>
          <w:tcPr>
            <w:tcW w:w="1500" w:type="dxa"/>
            <w:tcBorders>
              <w:top w:val="single" w:color="B7B7B7" w:sz="4" w:space="0"/>
              <w:left w:val="single" w:color="B7B7B7" w:sz="4" w:space="0"/>
              <w:bottom w:val="single" w:color="B7B7B7" w:sz="4" w:space="0"/>
              <w:right w:val="single" w:color="B7B7B7" w:sz="4" w:space="0"/>
            </w:tcBorders>
            <w:vAlign w:val="center"/>
          </w:tcPr>
          <w:p w14:paraId="534762BB">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1000≤Y＜10000</w:t>
            </w:r>
          </w:p>
        </w:tc>
        <w:tc>
          <w:tcPr>
            <w:tcW w:w="1470" w:type="dxa"/>
            <w:tcBorders>
              <w:top w:val="single" w:color="B7B7B7" w:sz="4" w:space="0"/>
              <w:left w:val="single" w:color="B7B7B7" w:sz="4" w:space="0"/>
              <w:bottom w:val="single" w:color="B7B7B7" w:sz="4" w:space="0"/>
              <w:right w:val="single" w:color="B7B7B7" w:sz="4" w:space="0"/>
            </w:tcBorders>
            <w:vAlign w:val="center"/>
          </w:tcPr>
          <w:p w14:paraId="534762BC">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50≤Y＜1000</w:t>
            </w:r>
          </w:p>
        </w:tc>
        <w:tc>
          <w:tcPr>
            <w:tcW w:w="900" w:type="dxa"/>
            <w:tcBorders>
              <w:top w:val="single" w:color="B7B7B7" w:sz="4" w:space="0"/>
              <w:left w:val="single" w:color="B7B7B7" w:sz="4" w:space="0"/>
              <w:bottom w:val="single" w:color="B7B7B7" w:sz="4" w:space="0"/>
              <w:right w:val="single" w:color="B7B7B7" w:sz="4" w:space="0"/>
            </w:tcBorders>
            <w:vAlign w:val="center"/>
          </w:tcPr>
          <w:p w14:paraId="534762BD">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Y＜50</w:t>
            </w:r>
          </w:p>
        </w:tc>
      </w:tr>
      <w:tr w14:paraId="534762C6">
        <w:tblPrEx>
          <w:tblCellMar>
            <w:top w:w="0" w:type="dxa"/>
            <w:left w:w="0" w:type="dxa"/>
            <w:bottom w:w="0" w:type="dxa"/>
            <w:right w:w="0" w:type="dxa"/>
          </w:tblCellMar>
        </w:tblPrEx>
        <w:trPr>
          <w:jc w:val="center"/>
        </w:trPr>
        <w:tc>
          <w:tcPr>
            <w:tcW w:w="1755" w:type="dxa"/>
            <w:vMerge w:val="restart"/>
            <w:tcBorders>
              <w:top w:val="single" w:color="B7B7B7" w:sz="4" w:space="0"/>
              <w:left w:val="single" w:color="B7B7B7" w:sz="4" w:space="0"/>
              <w:bottom w:val="single" w:color="B7B7B7" w:sz="4" w:space="0"/>
              <w:right w:val="single" w:color="B7B7B7" w:sz="4" w:space="0"/>
            </w:tcBorders>
            <w:vAlign w:val="center"/>
          </w:tcPr>
          <w:p w14:paraId="534762BF">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房地产开发经营</w:t>
            </w:r>
          </w:p>
        </w:tc>
        <w:tc>
          <w:tcPr>
            <w:tcW w:w="1361" w:type="dxa"/>
            <w:tcBorders>
              <w:top w:val="single" w:color="B7B7B7" w:sz="4" w:space="0"/>
              <w:left w:val="single" w:color="B7B7B7" w:sz="4" w:space="0"/>
              <w:bottom w:val="single" w:color="B7B7B7" w:sz="4" w:space="0"/>
              <w:right w:val="single" w:color="B7B7B7" w:sz="4" w:space="0"/>
            </w:tcBorders>
            <w:vAlign w:val="center"/>
          </w:tcPr>
          <w:p w14:paraId="534762C0">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营业收入(Y)</w:t>
            </w:r>
          </w:p>
        </w:tc>
        <w:tc>
          <w:tcPr>
            <w:tcW w:w="1123" w:type="dxa"/>
            <w:tcBorders>
              <w:top w:val="single" w:color="B7B7B7" w:sz="4" w:space="0"/>
              <w:left w:val="single" w:color="B7B7B7" w:sz="4" w:space="0"/>
              <w:bottom w:val="single" w:color="B7B7B7" w:sz="4" w:space="0"/>
              <w:right w:val="single" w:color="B7B7B7" w:sz="4" w:space="0"/>
            </w:tcBorders>
            <w:vAlign w:val="center"/>
          </w:tcPr>
          <w:p w14:paraId="534762C1">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万元</w:t>
            </w:r>
          </w:p>
        </w:tc>
        <w:tc>
          <w:tcPr>
            <w:tcW w:w="891" w:type="dxa"/>
            <w:tcBorders>
              <w:top w:val="single" w:color="B7B7B7" w:sz="4" w:space="0"/>
              <w:left w:val="single" w:color="B7B7B7" w:sz="4" w:space="0"/>
              <w:bottom w:val="single" w:color="B7B7B7" w:sz="4" w:space="0"/>
              <w:right w:val="single" w:color="B7B7B7" w:sz="4" w:space="0"/>
            </w:tcBorders>
            <w:vAlign w:val="center"/>
          </w:tcPr>
          <w:p w14:paraId="534762C2">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Y≥200000</w:t>
            </w:r>
          </w:p>
        </w:tc>
        <w:tc>
          <w:tcPr>
            <w:tcW w:w="1500" w:type="dxa"/>
            <w:tcBorders>
              <w:top w:val="single" w:color="B7B7B7" w:sz="4" w:space="0"/>
              <w:left w:val="single" w:color="B7B7B7" w:sz="4" w:space="0"/>
              <w:bottom w:val="single" w:color="B7B7B7" w:sz="4" w:space="0"/>
              <w:right w:val="single" w:color="B7B7B7" w:sz="4" w:space="0"/>
            </w:tcBorders>
            <w:vAlign w:val="center"/>
          </w:tcPr>
          <w:p w14:paraId="534762C3">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1000≤Y＜200000</w:t>
            </w:r>
          </w:p>
        </w:tc>
        <w:tc>
          <w:tcPr>
            <w:tcW w:w="1470" w:type="dxa"/>
            <w:tcBorders>
              <w:top w:val="single" w:color="B7B7B7" w:sz="4" w:space="0"/>
              <w:left w:val="single" w:color="B7B7B7" w:sz="4" w:space="0"/>
              <w:bottom w:val="single" w:color="B7B7B7" w:sz="4" w:space="0"/>
              <w:right w:val="single" w:color="B7B7B7" w:sz="4" w:space="0"/>
            </w:tcBorders>
            <w:vAlign w:val="center"/>
          </w:tcPr>
          <w:p w14:paraId="534762C4">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100≤Y＜1000</w:t>
            </w:r>
          </w:p>
        </w:tc>
        <w:tc>
          <w:tcPr>
            <w:tcW w:w="900" w:type="dxa"/>
            <w:tcBorders>
              <w:top w:val="single" w:color="B7B7B7" w:sz="4" w:space="0"/>
              <w:left w:val="single" w:color="B7B7B7" w:sz="4" w:space="0"/>
              <w:bottom w:val="single" w:color="B7B7B7" w:sz="4" w:space="0"/>
              <w:right w:val="single" w:color="B7B7B7" w:sz="4" w:space="0"/>
            </w:tcBorders>
            <w:vAlign w:val="center"/>
          </w:tcPr>
          <w:p w14:paraId="534762C5">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Y＜100</w:t>
            </w:r>
          </w:p>
        </w:tc>
      </w:tr>
      <w:tr w14:paraId="534762CE">
        <w:tblPrEx>
          <w:tblCellMar>
            <w:top w:w="0" w:type="dxa"/>
            <w:left w:w="0" w:type="dxa"/>
            <w:bottom w:w="0" w:type="dxa"/>
            <w:right w:w="0" w:type="dxa"/>
          </w:tblCellMar>
        </w:tblPrEx>
        <w:trPr>
          <w:jc w:val="center"/>
        </w:trPr>
        <w:tc>
          <w:tcPr>
            <w:tcW w:w="1755" w:type="dxa"/>
            <w:vMerge w:val="continue"/>
            <w:tcBorders>
              <w:top w:val="single" w:color="B7B7B7" w:sz="4" w:space="0"/>
              <w:left w:val="single" w:color="B7B7B7" w:sz="4" w:space="0"/>
              <w:bottom w:val="single" w:color="B7B7B7" w:sz="4" w:space="0"/>
              <w:right w:val="single" w:color="B7B7B7" w:sz="4" w:space="0"/>
            </w:tcBorders>
            <w:vAlign w:val="center"/>
          </w:tcPr>
          <w:p w14:paraId="534762C7">
            <w:pPr>
              <w:jc w:val="center"/>
              <w:rPr>
                <w:rFonts w:ascii="宋体" w:hAnsi="宋体" w:cs="宋体"/>
                <w:color w:val="auto"/>
                <w:sz w:val="24"/>
                <w:szCs w:val="21"/>
                <w:highlight w:val="none"/>
              </w:rPr>
            </w:pPr>
          </w:p>
        </w:tc>
        <w:tc>
          <w:tcPr>
            <w:tcW w:w="1361" w:type="dxa"/>
            <w:tcBorders>
              <w:top w:val="single" w:color="B7B7B7" w:sz="4" w:space="0"/>
              <w:left w:val="single" w:color="B7B7B7" w:sz="4" w:space="0"/>
              <w:bottom w:val="single" w:color="B7B7B7" w:sz="4" w:space="0"/>
              <w:right w:val="single" w:color="B7B7B7" w:sz="4" w:space="0"/>
            </w:tcBorders>
            <w:vAlign w:val="center"/>
          </w:tcPr>
          <w:p w14:paraId="534762C8">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资产总额(Z)</w:t>
            </w:r>
          </w:p>
        </w:tc>
        <w:tc>
          <w:tcPr>
            <w:tcW w:w="1123" w:type="dxa"/>
            <w:tcBorders>
              <w:top w:val="single" w:color="B7B7B7" w:sz="4" w:space="0"/>
              <w:left w:val="single" w:color="B7B7B7" w:sz="4" w:space="0"/>
              <w:bottom w:val="single" w:color="B7B7B7" w:sz="4" w:space="0"/>
              <w:right w:val="single" w:color="B7B7B7" w:sz="4" w:space="0"/>
            </w:tcBorders>
            <w:vAlign w:val="center"/>
          </w:tcPr>
          <w:p w14:paraId="534762C9">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万元</w:t>
            </w:r>
          </w:p>
        </w:tc>
        <w:tc>
          <w:tcPr>
            <w:tcW w:w="891" w:type="dxa"/>
            <w:tcBorders>
              <w:top w:val="single" w:color="B7B7B7" w:sz="4" w:space="0"/>
              <w:left w:val="single" w:color="B7B7B7" w:sz="4" w:space="0"/>
              <w:bottom w:val="single" w:color="B7B7B7" w:sz="4" w:space="0"/>
              <w:right w:val="single" w:color="B7B7B7" w:sz="4" w:space="0"/>
            </w:tcBorders>
            <w:vAlign w:val="center"/>
          </w:tcPr>
          <w:p w14:paraId="534762CA">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Z≥10000</w:t>
            </w:r>
          </w:p>
        </w:tc>
        <w:tc>
          <w:tcPr>
            <w:tcW w:w="1500" w:type="dxa"/>
            <w:tcBorders>
              <w:top w:val="single" w:color="B7B7B7" w:sz="4" w:space="0"/>
              <w:left w:val="single" w:color="B7B7B7" w:sz="4" w:space="0"/>
              <w:bottom w:val="single" w:color="B7B7B7" w:sz="4" w:space="0"/>
              <w:right w:val="single" w:color="B7B7B7" w:sz="4" w:space="0"/>
            </w:tcBorders>
            <w:vAlign w:val="center"/>
          </w:tcPr>
          <w:p w14:paraId="534762CB">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5000≤Z＜10000</w:t>
            </w:r>
          </w:p>
        </w:tc>
        <w:tc>
          <w:tcPr>
            <w:tcW w:w="1470" w:type="dxa"/>
            <w:tcBorders>
              <w:top w:val="single" w:color="B7B7B7" w:sz="4" w:space="0"/>
              <w:left w:val="single" w:color="B7B7B7" w:sz="4" w:space="0"/>
              <w:bottom w:val="single" w:color="B7B7B7" w:sz="4" w:space="0"/>
              <w:right w:val="single" w:color="B7B7B7" w:sz="4" w:space="0"/>
            </w:tcBorders>
            <w:vAlign w:val="center"/>
          </w:tcPr>
          <w:p w14:paraId="534762CC">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2000≤Z＜5000</w:t>
            </w:r>
          </w:p>
        </w:tc>
        <w:tc>
          <w:tcPr>
            <w:tcW w:w="900" w:type="dxa"/>
            <w:tcBorders>
              <w:top w:val="single" w:color="B7B7B7" w:sz="4" w:space="0"/>
              <w:left w:val="single" w:color="B7B7B7" w:sz="4" w:space="0"/>
              <w:bottom w:val="single" w:color="B7B7B7" w:sz="4" w:space="0"/>
              <w:right w:val="single" w:color="B7B7B7" w:sz="4" w:space="0"/>
            </w:tcBorders>
            <w:vAlign w:val="center"/>
          </w:tcPr>
          <w:p w14:paraId="534762CD">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Z＜2000</w:t>
            </w:r>
          </w:p>
        </w:tc>
      </w:tr>
      <w:tr w14:paraId="534762D6">
        <w:tblPrEx>
          <w:tblCellMar>
            <w:top w:w="0" w:type="dxa"/>
            <w:left w:w="0" w:type="dxa"/>
            <w:bottom w:w="0" w:type="dxa"/>
            <w:right w:w="0" w:type="dxa"/>
          </w:tblCellMar>
        </w:tblPrEx>
        <w:trPr>
          <w:jc w:val="center"/>
        </w:trPr>
        <w:tc>
          <w:tcPr>
            <w:tcW w:w="1755" w:type="dxa"/>
            <w:vMerge w:val="restart"/>
            <w:tcBorders>
              <w:top w:val="single" w:color="B7B7B7" w:sz="4" w:space="0"/>
              <w:left w:val="single" w:color="B7B7B7" w:sz="4" w:space="0"/>
              <w:bottom w:val="single" w:color="B7B7B7" w:sz="4" w:space="0"/>
              <w:right w:val="single" w:color="B7B7B7" w:sz="4" w:space="0"/>
            </w:tcBorders>
            <w:vAlign w:val="center"/>
          </w:tcPr>
          <w:p w14:paraId="534762CF">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物业管理</w:t>
            </w:r>
          </w:p>
        </w:tc>
        <w:tc>
          <w:tcPr>
            <w:tcW w:w="1361" w:type="dxa"/>
            <w:tcBorders>
              <w:top w:val="single" w:color="B7B7B7" w:sz="4" w:space="0"/>
              <w:left w:val="single" w:color="B7B7B7" w:sz="4" w:space="0"/>
              <w:bottom w:val="single" w:color="B7B7B7" w:sz="4" w:space="0"/>
              <w:right w:val="single" w:color="B7B7B7" w:sz="4" w:space="0"/>
            </w:tcBorders>
            <w:vAlign w:val="center"/>
          </w:tcPr>
          <w:p w14:paraId="534762D0">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从业人员(X)</w:t>
            </w:r>
          </w:p>
        </w:tc>
        <w:tc>
          <w:tcPr>
            <w:tcW w:w="1123" w:type="dxa"/>
            <w:tcBorders>
              <w:top w:val="single" w:color="B7B7B7" w:sz="4" w:space="0"/>
              <w:left w:val="single" w:color="B7B7B7" w:sz="4" w:space="0"/>
              <w:bottom w:val="single" w:color="B7B7B7" w:sz="4" w:space="0"/>
              <w:right w:val="single" w:color="B7B7B7" w:sz="4" w:space="0"/>
            </w:tcBorders>
            <w:vAlign w:val="center"/>
          </w:tcPr>
          <w:p w14:paraId="534762D1">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人</w:t>
            </w:r>
          </w:p>
        </w:tc>
        <w:tc>
          <w:tcPr>
            <w:tcW w:w="891" w:type="dxa"/>
            <w:tcBorders>
              <w:top w:val="single" w:color="B7B7B7" w:sz="4" w:space="0"/>
              <w:left w:val="single" w:color="B7B7B7" w:sz="4" w:space="0"/>
              <w:bottom w:val="single" w:color="B7B7B7" w:sz="4" w:space="0"/>
              <w:right w:val="single" w:color="B7B7B7" w:sz="4" w:space="0"/>
            </w:tcBorders>
            <w:vAlign w:val="center"/>
          </w:tcPr>
          <w:p w14:paraId="534762D2">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X≥1000</w:t>
            </w:r>
          </w:p>
        </w:tc>
        <w:tc>
          <w:tcPr>
            <w:tcW w:w="1500" w:type="dxa"/>
            <w:tcBorders>
              <w:top w:val="single" w:color="B7B7B7" w:sz="4" w:space="0"/>
              <w:left w:val="single" w:color="B7B7B7" w:sz="4" w:space="0"/>
              <w:bottom w:val="single" w:color="B7B7B7" w:sz="4" w:space="0"/>
              <w:right w:val="single" w:color="B7B7B7" w:sz="4" w:space="0"/>
            </w:tcBorders>
            <w:vAlign w:val="center"/>
          </w:tcPr>
          <w:p w14:paraId="534762D3">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300≤X＜1000</w:t>
            </w:r>
          </w:p>
        </w:tc>
        <w:tc>
          <w:tcPr>
            <w:tcW w:w="1470" w:type="dxa"/>
            <w:tcBorders>
              <w:top w:val="single" w:color="B7B7B7" w:sz="4" w:space="0"/>
              <w:left w:val="single" w:color="B7B7B7" w:sz="4" w:space="0"/>
              <w:bottom w:val="single" w:color="B7B7B7" w:sz="4" w:space="0"/>
              <w:right w:val="single" w:color="B7B7B7" w:sz="4" w:space="0"/>
            </w:tcBorders>
            <w:vAlign w:val="center"/>
          </w:tcPr>
          <w:p w14:paraId="534762D4">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100≤X＜300</w:t>
            </w:r>
          </w:p>
        </w:tc>
        <w:tc>
          <w:tcPr>
            <w:tcW w:w="900" w:type="dxa"/>
            <w:tcBorders>
              <w:top w:val="single" w:color="B7B7B7" w:sz="4" w:space="0"/>
              <w:left w:val="single" w:color="B7B7B7" w:sz="4" w:space="0"/>
              <w:bottom w:val="single" w:color="B7B7B7" w:sz="4" w:space="0"/>
              <w:right w:val="single" w:color="B7B7B7" w:sz="4" w:space="0"/>
            </w:tcBorders>
            <w:vAlign w:val="center"/>
          </w:tcPr>
          <w:p w14:paraId="534762D5">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X＜100</w:t>
            </w:r>
          </w:p>
        </w:tc>
      </w:tr>
      <w:tr w14:paraId="534762DE">
        <w:tblPrEx>
          <w:tblCellMar>
            <w:top w:w="0" w:type="dxa"/>
            <w:left w:w="0" w:type="dxa"/>
            <w:bottom w:w="0" w:type="dxa"/>
            <w:right w:w="0" w:type="dxa"/>
          </w:tblCellMar>
        </w:tblPrEx>
        <w:trPr>
          <w:jc w:val="center"/>
        </w:trPr>
        <w:tc>
          <w:tcPr>
            <w:tcW w:w="1755" w:type="dxa"/>
            <w:vMerge w:val="continue"/>
            <w:tcBorders>
              <w:top w:val="single" w:color="B7B7B7" w:sz="4" w:space="0"/>
              <w:left w:val="single" w:color="B7B7B7" w:sz="4" w:space="0"/>
              <w:bottom w:val="single" w:color="B7B7B7" w:sz="4" w:space="0"/>
              <w:right w:val="single" w:color="B7B7B7" w:sz="4" w:space="0"/>
            </w:tcBorders>
            <w:vAlign w:val="center"/>
          </w:tcPr>
          <w:p w14:paraId="534762D7">
            <w:pPr>
              <w:jc w:val="center"/>
              <w:rPr>
                <w:rFonts w:ascii="宋体" w:hAnsi="宋体" w:cs="宋体"/>
                <w:color w:val="auto"/>
                <w:sz w:val="24"/>
                <w:szCs w:val="21"/>
                <w:highlight w:val="none"/>
              </w:rPr>
            </w:pPr>
          </w:p>
        </w:tc>
        <w:tc>
          <w:tcPr>
            <w:tcW w:w="1361" w:type="dxa"/>
            <w:tcBorders>
              <w:top w:val="single" w:color="B7B7B7" w:sz="4" w:space="0"/>
              <w:left w:val="single" w:color="B7B7B7" w:sz="4" w:space="0"/>
              <w:bottom w:val="single" w:color="B7B7B7" w:sz="4" w:space="0"/>
              <w:right w:val="single" w:color="B7B7B7" w:sz="4" w:space="0"/>
            </w:tcBorders>
            <w:vAlign w:val="center"/>
          </w:tcPr>
          <w:p w14:paraId="534762D8">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营业收入(Y)</w:t>
            </w:r>
          </w:p>
        </w:tc>
        <w:tc>
          <w:tcPr>
            <w:tcW w:w="1123" w:type="dxa"/>
            <w:tcBorders>
              <w:top w:val="single" w:color="B7B7B7" w:sz="4" w:space="0"/>
              <w:left w:val="single" w:color="B7B7B7" w:sz="4" w:space="0"/>
              <w:bottom w:val="single" w:color="B7B7B7" w:sz="4" w:space="0"/>
              <w:right w:val="single" w:color="B7B7B7" w:sz="4" w:space="0"/>
            </w:tcBorders>
            <w:vAlign w:val="center"/>
          </w:tcPr>
          <w:p w14:paraId="534762D9">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万元</w:t>
            </w:r>
          </w:p>
        </w:tc>
        <w:tc>
          <w:tcPr>
            <w:tcW w:w="891" w:type="dxa"/>
            <w:tcBorders>
              <w:top w:val="single" w:color="B7B7B7" w:sz="4" w:space="0"/>
              <w:left w:val="single" w:color="B7B7B7" w:sz="4" w:space="0"/>
              <w:bottom w:val="single" w:color="B7B7B7" w:sz="4" w:space="0"/>
              <w:right w:val="single" w:color="B7B7B7" w:sz="4" w:space="0"/>
            </w:tcBorders>
            <w:vAlign w:val="center"/>
          </w:tcPr>
          <w:p w14:paraId="534762DA">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Y≥5000</w:t>
            </w:r>
          </w:p>
        </w:tc>
        <w:tc>
          <w:tcPr>
            <w:tcW w:w="1500" w:type="dxa"/>
            <w:tcBorders>
              <w:top w:val="single" w:color="B7B7B7" w:sz="4" w:space="0"/>
              <w:left w:val="single" w:color="B7B7B7" w:sz="4" w:space="0"/>
              <w:bottom w:val="single" w:color="B7B7B7" w:sz="4" w:space="0"/>
              <w:right w:val="single" w:color="B7B7B7" w:sz="4" w:space="0"/>
            </w:tcBorders>
            <w:vAlign w:val="center"/>
          </w:tcPr>
          <w:p w14:paraId="534762DB">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1000≤Y＜5000</w:t>
            </w:r>
          </w:p>
        </w:tc>
        <w:tc>
          <w:tcPr>
            <w:tcW w:w="1470" w:type="dxa"/>
            <w:tcBorders>
              <w:top w:val="single" w:color="B7B7B7" w:sz="4" w:space="0"/>
              <w:left w:val="single" w:color="B7B7B7" w:sz="4" w:space="0"/>
              <w:bottom w:val="single" w:color="B7B7B7" w:sz="4" w:space="0"/>
              <w:right w:val="single" w:color="B7B7B7" w:sz="4" w:space="0"/>
            </w:tcBorders>
            <w:vAlign w:val="center"/>
          </w:tcPr>
          <w:p w14:paraId="534762DC">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500≤Y＜1000</w:t>
            </w:r>
          </w:p>
        </w:tc>
        <w:tc>
          <w:tcPr>
            <w:tcW w:w="900" w:type="dxa"/>
            <w:tcBorders>
              <w:top w:val="single" w:color="B7B7B7" w:sz="4" w:space="0"/>
              <w:left w:val="single" w:color="B7B7B7" w:sz="4" w:space="0"/>
              <w:bottom w:val="single" w:color="B7B7B7" w:sz="4" w:space="0"/>
              <w:right w:val="single" w:color="B7B7B7" w:sz="4" w:space="0"/>
            </w:tcBorders>
            <w:vAlign w:val="center"/>
          </w:tcPr>
          <w:p w14:paraId="534762DD">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Y＜500</w:t>
            </w:r>
          </w:p>
        </w:tc>
      </w:tr>
      <w:tr w14:paraId="534762E6">
        <w:tblPrEx>
          <w:tblCellMar>
            <w:top w:w="0" w:type="dxa"/>
            <w:left w:w="0" w:type="dxa"/>
            <w:bottom w:w="0" w:type="dxa"/>
            <w:right w:w="0" w:type="dxa"/>
          </w:tblCellMar>
        </w:tblPrEx>
        <w:trPr>
          <w:jc w:val="center"/>
        </w:trPr>
        <w:tc>
          <w:tcPr>
            <w:tcW w:w="1755" w:type="dxa"/>
            <w:vMerge w:val="restart"/>
            <w:tcBorders>
              <w:top w:val="single" w:color="B7B7B7" w:sz="4" w:space="0"/>
              <w:left w:val="single" w:color="B7B7B7" w:sz="4" w:space="0"/>
              <w:bottom w:val="single" w:color="B7B7B7" w:sz="4" w:space="0"/>
              <w:right w:val="single" w:color="B7B7B7" w:sz="4" w:space="0"/>
            </w:tcBorders>
            <w:vAlign w:val="center"/>
          </w:tcPr>
          <w:p w14:paraId="534762DF">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租赁和商务服务业</w:t>
            </w:r>
          </w:p>
        </w:tc>
        <w:tc>
          <w:tcPr>
            <w:tcW w:w="1361" w:type="dxa"/>
            <w:tcBorders>
              <w:top w:val="single" w:color="B7B7B7" w:sz="4" w:space="0"/>
              <w:left w:val="single" w:color="B7B7B7" w:sz="4" w:space="0"/>
              <w:bottom w:val="single" w:color="B7B7B7" w:sz="4" w:space="0"/>
              <w:right w:val="single" w:color="B7B7B7" w:sz="4" w:space="0"/>
            </w:tcBorders>
            <w:vAlign w:val="center"/>
          </w:tcPr>
          <w:p w14:paraId="534762E0">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从业人员(X)</w:t>
            </w:r>
          </w:p>
        </w:tc>
        <w:tc>
          <w:tcPr>
            <w:tcW w:w="1123" w:type="dxa"/>
            <w:tcBorders>
              <w:top w:val="single" w:color="B7B7B7" w:sz="4" w:space="0"/>
              <w:left w:val="single" w:color="B7B7B7" w:sz="4" w:space="0"/>
              <w:bottom w:val="single" w:color="B7B7B7" w:sz="4" w:space="0"/>
              <w:right w:val="single" w:color="B7B7B7" w:sz="4" w:space="0"/>
            </w:tcBorders>
            <w:vAlign w:val="center"/>
          </w:tcPr>
          <w:p w14:paraId="534762E1">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人</w:t>
            </w:r>
          </w:p>
        </w:tc>
        <w:tc>
          <w:tcPr>
            <w:tcW w:w="891" w:type="dxa"/>
            <w:tcBorders>
              <w:top w:val="single" w:color="B7B7B7" w:sz="4" w:space="0"/>
              <w:left w:val="single" w:color="B7B7B7" w:sz="4" w:space="0"/>
              <w:bottom w:val="single" w:color="B7B7B7" w:sz="4" w:space="0"/>
              <w:right w:val="single" w:color="B7B7B7" w:sz="4" w:space="0"/>
            </w:tcBorders>
            <w:vAlign w:val="center"/>
          </w:tcPr>
          <w:p w14:paraId="534762E2">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X≥300</w:t>
            </w:r>
          </w:p>
        </w:tc>
        <w:tc>
          <w:tcPr>
            <w:tcW w:w="1500" w:type="dxa"/>
            <w:tcBorders>
              <w:top w:val="single" w:color="B7B7B7" w:sz="4" w:space="0"/>
              <w:left w:val="single" w:color="B7B7B7" w:sz="4" w:space="0"/>
              <w:bottom w:val="single" w:color="B7B7B7" w:sz="4" w:space="0"/>
              <w:right w:val="single" w:color="B7B7B7" w:sz="4" w:space="0"/>
            </w:tcBorders>
            <w:vAlign w:val="center"/>
          </w:tcPr>
          <w:p w14:paraId="534762E3">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100≤X＜300</w:t>
            </w:r>
          </w:p>
        </w:tc>
        <w:tc>
          <w:tcPr>
            <w:tcW w:w="1470" w:type="dxa"/>
            <w:tcBorders>
              <w:top w:val="single" w:color="B7B7B7" w:sz="4" w:space="0"/>
              <w:left w:val="single" w:color="B7B7B7" w:sz="4" w:space="0"/>
              <w:bottom w:val="single" w:color="B7B7B7" w:sz="4" w:space="0"/>
              <w:right w:val="single" w:color="B7B7B7" w:sz="4" w:space="0"/>
            </w:tcBorders>
            <w:vAlign w:val="center"/>
          </w:tcPr>
          <w:p w14:paraId="534762E4">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10≤X＜100</w:t>
            </w:r>
          </w:p>
        </w:tc>
        <w:tc>
          <w:tcPr>
            <w:tcW w:w="900" w:type="dxa"/>
            <w:tcBorders>
              <w:top w:val="single" w:color="B7B7B7" w:sz="4" w:space="0"/>
              <w:left w:val="single" w:color="B7B7B7" w:sz="4" w:space="0"/>
              <w:bottom w:val="single" w:color="B7B7B7" w:sz="4" w:space="0"/>
              <w:right w:val="single" w:color="B7B7B7" w:sz="4" w:space="0"/>
            </w:tcBorders>
            <w:vAlign w:val="center"/>
          </w:tcPr>
          <w:p w14:paraId="534762E5">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X＜10</w:t>
            </w:r>
          </w:p>
        </w:tc>
      </w:tr>
      <w:tr w14:paraId="534762EE">
        <w:tblPrEx>
          <w:tblCellMar>
            <w:top w:w="0" w:type="dxa"/>
            <w:left w:w="0" w:type="dxa"/>
            <w:bottom w:w="0" w:type="dxa"/>
            <w:right w:w="0" w:type="dxa"/>
          </w:tblCellMar>
        </w:tblPrEx>
        <w:trPr>
          <w:jc w:val="center"/>
        </w:trPr>
        <w:tc>
          <w:tcPr>
            <w:tcW w:w="1755" w:type="dxa"/>
            <w:vMerge w:val="continue"/>
            <w:tcBorders>
              <w:top w:val="single" w:color="B7B7B7" w:sz="4" w:space="0"/>
              <w:left w:val="single" w:color="B7B7B7" w:sz="4" w:space="0"/>
              <w:bottom w:val="single" w:color="B7B7B7" w:sz="4" w:space="0"/>
              <w:right w:val="single" w:color="B7B7B7" w:sz="4" w:space="0"/>
            </w:tcBorders>
            <w:vAlign w:val="center"/>
          </w:tcPr>
          <w:p w14:paraId="534762E7">
            <w:pPr>
              <w:jc w:val="center"/>
              <w:rPr>
                <w:rFonts w:ascii="宋体" w:hAnsi="宋体" w:cs="宋体"/>
                <w:color w:val="auto"/>
                <w:sz w:val="24"/>
                <w:szCs w:val="21"/>
                <w:highlight w:val="none"/>
              </w:rPr>
            </w:pPr>
          </w:p>
        </w:tc>
        <w:tc>
          <w:tcPr>
            <w:tcW w:w="1361" w:type="dxa"/>
            <w:tcBorders>
              <w:top w:val="single" w:color="B7B7B7" w:sz="4" w:space="0"/>
              <w:left w:val="single" w:color="B7B7B7" w:sz="4" w:space="0"/>
              <w:bottom w:val="single" w:color="B7B7B7" w:sz="4" w:space="0"/>
              <w:right w:val="single" w:color="B7B7B7" w:sz="4" w:space="0"/>
            </w:tcBorders>
            <w:vAlign w:val="center"/>
          </w:tcPr>
          <w:p w14:paraId="534762E8">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资产总额(Z)</w:t>
            </w:r>
          </w:p>
        </w:tc>
        <w:tc>
          <w:tcPr>
            <w:tcW w:w="1123" w:type="dxa"/>
            <w:tcBorders>
              <w:top w:val="single" w:color="B7B7B7" w:sz="4" w:space="0"/>
              <w:left w:val="single" w:color="B7B7B7" w:sz="4" w:space="0"/>
              <w:bottom w:val="single" w:color="B7B7B7" w:sz="4" w:space="0"/>
              <w:right w:val="single" w:color="B7B7B7" w:sz="4" w:space="0"/>
            </w:tcBorders>
            <w:vAlign w:val="center"/>
          </w:tcPr>
          <w:p w14:paraId="534762E9">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万元</w:t>
            </w:r>
          </w:p>
        </w:tc>
        <w:tc>
          <w:tcPr>
            <w:tcW w:w="891" w:type="dxa"/>
            <w:tcBorders>
              <w:top w:val="single" w:color="B7B7B7" w:sz="4" w:space="0"/>
              <w:left w:val="single" w:color="B7B7B7" w:sz="4" w:space="0"/>
              <w:bottom w:val="single" w:color="B7B7B7" w:sz="4" w:space="0"/>
              <w:right w:val="single" w:color="B7B7B7" w:sz="4" w:space="0"/>
            </w:tcBorders>
            <w:vAlign w:val="center"/>
          </w:tcPr>
          <w:p w14:paraId="534762EA">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Z≥120000</w:t>
            </w:r>
          </w:p>
        </w:tc>
        <w:tc>
          <w:tcPr>
            <w:tcW w:w="1500" w:type="dxa"/>
            <w:tcBorders>
              <w:top w:val="single" w:color="B7B7B7" w:sz="4" w:space="0"/>
              <w:left w:val="single" w:color="B7B7B7" w:sz="4" w:space="0"/>
              <w:bottom w:val="single" w:color="B7B7B7" w:sz="4" w:space="0"/>
              <w:right w:val="single" w:color="B7B7B7" w:sz="4" w:space="0"/>
            </w:tcBorders>
            <w:vAlign w:val="center"/>
          </w:tcPr>
          <w:p w14:paraId="534762EB">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8000≤Z＜120000</w:t>
            </w:r>
          </w:p>
        </w:tc>
        <w:tc>
          <w:tcPr>
            <w:tcW w:w="1470" w:type="dxa"/>
            <w:tcBorders>
              <w:top w:val="single" w:color="B7B7B7" w:sz="4" w:space="0"/>
              <w:left w:val="single" w:color="B7B7B7" w:sz="4" w:space="0"/>
              <w:bottom w:val="single" w:color="B7B7B7" w:sz="4" w:space="0"/>
              <w:right w:val="single" w:color="B7B7B7" w:sz="4" w:space="0"/>
            </w:tcBorders>
            <w:vAlign w:val="center"/>
          </w:tcPr>
          <w:p w14:paraId="534762EC">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100≤Z＜8000</w:t>
            </w:r>
          </w:p>
        </w:tc>
        <w:tc>
          <w:tcPr>
            <w:tcW w:w="900" w:type="dxa"/>
            <w:tcBorders>
              <w:top w:val="single" w:color="B7B7B7" w:sz="4" w:space="0"/>
              <w:left w:val="single" w:color="B7B7B7" w:sz="4" w:space="0"/>
              <w:bottom w:val="single" w:color="B7B7B7" w:sz="4" w:space="0"/>
              <w:right w:val="single" w:color="B7B7B7" w:sz="4" w:space="0"/>
            </w:tcBorders>
            <w:vAlign w:val="center"/>
          </w:tcPr>
          <w:p w14:paraId="534762ED">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Z＜100</w:t>
            </w:r>
          </w:p>
        </w:tc>
      </w:tr>
      <w:tr w14:paraId="534762F6">
        <w:tblPrEx>
          <w:tblCellMar>
            <w:top w:w="0" w:type="dxa"/>
            <w:left w:w="0" w:type="dxa"/>
            <w:bottom w:w="0" w:type="dxa"/>
            <w:right w:w="0" w:type="dxa"/>
          </w:tblCellMar>
        </w:tblPrEx>
        <w:trPr>
          <w:jc w:val="center"/>
        </w:trPr>
        <w:tc>
          <w:tcPr>
            <w:tcW w:w="1755" w:type="dxa"/>
            <w:tcBorders>
              <w:top w:val="single" w:color="B7B7B7" w:sz="4" w:space="0"/>
              <w:left w:val="single" w:color="B7B7B7" w:sz="4" w:space="0"/>
              <w:bottom w:val="single" w:color="B7B7B7" w:sz="4" w:space="0"/>
              <w:right w:val="single" w:color="B7B7B7" w:sz="4" w:space="0"/>
            </w:tcBorders>
            <w:vAlign w:val="center"/>
          </w:tcPr>
          <w:p w14:paraId="534762EF">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其他未列明行业 *</w:t>
            </w:r>
          </w:p>
        </w:tc>
        <w:tc>
          <w:tcPr>
            <w:tcW w:w="1361" w:type="dxa"/>
            <w:tcBorders>
              <w:top w:val="single" w:color="B7B7B7" w:sz="4" w:space="0"/>
              <w:left w:val="single" w:color="B7B7B7" w:sz="4" w:space="0"/>
              <w:bottom w:val="single" w:color="B7B7B7" w:sz="4" w:space="0"/>
              <w:right w:val="single" w:color="B7B7B7" w:sz="4" w:space="0"/>
            </w:tcBorders>
            <w:vAlign w:val="center"/>
          </w:tcPr>
          <w:p w14:paraId="534762F0">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从业人员(X)</w:t>
            </w:r>
          </w:p>
        </w:tc>
        <w:tc>
          <w:tcPr>
            <w:tcW w:w="1123" w:type="dxa"/>
            <w:tcBorders>
              <w:top w:val="single" w:color="B7B7B7" w:sz="4" w:space="0"/>
              <w:left w:val="single" w:color="B7B7B7" w:sz="4" w:space="0"/>
              <w:bottom w:val="single" w:color="B7B7B7" w:sz="4" w:space="0"/>
              <w:right w:val="single" w:color="B7B7B7" w:sz="4" w:space="0"/>
            </w:tcBorders>
            <w:vAlign w:val="center"/>
          </w:tcPr>
          <w:p w14:paraId="534762F1">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人</w:t>
            </w:r>
          </w:p>
        </w:tc>
        <w:tc>
          <w:tcPr>
            <w:tcW w:w="891" w:type="dxa"/>
            <w:tcBorders>
              <w:top w:val="single" w:color="B7B7B7" w:sz="4" w:space="0"/>
              <w:left w:val="single" w:color="B7B7B7" w:sz="4" w:space="0"/>
              <w:bottom w:val="single" w:color="B7B7B7" w:sz="4" w:space="0"/>
              <w:right w:val="single" w:color="B7B7B7" w:sz="4" w:space="0"/>
            </w:tcBorders>
            <w:vAlign w:val="center"/>
          </w:tcPr>
          <w:p w14:paraId="534762F2">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X≥300</w:t>
            </w:r>
          </w:p>
        </w:tc>
        <w:tc>
          <w:tcPr>
            <w:tcW w:w="1500" w:type="dxa"/>
            <w:tcBorders>
              <w:top w:val="single" w:color="B7B7B7" w:sz="4" w:space="0"/>
              <w:left w:val="single" w:color="B7B7B7" w:sz="4" w:space="0"/>
              <w:bottom w:val="single" w:color="B7B7B7" w:sz="4" w:space="0"/>
              <w:right w:val="single" w:color="B7B7B7" w:sz="4" w:space="0"/>
            </w:tcBorders>
            <w:vAlign w:val="center"/>
          </w:tcPr>
          <w:p w14:paraId="534762F3">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100≤X＜300</w:t>
            </w:r>
          </w:p>
        </w:tc>
        <w:tc>
          <w:tcPr>
            <w:tcW w:w="1470" w:type="dxa"/>
            <w:tcBorders>
              <w:top w:val="single" w:color="B7B7B7" w:sz="4" w:space="0"/>
              <w:left w:val="single" w:color="B7B7B7" w:sz="4" w:space="0"/>
              <w:bottom w:val="single" w:color="B7B7B7" w:sz="4" w:space="0"/>
              <w:right w:val="single" w:color="B7B7B7" w:sz="4" w:space="0"/>
            </w:tcBorders>
            <w:vAlign w:val="center"/>
          </w:tcPr>
          <w:p w14:paraId="534762F4">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10≤X＜100</w:t>
            </w:r>
          </w:p>
        </w:tc>
        <w:tc>
          <w:tcPr>
            <w:tcW w:w="900" w:type="dxa"/>
            <w:tcBorders>
              <w:top w:val="single" w:color="B7B7B7" w:sz="4" w:space="0"/>
              <w:left w:val="single" w:color="B7B7B7" w:sz="4" w:space="0"/>
              <w:bottom w:val="single" w:color="B7B7B7" w:sz="4" w:space="0"/>
              <w:right w:val="single" w:color="B7B7B7" w:sz="4" w:space="0"/>
            </w:tcBorders>
            <w:vAlign w:val="center"/>
          </w:tcPr>
          <w:p w14:paraId="534762F5">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X＜10</w:t>
            </w:r>
          </w:p>
        </w:tc>
      </w:tr>
    </w:tbl>
    <w:p w14:paraId="725FD83B">
      <w:pPr>
        <w:widowControl/>
        <w:spacing w:line="240" w:lineRule="auto"/>
        <w:rPr>
          <w:rFonts w:hint="eastAsia" w:cs="宋体" w:asciiTheme="minorEastAsia" w:hAnsiTheme="minorEastAsia" w:eastAsiaTheme="minorEastAsia"/>
          <w:color w:val="auto"/>
          <w:spacing w:val="8"/>
          <w:kern w:val="0"/>
          <w:sz w:val="22"/>
          <w:szCs w:val="22"/>
          <w:highlight w:val="none"/>
        </w:rPr>
      </w:pPr>
    </w:p>
    <w:p w14:paraId="38293A80">
      <w:pPr>
        <w:widowControl/>
        <w:spacing w:line="240" w:lineRule="auto"/>
        <w:rPr>
          <w:rFonts w:cs="宋体" w:asciiTheme="minorEastAsia" w:hAnsiTheme="minorEastAsia" w:eastAsiaTheme="minorEastAsia"/>
          <w:color w:val="auto"/>
          <w:spacing w:val="8"/>
          <w:kern w:val="0"/>
          <w:sz w:val="22"/>
          <w:szCs w:val="22"/>
          <w:highlight w:val="none"/>
        </w:rPr>
      </w:pPr>
      <w:r>
        <w:rPr>
          <w:rFonts w:hint="eastAsia" w:cs="宋体" w:asciiTheme="minorEastAsia" w:hAnsiTheme="minorEastAsia" w:eastAsiaTheme="minorEastAsia"/>
          <w:color w:val="auto"/>
          <w:spacing w:val="8"/>
          <w:kern w:val="0"/>
          <w:sz w:val="22"/>
          <w:szCs w:val="22"/>
          <w:highlight w:val="none"/>
        </w:rPr>
        <w:t>说明：</w:t>
      </w:r>
    </w:p>
    <w:p w14:paraId="38293A81">
      <w:pPr>
        <w:spacing w:line="240" w:lineRule="auto"/>
        <w:rPr>
          <w:rFonts w:cs="宋体" w:asciiTheme="minorEastAsia" w:hAnsiTheme="minorEastAsia" w:eastAsiaTheme="minorEastAsia"/>
          <w:color w:val="auto"/>
          <w:spacing w:val="8"/>
          <w:kern w:val="0"/>
          <w:sz w:val="22"/>
          <w:szCs w:val="22"/>
          <w:highlight w:val="none"/>
        </w:rPr>
      </w:pPr>
      <w:r>
        <w:rPr>
          <w:rFonts w:hint="eastAsia" w:cs="宋体" w:asciiTheme="minorEastAsia" w:hAnsiTheme="minorEastAsia" w:eastAsiaTheme="minorEastAsia"/>
          <w:color w:val="auto"/>
          <w:spacing w:val="8"/>
          <w:kern w:val="0"/>
          <w:sz w:val="22"/>
          <w:szCs w:val="22"/>
          <w:highlight w:val="none"/>
        </w:rPr>
        <w:t>　　</w:t>
      </w:r>
      <w:r>
        <w:rPr>
          <w:rFonts w:hint="eastAsia" w:asciiTheme="minorEastAsia" w:hAnsiTheme="minorEastAsia" w:eastAsiaTheme="minorEastAsia"/>
          <w:color w:val="auto"/>
          <w:spacing w:val="8"/>
          <w:kern w:val="0"/>
          <w:sz w:val="22"/>
          <w:szCs w:val="22"/>
          <w:highlight w:val="none"/>
        </w:rPr>
        <w:t>1.</w:t>
      </w:r>
      <w:r>
        <w:rPr>
          <w:rFonts w:hint="eastAsia" w:cs="宋体" w:asciiTheme="minorEastAsia" w:hAnsiTheme="minorEastAsia" w:eastAsiaTheme="minorEastAsia"/>
          <w:color w:val="auto"/>
          <w:spacing w:val="8"/>
          <w:kern w:val="0"/>
          <w:sz w:val="22"/>
          <w:szCs w:val="22"/>
          <w:highlight w:val="none"/>
        </w:rPr>
        <w:t>大型、中型和小型企业须同时满足所列指标的下限，否则下划一档；微型企业只须满足所列指标中的一项即可。</w:t>
      </w:r>
    </w:p>
    <w:p w14:paraId="38293A82">
      <w:pPr>
        <w:spacing w:line="240" w:lineRule="auto"/>
        <w:rPr>
          <w:rFonts w:cs="宋体" w:asciiTheme="minorEastAsia" w:hAnsiTheme="minorEastAsia" w:eastAsiaTheme="minorEastAsia"/>
          <w:color w:val="auto"/>
          <w:spacing w:val="8"/>
          <w:kern w:val="0"/>
          <w:sz w:val="22"/>
          <w:szCs w:val="22"/>
          <w:highlight w:val="none"/>
        </w:rPr>
      </w:pPr>
      <w:r>
        <w:rPr>
          <w:rFonts w:hint="eastAsia" w:cs="宋体" w:asciiTheme="minorEastAsia" w:hAnsiTheme="minorEastAsia" w:eastAsiaTheme="minorEastAsia"/>
          <w:color w:val="auto"/>
          <w:spacing w:val="8"/>
          <w:kern w:val="0"/>
          <w:sz w:val="22"/>
          <w:szCs w:val="22"/>
          <w:highlight w:val="none"/>
        </w:rPr>
        <w:t>　　</w:t>
      </w:r>
      <w:r>
        <w:rPr>
          <w:rFonts w:hint="eastAsia" w:asciiTheme="minorEastAsia" w:hAnsiTheme="minorEastAsia" w:eastAsiaTheme="minorEastAsia"/>
          <w:color w:val="auto"/>
          <w:spacing w:val="8"/>
          <w:kern w:val="0"/>
          <w:sz w:val="22"/>
          <w:szCs w:val="22"/>
          <w:highlight w:val="none"/>
        </w:rPr>
        <w:t>2.</w:t>
      </w:r>
      <w:r>
        <w:rPr>
          <w:rFonts w:hint="eastAsia" w:cs="宋体" w:asciiTheme="minorEastAsia" w:hAnsiTheme="minorEastAsia" w:eastAsiaTheme="minorEastAsia"/>
          <w:color w:val="auto"/>
          <w:spacing w:val="8"/>
          <w:kern w:val="0"/>
          <w:sz w:val="22"/>
          <w:szCs w:val="22"/>
          <w:highlight w:val="none"/>
        </w:rPr>
        <w:t>附表中各行业的范围以《国民经济行业分类》（</w:t>
      </w:r>
      <w:r>
        <w:rPr>
          <w:rFonts w:hint="eastAsia" w:asciiTheme="minorEastAsia" w:hAnsiTheme="minorEastAsia" w:eastAsiaTheme="minorEastAsia"/>
          <w:color w:val="auto"/>
          <w:spacing w:val="8"/>
          <w:kern w:val="0"/>
          <w:sz w:val="22"/>
          <w:szCs w:val="22"/>
          <w:highlight w:val="none"/>
        </w:rPr>
        <w:t>GB/T4754-2017</w:t>
      </w:r>
      <w:r>
        <w:rPr>
          <w:rFonts w:hint="eastAsia" w:cs="宋体" w:asciiTheme="minorEastAsia" w:hAnsiTheme="minorEastAsia" w:eastAsiaTheme="minorEastAsia"/>
          <w:color w:val="auto"/>
          <w:spacing w:val="8"/>
          <w:kern w:val="0"/>
          <w:sz w:val="22"/>
          <w:szCs w:val="22"/>
          <w:highlight w:val="none"/>
        </w:rPr>
        <w:t>）为准。带</w:t>
      </w:r>
      <w:r>
        <w:rPr>
          <w:rFonts w:hint="eastAsia" w:asciiTheme="minorEastAsia" w:hAnsiTheme="minorEastAsia" w:eastAsiaTheme="minorEastAsia"/>
          <w:color w:val="auto"/>
          <w:spacing w:val="8"/>
          <w:kern w:val="0"/>
          <w:sz w:val="22"/>
          <w:szCs w:val="22"/>
          <w:highlight w:val="none"/>
        </w:rPr>
        <w:t>*</w:t>
      </w:r>
      <w:r>
        <w:rPr>
          <w:rFonts w:hint="eastAsia" w:cs="宋体" w:asciiTheme="minorEastAsia" w:hAnsiTheme="minorEastAsia" w:eastAsiaTheme="minorEastAsia"/>
          <w:color w:val="auto"/>
          <w:spacing w:val="8"/>
          <w:kern w:val="0"/>
          <w:sz w:val="22"/>
          <w:szCs w:val="22"/>
          <w:highlight w:val="none"/>
        </w:rPr>
        <w:t>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14:paraId="38293A84">
      <w:pPr>
        <w:spacing w:line="240" w:lineRule="auto"/>
        <w:ind w:firstLine="452"/>
        <w:rPr>
          <w:rFonts w:hint="eastAsia" w:cs="宋体" w:asciiTheme="minorEastAsia" w:hAnsiTheme="minorEastAsia" w:eastAsiaTheme="minorEastAsia"/>
          <w:color w:val="auto"/>
          <w:spacing w:val="8"/>
          <w:kern w:val="0"/>
          <w:sz w:val="28"/>
          <w:szCs w:val="28"/>
          <w:highlight w:val="none"/>
        </w:rPr>
      </w:pPr>
      <w:r>
        <w:rPr>
          <w:rFonts w:hint="eastAsia" w:asciiTheme="minorEastAsia" w:hAnsiTheme="minorEastAsia" w:eastAsiaTheme="minorEastAsia"/>
          <w:color w:val="auto"/>
          <w:spacing w:val="8"/>
          <w:kern w:val="0"/>
          <w:sz w:val="22"/>
          <w:szCs w:val="22"/>
          <w:highlight w:val="none"/>
        </w:rPr>
        <w:t>3.</w:t>
      </w:r>
      <w:r>
        <w:rPr>
          <w:rFonts w:hint="eastAsia" w:cs="宋体" w:asciiTheme="minorEastAsia" w:hAnsiTheme="minorEastAsia" w:eastAsiaTheme="minorEastAsia"/>
          <w:color w:val="auto"/>
          <w:spacing w:val="8"/>
          <w:kern w:val="0"/>
          <w:sz w:val="22"/>
          <w:szCs w:val="22"/>
          <w:highlight w:val="none"/>
        </w:rPr>
        <w:t>企业划分指标以现行统计制度为准。（</w:t>
      </w:r>
      <w:r>
        <w:rPr>
          <w:rFonts w:hint="eastAsia" w:asciiTheme="minorEastAsia" w:hAnsiTheme="minorEastAsia" w:eastAsiaTheme="minorEastAsia"/>
          <w:color w:val="auto"/>
          <w:spacing w:val="8"/>
          <w:kern w:val="0"/>
          <w:sz w:val="22"/>
          <w:szCs w:val="22"/>
          <w:highlight w:val="none"/>
        </w:rPr>
        <w:t>1</w:t>
      </w:r>
      <w:r>
        <w:rPr>
          <w:rFonts w:hint="eastAsia" w:cs="宋体" w:asciiTheme="minorEastAsia" w:hAnsiTheme="minorEastAsia" w:eastAsiaTheme="minorEastAsia"/>
          <w:color w:val="auto"/>
          <w:spacing w:val="8"/>
          <w:kern w:val="0"/>
          <w:sz w:val="22"/>
          <w:szCs w:val="22"/>
          <w:highlight w:val="none"/>
        </w:rPr>
        <w:t>）从业人员，是指期末从业人员数，没有期末从业人员数的，采用全年平均人员数代替。（</w:t>
      </w:r>
      <w:r>
        <w:rPr>
          <w:rFonts w:hint="eastAsia" w:asciiTheme="minorEastAsia" w:hAnsiTheme="minorEastAsia" w:eastAsiaTheme="minorEastAsia"/>
          <w:color w:val="auto"/>
          <w:spacing w:val="8"/>
          <w:kern w:val="0"/>
          <w:sz w:val="22"/>
          <w:szCs w:val="22"/>
          <w:highlight w:val="none"/>
        </w:rPr>
        <w:t>2</w:t>
      </w:r>
      <w:r>
        <w:rPr>
          <w:rFonts w:hint="eastAsia" w:cs="宋体" w:asciiTheme="minorEastAsia" w:hAnsiTheme="minorEastAsia" w:eastAsiaTheme="minorEastAsia"/>
          <w:color w:val="auto"/>
          <w:spacing w:val="8"/>
          <w:kern w:val="0"/>
          <w:sz w:val="22"/>
          <w:szCs w:val="22"/>
          <w:highlight w:val="none"/>
        </w:rPr>
        <w:t>）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w:t>
      </w:r>
      <w:r>
        <w:rPr>
          <w:rFonts w:hint="eastAsia" w:asciiTheme="minorEastAsia" w:hAnsiTheme="minorEastAsia" w:eastAsiaTheme="minorEastAsia"/>
          <w:color w:val="auto"/>
          <w:spacing w:val="8"/>
          <w:kern w:val="0"/>
          <w:sz w:val="22"/>
          <w:szCs w:val="22"/>
          <w:highlight w:val="none"/>
        </w:rPr>
        <w:t>3</w:t>
      </w:r>
      <w:r>
        <w:rPr>
          <w:rFonts w:hint="eastAsia" w:cs="宋体" w:asciiTheme="minorEastAsia" w:hAnsiTheme="minorEastAsia" w:eastAsiaTheme="minorEastAsia"/>
          <w:color w:val="auto"/>
          <w:spacing w:val="8"/>
          <w:kern w:val="0"/>
          <w:sz w:val="22"/>
          <w:szCs w:val="22"/>
          <w:highlight w:val="none"/>
        </w:rPr>
        <w:t>）资产总额，采用资产总计代替</w:t>
      </w:r>
      <w:r>
        <w:rPr>
          <w:rFonts w:hint="eastAsia" w:cs="宋体" w:asciiTheme="minorEastAsia" w:hAnsiTheme="minorEastAsia" w:eastAsiaTheme="minorEastAsia"/>
          <w:color w:val="auto"/>
          <w:spacing w:val="8"/>
          <w:kern w:val="0"/>
          <w:sz w:val="28"/>
          <w:szCs w:val="28"/>
          <w:highlight w:val="none"/>
        </w:rPr>
        <w:t>。</w:t>
      </w:r>
    </w:p>
    <w:p w14:paraId="534762F8">
      <w:pPr>
        <w:widowControl/>
        <w:jc w:val="left"/>
        <w:rPr>
          <w:rFonts w:ascii="宋体" w:hAnsi="宋体" w:cs="宋体"/>
          <w:color w:val="auto"/>
          <w:sz w:val="20"/>
          <w:szCs w:val="20"/>
          <w:highlight w:val="none"/>
        </w:rPr>
      </w:pPr>
    </w:p>
    <w:p w14:paraId="4B3AF21B">
      <w:pPr>
        <w:widowControl/>
        <w:jc w:val="left"/>
        <w:rPr>
          <w:rFonts w:ascii="宋体" w:hAnsi="宋体" w:cs="宋体"/>
          <w:color w:val="auto"/>
          <w:sz w:val="20"/>
          <w:szCs w:val="20"/>
          <w:highlight w:val="none"/>
        </w:rPr>
      </w:pPr>
    </w:p>
    <w:p w14:paraId="7D1B5F8A">
      <w:pPr>
        <w:widowControl/>
        <w:jc w:val="left"/>
        <w:rPr>
          <w:rFonts w:ascii="宋体" w:hAnsi="宋体" w:cs="宋体"/>
          <w:color w:val="auto"/>
          <w:sz w:val="20"/>
          <w:szCs w:val="20"/>
          <w:highlight w:val="none"/>
        </w:rPr>
      </w:pPr>
    </w:p>
    <w:p w14:paraId="2933CDBB">
      <w:pPr>
        <w:widowControl/>
        <w:jc w:val="left"/>
        <w:rPr>
          <w:rFonts w:ascii="宋体" w:hAnsi="宋体" w:cs="宋体"/>
          <w:color w:val="auto"/>
          <w:sz w:val="20"/>
          <w:szCs w:val="20"/>
          <w:highlight w:val="none"/>
        </w:rPr>
      </w:pPr>
    </w:p>
    <w:p w14:paraId="534762F9">
      <w:pPr>
        <w:snapToGrid w:val="0"/>
        <w:spacing w:before="50" w:after="120" w:afterLines="50"/>
        <w:jc w:val="left"/>
        <w:rPr>
          <w:rFonts w:ascii="宋体" w:hAnsi="宋体" w:cs="宋体"/>
          <w:b/>
          <w:bCs/>
          <w:color w:val="auto"/>
          <w:sz w:val="28"/>
          <w:szCs w:val="28"/>
          <w:highlight w:val="none"/>
        </w:rPr>
      </w:pPr>
      <w:r>
        <w:rPr>
          <w:rFonts w:hint="eastAsia" w:ascii="宋体" w:hAnsi="宋体" w:cs="宋体"/>
          <w:b/>
          <w:bCs/>
          <w:color w:val="auto"/>
          <w:szCs w:val="21"/>
          <w:highlight w:val="none"/>
          <w:lang w:val="en-US" w:eastAsia="zh-CN" w:bidi="ar"/>
        </w:rPr>
        <w:t>注</w:t>
      </w:r>
      <w:r>
        <w:rPr>
          <w:rFonts w:hint="eastAsia" w:ascii="宋体" w:hAnsi="宋体" w:cs="宋体"/>
          <w:b/>
          <w:bCs/>
          <w:color w:val="auto"/>
          <w:szCs w:val="21"/>
          <w:highlight w:val="none"/>
          <w:lang w:bidi="ar"/>
        </w:rPr>
        <w:t>：上述标准参照</w:t>
      </w:r>
      <w:r>
        <w:rPr>
          <w:rFonts w:hint="eastAsia" w:ascii="宋体" w:hAnsi="宋体" w:cs="宋体"/>
          <w:b/>
          <w:bCs/>
          <w:color w:val="auto"/>
          <w:szCs w:val="21"/>
          <w:highlight w:val="none"/>
        </w:rPr>
        <w:t>《关于印发中小企业划型标准规定的通知》（工信部联企业〔2011〕300号），大型、中型和小型企业须同时满足所列指标的下限，否则下划一档；微型企业只须满足所列指标中的一项即可。</w:t>
      </w:r>
    </w:p>
    <w:p w14:paraId="534762FA">
      <w:pPr>
        <w:rPr>
          <w:rFonts w:ascii="宋体" w:hAnsi="宋体"/>
          <w:bCs/>
          <w:color w:val="auto"/>
          <w:sz w:val="24"/>
          <w:highlight w:val="none"/>
        </w:rPr>
      </w:pPr>
      <w:r>
        <w:rPr>
          <w:rFonts w:hint="eastAsia" w:ascii="宋体" w:hAnsi="宋体"/>
          <w:bCs/>
          <w:color w:val="auto"/>
          <w:sz w:val="24"/>
          <w:highlight w:val="none"/>
        </w:rPr>
        <w:br w:type="page"/>
      </w:r>
    </w:p>
    <w:p w14:paraId="534762FB">
      <w:pPr>
        <w:spacing w:line="360" w:lineRule="auto"/>
        <w:ind w:left="420" w:hanging="420"/>
        <w:rPr>
          <w:rFonts w:ascii="宋体" w:hAnsi="宋体"/>
          <w:color w:val="auto"/>
          <w:sz w:val="24"/>
          <w:highlight w:val="none"/>
        </w:rPr>
      </w:pPr>
      <w:r>
        <w:rPr>
          <w:rFonts w:hint="eastAsia" w:ascii="宋体" w:hAnsi="宋体"/>
          <w:b/>
          <w:color w:val="auto"/>
          <w:sz w:val="24"/>
          <w:highlight w:val="none"/>
        </w:rPr>
        <w:t>附件15</w:t>
      </w:r>
    </w:p>
    <w:p w14:paraId="534762FC">
      <w:pPr>
        <w:pStyle w:val="34"/>
        <w:widowControl w:val="0"/>
        <w:adjustRightInd w:val="0"/>
        <w:snapToGrid w:val="0"/>
        <w:spacing w:before="0" w:beforeAutospacing="0" w:after="0" w:afterAutospacing="0" w:line="360" w:lineRule="auto"/>
        <w:jc w:val="center"/>
        <w:rPr>
          <w:b/>
          <w:color w:val="auto"/>
          <w:kern w:val="2"/>
          <w:sz w:val="36"/>
          <w:szCs w:val="36"/>
          <w:highlight w:val="none"/>
        </w:rPr>
      </w:pPr>
    </w:p>
    <w:p w14:paraId="534762FD">
      <w:pPr>
        <w:pStyle w:val="34"/>
        <w:widowControl w:val="0"/>
        <w:adjustRightInd w:val="0"/>
        <w:snapToGrid w:val="0"/>
        <w:spacing w:before="0" w:beforeAutospacing="0" w:after="0" w:afterAutospacing="0" w:line="360" w:lineRule="auto"/>
        <w:jc w:val="center"/>
        <w:rPr>
          <w:b/>
          <w:color w:val="auto"/>
          <w:kern w:val="2"/>
          <w:sz w:val="36"/>
          <w:szCs w:val="36"/>
          <w:highlight w:val="none"/>
        </w:rPr>
      </w:pPr>
    </w:p>
    <w:p w14:paraId="534762FE">
      <w:pPr>
        <w:pStyle w:val="34"/>
        <w:widowControl w:val="0"/>
        <w:adjustRightInd w:val="0"/>
        <w:snapToGrid w:val="0"/>
        <w:spacing w:before="0" w:beforeAutospacing="0" w:after="0" w:afterAutospacing="0" w:line="360" w:lineRule="auto"/>
        <w:jc w:val="center"/>
        <w:rPr>
          <w:b/>
          <w:color w:val="auto"/>
          <w:kern w:val="2"/>
          <w:sz w:val="36"/>
          <w:szCs w:val="36"/>
          <w:highlight w:val="none"/>
        </w:rPr>
      </w:pPr>
      <w:r>
        <w:rPr>
          <w:rFonts w:hint="eastAsia"/>
          <w:b/>
          <w:color w:val="auto"/>
          <w:kern w:val="2"/>
          <w:sz w:val="36"/>
          <w:szCs w:val="36"/>
          <w:highlight w:val="none"/>
        </w:rPr>
        <w:t>残疾人福利性单位声明函</w:t>
      </w:r>
    </w:p>
    <w:p w14:paraId="534762FF">
      <w:pPr>
        <w:spacing w:line="360" w:lineRule="auto"/>
        <w:rPr>
          <w:rFonts w:ascii="宋体" w:hAnsi="宋体"/>
          <w:color w:val="auto"/>
          <w:szCs w:val="21"/>
          <w:highlight w:val="none"/>
        </w:rPr>
      </w:pPr>
    </w:p>
    <w:p w14:paraId="53476300">
      <w:pPr>
        <w:spacing w:line="360" w:lineRule="auto"/>
        <w:rPr>
          <w:rFonts w:ascii="宋体" w:hAnsi="宋体"/>
          <w:bCs/>
          <w:color w:val="auto"/>
          <w:spacing w:val="6"/>
          <w:sz w:val="24"/>
          <w:highlight w:val="none"/>
        </w:rPr>
      </w:pPr>
    </w:p>
    <w:p w14:paraId="53476301">
      <w:pPr>
        <w:spacing w:line="360" w:lineRule="auto"/>
        <w:ind w:firstLine="504" w:firstLineChars="200"/>
        <w:rPr>
          <w:rFonts w:ascii="宋体" w:hAnsi="宋体"/>
          <w:color w:val="auto"/>
          <w:spacing w:val="6"/>
          <w:sz w:val="24"/>
          <w:highlight w:val="none"/>
        </w:rPr>
      </w:pPr>
      <w:r>
        <w:rPr>
          <w:rFonts w:hint="eastAsia" w:ascii="宋体" w:hAnsi="宋体"/>
          <w:color w:val="auto"/>
          <w:spacing w:val="6"/>
          <w:sz w:val="24"/>
          <w:highlight w:val="none"/>
        </w:rPr>
        <w:t>本单位郑重声明，根据《财政部 民政部 中国残疾人联合会关于促进残疾人就业政府采购政策的通知》（财库</w:t>
      </w:r>
      <w:r>
        <w:rPr>
          <w:rFonts w:hint="eastAsia" w:ascii="宋体" w:hAnsi="宋体"/>
          <w:color w:val="auto"/>
          <w:sz w:val="24"/>
          <w:highlight w:val="none"/>
        </w:rPr>
        <w:t>〔2017〕 141</w:t>
      </w:r>
      <w:r>
        <w:rPr>
          <w:rFonts w:hint="eastAsia" w:ascii="宋体" w:hAnsi="宋体"/>
          <w:color w:val="auto"/>
          <w:spacing w:val="6"/>
          <w:sz w:val="24"/>
          <w:highlight w:val="none"/>
        </w:rPr>
        <w:t>号）的规定，本单位为符合条件的残疾人福利性单位，且本单位参加</w:t>
      </w:r>
      <w:r>
        <w:rPr>
          <w:rFonts w:hint="eastAsia" w:ascii="宋体" w:hAnsi="宋体"/>
          <w:color w:val="auto"/>
          <w:spacing w:val="6"/>
          <w:sz w:val="24"/>
          <w:highlight w:val="none"/>
          <w:u w:val="single"/>
        </w:rPr>
        <w:t xml:space="preserve">    </w:t>
      </w:r>
      <w:r>
        <w:rPr>
          <w:rFonts w:hint="eastAsia" w:ascii="宋体" w:hAnsi="宋体"/>
          <w:color w:val="auto"/>
          <w:spacing w:val="6"/>
          <w:sz w:val="24"/>
          <w:highlight w:val="none"/>
        </w:rPr>
        <w:t xml:space="preserve"> 单位的</w:t>
      </w:r>
      <w:r>
        <w:rPr>
          <w:rFonts w:hint="eastAsia" w:ascii="宋体" w:hAnsi="宋体"/>
          <w:color w:val="auto"/>
          <w:spacing w:val="6"/>
          <w:sz w:val="24"/>
          <w:highlight w:val="none"/>
          <w:u w:val="single"/>
        </w:rPr>
        <w:t xml:space="preserve">      </w:t>
      </w:r>
      <w:r>
        <w:rPr>
          <w:rFonts w:hint="eastAsia" w:ascii="宋体" w:hAnsi="宋体"/>
          <w:color w:val="auto"/>
          <w:spacing w:val="6"/>
          <w:sz w:val="24"/>
          <w:highlight w:val="none"/>
        </w:rPr>
        <w:t>项目采购活动由本单位承担工程</w:t>
      </w:r>
      <w:r>
        <w:rPr>
          <w:rFonts w:hint="eastAsia" w:ascii="宋体" w:hAnsi="宋体"/>
          <w:color w:val="auto"/>
          <w:spacing w:val="-6"/>
          <w:sz w:val="24"/>
          <w:highlight w:val="none"/>
        </w:rPr>
        <w:t>。</w:t>
      </w:r>
    </w:p>
    <w:p w14:paraId="53476302">
      <w:pPr>
        <w:spacing w:line="360" w:lineRule="auto"/>
        <w:ind w:firstLine="504" w:firstLineChars="200"/>
        <w:rPr>
          <w:rFonts w:ascii="宋体" w:hAnsi="宋体"/>
          <w:color w:val="auto"/>
          <w:spacing w:val="6"/>
          <w:sz w:val="24"/>
          <w:highlight w:val="none"/>
        </w:rPr>
      </w:pPr>
      <w:r>
        <w:rPr>
          <w:rFonts w:hint="eastAsia" w:ascii="宋体" w:hAnsi="宋体"/>
          <w:color w:val="auto"/>
          <w:spacing w:val="6"/>
          <w:sz w:val="24"/>
          <w:highlight w:val="none"/>
        </w:rPr>
        <w:t>本单位对上述声明的真实性负责。如有虚假，将依法承担相应责任。</w:t>
      </w:r>
    </w:p>
    <w:p w14:paraId="53476303">
      <w:pPr>
        <w:spacing w:line="360" w:lineRule="auto"/>
        <w:ind w:firstLine="480" w:firstLineChars="200"/>
        <w:rPr>
          <w:rFonts w:ascii="宋体" w:hAnsi="宋体"/>
          <w:color w:val="auto"/>
          <w:sz w:val="24"/>
          <w:highlight w:val="none"/>
        </w:rPr>
      </w:pPr>
    </w:p>
    <w:p w14:paraId="53476304">
      <w:pPr>
        <w:spacing w:line="360" w:lineRule="auto"/>
        <w:ind w:firstLine="480" w:firstLineChars="200"/>
        <w:rPr>
          <w:rFonts w:ascii="宋体" w:hAnsi="宋体"/>
          <w:color w:val="auto"/>
          <w:sz w:val="24"/>
          <w:highlight w:val="none"/>
        </w:rPr>
      </w:pPr>
    </w:p>
    <w:p w14:paraId="53476305">
      <w:pPr>
        <w:adjustRightInd w:val="0"/>
        <w:snapToGrid w:val="0"/>
        <w:spacing w:line="360" w:lineRule="auto"/>
        <w:ind w:firstLine="960" w:firstLineChars="400"/>
        <w:jc w:val="left"/>
        <w:rPr>
          <w:rFonts w:ascii="宋体" w:hAnsi="宋体"/>
          <w:color w:val="auto"/>
          <w:sz w:val="24"/>
          <w:highlight w:val="none"/>
        </w:rPr>
      </w:pPr>
      <w:r>
        <w:rPr>
          <w:rFonts w:hint="eastAsia" w:ascii="宋体" w:hAnsi="宋体"/>
          <w:color w:val="auto"/>
          <w:sz w:val="24"/>
          <w:highlight w:val="none"/>
        </w:rPr>
        <w:t xml:space="preserve">                   供应商名称（公章）：                          </w:t>
      </w:r>
    </w:p>
    <w:p w14:paraId="53476306">
      <w:pPr>
        <w:tabs>
          <w:tab w:val="left" w:pos="4860"/>
        </w:tabs>
        <w:spacing w:line="360" w:lineRule="auto"/>
        <w:ind w:right="1560" w:firstLine="480" w:firstLineChars="200"/>
        <w:jc w:val="center"/>
        <w:rPr>
          <w:rFonts w:ascii="宋体" w:hAnsi="宋体"/>
          <w:color w:val="auto"/>
          <w:sz w:val="24"/>
          <w:highlight w:val="none"/>
        </w:rPr>
      </w:pPr>
      <w:r>
        <w:rPr>
          <w:rFonts w:hint="eastAsia" w:ascii="宋体" w:hAnsi="宋体"/>
          <w:color w:val="auto"/>
          <w:sz w:val="24"/>
          <w:highlight w:val="none"/>
        </w:rPr>
        <w:t xml:space="preserve">     日期：  年   月   日</w:t>
      </w:r>
    </w:p>
    <w:p w14:paraId="53476307">
      <w:pPr>
        <w:tabs>
          <w:tab w:val="left" w:pos="4860"/>
        </w:tabs>
        <w:spacing w:line="360" w:lineRule="auto"/>
        <w:ind w:firstLine="482" w:firstLineChars="200"/>
        <w:jc w:val="left"/>
        <w:rPr>
          <w:rFonts w:ascii="宋体" w:hAnsi="宋体" w:cs="宋体"/>
          <w:b/>
          <w:color w:val="auto"/>
          <w:kern w:val="0"/>
          <w:sz w:val="24"/>
          <w:highlight w:val="none"/>
        </w:rPr>
      </w:pPr>
      <w:r>
        <w:rPr>
          <w:rFonts w:hint="eastAsia" w:ascii="宋体" w:hAnsi="宋体" w:cs="宋体"/>
          <w:b/>
          <w:color w:val="auto"/>
          <w:kern w:val="0"/>
          <w:sz w:val="24"/>
          <w:highlight w:val="none"/>
        </w:rPr>
        <w:t>说明：符合条件的残疾人福利性单位在参加政府采购活动时，应当提供本通知规定的《残疾人福利性单位声明函》，并对声明的真实性负责。</w:t>
      </w:r>
    </w:p>
    <w:p w14:paraId="53476308">
      <w:pPr>
        <w:snapToGrid w:val="0"/>
        <w:spacing w:line="360" w:lineRule="auto"/>
        <w:ind w:firstLine="361" w:firstLineChars="150"/>
        <w:jc w:val="left"/>
        <w:rPr>
          <w:rFonts w:ascii="宋体" w:hAnsi="宋体" w:cs="宋体"/>
          <w:b/>
          <w:color w:val="auto"/>
          <w:kern w:val="0"/>
          <w:sz w:val="24"/>
          <w:highlight w:val="none"/>
        </w:rPr>
      </w:pPr>
      <w:r>
        <w:rPr>
          <w:rFonts w:hint="eastAsia" w:ascii="宋体" w:hAnsi="宋体" w:cs="宋体"/>
          <w:b/>
          <w:color w:val="auto"/>
          <w:kern w:val="0"/>
          <w:sz w:val="24"/>
          <w:highlight w:val="none"/>
        </w:rPr>
        <w:t>成交供应商为残疾人福利性单位的，采购人或者其委托的采购代理机构应当随成交结果同时公告其《残疾人福利性单位声明函》，接受社会监督。</w:t>
      </w:r>
    </w:p>
    <w:p w14:paraId="53476309">
      <w:pPr>
        <w:snapToGrid w:val="0"/>
        <w:spacing w:line="360" w:lineRule="auto"/>
        <w:ind w:firstLine="361" w:firstLineChars="150"/>
        <w:jc w:val="left"/>
        <w:rPr>
          <w:rFonts w:ascii="宋体" w:hAnsi="宋体" w:cs="宋体"/>
          <w:b/>
          <w:color w:val="auto"/>
          <w:kern w:val="0"/>
          <w:sz w:val="24"/>
          <w:highlight w:val="none"/>
        </w:rPr>
      </w:pPr>
      <w:r>
        <w:rPr>
          <w:rFonts w:hint="eastAsia" w:ascii="宋体" w:hAnsi="宋体" w:cs="宋体"/>
          <w:b/>
          <w:color w:val="auto"/>
          <w:kern w:val="0"/>
          <w:sz w:val="24"/>
          <w:highlight w:val="none"/>
        </w:rPr>
        <w:t>供应商提供的《残疾人福利性单位声明函》与事实不符的，依照《政府采购法》第七十七条第一款的规定追究法律责任。</w:t>
      </w:r>
    </w:p>
    <w:p w14:paraId="5347630A">
      <w:pPr>
        <w:rPr>
          <w:rFonts w:ascii="宋体" w:hAnsi="宋体" w:cs="宋体"/>
          <w:b/>
          <w:color w:val="auto"/>
          <w:kern w:val="0"/>
          <w:sz w:val="24"/>
          <w:highlight w:val="none"/>
        </w:rPr>
      </w:pPr>
      <w:r>
        <w:rPr>
          <w:rFonts w:hint="eastAsia" w:ascii="宋体" w:hAnsi="宋体" w:cs="宋体"/>
          <w:b/>
          <w:color w:val="auto"/>
          <w:kern w:val="0"/>
          <w:sz w:val="24"/>
          <w:highlight w:val="none"/>
        </w:rPr>
        <w:br w:type="page"/>
      </w:r>
    </w:p>
    <w:p w14:paraId="5347630B">
      <w:pPr>
        <w:spacing w:line="360" w:lineRule="auto"/>
        <w:rPr>
          <w:rFonts w:ascii="宋体" w:hAnsi="宋体" w:cs="宋体"/>
          <w:b/>
          <w:color w:val="auto"/>
          <w:spacing w:val="6"/>
          <w:sz w:val="24"/>
          <w:highlight w:val="none"/>
        </w:rPr>
      </w:pPr>
      <w:r>
        <w:rPr>
          <w:rFonts w:hint="eastAsia" w:ascii="宋体" w:hAnsi="宋体" w:cs="宋体"/>
          <w:b/>
          <w:color w:val="auto"/>
          <w:spacing w:val="6"/>
          <w:sz w:val="24"/>
          <w:highlight w:val="none"/>
        </w:rPr>
        <w:t>附件16</w:t>
      </w:r>
    </w:p>
    <w:p w14:paraId="5347630C">
      <w:pPr>
        <w:spacing w:line="360" w:lineRule="auto"/>
        <w:jc w:val="center"/>
        <w:rPr>
          <w:rFonts w:ascii="宋体" w:hAnsi="宋体" w:cs="方正小标宋简体"/>
          <w:b/>
          <w:color w:val="auto"/>
          <w:sz w:val="32"/>
          <w:szCs w:val="32"/>
          <w:highlight w:val="none"/>
        </w:rPr>
      </w:pPr>
    </w:p>
    <w:p w14:paraId="5347630D">
      <w:pPr>
        <w:spacing w:line="360" w:lineRule="auto"/>
        <w:jc w:val="center"/>
        <w:rPr>
          <w:rFonts w:ascii="宋体" w:hAnsi="宋体" w:cs="方正小标宋简体"/>
          <w:b/>
          <w:color w:val="auto"/>
          <w:sz w:val="32"/>
          <w:szCs w:val="32"/>
          <w:highlight w:val="none"/>
        </w:rPr>
      </w:pPr>
      <w:r>
        <w:rPr>
          <w:rFonts w:hint="eastAsia" w:ascii="宋体" w:hAnsi="宋体" w:cs="方正小标宋简体"/>
          <w:b/>
          <w:color w:val="auto"/>
          <w:sz w:val="32"/>
          <w:szCs w:val="32"/>
          <w:highlight w:val="none"/>
        </w:rPr>
        <w:t>建筑材料和设备节能环保要求承诺书</w:t>
      </w:r>
    </w:p>
    <w:p w14:paraId="5347630E">
      <w:pPr>
        <w:spacing w:line="360" w:lineRule="auto"/>
        <w:jc w:val="center"/>
        <w:rPr>
          <w:rFonts w:ascii="宋体" w:hAnsi="宋体" w:cs="宋体"/>
          <w:color w:val="auto"/>
          <w:szCs w:val="21"/>
          <w:highlight w:val="none"/>
        </w:rPr>
      </w:pPr>
    </w:p>
    <w:p w14:paraId="5347630F">
      <w:pPr>
        <w:spacing w:line="360" w:lineRule="auto"/>
        <w:ind w:firstLine="480" w:firstLineChars="200"/>
        <w:jc w:val="left"/>
        <w:rPr>
          <w:color w:val="auto"/>
          <w:sz w:val="24"/>
          <w:highlight w:val="none"/>
        </w:rPr>
      </w:pPr>
      <w:r>
        <w:rPr>
          <w:rFonts w:hint="eastAsia"/>
          <w:color w:val="auto"/>
          <w:sz w:val="24"/>
          <w:highlight w:val="none"/>
        </w:rPr>
        <w:t>我方承诺，一旦成交，我方保证严格执行</w:t>
      </w:r>
      <w:r>
        <w:rPr>
          <w:rFonts w:hint="eastAsia" w:cs="宋体"/>
          <w:color w:val="auto"/>
          <w:sz w:val="24"/>
          <w:highlight w:val="none"/>
        </w:rPr>
        <w:t>《</w:t>
      </w:r>
      <w:r>
        <w:rPr>
          <w:rFonts w:hint="eastAsia" w:ascii="宋体" w:hAnsi="宋体"/>
          <w:color w:val="auto"/>
          <w:sz w:val="24"/>
          <w:highlight w:val="none"/>
        </w:rPr>
        <w:t>财政部 国家发展改革委关于印发《节能产品政府采购实施意见》的通知</w:t>
      </w:r>
      <w:r>
        <w:rPr>
          <w:rFonts w:hint="eastAsia" w:cs="宋体"/>
          <w:color w:val="auto"/>
          <w:sz w:val="24"/>
          <w:highlight w:val="none"/>
        </w:rPr>
        <w:t>》</w:t>
      </w:r>
      <w:r>
        <w:rPr>
          <w:rFonts w:hint="eastAsia" w:ascii="宋体" w:hAnsi="宋体"/>
          <w:color w:val="auto"/>
          <w:sz w:val="24"/>
          <w:highlight w:val="none"/>
        </w:rPr>
        <w:t>（财库〔2004〕185号）、</w:t>
      </w:r>
      <w:r>
        <w:rPr>
          <w:rFonts w:hint="eastAsia" w:cs="宋体"/>
          <w:color w:val="auto"/>
          <w:sz w:val="24"/>
          <w:highlight w:val="none"/>
        </w:rPr>
        <w:t>《财政部</w:t>
      </w:r>
      <w:r>
        <w:rPr>
          <w:rFonts w:cs="宋体"/>
          <w:color w:val="auto"/>
          <w:sz w:val="24"/>
          <w:highlight w:val="none"/>
        </w:rPr>
        <w:t xml:space="preserve"> </w:t>
      </w:r>
      <w:r>
        <w:rPr>
          <w:rFonts w:hint="eastAsia" w:cs="宋体"/>
          <w:color w:val="auto"/>
          <w:sz w:val="24"/>
          <w:highlight w:val="none"/>
        </w:rPr>
        <w:t>发展改革委</w:t>
      </w:r>
      <w:r>
        <w:rPr>
          <w:rFonts w:cs="宋体"/>
          <w:color w:val="auto"/>
          <w:sz w:val="24"/>
          <w:highlight w:val="none"/>
        </w:rPr>
        <w:t xml:space="preserve"> </w:t>
      </w:r>
      <w:r>
        <w:rPr>
          <w:rFonts w:hint="eastAsia" w:cs="宋体"/>
          <w:color w:val="auto"/>
          <w:sz w:val="24"/>
          <w:highlight w:val="none"/>
        </w:rPr>
        <w:t>生态环境部</w:t>
      </w:r>
      <w:r>
        <w:rPr>
          <w:rFonts w:cs="宋体"/>
          <w:color w:val="auto"/>
          <w:sz w:val="24"/>
          <w:highlight w:val="none"/>
        </w:rPr>
        <w:t xml:space="preserve"> </w:t>
      </w:r>
      <w:r>
        <w:rPr>
          <w:rFonts w:hint="eastAsia" w:cs="宋体"/>
          <w:color w:val="auto"/>
          <w:sz w:val="24"/>
          <w:highlight w:val="none"/>
        </w:rPr>
        <w:t>市场监管总局关于调整优化节能产品、环境标志产品政府采购执行机制的通知》（财库〔</w:t>
      </w:r>
      <w:r>
        <w:rPr>
          <w:rFonts w:cs="宋体"/>
          <w:color w:val="auto"/>
          <w:sz w:val="24"/>
          <w:highlight w:val="none"/>
        </w:rPr>
        <w:t>2019</w:t>
      </w:r>
      <w:r>
        <w:rPr>
          <w:rFonts w:hint="eastAsia" w:cs="宋体"/>
          <w:color w:val="auto"/>
          <w:sz w:val="24"/>
          <w:highlight w:val="none"/>
        </w:rPr>
        <w:t>〕</w:t>
      </w:r>
      <w:r>
        <w:rPr>
          <w:rFonts w:cs="宋体"/>
          <w:color w:val="auto"/>
          <w:sz w:val="24"/>
          <w:highlight w:val="none"/>
        </w:rPr>
        <w:t>9</w:t>
      </w:r>
      <w:r>
        <w:rPr>
          <w:rFonts w:hint="eastAsia" w:cs="宋体"/>
          <w:color w:val="auto"/>
          <w:sz w:val="24"/>
          <w:highlight w:val="none"/>
        </w:rPr>
        <w:t>号）和《关于印发节能产品政府采购品目清单的通知》（财库〔</w:t>
      </w:r>
      <w:r>
        <w:rPr>
          <w:rFonts w:cs="宋体"/>
          <w:color w:val="auto"/>
          <w:sz w:val="24"/>
          <w:highlight w:val="none"/>
        </w:rPr>
        <w:t>2019</w:t>
      </w:r>
      <w:r>
        <w:rPr>
          <w:rFonts w:hint="eastAsia" w:cs="宋体"/>
          <w:color w:val="auto"/>
          <w:sz w:val="24"/>
          <w:highlight w:val="none"/>
        </w:rPr>
        <w:t>〕</w:t>
      </w:r>
      <w:r>
        <w:rPr>
          <w:rFonts w:cs="宋体"/>
          <w:color w:val="auto"/>
          <w:sz w:val="24"/>
          <w:highlight w:val="none"/>
        </w:rPr>
        <w:t>19</w:t>
      </w:r>
      <w:r>
        <w:rPr>
          <w:rFonts w:hint="eastAsia" w:cs="宋体"/>
          <w:color w:val="auto"/>
          <w:sz w:val="24"/>
          <w:highlight w:val="none"/>
        </w:rPr>
        <w:t>号）的规定，所有工程中涉及的建筑材料和设备如属于财库〔</w:t>
      </w:r>
      <w:r>
        <w:rPr>
          <w:rFonts w:cs="宋体"/>
          <w:color w:val="auto"/>
          <w:sz w:val="24"/>
          <w:highlight w:val="none"/>
        </w:rPr>
        <w:t>2019</w:t>
      </w:r>
      <w:r>
        <w:rPr>
          <w:rFonts w:hint="eastAsia" w:cs="宋体"/>
          <w:color w:val="auto"/>
          <w:sz w:val="24"/>
          <w:highlight w:val="none"/>
        </w:rPr>
        <w:t>〕</w:t>
      </w:r>
      <w:r>
        <w:rPr>
          <w:rFonts w:cs="宋体"/>
          <w:color w:val="auto"/>
          <w:sz w:val="24"/>
          <w:highlight w:val="none"/>
        </w:rPr>
        <w:t>19</w:t>
      </w:r>
      <w:r>
        <w:rPr>
          <w:rFonts w:hint="eastAsia" w:cs="宋体"/>
          <w:color w:val="auto"/>
          <w:sz w:val="24"/>
          <w:highlight w:val="none"/>
        </w:rPr>
        <w:t>号文中《节能产品政府采购品目清单》内标注“★”的产品，都使用政府强制采购的节能产品。</w:t>
      </w:r>
      <w:r>
        <w:rPr>
          <w:rFonts w:hint="eastAsia"/>
          <w:color w:val="auto"/>
          <w:sz w:val="24"/>
          <w:highlight w:val="none"/>
        </w:rPr>
        <w:t>如我方在该项目的承包中出现未按规定执行的情形，我方愿意按照相关规定接受采购人及有关行政主管部门的处罚，愿意承担一切后果，并不再寻求任何旨在减轻或者免除法律责任的辩解。</w:t>
      </w:r>
    </w:p>
    <w:p w14:paraId="53476310">
      <w:pPr>
        <w:spacing w:line="360" w:lineRule="auto"/>
        <w:ind w:firstLine="480" w:firstLineChars="200"/>
        <w:jc w:val="center"/>
        <w:rPr>
          <w:color w:val="auto"/>
          <w:sz w:val="24"/>
          <w:highlight w:val="none"/>
        </w:rPr>
      </w:pPr>
    </w:p>
    <w:p w14:paraId="53476311">
      <w:pPr>
        <w:spacing w:line="360" w:lineRule="auto"/>
        <w:rPr>
          <w:rFonts w:ascii="宋体" w:hAnsi="宋体" w:cs="仿宋_GB2312"/>
          <w:color w:val="auto"/>
          <w:sz w:val="24"/>
          <w:highlight w:val="none"/>
        </w:rPr>
      </w:pPr>
    </w:p>
    <w:p w14:paraId="53476312">
      <w:pPr>
        <w:spacing w:line="360" w:lineRule="auto"/>
        <w:ind w:firstLine="3600" w:firstLineChars="1500"/>
        <w:rPr>
          <w:rFonts w:ascii="宋体" w:hAnsi="宋体" w:cs="仿宋_GB2312"/>
          <w:color w:val="auto"/>
          <w:sz w:val="24"/>
          <w:highlight w:val="none"/>
        </w:rPr>
      </w:pPr>
      <w:r>
        <w:rPr>
          <w:rFonts w:hint="eastAsia" w:ascii="宋体" w:hAnsi="宋体" w:cs="仿宋_GB2312"/>
          <w:color w:val="auto"/>
          <w:sz w:val="24"/>
          <w:highlight w:val="none"/>
        </w:rPr>
        <w:t>供应商（电子签章）：</w:t>
      </w:r>
    </w:p>
    <w:p w14:paraId="53476313">
      <w:pPr>
        <w:spacing w:line="360" w:lineRule="auto"/>
        <w:ind w:firstLine="480" w:firstLineChars="200"/>
        <w:jc w:val="center"/>
        <w:rPr>
          <w:rFonts w:ascii="宋体" w:hAnsi="宋体" w:cs="仿宋_GB2312"/>
          <w:color w:val="auto"/>
          <w:sz w:val="24"/>
          <w:highlight w:val="none"/>
        </w:rPr>
        <w:sectPr>
          <w:footerReference r:id="rId10" w:type="default"/>
          <w:pgSz w:w="11907" w:h="16840"/>
          <w:pgMar w:top="1440" w:right="1440" w:bottom="1440" w:left="1797" w:header="851" w:footer="851" w:gutter="0"/>
          <w:pgNumType w:fmt="decimal"/>
          <w:cols w:space="720" w:num="1"/>
          <w:docGrid w:linePitch="312" w:charSpace="0"/>
        </w:sectPr>
      </w:pPr>
      <w:r>
        <w:rPr>
          <w:rFonts w:hint="eastAsia" w:ascii="宋体" w:hAnsi="宋体" w:cs="仿宋_GB2312"/>
          <w:color w:val="auto"/>
          <w:sz w:val="24"/>
          <w:highlight w:val="none"/>
        </w:rPr>
        <w:t>年   月   日</w:t>
      </w:r>
    </w:p>
    <w:p w14:paraId="53476314">
      <w:pPr>
        <w:spacing w:line="360" w:lineRule="auto"/>
        <w:rPr>
          <w:rFonts w:ascii="宋体" w:hAnsi="宋体" w:cs="宋体"/>
          <w:b/>
          <w:color w:val="auto"/>
          <w:spacing w:val="6"/>
          <w:sz w:val="24"/>
          <w:highlight w:val="none"/>
        </w:rPr>
      </w:pPr>
      <w:r>
        <w:rPr>
          <w:rFonts w:hint="eastAsia" w:ascii="宋体" w:hAnsi="宋体" w:cs="宋体"/>
          <w:b/>
          <w:color w:val="auto"/>
          <w:spacing w:val="6"/>
          <w:sz w:val="24"/>
          <w:highlight w:val="none"/>
        </w:rPr>
        <w:t>附件17</w:t>
      </w:r>
    </w:p>
    <w:p w14:paraId="53476315">
      <w:pPr>
        <w:spacing w:line="360" w:lineRule="auto"/>
        <w:rPr>
          <w:rFonts w:ascii="宋体" w:hAnsi="宋体" w:cs="宋体"/>
          <w:b/>
          <w:color w:val="auto"/>
          <w:spacing w:val="6"/>
          <w:sz w:val="24"/>
          <w:highlight w:val="none"/>
        </w:rPr>
      </w:pPr>
      <w:r>
        <w:rPr>
          <w:rFonts w:hint="eastAsia" w:ascii="宋体" w:hAnsi="宋体" w:cs="宋体"/>
          <w:b/>
          <w:color w:val="auto"/>
          <w:spacing w:val="6"/>
          <w:sz w:val="24"/>
          <w:highlight w:val="none"/>
        </w:rPr>
        <w:t>质疑函范本格式：</w:t>
      </w:r>
    </w:p>
    <w:p w14:paraId="53476316">
      <w:pPr>
        <w:spacing w:line="360" w:lineRule="auto"/>
        <w:jc w:val="center"/>
        <w:rPr>
          <w:rFonts w:ascii="宋体" w:hAnsi="宋体" w:cs="宋体"/>
          <w:b/>
          <w:color w:val="auto"/>
          <w:spacing w:val="6"/>
          <w:sz w:val="24"/>
          <w:highlight w:val="none"/>
        </w:rPr>
      </w:pPr>
      <w:r>
        <w:rPr>
          <w:rFonts w:hint="eastAsia" w:ascii="宋体" w:hAnsi="宋体" w:cs="宋体"/>
          <w:b/>
          <w:color w:val="auto"/>
          <w:spacing w:val="6"/>
          <w:sz w:val="24"/>
          <w:highlight w:val="none"/>
        </w:rPr>
        <w:t>质疑函范本</w:t>
      </w:r>
    </w:p>
    <w:p w14:paraId="53476317">
      <w:pPr>
        <w:snapToGrid w:val="0"/>
        <w:spacing w:line="360" w:lineRule="auto"/>
        <w:rPr>
          <w:rFonts w:ascii="宋体" w:hAnsi="宋体" w:cs="宋体"/>
          <w:bCs/>
          <w:color w:val="auto"/>
          <w:sz w:val="24"/>
          <w:highlight w:val="none"/>
        </w:rPr>
      </w:pPr>
      <w:r>
        <w:rPr>
          <w:rFonts w:hint="eastAsia" w:ascii="宋体" w:hAnsi="宋体" w:cs="宋体"/>
          <w:bCs/>
          <w:color w:val="auto"/>
          <w:sz w:val="24"/>
          <w:highlight w:val="none"/>
        </w:rPr>
        <w:t>一、质疑供应商基本信息</w:t>
      </w:r>
    </w:p>
    <w:p w14:paraId="53476318">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质疑供应商：</w:t>
      </w:r>
      <w:r>
        <w:rPr>
          <w:rFonts w:hint="eastAsia" w:ascii="宋体" w:hAnsi="宋体" w:cs="宋体"/>
          <w:color w:val="auto"/>
          <w:sz w:val="24"/>
          <w:highlight w:val="none"/>
          <w:u w:val="dotted"/>
        </w:rPr>
        <w:t xml:space="preserve">                                        </w:t>
      </w:r>
    </w:p>
    <w:p w14:paraId="53476319">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地址：</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邮编：</w:t>
      </w:r>
      <w:r>
        <w:rPr>
          <w:rFonts w:hint="eastAsia" w:ascii="宋体" w:hAnsi="宋体" w:cs="宋体"/>
          <w:color w:val="auto"/>
          <w:sz w:val="24"/>
          <w:highlight w:val="none"/>
          <w:u w:val="dotted"/>
        </w:rPr>
        <w:t xml:space="preserve">                                                   </w:t>
      </w:r>
    </w:p>
    <w:p w14:paraId="5347631A">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联系人：</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联系电话：</w:t>
      </w:r>
      <w:r>
        <w:rPr>
          <w:rFonts w:hint="eastAsia" w:ascii="宋体" w:hAnsi="宋体" w:cs="宋体"/>
          <w:color w:val="auto"/>
          <w:sz w:val="24"/>
          <w:highlight w:val="none"/>
          <w:u w:val="dotted"/>
        </w:rPr>
        <w:t xml:space="preserve">                              </w:t>
      </w:r>
    </w:p>
    <w:p w14:paraId="5347631B">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授权代表：</w:t>
      </w:r>
      <w:r>
        <w:rPr>
          <w:rFonts w:hint="eastAsia" w:ascii="宋体" w:hAnsi="宋体" w:cs="宋体"/>
          <w:color w:val="auto"/>
          <w:sz w:val="24"/>
          <w:highlight w:val="none"/>
          <w:u w:val="dotted"/>
        </w:rPr>
        <w:t xml:space="preserve">                                          </w:t>
      </w:r>
    </w:p>
    <w:p w14:paraId="5347631C">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联系电话：</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 xml:space="preserve"> </w:t>
      </w:r>
    </w:p>
    <w:p w14:paraId="5347631D">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 xml:space="preserve">地址： </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邮编：</w:t>
      </w:r>
      <w:r>
        <w:rPr>
          <w:rFonts w:hint="eastAsia" w:ascii="宋体" w:hAnsi="宋体" w:cs="宋体"/>
          <w:color w:val="auto"/>
          <w:sz w:val="24"/>
          <w:highlight w:val="none"/>
          <w:u w:val="dotted"/>
        </w:rPr>
        <w:t xml:space="preserve">                                                </w:t>
      </w:r>
    </w:p>
    <w:p w14:paraId="5347631E">
      <w:pPr>
        <w:snapToGrid w:val="0"/>
        <w:spacing w:line="360" w:lineRule="auto"/>
        <w:rPr>
          <w:rFonts w:ascii="宋体" w:hAnsi="宋体" w:cs="宋体"/>
          <w:bCs/>
          <w:color w:val="auto"/>
          <w:sz w:val="24"/>
          <w:highlight w:val="none"/>
        </w:rPr>
      </w:pPr>
      <w:r>
        <w:rPr>
          <w:rFonts w:hint="eastAsia" w:ascii="宋体" w:hAnsi="宋体" w:cs="宋体"/>
          <w:bCs/>
          <w:color w:val="auto"/>
          <w:sz w:val="24"/>
          <w:highlight w:val="none"/>
        </w:rPr>
        <w:t>二、质疑项目基本情况</w:t>
      </w:r>
    </w:p>
    <w:p w14:paraId="5347631F">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质疑项目的名称：</w:t>
      </w:r>
      <w:r>
        <w:rPr>
          <w:rFonts w:hint="eastAsia" w:ascii="宋体" w:hAnsi="宋体" w:cs="宋体"/>
          <w:color w:val="auto"/>
          <w:sz w:val="24"/>
          <w:highlight w:val="none"/>
          <w:u w:val="dotted"/>
        </w:rPr>
        <w:t xml:space="preserve">                                      </w:t>
      </w:r>
    </w:p>
    <w:p w14:paraId="53476320">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质疑项目的编号：</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包号：</w:t>
      </w:r>
      <w:r>
        <w:rPr>
          <w:rFonts w:hint="eastAsia" w:ascii="宋体" w:hAnsi="宋体" w:cs="宋体"/>
          <w:color w:val="auto"/>
          <w:sz w:val="24"/>
          <w:highlight w:val="none"/>
          <w:u w:val="dotted"/>
        </w:rPr>
        <w:t xml:space="preserve">                 </w:t>
      </w:r>
    </w:p>
    <w:p w14:paraId="53476321">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采购人名称：</w:t>
      </w:r>
      <w:r>
        <w:rPr>
          <w:rFonts w:hint="eastAsia" w:ascii="宋体" w:hAnsi="宋体" w:cs="宋体"/>
          <w:color w:val="auto"/>
          <w:sz w:val="24"/>
          <w:highlight w:val="none"/>
          <w:u w:val="dotted"/>
        </w:rPr>
        <w:t xml:space="preserve">                                         </w:t>
      </w:r>
    </w:p>
    <w:p w14:paraId="53476322">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采购文件获取日期：</w:t>
      </w:r>
      <w:r>
        <w:rPr>
          <w:rFonts w:hint="eastAsia" w:ascii="宋体" w:hAnsi="宋体" w:cs="宋体"/>
          <w:color w:val="auto"/>
          <w:sz w:val="24"/>
          <w:highlight w:val="none"/>
          <w:u w:val="dotted"/>
        </w:rPr>
        <w:t xml:space="preserve">                                           </w:t>
      </w:r>
    </w:p>
    <w:p w14:paraId="53476323">
      <w:pPr>
        <w:snapToGrid w:val="0"/>
        <w:spacing w:line="360" w:lineRule="auto"/>
        <w:rPr>
          <w:rFonts w:ascii="宋体" w:hAnsi="宋体" w:cs="宋体"/>
          <w:bCs/>
          <w:color w:val="auto"/>
          <w:sz w:val="24"/>
          <w:highlight w:val="none"/>
        </w:rPr>
      </w:pPr>
      <w:r>
        <w:rPr>
          <w:rFonts w:hint="eastAsia" w:ascii="宋体" w:hAnsi="宋体" w:cs="宋体"/>
          <w:bCs/>
          <w:color w:val="auto"/>
          <w:sz w:val="24"/>
          <w:highlight w:val="none"/>
        </w:rPr>
        <w:t>三、质疑事项具体内容</w:t>
      </w:r>
    </w:p>
    <w:p w14:paraId="53476324">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质疑事项1：</w:t>
      </w:r>
      <w:r>
        <w:rPr>
          <w:rFonts w:hint="eastAsia" w:ascii="宋体" w:hAnsi="宋体" w:cs="宋体"/>
          <w:color w:val="auto"/>
          <w:sz w:val="24"/>
          <w:highlight w:val="none"/>
          <w:u w:val="dotted"/>
        </w:rPr>
        <w:t xml:space="preserve">                                         </w:t>
      </w:r>
    </w:p>
    <w:p w14:paraId="53476325">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事实依据：</w:t>
      </w:r>
      <w:r>
        <w:rPr>
          <w:rFonts w:hint="eastAsia" w:ascii="宋体" w:hAnsi="宋体" w:cs="宋体"/>
          <w:color w:val="auto"/>
          <w:sz w:val="24"/>
          <w:highlight w:val="none"/>
          <w:u w:val="dotted"/>
        </w:rPr>
        <w:t xml:space="preserve">                                          </w:t>
      </w:r>
    </w:p>
    <w:p w14:paraId="53476326">
      <w:pPr>
        <w:snapToGrid w:val="0"/>
        <w:spacing w:line="360" w:lineRule="auto"/>
        <w:rPr>
          <w:rFonts w:ascii="宋体" w:hAnsi="宋体" w:cs="宋体"/>
          <w:color w:val="auto"/>
          <w:sz w:val="24"/>
          <w:highlight w:val="none"/>
        </w:rPr>
      </w:pPr>
      <w:r>
        <w:rPr>
          <w:rFonts w:hint="eastAsia" w:ascii="宋体" w:hAnsi="宋体" w:cs="宋体"/>
          <w:color w:val="auto"/>
          <w:sz w:val="24"/>
          <w:highlight w:val="none"/>
          <w:u w:val="dotted"/>
        </w:rPr>
        <w:t xml:space="preserve">                                                       </w:t>
      </w:r>
    </w:p>
    <w:p w14:paraId="53476327">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法律依据：</w:t>
      </w:r>
      <w:r>
        <w:rPr>
          <w:rFonts w:hint="eastAsia" w:ascii="宋体" w:hAnsi="宋体" w:cs="宋体"/>
          <w:color w:val="auto"/>
          <w:sz w:val="24"/>
          <w:highlight w:val="none"/>
          <w:u w:val="dotted"/>
        </w:rPr>
        <w:t xml:space="preserve">                                          </w:t>
      </w:r>
    </w:p>
    <w:p w14:paraId="53476328">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u w:val="dotted"/>
        </w:rPr>
        <w:t xml:space="preserve">                                                     </w:t>
      </w:r>
    </w:p>
    <w:p w14:paraId="53476329">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质疑事项2</w:t>
      </w:r>
    </w:p>
    <w:p w14:paraId="5347632A">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w:t>
      </w:r>
    </w:p>
    <w:p w14:paraId="5347632B">
      <w:pPr>
        <w:snapToGrid w:val="0"/>
        <w:spacing w:line="360" w:lineRule="auto"/>
        <w:rPr>
          <w:rFonts w:ascii="宋体" w:hAnsi="宋体" w:cs="宋体"/>
          <w:bCs/>
          <w:color w:val="auto"/>
          <w:sz w:val="24"/>
          <w:highlight w:val="none"/>
        </w:rPr>
      </w:pPr>
      <w:r>
        <w:rPr>
          <w:rFonts w:hint="eastAsia" w:ascii="宋体" w:hAnsi="宋体" w:cs="宋体"/>
          <w:bCs/>
          <w:color w:val="auto"/>
          <w:sz w:val="24"/>
          <w:highlight w:val="none"/>
        </w:rPr>
        <w:t>四、与质疑事项相关的质疑请求</w:t>
      </w:r>
    </w:p>
    <w:p w14:paraId="5347632C">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请求：</w:t>
      </w:r>
      <w:r>
        <w:rPr>
          <w:rFonts w:hint="eastAsia" w:ascii="宋体" w:hAnsi="宋体" w:cs="宋体"/>
          <w:color w:val="auto"/>
          <w:sz w:val="24"/>
          <w:highlight w:val="none"/>
          <w:u w:val="dotted"/>
        </w:rPr>
        <w:t xml:space="preserve">                                               </w:t>
      </w:r>
    </w:p>
    <w:p w14:paraId="5347632D">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签字(签章)：                   公章：                      </w:t>
      </w:r>
    </w:p>
    <w:p w14:paraId="5347632E">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日期：    </w:t>
      </w:r>
    </w:p>
    <w:p w14:paraId="5347632F">
      <w:pPr>
        <w:spacing w:line="360" w:lineRule="auto"/>
        <w:jc w:val="center"/>
        <w:rPr>
          <w:rFonts w:ascii="宋体" w:hAnsi="宋体" w:cs="宋体"/>
          <w:b/>
          <w:bCs/>
          <w:color w:val="auto"/>
          <w:sz w:val="24"/>
          <w:highlight w:val="none"/>
        </w:rPr>
      </w:pPr>
    </w:p>
    <w:p w14:paraId="53476330">
      <w:pPr>
        <w:spacing w:line="360" w:lineRule="auto"/>
        <w:rPr>
          <w:rFonts w:ascii="宋体" w:hAnsi="宋体" w:cs="宋体"/>
          <w:b/>
          <w:color w:val="auto"/>
          <w:sz w:val="24"/>
          <w:highlight w:val="none"/>
        </w:rPr>
      </w:pPr>
    </w:p>
    <w:p w14:paraId="53476331">
      <w:pPr>
        <w:spacing w:line="360" w:lineRule="auto"/>
        <w:rPr>
          <w:rFonts w:ascii="宋体" w:hAnsi="宋体" w:cs="宋体"/>
          <w:b/>
          <w:color w:val="auto"/>
          <w:sz w:val="24"/>
          <w:highlight w:val="none"/>
        </w:rPr>
      </w:pPr>
    </w:p>
    <w:p w14:paraId="53476332">
      <w:pPr>
        <w:spacing w:line="360" w:lineRule="auto"/>
        <w:rPr>
          <w:rFonts w:ascii="宋体" w:hAnsi="宋体" w:cs="宋体"/>
          <w:b/>
          <w:color w:val="auto"/>
          <w:sz w:val="24"/>
          <w:highlight w:val="none"/>
        </w:rPr>
      </w:pPr>
      <w:r>
        <w:rPr>
          <w:rFonts w:hint="eastAsia" w:ascii="宋体" w:hAnsi="宋体" w:cs="宋体"/>
          <w:b/>
          <w:color w:val="auto"/>
          <w:sz w:val="24"/>
          <w:highlight w:val="none"/>
        </w:rPr>
        <w:t>质疑函制作说明：</w:t>
      </w:r>
    </w:p>
    <w:p w14:paraId="53476333">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1.供应商提出质疑时，应提交质疑函和必要的证明材料。</w:t>
      </w:r>
    </w:p>
    <w:p w14:paraId="53476334">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2.质疑供应商若委托代理人进行质疑的，质疑函应按要求列明“授权代表”的有关内容，并在附件中提交由质疑</w:t>
      </w:r>
      <w:r>
        <w:rPr>
          <w:rFonts w:hint="eastAsia" w:ascii="宋体" w:hAnsi="宋体" w:cs="宋体"/>
          <w:color w:val="auto"/>
          <w:kern w:val="0"/>
          <w:sz w:val="24"/>
          <w:highlight w:val="none"/>
        </w:rPr>
        <w:t>供应商签署的授权委托书。授权委托书应载明代理人的姓名或者名称、代理事项、具体权限、期限和相关事项。</w:t>
      </w:r>
    </w:p>
    <w:p w14:paraId="53476335">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3.质疑供应商若对项目的某一分包进行质疑，质疑函中应列明具体分包号。</w:t>
      </w:r>
    </w:p>
    <w:p w14:paraId="53476336">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4.质疑函的质疑事项应具体、明确，并有必要的事实依据和法律依据。</w:t>
      </w:r>
    </w:p>
    <w:p w14:paraId="53476337">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5.质疑函的质疑请求应与质疑事项相关。</w:t>
      </w:r>
    </w:p>
    <w:p w14:paraId="53476338">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6.质疑供应商为自然人的，质疑函应由本人签字；质疑供应商为法人或者其他组织的，质疑函应由法定代表人、主要负责人，或者其授权代表签字或者盖章，并加盖公章。</w:t>
      </w:r>
    </w:p>
    <w:p w14:paraId="53476339">
      <w:pPr>
        <w:widowControl/>
        <w:spacing w:line="360" w:lineRule="auto"/>
        <w:ind w:firstLine="480" w:firstLineChars="200"/>
        <w:jc w:val="left"/>
        <w:rPr>
          <w:rFonts w:ascii="宋体" w:hAnsi="宋体" w:cs="宋体"/>
          <w:color w:val="auto"/>
          <w:sz w:val="24"/>
          <w:highlight w:val="none"/>
        </w:rPr>
      </w:pPr>
    </w:p>
    <w:p w14:paraId="5347633A">
      <w:pPr>
        <w:spacing w:line="360" w:lineRule="auto"/>
        <w:rPr>
          <w:rFonts w:ascii="宋体" w:hAnsi="宋体" w:cs="宋体"/>
          <w:b/>
          <w:color w:val="auto"/>
          <w:spacing w:val="6"/>
          <w:szCs w:val="21"/>
          <w:highlight w:val="none"/>
        </w:rPr>
        <w:sectPr>
          <w:pgSz w:w="11906" w:h="16838"/>
          <w:pgMar w:top="1247" w:right="1247" w:bottom="1247" w:left="1247" w:header="851" w:footer="992" w:gutter="0"/>
          <w:pgNumType w:fmt="decimal"/>
          <w:cols w:space="720" w:num="1"/>
          <w:titlePg/>
          <w:docGrid w:linePitch="312" w:charSpace="0"/>
        </w:sectPr>
      </w:pPr>
    </w:p>
    <w:p w14:paraId="5347633B">
      <w:pPr>
        <w:spacing w:line="360" w:lineRule="auto"/>
        <w:rPr>
          <w:rFonts w:ascii="宋体" w:hAnsi="宋体" w:cs="宋体"/>
          <w:b/>
          <w:color w:val="auto"/>
          <w:spacing w:val="6"/>
          <w:sz w:val="24"/>
          <w:highlight w:val="none"/>
        </w:rPr>
      </w:pPr>
      <w:r>
        <w:rPr>
          <w:rFonts w:hint="eastAsia" w:ascii="宋体" w:hAnsi="宋体" w:cs="宋体"/>
          <w:b/>
          <w:color w:val="auto"/>
          <w:spacing w:val="6"/>
          <w:sz w:val="24"/>
          <w:highlight w:val="none"/>
        </w:rPr>
        <w:t>附件18</w:t>
      </w:r>
    </w:p>
    <w:p w14:paraId="5347633C">
      <w:pPr>
        <w:spacing w:line="360" w:lineRule="auto"/>
        <w:rPr>
          <w:rFonts w:ascii="宋体" w:hAnsi="宋体" w:cs="宋体"/>
          <w:b/>
          <w:color w:val="auto"/>
          <w:spacing w:val="6"/>
          <w:sz w:val="24"/>
          <w:highlight w:val="none"/>
        </w:rPr>
      </w:pPr>
      <w:r>
        <w:rPr>
          <w:rFonts w:hint="eastAsia" w:ascii="宋体" w:hAnsi="宋体" w:cs="宋体"/>
          <w:b/>
          <w:color w:val="auto"/>
          <w:spacing w:val="6"/>
          <w:sz w:val="24"/>
          <w:highlight w:val="none"/>
        </w:rPr>
        <w:t>投诉书范本格式：</w:t>
      </w:r>
    </w:p>
    <w:p w14:paraId="5347633D">
      <w:pPr>
        <w:snapToGrid w:val="0"/>
        <w:spacing w:line="360" w:lineRule="auto"/>
        <w:jc w:val="center"/>
        <w:rPr>
          <w:rFonts w:ascii="宋体" w:hAnsi="宋体" w:cs="宋体"/>
          <w:b/>
          <w:bCs/>
          <w:color w:val="auto"/>
          <w:kern w:val="0"/>
          <w:sz w:val="24"/>
          <w:highlight w:val="none"/>
        </w:rPr>
      </w:pPr>
      <w:r>
        <w:rPr>
          <w:rFonts w:ascii="宋体" w:hAnsi="宋体" w:cs="宋体"/>
          <w:b/>
          <w:bCs/>
          <w:color w:val="auto"/>
          <w:kern w:val="0"/>
          <w:sz w:val="24"/>
          <w:highlight w:val="none"/>
        </w:rPr>
        <w:t>政府采购供应商投诉书范本</w:t>
      </w:r>
    </w:p>
    <w:p w14:paraId="5347633E">
      <w:pPr>
        <w:snapToGrid w:val="0"/>
        <w:spacing w:line="360" w:lineRule="auto"/>
        <w:jc w:val="center"/>
        <w:rPr>
          <w:rFonts w:ascii="宋体" w:hAnsi="宋体" w:cs="宋体"/>
          <w:b/>
          <w:bCs/>
          <w:color w:val="auto"/>
          <w:kern w:val="0"/>
          <w:sz w:val="24"/>
          <w:highlight w:val="none"/>
        </w:rPr>
      </w:pPr>
    </w:p>
    <w:p w14:paraId="5347633F">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一、投诉相关主体基本情况</w:t>
      </w:r>
    </w:p>
    <w:p w14:paraId="53476340">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投诉人：</w:t>
      </w:r>
    </w:p>
    <w:p w14:paraId="53476341">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地址：    邮编：</w:t>
      </w:r>
    </w:p>
    <w:p w14:paraId="53476342">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法定代表人/主要负责人：</w:t>
      </w:r>
    </w:p>
    <w:p w14:paraId="53476343">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联系电话：</w:t>
      </w:r>
    </w:p>
    <w:p w14:paraId="53476344">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授权代表：联系电话：</w:t>
      </w:r>
    </w:p>
    <w:p w14:paraId="53476345">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地址：    邮编：</w:t>
      </w:r>
    </w:p>
    <w:p w14:paraId="53476346">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被投诉人1：</w:t>
      </w:r>
    </w:p>
    <w:p w14:paraId="53476347">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地址：    邮编：</w:t>
      </w:r>
    </w:p>
    <w:p w14:paraId="53476348">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联系人：    联系电话：</w:t>
      </w:r>
    </w:p>
    <w:p w14:paraId="53476349">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被投诉人2</w:t>
      </w:r>
    </w:p>
    <w:p w14:paraId="5347634A">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w:t>
      </w:r>
    </w:p>
    <w:p w14:paraId="5347634B">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相关供应商：</w:t>
      </w:r>
    </w:p>
    <w:p w14:paraId="5347634C">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地址：   邮编：</w:t>
      </w:r>
    </w:p>
    <w:p w14:paraId="5347634D">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联系人：    联系电话：</w:t>
      </w:r>
    </w:p>
    <w:p w14:paraId="5347634E">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二、投诉项目基本情况</w:t>
      </w:r>
    </w:p>
    <w:p w14:paraId="5347634F">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采购项目名称：</w:t>
      </w:r>
    </w:p>
    <w:p w14:paraId="53476350">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采购项目编号：包号：</w:t>
      </w:r>
    </w:p>
    <w:p w14:paraId="53476351">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采购人名称：</w:t>
      </w:r>
    </w:p>
    <w:p w14:paraId="53476352">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代理机构名称：</w:t>
      </w:r>
    </w:p>
    <w:p w14:paraId="53476353">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采购文件公告</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rPr>
        <w:t>是/否 公告期限：</w:t>
      </w:r>
    </w:p>
    <w:p w14:paraId="53476354">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采购结果公告</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rPr>
        <w:t>是/否 公告期限：</w:t>
      </w:r>
    </w:p>
    <w:p w14:paraId="53476355">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三、质疑基本情况</w:t>
      </w:r>
    </w:p>
    <w:p w14:paraId="53476356">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投诉人于年月 日,向提出质疑，质疑事项为：</w:t>
      </w:r>
    </w:p>
    <w:p w14:paraId="53476357">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采购人/代理机构于年月日,就质疑事项作出了答复/没有在法定期限内作出答复。</w:t>
      </w:r>
    </w:p>
    <w:p w14:paraId="53476358">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四、投诉事项具体内容</w:t>
      </w:r>
    </w:p>
    <w:p w14:paraId="53476359">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投诉事项1：</w:t>
      </w:r>
    </w:p>
    <w:p w14:paraId="5347635A">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事实依据：</w:t>
      </w:r>
    </w:p>
    <w:p w14:paraId="5347635B">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法律依据：</w:t>
      </w:r>
    </w:p>
    <w:p w14:paraId="5347635C">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投诉事项2</w:t>
      </w:r>
    </w:p>
    <w:p w14:paraId="5347635D">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w:t>
      </w:r>
    </w:p>
    <w:p w14:paraId="5347635E">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五、与投诉事项相关的投诉请求</w:t>
      </w:r>
    </w:p>
    <w:p w14:paraId="5347635F">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请求：</w:t>
      </w:r>
    </w:p>
    <w:p w14:paraId="53476360">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签字(签章)：公章：</w:t>
      </w:r>
    </w:p>
    <w:p w14:paraId="53476361">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日期：</w:t>
      </w:r>
    </w:p>
    <w:p w14:paraId="53476362">
      <w:pPr>
        <w:snapToGrid w:val="0"/>
        <w:spacing w:line="360" w:lineRule="auto"/>
        <w:rPr>
          <w:rFonts w:ascii="宋体" w:hAnsi="宋体" w:cs="宋体"/>
          <w:color w:val="auto"/>
          <w:kern w:val="0"/>
          <w:sz w:val="24"/>
          <w:highlight w:val="none"/>
        </w:rPr>
      </w:pPr>
      <w:r>
        <w:rPr>
          <w:rFonts w:hint="eastAsia" w:ascii="宋体" w:hAnsi="宋体" w:cs="宋体"/>
          <w:b/>
          <w:bCs/>
          <w:color w:val="auto"/>
          <w:kern w:val="0"/>
          <w:sz w:val="24"/>
          <w:highlight w:val="none"/>
        </w:rPr>
        <w:t>投诉书制作说明：</w:t>
      </w:r>
    </w:p>
    <w:p w14:paraId="53476363">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1.投诉人提起投诉时，应当提交投诉书和必要的证明材料，并按照被投诉人和与投诉事项有关的供应商数量提供投诉书副本。</w:t>
      </w:r>
    </w:p>
    <w:p w14:paraId="53476364">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2.投诉人若委托代理人进行投诉的，投诉书应按照要求列明“授权代表”的有关内容，并在附件中提交由投诉人签署的授权委托书。授权委托书应当载明代理人的姓名或者名称、代理事项、具体权限、期限和相关事项。</w:t>
      </w:r>
    </w:p>
    <w:p w14:paraId="53476365">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3.投诉人若对项目的某一分包进行投诉，投诉书应列明具体分包号。</w:t>
      </w:r>
    </w:p>
    <w:p w14:paraId="53476366">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4.投诉书应简要列明质疑事项，质疑函、质疑答复等作为附件材料提供。</w:t>
      </w:r>
    </w:p>
    <w:p w14:paraId="53476367">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5.投诉书的投诉事项应具体、明确，并有必要的事实依据和法律依据。</w:t>
      </w:r>
    </w:p>
    <w:p w14:paraId="53476368">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6.投诉书的投诉请求应与投诉事项相关。</w:t>
      </w:r>
    </w:p>
    <w:p w14:paraId="53476369">
      <w:pPr>
        <w:snapToGrid w:val="0"/>
        <w:spacing w:line="360" w:lineRule="auto"/>
        <w:rPr>
          <w:rFonts w:ascii="宋体" w:hAnsi="宋体"/>
          <w:color w:val="auto"/>
          <w:sz w:val="24"/>
          <w:highlight w:val="none"/>
        </w:rPr>
      </w:pPr>
      <w:r>
        <w:rPr>
          <w:rFonts w:hint="eastAsia" w:ascii="宋体" w:hAnsi="宋体" w:cs="宋体"/>
          <w:color w:val="auto"/>
          <w:kern w:val="0"/>
          <w:sz w:val="24"/>
          <w:highlight w:val="none"/>
        </w:rPr>
        <w:t>7.投诉人为自然人的，投诉书应当由本人签字；投诉人为法人或者其他组织的，投诉书应当由法定代表人、主要负责人，或者其授权代表签字或者盖章，并加盖公章。</w:t>
      </w:r>
    </w:p>
    <w:p w14:paraId="5347636A">
      <w:pPr>
        <w:pStyle w:val="23"/>
        <w:rPr>
          <w:color w:val="auto"/>
          <w:sz w:val="24"/>
          <w:szCs w:val="24"/>
          <w:highlight w:val="none"/>
        </w:rPr>
      </w:pPr>
    </w:p>
    <w:p w14:paraId="5347636B">
      <w:pPr>
        <w:pStyle w:val="23"/>
        <w:rPr>
          <w:color w:val="auto"/>
          <w:highlight w:val="none"/>
        </w:rPr>
      </w:pPr>
    </w:p>
    <w:p w14:paraId="5347636C">
      <w:pPr>
        <w:pStyle w:val="23"/>
        <w:rPr>
          <w:color w:val="auto"/>
          <w:highlight w:val="none"/>
        </w:rPr>
      </w:pPr>
    </w:p>
    <w:p w14:paraId="5347636D">
      <w:pPr>
        <w:pStyle w:val="23"/>
        <w:rPr>
          <w:color w:val="auto"/>
          <w:highlight w:val="none"/>
        </w:rPr>
      </w:pPr>
    </w:p>
    <w:p w14:paraId="5347636E">
      <w:pPr>
        <w:pStyle w:val="101"/>
        <w:rPr>
          <w:color w:val="auto"/>
          <w:highlight w:val="none"/>
        </w:rPr>
      </w:pPr>
      <w:r>
        <w:rPr>
          <w:color w:val="auto"/>
          <w:highlight w:val="none"/>
        </w:rPr>
        <w:br w:type="page"/>
      </w:r>
    </w:p>
    <w:p w14:paraId="5347636F">
      <w:pPr>
        <w:pStyle w:val="101"/>
        <w:rPr>
          <w:color w:val="auto"/>
          <w:highlight w:val="none"/>
        </w:rPr>
      </w:pPr>
    </w:p>
    <w:p w14:paraId="53476370">
      <w:pPr>
        <w:pStyle w:val="101"/>
        <w:rPr>
          <w:color w:val="auto"/>
          <w:highlight w:val="none"/>
        </w:rPr>
      </w:pPr>
    </w:p>
    <w:p w14:paraId="53476371">
      <w:pPr>
        <w:pStyle w:val="101"/>
        <w:rPr>
          <w:color w:val="auto"/>
          <w:highlight w:val="none"/>
        </w:rPr>
      </w:pPr>
    </w:p>
    <w:p w14:paraId="53476372">
      <w:pPr>
        <w:pStyle w:val="101"/>
        <w:rPr>
          <w:color w:val="auto"/>
          <w:highlight w:val="none"/>
        </w:rPr>
      </w:pPr>
    </w:p>
    <w:p w14:paraId="53476373">
      <w:pPr>
        <w:pStyle w:val="101"/>
        <w:rPr>
          <w:color w:val="auto"/>
          <w:highlight w:val="none"/>
        </w:rPr>
      </w:pPr>
    </w:p>
    <w:p w14:paraId="53476374">
      <w:pPr>
        <w:pStyle w:val="101"/>
        <w:rPr>
          <w:color w:val="auto"/>
          <w:highlight w:val="none"/>
        </w:rPr>
      </w:pPr>
    </w:p>
    <w:p w14:paraId="53476375">
      <w:pPr>
        <w:pStyle w:val="101"/>
        <w:rPr>
          <w:color w:val="auto"/>
          <w:highlight w:val="none"/>
        </w:rPr>
      </w:pPr>
    </w:p>
    <w:p w14:paraId="53476376">
      <w:pPr>
        <w:pStyle w:val="101"/>
        <w:rPr>
          <w:color w:val="auto"/>
          <w:highlight w:val="none"/>
        </w:rPr>
      </w:pPr>
    </w:p>
    <w:p w14:paraId="53476377">
      <w:pPr>
        <w:pStyle w:val="101"/>
        <w:rPr>
          <w:color w:val="auto"/>
          <w:highlight w:val="none"/>
        </w:rPr>
      </w:pPr>
    </w:p>
    <w:p w14:paraId="53476378">
      <w:pPr>
        <w:pStyle w:val="101"/>
        <w:rPr>
          <w:color w:val="auto"/>
          <w:highlight w:val="none"/>
        </w:rPr>
      </w:pPr>
    </w:p>
    <w:p w14:paraId="53476379">
      <w:pPr>
        <w:pStyle w:val="101"/>
        <w:rPr>
          <w:color w:val="auto"/>
          <w:highlight w:val="none"/>
        </w:rPr>
      </w:pPr>
    </w:p>
    <w:p w14:paraId="5347637A">
      <w:pPr>
        <w:pStyle w:val="5"/>
        <w:spacing w:before="0" w:after="0" w:line="240" w:lineRule="auto"/>
        <w:jc w:val="center"/>
        <w:rPr>
          <w:rFonts w:ascii="宋体" w:hAnsi="宋体"/>
          <w:color w:val="auto"/>
          <w:highlight w:val="none"/>
        </w:rPr>
      </w:pPr>
      <w:bookmarkStart w:id="35" w:name="_Toc176861409"/>
      <w:r>
        <w:rPr>
          <w:rFonts w:hint="eastAsia" w:ascii="宋体" w:hAnsi="宋体"/>
          <w:color w:val="auto"/>
          <w:highlight w:val="none"/>
        </w:rPr>
        <w:t>第四章  采购项目需求</w:t>
      </w:r>
      <w:bookmarkEnd w:id="35"/>
    </w:p>
    <w:p w14:paraId="5347637B">
      <w:pPr>
        <w:rPr>
          <w:color w:val="auto"/>
          <w:highlight w:val="none"/>
        </w:rPr>
      </w:pPr>
    </w:p>
    <w:p w14:paraId="5347637C">
      <w:pPr>
        <w:rPr>
          <w:color w:val="auto"/>
          <w:highlight w:val="none"/>
        </w:rPr>
      </w:pPr>
    </w:p>
    <w:p w14:paraId="5347637D">
      <w:pPr>
        <w:spacing w:line="440" w:lineRule="exact"/>
        <w:jc w:val="center"/>
        <w:rPr>
          <w:color w:val="auto"/>
          <w:sz w:val="36"/>
          <w:szCs w:val="36"/>
          <w:highlight w:val="none"/>
        </w:rPr>
      </w:pPr>
    </w:p>
    <w:p w14:paraId="5347637E">
      <w:pPr>
        <w:pStyle w:val="23"/>
        <w:rPr>
          <w:color w:val="auto"/>
          <w:highlight w:val="none"/>
        </w:rPr>
      </w:pPr>
    </w:p>
    <w:p w14:paraId="5347637F">
      <w:pPr>
        <w:pStyle w:val="23"/>
        <w:rPr>
          <w:color w:val="auto"/>
          <w:highlight w:val="none"/>
        </w:rPr>
      </w:pPr>
    </w:p>
    <w:p w14:paraId="53476380">
      <w:pPr>
        <w:pStyle w:val="23"/>
        <w:rPr>
          <w:color w:val="auto"/>
          <w:highlight w:val="none"/>
        </w:rPr>
      </w:pPr>
    </w:p>
    <w:p w14:paraId="53476381">
      <w:pPr>
        <w:pStyle w:val="23"/>
        <w:rPr>
          <w:color w:val="auto"/>
          <w:highlight w:val="none"/>
        </w:rPr>
      </w:pPr>
    </w:p>
    <w:p w14:paraId="53476382">
      <w:pPr>
        <w:pStyle w:val="23"/>
        <w:rPr>
          <w:color w:val="auto"/>
          <w:highlight w:val="none"/>
        </w:rPr>
      </w:pPr>
    </w:p>
    <w:p w14:paraId="53476383">
      <w:pPr>
        <w:pStyle w:val="23"/>
        <w:rPr>
          <w:color w:val="auto"/>
          <w:highlight w:val="none"/>
        </w:rPr>
      </w:pPr>
    </w:p>
    <w:p w14:paraId="53476384">
      <w:pPr>
        <w:pStyle w:val="23"/>
        <w:rPr>
          <w:color w:val="auto"/>
          <w:highlight w:val="none"/>
        </w:rPr>
      </w:pPr>
    </w:p>
    <w:p w14:paraId="53476385">
      <w:pPr>
        <w:pStyle w:val="23"/>
        <w:rPr>
          <w:color w:val="auto"/>
          <w:highlight w:val="none"/>
        </w:rPr>
      </w:pPr>
    </w:p>
    <w:p w14:paraId="53476386">
      <w:pPr>
        <w:pStyle w:val="23"/>
        <w:rPr>
          <w:color w:val="auto"/>
          <w:highlight w:val="none"/>
        </w:rPr>
      </w:pPr>
    </w:p>
    <w:p w14:paraId="53476387">
      <w:pPr>
        <w:pStyle w:val="23"/>
        <w:rPr>
          <w:color w:val="auto"/>
          <w:highlight w:val="none"/>
        </w:rPr>
      </w:pPr>
    </w:p>
    <w:p w14:paraId="53476388">
      <w:pPr>
        <w:pStyle w:val="23"/>
        <w:rPr>
          <w:color w:val="auto"/>
          <w:highlight w:val="none"/>
        </w:rPr>
      </w:pPr>
    </w:p>
    <w:p w14:paraId="53476389">
      <w:pPr>
        <w:pStyle w:val="23"/>
        <w:rPr>
          <w:color w:val="auto"/>
          <w:highlight w:val="none"/>
        </w:rPr>
      </w:pPr>
    </w:p>
    <w:p w14:paraId="5347638A">
      <w:pPr>
        <w:pStyle w:val="23"/>
        <w:rPr>
          <w:color w:val="auto"/>
          <w:highlight w:val="none"/>
        </w:rPr>
      </w:pPr>
    </w:p>
    <w:p w14:paraId="5347638B">
      <w:pPr>
        <w:pStyle w:val="23"/>
        <w:rPr>
          <w:color w:val="auto"/>
          <w:highlight w:val="none"/>
        </w:rPr>
      </w:pPr>
    </w:p>
    <w:p w14:paraId="53476393">
      <w:pPr>
        <w:pStyle w:val="23"/>
        <w:rPr>
          <w:color w:val="auto"/>
          <w:highlight w:val="none"/>
        </w:rPr>
      </w:pPr>
    </w:p>
    <w:p w14:paraId="14E43011">
      <w:pPr>
        <w:rPr>
          <w:rFonts w:hint="eastAsia" w:ascii="宋体" w:hAnsi="宋体" w:cs="宋体"/>
          <w:b/>
          <w:bCs/>
          <w:color w:val="auto"/>
          <w:kern w:val="0"/>
          <w:sz w:val="32"/>
          <w:szCs w:val="32"/>
          <w:highlight w:val="none"/>
          <w:lang w:val="zh-CN"/>
        </w:rPr>
      </w:pPr>
      <w:r>
        <w:rPr>
          <w:rFonts w:hint="eastAsia" w:ascii="宋体" w:hAnsi="宋体" w:cs="宋体"/>
          <w:b/>
          <w:bCs/>
          <w:color w:val="auto"/>
          <w:kern w:val="0"/>
          <w:sz w:val="32"/>
          <w:szCs w:val="32"/>
          <w:highlight w:val="none"/>
          <w:lang w:val="zh-CN"/>
        </w:rPr>
        <w:br w:type="page"/>
      </w:r>
    </w:p>
    <w:p w14:paraId="53476394">
      <w:pPr>
        <w:autoSpaceDE w:val="0"/>
        <w:autoSpaceDN w:val="0"/>
        <w:adjustRightInd w:val="0"/>
        <w:jc w:val="center"/>
        <w:rPr>
          <w:rFonts w:ascii="宋体" w:hAnsi="宋体" w:cs="宋体"/>
          <w:b/>
          <w:bCs/>
          <w:color w:val="auto"/>
          <w:kern w:val="0"/>
          <w:sz w:val="32"/>
          <w:szCs w:val="32"/>
          <w:highlight w:val="none"/>
          <w:lang w:val="zh-CN"/>
        </w:rPr>
      </w:pPr>
      <w:r>
        <w:rPr>
          <w:rFonts w:hint="eastAsia" w:ascii="宋体" w:hAnsi="宋体" w:cs="宋体"/>
          <w:b/>
          <w:bCs/>
          <w:color w:val="auto"/>
          <w:kern w:val="0"/>
          <w:sz w:val="32"/>
          <w:szCs w:val="32"/>
          <w:highlight w:val="none"/>
          <w:lang w:val="zh-CN"/>
        </w:rPr>
        <w:t>项目采购需求</w:t>
      </w:r>
    </w:p>
    <w:p w14:paraId="53476395">
      <w:pPr>
        <w:adjustRightInd w:val="0"/>
        <w:snapToGrid w:val="0"/>
        <w:spacing w:line="460" w:lineRule="exact"/>
        <w:ind w:firstLine="482" w:firstLineChars="200"/>
        <w:rPr>
          <w:rFonts w:ascii="宋体" w:hAnsi="宋体" w:cs="宋体"/>
          <w:b/>
          <w:bCs/>
          <w:color w:val="auto"/>
          <w:sz w:val="24"/>
          <w:szCs w:val="24"/>
          <w:highlight w:val="none"/>
        </w:rPr>
      </w:pPr>
      <w:r>
        <w:rPr>
          <w:rFonts w:hint="eastAsia" w:ascii="宋体" w:hAnsi="宋体" w:cs="宋体"/>
          <w:b/>
          <w:bCs/>
          <w:color w:val="auto"/>
          <w:sz w:val="24"/>
          <w:szCs w:val="24"/>
          <w:highlight w:val="none"/>
        </w:rPr>
        <w:t>说明：</w:t>
      </w:r>
    </w:p>
    <w:p w14:paraId="53476396">
      <w:pPr>
        <w:adjustRightInd w:val="0"/>
        <w:snapToGrid w:val="0"/>
        <w:spacing w:line="460" w:lineRule="exact"/>
        <w:ind w:firstLine="482" w:firstLineChars="200"/>
        <w:rPr>
          <w:rFonts w:ascii="宋体" w:hAnsi="宋体" w:cs="宋体"/>
          <w:b/>
          <w:bCs/>
          <w:color w:val="auto"/>
          <w:sz w:val="24"/>
          <w:szCs w:val="24"/>
          <w:highlight w:val="none"/>
        </w:rPr>
      </w:pPr>
      <w:r>
        <w:rPr>
          <w:rFonts w:hint="eastAsia" w:ascii="宋体" w:hAnsi="宋体" w:cs="宋体"/>
          <w:b/>
          <w:bCs/>
          <w:color w:val="auto"/>
          <w:sz w:val="24"/>
          <w:szCs w:val="24"/>
          <w:highlight w:val="none"/>
        </w:rPr>
        <w:t>1.本项目的政府采购预算控制价为</w:t>
      </w:r>
      <w:r>
        <w:rPr>
          <w:rFonts w:hint="eastAsia" w:ascii="宋体" w:hAnsi="宋体" w:cs="宋体"/>
          <w:b/>
          <w:bCs/>
          <w:color w:val="auto"/>
          <w:sz w:val="24"/>
          <w:szCs w:val="24"/>
          <w:highlight w:val="none"/>
        </w:rPr>
        <w:t>人民币</w:t>
      </w:r>
      <w:r>
        <w:rPr>
          <w:rFonts w:ascii="宋体" w:hAnsi="宋体" w:cs="宋体"/>
          <w:b/>
          <w:bCs/>
          <w:color w:val="auto"/>
          <w:sz w:val="24"/>
          <w:szCs w:val="24"/>
          <w:highlight w:val="none"/>
          <w:u w:val="single"/>
        </w:rPr>
        <w:t xml:space="preserve"> </w:t>
      </w:r>
      <w:r>
        <w:rPr>
          <w:rFonts w:hint="eastAsia" w:ascii="宋体" w:hAnsi="宋体" w:cs="宋体"/>
          <w:b/>
          <w:bCs/>
          <w:color w:val="auto"/>
          <w:sz w:val="24"/>
          <w:szCs w:val="24"/>
          <w:highlight w:val="none"/>
          <w:u w:val="single"/>
          <w:lang w:val="en-US" w:eastAsia="zh-CN"/>
        </w:rPr>
        <w:t>693612.25</w:t>
      </w:r>
      <w:r>
        <w:rPr>
          <w:rFonts w:hint="eastAsia" w:ascii="宋体" w:hAnsi="宋体" w:cs="宋体"/>
          <w:b/>
          <w:bCs/>
          <w:color w:val="auto"/>
          <w:sz w:val="24"/>
          <w:szCs w:val="24"/>
          <w:highlight w:val="none"/>
        </w:rPr>
        <w:t>元，</w:t>
      </w:r>
      <w:r>
        <w:rPr>
          <w:rFonts w:hint="eastAsia" w:ascii="宋体" w:hAnsi="宋体" w:cs="宋体"/>
          <w:b/>
          <w:bCs/>
          <w:color w:val="auto"/>
          <w:sz w:val="24"/>
          <w:szCs w:val="24"/>
          <w:highlight w:val="none"/>
        </w:rPr>
        <w:t>超过上述预算价的报价将视为无效报价。</w:t>
      </w:r>
    </w:p>
    <w:p w14:paraId="53476397">
      <w:pPr>
        <w:adjustRightInd w:val="0"/>
        <w:snapToGrid w:val="0"/>
        <w:spacing w:line="460" w:lineRule="exact"/>
        <w:ind w:firstLine="482" w:firstLineChars="200"/>
        <w:rPr>
          <w:rFonts w:ascii="宋体" w:hAnsi="宋体" w:cs="宋体"/>
          <w:b/>
          <w:bCs/>
          <w:color w:val="auto"/>
          <w:sz w:val="24"/>
          <w:szCs w:val="24"/>
          <w:highlight w:val="none"/>
        </w:rPr>
      </w:pPr>
      <w:r>
        <w:rPr>
          <w:rFonts w:hint="eastAsia" w:ascii="宋体" w:hAnsi="宋体" w:cs="宋体"/>
          <w:b/>
          <w:bCs/>
          <w:color w:val="auto"/>
          <w:sz w:val="24"/>
          <w:szCs w:val="24"/>
          <w:highlight w:val="none"/>
        </w:rPr>
        <w:t>2.根据《关于印发中小企业划型标准规定的通知》（工信部联企业〔2011〕300号）规定的划分标准，本项目采购所有标的对应的中小企业划分标准所属行业为：</w:t>
      </w:r>
      <w:r>
        <w:rPr>
          <w:rFonts w:hint="eastAsia" w:ascii="宋体" w:hAnsi="宋体" w:cs="宋体"/>
          <w:b/>
          <w:bCs/>
          <w:color w:val="auto"/>
          <w:sz w:val="24"/>
          <w:szCs w:val="24"/>
          <w:highlight w:val="none"/>
          <w:u w:val="single"/>
        </w:rPr>
        <w:t>建筑业</w:t>
      </w:r>
      <w:r>
        <w:rPr>
          <w:rFonts w:hint="eastAsia" w:ascii="宋体" w:hAnsi="宋体" w:cs="宋体"/>
          <w:b/>
          <w:bCs/>
          <w:color w:val="auto"/>
          <w:sz w:val="24"/>
          <w:szCs w:val="24"/>
          <w:highlight w:val="none"/>
        </w:rPr>
        <w:t xml:space="preserve">。   </w:t>
      </w:r>
    </w:p>
    <w:p w14:paraId="6245FA58">
      <w:pPr>
        <w:adjustRightInd w:val="0"/>
        <w:spacing w:line="360" w:lineRule="auto"/>
        <w:jc w:val="left"/>
        <w:rPr>
          <w:rFonts w:hint="eastAsia" w:ascii="宋体" w:hAnsi="宋体" w:cs="仿宋_GB2312"/>
          <w:b/>
          <w:bCs/>
          <w:color w:val="auto"/>
          <w:sz w:val="24"/>
          <w:highlight w:val="none"/>
        </w:rPr>
      </w:pPr>
      <w:r>
        <w:rPr>
          <w:rFonts w:hint="eastAsia" w:ascii="宋体" w:hAnsi="宋体" w:cs="仿宋_GB2312"/>
          <w:b/>
          <w:bCs/>
          <w:color w:val="auto"/>
          <w:sz w:val="24"/>
          <w:highlight w:val="none"/>
        </w:rPr>
        <w:t>一、工程概况</w:t>
      </w:r>
    </w:p>
    <w:p w14:paraId="6AC597FF">
      <w:pPr>
        <w:adjustRightInd w:val="0"/>
        <w:spacing w:line="360" w:lineRule="auto"/>
        <w:ind w:firstLine="480" w:firstLineChars="200"/>
        <w:jc w:val="left"/>
        <w:rPr>
          <w:rFonts w:hint="eastAsia" w:ascii="宋体" w:hAnsi="宋体" w:eastAsia="宋体" w:cs="仿宋_GB2312"/>
          <w:color w:val="auto"/>
          <w:sz w:val="24"/>
          <w:highlight w:val="none"/>
        </w:rPr>
      </w:pPr>
      <w:r>
        <w:rPr>
          <w:rFonts w:hint="eastAsia" w:ascii="宋体" w:hAnsi="宋体" w:cs="仿宋_GB2312"/>
          <w:color w:val="auto"/>
          <w:sz w:val="24"/>
          <w:highlight w:val="none"/>
          <w:lang w:val="en-US" w:eastAsia="zh-CN"/>
        </w:rPr>
        <w:t>合浦县田寮水库标准化创建工程（土建部分）位于合浦县星岛湖镇，建设内容为建设内容为管理区、办公区；进闸道路；总江水闸及东干渠放水闸</w:t>
      </w:r>
      <w:r>
        <w:rPr>
          <w:rFonts w:hint="eastAsia" w:ascii="宋体" w:hAnsi="宋体" w:cs="仿宋_GB2312"/>
          <w:color w:val="auto"/>
          <w:sz w:val="24"/>
          <w:highlight w:val="none"/>
          <w:lang w:eastAsia="zh-CN"/>
        </w:rPr>
        <w:t>。具体内容详见工程量清单及图纸。</w:t>
      </w:r>
    </w:p>
    <w:p w14:paraId="7C402CA7">
      <w:pPr>
        <w:adjustRightInd w:val="0"/>
        <w:spacing w:line="360" w:lineRule="auto"/>
        <w:jc w:val="left"/>
        <w:rPr>
          <w:rFonts w:ascii="宋体" w:hAnsi="宋体" w:cs="仿宋_GB2312"/>
          <w:color w:val="auto"/>
          <w:sz w:val="24"/>
          <w:highlight w:val="none"/>
        </w:rPr>
      </w:pPr>
      <w:r>
        <w:rPr>
          <w:rFonts w:hint="eastAsia" w:ascii="宋体" w:hAnsi="宋体" w:cs="仿宋_GB2312"/>
          <w:b/>
          <w:bCs/>
          <w:color w:val="auto"/>
          <w:sz w:val="24"/>
          <w:highlight w:val="none"/>
        </w:rPr>
        <w:t xml:space="preserve">二、工程内容 </w:t>
      </w:r>
    </w:p>
    <w:p w14:paraId="3D00F32D">
      <w:pPr>
        <w:adjustRightInd w:val="0"/>
        <w:spacing w:line="360" w:lineRule="auto"/>
        <w:ind w:left="210" w:leftChars="100"/>
        <w:jc w:val="left"/>
        <w:rPr>
          <w:rFonts w:hint="eastAsia" w:ascii="宋体" w:hAnsi="宋体" w:cs="仿宋_GB2312"/>
          <w:color w:val="auto"/>
          <w:sz w:val="24"/>
          <w:highlight w:val="none"/>
          <w:lang w:eastAsia="zh-CN"/>
        </w:rPr>
      </w:pPr>
      <w:r>
        <w:rPr>
          <w:rFonts w:hint="eastAsia" w:ascii="宋体" w:hAnsi="宋体" w:cs="仿宋_GB2312"/>
          <w:color w:val="auto"/>
          <w:sz w:val="24"/>
          <w:highlight w:val="none"/>
        </w:rPr>
        <w:t>1.工程名称：</w:t>
      </w:r>
      <w:r>
        <w:rPr>
          <w:rFonts w:hint="eastAsia" w:ascii="宋体" w:hAnsi="宋体" w:cs="仿宋_GB2312"/>
          <w:color w:val="auto"/>
          <w:sz w:val="24"/>
          <w:highlight w:val="none"/>
          <w:lang w:eastAsia="zh-CN"/>
        </w:rPr>
        <w:t>合浦县田寮水库标准化创建工程（土建部分）</w:t>
      </w:r>
    </w:p>
    <w:p w14:paraId="2EF03169">
      <w:pPr>
        <w:adjustRightInd w:val="0"/>
        <w:spacing w:line="360" w:lineRule="auto"/>
        <w:ind w:left="210" w:leftChars="100"/>
        <w:jc w:val="left"/>
        <w:rPr>
          <w:rFonts w:hint="default" w:ascii="宋体" w:hAnsi="宋体" w:cs="仿宋_GB2312"/>
          <w:color w:val="auto"/>
          <w:sz w:val="24"/>
          <w:highlight w:val="none"/>
          <w:lang w:val="en-US" w:eastAsia="zh-CN"/>
        </w:rPr>
      </w:pPr>
      <w:r>
        <w:rPr>
          <w:rFonts w:hint="eastAsia" w:ascii="宋体" w:hAnsi="宋体" w:cs="仿宋_GB2312"/>
          <w:color w:val="auto"/>
          <w:sz w:val="24"/>
          <w:highlight w:val="none"/>
          <w:lang w:val="en-US" w:eastAsia="zh-CN"/>
        </w:rPr>
        <w:t>2.项目采购人：合浦县水利局；建设单位：合浦县水利工程管理站</w:t>
      </w:r>
    </w:p>
    <w:p w14:paraId="6B7A3EB0">
      <w:pPr>
        <w:adjustRightInd w:val="0"/>
        <w:spacing w:line="360" w:lineRule="auto"/>
        <w:ind w:left="210" w:leftChars="100"/>
        <w:jc w:val="left"/>
        <w:rPr>
          <w:rFonts w:ascii="宋体" w:hAnsi="宋体" w:cs="仿宋_GB2312"/>
          <w:color w:val="auto"/>
          <w:sz w:val="24"/>
          <w:highlight w:val="none"/>
        </w:rPr>
      </w:pPr>
      <w:r>
        <w:rPr>
          <w:rFonts w:hint="eastAsia" w:ascii="宋体" w:hAnsi="宋体" w:cs="仿宋_GB2312"/>
          <w:color w:val="auto"/>
          <w:sz w:val="24"/>
          <w:highlight w:val="none"/>
          <w:lang w:val="en-US" w:eastAsia="zh-CN"/>
        </w:rPr>
        <w:t>3</w:t>
      </w:r>
      <w:r>
        <w:rPr>
          <w:rFonts w:hint="eastAsia" w:ascii="宋体" w:hAnsi="宋体" w:cs="仿宋_GB2312"/>
          <w:color w:val="auto"/>
          <w:sz w:val="24"/>
          <w:highlight w:val="none"/>
        </w:rPr>
        <w:t>.现场条件：满足施工要求</w:t>
      </w:r>
    </w:p>
    <w:p w14:paraId="68551930">
      <w:pPr>
        <w:adjustRightInd w:val="0"/>
        <w:spacing w:line="360" w:lineRule="auto"/>
        <w:ind w:left="210" w:leftChars="100"/>
        <w:jc w:val="left"/>
        <w:rPr>
          <w:rFonts w:ascii="宋体" w:hAnsi="宋体" w:cs="仿宋_GB2312"/>
          <w:color w:val="auto"/>
          <w:sz w:val="24"/>
          <w:highlight w:val="none"/>
        </w:rPr>
      </w:pPr>
      <w:r>
        <w:rPr>
          <w:rFonts w:hint="eastAsia" w:ascii="宋体" w:hAnsi="宋体" w:cs="仿宋_GB2312"/>
          <w:color w:val="auto"/>
          <w:sz w:val="24"/>
          <w:highlight w:val="none"/>
          <w:lang w:val="en-US" w:eastAsia="zh-CN"/>
        </w:rPr>
        <w:t>4</w:t>
      </w:r>
      <w:r>
        <w:rPr>
          <w:rFonts w:hint="eastAsia" w:ascii="宋体" w:hAnsi="宋体" w:cs="仿宋_GB2312"/>
          <w:color w:val="auto"/>
          <w:sz w:val="24"/>
          <w:highlight w:val="none"/>
        </w:rPr>
        <w:t>.工程承包范围：</w:t>
      </w:r>
      <w:r>
        <w:rPr>
          <w:rFonts w:hint="eastAsia" w:ascii="宋体" w:hAnsi="宋体" w:cs="宋体"/>
          <w:color w:val="auto"/>
          <w:spacing w:val="2"/>
          <w:sz w:val="24"/>
          <w:highlight w:val="none"/>
        </w:rPr>
        <w:t>施工图纸</w:t>
      </w:r>
      <w:r>
        <w:rPr>
          <w:rFonts w:hint="eastAsia" w:hAnsi="宋体" w:cs="宋体"/>
          <w:color w:val="auto"/>
          <w:spacing w:val="2"/>
          <w:sz w:val="24"/>
          <w:highlight w:val="none"/>
        </w:rPr>
        <w:t>及工程量清单所包含的全部内容</w:t>
      </w:r>
      <w:r>
        <w:rPr>
          <w:rFonts w:hint="eastAsia" w:ascii="宋体" w:hAnsi="宋体" w:cs="宋体"/>
          <w:color w:val="auto"/>
          <w:spacing w:val="2"/>
          <w:sz w:val="24"/>
          <w:highlight w:val="none"/>
        </w:rPr>
        <w:t>。</w:t>
      </w:r>
      <w:r>
        <w:rPr>
          <w:rFonts w:hint="eastAsia" w:hAnsi="宋体" w:cs="宋体"/>
          <w:color w:val="auto"/>
          <w:spacing w:val="2"/>
          <w:sz w:val="24"/>
          <w:highlight w:val="none"/>
        </w:rPr>
        <w:t xml:space="preserve"> </w:t>
      </w:r>
    </w:p>
    <w:p w14:paraId="677D7314">
      <w:pPr>
        <w:adjustRightInd w:val="0"/>
        <w:spacing w:line="360" w:lineRule="auto"/>
        <w:ind w:left="210" w:leftChars="100"/>
        <w:jc w:val="left"/>
        <w:rPr>
          <w:rFonts w:hint="eastAsia" w:ascii="宋体" w:hAnsi="宋体" w:cs="仿宋_GB2312"/>
          <w:color w:val="auto"/>
          <w:sz w:val="24"/>
          <w:highlight w:val="none"/>
        </w:rPr>
      </w:pPr>
      <w:r>
        <w:rPr>
          <w:rFonts w:hint="eastAsia" w:ascii="宋体" w:hAnsi="宋体" w:cs="仿宋_GB2312"/>
          <w:color w:val="auto"/>
          <w:sz w:val="24"/>
          <w:highlight w:val="none"/>
          <w:lang w:val="en-US" w:eastAsia="zh-CN"/>
        </w:rPr>
        <w:t>5</w:t>
      </w:r>
      <w:r>
        <w:rPr>
          <w:rFonts w:hint="eastAsia" w:ascii="宋体" w:hAnsi="宋体" w:cs="仿宋_GB2312"/>
          <w:color w:val="auto"/>
          <w:sz w:val="24"/>
          <w:highlight w:val="none"/>
        </w:rPr>
        <w:t>.工程质量标准：达到国家工程施工验收规范合格标准。</w:t>
      </w:r>
    </w:p>
    <w:p w14:paraId="0D373BE5">
      <w:pPr>
        <w:adjustRightInd w:val="0"/>
        <w:spacing w:line="360" w:lineRule="auto"/>
        <w:ind w:left="210" w:leftChars="100"/>
        <w:jc w:val="left"/>
        <w:rPr>
          <w:rFonts w:hint="default" w:ascii="宋体" w:hAnsi="宋体" w:eastAsia="宋体" w:cs="仿宋_GB2312"/>
          <w:color w:val="auto"/>
          <w:sz w:val="24"/>
          <w:highlight w:val="none"/>
          <w:lang w:val="en-US" w:eastAsia="zh-CN"/>
        </w:rPr>
      </w:pPr>
      <w:r>
        <w:rPr>
          <w:rFonts w:hint="eastAsia" w:ascii="宋体" w:hAnsi="宋体" w:cs="仿宋_GB2312"/>
          <w:color w:val="auto"/>
          <w:sz w:val="24"/>
          <w:highlight w:val="none"/>
          <w:lang w:val="en-US" w:eastAsia="zh-CN"/>
        </w:rPr>
        <w:t>6.技术标准和要求：符合国家现行的工程建设标准、技术规范及强制性标准条文、以及施工图纸载明的其他有关规范标准。</w:t>
      </w:r>
    </w:p>
    <w:p w14:paraId="1AA90CA9">
      <w:pPr>
        <w:adjustRightInd w:val="0"/>
        <w:spacing w:line="360" w:lineRule="auto"/>
        <w:ind w:left="210" w:leftChars="100"/>
        <w:jc w:val="left"/>
        <w:rPr>
          <w:rFonts w:hint="eastAsia" w:ascii="宋体" w:hAnsi="宋体" w:cs="仿宋_GB2312"/>
          <w:color w:val="auto"/>
          <w:sz w:val="24"/>
          <w:highlight w:val="none"/>
        </w:rPr>
      </w:pPr>
      <w:r>
        <w:rPr>
          <w:rFonts w:hint="eastAsia" w:ascii="宋体" w:hAnsi="宋体" w:cs="仿宋_GB2312"/>
          <w:color w:val="auto"/>
          <w:sz w:val="24"/>
          <w:highlight w:val="none"/>
          <w:lang w:val="en-US" w:eastAsia="zh-CN"/>
        </w:rPr>
        <w:t>7</w:t>
      </w:r>
      <w:r>
        <w:rPr>
          <w:rFonts w:hint="eastAsia" w:ascii="宋体" w:hAnsi="宋体" w:cs="仿宋_GB2312"/>
          <w:color w:val="auto"/>
          <w:sz w:val="24"/>
          <w:highlight w:val="none"/>
        </w:rPr>
        <w:t>.工程施工要求：满足施工要求</w:t>
      </w:r>
    </w:p>
    <w:p w14:paraId="7B1E9E15">
      <w:pPr>
        <w:adjustRightInd w:val="0"/>
        <w:spacing w:line="360" w:lineRule="auto"/>
        <w:ind w:left="210" w:leftChars="100"/>
        <w:jc w:val="left"/>
        <w:rPr>
          <w:rFonts w:hint="eastAsia" w:ascii="宋体" w:hAnsi="宋体" w:cs="仿宋_GB2312"/>
          <w:color w:val="auto"/>
          <w:sz w:val="24"/>
          <w:highlight w:val="none"/>
        </w:rPr>
      </w:pPr>
      <w:r>
        <w:rPr>
          <w:rFonts w:hint="eastAsia" w:ascii="宋体" w:hAnsi="宋体" w:cs="仿宋_GB2312"/>
          <w:color w:val="auto"/>
          <w:sz w:val="24"/>
          <w:highlight w:val="none"/>
          <w:lang w:val="en-US" w:eastAsia="zh-CN"/>
        </w:rPr>
        <w:t>8</w:t>
      </w:r>
      <w:r>
        <w:rPr>
          <w:rFonts w:hint="eastAsia" w:ascii="宋体" w:hAnsi="宋体" w:cs="仿宋_GB2312"/>
          <w:color w:val="auto"/>
          <w:sz w:val="24"/>
          <w:highlight w:val="none"/>
        </w:rPr>
        <w:t>.工程管理要求：满足施工要求</w:t>
      </w:r>
    </w:p>
    <w:p w14:paraId="18569C52">
      <w:pPr>
        <w:adjustRightInd w:val="0"/>
        <w:spacing w:line="360" w:lineRule="auto"/>
        <w:ind w:left="210" w:leftChars="100"/>
        <w:jc w:val="left"/>
        <w:rPr>
          <w:rFonts w:hint="eastAsia" w:ascii="宋体" w:hAnsi="宋体" w:cs="仿宋_GB2312"/>
          <w:color w:val="auto"/>
          <w:sz w:val="24"/>
          <w:highlight w:val="none"/>
        </w:rPr>
      </w:pPr>
      <w:r>
        <w:rPr>
          <w:rFonts w:hint="eastAsia" w:ascii="宋体" w:hAnsi="宋体" w:cs="仿宋_GB2312"/>
          <w:color w:val="auto"/>
          <w:sz w:val="24"/>
          <w:highlight w:val="none"/>
          <w:lang w:val="en-US" w:eastAsia="zh-CN"/>
        </w:rPr>
        <w:t>9</w:t>
      </w:r>
      <w:r>
        <w:rPr>
          <w:rFonts w:hint="eastAsia" w:ascii="宋体" w:hAnsi="宋体" w:cs="仿宋_GB2312"/>
          <w:color w:val="auto"/>
          <w:sz w:val="24"/>
          <w:highlight w:val="none"/>
        </w:rPr>
        <w:t>.工程主要材料（设备）要求：满足施工要求</w:t>
      </w:r>
    </w:p>
    <w:p w14:paraId="23E18DB3">
      <w:pPr>
        <w:adjustRightInd w:val="0"/>
        <w:spacing w:line="360" w:lineRule="auto"/>
        <w:ind w:left="210" w:leftChars="100"/>
        <w:jc w:val="left"/>
        <w:rPr>
          <w:rFonts w:hint="default" w:ascii="宋体" w:hAnsi="宋体" w:eastAsia="宋体" w:cs="仿宋_GB2312"/>
          <w:color w:val="auto"/>
          <w:sz w:val="24"/>
          <w:highlight w:val="none"/>
          <w:lang w:val="en-US" w:eastAsia="zh-CN"/>
        </w:rPr>
      </w:pPr>
      <w:r>
        <w:rPr>
          <w:rFonts w:hint="eastAsia" w:ascii="宋体" w:hAnsi="宋体" w:cs="仿宋_GB2312"/>
          <w:color w:val="auto"/>
          <w:sz w:val="24"/>
          <w:highlight w:val="none"/>
          <w:lang w:val="en-US" w:eastAsia="zh-CN"/>
        </w:rPr>
        <w:t>10.本工程采用固定综合单价合同价格形式，合同价格包含增值税，本工程计价时采用的增值税计税方法为：一般计税法</w:t>
      </w:r>
    </w:p>
    <w:p w14:paraId="16DE081D">
      <w:pPr>
        <w:adjustRightInd w:val="0"/>
        <w:spacing w:line="360" w:lineRule="auto"/>
        <w:jc w:val="left"/>
        <w:rPr>
          <w:rFonts w:ascii="宋体" w:hAnsi="宋体" w:cs="仿宋_GB2312"/>
          <w:b/>
          <w:bCs/>
          <w:color w:val="auto"/>
          <w:sz w:val="24"/>
          <w:highlight w:val="none"/>
        </w:rPr>
      </w:pPr>
      <w:r>
        <w:rPr>
          <w:rFonts w:hint="eastAsia" w:ascii="宋体" w:hAnsi="宋体" w:cs="仿宋_GB2312"/>
          <w:b/>
          <w:bCs/>
          <w:color w:val="auto"/>
          <w:sz w:val="24"/>
          <w:highlight w:val="none"/>
        </w:rPr>
        <w:t>三、商务要求</w:t>
      </w:r>
    </w:p>
    <w:p w14:paraId="5F403DA5">
      <w:pPr>
        <w:adjustRightInd w:val="0"/>
        <w:spacing w:line="360" w:lineRule="auto"/>
        <w:ind w:left="210" w:leftChars="100"/>
        <w:jc w:val="left"/>
        <w:rPr>
          <w:rFonts w:hint="default" w:ascii="宋体" w:hAnsi="宋体" w:cs="仿宋_GB2312"/>
          <w:color w:val="auto"/>
          <w:sz w:val="24"/>
          <w:highlight w:val="none"/>
          <w:lang w:val="en-US"/>
        </w:rPr>
      </w:pPr>
      <w:r>
        <w:rPr>
          <w:rFonts w:hint="eastAsia" w:ascii="宋体" w:hAnsi="宋体" w:cs="仿宋_GB2312"/>
          <w:color w:val="auto"/>
          <w:sz w:val="24"/>
          <w:highlight w:val="none"/>
        </w:rPr>
        <w:t>1.工期要求：</w:t>
      </w:r>
      <w:r>
        <w:rPr>
          <w:rFonts w:hint="eastAsia" w:ascii="宋体" w:hAnsi="宋体"/>
          <w:color w:val="auto"/>
          <w:sz w:val="24"/>
          <w:highlight w:val="none"/>
          <w:u w:val="single"/>
          <w:lang w:val="en-US" w:eastAsia="zh-CN"/>
        </w:rPr>
        <w:t xml:space="preserve">监理签发的开工日起90日历天内完成 </w:t>
      </w:r>
    </w:p>
    <w:p w14:paraId="1FFC22A9">
      <w:pPr>
        <w:adjustRightInd w:val="0"/>
        <w:spacing w:line="360" w:lineRule="auto"/>
        <w:ind w:left="210" w:leftChars="100"/>
        <w:jc w:val="left"/>
        <w:rPr>
          <w:rFonts w:ascii="宋体" w:hAnsi="宋体" w:cs="仿宋_GB2312"/>
          <w:color w:val="auto"/>
          <w:sz w:val="24"/>
          <w:highlight w:val="none"/>
        </w:rPr>
      </w:pPr>
      <w:r>
        <w:rPr>
          <w:rFonts w:hint="eastAsia" w:ascii="宋体" w:hAnsi="宋体" w:cs="仿宋_GB2312"/>
          <w:color w:val="auto"/>
          <w:sz w:val="24"/>
          <w:highlight w:val="none"/>
        </w:rPr>
        <w:t>2.工程地点：</w:t>
      </w:r>
      <w:r>
        <w:rPr>
          <w:rFonts w:hint="eastAsia" w:ascii="宋体" w:hAnsi="宋体" w:cs="仿宋_GB2312"/>
          <w:color w:val="auto"/>
          <w:sz w:val="24"/>
          <w:highlight w:val="none"/>
          <w:lang w:val="en-US" w:eastAsia="zh-CN"/>
        </w:rPr>
        <w:t>合浦县星岛湖镇</w:t>
      </w:r>
    </w:p>
    <w:p w14:paraId="58B907C9">
      <w:pPr>
        <w:adjustRightInd w:val="0"/>
        <w:spacing w:line="360" w:lineRule="auto"/>
        <w:ind w:left="210" w:leftChars="100"/>
        <w:jc w:val="left"/>
        <w:rPr>
          <w:rFonts w:hint="eastAsia" w:ascii="宋体" w:hAnsi="宋体" w:cs="仿宋_GB2312"/>
          <w:color w:val="auto"/>
          <w:sz w:val="24"/>
          <w:highlight w:val="none"/>
        </w:rPr>
      </w:pPr>
      <w:r>
        <w:rPr>
          <w:rFonts w:hint="eastAsia" w:ascii="宋体" w:hAnsi="宋体" w:cs="仿宋_GB2312"/>
          <w:color w:val="auto"/>
          <w:sz w:val="24"/>
          <w:highlight w:val="none"/>
        </w:rPr>
        <w:t>3.付款条件（进度和方式）</w:t>
      </w:r>
    </w:p>
    <w:p w14:paraId="1D7F3A2C">
      <w:pPr>
        <w:pStyle w:val="2"/>
        <w:rPr>
          <w:color w:val="auto"/>
          <w:highlight w:val="none"/>
        </w:rPr>
      </w:pPr>
    </w:p>
    <w:tbl>
      <w:tblPr>
        <w:tblStyle w:val="38"/>
        <w:tblW w:w="9539" w:type="dxa"/>
        <w:jc w:val="center"/>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
      <w:tblGrid>
        <w:gridCol w:w="817"/>
        <w:gridCol w:w="2059"/>
        <w:gridCol w:w="6663"/>
      </w:tblGrid>
      <w:tr w14:paraId="09CAE60A">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trHeight w:val="576" w:hRule="atLeast"/>
          <w:jc w:val="center"/>
        </w:trPr>
        <w:tc>
          <w:tcPr>
            <w:tcW w:w="817" w:type="dxa"/>
            <w:shd w:val="clear" w:color="auto" w:fill="auto"/>
            <w:vAlign w:val="center"/>
          </w:tcPr>
          <w:p w14:paraId="2FB026B8">
            <w:pPr>
              <w:adjustRightInd w:val="0"/>
              <w:spacing w:line="360" w:lineRule="auto"/>
              <w:jc w:val="center"/>
              <w:rPr>
                <w:rFonts w:ascii="宋体" w:hAnsi="宋体" w:cs="仿宋_GB2312"/>
                <w:color w:val="auto"/>
                <w:sz w:val="24"/>
                <w:szCs w:val="24"/>
                <w:highlight w:val="none"/>
              </w:rPr>
            </w:pPr>
            <w:r>
              <w:rPr>
                <w:rFonts w:hint="eastAsia" w:ascii="宋体" w:hAnsi="宋体" w:cs="仿宋_GB2312"/>
                <w:color w:val="auto"/>
                <w:sz w:val="24"/>
                <w:szCs w:val="24"/>
                <w:highlight w:val="none"/>
              </w:rPr>
              <w:t>序号</w:t>
            </w:r>
          </w:p>
        </w:tc>
        <w:tc>
          <w:tcPr>
            <w:tcW w:w="2059" w:type="dxa"/>
            <w:shd w:val="clear" w:color="auto" w:fill="auto"/>
            <w:vAlign w:val="center"/>
          </w:tcPr>
          <w:p w14:paraId="10EA0CAC">
            <w:pPr>
              <w:adjustRightInd w:val="0"/>
              <w:spacing w:line="360" w:lineRule="auto"/>
              <w:jc w:val="center"/>
              <w:rPr>
                <w:rFonts w:ascii="宋体" w:hAnsi="宋体" w:cs="仿宋_GB2312"/>
                <w:color w:val="auto"/>
                <w:sz w:val="24"/>
                <w:szCs w:val="24"/>
                <w:highlight w:val="none"/>
              </w:rPr>
            </w:pPr>
            <w:r>
              <w:rPr>
                <w:rFonts w:hint="eastAsia" w:ascii="宋体" w:hAnsi="宋体" w:cs="仿宋_GB2312"/>
                <w:color w:val="auto"/>
                <w:sz w:val="24"/>
                <w:szCs w:val="24"/>
                <w:highlight w:val="none"/>
              </w:rPr>
              <w:t>付款比例（%）</w:t>
            </w:r>
          </w:p>
        </w:tc>
        <w:tc>
          <w:tcPr>
            <w:tcW w:w="6663" w:type="dxa"/>
            <w:shd w:val="clear" w:color="auto" w:fill="auto"/>
            <w:vAlign w:val="center"/>
          </w:tcPr>
          <w:p w14:paraId="26F51CD5">
            <w:pPr>
              <w:adjustRightInd w:val="0"/>
              <w:spacing w:line="360" w:lineRule="auto"/>
              <w:jc w:val="center"/>
              <w:rPr>
                <w:rFonts w:ascii="宋体" w:hAnsi="宋体" w:cs="仿宋_GB2312"/>
                <w:color w:val="auto"/>
                <w:sz w:val="24"/>
                <w:szCs w:val="24"/>
                <w:highlight w:val="none"/>
              </w:rPr>
            </w:pPr>
            <w:r>
              <w:rPr>
                <w:rFonts w:hint="eastAsia" w:ascii="宋体" w:hAnsi="宋体" w:cs="仿宋_GB2312"/>
                <w:color w:val="auto"/>
                <w:sz w:val="24"/>
                <w:szCs w:val="24"/>
                <w:highlight w:val="none"/>
              </w:rPr>
              <w:t>付款方式</w:t>
            </w:r>
          </w:p>
        </w:tc>
      </w:tr>
      <w:tr w14:paraId="7FEE0994">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trHeight w:val="487" w:hRule="atLeast"/>
          <w:jc w:val="center"/>
        </w:trPr>
        <w:tc>
          <w:tcPr>
            <w:tcW w:w="817" w:type="dxa"/>
            <w:shd w:val="clear" w:color="auto" w:fill="auto"/>
            <w:vAlign w:val="center"/>
          </w:tcPr>
          <w:p w14:paraId="66831DBE">
            <w:pPr>
              <w:adjustRightInd w:val="0"/>
              <w:spacing w:line="360" w:lineRule="auto"/>
              <w:jc w:val="center"/>
              <w:rPr>
                <w:rFonts w:ascii="宋体" w:hAnsi="宋体" w:cs="仿宋_GB2312"/>
                <w:color w:val="auto"/>
                <w:sz w:val="24"/>
                <w:szCs w:val="24"/>
                <w:highlight w:val="none"/>
              </w:rPr>
            </w:pPr>
            <w:r>
              <w:rPr>
                <w:rFonts w:hint="eastAsia" w:ascii="宋体" w:hAnsi="宋体" w:cs="仿宋_GB2312"/>
                <w:color w:val="auto"/>
                <w:sz w:val="24"/>
                <w:szCs w:val="24"/>
                <w:highlight w:val="none"/>
              </w:rPr>
              <w:t>1</w:t>
            </w:r>
          </w:p>
        </w:tc>
        <w:tc>
          <w:tcPr>
            <w:tcW w:w="2059" w:type="dxa"/>
            <w:shd w:val="clear" w:color="auto" w:fill="auto"/>
            <w:vAlign w:val="center"/>
          </w:tcPr>
          <w:p w14:paraId="56E6139E">
            <w:pPr>
              <w:pStyle w:val="102"/>
              <w:spacing w:before="114"/>
              <w:ind w:left="467" w:leftChars="0"/>
              <w:rPr>
                <w:rFonts w:hint="default" w:ascii="宋体" w:hAnsi="宋体" w:eastAsia="宋体" w:cs="仿宋_GB2312"/>
                <w:color w:val="auto"/>
                <w:sz w:val="24"/>
                <w:szCs w:val="24"/>
                <w:highlight w:val="none"/>
                <w:lang w:val="en-US" w:eastAsia="zh-CN"/>
              </w:rPr>
            </w:pPr>
            <w:r>
              <w:rPr>
                <w:color w:val="auto"/>
                <w:spacing w:val="-8"/>
                <w:sz w:val="24"/>
                <w:szCs w:val="24"/>
                <w:highlight w:val="none"/>
              </w:rPr>
              <w:t>30</w:t>
            </w:r>
          </w:p>
        </w:tc>
        <w:tc>
          <w:tcPr>
            <w:tcW w:w="6663" w:type="dxa"/>
            <w:shd w:val="clear" w:color="auto" w:fill="auto"/>
            <w:vAlign w:val="center"/>
          </w:tcPr>
          <w:p w14:paraId="20C5D70D">
            <w:pPr>
              <w:pStyle w:val="102"/>
              <w:spacing w:before="114" w:line="219" w:lineRule="auto"/>
              <w:ind w:left="114" w:leftChars="0"/>
              <w:rPr>
                <w:rFonts w:hint="eastAsia" w:ascii="宋体" w:hAnsi="宋体" w:eastAsia="宋体" w:cs="仿宋_GB2312"/>
                <w:color w:val="auto"/>
                <w:sz w:val="24"/>
                <w:szCs w:val="24"/>
                <w:highlight w:val="none"/>
                <w:lang w:eastAsia="zh-CN"/>
              </w:rPr>
            </w:pPr>
            <w:r>
              <w:rPr>
                <w:color w:val="auto"/>
                <w:spacing w:val="-2"/>
                <w:sz w:val="24"/>
                <w:szCs w:val="24"/>
                <w:highlight w:val="none"/>
              </w:rPr>
              <w:t>签订施工合同后支付合同价款</w:t>
            </w:r>
            <w:r>
              <w:rPr>
                <w:color w:val="auto"/>
                <w:spacing w:val="-29"/>
                <w:sz w:val="24"/>
                <w:szCs w:val="24"/>
                <w:highlight w:val="none"/>
              </w:rPr>
              <w:t xml:space="preserve"> </w:t>
            </w:r>
            <w:r>
              <w:rPr>
                <w:color w:val="auto"/>
                <w:spacing w:val="-2"/>
                <w:sz w:val="24"/>
                <w:szCs w:val="24"/>
                <w:highlight w:val="none"/>
              </w:rPr>
              <w:t>30%作为预付款</w:t>
            </w:r>
          </w:p>
        </w:tc>
      </w:tr>
      <w:tr w14:paraId="6758B5F3">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trHeight w:val="475" w:hRule="atLeast"/>
          <w:jc w:val="center"/>
        </w:trPr>
        <w:tc>
          <w:tcPr>
            <w:tcW w:w="817" w:type="dxa"/>
            <w:shd w:val="clear" w:color="auto" w:fill="auto"/>
            <w:vAlign w:val="center"/>
          </w:tcPr>
          <w:p w14:paraId="2EA89A64">
            <w:pPr>
              <w:adjustRightInd w:val="0"/>
              <w:spacing w:line="360" w:lineRule="auto"/>
              <w:jc w:val="center"/>
              <w:rPr>
                <w:rFonts w:ascii="宋体" w:hAnsi="宋体" w:cs="仿宋_GB2312"/>
                <w:color w:val="auto"/>
                <w:sz w:val="24"/>
                <w:szCs w:val="24"/>
                <w:highlight w:val="none"/>
              </w:rPr>
            </w:pPr>
            <w:r>
              <w:rPr>
                <w:rFonts w:hint="eastAsia" w:ascii="宋体" w:hAnsi="宋体" w:cs="仿宋_GB2312"/>
                <w:color w:val="auto"/>
                <w:sz w:val="24"/>
                <w:szCs w:val="24"/>
                <w:highlight w:val="none"/>
              </w:rPr>
              <w:t>2</w:t>
            </w:r>
          </w:p>
        </w:tc>
        <w:tc>
          <w:tcPr>
            <w:tcW w:w="2059" w:type="dxa"/>
            <w:shd w:val="clear" w:color="auto" w:fill="auto"/>
            <w:vAlign w:val="center"/>
          </w:tcPr>
          <w:p w14:paraId="1ED77986">
            <w:pPr>
              <w:pStyle w:val="102"/>
              <w:spacing w:before="78"/>
              <w:ind w:left="464" w:leftChars="0"/>
              <w:rPr>
                <w:rFonts w:hint="default" w:ascii="宋体" w:hAnsi="宋体" w:eastAsia="宋体" w:cs="仿宋_GB2312"/>
                <w:color w:val="auto"/>
                <w:sz w:val="24"/>
                <w:szCs w:val="24"/>
                <w:highlight w:val="none"/>
                <w:lang w:val="en-US" w:eastAsia="zh-CN"/>
              </w:rPr>
            </w:pPr>
            <w:r>
              <w:rPr>
                <w:color w:val="auto"/>
                <w:spacing w:val="-6"/>
                <w:sz w:val="24"/>
                <w:szCs w:val="24"/>
                <w:highlight w:val="none"/>
              </w:rPr>
              <w:t>65</w:t>
            </w:r>
          </w:p>
        </w:tc>
        <w:tc>
          <w:tcPr>
            <w:tcW w:w="6663" w:type="dxa"/>
            <w:shd w:val="clear" w:color="auto" w:fill="auto"/>
            <w:vAlign w:val="center"/>
          </w:tcPr>
          <w:p w14:paraId="51C2CC7E">
            <w:pPr>
              <w:pStyle w:val="102"/>
              <w:spacing w:before="118" w:line="312" w:lineRule="auto"/>
              <w:ind w:left="113" w:leftChars="0" w:right="107" w:rightChars="0" w:firstLine="3" w:firstLineChars="0"/>
              <w:rPr>
                <w:rFonts w:hint="eastAsia" w:ascii="宋体" w:hAnsi="宋体" w:eastAsia="宋体" w:cs="仿宋_GB2312"/>
                <w:color w:val="auto"/>
                <w:sz w:val="24"/>
                <w:szCs w:val="24"/>
                <w:highlight w:val="none"/>
                <w:lang w:eastAsia="zh-CN"/>
              </w:rPr>
            </w:pPr>
            <w:r>
              <w:rPr>
                <w:color w:val="auto"/>
                <w:spacing w:val="2"/>
                <w:sz w:val="24"/>
                <w:szCs w:val="24"/>
                <w:highlight w:val="none"/>
              </w:rPr>
              <w:t>从完成工程量达到合同价的</w:t>
            </w:r>
            <w:r>
              <w:rPr>
                <w:color w:val="auto"/>
                <w:spacing w:val="-37"/>
                <w:sz w:val="24"/>
                <w:szCs w:val="24"/>
                <w:highlight w:val="none"/>
              </w:rPr>
              <w:t xml:space="preserve"> </w:t>
            </w:r>
            <w:r>
              <w:rPr>
                <w:color w:val="auto"/>
                <w:spacing w:val="2"/>
                <w:sz w:val="24"/>
                <w:szCs w:val="24"/>
                <w:highlight w:val="none"/>
              </w:rPr>
              <w:t>30%开始，按每月完成工程量的</w:t>
            </w:r>
            <w:r>
              <w:rPr>
                <w:color w:val="auto"/>
                <w:spacing w:val="-45"/>
                <w:sz w:val="24"/>
                <w:szCs w:val="24"/>
                <w:highlight w:val="none"/>
              </w:rPr>
              <w:t xml:space="preserve"> </w:t>
            </w:r>
            <w:r>
              <w:rPr>
                <w:color w:val="auto"/>
                <w:spacing w:val="2"/>
                <w:sz w:val="24"/>
                <w:szCs w:val="24"/>
                <w:highlight w:val="none"/>
              </w:rPr>
              <w:t>90%支付工程进度款。工程完工验收合格及办理结算后支</w:t>
            </w:r>
            <w:r>
              <w:rPr>
                <w:color w:val="auto"/>
                <w:spacing w:val="1"/>
                <w:sz w:val="24"/>
                <w:szCs w:val="24"/>
                <w:highlight w:val="none"/>
              </w:rPr>
              <w:t>付至结算总价的95%</w:t>
            </w:r>
          </w:p>
        </w:tc>
      </w:tr>
      <w:tr w14:paraId="430D7C9E">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trHeight w:val="475" w:hRule="atLeast"/>
          <w:jc w:val="center"/>
        </w:trPr>
        <w:tc>
          <w:tcPr>
            <w:tcW w:w="817" w:type="dxa"/>
            <w:shd w:val="clear" w:color="auto" w:fill="auto"/>
            <w:vAlign w:val="center"/>
          </w:tcPr>
          <w:p w14:paraId="056753B4">
            <w:pPr>
              <w:adjustRightInd w:val="0"/>
              <w:spacing w:line="360" w:lineRule="auto"/>
              <w:jc w:val="center"/>
              <w:rPr>
                <w:rFonts w:hint="eastAsia" w:ascii="宋体" w:hAnsi="宋体" w:eastAsia="宋体" w:cs="仿宋_GB2312"/>
                <w:color w:val="auto"/>
                <w:sz w:val="24"/>
                <w:szCs w:val="24"/>
                <w:highlight w:val="none"/>
                <w:lang w:val="en-US" w:eastAsia="zh-CN"/>
              </w:rPr>
            </w:pPr>
            <w:r>
              <w:rPr>
                <w:rFonts w:hint="eastAsia" w:ascii="宋体" w:hAnsi="宋体" w:cs="仿宋_GB2312"/>
                <w:color w:val="auto"/>
                <w:sz w:val="24"/>
                <w:szCs w:val="24"/>
                <w:highlight w:val="none"/>
                <w:lang w:val="en-US" w:eastAsia="zh-CN"/>
              </w:rPr>
              <w:t>3</w:t>
            </w:r>
          </w:p>
        </w:tc>
        <w:tc>
          <w:tcPr>
            <w:tcW w:w="2059" w:type="dxa"/>
            <w:shd w:val="clear" w:color="auto" w:fill="auto"/>
            <w:vAlign w:val="center"/>
          </w:tcPr>
          <w:p w14:paraId="7E305BBC">
            <w:pPr>
              <w:pStyle w:val="102"/>
              <w:spacing w:before="78" w:line="242" w:lineRule="auto"/>
              <w:ind w:left="525" w:leftChars="0"/>
              <w:rPr>
                <w:rFonts w:hint="default" w:ascii="宋体" w:hAnsi="宋体" w:eastAsia="宋体" w:cs="仿宋_GB2312"/>
                <w:color w:val="auto"/>
                <w:sz w:val="24"/>
                <w:szCs w:val="24"/>
                <w:highlight w:val="none"/>
                <w:lang w:val="en-US" w:eastAsia="zh-CN"/>
              </w:rPr>
            </w:pPr>
            <w:r>
              <w:rPr>
                <w:color w:val="auto"/>
                <w:sz w:val="24"/>
                <w:szCs w:val="24"/>
                <w:highlight w:val="none"/>
              </w:rPr>
              <w:t>2</w:t>
            </w:r>
          </w:p>
        </w:tc>
        <w:tc>
          <w:tcPr>
            <w:tcW w:w="6663" w:type="dxa"/>
            <w:shd w:val="clear" w:color="auto" w:fill="auto"/>
            <w:vAlign w:val="center"/>
          </w:tcPr>
          <w:p w14:paraId="22E5CBA3">
            <w:pPr>
              <w:pStyle w:val="102"/>
              <w:spacing w:before="118" w:line="312" w:lineRule="auto"/>
              <w:ind w:left="119" w:leftChars="0" w:right="107" w:rightChars="0" w:hanging="3" w:firstLineChars="0"/>
              <w:rPr>
                <w:rFonts w:hint="eastAsia" w:ascii="宋体" w:hAnsi="宋体" w:eastAsia="宋体" w:cs="仿宋_GB2312"/>
                <w:color w:val="auto"/>
                <w:sz w:val="24"/>
                <w:szCs w:val="24"/>
                <w:highlight w:val="none"/>
                <w:lang w:eastAsia="zh-CN"/>
              </w:rPr>
            </w:pPr>
            <w:r>
              <w:rPr>
                <w:color w:val="auto"/>
                <w:spacing w:val="-1"/>
                <w:sz w:val="24"/>
                <w:szCs w:val="24"/>
                <w:highlight w:val="none"/>
              </w:rPr>
              <w:t>按政府制定的结算审计办法完成第三方结算审计后，工程款支付至审计</w:t>
            </w:r>
            <w:r>
              <w:rPr>
                <w:color w:val="auto"/>
                <w:spacing w:val="-2"/>
                <w:sz w:val="24"/>
                <w:szCs w:val="24"/>
                <w:highlight w:val="none"/>
              </w:rPr>
              <w:t>结算总价的 97%</w:t>
            </w:r>
          </w:p>
        </w:tc>
      </w:tr>
      <w:tr w14:paraId="6CB0AB9F">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trHeight w:val="950" w:hRule="atLeast"/>
          <w:jc w:val="center"/>
        </w:trPr>
        <w:tc>
          <w:tcPr>
            <w:tcW w:w="817" w:type="dxa"/>
            <w:shd w:val="clear" w:color="auto" w:fill="auto"/>
            <w:vAlign w:val="center"/>
          </w:tcPr>
          <w:p w14:paraId="14BA14D7">
            <w:pPr>
              <w:adjustRightInd w:val="0"/>
              <w:spacing w:line="360" w:lineRule="auto"/>
              <w:jc w:val="center"/>
              <w:rPr>
                <w:rFonts w:hint="eastAsia" w:ascii="宋体" w:hAnsi="宋体" w:eastAsia="宋体" w:cs="仿宋_GB2312"/>
                <w:color w:val="auto"/>
                <w:sz w:val="24"/>
                <w:szCs w:val="24"/>
                <w:highlight w:val="none"/>
                <w:lang w:eastAsia="zh-CN"/>
              </w:rPr>
            </w:pPr>
            <w:r>
              <w:rPr>
                <w:rFonts w:hint="eastAsia" w:ascii="宋体" w:hAnsi="宋体" w:cs="仿宋_GB2312"/>
                <w:color w:val="auto"/>
                <w:sz w:val="24"/>
                <w:szCs w:val="24"/>
                <w:highlight w:val="none"/>
                <w:lang w:val="en-US" w:eastAsia="zh-CN"/>
              </w:rPr>
              <w:t>4</w:t>
            </w:r>
          </w:p>
        </w:tc>
        <w:tc>
          <w:tcPr>
            <w:tcW w:w="2059" w:type="dxa"/>
            <w:shd w:val="clear" w:color="auto" w:fill="auto"/>
            <w:vAlign w:val="center"/>
          </w:tcPr>
          <w:p w14:paraId="43C2AF9A">
            <w:pPr>
              <w:pStyle w:val="102"/>
              <w:spacing w:before="78"/>
              <w:ind w:left="527" w:leftChars="0"/>
              <w:rPr>
                <w:rFonts w:hint="eastAsia" w:ascii="宋体" w:hAnsi="宋体" w:eastAsia="宋体" w:cs="仿宋_GB2312"/>
                <w:color w:val="auto"/>
                <w:sz w:val="24"/>
                <w:szCs w:val="24"/>
                <w:highlight w:val="none"/>
                <w:lang w:val="en-US" w:eastAsia="zh-CN"/>
              </w:rPr>
            </w:pPr>
            <w:r>
              <w:rPr>
                <w:color w:val="auto"/>
                <w:sz w:val="24"/>
                <w:szCs w:val="24"/>
                <w:highlight w:val="none"/>
              </w:rPr>
              <w:t>3</w:t>
            </w:r>
          </w:p>
        </w:tc>
        <w:tc>
          <w:tcPr>
            <w:tcW w:w="6663" w:type="dxa"/>
            <w:shd w:val="clear" w:color="auto" w:fill="auto"/>
            <w:vAlign w:val="center"/>
          </w:tcPr>
          <w:p w14:paraId="086B51C7">
            <w:pPr>
              <w:pStyle w:val="102"/>
              <w:spacing w:before="117" w:line="314" w:lineRule="auto"/>
              <w:ind w:left="117" w:leftChars="0" w:right="107" w:rightChars="0"/>
              <w:rPr>
                <w:rFonts w:ascii="宋体" w:hAnsi="宋体" w:cs="仿宋_GB2312"/>
                <w:color w:val="auto"/>
                <w:sz w:val="24"/>
                <w:szCs w:val="24"/>
                <w:highlight w:val="none"/>
              </w:rPr>
            </w:pPr>
            <w:r>
              <w:rPr>
                <w:color w:val="auto"/>
                <w:spacing w:val="-3"/>
                <w:sz w:val="24"/>
                <w:szCs w:val="24"/>
                <w:highlight w:val="none"/>
              </w:rPr>
              <w:t>发包人按工程价款结算总额的</w:t>
            </w:r>
            <w:r>
              <w:rPr>
                <w:color w:val="auto"/>
                <w:spacing w:val="-41"/>
                <w:sz w:val="24"/>
                <w:szCs w:val="24"/>
                <w:highlight w:val="none"/>
              </w:rPr>
              <w:t xml:space="preserve"> </w:t>
            </w:r>
            <w:r>
              <w:rPr>
                <w:color w:val="auto"/>
                <w:spacing w:val="-3"/>
                <w:sz w:val="24"/>
                <w:szCs w:val="24"/>
                <w:highlight w:val="none"/>
              </w:rPr>
              <w:t>3%预留工程质量保修金，待工程缺陷责任</w:t>
            </w:r>
            <w:r>
              <w:rPr>
                <w:color w:val="auto"/>
                <w:spacing w:val="-1"/>
                <w:sz w:val="24"/>
                <w:szCs w:val="24"/>
                <w:highlight w:val="none"/>
              </w:rPr>
              <w:t>期满后，如无质量问题，发包人应无息返还保修金</w:t>
            </w:r>
          </w:p>
        </w:tc>
      </w:tr>
    </w:tbl>
    <w:p w14:paraId="174B282D">
      <w:pPr>
        <w:adjustRightInd w:val="0"/>
        <w:spacing w:line="360" w:lineRule="auto"/>
        <w:ind w:left="210" w:leftChars="100"/>
        <w:jc w:val="left"/>
        <w:rPr>
          <w:rFonts w:ascii="宋体" w:hAnsi="宋体" w:cs="仿宋_GB2312"/>
          <w:color w:val="auto"/>
          <w:sz w:val="24"/>
          <w:highlight w:val="none"/>
        </w:rPr>
      </w:pPr>
      <w:r>
        <w:rPr>
          <w:rFonts w:hint="eastAsia" w:ascii="宋体" w:hAnsi="宋体" w:cs="仿宋_GB2312"/>
          <w:color w:val="auto"/>
          <w:sz w:val="24"/>
          <w:highlight w:val="none"/>
        </w:rPr>
        <w:t>4.工程售后服务要求：缺陷责任期一年</w:t>
      </w:r>
    </w:p>
    <w:p w14:paraId="4BE9C63E">
      <w:pPr>
        <w:adjustRightInd w:val="0"/>
        <w:spacing w:line="360" w:lineRule="auto"/>
        <w:ind w:left="210" w:leftChars="100"/>
        <w:jc w:val="left"/>
        <w:rPr>
          <w:rFonts w:ascii="宋体" w:hAnsi="宋体" w:cs="仿宋_GB2312"/>
          <w:color w:val="auto"/>
          <w:sz w:val="24"/>
          <w:highlight w:val="none"/>
        </w:rPr>
      </w:pPr>
      <w:r>
        <w:rPr>
          <w:rFonts w:hint="eastAsia" w:ascii="宋体" w:hAnsi="宋体" w:cs="仿宋_GB2312"/>
          <w:color w:val="auto"/>
          <w:sz w:val="24"/>
          <w:highlight w:val="none"/>
        </w:rPr>
        <w:t>5.合同签订时间</w:t>
      </w:r>
      <w:r>
        <w:rPr>
          <w:rFonts w:hint="eastAsia" w:ascii="宋体" w:hAnsi="宋体" w:cs="仿宋_GB2312"/>
          <w:color w:val="auto"/>
          <w:sz w:val="24"/>
          <w:highlight w:val="none"/>
          <w:lang w:eastAsia="zh-CN"/>
        </w:rPr>
        <w:t>：</w:t>
      </w:r>
      <w:r>
        <w:rPr>
          <w:rFonts w:hint="eastAsia" w:ascii="宋体" w:hAnsi="宋体" w:cs="仿宋_GB2312"/>
          <w:color w:val="auto"/>
          <w:sz w:val="24"/>
          <w:highlight w:val="none"/>
        </w:rPr>
        <w:t>自成交通知书发出之日起25日内。</w:t>
      </w:r>
    </w:p>
    <w:p w14:paraId="534763B7">
      <w:pPr>
        <w:pStyle w:val="23"/>
        <w:rPr>
          <w:color w:val="auto"/>
          <w:highlight w:val="none"/>
        </w:rPr>
      </w:pPr>
    </w:p>
    <w:p w14:paraId="39769186">
      <w:pPr>
        <w:rPr>
          <w:color w:val="auto"/>
          <w:highlight w:val="none"/>
        </w:rPr>
      </w:pPr>
      <w:r>
        <w:rPr>
          <w:color w:val="auto"/>
          <w:highlight w:val="none"/>
        </w:rPr>
        <w:br w:type="page"/>
      </w:r>
    </w:p>
    <w:p w14:paraId="346D8A95">
      <w:pPr>
        <w:pStyle w:val="23"/>
        <w:rPr>
          <w:color w:val="auto"/>
          <w:highlight w:val="none"/>
        </w:rPr>
      </w:pPr>
    </w:p>
    <w:p w14:paraId="534763B8">
      <w:pPr>
        <w:pStyle w:val="23"/>
        <w:rPr>
          <w:color w:val="auto"/>
          <w:highlight w:val="none"/>
        </w:rPr>
      </w:pPr>
    </w:p>
    <w:p w14:paraId="534763B9">
      <w:pPr>
        <w:pStyle w:val="23"/>
        <w:rPr>
          <w:color w:val="auto"/>
          <w:highlight w:val="none"/>
        </w:rPr>
      </w:pPr>
    </w:p>
    <w:p w14:paraId="534763BA">
      <w:pPr>
        <w:pStyle w:val="23"/>
        <w:rPr>
          <w:color w:val="auto"/>
          <w:highlight w:val="none"/>
        </w:rPr>
      </w:pPr>
    </w:p>
    <w:p w14:paraId="534763BB">
      <w:pPr>
        <w:pStyle w:val="23"/>
        <w:rPr>
          <w:color w:val="auto"/>
          <w:highlight w:val="none"/>
        </w:rPr>
      </w:pPr>
    </w:p>
    <w:p w14:paraId="534763BC">
      <w:pPr>
        <w:pStyle w:val="23"/>
        <w:rPr>
          <w:color w:val="auto"/>
          <w:highlight w:val="none"/>
        </w:rPr>
      </w:pPr>
    </w:p>
    <w:p w14:paraId="534763BD">
      <w:pPr>
        <w:pStyle w:val="23"/>
        <w:rPr>
          <w:color w:val="auto"/>
          <w:highlight w:val="none"/>
        </w:rPr>
      </w:pPr>
    </w:p>
    <w:p w14:paraId="534763BE">
      <w:pPr>
        <w:pStyle w:val="23"/>
        <w:rPr>
          <w:color w:val="auto"/>
          <w:highlight w:val="none"/>
        </w:rPr>
      </w:pPr>
    </w:p>
    <w:p w14:paraId="534763BF">
      <w:pPr>
        <w:pStyle w:val="23"/>
        <w:rPr>
          <w:color w:val="auto"/>
          <w:highlight w:val="none"/>
        </w:rPr>
      </w:pPr>
    </w:p>
    <w:p w14:paraId="534763C0">
      <w:pPr>
        <w:pStyle w:val="23"/>
        <w:rPr>
          <w:color w:val="auto"/>
          <w:highlight w:val="none"/>
        </w:rPr>
      </w:pPr>
    </w:p>
    <w:p w14:paraId="534763C1">
      <w:pPr>
        <w:pStyle w:val="23"/>
        <w:rPr>
          <w:color w:val="auto"/>
          <w:highlight w:val="none"/>
        </w:rPr>
      </w:pPr>
    </w:p>
    <w:p w14:paraId="534763C2">
      <w:pPr>
        <w:pStyle w:val="23"/>
        <w:rPr>
          <w:color w:val="auto"/>
          <w:highlight w:val="none"/>
        </w:rPr>
      </w:pPr>
    </w:p>
    <w:p w14:paraId="534763C3">
      <w:pPr>
        <w:pStyle w:val="23"/>
        <w:rPr>
          <w:color w:val="auto"/>
          <w:highlight w:val="none"/>
        </w:rPr>
      </w:pPr>
    </w:p>
    <w:p w14:paraId="534763C4">
      <w:pPr>
        <w:pStyle w:val="23"/>
        <w:rPr>
          <w:color w:val="auto"/>
          <w:highlight w:val="none"/>
        </w:rPr>
      </w:pPr>
    </w:p>
    <w:p w14:paraId="534763C5">
      <w:pPr>
        <w:pStyle w:val="23"/>
        <w:rPr>
          <w:color w:val="auto"/>
          <w:highlight w:val="none"/>
        </w:rPr>
      </w:pPr>
    </w:p>
    <w:p w14:paraId="534763C6">
      <w:pPr>
        <w:pStyle w:val="23"/>
        <w:rPr>
          <w:color w:val="auto"/>
          <w:highlight w:val="none"/>
        </w:rPr>
      </w:pPr>
    </w:p>
    <w:p w14:paraId="534763C7">
      <w:pPr>
        <w:pStyle w:val="5"/>
        <w:spacing w:before="0" w:after="0" w:line="240" w:lineRule="auto"/>
        <w:jc w:val="center"/>
        <w:rPr>
          <w:rFonts w:ascii="宋体" w:hAnsi="宋体"/>
          <w:color w:val="auto"/>
          <w:highlight w:val="none"/>
        </w:rPr>
      </w:pPr>
      <w:bookmarkStart w:id="36" w:name="_Toc176861410"/>
      <w:r>
        <w:rPr>
          <w:rFonts w:hint="eastAsia" w:ascii="宋体" w:hAnsi="宋体"/>
          <w:color w:val="auto"/>
          <w:highlight w:val="none"/>
        </w:rPr>
        <w:t>第五章  工程量清单及图纸</w:t>
      </w:r>
      <w:bookmarkEnd w:id="36"/>
    </w:p>
    <w:p w14:paraId="534763C8">
      <w:pPr>
        <w:rPr>
          <w:color w:val="auto"/>
          <w:highlight w:val="none"/>
        </w:rPr>
      </w:pPr>
    </w:p>
    <w:p w14:paraId="534763C9">
      <w:pPr>
        <w:rPr>
          <w:color w:val="auto"/>
          <w:highlight w:val="none"/>
        </w:rPr>
      </w:pPr>
    </w:p>
    <w:p w14:paraId="534763CA">
      <w:pPr>
        <w:spacing w:line="440" w:lineRule="exact"/>
        <w:jc w:val="center"/>
        <w:rPr>
          <w:color w:val="auto"/>
          <w:sz w:val="36"/>
          <w:szCs w:val="36"/>
          <w:highlight w:val="none"/>
        </w:rPr>
      </w:pPr>
      <w:r>
        <w:rPr>
          <w:rFonts w:hint="eastAsia"/>
          <w:color w:val="auto"/>
          <w:sz w:val="36"/>
          <w:szCs w:val="36"/>
          <w:highlight w:val="none"/>
        </w:rPr>
        <w:t>工程量清单及图纸（另册）</w:t>
      </w:r>
    </w:p>
    <w:p w14:paraId="534763CB">
      <w:pPr>
        <w:spacing w:line="440" w:lineRule="exact"/>
        <w:jc w:val="center"/>
        <w:rPr>
          <w:rFonts w:eastAsia="仿宋_GB2312"/>
          <w:color w:val="auto"/>
          <w:sz w:val="36"/>
          <w:szCs w:val="36"/>
          <w:highlight w:val="none"/>
        </w:rPr>
      </w:pPr>
    </w:p>
    <w:p w14:paraId="534763CC">
      <w:pPr>
        <w:bidi w:val="0"/>
        <w:rPr>
          <w:color w:val="auto"/>
          <w:highlight w:val="none"/>
        </w:rPr>
      </w:pPr>
      <w:r>
        <w:rPr>
          <w:color w:val="auto"/>
          <w:highlight w:val="none"/>
        </w:rPr>
        <w:br w:type="page"/>
      </w:r>
    </w:p>
    <w:p w14:paraId="534763CD">
      <w:pPr>
        <w:rPr>
          <w:color w:val="auto"/>
          <w:highlight w:val="none"/>
        </w:rPr>
      </w:pPr>
    </w:p>
    <w:p w14:paraId="534763CE">
      <w:pPr>
        <w:pStyle w:val="4"/>
        <w:rPr>
          <w:color w:val="auto"/>
          <w:highlight w:val="none"/>
        </w:rPr>
      </w:pPr>
    </w:p>
    <w:p w14:paraId="534763CF">
      <w:pPr>
        <w:rPr>
          <w:color w:val="auto"/>
          <w:highlight w:val="none"/>
        </w:rPr>
      </w:pPr>
    </w:p>
    <w:p w14:paraId="534763D0">
      <w:pPr>
        <w:spacing w:line="600" w:lineRule="exact"/>
        <w:rPr>
          <w:color w:val="auto"/>
          <w:szCs w:val="21"/>
          <w:highlight w:val="none"/>
        </w:rPr>
      </w:pPr>
    </w:p>
    <w:p w14:paraId="534763D1">
      <w:pPr>
        <w:spacing w:line="300" w:lineRule="auto"/>
        <w:rPr>
          <w:rFonts w:ascii="方正宋黑简体" w:hAnsi="宋体" w:eastAsia="方正宋黑简体"/>
          <w:b/>
          <w:color w:val="auto"/>
          <w:szCs w:val="21"/>
          <w:highlight w:val="none"/>
        </w:rPr>
      </w:pPr>
    </w:p>
    <w:p w14:paraId="534763D2">
      <w:pPr>
        <w:spacing w:line="300" w:lineRule="auto"/>
        <w:ind w:left="420" w:hanging="420"/>
        <w:jc w:val="center"/>
        <w:rPr>
          <w:rFonts w:ascii="黑体" w:hAnsi="宋体" w:eastAsia="黑体"/>
          <w:b/>
          <w:color w:val="auto"/>
          <w:kern w:val="0"/>
          <w:sz w:val="32"/>
          <w:szCs w:val="32"/>
          <w:highlight w:val="none"/>
        </w:rPr>
      </w:pPr>
    </w:p>
    <w:p w14:paraId="534763D3">
      <w:pPr>
        <w:spacing w:line="300" w:lineRule="auto"/>
        <w:ind w:left="420" w:hanging="420"/>
        <w:jc w:val="center"/>
        <w:rPr>
          <w:rFonts w:ascii="黑体" w:hAnsi="宋体" w:eastAsia="黑体"/>
          <w:b/>
          <w:color w:val="auto"/>
          <w:kern w:val="0"/>
          <w:sz w:val="32"/>
          <w:szCs w:val="32"/>
          <w:highlight w:val="none"/>
        </w:rPr>
      </w:pPr>
    </w:p>
    <w:p w14:paraId="534763D4">
      <w:pPr>
        <w:spacing w:line="300" w:lineRule="auto"/>
        <w:ind w:left="420" w:hanging="420"/>
        <w:jc w:val="center"/>
        <w:rPr>
          <w:rFonts w:ascii="黑体" w:hAnsi="宋体" w:eastAsia="黑体"/>
          <w:b/>
          <w:color w:val="auto"/>
          <w:kern w:val="0"/>
          <w:sz w:val="32"/>
          <w:szCs w:val="32"/>
          <w:highlight w:val="none"/>
        </w:rPr>
      </w:pPr>
    </w:p>
    <w:p w14:paraId="534763D5">
      <w:pPr>
        <w:pStyle w:val="4"/>
        <w:rPr>
          <w:color w:val="auto"/>
          <w:highlight w:val="none"/>
        </w:rPr>
      </w:pPr>
    </w:p>
    <w:p w14:paraId="534763D6">
      <w:pPr>
        <w:rPr>
          <w:color w:val="auto"/>
          <w:highlight w:val="none"/>
        </w:rPr>
      </w:pPr>
    </w:p>
    <w:p w14:paraId="534763D7">
      <w:pPr>
        <w:autoSpaceDE w:val="0"/>
        <w:autoSpaceDN w:val="0"/>
        <w:adjustRightInd w:val="0"/>
        <w:snapToGrid w:val="0"/>
        <w:spacing w:line="300" w:lineRule="auto"/>
        <w:ind w:firstLine="3282" w:firstLineChars="743"/>
        <w:outlineLvl w:val="0"/>
        <w:rPr>
          <w:rFonts w:ascii="宋体" w:hAnsi="宋体"/>
          <w:b/>
          <w:color w:val="auto"/>
          <w:kern w:val="0"/>
          <w:sz w:val="44"/>
          <w:szCs w:val="44"/>
          <w:highlight w:val="none"/>
        </w:rPr>
      </w:pPr>
      <w:bookmarkStart w:id="37" w:name="_Toc176861411"/>
      <w:bookmarkStart w:id="38" w:name="_Toc3994507"/>
      <w:bookmarkStart w:id="39" w:name="_Toc31815"/>
      <w:r>
        <w:rPr>
          <w:rFonts w:hint="eastAsia" w:ascii="宋体" w:hAnsi="宋体"/>
          <w:b/>
          <w:color w:val="auto"/>
          <w:kern w:val="0"/>
          <w:sz w:val="44"/>
          <w:szCs w:val="44"/>
          <w:highlight w:val="none"/>
        </w:rPr>
        <w:t>第六章  合同格式</w:t>
      </w:r>
      <w:bookmarkEnd w:id="37"/>
      <w:bookmarkEnd w:id="38"/>
      <w:bookmarkEnd w:id="39"/>
    </w:p>
    <w:p w14:paraId="534763D8">
      <w:pPr>
        <w:spacing w:line="300" w:lineRule="auto"/>
        <w:ind w:left="420" w:hanging="420"/>
        <w:jc w:val="center"/>
        <w:rPr>
          <w:rFonts w:ascii="黑体" w:hAnsi="宋体" w:eastAsia="黑体"/>
          <w:b/>
          <w:color w:val="auto"/>
          <w:kern w:val="0"/>
          <w:sz w:val="32"/>
          <w:szCs w:val="32"/>
          <w:highlight w:val="none"/>
        </w:rPr>
      </w:pPr>
    </w:p>
    <w:p w14:paraId="534763D9">
      <w:pPr>
        <w:spacing w:line="300" w:lineRule="auto"/>
        <w:ind w:left="420" w:hanging="420"/>
        <w:jc w:val="center"/>
        <w:rPr>
          <w:rFonts w:ascii="黑体" w:hAnsi="宋体" w:eastAsia="黑体"/>
          <w:b/>
          <w:color w:val="auto"/>
          <w:kern w:val="0"/>
          <w:sz w:val="32"/>
          <w:szCs w:val="32"/>
          <w:highlight w:val="none"/>
        </w:rPr>
      </w:pPr>
    </w:p>
    <w:p w14:paraId="534763DA">
      <w:pPr>
        <w:spacing w:line="300" w:lineRule="auto"/>
        <w:ind w:left="420" w:hanging="420"/>
        <w:jc w:val="center"/>
        <w:rPr>
          <w:rFonts w:ascii="黑体" w:hAnsi="宋体" w:eastAsia="黑体"/>
          <w:b/>
          <w:color w:val="auto"/>
          <w:kern w:val="0"/>
          <w:sz w:val="32"/>
          <w:szCs w:val="32"/>
          <w:highlight w:val="none"/>
        </w:rPr>
      </w:pPr>
    </w:p>
    <w:p w14:paraId="534763DB">
      <w:pPr>
        <w:spacing w:line="300" w:lineRule="auto"/>
        <w:ind w:left="420" w:hanging="420"/>
        <w:jc w:val="center"/>
        <w:rPr>
          <w:rFonts w:ascii="黑体" w:hAnsi="宋体" w:eastAsia="黑体"/>
          <w:b/>
          <w:color w:val="auto"/>
          <w:kern w:val="0"/>
          <w:sz w:val="32"/>
          <w:szCs w:val="32"/>
          <w:highlight w:val="none"/>
        </w:rPr>
      </w:pPr>
    </w:p>
    <w:p w14:paraId="534763DC">
      <w:pPr>
        <w:spacing w:line="300" w:lineRule="auto"/>
        <w:ind w:left="420" w:hanging="420"/>
        <w:jc w:val="center"/>
        <w:rPr>
          <w:rFonts w:ascii="黑体" w:hAnsi="宋体" w:eastAsia="黑体"/>
          <w:b/>
          <w:color w:val="auto"/>
          <w:kern w:val="0"/>
          <w:sz w:val="32"/>
          <w:szCs w:val="32"/>
          <w:highlight w:val="none"/>
        </w:rPr>
      </w:pPr>
    </w:p>
    <w:p w14:paraId="534763DD">
      <w:pPr>
        <w:spacing w:line="300" w:lineRule="auto"/>
        <w:ind w:left="420" w:hanging="420"/>
        <w:jc w:val="center"/>
        <w:rPr>
          <w:rFonts w:ascii="黑体" w:hAnsi="宋体" w:eastAsia="黑体"/>
          <w:b/>
          <w:color w:val="auto"/>
          <w:kern w:val="0"/>
          <w:sz w:val="32"/>
          <w:szCs w:val="32"/>
          <w:highlight w:val="none"/>
        </w:rPr>
      </w:pPr>
    </w:p>
    <w:p w14:paraId="534763DE">
      <w:pPr>
        <w:spacing w:line="300" w:lineRule="auto"/>
        <w:ind w:left="420" w:hanging="420"/>
        <w:jc w:val="center"/>
        <w:rPr>
          <w:rFonts w:ascii="黑体" w:hAnsi="宋体" w:eastAsia="黑体"/>
          <w:b/>
          <w:color w:val="auto"/>
          <w:kern w:val="0"/>
          <w:sz w:val="32"/>
          <w:szCs w:val="32"/>
          <w:highlight w:val="none"/>
        </w:rPr>
      </w:pPr>
    </w:p>
    <w:p w14:paraId="534763DF">
      <w:pPr>
        <w:spacing w:line="300" w:lineRule="auto"/>
        <w:ind w:left="420" w:hanging="420"/>
        <w:jc w:val="center"/>
        <w:rPr>
          <w:rFonts w:ascii="黑体" w:hAnsi="宋体" w:eastAsia="黑体"/>
          <w:b/>
          <w:color w:val="auto"/>
          <w:kern w:val="0"/>
          <w:sz w:val="32"/>
          <w:szCs w:val="32"/>
          <w:highlight w:val="none"/>
        </w:rPr>
      </w:pPr>
    </w:p>
    <w:p w14:paraId="534763E0">
      <w:pPr>
        <w:spacing w:line="300" w:lineRule="auto"/>
        <w:ind w:left="420" w:hanging="420"/>
        <w:jc w:val="center"/>
        <w:rPr>
          <w:rFonts w:ascii="黑体" w:hAnsi="宋体" w:eastAsia="黑体"/>
          <w:b/>
          <w:color w:val="auto"/>
          <w:kern w:val="0"/>
          <w:sz w:val="32"/>
          <w:szCs w:val="32"/>
          <w:highlight w:val="none"/>
        </w:rPr>
      </w:pPr>
    </w:p>
    <w:p w14:paraId="534763E1">
      <w:pPr>
        <w:pStyle w:val="4"/>
        <w:rPr>
          <w:color w:val="auto"/>
          <w:highlight w:val="none"/>
        </w:rPr>
      </w:pPr>
    </w:p>
    <w:p w14:paraId="534763E2">
      <w:pPr>
        <w:rPr>
          <w:color w:val="auto"/>
          <w:highlight w:val="none"/>
        </w:rPr>
      </w:pPr>
    </w:p>
    <w:p w14:paraId="534763E3">
      <w:pPr>
        <w:spacing w:line="300" w:lineRule="auto"/>
        <w:rPr>
          <w:rFonts w:ascii="黑体" w:hAnsi="宋体" w:eastAsia="黑体"/>
          <w:b/>
          <w:color w:val="auto"/>
          <w:kern w:val="0"/>
          <w:sz w:val="32"/>
          <w:szCs w:val="32"/>
          <w:highlight w:val="none"/>
        </w:rPr>
      </w:pPr>
      <w:r>
        <w:rPr>
          <w:rFonts w:ascii="黑体" w:hAnsi="宋体" w:eastAsia="黑体"/>
          <w:b/>
          <w:color w:val="auto"/>
          <w:kern w:val="0"/>
          <w:sz w:val="32"/>
          <w:szCs w:val="32"/>
          <w:highlight w:val="none"/>
        </w:rPr>
        <w:br w:type="page"/>
      </w:r>
    </w:p>
    <w:p w14:paraId="18F63FB1">
      <w:pPr>
        <w:pStyle w:val="27"/>
        <w:rPr>
          <w:rFonts w:hint="eastAsia" w:ascii="宋体" w:hAnsi="宋体" w:eastAsia="宋体" w:cs="宋体"/>
          <w:b/>
          <w:bCs/>
          <w:snapToGrid w:val="0"/>
          <w:color w:val="auto"/>
          <w:kern w:val="0"/>
          <w:sz w:val="36"/>
          <w:szCs w:val="36"/>
          <w:highlight w:val="none"/>
          <w:lang w:val="en-US" w:eastAsia="zh-CN" w:bidi="ar"/>
        </w:rPr>
      </w:pPr>
      <w:bookmarkStart w:id="40" w:name="_Toc373227552"/>
      <w:bookmarkStart w:id="41" w:name="_Toc373478199"/>
      <w:bookmarkStart w:id="42" w:name="_Toc296890982"/>
      <w:bookmarkStart w:id="43" w:name="_Toc483500112"/>
      <w:bookmarkStart w:id="44" w:name="_Toc389065255"/>
      <w:bookmarkStart w:id="45" w:name="_Toc486858326"/>
      <w:bookmarkStart w:id="46" w:name="_Toc351203480"/>
      <w:bookmarkStart w:id="47" w:name="_Toc456680639"/>
      <w:bookmarkStart w:id="48" w:name="_Toc20728955"/>
      <w:bookmarkStart w:id="49" w:name="_Toc296503025"/>
    </w:p>
    <w:p w14:paraId="5E6DDE06">
      <w:pPr>
        <w:keepNext w:val="0"/>
        <w:keepLines w:val="0"/>
        <w:widowControl/>
        <w:suppressLineNumbers w:val="0"/>
        <w:jc w:val="center"/>
        <w:rPr>
          <w:rFonts w:hint="eastAsia" w:ascii="宋体" w:hAnsi="宋体" w:eastAsia="宋体" w:cs="宋体"/>
          <w:b/>
          <w:bCs/>
          <w:color w:val="auto"/>
          <w:sz w:val="44"/>
          <w:szCs w:val="44"/>
          <w:highlight w:val="none"/>
          <w:u w:val="none"/>
          <w:lang w:eastAsia="zh-CN"/>
        </w:rPr>
      </w:pPr>
    </w:p>
    <w:p w14:paraId="36829241">
      <w:pPr>
        <w:bidi w:val="0"/>
        <w:jc w:val="center"/>
        <w:rPr>
          <w:rFonts w:hint="eastAsia"/>
          <w:b/>
          <w:bCs/>
          <w:color w:val="auto"/>
          <w:sz w:val="36"/>
          <w:szCs w:val="36"/>
          <w:highlight w:val="none"/>
          <w:lang w:val="en-US" w:eastAsia="zh-CN"/>
        </w:rPr>
      </w:pPr>
      <w:r>
        <w:rPr>
          <w:rFonts w:hint="eastAsia"/>
          <w:b/>
          <w:bCs/>
          <w:color w:val="auto"/>
          <w:sz w:val="36"/>
          <w:szCs w:val="36"/>
          <w:highlight w:val="none"/>
          <w:lang w:val="en-US" w:eastAsia="zh-CN"/>
        </w:rPr>
        <w:t>合浦县田寮水库标准化创建工程（土建部分）</w:t>
      </w:r>
    </w:p>
    <w:p w14:paraId="4973F416">
      <w:pPr>
        <w:pStyle w:val="36"/>
        <w:ind w:left="0" w:leftChars="0" w:firstLine="0" w:firstLineChars="0"/>
        <w:jc w:val="both"/>
        <w:rPr>
          <w:rFonts w:hint="eastAsia"/>
          <w:color w:val="auto"/>
          <w:highlight w:val="none"/>
          <w:lang w:val="en-US" w:eastAsia="zh-CN"/>
        </w:rPr>
      </w:pPr>
    </w:p>
    <w:p w14:paraId="7217B454">
      <w:pPr>
        <w:bidi w:val="0"/>
        <w:jc w:val="center"/>
        <w:rPr>
          <w:rFonts w:hint="eastAsia"/>
          <w:color w:val="auto"/>
          <w:highlight w:val="none"/>
          <w:lang w:val="en-US" w:eastAsia="zh-CN"/>
        </w:rPr>
      </w:pPr>
    </w:p>
    <w:p w14:paraId="39AF4106">
      <w:pPr>
        <w:bidi w:val="0"/>
        <w:jc w:val="center"/>
        <w:rPr>
          <w:rFonts w:hint="eastAsia"/>
          <w:b/>
          <w:bCs/>
          <w:color w:val="auto"/>
          <w:sz w:val="72"/>
          <w:szCs w:val="72"/>
          <w:highlight w:val="none"/>
          <w:lang w:val="en-US" w:eastAsia="zh-CN"/>
        </w:rPr>
      </w:pPr>
      <w:bookmarkStart w:id="50" w:name="_Toc32330"/>
    </w:p>
    <w:p w14:paraId="0443C540">
      <w:pPr>
        <w:pStyle w:val="27"/>
        <w:jc w:val="center"/>
        <w:rPr>
          <w:rFonts w:hint="eastAsia"/>
          <w:color w:val="auto"/>
          <w:highlight w:val="none"/>
          <w:lang w:val="en-US" w:eastAsia="zh-CN"/>
        </w:rPr>
      </w:pPr>
    </w:p>
    <w:p w14:paraId="618CC86D">
      <w:pPr>
        <w:bidi w:val="0"/>
        <w:jc w:val="center"/>
        <w:rPr>
          <w:rFonts w:hint="eastAsia"/>
          <w:b/>
          <w:bCs/>
          <w:color w:val="auto"/>
          <w:sz w:val="72"/>
          <w:szCs w:val="72"/>
          <w:highlight w:val="none"/>
          <w:lang w:val="en-US" w:eastAsia="zh-CN"/>
        </w:rPr>
      </w:pPr>
      <w:r>
        <w:rPr>
          <w:rFonts w:hint="eastAsia"/>
          <w:b/>
          <w:bCs/>
          <w:color w:val="auto"/>
          <w:sz w:val="72"/>
          <w:szCs w:val="72"/>
          <w:highlight w:val="none"/>
          <w:lang w:val="en-US" w:eastAsia="zh-CN"/>
        </w:rPr>
        <w:t>施 工 承 包 合 同</w:t>
      </w:r>
      <w:bookmarkEnd w:id="50"/>
    </w:p>
    <w:p w14:paraId="5728E627">
      <w:pPr>
        <w:bidi w:val="0"/>
        <w:jc w:val="center"/>
        <w:rPr>
          <w:rFonts w:hint="eastAsia"/>
          <w:color w:val="auto"/>
          <w:highlight w:val="none"/>
          <w:lang w:eastAsia="zh-CN"/>
        </w:rPr>
      </w:pPr>
    </w:p>
    <w:p w14:paraId="76EB53F4">
      <w:pPr>
        <w:bidi w:val="0"/>
        <w:jc w:val="center"/>
        <w:rPr>
          <w:rFonts w:hint="eastAsia"/>
          <w:b/>
          <w:bCs/>
          <w:color w:val="auto"/>
          <w:sz w:val="32"/>
          <w:szCs w:val="32"/>
          <w:highlight w:val="none"/>
          <w:lang w:eastAsia="zh-CN"/>
        </w:rPr>
      </w:pPr>
    </w:p>
    <w:p w14:paraId="16F56916">
      <w:pPr>
        <w:keepNext w:val="0"/>
        <w:keepLines w:val="0"/>
        <w:widowControl/>
        <w:suppressLineNumbers w:val="0"/>
        <w:jc w:val="center"/>
        <w:rPr>
          <w:rFonts w:hint="eastAsia" w:ascii="宋体" w:hAnsi="宋体" w:eastAsia="宋体" w:cs="宋体"/>
          <w:b/>
          <w:bCs/>
          <w:color w:val="auto"/>
          <w:sz w:val="32"/>
          <w:szCs w:val="32"/>
          <w:highlight w:val="none"/>
          <w:lang w:eastAsia="zh-CN"/>
        </w:rPr>
      </w:pPr>
    </w:p>
    <w:p w14:paraId="478704F7">
      <w:pPr>
        <w:keepNext w:val="0"/>
        <w:keepLines w:val="0"/>
        <w:widowControl/>
        <w:suppressLineNumbers w:val="0"/>
        <w:jc w:val="center"/>
        <w:rPr>
          <w:rFonts w:hint="eastAsia" w:asciiTheme="minorEastAsia" w:hAnsiTheme="minorEastAsia" w:eastAsiaTheme="minorEastAsia" w:cstheme="minorEastAsia"/>
          <w:b/>
          <w:bCs/>
          <w:color w:val="auto"/>
          <w:sz w:val="36"/>
          <w:szCs w:val="36"/>
          <w:highlight w:val="none"/>
          <w:lang w:eastAsia="zh-CN"/>
        </w:rPr>
      </w:pPr>
      <w:r>
        <w:rPr>
          <w:rFonts w:hint="eastAsia" w:asciiTheme="minorEastAsia" w:hAnsiTheme="minorEastAsia" w:eastAsiaTheme="minorEastAsia" w:cstheme="minorEastAsia"/>
          <w:b/>
          <w:bCs/>
          <w:color w:val="auto"/>
          <w:sz w:val="36"/>
          <w:szCs w:val="36"/>
          <w:highlight w:val="none"/>
        </w:rPr>
        <w:t>合同编号</w:t>
      </w:r>
      <w:r>
        <w:rPr>
          <w:rFonts w:hint="eastAsia" w:asciiTheme="minorEastAsia" w:hAnsiTheme="minorEastAsia" w:eastAsiaTheme="minorEastAsia" w:cstheme="minorEastAsia"/>
          <w:b/>
          <w:bCs/>
          <w:color w:val="auto"/>
          <w:sz w:val="36"/>
          <w:szCs w:val="36"/>
          <w:highlight w:val="none"/>
          <w:lang w:eastAsia="zh-CN"/>
        </w:rPr>
        <w:t>：</w:t>
      </w:r>
    </w:p>
    <w:p w14:paraId="32F42D57">
      <w:pPr>
        <w:keepNext w:val="0"/>
        <w:keepLines w:val="0"/>
        <w:widowControl/>
        <w:suppressLineNumbers w:val="0"/>
        <w:jc w:val="center"/>
        <w:rPr>
          <w:color w:val="auto"/>
          <w:highlight w:val="none"/>
        </w:rPr>
      </w:pPr>
    </w:p>
    <w:p w14:paraId="374B3734">
      <w:pPr>
        <w:bidi w:val="0"/>
        <w:ind w:firstLine="1928" w:firstLineChars="600"/>
        <w:jc w:val="both"/>
        <w:rPr>
          <w:rFonts w:hint="eastAsia" w:ascii="宋体" w:hAnsi="宋体" w:eastAsia="宋体" w:cs="宋体"/>
          <w:b/>
          <w:bCs/>
          <w:color w:val="auto"/>
          <w:sz w:val="32"/>
          <w:szCs w:val="32"/>
          <w:highlight w:val="none"/>
          <w:lang w:eastAsia="zh-CN"/>
        </w:rPr>
      </w:pPr>
    </w:p>
    <w:p w14:paraId="584175FA">
      <w:pPr>
        <w:bidi w:val="0"/>
        <w:ind w:firstLine="1928" w:firstLineChars="600"/>
        <w:jc w:val="both"/>
        <w:rPr>
          <w:rFonts w:hint="eastAsia" w:ascii="宋体" w:hAnsi="宋体" w:eastAsia="宋体" w:cs="宋体"/>
          <w:b/>
          <w:bCs/>
          <w:color w:val="auto"/>
          <w:sz w:val="32"/>
          <w:szCs w:val="32"/>
          <w:highlight w:val="none"/>
          <w:lang w:eastAsia="zh-CN"/>
        </w:rPr>
      </w:pPr>
    </w:p>
    <w:p w14:paraId="62F12721">
      <w:pPr>
        <w:pStyle w:val="4"/>
        <w:rPr>
          <w:rFonts w:hint="eastAsia"/>
          <w:color w:val="auto"/>
          <w:highlight w:val="none"/>
          <w:lang w:val="en-US" w:eastAsia="zh-CN"/>
        </w:rPr>
      </w:pPr>
    </w:p>
    <w:p w14:paraId="26C6D782">
      <w:pPr>
        <w:rPr>
          <w:rFonts w:hint="eastAsia"/>
          <w:color w:val="auto"/>
          <w:highlight w:val="none"/>
          <w:lang w:val="en-US" w:eastAsia="zh-CN"/>
        </w:rPr>
      </w:pPr>
    </w:p>
    <w:p w14:paraId="654B62F8">
      <w:pPr>
        <w:rPr>
          <w:rFonts w:hint="eastAsia"/>
          <w:color w:val="auto"/>
          <w:highlight w:val="none"/>
          <w:lang w:val="en-US" w:eastAsia="zh-CN"/>
        </w:rPr>
      </w:pPr>
    </w:p>
    <w:p w14:paraId="2EEC25C4">
      <w:pPr>
        <w:bidi w:val="0"/>
        <w:rPr>
          <w:rFonts w:hint="eastAsia"/>
          <w:color w:val="auto"/>
          <w:highlight w:val="none"/>
          <w:lang w:val="en-US" w:eastAsia="zh-CN"/>
        </w:rPr>
      </w:pPr>
    </w:p>
    <w:p w14:paraId="56BEAE9A">
      <w:pPr>
        <w:bidi w:val="0"/>
        <w:rPr>
          <w:rFonts w:hint="eastAsia"/>
          <w:b/>
          <w:bCs/>
          <w:color w:val="auto"/>
          <w:sz w:val="32"/>
          <w:szCs w:val="32"/>
          <w:highlight w:val="none"/>
          <w:lang w:val="en-US" w:eastAsia="zh-CN"/>
        </w:rPr>
      </w:pPr>
    </w:p>
    <w:p w14:paraId="36E0FCB1">
      <w:pPr>
        <w:keepNext w:val="0"/>
        <w:keepLines w:val="0"/>
        <w:pageBreakBefore w:val="0"/>
        <w:widowControl/>
        <w:kinsoku w:val="0"/>
        <w:wordWrap/>
        <w:overflowPunct/>
        <w:topLinePunct w:val="0"/>
        <w:autoSpaceDE w:val="0"/>
        <w:autoSpaceDN w:val="0"/>
        <w:bidi w:val="0"/>
        <w:adjustRightInd w:val="0"/>
        <w:snapToGrid w:val="0"/>
        <w:spacing w:line="600" w:lineRule="exact"/>
        <w:ind w:firstLine="1920" w:firstLineChars="600"/>
        <w:textAlignment w:val="baseline"/>
        <w:rPr>
          <w:rFonts w:hint="eastAsia" w:asciiTheme="minorEastAsia" w:hAnsiTheme="minorEastAsia" w:eastAsiaTheme="minorEastAsia" w:cstheme="minorEastAsia"/>
          <w:b w:val="0"/>
          <w:bCs w:val="0"/>
          <w:color w:val="auto"/>
          <w:sz w:val="32"/>
          <w:szCs w:val="32"/>
          <w:highlight w:val="none"/>
          <w:lang w:val="en-US" w:eastAsia="zh-CN"/>
        </w:rPr>
      </w:pPr>
      <w:r>
        <w:rPr>
          <w:rFonts w:hint="eastAsia" w:asciiTheme="minorEastAsia" w:hAnsiTheme="minorEastAsia" w:eastAsiaTheme="minorEastAsia" w:cstheme="minorEastAsia"/>
          <w:b w:val="0"/>
          <w:bCs w:val="0"/>
          <w:color w:val="auto"/>
          <w:sz w:val="32"/>
          <w:szCs w:val="32"/>
          <w:highlight w:val="none"/>
          <w:lang w:val="en-US" w:eastAsia="zh-CN"/>
        </w:rPr>
        <w:t>采购人：合浦县水利局</w:t>
      </w:r>
    </w:p>
    <w:p w14:paraId="67DCE35F">
      <w:pPr>
        <w:keepNext w:val="0"/>
        <w:keepLines w:val="0"/>
        <w:pageBreakBefore w:val="0"/>
        <w:widowControl/>
        <w:kinsoku w:val="0"/>
        <w:wordWrap/>
        <w:overflowPunct/>
        <w:topLinePunct w:val="0"/>
        <w:autoSpaceDE w:val="0"/>
        <w:autoSpaceDN w:val="0"/>
        <w:bidi w:val="0"/>
        <w:adjustRightInd w:val="0"/>
        <w:snapToGrid w:val="0"/>
        <w:spacing w:line="600" w:lineRule="exact"/>
        <w:ind w:firstLine="1920" w:firstLineChars="600"/>
        <w:textAlignment w:val="baseline"/>
        <w:rPr>
          <w:rFonts w:hint="default" w:asciiTheme="minorEastAsia" w:hAnsiTheme="minorEastAsia" w:eastAsiaTheme="minorEastAsia" w:cstheme="minorEastAsia"/>
          <w:b w:val="0"/>
          <w:bCs w:val="0"/>
          <w:color w:val="auto"/>
          <w:sz w:val="32"/>
          <w:szCs w:val="32"/>
          <w:highlight w:val="none"/>
          <w:lang w:val="en-US" w:eastAsia="zh-CN"/>
        </w:rPr>
      </w:pPr>
      <w:r>
        <w:rPr>
          <w:rFonts w:hint="eastAsia" w:asciiTheme="minorEastAsia" w:hAnsiTheme="minorEastAsia" w:eastAsiaTheme="minorEastAsia" w:cstheme="minorEastAsia"/>
          <w:b w:val="0"/>
          <w:bCs w:val="0"/>
          <w:color w:val="auto"/>
          <w:sz w:val="32"/>
          <w:szCs w:val="32"/>
          <w:highlight w:val="none"/>
          <w:lang w:val="en-US" w:eastAsia="zh-CN"/>
        </w:rPr>
        <w:t>建设单位：合浦县水利工程管理站</w:t>
      </w:r>
    </w:p>
    <w:p w14:paraId="087B56F3">
      <w:pPr>
        <w:keepNext w:val="0"/>
        <w:keepLines w:val="0"/>
        <w:pageBreakBefore w:val="0"/>
        <w:widowControl/>
        <w:kinsoku w:val="0"/>
        <w:wordWrap/>
        <w:overflowPunct/>
        <w:topLinePunct w:val="0"/>
        <w:autoSpaceDE w:val="0"/>
        <w:autoSpaceDN w:val="0"/>
        <w:bidi w:val="0"/>
        <w:adjustRightInd w:val="0"/>
        <w:snapToGrid w:val="0"/>
        <w:spacing w:line="600" w:lineRule="exact"/>
        <w:ind w:firstLine="1920" w:firstLineChars="600"/>
        <w:textAlignment w:val="baseline"/>
        <w:rPr>
          <w:rFonts w:hint="eastAsia" w:asciiTheme="minorEastAsia" w:hAnsiTheme="minorEastAsia" w:eastAsiaTheme="minorEastAsia" w:cstheme="minorEastAsia"/>
          <w:b w:val="0"/>
          <w:bCs w:val="0"/>
          <w:color w:val="auto"/>
          <w:sz w:val="32"/>
          <w:szCs w:val="32"/>
          <w:highlight w:val="none"/>
          <w:lang w:val="en-US" w:eastAsia="zh-CN"/>
        </w:rPr>
      </w:pPr>
      <w:bookmarkStart w:id="51" w:name="_Toc23163"/>
      <w:r>
        <w:rPr>
          <w:rFonts w:hint="eastAsia" w:asciiTheme="minorEastAsia" w:hAnsiTheme="minorEastAsia" w:eastAsiaTheme="minorEastAsia" w:cstheme="minorEastAsia"/>
          <w:b w:val="0"/>
          <w:bCs w:val="0"/>
          <w:color w:val="auto"/>
          <w:sz w:val="32"/>
          <w:szCs w:val="32"/>
          <w:highlight w:val="none"/>
          <w:lang w:val="en-US" w:eastAsia="zh-CN"/>
        </w:rPr>
        <w:t>承包人：</w:t>
      </w:r>
      <w:bookmarkEnd w:id="51"/>
    </w:p>
    <w:p w14:paraId="07D1703A">
      <w:pPr>
        <w:keepNext w:val="0"/>
        <w:keepLines w:val="0"/>
        <w:pageBreakBefore w:val="0"/>
        <w:widowControl/>
        <w:kinsoku w:val="0"/>
        <w:wordWrap/>
        <w:overflowPunct/>
        <w:topLinePunct w:val="0"/>
        <w:autoSpaceDE w:val="0"/>
        <w:autoSpaceDN w:val="0"/>
        <w:bidi w:val="0"/>
        <w:adjustRightInd w:val="0"/>
        <w:snapToGrid w:val="0"/>
        <w:spacing w:line="600" w:lineRule="exact"/>
        <w:ind w:firstLine="1920" w:firstLineChars="600"/>
        <w:textAlignment w:val="baseline"/>
        <w:rPr>
          <w:rFonts w:hint="eastAsia" w:asciiTheme="minorEastAsia" w:hAnsiTheme="minorEastAsia" w:eastAsiaTheme="minorEastAsia" w:cstheme="minorEastAsia"/>
          <w:b w:val="0"/>
          <w:bCs w:val="0"/>
          <w:color w:val="auto"/>
          <w:sz w:val="32"/>
          <w:szCs w:val="32"/>
          <w:highlight w:val="none"/>
          <w:lang w:eastAsia="zh-CN"/>
        </w:rPr>
      </w:pPr>
      <w:r>
        <w:rPr>
          <w:rFonts w:hint="eastAsia" w:asciiTheme="minorEastAsia" w:hAnsiTheme="minorEastAsia" w:eastAsiaTheme="minorEastAsia" w:cstheme="minorEastAsia"/>
          <w:b w:val="0"/>
          <w:bCs w:val="0"/>
          <w:color w:val="auto"/>
          <w:sz w:val="32"/>
          <w:szCs w:val="32"/>
          <w:highlight w:val="none"/>
          <w:lang w:eastAsia="zh-CN"/>
        </w:rPr>
        <w:t>签订时间：202</w:t>
      </w:r>
      <w:r>
        <w:rPr>
          <w:rFonts w:hint="eastAsia" w:asciiTheme="minorEastAsia" w:hAnsiTheme="minorEastAsia" w:eastAsiaTheme="minorEastAsia" w:cstheme="minorEastAsia"/>
          <w:b w:val="0"/>
          <w:bCs w:val="0"/>
          <w:color w:val="auto"/>
          <w:sz w:val="32"/>
          <w:szCs w:val="32"/>
          <w:highlight w:val="none"/>
          <w:lang w:val="en-US" w:eastAsia="zh-CN"/>
        </w:rPr>
        <w:t>6</w:t>
      </w:r>
      <w:r>
        <w:rPr>
          <w:rFonts w:hint="eastAsia" w:asciiTheme="minorEastAsia" w:hAnsiTheme="minorEastAsia" w:eastAsiaTheme="minorEastAsia" w:cstheme="minorEastAsia"/>
          <w:b w:val="0"/>
          <w:bCs w:val="0"/>
          <w:color w:val="auto"/>
          <w:sz w:val="32"/>
          <w:szCs w:val="32"/>
          <w:highlight w:val="none"/>
          <w:lang w:eastAsia="zh-CN"/>
        </w:rPr>
        <w:t>年</w:t>
      </w:r>
      <w:r>
        <w:rPr>
          <w:rFonts w:hint="eastAsia" w:asciiTheme="minorEastAsia" w:hAnsiTheme="minorEastAsia" w:eastAsiaTheme="minorEastAsia" w:cstheme="minorEastAsia"/>
          <w:b w:val="0"/>
          <w:bCs w:val="0"/>
          <w:color w:val="auto"/>
          <w:sz w:val="32"/>
          <w:szCs w:val="32"/>
          <w:highlight w:val="none"/>
          <w:lang w:val="en-US" w:eastAsia="zh-CN"/>
        </w:rPr>
        <w:t xml:space="preserve">  </w:t>
      </w:r>
      <w:r>
        <w:rPr>
          <w:rFonts w:hint="eastAsia" w:asciiTheme="minorEastAsia" w:hAnsiTheme="minorEastAsia" w:eastAsiaTheme="minorEastAsia" w:cstheme="minorEastAsia"/>
          <w:b w:val="0"/>
          <w:bCs w:val="0"/>
          <w:color w:val="auto"/>
          <w:sz w:val="32"/>
          <w:szCs w:val="32"/>
          <w:highlight w:val="none"/>
          <w:lang w:eastAsia="zh-CN"/>
        </w:rPr>
        <w:t>月</w:t>
      </w:r>
      <w:r>
        <w:rPr>
          <w:rFonts w:hint="eastAsia" w:asciiTheme="minorEastAsia" w:hAnsiTheme="minorEastAsia" w:eastAsiaTheme="minorEastAsia" w:cstheme="minorEastAsia"/>
          <w:b w:val="0"/>
          <w:bCs w:val="0"/>
          <w:color w:val="auto"/>
          <w:sz w:val="32"/>
          <w:szCs w:val="32"/>
          <w:highlight w:val="none"/>
          <w:lang w:val="en-US" w:eastAsia="zh-CN"/>
        </w:rPr>
        <w:t xml:space="preserve">  </w:t>
      </w:r>
      <w:r>
        <w:rPr>
          <w:rFonts w:hint="eastAsia" w:asciiTheme="minorEastAsia" w:hAnsiTheme="minorEastAsia" w:eastAsiaTheme="minorEastAsia" w:cstheme="minorEastAsia"/>
          <w:b w:val="0"/>
          <w:bCs w:val="0"/>
          <w:color w:val="auto"/>
          <w:sz w:val="32"/>
          <w:szCs w:val="32"/>
          <w:highlight w:val="none"/>
          <w:lang w:eastAsia="zh-CN"/>
        </w:rPr>
        <w:t>日</w:t>
      </w:r>
    </w:p>
    <w:p w14:paraId="0B08F7E6">
      <w:pPr>
        <w:pStyle w:val="122"/>
        <w:pageBreakBefore w:val="0"/>
        <w:widowControl w:val="0"/>
        <w:kinsoku/>
        <w:wordWrap/>
        <w:overflowPunct/>
        <w:topLinePunct w:val="0"/>
        <w:autoSpaceDE/>
        <w:autoSpaceDN/>
        <w:bidi w:val="0"/>
        <w:adjustRightInd/>
        <w:spacing w:line="360" w:lineRule="exact"/>
        <w:textAlignment w:val="auto"/>
        <w:outlineLvl w:val="9"/>
        <w:rPr>
          <w:rStyle w:val="40"/>
          <w:rFonts w:hint="eastAsia" w:ascii="宋体" w:hAnsi="宋体" w:eastAsia="宋体" w:cs="宋体"/>
          <w:color w:val="auto"/>
          <w:sz w:val="24"/>
          <w:szCs w:val="24"/>
          <w:highlight w:val="none"/>
          <w:lang w:eastAsia="zh-CN"/>
        </w:rPr>
      </w:pPr>
    </w:p>
    <w:p w14:paraId="6FFA0C3A">
      <w:pPr>
        <w:tabs>
          <w:tab w:val="left" w:pos="420"/>
        </w:tabs>
        <w:jc w:val="center"/>
        <w:rPr>
          <w:rFonts w:hint="eastAsia" w:ascii="宋体"/>
          <w:b/>
          <w:bCs/>
          <w:color w:val="auto"/>
          <w:sz w:val="42"/>
          <w:szCs w:val="20"/>
          <w:highlight w:val="none"/>
        </w:rPr>
      </w:pPr>
    </w:p>
    <w:p w14:paraId="5039A6B7">
      <w:pPr>
        <w:tabs>
          <w:tab w:val="left" w:pos="420"/>
        </w:tabs>
        <w:jc w:val="center"/>
        <w:rPr>
          <w:rFonts w:ascii="宋体"/>
          <w:b/>
          <w:bCs/>
          <w:color w:val="auto"/>
          <w:sz w:val="42"/>
          <w:szCs w:val="20"/>
          <w:highlight w:val="none"/>
        </w:rPr>
      </w:pPr>
      <w:r>
        <w:rPr>
          <w:rFonts w:hint="eastAsia" w:ascii="宋体"/>
          <w:b/>
          <w:bCs/>
          <w:color w:val="auto"/>
          <w:sz w:val="42"/>
          <w:szCs w:val="20"/>
          <w:highlight w:val="none"/>
        </w:rPr>
        <w:t>目  录</w:t>
      </w:r>
    </w:p>
    <w:p w14:paraId="3A5E7C23">
      <w:pPr>
        <w:tabs>
          <w:tab w:val="left" w:pos="420"/>
        </w:tabs>
        <w:jc w:val="center"/>
        <w:rPr>
          <w:rFonts w:ascii="宋体"/>
          <w:b/>
          <w:bCs/>
          <w:color w:val="auto"/>
          <w:sz w:val="42"/>
          <w:szCs w:val="20"/>
          <w:highlight w:val="none"/>
        </w:rPr>
      </w:pPr>
    </w:p>
    <w:p w14:paraId="7761954E">
      <w:pPr>
        <w:keepNext w:val="0"/>
        <w:keepLines w:val="0"/>
        <w:pageBreakBefore w:val="0"/>
        <w:widowControl/>
        <w:numPr>
          <w:ilvl w:val="0"/>
          <w:numId w:val="4"/>
        </w:numPr>
        <w:tabs>
          <w:tab w:val="left" w:pos="420"/>
        </w:tabs>
        <w:kinsoku w:val="0"/>
        <w:wordWrap/>
        <w:overflowPunct/>
        <w:topLinePunct w:val="0"/>
        <w:autoSpaceDE w:val="0"/>
        <w:autoSpaceDN w:val="0"/>
        <w:bidi w:val="0"/>
        <w:adjustRightInd w:val="0"/>
        <w:snapToGrid w:val="0"/>
        <w:spacing w:line="700" w:lineRule="exact"/>
        <w:textAlignment w:val="baseline"/>
        <w:rPr>
          <w:rFonts w:ascii="宋体"/>
          <w:b/>
          <w:bCs/>
          <w:color w:val="auto"/>
          <w:sz w:val="32"/>
          <w:szCs w:val="20"/>
          <w:highlight w:val="none"/>
        </w:rPr>
      </w:pPr>
      <w:r>
        <w:rPr>
          <w:rFonts w:hint="eastAsia" w:ascii="宋体"/>
          <w:b/>
          <w:bCs/>
          <w:color w:val="auto"/>
          <w:sz w:val="32"/>
          <w:szCs w:val="20"/>
          <w:highlight w:val="none"/>
        </w:rPr>
        <w:t>合同协议书</w:t>
      </w:r>
    </w:p>
    <w:p w14:paraId="0E414C30">
      <w:pPr>
        <w:keepNext w:val="0"/>
        <w:keepLines w:val="0"/>
        <w:pageBreakBefore w:val="0"/>
        <w:widowControl/>
        <w:numPr>
          <w:ilvl w:val="0"/>
          <w:numId w:val="4"/>
        </w:numPr>
        <w:tabs>
          <w:tab w:val="left" w:pos="420"/>
        </w:tabs>
        <w:kinsoku w:val="0"/>
        <w:wordWrap/>
        <w:overflowPunct/>
        <w:topLinePunct w:val="0"/>
        <w:autoSpaceDE w:val="0"/>
        <w:autoSpaceDN w:val="0"/>
        <w:bidi w:val="0"/>
        <w:adjustRightInd w:val="0"/>
        <w:snapToGrid w:val="0"/>
        <w:spacing w:line="700" w:lineRule="exact"/>
        <w:textAlignment w:val="baseline"/>
        <w:rPr>
          <w:rFonts w:ascii="宋体"/>
          <w:b/>
          <w:bCs/>
          <w:color w:val="auto"/>
          <w:sz w:val="32"/>
          <w:szCs w:val="20"/>
          <w:highlight w:val="none"/>
        </w:rPr>
      </w:pPr>
      <w:r>
        <w:rPr>
          <w:rFonts w:hint="eastAsia" w:ascii="宋体"/>
          <w:b/>
          <w:bCs/>
          <w:color w:val="auto"/>
          <w:sz w:val="32"/>
          <w:szCs w:val="20"/>
          <w:highlight w:val="none"/>
        </w:rPr>
        <w:t>通用合同条款</w:t>
      </w:r>
    </w:p>
    <w:p w14:paraId="3D5A2066">
      <w:pPr>
        <w:keepNext w:val="0"/>
        <w:keepLines w:val="0"/>
        <w:pageBreakBefore w:val="0"/>
        <w:widowControl/>
        <w:numPr>
          <w:ilvl w:val="0"/>
          <w:numId w:val="4"/>
        </w:numPr>
        <w:tabs>
          <w:tab w:val="left" w:pos="420"/>
        </w:tabs>
        <w:kinsoku w:val="0"/>
        <w:wordWrap/>
        <w:overflowPunct/>
        <w:topLinePunct w:val="0"/>
        <w:autoSpaceDE w:val="0"/>
        <w:autoSpaceDN w:val="0"/>
        <w:bidi w:val="0"/>
        <w:adjustRightInd w:val="0"/>
        <w:snapToGrid w:val="0"/>
        <w:spacing w:line="700" w:lineRule="exact"/>
        <w:textAlignment w:val="baseline"/>
        <w:rPr>
          <w:rFonts w:ascii="宋体"/>
          <w:b/>
          <w:bCs/>
          <w:color w:val="auto"/>
          <w:sz w:val="32"/>
          <w:szCs w:val="20"/>
          <w:highlight w:val="none"/>
        </w:rPr>
      </w:pPr>
      <w:r>
        <w:rPr>
          <w:rFonts w:hint="eastAsia" w:ascii="宋体"/>
          <w:b/>
          <w:bCs/>
          <w:color w:val="auto"/>
          <w:sz w:val="32"/>
          <w:szCs w:val="20"/>
          <w:highlight w:val="none"/>
        </w:rPr>
        <w:t>专用合同条款</w:t>
      </w:r>
    </w:p>
    <w:p w14:paraId="22F22C3F">
      <w:pPr>
        <w:pStyle w:val="27"/>
        <w:keepNext w:val="0"/>
        <w:keepLines w:val="0"/>
        <w:pageBreakBefore w:val="0"/>
        <w:widowControl/>
        <w:kinsoku w:val="0"/>
        <w:wordWrap/>
        <w:overflowPunct/>
        <w:topLinePunct w:val="0"/>
        <w:autoSpaceDE w:val="0"/>
        <w:autoSpaceDN w:val="0"/>
        <w:bidi w:val="0"/>
        <w:adjustRightInd w:val="0"/>
        <w:snapToGrid w:val="0"/>
        <w:spacing w:line="600" w:lineRule="exact"/>
        <w:textAlignment w:val="baseline"/>
        <w:rPr>
          <w:rFonts w:hint="eastAsia" w:ascii="宋体" w:hAnsi="宋体" w:eastAsia="宋体" w:cs="宋体"/>
          <w:color w:val="auto"/>
          <w:sz w:val="28"/>
          <w:szCs w:val="28"/>
          <w:highlight w:val="none"/>
        </w:rPr>
        <w:sectPr>
          <w:pgSz w:w="11905" w:h="16838"/>
          <w:pgMar w:top="1417" w:right="1417" w:bottom="1417" w:left="1474" w:header="850" w:footer="992" w:gutter="0"/>
          <w:pgNumType w:fmt="decimal"/>
          <w:cols w:space="0" w:num="1"/>
          <w:rtlGutter w:val="0"/>
          <w:docGrid w:type="lines" w:linePitch="318" w:charSpace="0"/>
        </w:sectPr>
      </w:pPr>
    </w:p>
    <w:bookmarkEnd w:id="40"/>
    <w:bookmarkEnd w:id="41"/>
    <w:bookmarkEnd w:id="42"/>
    <w:bookmarkEnd w:id="43"/>
    <w:bookmarkEnd w:id="44"/>
    <w:bookmarkEnd w:id="45"/>
    <w:bookmarkEnd w:id="46"/>
    <w:bookmarkEnd w:id="47"/>
    <w:bookmarkEnd w:id="48"/>
    <w:bookmarkEnd w:id="49"/>
    <w:p w14:paraId="3ACD8A42">
      <w:pPr>
        <w:pStyle w:val="6"/>
        <w:numPr>
          <w:ilvl w:val="0"/>
          <w:numId w:val="5"/>
        </w:numPr>
        <w:bidi w:val="0"/>
        <w:jc w:val="center"/>
        <w:rPr>
          <w:rFonts w:hint="default"/>
          <w:color w:val="auto"/>
          <w:highlight w:val="none"/>
          <w:lang w:val="en-US" w:eastAsia="zh-CN"/>
        </w:rPr>
      </w:pPr>
      <w:bookmarkStart w:id="52" w:name="_Toc22643"/>
      <w:r>
        <w:rPr>
          <w:rStyle w:val="123"/>
          <w:rFonts w:hint="eastAsia"/>
          <w:b/>
          <w:color w:val="auto"/>
          <w:highlight w:val="none"/>
          <w:lang w:val="en-US" w:eastAsia="zh-CN"/>
        </w:rPr>
        <w:t>合同协议书</w:t>
      </w:r>
      <w:bookmarkEnd w:id="52"/>
    </w:p>
    <w:p w14:paraId="387B2AAE">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宋体" w:hAnsi="宋体" w:cs="宋体"/>
          <w:b/>
          <w:bCs/>
          <w:color w:val="auto"/>
          <w:sz w:val="28"/>
          <w:szCs w:val="28"/>
          <w:highlight w:val="none"/>
          <w:u w:val="single"/>
          <w:lang w:val="en-US" w:eastAsia="zh-CN"/>
        </w:rPr>
      </w:pPr>
      <w:r>
        <w:rPr>
          <w:rFonts w:hint="eastAsia" w:ascii="宋体" w:hAnsi="宋体" w:cs="宋体"/>
          <w:b w:val="0"/>
          <w:bCs w:val="0"/>
          <w:color w:val="auto"/>
          <w:sz w:val="28"/>
          <w:szCs w:val="28"/>
          <w:highlight w:val="none"/>
          <w:u w:val="none"/>
          <w:lang w:val="en-US" w:eastAsia="zh-CN"/>
        </w:rPr>
        <w:t>采购人（全称）：</w:t>
      </w:r>
      <w:r>
        <w:rPr>
          <w:rFonts w:hint="eastAsia" w:ascii="宋体" w:hAnsi="宋体" w:cs="宋体"/>
          <w:b/>
          <w:bCs/>
          <w:color w:val="auto"/>
          <w:sz w:val="28"/>
          <w:szCs w:val="28"/>
          <w:highlight w:val="none"/>
          <w:u w:val="single"/>
          <w:lang w:val="en-US" w:eastAsia="zh-CN"/>
        </w:rPr>
        <w:t xml:space="preserve">合浦县水利局 </w:t>
      </w:r>
    </w:p>
    <w:p w14:paraId="15178B93">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b/>
          <w:bCs/>
          <w:snapToGrid w:val="0"/>
          <w:color w:val="auto"/>
          <w:kern w:val="0"/>
          <w:sz w:val="28"/>
          <w:szCs w:val="28"/>
          <w:highlight w:val="none"/>
          <w:u w:val="single"/>
          <w:lang w:val="en-US" w:eastAsia="zh-CN" w:bidi="ar"/>
        </w:rPr>
      </w:pPr>
      <w:r>
        <w:rPr>
          <w:rFonts w:hint="eastAsia" w:ascii="宋体" w:hAnsi="宋体" w:cs="宋体"/>
          <w:b w:val="0"/>
          <w:bCs w:val="0"/>
          <w:color w:val="auto"/>
          <w:sz w:val="28"/>
          <w:szCs w:val="28"/>
          <w:highlight w:val="none"/>
          <w:u w:val="none"/>
          <w:lang w:val="en-US" w:eastAsia="zh-CN"/>
        </w:rPr>
        <w:t>建设单位（全称）：</w:t>
      </w:r>
      <w:r>
        <w:rPr>
          <w:rFonts w:hint="eastAsia" w:ascii="宋体" w:hAnsi="宋体" w:cs="宋体"/>
          <w:b/>
          <w:bCs/>
          <w:color w:val="auto"/>
          <w:sz w:val="28"/>
          <w:szCs w:val="28"/>
          <w:highlight w:val="none"/>
          <w:u w:val="single"/>
          <w:lang w:val="en-US" w:eastAsia="zh-CN"/>
        </w:rPr>
        <w:t>合浦县水利工程管理站</w:t>
      </w:r>
    </w:p>
    <w:p w14:paraId="6A056955">
      <w:pPr>
        <w:keepNext w:val="0"/>
        <w:keepLines w:val="0"/>
        <w:pageBreakBefore w:val="0"/>
        <w:widowControl/>
        <w:suppressLineNumbers w:val="0"/>
        <w:kinsoku w:val="0"/>
        <w:wordWrap/>
        <w:overflowPunct/>
        <w:topLinePunct w:val="0"/>
        <w:autoSpaceDE w:val="0"/>
        <w:autoSpaceDN w:val="0"/>
        <w:bidi w:val="0"/>
        <w:adjustRightInd w:val="0"/>
        <w:snapToGrid w:val="0"/>
        <w:spacing w:line="486" w:lineRule="exact"/>
        <w:ind w:firstLine="560" w:firstLineChars="200"/>
        <w:jc w:val="left"/>
        <w:textAlignment w:val="baseline"/>
        <w:rPr>
          <w:rFonts w:hint="eastAsia" w:ascii="宋体" w:hAnsi="宋体" w:eastAsia="宋体" w:cs="宋体"/>
          <w:b/>
          <w:bCs/>
          <w:snapToGrid w:val="0"/>
          <w:color w:val="auto"/>
          <w:kern w:val="0"/>
          <w:sz w:val="28"/>
          <w:szCs w:val="28"/>
          <w:highlight w:val="none"/>
          <w:u w:val="single"/>
          <w:lang w:val="en-US" w:eastAsia="zh-CN" w:bidi="ar"/>
        </w:rPr>
      </w:pPr>
      <w:r>
        <w:rPr>
          <w:rFonts w:hint="eastAsia" w:ascii="宋体" w:hAnsi="宋体" w:cs="宋体"/>
          <w:b w:val="0"/>
          <w:bCs w:val="0"/>
          <w:color w:val="auto"/>
          <w:sz w:val="28"/>
          <w:szCs w:val="28"/>
          <w:highlight w:val="none"/>
          <w:u w:val="none"/>
          <w:lang w:val="en-US" w:eastAsia="zh-CN"/>
        </w:rPr>
        <w:t>承包人（全称）：</w:t>
      </w:r>
    </w:p>
    <w:p w14:paraId="7389DC25">
      <w:pPr>
        <w:keepNext w:val="0"/>
        <w:keepLines w:val="0"/>
        <w:pageBreakBefore w:val="0"/>
        <w:widowControl/>
        <w:suppressLineNumbers w:val="0"/>
        <w:kinsoku w:val="0"/>
        <w:wordWrap/>
        <w:overflowPunct/>
        <w:topLinePunct w:val="0"/>
        <w:autoSpaceDE w:val="0"/>
        <w:autoSpaceDN w:val="0"/>
        <w:bidi w:val="0"/>
        <w:adjustRightInd w:val="0"/>
        <w:snapToGrid w:val="0"/>
        <w:spacing w:line="486" w:lineRule="exact"/>
        <w:ind w:firstLine="562" w:firstLineChars="200"/>
        <w:jc w:val="left"/>
        <w:textAlignment w:val="baseline"/>
        <w:rPr>
          <w:rFonts w:hint="eastAsia" w:ascii="宋体" w:hAnsi="宋体" w:eastAsia="宋体" w:cs="宋体"/>
          <w:color w:val="auto"/>
          <w:sz w:val="28"/>
          <w:szCs w:val="28"/>
          <w:highlight w:val="none"/>
        </w:rPr>
      </w:pPr>
      <w:r>
        <w:rPr>
          <w:rFonts w:hint="eastAsia" w:ascii="宋体" w:hAnsi="宋体" w:cs="宋体"/>
          <w:b/>
          <w:bCs/>
          <w:color w:val="auto"/>
          <w:sz w:val="28"/>
          <w:szCs w:val="28"/>
          <w:highlight w:val="none"/>
          <w:u w:val="single"/>
          <w:lang w:val="en-US" w:eastAsia="zh-CN"/>
        </w:rPr>
        <w:t>合浦县水利局</w:t>
      </w:r>
      <w:r>
        <w:rPr>
          <w:rFonts w:hint="eastAsia" w:ascii="宋体" w:hAnsi="宋体" w:eastAsia="宋体" w:cs="宋体"/>
          <w:color w:val="auto"/>
          <w:sz w:val="28"/>
          <w:szCs w:val="28"/>
          <w:highlight w:val="none"/>
        </w:rPr>
        <w:t>为实施</w:t>
      </w:r>
      <w:r>
        <w:rPr>
          <w:rFonts w:hint="eastAsia" w:ascii="宋体" w:hAnsi="宋体" w:eastAsia="宋体" w:cs="宋体"/>
          <w:b/>
          <w:bCs/>
          <w:color w:val="auto"/>
          <w:sz w:val="28"/>
          <w:szCs w:val="28"/>
          <w:highlight w:val="none"/>
          <w:u w:val="single"/>
          <w:lang w:val="en-US" w:eastAsia="zh-CN"/>
        </w:rPr>
        <w:t xml:space="preserve"> </w:t>
      </w:r>
      <w:r>
        <w:rPr>
          <w:rFonts w:hint="eastAsia" w:ascii="宋体" w:hAnsi="宋体" w:cs="宋体"/>
          <w:b/>
          <w:bCs/>
          <w:color w:val="auto"/>
          <w:sz w:val="28"/>
          <w:szCs w:val="28"/>
          <w:highlight w:val="none"/>
          <w:u w:val="single"/>
          <w:lang w:eastAsia="zh-CN"/>
        </w:rPr>
        <w:t>合浦县田寮水库标准化创建工程（土建部分）</w:t>
      </w:r>
      <w:r>
        <w:rPr>
          <w:rFonts w:hint="eastAsia" w:ascii="宋体" w:hAnsi="宋体" w:eastAsia="宋体" w:cs="宋体"/>
          <w:b/>
          <w:bCs/>
          <w:color w:val="auto"/>
          <w:sz w:val="28"/>
          <w:szCs w:val="28"/>
          <w:highlight w:val="none"/>
          <w:u w:val="single"/>
          <w:lang w:val="en-US" w:eastAsia="zh-CN"/>
        </w:rPr>
        <w:t xml:space="preserve"> </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rPr>
        <w:t>已接受</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b/>
          <w:bCs/>
          <w:color w:val="auto"/>
          <w:sz w:val="28"/>
          <w:szCs w:val="28"/>
          <w:highlight w:val="none"/>
          <w:u w:val="single"/>
          <w:lang w:val="en-US" w:eastAsia="zh-CN"/>
        </w:rPr>
        <w:t xml:space="preserve"> </w:t>
      </w:r>
      <w:r>
        <w:rPr>
          <w:rFonts w:hint="eastAsia" w:ascii="宋体" w:hAnsi="宋体" w:eastAsia="宋体" w:cs="宋体"/>
          <w:color w:val="auto"/>
          <w:sz w:val="28"/>
          <w:szCs w:val="28"/>
          <w:highlight w:val="none"/>
        </w:rPr>
        <w:t>（以下简称“承包人”）对该项目</w:t>
      </w:r>
      <w:r>
        <w:rPr>
          <w:rFonts w:hint="eastAsia" w:ascii="宋体" w:hAnsi="宋体" w:eastAsia="宋体" w:cs="宋体"/>
          <w:b/>
          <w:bCs/>
          <w:color w:val="auto"/>
          <w:sz w:val="28"/>
          <w:szCs w:val="28"/>
          <w:highlight w:val="none"/>
          <w:u w:val="single"/>
          <w:lang w:val="en-US" w:eastAsia="zh-CN"/>
        </w:rPr>
        <w:t xml:space="preserve"> </w:t>
      </w:r>
      <w:r>
        <w:rPr>
          <w:rFonts w:hint="eastAsia" w:ascii="宋体" w:hAnsi="宋体" w:cs="宋体"/>
          <w:b/>
          <w:bCs/>
          <w:color w:val="auto"/>
          <w:sz w:val="28"/>
          <w:szCs w:val="28"/>
          <w:highlight w:val="none"/>
          <w:u w:val="single"/>
          <w:lang w:eastAsia="zh-CN"/>
        </w:rPr>
        <w:t>合浦县田寮水库标准化创建工程（土建部分）</w:t>
      </w:r>
      <w:r>
        <w:rPr>
          <w:rFonts w:hint="eastAsia" w:ascii="宋体" w:hAnsi="宋体" w:eastAsia="宋体" w:cs="宋体"/>
          <w:b/>
          <w:bCs/>
          <w:color w:val="auto"/>
          <w:sz w:val="28"/>
          <w:szCs w:val="28"/>
          <w:highlight w:val="none"/>
          <w:u w:val="single"/>
          <w:lang w:val="en-US" w:eastAsia="zh-CN"/>
        </w:rPr>
        <w:t xml:space="preserve"> </w:t>
      </w:r>
      <w:r>
        <w:rPr>
          <w:rFonts w:hint="eastAsia" w:ascii="宋体" w:hAnsi="宋体" w:eastAsia="宋体" w:cs="宋体"/>
          <w:color w:val="auto"/>
          <w:sz w:val="28"/>
          <w:szCs w:val="28"/>
          <w:highlight w:val="none"/>
        </w:rPr>
        <w:t>的投标，并确定其为中标人。</w:t>
      </w:r>
      <w:r>
        <w:rPr>
          <w:rFonts w:hint="eastAsia" w:ascii="宋体" w:hAnsi="宋体" w:cs="宋体"/>
          <w:b w:val="0"/>
          <w:bCs w:val="0"/>
          <w:color w:val="auto"/>
          <w:sz w:val="28"/>
          <w:szCs w:val="28"/>
          <w:highlight w:val="none"/>
          <w:u w:val="none"/>
          <w:lang w:val="en-US" w:eastAsia="zh-CN"/>
        </w:rPr>
        <w:t>采购人</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lang w:val="en-US" w:eastAsia="zh-CN"/>
        </w:rPr>
        <w:t>建设单位</w:t>
      </w:r>
      <w:r>
        <w:rPr>
          <w:rFonts w:hint="eastAsia" w:ascii="宋体" w:hAnsi="宋体" w:eastAsia="宋体" w:cs="宋体"/>
          <w:color w:val="auto"/>
          <w:sz w:val="28"/>
          <w:szCs w:val="28"/>
          <w:highlight w:val="none"/>
        </w:rPr>
        <w:t>和承包人共同达成如下协议。</w:t>
      </w:r>
    </w:p>
    <w:p w14:paraId="4ADABB92">
      <w:pPr>
        <w:keepNext w:val="0"/>
        <w:keepLines w:val="0"/>
        <w:pageBreakBefore w:val="0"/>
        <w:widowControl/>
        <w:kinsoku w:val="0"/>
        <w:wordWrap/>
        <w:overflowPunct/>
        <w:topLinePunct w:val="0"/>
        <w:autoSpaceDE w:val="0"/>
        <w:autoSpaceDN w:val="0"/>
        <w:bidi w:val="0"/>
        <w:adjustRightInd w:val="0"/>
        <w:snapToGrid w:val="0"/>
        <w:spacing w:line="486" w:lineRule="exact"/>
        <w:ind w:firstLine="560" w:firstLineChars="200"/>
        <w:textAlignment w:val="baseline"/>
        <w:rPr>
          <w:rFonts w:hint="eastAsia" w:ascii="宋体" w:hAnsi="宋体" w:eastAsia="宋体" w:cs="宋体"/>
          <w:color w:val="auto"/>
          <w:sz w:val="28"/>
          <w:szCs w:val="28"/>
          <w:highlight w:val="none"/>
        </w:rPr>
      </w:pPr>
      <w:bookmarkStart w:id="53" w:name="_Toc168476288"/>
      <w:bookmarkStart w:id="54" w:name="_Toc144974828"/>
      <w:bookmarkStart w:id="55" w:name="_Toc168475885"/>
      <w:r>
        <w:rPr>
          <w:rFonts w:hint="eastAsia" w:ascii="宋体" w:hAnsi="宋体" w:eastAsia="宋体" w:cs="宋体"/>
          <w:color w:val="auto"/>
          <w:sz w:val="28"/>
          <w:szCs w:val="28"/>
          <w:highlight w:val="none"/>
        </w:rPr>
        <w:t>1. 本协议书与下列文件一起构成合同文件：</w:t>
      </w:r>
      <w:bookmarkEnd w:id="53"/>
      <w:bookmarkEnd w:id="54"/>
      <w:bookmarkEnd w:id="55"/>
    </w:p>
    <w:p w14:paraId="57BBB521">
      <w:pPr>
        <w:keepNext w:val="0"/>
        <w:keepLines w:val="0"/>
        <w:pageBreakBefore w:val="0"/>
        <w:widowControl/>
        <w:kinsoku w:val="0"/>
        <w:wordWrap/>
        <w:overflowPunct/>
        <w:topLinePunct w:val="0"/>
        <w:autoSpaceDE w:val="0"/>
        <w:autoSpaceDN w:val="0"/>
        <w:bidi w:val="0"/>
        <w:adjustRightInd w:val="0"/>
        <w:snapToGrid w:val="0"/>
        <w:spacing w:line="486" w:lineRule="exact"/>
        <w:ind w:firstLine="560" w:firstLineChars="200"/>
        <w:textAlignment w:val="baseline"/>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w:t>
      </w:r>
      <w:r>
        <w:rPr>
          <w:rFonts w:hint="eastAsia" w:ascii="宋体" w:hAnsi="宋体" w:cs="宋体"/>
          <w:color w:val="auto"/>
          <w:sz w:val="28"/>
          <w:szCs w:val="28"/>
          <w:highlight w:val="none"/>
          <w:lang w:eastAsia="zh-CN"/>
        </w:rPr>
        <w:t>成交</w:t>
      </w:r>
      <w:r>
        <w:rPr>
          <w:rFonts w:hint="eastAsia" w:ascii="宋体" w:hAnsi="宋体" w:eastAsia="宋体" w:cs="宋体"/>
          <w:color w:val="auto"/>
          <w:sz w:val="28"/>
          <w:szCs w:val="28"/>
          <w:highlight w:val="none"/>
        </w:rPr>
        <w:t>通知书；</w:t>
      </w:r>
    </w:p>
    <w:p w14:paraId="5F7666CE">
      <w:pPr>
        <w:keepNext w:val="0"/>
        <w:keepLines w:val="0"/>
        <w:pageBreakBefore w:val="0"/>
        <w:widowControl/>
        <w:kinsoku w:val="0"/>
        <w:wordWrap/>
        <w:overflowPunct/>
        <w:topLinePunct w:val="0"/>
        <w:autoSpaceDE w:val="0"/>
        <w:autoSpaceDN w:val="0"/>
        <w:bidi w:val="0"/>
        <w:adjustRightInd w:val="0"/>
        <w:snapToGrid w:val="0"/>
        <w:spacing w:line="486" w:lineRule="exact"/>
        <w:ind w:firstLine="560" w:firstLineChars="200"/>
        <w:textAlignment w:val="baseline"/>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w:t>
      </w:r>
      <w:r>
        <w:rPr>
          <w:rFonts w:hint="eastAsia" w:ascii="宋体" w:hAnsi="宋体" w:cs="宋体"/>
          <w:color w:val="auto"/>
          <w:sz w:val="28"/>
          <w:szCs w:val="28"/>
          <w:highlight w:val="none"/>
          <w:lang w:eastAsia="zh-CN"/>
        </w:rPr>
        <w:t>竞</w:t>
      </w:r>
      <w:r>
        <w:rPr>
          <w:rFonts w:hint="eastAsia" w:ascii="宋体" w:hAnsi="宋体" w:eastAsia="宋体" w:cs="宋体"/>
          <w:color w:val="auto"/>
          <w:sz w:val="28"/>
          <w:szCs w:val="28"/>
          <w:highlight w:val="none"/>
        </w:rPr>
        <w:t>标函及</w:t>
      </w:r>
      <w:r>
        <w:rPr>
          <w:rFonts w:hint="eastAsia" w:ascii="宋体" w:hAnsi="宋体" w:cs="宋体"/>
          <w:color w:val="auto"/>
          <w:sz w:val="28"/>
          <w:szCs w:val="28"/>
          <w:highlight w:val="none"/>
          <w:lang w:eastAsia="zh-CN"/>
        </w:rPr>
        <w:t>竞</w:t>
      </w:r>
      <w:r>
        <w:rPr>
          <w:rFonts w:hint="eastAsia" w:ascii="宋体" w:hAnsi="宋体" w:eastAsia="宋体" w:cs="宋体"/>
          <w:color w:val="auto"/>
          <w:sz w:val="28"/>
          <w:szCs w:val="28"/>
          <w:highlight w:val="none"/>
        </w:rPr>
        <w:t>标函附录；</w:t>
      </w:r>
    </w:p>
    <w:p w14:paraId="11216DF3">
      <w:pPr>
        <w:keepNext w:val="0"/>
        <w:keepLines w:val="0"/>
        <w:pageBreakBefore w:val="0"/>
        <w:widowControl/>
        <w:kinsoku w:val="0"/>
        <w:wordWrap/>
        <w:overflowPunct/>
        <w:topLinePunct w:val="0"/>
        <w:autoSpaceDE w:val="0"/>
        <w:autoSpaceDN w:val="0"/>
        <w:bidi w:val="0"/>
        <w:adjustRightInd w:val="0"/>
        <w:snapToGrid w:val="0"/>
        <w:spacing w:line="486" w:lineRule="exact"/>
        <w:ind w:firstLine="560" w:firstLineChars="200"/>
        <w:textAlignment w:val="baseline"/>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（3）专用合同条款(含附加条款)；</w:t>
      </w:r>
    </w:p>
    <w:p w14:paraId="48A9C8A3">
      <w:pPr>
        <w:keepNext w:val="0"/>
        <w:keepLines w:val="0"/>
        <w:pageBreakBefore w:val="0"/>
        <w:widowControl/>
        <w:kinsoku w:val="0"/>
        <w:wordWrap/>
        <w:overflowPunct/>
        <w:topLinePunct w:val="0"/>
        <w:autoSpaceDE w:val="0"/>
        <w:autoSpaceDN w:val="0"/>
        <w:bidi w:val="0"/>
        <w:adjustRightInd w:val="0"/>
        <w:snapToGrid w:val="0"/>
        <w:spacing w:line="486" w:lineRule="exact"/>
        <w:ind w:firstLine="560" w:firstLineChars="200"/>
        <w:textAlignment w:val="baseline"/>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（4）通用合同条款；</w:t>
      </w:r>
    </w:p>
    <w:p w14:paraId="16209DD5">
      <w:pPr>
        <w:keepNext w:val="0"/>
        <w:keepLines w:val="0"/>
        <w:pageBreakBefore w:val="0"/>
        <w:widowControl/>
        <w:kinsoku w:val="0"/>
        <w:wordWrap/>
        <w:overflowPunct/>
        <w:topLinePunct w:val="0"/>
        <w:autoSpaceDE w:val="0"/>
        <w:autoSpaceDN w:val="0"/>
        <w:bidi w:val="0"/>
        <w:adjustRightInd w:val="0"/>
        <w:snapToGrid w:val="0"/>
        <w:spacing w:line="486" w:lineRule="exact"/>
        <w:ind w:firstLine="560" w:firstLineChars="200"/>
        <w:textAlignment w:val="baseline"/>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（5）技术标准和要求(合同技术条款)；</w:t>
      </w:r>
    </w:p>
    <w:p w14:paraId="1B299BB6">
      <w:pPr>
        <w:keepNext w:val="0"/>
        <w:keepLines w:val="0"/>
        <w:pageBreakBefore w:val="0"/>
        <w:widowControl/>
        <w:kinsoku w:val="0"/>
        <w:wordWrap/>
        <w:overflowPunct/>
        <w:topLinePunct w:val="0"/>
        <w:autoSpaceDE w:val="0"/>
        <w:autoSpaceDN w:val="0"/>
        <w:bidi w:val="0"/>
        <w:adjustRightInd w:val="0"/>
        <w:snapToGrid w:val="0"/>
        <w:spacing w:line="486" w:lineRule="exact"/>
        <w:ind w:firstLine="560" w:firstLineChars="200"/>
        <w:textAlignment w:val="baseline"/>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（6）图纸；</w:t>
      </w:r>
    </w:p>
    <w:p w14:paraId="488D883F">
      <w:pPr>
        <w:keepNext w:val="0"/>
        <w:keepLines w:val="0"/>
        <w:pageBreakBefore w:val="0"/>
        <w:widowControl/>
        <w:kinsoku w:val="0"/>
        <w:wordWrap/>
        <w:overflowPunct/>
        <w:topLinePunct w:val="0"/>
        <w:autoSpaceDE w:val="0"/>
        <w:autoSpaceDN w:val="0"/>
        <w:bidi w:val="0"/>
        <w:adjustRightInd w:val="0"/>
        <w:snapToGrid w:val="0"/>
        <w:spacing w:line="486" w:lineRule="exact"/>
        <w:ind w:firstLine="560" w:firstLineChars="200"/>
        <w:textAlignment w:val="baseline"/>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（7）已标价工程量清单；</w:t>
      </w:r>
    </w:p>
    <w:p w14:paraId="5FBA9B75">
      <w:pPr>
        <w:keepNext w:val="0"/>
        <w:keepLines w:val="0"/>
        <w:pageBreakBefore w:val="0"/>
        <w:widowControl/>
        <w:kinsoku w:val="0"/>
        <w:wordWrap/>
        <w:overflowPunct/>
        <w:topLinePunct w:val="0"/>
        <w:autoSpaceDE w:val="0"/>
        <w:autoSpaceDN w:val="0"/>
        <w:bidi w:val="0"/>
        <w:adjustRightInd w:val="0"/>
        <w:snapToGrid w:val="0"/>
        <w:spacing w:line="486" w:lineRule="exact"/>
        <w:ind w:firstLine="560" w:firstLineChars="200"/>
        <w:textAlignment w:val="baseline"/>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（8）其他合同文件。</w:t>
      </w:r>
    </w:p>
    <w:p w14:paraId="08E67B64">
      <w:pPr>
        <w:keepNext w:val="0"/>
        <w:keepLines w:val="0"/>
        <w:pageBreakBefore w:val="0"/>
        <w:widowControl/>
        <w:kinsoku w:val="0"/>
        <w:wordWrap/>
        <w:overflowPunct/>
        <w:topLinePunct w:val="0"/>
        <w:autoSpaceDE w:val="0"/>
        <w:autoSpaceDN w:val="0"/>
        <w:bidi w:val="0"/>
        <w:adjustRightInd w:val="0"/>
        <w:snapToGrid w:val="0"/>
        <w:spacing w:line="486" w:lineRule="exact"/>
        <w:ind w:firstLine="560" w:firstLineChars="200"/>
        <w:textAlignment w:val="baseline"/>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双方有关工程洽商、变更等书面协议或文件视为本合同的组成部分。</w:t>
      </w:r>
    </w:p>
    <w:p w14:paraId="5D94815F">
      <w:pPr>
        <w:keepNext w:val="0"/>
        <w:keepLines w:val="0"/>
        <w:pageBreakBefore w:val="0"/>
        <w:widowControl/>
        <w:kinsoku w:val="0"/>
        <w:wordWrap/>
        <w:overflowPunct/>
        <w:topLinePunct w:val="0"/>
        <w:autoSpaceDE w:val="0"/>
        <w:autoSpaceDN w:val="0"/>
        <w:bidi w:val="0"/>
        <w:adjustRightInd w:val="0"/>
        <w:snapToGrid w:val="0"/>
        <w:spacing w:line="486" w:lineRule="exact"/>
        <w:ind w:firstLine="560" w:firstLineChars="200"/>
        <w:textAlignment w:val="baseline"/>
        <w:rPr>
          <w:rFonts w:hint="eastAsia" w:ascii="宋体" w:hAnsi="宋体" w:eastAsia="宋体" w:cs="宋体"/>
          <w:color w:val="auto"/>
          <w:sz w:val="28"/>
          <w:szCs w:val="28"/>
          <w:highlight w:val="none"/>
        </w:rPr>
      </w:pPr>
      <w:bookmarkStart w:id="56" w:name="_Toc168475886"/>
      <w:bookmarkStart w:id="57" w:name="_Toc144974829"/>
      <w:bookmarkStart w:id="58" w:name="_Toc168476289"/>
      <w:r>
        <w:rPr>
          <w:rFonts w:hint="eastAsia" w:ascii="宋体" w:hAnsi="宋体" w:eastAsia="宋体" w:cs="宋体"/>
          <w:color w:val="auto"/>
          <w:sz w:val="28"/>
          <w:szCs w:val="28"/>
          <w:highlight w:val="none"/>
        </w:rPr>
        <w:t>2. 上述文件互相补充和解释，如有不明确或不一致之处，以合同约定次序在先者为准。</w:t>
      </w:r>
      <w:bookmarkEnd w:id="56"/>
      <w:bookmarkEnd w:id="57"/>
      <w:bookmarkEnd w:id="58"/>
    </w:p>
    <w:p w14:paraId="3783FB1D">
      <w:pPr>
        <w:keepNext w:val="0"/>
        <w:keepLines w:val="0"/>
        <w:pageBreakBefore w:val="0"/>
        <w:widowControl/>
        <w:suppressLineNumbers w:val="0"/>
        <w:kinsoku w:val="0"/>
        <w:wordWrap/>
        <w:overflowPunct/>
        <w:topLinePunct w:val="0"/>
        <w:autoSpaceDE w:val="0"/>
        <w:autoSpaceDN w:val="0"/>
        <w:bidi w:val="0"/>
        <w:adjustRightInd w:val="0"/>
        <w:snapToGrid w:val="0"/>
        <w:spacing w:line="486" w:lineRule="exact"/>
        <w:ind w:firstLine="560" w:firstLineChars="200"/>
        <w:jc w:val="left"/>
        <w:textAlignment w:val="baseline"/>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 签约合同价：</w:t>
      </w:r>
      <w:r>
        <w:rPr>
          <w:rFonts w:hint="eastAsia" w:ascii="宋体" w:hAnsi="宋体" w:eastAsia="宋体" w:cs="宋体"/>
          <w:color w:val="auto"/>
          <w:spacing w:val="8"/>
          <w:sz w:val="28"/>
          <w:szCs w:val="28"/>
          <w:highlight w:val="none"/>
          <w:u w:val="single"/>
          <w:lang w:val="en-US" w:eastAsia="zh-CN"/>
        </w:rPr>
        <w:t xml:space="preserve">人民币（大写）       </w:t>
      </w:r>
      <w:r>
        <w:rPr>
          <w:rFonts w:hint="eastAsia" w:ascii="宋体" w:hAnsi="宋体" w:eastAsia="宋体" w:cs="宋体"/>
          <w:b/>
          <w:bCs/>
          <w:color w:val="auto"/>
          <w:sz w:val="28"/>
          <w:szCs w:val="28"/>
          <w:highlight w:val="none"/>
          <w:u w:val="single"/>
        </w:rPr>
        <w:t>，</w:t>
      </w:r>
      <w:r>
        <w:rPr>
          <w:rFonts w:hint="eastAsia" w:ascii="宋体" w:hAnsi="宋体" w:eastAsia="宋体" w:cs="宋体"/>
          <w:color w:val="auto"/>
          <w:sz w:val="28"/>
          <w:szCs w:val="28"/>
          <w:highlight w:val="none"/>
        </w:rPr>
        <w:t>承包方式为：</w:t>
      </w:r>
      <w:r>
        <w:rPr>
          <w:rFonts w:hint="eastAsia" w:ascii="宋体" w:hAnsi="宋体" w:eastAsia="宋体" w:cs="宋体"/>
          <w:color w:val="auto"/>
          <w:sz w:val="28"/>
          <w:szCs w:val="28"/>
          <w:highlight w:val="none"/>
          <w:u w:val="single"/>
          <w:lang w:val="en-US" w:eastAsia="zh-CN"/>
        </w:rPr>
        <w:t xml:space="preserve"> </w:t>
      </w:r>
      <w:r>
        <w:rPr>
          <w:rFonts w:hint="eastAsia" w:asciiTheme="minorEastAsia" w:hAnsiTheme="minorEastAsia" w:eastAsiaTheme="minorEastAsia" w:cstheme="minorEastAsia"/>
          <w:b/>
          <w:color w:val="auto"/>
          <w:sz w:val="28"/>
          <w:szCs w:val="28"/>
          <w:highlight w:val="none"/>
          <w:u w:val="single"/>
        </w:rPr>
        <w:t>固定单价承包</w:t>
      </w:r>
      <w:r>
        <w:rPr>
          <w:rFonts w:hint="eastAsia" w:asciiTheme="minorEastAsia" w:hAnsiTheme="minorEastAsia" w:eastAsiaTheme="minorEastAsia" w:cstheme="minorEastAsia"/>
          <w:b/>
          <w:color w:val="auto"/>
          <w:sz w:val="28"/>
          <w:szCs w:val="28"/>
          <w:highlight w:val="none"/>
          <w:u w:val="single"/>
          <w:lang w:val="en-US" w:eastAsia="zh-CN"/>
        </w:rPr>
        <w:t xml:space="preserve"> </w:t>
      </w:r>
      <w:r>
        <w:rPr>
          <w:rFonts w:hint="eastAsia" w:ascii="宋体" w:hAnsi="宋体" w:eastAsia="宋体" w:cs="宋体"/>
          <w:b/>
          <w:bCs/>
          <w:color w:val="auto"/>
          <w:sz w:val="28"/>
          <w:szCs w:val="28"/>
          <w:highlight w:val="none"/>
          <w:u w:val="single"/>
          <w:lang w:val="en-US" w:eastAsia="zh-CN"/>
        </w:rPr>
        <w:t xml:space="preserve"> </w:t>
      </w:r>
      <w:r>
        <w:rPr>
          <w:rFonts w:hint="eastAsia" w:ascii="宋体" w:hAnsi="宋体" w:eastAsia="宋体" w:cs="宋体"/>
          <w:color w:val="auto"/>
          <w:sz w:val="28"/>
          <w:szCs w:val="28"/>
          <w:highlight w:val="none"/>
        </w:rPr>
        <w:t>。</w:t>
      </w:r>
    </w:p>
    <w:p w14:paraId="0580F9F2">
      <w:pPr>
        <w:keepNext w:val="0"/>
        <w:keepLines w:val="0"/>
        <w:pageBreakBefore w:val="0"/>
        <w:widowControl/>
        <w:kinsoku w:val="0"/>
        <w:wordWrap/>
        <w:overflowPunct/>
        <w:topLinePunct w:val="0"/>
        <w:autoSpaceDE w:val="0"/>
        <w:autoSpaceDN w:val="0"/>
        <w:bidi w:val="0"/>
        <w:adjustRightInd w:val="0"/>
        <w:snapToGrid w:val="0"/>
        <w:spacing w:line="486" w:lineRule="exact"/>
        <w:ind w:firstLine="560" w:firstLineChars="200"/>
        <w:textAlignment w:val="baseline"/>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4. 承包人项目经理：</w:t>
      </w:r>
      <w:r>
        <w:rPr>
          <w:rFonts w:hint="eastAsia" w:ascii="宋体" w:hAnsi="宋体" w:eastAsia="宋体" w:cs="宋体"/>
          <w:b/>
          <w:bCs/>
          <w:color w:val="auto"/>
          <w:sz w:val="28"/>
          <w:szCs w:val="28"/>
          <w:highlight w:val="none"/>
          <w:u w:val="single"/>
          <w:lang w:val="en-US" w:eastAsia="zh-CN"/>
        </w:rPr>
        <w:t xml:space="preserve"> </w:t>
      </w:r>
      <w:r>
        <w:rPr>
          <w:rFonts w:hint="eastAsia" w:ascii="宋体" w:hAnsi="宋体" w:eastAsia="宋体" w:cs="宋体"/>
          <w:color w:val="auto"/>
          <w:spacing w:val="8"/>
          <w:sz w:val="28"/>
          <w:szCs w:val="28"/>
          <w:highlight w:val="none"/>
          <w:u w:val="single"/>
          <w:lang w:val="en-US" w:eastAsia="zh-CN"/>
        </w:rPr>
        <w:t xml:space="preserve">          </w:t>
      </w:r>
      <w:r>
        <w:rPr>
          <w:rFonts w:hint="eastAsia" w:ascii="宋体" w:hAnsi="宋体" w:eastAsia="宋体" w:cs="宋体"/>
          <w:b/>
          <w:bCs/>
          <w:color w:val="auto"/>
          <w:sz w:val="28"/>
          <w:szCs w:val="28"/>
          <w:highlight w:val="none"/>
          <w:u w:val="single"/>
        </w:rPr>
        <w:t>。</w:t>
      </w:r>
    </w:p>
    <w:p w14:paraId="403AE2CD">
      <w:pPr>
        <w:keepNext w:val="0"/>
        <w:keepLines w:val="0"/>
        <w:pageBreakBefore w:val="0"/>
        <w:kinsoku w:val="0"/>
        <w:wordWrap/>
        <w:overflowPunct/>
        <w:topLinePunct w:val="0"/>
        <w:autoSpaceDE w:val="0"/>
        <w:autoSpaceDN w:val="0"/>
        <w:bidi w:val="0"/>
        <w:adjustRightInd w:val="0"/>
        <w:snapToGrid w:val="0"/>
        <w:spacing w:line="486" w:lineRule="exact"/>
        <w:ind w:firstLine="560" w:firstLineChars="200"/>
        <w:textAlignment w:val="baseline"/>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5. 工程质量符合</w:t>
      </w:r>
      <w:r>
        <w:rPr>
          <w:rFonts w:hint="eastAsia" w:ascii="宋体" w:hAnsi="宋体" w:eastAsia="宋体" w:cs="宋体"/>
          <w:b/>
          <w:bCs/>
          <w:color w:val="auto"/>
          <w:sz w:val="28"/>
          <w:szCs w:val="28"/>
          <w:highlight w:val="none"/>
          <w:u w:val="single"/>
        </w:rPr>
        <w:t xml:space="preserve"> </w:t>
      </w:r>
      <w:r>
        <w:rPr>
          <w:rFonts w:hint="eastAsia" w:ascii="宋体" w:hAnsi="宋体" w:eastAsia="宋体" w:cs="宋体"/>
          <w:b/>
          <w:bCs/>
          <w:color w:val="auto"/>
          <w:sz w:val="28"/>
          <w:szCs w:val="28"/>
          <w:highlight w:val="none"/>
          <w:u w:val="single"/>
          <w:lang w:val="en-US" w:eastAsia="zh-CN"/>
        </w:rPr>
        <w:t>合格</w:t>
      </w:r>
      <w:r>
        <w:rPr>
          <w:rFonts w:hint="eastAsia" w:ascii="宋体" w:hAnsi="宋体" w:eastAsia="宋体" w:cs="宋体"/>
          <w:b/>
          <w:bCs/>
          <w:color w:val="auto"/>
          <w:sz w:val="28"/>
          <w:szCs w:val="28"/>
          <w:highlight w:val="none"/>
          <w:u w:val="single"/>
        </w:rPr>
        <w:t xml:space="preserve"> </w:t>
      </w:r>
      <w:r>
        <w:rPr>
          <w:rFonts w:hint="eastAsia" w:ascii="宋体" w:hAnsi="宋体" w:eastAsia="宋体" w:cs="宋体"/>
          <w:color w:val="auto"/>
          <w:sz w:val="28"/>
          <w:szCs w:val="28"/>
          <w:highlight w:val="none"/>
        </w:rPr>
        <w:t>标准。</w:t>
      </w:r>
    </w:p>
    <w:p w14:paraId="596CFBBA">
      <w:pPr>
        <w:keepNext w:val="0"/>
        <w:keepLines w:val="0"/>
        <w:pageBreakBefore w:val="0"/>
        <w:kinsoku w:val="0"/>
        <w:wordWrap/>
        <w:overflowPunct/>
        <w:topLinePunct w:val="0"/>
        <w:autoSpaceDE w:val="0"/>
        <w:autoSpaceDN w:val="0"/>
        <w:bidi w:val="0"/>
        <w:adjustRightInd w:val="0"/>
        <w:snapToGrid w:val="0"/>
        <w:spacing w:line="486" w:lineRule="exact"/>
        <w:ind w:firstLine="560" w:firstLineChars="200"/>
        <w:textAlignment w:val="baseline"/>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6. 承包人承诺按合同约定承担工程的实施、完成及缺陷修复。</w:t>
      </w:r>
    </w:p>
    <w:p w14:paraId="1E7167DE">
      <w:pPr>
        <w:keepNext w:val="0"/>
        <w:keepLines w:val="0"/>
        <w:pageBreakBefore w:val="0"/>
        <w:widowControl w:val="0"/>
        <w:kinsoku w:val="0"/>
        <w:wordWrap/>
        <w:overflowPunct/>
        <w:topLinePunct w:val="0"/>
        <w:autoSpaceDE w:val="0"/>
        <w:autoSpaceDN w:val="0"/>
        <w:bidi w:val="0"/>
        <w:adjustRightInd w:val="0"/>
        <w:snapToGrid w:val="0"/>
        <w:spacing w:line="486" w:lineRule="exact"/>
        <w:ind w:firstLine="560" w:firstLineChars="200"/>
        <w:textAlignment w:val="baseline"/>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7. </w:t>
      </w:r>
      <w:r>
        <w:rPr>
          <w:rFonts w:hint="eastAsia" w:ascii="宋体" w:hAnsi="宋体" w:eastAsia="宋体" w:cs="宋体"/>
          <w:color w:val="auto"/>
          <w:sz w:val="28"/>
          <w:szCs w:val="28"/>
          <w:highlight w:val="none"/>
          <w:lang w:eastAsia="zh-CN"/>
        </w:rPr>
        <w:t>建设单位</w:t>
      </w:r>
      <w:r>
        <w:rPr>
          <w:rFonts w:hint="eastAsia" w:ascii="宋体" w:hAnsi="宋体" w:eastAsia="宋体" w:cs="宋体"/>
          <w:color w:val="auto"/>
          <w:sz w:val="28"/>
          <w:szCs w:val="28"/>
          <w:highlight w:val="none"/>
        </w:rPr>
        <w:t>承诺按合同约定的条件、时间和方式向承包人支付合同价款。</w:t>
      </w:r>
    </w:p>
    <w:p w14:paraId="56E91370">
      <w:pPr>
        <w:keepNext w:val="0"/>
        <w:keepLines w:val="0"/>
        <w:pageBreakBefore w:val="0"/>
        <w:widowControl w:val="0"/>
        <w:kinsoku w:val="0"/>
        <w:wordWrap/>
        <w:overflowPunct/>
        <w:topLinePunct w:val="0"/>
        <w:autoSpaceDE w:val="0"/>
        <w:autoSpaceDN w:val="0"/>
        <w:bidi w:val="0"/>
        <w:adjustRightInd w:val="0"/>
        <w:snapToGrid w:val="0"/>
        <w:spacing w:line="486" w:lineRule="exact"/>
        <w:ind w:firstLine="560" w:firstLineChars="200"/>
        <w:textAlignment w:val="baseline"/>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8. 承包人承诺执行监理人开工通知，计划工期为</w:t>
      </w:r>
      <w:r>
        <w:rPr>
          <w:rFonts w:hint="eastAsia" w:ascii="宋体" w:hAnsi="宋体" w:eastAsia="宋体" w:cs="宋体"/>
          <w:b/>
          <w:bCs/>
          <w:color w:val="auto"/>
          <w:sz w:val="28"/>
          <w:szCs w:val="28"/>
          <w:highlight w:val="none"/>
          <w:u w:val="single"/>
          <w:lang w:val="en-US" w:eastAsia="zh-CN"/>
        </w:rPr>
        <w:t xml:space="preserve"> </w:t>
      </w:r>
      <w:r>
        <w:rPr>
          <w:rFonts w:hint="eastAsia" w:ascii="宋体" w:hAnsi="宋体" w:cs="宋体"/>
          <w:b/>
          <w:bCs/>
          <w:color w:val="auto"/>
          <w:sz w:val="28"/>
          <w:szCs w:val="28"/>
          <w:highlight w:val="none"/>
          <w:u w:val="single"/>
          <w:lang w:val="en-US" w:eastAsia="zh-CN"/>
        </w:rPr>
        <w:t xml:space="preserve">     </w:t>
      </w:r>
      <w:r>
        <w:rPr>
          <w:rFonts w:hint="eastAsia" w:ascii="宋体" w:hAnsi="宋体" w:eastAsia="宋体" w:cs="宋体"/>
          <w:b/>
          <w:bCs/>
          <w:color w:val="auto"/>
          <w:sz w:val="28"/>
          <w:szCs w:val="28"/>
          <w:highlight w:val="none"/>
          <w:u w:val="single"/>
        </w:rPr>
        <w:t>日历天</w:t>
      </w:r>
      <w:r>
        <w:rPr>
          <w:rFonts w:hint="eastAsia" w:ascii="宋体" w:hAnsi="宋体" w:eastAsia="宋体" w:cs="宋体"/>
          <w:color w:val="auto"/>
          <w:sz w:val="28"/>
          <w:szCs w:val="28"/>
          <w:highlight w:val="none"/>
        </w:rPr>
        <w:t>。</w:t>
      </w:r>
    </w:p>
    <w:p w14:paraId="3DCD4542">
      <w:pPr>
        <w:keepNext w:val="0"/>
        <w:keepLines w:val="0"/>
        <w:pageBreakBefore w:val="0"/>
        <w:widowControl w:val="0"/>
        <w:kinsoku w:val="0"/>
        <w:wordWrap/>
        <w:overflowPunct/>
        <w:topLinePunct w:val="0"/>
        <w:autoSpaceDE w:val="0"/>
        <w:autoSpaceDN w:val="0"/>
        <w:bidi w:val="0"/>
        <w:adjustRightInd w:val="0"/>
        <w:snapToGrid w:val="0"/>
        <w:spacing w:line="486" w:lineRule="exact"/>
        <w:ind w:firstLine="560" w:firstLineChars="200"/>
        <w:textAlignment w:val="baseline"/>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9. </w:t>
      </w:r>
      <w:r>
        <w:rPr>
          <w:rFonts w:hint="eastAsia" w:asciiTheme="minorEastAsia" w:hAnsiTheme="minorEastAsia" w:eastAsiaTheme="minorEastAsia" w:cstheme="minorEastAsia"/>
          <w:color w:val="auto"/>
          <w:sz w:val="28"/>
          <w:szCs w:val="28"/>
          <w:highlight w:val="none"/>
        </w:rPr>
        <w:t xml:space="preserve"> 本协议书一式</w:t>
      </w:r>
      <w:r>
        <w:rPr>
          <w:rFonts w:hint="eastAsia" w:asciiTheme="minorEastAsia" w:hAnsiTheme="minorEastAsia" w:eastAsiaTheme="minorEastAsia" w:cstheme="minorEastAsia"/>
          <w:b/>
          <w:color w:val="auto"/>
          <w:sz w:val="28"/>
          <w:szCs w:val="28"/>
          <w:highlight w:val="none"/>
          <w:u w:val="single"/>
        </w:rPr>
        <w:t xml:space="preserve"> 拾</w:t>
      </w:r>
      <w:r>
        <w:rPr>
          <w:rFonts w:hint="eastAsia" w:asciiTheme="minorEastAsia" w:hAnsiTheme="minorEastAsia" w:eastAsiaTheme="minorEastAsia" w:cstheme="minorEastAsia"/>
          <w:b/>
          <w:color w:val="auto"/>
          <w:sz w:val="28"/>
          <w:szCs w:val="28"/>
          <w:highlight w:val="none"/>
          <w:u w:val="single"/>
          <w:lang w:val="en-US" w:eastAsia="zh-CN"/>
        </w:rPr>
        <w:t xml:space="preserve"> </w:t>
      </w:r>
      <w:r>
        <w:rPr>
          <w:rFonts w:hint="eastAsia" w:asciiTheme="minorEastAsia" w:hAnsiTheme="minorEastAsia" w:eastAsiaTheme="minorEastAsia" w:cstheme="minorEastAsia"/>
          <w:color w:val="auto"/>
          <w:sz w:val="28"/>
          <w:szCs w:val="28"/>
          <w:highlight w:val="none"/>
        </w:rPr>
        <w:t>份，其中正本</w:t>
      </w:r>
      <w:r>
        <w:rPr>
          <w:rFonts w:hint="eastAsia" w:asciiTheme="minorEastAsia" w:hAnsiTheme="minorEastAsia" w:eastAsiaTheme="minorEastAsia" w:cstheme="minorEastAsia"/>
          <w:b/>
          <w:color w:val="auto"/>
          <w:sz w:val="28"/>
          <w:szCs w:val="28"/>
          <w:highlight w:val="none"/>
          <w:u w:val="single"/>
        </w:rPr>
        <w:t xml:space="preserve"> 贰</w:t>
      </w:r>
      <w:r>
        <w:rPr>
          <w:rFonts w:hint="eastAsia" w:asciiTheme="minorEastAsia" w:hAnsiTheme="minorEastAsia" w:eastAsiaTheme="minorEastAsia" w:cstheme="minorEastAsia"/>
          <w:b/>
          <w:color w:val="auto"/>
          <w:sz w:val="28"/>
          <w:szCs w:val="28"/>
          <w:highlight w:val="none"/>
          <w:u w:val="single"/>
          <w:lang w:val="en-US" w:eastAsia="zh-CN"/>
        </w:rPr>
        <w:t xml:space="preserve"> </w:t>
      </w:r>
      <w:r>
        <w:rPr>
          <w:rFonts w:hint="eastAsia" w:asciiTheme="minorEastAsia" w:hAnsiTheme="minorEastAsia" w:eastAsiaTheme="minorEastAsia" w:cstheme="minorEastAsia"/>
          <w:color w:val="auto"/>
          <w:sz w:val="28"/>
          <w:szCs w:val="28"/>
          <w:highlight w:val="none"/>
        </w:rPr>
        <w:t>份，双方各执壹份，副本</w:t>
      </w:r>
      <w:r>
        <w:rPr>
          <w:rFonts w:hint="eastAsia" w:asciiTheme="minorEastAsia" w:hAnsiTheme="minorEastAsia" w:eastAsiaTheme="minorEastAsia" w:cstheme="minorEastAsia"/>
          <w:b/>
          <w:color w:val="auto"/>
          <w:sz w:val="28"/>
          <w:szCs w:val="28"/>
          <w:highlight w:val="none"/>
          <w:u w:val="single"/>
          <w:lang w:val="en-US" w:eastAsia="zh-CN"/>
        </w:rPr>
        <w:t xml:space="preserve"> </w:t>
      </w:r>
      <w:r>
        <w:rPr>
          <w:rFonts w:hint="eastAsia"/>
          <w:b/>
          <w:color w:val="auto"/>
          <w:sz w:val="28"/>
          <w:szCs w:val="28"/>
          <w:highlight w:val="none"/>
          <w:u w:val="single"/>
        </w:rPr>
        <w:t>捌</w:t>
      </w:r>
      <w:r>
        <w:rPr>
          <w:rFonts w:hint="eastAsia" w:asciiTheme="minorEastAsia" w:hAnsiTheme="minorEastAsia" w:eastAsiaTheme="minorEastAsia" w:cstheme="minorEastAsia"/>
          <w:b/>
          <w:color w:val="auto"/>
          <w:sz w:val="28"/>
          <w:szCs w:val="28"/>
          <w:highlight w:val="none"/>
          <w:u w:val="single"/>
          <w:lang w:val="en-US" w:eastAsia="zh-CN"/>
        </w:rPr>
        <w:t xml:space="preserve"> </w:t>
      </w:r>
      <w:r>
        <w:rPr>
          <w:rFonts w:hint="eastAsia" w:asciiTheme="minorEastAsia" w:hAnsiTheme="minorEastAsia" w:eastAsiaTheme="minorEastAsia" w:cstheme="minorEastAsia"/>
          <w:color w:val="auto"/>
          <w:sz w:val="28"/>
          <w:szCs w:val="28"/>
          <w:highlight w:val="none"/>
        </w:rPr>
        <w:t>份，</w:t>
      </w:r>
      <w:r>
        <w:rPr>
          <w:rFonts w:hint="eastAsia" w:asciiTheme="minorEastAsia" w:hAnsiTheme="minorEastAsia" w:eastAsiaTheme="minorEastAsia" w:cstheme="minorEastAsia"/>
          <w:color w:val="auto"/>
          <w:sz w:val="28"/>
          <w:szCs w:val="28"/>
          <w:highlight w:val="none"/>
          <w:lang w:eastAsia="zh-CN"/>
        </w:rPr>
        <w:t>建设单位</w:t>
      </w:r>
      <w:r>
        <w:rPr>
          <w:rFonts w:hint="eastAsia" w:asciiTheme="minorEastAsia" w:hAnsiTheme="minorEastAsia" w:eastAsiaTheme="minorEastAsia" w:cstheme="minorEastAsia"/>
          <w:color w:val="auto"/>
          <w:sz w:val="28"/>
          <w:szCs w:val="28"/>
          <w:highlight w:val="none"/>
        </w:rPr>
        <w:t>执</w:t>
      </w:r>
      <w:r>
        <w:rPr>
          <w:rFonts w:hint="eastAsia" w:asciiTheme="minorEastAsia" w:hAnsiTheme="minorEastAsia" w:eastAsiaTheme="minorEastAsia" w:cstheme="minorEastAsia"/>
          <w:color w:val="auto"/>
          <w:sz w:val="28"/>
          <w:szCs w:val="28"/>
          <w:highlight w:val="none"/>
          <w:u w:val="single"/>
        </w:rPr>
        <w:t xml:space="preserve"> </w:t>
      </w:r>
      <w:r>
        <w:rPr>
          <w:rFonts w:hint="eastAsia"/>
          <w:b/>
          <w:color w:val="auto"/>
          <w:sz w:val="28"/>
          <w:szCs w:val="28"/>
          <w:highlight w:val="none"/>
          <w:u w:val="single"/>
        </w:rPr>
        <w:t>陆</w:t>
      </w:r>
      <w:r>
        <w:rPr>
          <w:rFonts w:hint="eastAsia" w:asciiTheme="minorEastAsia" w:hAnsiTheme="minorEastAsia" w:eastAsiaTheme="minorEastAsia" w:cstheme="minorEastAsia"/>
          <w:b/>
          <w:color w:val="auto"/>
          <w:sz w:val="28"/>
          <w:szCs w:val="28"/>
          <w:highlight w:val="none"/>
          <w:u w:val="single"/>
        </w:rPr>
        <w:t xml:space="preserve"> </w:t>
      </w:r>
      <w:r>
        <w:rPr>
          <w:rFonts w:hint="eastAsia" w:asciiTheme="minorEastAsia" w:hAnsiTheme="minorEastAsia" w:eastAsiaTheme="minorEastAsia" w:cstheme="minorEastAsia"/>
          <w:color w:val="auto"/>
          <w:sz w:val="28"/>
          <w:szCs w:val="28"/>
          <w:highlight w:val="none"/>
        </w:rPr>
        <w:t>份，承包人执</w:t>
      </w:r>
      <w:r>
        <w:rPr>
          <w:rFonts w:hint="eastAsia" w:asciiTheme="minorEastAsia" w:hAnsiTheme="minorEastAsia" w:eastAsiaTheme="minorEastAsia" w:cstheme="minorEastAsia"/>
          <w:color w:val="auto"/>
          <w:sz w:val="28"/>
          <w:szCs w:val="28"/>
          <w:highlight w:val="none"/>
          <w:u w:val="single"/>
        </w:rPr>
        <w:t xml:space="preserve"> </w:t>
      </w:r>
      <w:r>
        <w:rPr>
          <w:rFonts w:hint="eastAsia" w:asciiTheme="minorEastAsia" w:hAnsiTheme="minorEastAsia" w:eastAsiaTheme="minorEastAsia" w:cstheme="minorEastAsia"/>
          <w:b/>
          <w:color w:val="auto"/>
          <w:sz w:val="28"/>
          <w:szCs w:val="28"/>
          <w:highlight w:val="none"/>
          <w:u w:val="single"/>
        </w:rPr>
        <w:t>贰</w:t>
      </w:r>
      <w:r>
        <w:rPr>
          <w:rFonts w:hint="eastAsia" w:asciiTheme="minorEastAsia" w:hAnsiTheme="minorEastAsia" w:eastAsiaTheme="minorEastAsia" w:cstheme="minorEastAsia"/>
          <w:b/>
          <w:color w:val="auto"/>
          <w:sz w:val="28"/>
          <w:szCs w:val="28"/>
          <w:highlight w:val="none"/>
          <w:u w:val="single"/>
          <w:lang w:val="en-US" w:eastAsia="zh-CN"/>
        </w:rPr>
        <w:t xml:space="preserve">  </w:t>
      </w:r>
      <w:r>
        <w:rPr>
          <w:rFonts w:hint="eastAsia" w:asciiTheme="minorEastAsia" w:hAnsiTheme="minorEastAsia" w:eastAsiaTheme="minorEastAsia" w:cstheme="minorEastAsia"/>
          <w:color w:val="auto"/>
          <w:sz w:val="28"/>
          <w:szCs w:val="28"/>
          <w:highlight w:val="none"/>
        </w:rPr>
        <w:t>份。</w:t>
      </w:r>
    </w:p>
    <w:p w14:paraId="6081B5F5">
      <w:pPr>
        <w:keepNext w:val="0"/>
        <w:keepLines w:val="0"/>
        <w:pageBreakBefore w:val="0"/>
        <w:widowControl w:val="0"/>
        <w:kinsoku w:val="0"/>
        <w:wordWrap/>
        <w:overflowPunct/>
        <w:topLinePunct w:val="0"/>
        <w:autoSpaceDE w:val="0"/>
        <w:autoSpaceDN w:val="0"/>
        <w:bidi w:val="0"/>
        <w:adjustRightInd w:val="0"/>
        <w:snapToGrid w:val="0"/>
        <w:spacing w:line="486" w:lineRule="exact"/>
        <w:ind w:firstLine="560" w:firstLineChars="200"/>
        <w:textAlignment w:val="baseline"/>
        <w:rPr>
          <w:rFonts w:hint="eastAsia" w:ascii="宋体" w:hAnsi="宋体" w:eastAsia="宋体" w:cs="宋体"/>
          <w:color w:val="auto"/>
          <w:sz w:val="28"/>
          <w:szCs w:val="28"/>
          <w:highlight w:val="none"/>
        </w:rPr>
      </w:pPr>
      <w:bookmarkStart w:id="59" w:name="_Toc168476290"/>
      <w:bookmarkStart w:id="60" w:name="_Toc144974830"/>
      <w:bookmarkStart w:id="61" w:name="_Toc168475887"/>
      <w:r>
        <w:rPr>
          <w:rFonts w:hint="eastAsia" w:ascii="宋体" w:hAnsi="宋体" w:eastAsia="宋体" w:cs="宋体"/>
          <w:color w:val="auto"/>
          <w:sz w:val="28"/>
          <w:szCs w:val="28"/>
          <w:highlight w:val="none"/>
        </w:rPr>
        <w:t>10. 合同未尽事宜，双方另行签订补充协议。补充协议是合同的组成部分。</w:t>
      </w:r>
      <w:bookmarkEnd w:id="59"/>
      <w:bookmarkEnd w:id="60"/>
      <w:bookmarkEnd w:id="61"/>
    </w:p>
    <w:p w14:paraId="5CBC4B30">
      <w:pPr>
        <w:keepNext w:val="0"/>
        <w:keepLines w:val="0"/>
        <w:pageBreakBefore w:val="0"/>
        <w:widowControl w:val="0"/>
        <w:kinsoku/>
        <w:wordWrap/>
        <w:overflowPunct/>
        <w:topLinePunct w:val="0"/>
        <w:autoSpaceDE/>
        <w:autoSpaceDN/>
        <w:bidi w:val="0"/>
        <w:adjustRightInd/>
        <w:snapToGrid/>
        <w:spacing w:line="600" w:lineRule="exact"/>
        <w:ind w:left="6479" w:right="-706" w:rightChars="-336" w:hanging="5414" w:hangingChars="2314"/>
        <w:textAlignment w:val="auto"/>
        <w:rPr>
          <w:rFonts w:hint="eastAsia" w:asciiTheme="minorEastAsia" w:hAnsiTheme="minorEastAsia" w:eastAsiaTheme="minorEastAsia" w:cstheme="minorEastAsia"/>
          <w:color w:val="auto"/>
          <w:spacing w:val="-23"/>
          <w:sz w:val="28"/>
          <w:szCs w:val="28"/>
          <w:highlight w:val="none"/>
        </w:rPr>
      </w:pPr>
    </w:p>
    <w:p w14:paraId="25A938D0">
      <w:pPr>
        <w:keepNext w:val="0"/>
        <w:keepLines w:val="0"/>
        <w:pageBreakBefore w:val="0"/>
        <w:widowControl w:val="0"/>
        <w:kinsoku/>
        <w:wordWrap/>
        <w:overflowPunct/>
        <w:topLinePunct w:val="0"/>
        <w:autoSpaceDE/>
        <w:autoSpaceDN/>
        <w:bidi w:val="0"/>
        <w:adjustRightInd/>
        <w:snapToGrid/>
        <w:spacing w:line="560" w:lineRule="exact"/>
        <w:ind w:left="0" w:right="-105" w:rightChars="-50" w:hanging="5414" w:hangingChars="2314"/>
        <w:textAlignment w:val="auto"/>
        <w:rPr>
          <w:rFonts w:hint="eastAsia" w:asciiTheme="minorEastAsia" w:hAnsiTheme="minorEastAsia" w:eastAsiaTheme="minorEastAsia" w:cstheme="minorEastAsia"/>
          <w:color w:val="auto"/>
          <w:spacing w:val="-23"/>
          <w:sz w:val="28"/>
          <w:szCs w:val="28"/>
          <w:highlight w:val="none"/>
          <w:u w:val="single"/>
        </w:rPr>
      </w:pPr>
      <w:r>
        <w:rPr>
          <w:rFonts w:hint="eastAsia" w:asciiTheme="minorEastAsia" w:hAnsiTheme="minorEastAsia" w:eastAsiaTheme="minorEastAsia" w:cstheme="minorEastAsia"/>
          <w:color w:val="auto"/>
          <w:spacing w:val="-23"/>
          <w:sz w:val="28"/>
          <w:szCs w:val="28"/>
          <w:highlight w:val="none"/>
          <w:lang w:val="en-US" w:eastAsia="zh-CN"/>
        </w:rPr>
        <w:t>采购人</w:t>
      </w:r>
      <w:r>
        <w:rPr>
          <w:rFonts w:hint="eastAsia" w:asciiTheme="minorEastAsia" w:hAnsiTheme="minorEastAsia" w:eastAsiaTheme="minorEastAsia" w:cstheme="minorEastAsia"/>
          <w:color w:val="auto"/>
          <w:spacing w:val="-23"/>
          <w:sz w:val="28"/>
          <w:szCs w:val="28"/>
          <w:highlight w:val="none"/>
        </w:rPr>
        <w:t>（盖章）：</w:t>
      </w:r>
      <w:r>
        <w:rPr>
          <w:rFonts w:hint="eastAsia" w:asciiTheme="minorEastAsia" w:hAnsiTheme="minorEastAsia" w:eastAsiaTheme="minorEastAsia" w:cstheme="minorEastAsia"/>
          <w:color w:val="auto"/>
          <w:spacing w:val="-23"/>
          <w:sz w:val="28"/>
          <w:szCs w:val="28"/>
          <w:highlight w:val="none"/>
          <w:u w:val="single"/>
          <w:lang w:val="en-US" w:eastAsia="zh-CN"/>
        </w:rPr>
        <w:t xml:space="preserve"> </w:t>
      </w:r>
      <w:r>
        <w:rPr>
          <w:rFonts w:hint="eastAsia" w:asciiTheme="minorEastAsia" w:hAnsiTheme="minorEastAsia" w:eastAsiaTheme="minorEastAsia" w:cstheme="minorEastAsia"/>
          <w:color w:val="auto"/>
          <w:spacing w:val="0"/>
          <w:sz w:val="28"/>
          <w:szCs w:val="28"/>
          <w:highlight w:val="none"/>
          <w:u w:val="single"/>
          <w:lang w:val="en-US" w:eastAsia="zh-CN"/>
        </w:rPr>
        <w:t xml:space="preserve">合浦县水利局 </w:t>
      </w:r>
      <w:r>
        <w:rPr>
          <w:rFonts w:hint="eastAsia" w:asciiTheme="minorEastAsia" w:hAnsiTheme="minorEastAsia" w:eastAsiaTheme="minorEastAsia" w:cstheme="minorEastAsia"/>
          <w:color w:val="auto"/>
          <w:spacing w:val="-23"/>
          <w:sz w:val="28"/>
          <w:szCs w:val="28"/>
          <w:highlight w:val="none"/>
          <w:u w:val="none"/>
          <w:lang w:val="en-US" w:eastAsia="zh-CN"/>
        </w:rPr>
        <w:t xml:space="preserve">       </w:t>
      </w:r>
      <w:r>
        <w:rPr>
          <w:rFonts w:hint="eastAsia" w:asciiTheme="minorEastAsia" w:hAnsiTheme="minorEastAsia" w:eastAsiaTheme="minorEastAsia" w:cstheme="minorEastAsia"/>
          <w:color w:val="auto"/>
          <w:spacing w:val="-23"/>
          <w:sz w:val="28"/>
          <w:szCs w:val="28"/>
          <w:highlight w:val="none"/>
        </w:rPr>
        <w:t>承包人（盖章）：</w:t>
      </w:r>
      <w:r>
        <w:rPr>
          <w:rFonts w:hint="eastAsia" w:asciiTheme="minorEastAsia" w:hAnsiTheme="minorEastAsia" w:eastAsiaTheme="minorEastAsia" w:cstheme="minorEastAsia"/>
          <w:color w:val="auto"/>
          <w:spacing w:val="-23"/>
          <w:sz w:val="28"/>
          <w:szCs w:val="28"/>
          <w:highlight w:val="none"/>
          <w:u w:val="single"/>
          <w:lang w:val="en-US" w:eastAsia="zh-CN"/>
        </w:rPr>
        <w:t xml:space="preserve"> </w:t>
      </w:r>
      <w:r>
        <w:rPr>
          <w:rFonts w:hint="eastAsia" w:ascii="宋体" w:hAnsi="宋体" w:eastAsia="宋体" w:cs="宋体"/>
          <w:color w:val="auto"/>
          <w:spacing w:val="8"/>
          <w:sz w:val="28"/>
          <w:szCs w:val="28"/>
          <w:highlight w:val="none"/>
          <w:u w:val="single"/>
          <w:lang w:val="en-US" w:eastAsia="zh-CN"/>
        </w:rPr>
        <w:t xml:space="preserve">      </w:t>
      </w:r>
      <w:r>
        <w:rPr>
          <w:rFonts w:hint="eastAsia" w:asciiTheme="minorEastAsia" w:hAnsiTheme="minorEastAsia" w:eastAsiaTheme="minorEastAsia" w:cstheme="minorEastAsia"/>
          <w:color w:val="auto"/>
          <w:spacing w:val="-23"/>
          <w:sz w:val="28"/>
          <w:szCs w:val="28"/>
          <w:highlight w:val="none"/>
          <w:u w:val="single"/>
          <w:lang w:val="en-US" w:eastAsia="zh-CN"/>
        </w:rPr>
        <w:t xml:space="preserve"> </w:t>
      </w:r>
    </w:p>
    <w:p w14:paraId="5A829A45">
      <w:pPr>
        <w:keepNext w:val="0"/>
        <w:keepLines w:val="0"/>
        <w:pageBreakBefore w:val="0"/>
        <w:widowControl w:val="0"/>
        <w:kinsoku/>
        <w:wordWrap/>
        <w:overflowPunct/>
        <w:topLinePunct w:val="0"/>
        <w:autoSpaceDE/>
        <w:autoSpaceDN/>
        <w:bidi w:val="0"/>
        <w:adjustRightInd/>
        <w:snapToGrid/>
        <w:spacing w:line="560" w:lineRule="exact"/>
        <w:ind w:left="6479" w:right="-706" w:rightChars="-336" w:hanging="6479" w:hangingChars="2314"/>
        <w:textAlignment w:val="auto"/>
        <w:rPr>
          <w:rFonts w:hint="eastAsia" w:hAnsi="宋体"/>
          <w:color w:val="auto"/>
          <w:sz w:val="28"/>
          <w:szCs w:val="28"/>
          <w:highlight w:val="none"/>
        </w:rPr>
      </w:pPr>
      <w:r>
        <w:rPr>
          <w:rFonts w:hAnsi="宋体"/>
          <w:color w:val="auto"/>
          <w:sz w:val="28"/>
          <w:szCs w:val="28"/>
          <w:highlight w:val="none"/>
        </w:rPr>
        <w:t>法定代表人或其</w:t>
      </w:r>
      <w:r>
        <w:rPr>
          <w:rFonts w:hint="eastAsia" w:hAnsi="宋体"/>
          <w:color w:val="auto"/>
          <w:sz w:val="28"/>
          <w:szCs w:val="28"/>
          <w:highlight w:val="none"/>
        </w:rPr>
        <w:t xml:space="preserve">                   </w:t>
      </w:r>
      <w:r>
        <w:rPr>
          <w:rFonts w:hAnsi="宋体"/>
          <w:color w:val="auto"/>
          <w:sz w:val="28"/>
          <w:szCs w:val="28"/>
          <w:highlight w:val="none"/>
        </w:rPr>
        <w:t>法定代表人或其</w:t>
      </w:r>
    </w:p>
    <w:p w14:paraId="5B372734">
      <w:pPr>
        <w:keepNext w:val="0"/>
        <w:keepLines w:val="0"/>
        <w:pageBreakBefore w:val="0"/>
        <w:widowControl w:val="0"/>
        <w:tabs>
          <w:tab w:val="left" w:pos="420"/>
        </w:tabs>
        <w:kinsoku/>
        <w:wordWrap/>
        <w:overflowPunct/>
        <w:topLinePunct w:val="0"/>
        <w:autoSpaceDE/>
        <w:autoSpaceDN/>
        <w:bidi w:val="0"/>
        <w:adjustRightInd/>
        <w:snapToGrid/>
        <w:spacing w:line="560" w:lineRule="exact"/>
        <w:ind w:left="5882" w:leftChars="1" w:hanging="5880" w:hangingChars="2100"/>
        <w:textAlignment w:val="auto"/>
        <w:rPr>
          <w:rFonts w:hint="eastAsia"/>
          <w:color w:val="auto"/>
          <w:sz w:val="28"/>
          <w:szCs w:val="28"/>
          <w:highlight w:val="none"/>
          <w:u w:val="single"/>
        </w:rPr>
      </w:pPr>
      <w:r>
        <w:rPr>
          <w:rFonts w:hAnsi="宋体"/>
          <w:color w:val="auto"/>
          <w:sz w:val="28"/>
          <w:szCs w:val="28"/>
          <w:highlight w:val="none"/>
        </w:rPr>
        <w:t>委托代理人（</w:t>
      </w:r>
      <w:r>
        <w:rPr>
          <w:rFonts w:hint="eastAsia" w:hAnsi="宋体"/>
          <w:color w:val="auto"/>
          <w:sz w:val="28"/>
          <w:szCs w:val="28"/>
          <w:highlight w:val="none"/>
        </w:rPr>
        <w:t>签章</w:t>
      </w:r>
      <w:r>
        <w:rPr>
          <w:rFonts w:hAnsi="宋体"/>
          <w:color w:val="auto"/>
          <w:sz w:val="28"/>
          <w:szCs w:val="28"/>
          <w:highlight w:val="none"/>
        </w:rPr>
        <w:t>）：</w:t>
      </w:r>
      <w:r>
        <w:rPr>
          <w:color w:val="auto"/>
          <w:sz w:val="28"/>
          <w:szCs w:val="28"/>
          <w:highlight w:val="none"/>
          <w:u w:val="single"/>
        </w:rPr>
        <w:t xml:space="preserve">      </w:t>
      </w:r>
      <w:r>
        <w:rPr>
          <w:rFonts w:hint="eastAsia"/>
          <w:color w:val="auto"/>
          <w:sz w:val="28"/>
          <w:szCs w:val="28"/>
          <w:highlight w:val="none"/>
          <w:u w:val="single"/>
        </w:rPr>
        <w:t xml:space="preserve">     </w:t>
      </w:r>
      <w:r>
        <w:rPr>
          <w:rFonts w:hint="eastAsia"/>
          <w:color w:val="auto"/>
          <w:sz w:val="28"/>
          <w:szCs w:val="28"/>
          <w:highlight w:val="none"/>
        </w:rPr>
        <w:t xml:space="preserve">  </w:t>
      </w:r>
      <w:r>
        <w:rPr>
          <w:rFonts w:hAnsi="宋体"/>
          <w:color w:val="auto"/>
          <w:sz w:val="28"/>
          <w:szCs w:val="28"/>
          <w:highlight w:val="none"/>
        </w:rPr>
        <w:t>委托代理人（</w:t>
      </w:r>
      <w:r>
        <w:rPr>
          <w:rFonts w:hint="eastAsia" w:hAnsi="宋体"/>
          <w:color w:val="auto"/>
          <w:sz w:val="28"/>
          <w:szCs w:val="28"/>
          <w:highlight w:val="none"/>
        </w:rPr>
        <w:t>签章</w:t>
      </w:r>
      <w:r>
        <w:rPr>
          <w:rFonts w:hAnsi="宋体"/>
          <w:color w:val="auto"/>
          <w:sz w:val="28"/>
          <w:szCs w:val="28"/>
          <w:highlight w:val="none"/>
        </w:rPr>
        <w:t>）：</w:t>
      </w:r>
      <w:r>
        <w:rPr>
          <w:color w:val="auto"/>
          <w:sz w:val="28"/>
          <w:szCs w:val="28"/>
          <w:highlight w:val="none"/>
          <w:u w:val="single"/>
        </w:rPr>
        <w:t xml:space="preserve">  </w:t>
      </w:r>
      <w:r>
        <w:rPr>
          <w:rFonts w:hint="eastAsia"/>
          <w:color w:val="auto"/>
          <w:sz w:val="28"/>
          <w:szCs w:val="28"/>
          <w:highlight w:val="none"/>
          <w:u w:val="single"/>
        </w:rPr>
        <w:t xml:space="preserve">            </w:t>
      </w:r>
    </w:p>
    <w:p w14:paraId="58715BA9">
      <w:pPr>
        <w:keepNext w:val="0"/>
        <w:keepLines w:val="0"/>
        <w:pageBreakBefore w:val="0"/>
        <w:widowControl w:val="0"/>
        <w:tabs>
          <w:tab w:val="left" w:pos="420"/>
        </w:tabs>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color w:val="auto"/>
          <w:sz w:val="28"/>
          <w:szCs w:val="28"/>
          <w:highlight w:val="none"/>
          <w:u w:val="single"/>
        </w:rPr>
      </w:pPr>
      <w:r>
        <w:rPr>
          <w:rFonts w:hint="eastAsia" w:asciiTheme="minorEastAsia" w:hAnsiTheme="minorEastAsia" w:eastAsiaTheme="minorEastAsia" w:cstheme="minorEastAsia"/>
          <w:color w:val="auto"/>
          <w:sz w:val="28"/>
          <w:szCs w:val="28"/>
          <w:highlight w:val="none"/>
        </w:rPr>
        <w:t>地    址：</w:t>
      </w:r>
      <w:r>
        <w:rPr>
          <w:rFonts w:hint="eastAsia" w:asciiTheme="minorEastAsia" w:hAnsiTheme="minorEastAsia" w:eastAsiaTheme="minorEastAsia" w:cstheme="minorEastAsia"/>
          <w:color w:val="auto"/>
          <w:spacing w:val="-20"/>
          <w:sz w:val="28"/>
          <w:szCs w:val="28"/>
          <w:highlight w:val="none"/>
          <w:u w:val="single"/>
          <w:lang w:val="en-US" w:eastAsia="zh-CN"/>
        </w:rPr>
        <w:t xml:space="preserve">  合浦县廉州镇南乐街69号</w:t>
      </w:r>
      <w:r>
        <w:rPr>
          <w:rFonts w:hint="eastAsia" w:asciiTheme="minorEastAsia" w:hAnsiTheme="minorEastAsia" w:eastAsiaTheme="minorEastAsia" w:cstheme="minorEastAsia"/>
          <w:color w:val="auto"/>
          <w:spacing w:val="-20"/>
          <w:sz w:val="28"/>
          <w:szCs w:val="28"/>
          <w:highlight w:val="none"/>
          <w:u w:val="none"/>
          <w:lang w:val="en-US" w:eastAsia="zh-CN"/>
        </w:rPr>
        <w:t xml:space="preserve">  </w:t>
      </w:r>
      <w:r>
        <w:rPr>
          <w:rFonts w:hint="eastAsia" w:asciiTheme="minorEastAsia" w:hAnsiTheme="minorEastAsia" w:eastAsiaTheme="minorEastAsia" w:cstheme="minorEastAsia"/>
          <w:color w:val="auto"/>
          <w:sz w:val="28"/>
          <w:szCs w:val="28"/>
          <w:highlight w:val="none"/>
        </w:rPr>
        <w:t>地    址：</w:t>
      </w:r>
      <w:r>
        <w:rPr>
          <w:rFonts w:hint="eastAsia" w:asciiTheme="minorEastAsia" w:hAnsiTheme="minorEastAsia" w:eastAsiaTheme="minorEastAsia" w:cstheme="minorEastAsia"/>
          <w:color w:val="auto"/>
          <w:sz w:val="28"/>
          <w:szCs w:val="28"/>
          <w:highlight w:val="none"/>
          <w:u w:val="single"/>
        </w:rPr>
        <w:t xml:space="preserve">        </w:t>
      </w:r>
      <w:r>
        <w:rPr>
          <w:rFonts w:hint="eastAsia" w:asciiTheme="minorEastAsia" w:hAnsiTheme="minorEastAsia" w:eastAsiaTheme="minorEastAsia" w:cstheme="minorEastAsia"/>
          <w:color w:val="auto"/>
          <w:sz w:val="28"/>
          <w:szCs w:val="28"/>
          <w:highlight w:val="none"/>
          <w:u w:val="single"/>
          <w:lang w:val="en-US" w:eastAsia="zh-CN"/>
        </w:rPr>
        <w:t xml:space="preserve">     </w:t>
      </w:r>
      <w:r>
        <w:rPr>
          <w:rFonts w:hint="eastAsia" w:asciiTheme="minorEastAsia" w:hAnsiTheme="minorEastAsia" w:eastAsiaTheme="minorEastAsia" w:cstheme="minorEastAsia"/>
          <w:color w:val="auto"/>
          <w:sz w:val="28"/>
          <w:szCs w:val="28"/>
          <w:highlight w:val="none"/>
          <w:u w:val="single"/>
        </w:rPr>
        <w:t xml:space="preserve">   </w:t>
      </w:r>
      <w:r>
        <w:rPr>
          <w:rFonts w:hint="eastAsia" w:asciiTheme="minorEastAsia" w:hAnsiTheme="minorEastAsia" w:eastAsiaTheme="minorEastAsia" w:cstheme="minorEastAsia"/>
          <w:color w:val="auto"/>
          <w:sz w:val="28"/>
          <w:szCs w:val="28"/>
          <w:highlight w:val="none"/>
          <w:u w:val="single"/>
          <w:lang w:val="en-US" w:eastAsia="zh-CN"/>
        </w:rPr>
        <w:t xml:space="preserve"> </w:t>
      </w:r>
      <w:r>
        <w:rPr>
          <w:rFonts w:hint="eastAsia" w:asciiTheme="minorEastAsia" w:hAnsiTheme="minorEastAsia" w:eastAsiaTheme="minorEastAsia" w:cstheme="minorEastAsia"/>
          <w:color w:val="auto"/>
          <w:sz w:val="28"/>
          <w:szCs w:val="28"/>
          <w:highlight w:val="none"/>
          <w:u w:val="single"/>
        </w:rPr>
        <w:t xml:space="preserve">    </w:t>
      </w:r>
    </w:p>
    <w:p w14:paraId="5C6169AE">
      <w:pPr>
        <w:keepNext w:val="0"/>
        <w:keepLines w:val="0"/>
        <w:pageBreakBefore w:val="0"/>
        <w:widowControl w:val="0"/>
        <w:tabs>
          <w:tab w:val="left" w:pos="420"/>
        </w:tabs>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邮    箱：</w:t>
      </w:r>
      <w:r>
        <w:rPr>
          <w:rFonts w:hint="eastAsia" w:asciiTheme="minorEastAsia" w:hAnsiTheme="minorEastAsia" w:eastAsiaTheme="minorEastAsia" w:cstheme="minorEastAsia"/>
          <w:color w:val="auto"/>
          <w:sz w:val="28"/>
          <w:szCs w:val="28"/>
          <w:highlight w:val="none"/>
          <w:u w:val="single"/>
        </w:rPr>
        <w:t xml:space="preserve"> </w:t>
      </w:r>
      <w:r>
        <w:rPr>
          <w:rFonts w:hint="eastAsia" w:asciiTheme="minorEastAsia" w:hAnsiTheme="minorEastAsia" w:eastAsiaTheme="minorEastAsia" w:cstheme="minorEastAsia"/>
          <w:color w:val="auto"/>
          <w:sz w:val="28"/>
          <w:szCs w:val="28"/>
          <w:highlight w:val="none"/>
          <w:u w:val="single"/>
          <w:lang w:val="en-US" w:eastAsia="zh-CN"/>
        </w:rPr>
        <w:t xml:space="preserve">                    </w:t>
      </w:r>
      <w:r>
        <w:rPr>
          <w:rFonts w:hint="eastAsia" w:asciiTheme="minorEastAsia" w:hAnsiTheme="minorEastAsia" w:eastAsiaTheme="minorEastAsia" w:cstheme="minorEastAsia"/>
          <w:color w:val="auto"/>
          <w:sz w:val="28"/>
          <w:szCs w:val="28"/>
          <w:highlight w:val="none"/>
        </w:rPr>
        <w:t xml:space="preserve">  邮    箱：</w:t>
      </w:r>
      <w:r>
        <w:rPr>
          <w:rFonts w:hint="eastAsia" w:asciiTheme="minorEastAsia" w:hAnsiTheme="minorEastAsia" w:eastAsiaTheme="minorEastAsia" w:cstheme="minorEastAsia"/>
          <w:color w:val="auto"/>
          <w:sz w:val="28"/>
          <w:szCs w:val="28"/>
          <w:highlight w:val="none"/>
          <w:u w:val="single"/>
        </w:rPr>
        <w:t xml:space="preserve">        </w:t>
      </w:r>
      <w:r>
        <w:rPr>
          <w:rFonts w:hint="eastAsia" w:asciiTheme="minorEastAsia" w:hAnsiTheme="minorEastAsia" w:eastAsiaTheme="minorEastAsia" w:cstheme="minorEastAsia"/>
          <w:color w:val="auto"/>
          <w:sz w:val="28"/>
          <w:szCs w:val="28"/>
          <w:highlight w:val="none"/>
          <w:u w:val="single"/>
          <w:lang w:val="en-US" w:eastAsia="zh-CN"/>
        </w:rPr>
        <w:t xml:space="preserve">     </w:t>
      </w:r>
      <w:r>
        <w:rPr>
          <w:rFonts w:hint="eastAsia" w:asciiTheme="minorEastAsia" w:hAnsiTheme="minorEastAsia" w:eastAsiaTheme="minorEastAsia" w:cstheme="minorEastAsia"/>
          <w:color w:val="auto"/>
          <w:sz w:val="28"/>
          <w:szCs w:val="28"/>
          <w:highlight w:val="none"/>
          <w:u w:val="single"/>
        </w:rPr>
        <w:t xml:space="preserve">   </w:t>
      </w:r>
      <w:r>
        <w:rPr>
          <w:rFonts w:hint="eastAsia" w:asciiTheme="minorEastAsia" w:hAnsiTheme="minorEastAsia" w:eastAsiaTheme="minorEastAsia" w:cstheme="minorEastAsia"/>
          <w:color w:val="auto"/>
          <w:sz w:val="28"/>
          <w:szCs w:val="28"/>
          <w:highlight w:val="none"/>
          <w:u w:val="single"/>
          <w:lang w:val="en-US" w:eastAsia="zh-CN"/>
        </w:rPr>
        <w:t xml:space="preserve"> </w:t>
      </w:r>
      <w:r>
        <w:rPr>
          <w:rFonts w:hint="eastAsia" w:asciiTheme="minorEastAsia" w:hAnsiTheme="minorEastAsia" w:eastAsiaTheme="minorEastAsia" w:cstheme="minorEastAsia"/>
          <w:color w:val="auto"/>
          <w:sz w:val="28"/>
          <w:szCs w:val="28"/>
          <w:highlight w:val="none"/>
          <w:u w:val="single"/>
        </w:rPr>
        <w:t xml:space="preserve">          </w:t>
      </w:r>
    </w:p>
    <w:p w14:paraId="3DF82345">
      <w:pPr>
        <w:keepNext w:val="0"/>
        <w:keepLines w:val="0"/>
        <w:pageBreakBefore w:val="0"/>
        <w:widowControl w:val="0"/>
        <w:tabs>
          <w:tab w:val="left" w:pos="420"/>
        </w:tabs>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color w:val="auto"/>
          <w:sz w:val="28"/>
          <w:szCs w:val="28"/>
          <w:highlight w:val="none"/>
          <w:u w:val="single"/>
        </w:rPr>
      </w:pPr>
      <w:r>
        <w:rPr>
          <w:rFonts w:hint="eastAsia" w:asciiTheme="minorEastAsia" w:hAnsiTheme="minorEastAsia" w:eastAsiaTheme="minorEastAsia" w:cstheme="minorEastAsia"/>
          <w:color w:val="auto"/>
          <w:sz w:val="28"/>
          <w:szCs w:val="28"/>
          <w:highlight w:val="none"/>
        </w:rPr>
        <w:t>电    话：</w:t>
      </w:r>
      <w:r>
        <w:rPr>
          <w:rFonts w:hint="eastAsia" w:asciiTheme="minorEastAsia" w:hAnsiTheme="minorEastAsia" w:eastAsiaTheme="minorEastAsia" w:cstheme="minorEastAsia"/>
          <w:color w:val="auto"/>
          <w:sz w:val="28"/>
          <w:szCs w:val="28"/>
          <w:highlight w:val="none"/>
          <w:u w:val="single"/>
        </w:rPr>
        <w:t xml:space="preserve"> </w:t>
      </w:r>
      <w:r>
        <w:rPr>
          <w:rFonts w:hint="eastAsia" w:asciiTheme="minorEastAsia" w:hAnsiTheme="minorEastAsia" w:eastAsiaTheme="minorEastAsia" w:cstheme="minorEastAsia"/>
          <w:color w:val="auto"/>
          <w:sz w:val="28"/>
          <w:szCs w:val="28"/>
          <w:highlight w:val="none"/>
          <w:u w:val="single"/>
          <w:lang w:val="en-US" w:eastAsia="zh-CN"/>
        </w:rPr>
        <w:t xml:space="preserve"> </w:t>
      </w:r>
      <w:r>
        <w:rPr>
          <w:rFonts w:hint="eastAsia" w:asciiTheme="minorEastAsia" w:hAnsiTheme="minorEastAsia" w:eastAsiaTheme="minorEastAsia" w:cstheme="minorEastAsia"/>
          <w:color w:val="auto"/>
          <w:sz w:val="28"/>
          <w:szCs w:val="28"/>
          <w:highlight w:val="none"/>
          <w:u w:val="single"/>
          <w:lang w:eastAsia="zh-CN"/>
        </w:rPr>
        <w:t>0779-</w:t>
      </w:r>
      <w:r>
        <w:rPr>
          <w:rFonts w:hint="eastAsia" w:asciiTheme="minorEastAsia" w:hAnsiTheme="minorEastAsia" w:eastAsiaTheme="minorEastAsia" w:cstheme="minorEastAsia"/>
          <w:color w:val="auto"/>
          <w:sz w:val="28"/>
          <w:szCs w:val="28"/>
          <w:highlight w:val="none"/>
          <w:u w:val="single"/>
          <w:lang w:val="en-US" w:eastAsia="zh-CN"/>
        </w:rPr>
        <w:t xml:space="preserve">3216200       </w:t>
      </w:r>
      <w:r>
        <w:rPr>
          <w:rFonts w:hint="eastAsia" w:asciiTheme="minorEastAsia" w:hAnsiTheme="minorEastAsia" w:eastAsiaTheme="minorEastAsia" w:cstheme="minorEastAsia"/>
          <w:color w:val="auto"/>
          <w:sz w:val="28"/>
          <w:szCs w:val="28"/>
          <w:highlight w:val="none"/>
        </w:rPr>
        <w:t xml:space="preserve"> </w:t>
      </w:r>
      <w:r>
        <w:rPr>
          <w:rFonts w:hint="eastAsia" w:asciiTheme="minorEastAsia" w:hAnsiTheme="minorEastAsia" w:eastAsiaTheme="minorEastAsia" w:cstheme="minorEastAsia"/>
          <w:color w:val="auto"/>
          <w:sz w:val="28"/>
          <w:szCs w:val="28"/>
          <w:highlight w:val="none"/>
          <w:lang w:val="en-US" w:eastAsia="zh-CN"/>
        </w:rPr>
        <w:t xml:space="preserve"> </w:t>
      </w:r>
      <w:r>
        <w:rPr>
          <w:rFonts w:hint="eastAsia" w:asciiTheme="minorEastAsia" w:hAnsiTheme="minorEastAsia" w:eastAsiaTheme="minorEastAsia" w:cstheme="minorEastAsia"/>
          <w:color w:val="auto"/>
          <w:sz w:val="28"/>
          <w:szCs w:val="28"/>
          <w:highlight w:val="none"/>
        </w:rPr>
        <w:t>电    话：</w:t>
      </w:r>
      <w:r>
        <w:rPr>
          <w:rFonts w:hint="eastAsia" w:asciiTheme="minorEastAsia" w:hAnsiTheme="minorEastAsia" w:eastAsiaTheme="minorEastAsia" w:cstheme="minorEastAsia"/>
          <w:color w:val="auto"/>
          <w:sz w:val="28"/>
          <w:szCs w:val="28"/>
          <w:highlight w:val="none"/>
          <w:u w:val="single"/>
        </w:rPr>
        <w:t xml:space="preserve">        </w:t>
      </w:r>
      <w:r>
        <w:rPr>
          <w:rFonts w:hint="eastAsia" w:asciiTheme="minorEastAsia" w:hAnsiTheme="minorEastAsia" w:eastAsiaTheme="minorEastAsia" w:cstheme="minorEastAsia"/>
          <w:color w:val="auto"/>
          <w:sz w:val="28"/>
          <w:szCs w:val="28"/>
          <w:highlight w:val="none"/>
          <w:u w:val="single"/>
          <w:lang w:val="en-US" w:eastAsia="zh-CN"/>
        </w:rPr>
        <w:t xml:space="preserve">     </w:t>
      </w:r>
      <w:r>
        <w:rPr>
          <w:rFonts w:hint="eastAsia" w:asciiTheme="minorEastAsia" w:hAnsiTheme="minorEastAsia" w:eastAsiaTheme="minorEastAsia" w:cstheme="minorEastAsia"/>
          <w:color w:val="auto"/>
          <w:sz w:val="28"/>
          <w:szCs w:val="28"/>
          <w:highlight w:val="none"/>
          <w:u w:val="single"/>
        </w:rPr>
        <w:t xml:space="preserve">   </w:t>
      </w:r>
      <w:r>
        <w:rPr>
          <w:rFonts w:hint="eastAsia" w:asciiTheme="minorEastAsia" w:hAnsiTheme="minorEastAsia" w:eastAsiaTheme="minorEastAsia" w:cstheme="minorEastAsia"/>
          <w:color w:val="auto"/>
          <w:sz w:val="28"/>
          <w:szCs w:val="28"/>
          <w:highlight w:val="none"/>
          <w:u w:val="single"/>
          <w:lang w:val="en-US" w:eastAsia="zh-CN"/>
        </w:rPr>
        <w:t xml:space="preserve"> </w:t>
      </w:r>
      <w:r>
        <w:rPr>
          <w:rFonts w:hint="eastAsia" w:asciiTheme="minorEastAsia" w:hAnsiTheme="minorEastAsia" w:eastAsiaTheme="minorEastAsia" w:cstheme="minorEastAsia"/>
          <w:color w:val="auto"/>
          <w:sz w:val="28"/>
          <w:szCs w:val="28"/>
          <w:highlight w:val="none"/>
          <w:u w:val="single"/>
        </w:rPr>
        <w:t xml:space="preserve">          </w:t>
      </w:r>
      <w:r>
        <w:rPr>
          <w:rFonts w:hint="eastAsia" w:asciiTheme="minorEastAsia" w:hAnsiTheme="minorEastAsia" w:eastAsiaTheme="minorEastAsia" w:cstheme="minorEastAsia"/>
          <w:color w:val="auto"/>
          <w:sz w:val="28"/>
          <w:szCs w:val="28"/>
          <w:highlight w:val="none"/>
        </w:rPr>
        <w:t xml:space="preserve"> </w:t>
      </w:r>
    </w:p>
    <w:p w14:paraId="0A9F6C4C">
      <w:pPr>
        <w:keepNext w:val="0"/>
        <w:keepLines w:val="0"/>
        <w:pageBreakBefore w:val="0"/>
        <w:widowControl w:val="0"/>
        <w:tabs>
          <w:tab w:val="left" w:pos="420"/>
        </w:tabs>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 xml:space="preserve">传    真： </w:t>
      </w:r>
      <w:r>
        <w:rPr>
          <w:rFonts w:hint="eastAsia" w:asciiTheme="minorEastAsia" w:hAnsiTheme="minorEastAsia" w:eastAsiaTheme="minorEastAsia" w:cstheme="minorEastAsia"/>
          <w:color w:val="auto"/>
          <w:sz w:val="28"/>
          <w:szCs w:val="28"/>
          <w:highlight w:val="none"/>
          <w:u w:val="single"/>
          <w:lang w:val="en-US" w:eastAsia="zh-CN"/>
        </w:rPr>
        <w:t xml:space="preserve">                    </w:t>
      </w:r>
      <w:r>
        <w:rPr>
          <w:rFonts w:hint="eastAsia" w:asciiTheme="minorEastAsia" w:hAnsiTheme="minorEastAsia" w:eastAsiaTheme="minorEastAsia" w:cstheme="minorEastAsia"/>
          <w:color w:val="auto"/>
          <w:sz w:val="28"/>
          <w:szCs w:val="28"/>
          <w:highlight w:val="none"/>
        </w:rPr>
        <w:t xml:space="preserve">  传    真：</w:t>
      </w:r>
      <w:r>
        <w:rPr>
          <w:rFonts w:hint="eastAsia" w:asciiTheme="minorEastAsia" w:hAnsiTheme="minorEastAsia" w:eastAsiaTheme="minorEastAsia" w:cstheme="minorEastAsia"/>
          <w:color w:val="auto"/>
          <w:sz w:val="28"/>
          <w:szCs w:val="28"/>
          <w:highlight w:val="none"/>
          <w:u w:val="single"/>
        </w:rPr>
        <w:t xml:space="preserve">         </w:t>
      </w:r>
      <w:r>
        <w:rPr>
          <w:rFonts w:hint="eastAsia" w:asciiTheme="minorEastAsia" w:hAnsiTheme="minorEastAsia" w:eastAsiaTheme="minorEastAsia" w:cstheme="minorEastAsia"/>
          <w:color w:val="auto"/>
          <w:sz w:val="28"/>
          <w:szCs w:val="28"/>
          <w:highlight w:val="none"/>
          <w:u w:val="single"/>
          <w:lang w:val="en-US" w:eastAsia="zh-CN"/>
        </w:rPr>
        <w:t xml:space="preserve">     </w:t>
      </w:r>
      <w:r>
        <w:rPr>
          <w:rFonts w:hint="eastAsia" w:asciiTheme="minorEastAsia" w:hAnsiTheme="minorEastAsia" w:eastAsiaTheme="minorEastAsia" w:cstheme="minorEastAsia"/>
          <w:color w:val="auto"/>
          <w:sz w:val="28"/>
          <w:szCs w:val="28"/>
          <w:highlight w:val="none"/>
          <w:u w:val="single"/>
        </w:rPr>
        <w:t xml:space="preserve">   </w:t>
      </w:r>
      <w:r>
        <w:rPr>
          <w:rFonts w:hint="eastAsia" w:asciiTheme="minorEastAsia" w:hAnsiTheme="minorEastAsia" w:eastAsiaTheme="minorEastAsia" w:cstheme="minorEastAsia"/>
          <w:color w:val="auto"/>
          <w:sz w:val="28"/>
          <w:szCs w:val="28"/>
          <w:highlight w:val="none"/>
          <w:u w:val="single"/>
          <w:lang w:val="en-US" w:eastAsia="zh-CN"/>
        </w:rPr>
        <w:t xml:space="preserve"> </w:t>
      </w:r>
      <w:r>
        <w:rPr>
          <w:rFonts w:hint="eastAsia" w:asciiTheme="minorEastAsia" w:hAnsiTheme="minorEastAsia" w:eastAsiaTheme="minorEastAsia" w:cstheme="minorEastAsia"/>
          <w:color w:val="auto"/>
          <w:sz w:val="28"/>
          <w:szCs w:val="28"/>
          <w:highlight w:val="none"/>
          <w:u w:val="single"/>
        </w:rPr>
        <w:t xml:space="preserve">    </w:t>
      </w:r>
      <w:r>
        <w:rPr>
          <w:rFonts w:hint="eastAsia" w:asciiTheme="minorEastAsia" w:hAnsiTheme="minorEastAsia" w:eastAsiaTheme="minorEastAsia" w:cstheme="minorEastAsia"/>
          <w:color w:val="auto"/>
          <w:sz w:val="28"/>
          <w:szCs w:val="28"/>
          <w:highlight w:val="none"/>
          <w:u w:val="single"/>
          <w:lang w:val="en-US" w:eastAsia="zh-CN"/>
        </w:rPr>
        <w:t xml:space="preserve">           </w:t>
      </w:r>
      <w:r>
        <w:rPr>
          <w:rFonts w:hint="eastAsia" w:asciiTheme="minorEastAsia" w:hAnsiTheme="minorEastAsia" w:eastAsiaTheme="minorEastAsia" w:cstheme="minorEastAsia"/>
          <w:color w:val="auto"/>
          <w:sz w:val="28"/>
          <w:szCs w:val="28"/>
          <w:highlight w:val="none"/>
          <w:u w:val="single"/>
        </w:rPr>
        <w:t xml:space="preserve">      </w:t>
      </w:r>
      <w:r>
        <w:rPr>
          <w:rFonts w:hint="eastAsia" w:asciiTheme="minorEastAsia" w:hAnsiTheme="minorEastAsia" w:eastAsiaTheme="minorEastAsia" w:cstheme="minorEastAsia"/>
          <w:color w:val="auto"/>
          <w:sz w:val="28"/>
          <w:szCs w:val="28"/>
          <w:highlight w:val="none"/>
        </w:rPr>
        <w:t xml:space="preserve"> </w:t>
      </w:r>
    </w:p>
    <w:p w14:paraId="77413205">
      <w:pPr>
        <w:keepNext w:val="0"/>
        <w:keepLines w:val="0"/>
        <w:pageBreakBefore w:val="0"/>
        <w:widowControl w:val="0"/>
        <w:tabs>
          <w:tab w:val="left" w:pos="420"/>
        </w:tabs>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邮政编码：</w:t>
      </w:r>
      <w:r>
        <w:rPr>
          <w:rFonts w:hint="eastAsia" w:asciiTheme="minorEastAsia" w:hAnsiTheme="minorEastAsia" w:eastAsiaTheme="minorEastAsia" w:cstheme="minorEastAsia"/>
          <w:color w:val="auto"/>
          <w:sz w:val="28"/>
          <w:szCs w:val="28"/>
          <w:highlight w:val="none"/>
          <w:u w:val="single"/>
        </w:rPr>
        <w:t xml:space="preserve"> 536100 </w:t>
      </w:r>
      <w:r>
        <w:rPr>
          <w:rFonts w:hint="eastAsia" w:asciiTheme="minorEastAsia" w:hAnsiTheme="minorEastAsia" w:eastAsiaTheme="minorEastAsia" w:cstheme="minorEastAsia"/>
          <w:color w:val="auto"/>
          <w:sz w:val="28"/>
          <w:szCs w:val="28"/>
          <w:highlight w:val="none"/>
          <w:u w:val="single"/>
          <w:lang w:val="en-US" w:eastAsia="zh-CN"/>
        </w:rPr>
        <w:t xml:space="preserve">    </w:t>
      </w:r>
      <w:r>
        <w:rPr>
          <w:rFonts w:hint="eastAsia" w:asciiTheme="minorEastAsia" w:hAnsiTheme="minorEastAsia" w:eastAsiaTheme="minorEastAsia" w:cstheme="minorEastAsia"/>
          <w:color w:val="auto"/>
          <w:sz w:val="28"/>
          <w:szCs w:val="28"/>
          <w:highlight w:val="none"/>
          <w:u w:val="single"/>
        </w:rPr>
        <w:t xml:space="preserve">    </w:t>
      </w:r>
      <w:r>
        <w:rPr>
          <w:rFonts w:hint="eastAsia" w:asciiTheme="minorEastAsia" w:hAnsiTheme="minorEastAsia" w:eastAsiaTheme="minorEastAsia" w:cstheme="minorEastAsia"/>
          <w:color w:val="auto"/>
          <w:sz w:val="28"/>
          <w:szCs w:val="28"/>
          <w:highlight w:val="none"/>
          <w:u w:val="single"/>
          <w:lang w:val="en-US" w:eastAsia="zh-CN"/>
        </w:rPr>
        <w:t xml:space="preserve">    </w:t>
      </w:r>
      <w:r>
        <w:rPr>
          <w:rFonts w:hint="eastAsia" w:asciiTheme="minorEastAsia" w:hAnsiTheme="minorEastAsia" w:eastAsiaTheme="minorEastAsia" w:cstheme="minorEastAsia"/>
          <w:color w:val="auto"/>
          <w:sz w:val="28"/>
          <w:szCs w:val="28"/>
          <w:highlight w:val="none"/>
          <w:u w:val="single"/>
        </w:rPr>
        <w:t xml:space="preserve"> </w:t>
      </w:r>
      <w:r>
        <w:rPr>
          <w:rFonts w:hint="eastAsia" w:asciiTheme="minorEastAsia" w:hAnsiTheme="minorEastAsia" w:eastAsiaTheme="minorEastAsia" w:cstheme="minorEastAsia"/>
          <w:color w:val="auto"/>
          <w:sz w:val="28"/>
          <w:szCs w:val="28"/>
          <w:highlight w:val="none"/>
        </w:rPr>
        <w:t xml:space="preserve">  邮政编码：</w:t>
      </w:r>
      <w:r>
        <w:rPr>
          <w:rFonts w:hint="eastAsia" w:asciiTheme="minorEastAsia" w:hAnsiTheme="minorEastAsia" w:eastAsiaTheme="minorEastAsia" w:cstheme="minorEastAsia"/>
          <w:color w:val="auto"/>
          <w:sz w:val="28"/>
          <w:szCs w:val="28"/>
          <w:highlight w:val="none"/>
          <w:u w:val="single"/>
        </w:rPr>
        <w:t xml:space="preserve">        </w:t>
      </w:r>
      <w:r>
        <w:rPr>
          <w:rFonts w:hint="eastAsia" w:asciiTheme="minorEastAsia" w:hAnsiTheme="minorEastAsia" w:eastAsiaTheme="minorEastAsia" w:cstheme="minorEastAsia"/>
          <w:color w:val="auto"/>
          <w:sz w:val="28"/>
          <w:szCs w:val="28"/>
          <w:highlight w:val="none"/>
          <w:u w:val="single"/>
          <w:lang w:val="en-US" w:eastAsia="zh-CN"/>
        </w:rPr>
        <w:t xml:space="preserve">     </w:t>
      </w:r>
      <w:r>
        <w:rPr>
          <w:rFonts w:hint="eastAsia" w:asciiTheme="minorEastAsia" w:hAnsiTheme="minorEastAsia" w:eastAsiaTheme="minorEastAsia" w:cstheme="minorEastAsia"/>
          <w:color w:val="auto"/>
          <w:sz w:val="28"/>
          <w:szCs w:val="28"/>
          <w:highlight w:val="none"/>
          <w:u w:val="single"/>
        </w:rPr>
        <w:t xml:space="preserve">   </w:t>
      </w:r>
      <w:r>
        <w:rPr>
          <w:rFonts w:hint="eastAsia" w:asciiTheme="minorEastAsia" w:hAnsiTheme="minorEastAsia" w:eastAsiaTheme="minorEastAsia" w:cstheme="minorEastAsia"/>
          <w:color w:val="auto"/>
          <w:sz w:val="28"/>
          <w:szCs w:val="28"/>
          <w:highlight w:val="none"/>
          <w:u w:val="single"/>
          <w:lang w:val="en-US" w:eastAsia="zh-CN"/>
        </w:rPr>
        <w:t xml:space="preserve"> </w:t>
      </w:r>
      <w:r>
        <w:rPr>
          <w:rFonts w:hint="eastAsia" w:asciiTheme="minorEastAsia" w:hAnsiTheme="minorEastAsia" w:eastAsiaTheme="minorEastAsia" w:cstheme="minorEastAsia"/>
          <w:color w:val="auto"/>
          <w:sz w:val="28"/>
          <w:szCs w:val="28"/>
          <w:highlight w:val="none"/>
          <w:u w:val="single"/>
        </w:rPr>
        <w:t xml:space="preserve">           </w:t>
      </w:r>
      <w:r>
        <w:rPr>
          <w:rFonts w:hint="eastAsia" w:asciiTheme="minorEastAsia" w:hAnsiTheme="minorEastAsia" w:eastAsiaTheme="minorEastAsia" w:cstheme="minorEastAsia"/>
          <w:color w:val="auto"/>
          <w:sz w:val="28"/>
          <w:szCs w:val="28"/>
          <w:highlight w:val="none"/>
        </w:rPr>
        <w:t xml:space="preserve">  </w:t>
      </w:r>
    </w:p>
    <w:p w14:paraId="2D1B94F9">
      <w:pPr>
        <w:keepNext w:val="0"/>
        <w:keepLines w:val="0"/>
        <w:pageBreakBefore w:val="0"/>
        <w:widowControl w:val="0"/>
        <w:tabs>
          <w:tab w:val="left" w:pos="420"/>
        </w:tabs>
        <w:kinsoku/>
        <w:wordWrap/>
        <w:overflowPunct/>
        <w:topLinePunct w:val="0"/>
        <w:autoSpaceDE/>
        <w:autoSpaceDN/>
        <w:bidi w:val="0"/>
        <w:adjustRightInd/>
        <w:snapToGrid/>
        <w:spacing w:line="560" w:lineRule="exact"/>
        <w:ind w:left="6480" w:right="-458" w:rightChars="-218" w:hanging="7560" w:hangingChars="2700"/>
        <w:textAlignment w:val="auto"/>
        <w:rPr>
          <w:rFonts w:hint="eastAsia" w:asciiTheme="minorEastAsia" w:hAnsiTheme="minorEastAsia" w:eastAsiaTheme="minorEastAsia" w:cstheme="minorEastAsia"/>
          <w:color w:val="auto"/>
          <w:sz w:val="28"/>
          <w:szCs w:val="28"/>
          <w:highlight w:val="none"/>
          <w:u w:val="single"/>
          <w:lang w:val="en-US" w:eastAsia="zh-CN"/>
        </w:rPr>
      </w:pPr>
      <w:r>
        <w:rPr>
          <w:rFonts w:hint="eastAsia" w:asciiTheme="minorEastAsia" w:hAnsiTheme="minorEastAsia" w:eastAsiaTheme="minorEastAsia" w:cstheme="minorEastAsia"/>
          <w:color w:val="auto"/>
          <w:sz w:val="28"/>
          <w:szCs w:val="28"/>
          <w:highlight w:val="none"/>
        </w:rPr>
        <w:t>开户银行：</w:t>
      </w:r>
      <w:r>
        <w:rPr>
          <w:rFonts w:hint="eastAsia" w:asciiTheme="minorEastAsia" w:hAnsiTheme="minorEastAsia" w:eastAsiaTheme="minorEastAsia" w:cstheme="minorEastAsia"/>
          <w:color w:val="auto"/>
          <w:spacing w:val="16"/>
          <w:sz w:val="28"/>
          <w:szCs w:val="28"/>
          <w:highlight w:val="none"/>
          <w:u w:val="single"/>
        </w:rPr>
        <w:t xml:space="preserve">          </w:t>
      </w:r>
      <w:r>
        <w:rPr>
          <w:rFonts w:hint="eastAsia" w:asciiTheme="minorEastAsia" w:hAnsiTheme="minorEastAsia" w:eastAsiaTheme="minorEastAsia" w:cstheme="minorEastAsia"/>
          <w:color w:val="auto"/>
          <w:spacing w:val="16"/>
          <w:sz w:val="28"/>
          <w:szCs w:val="28"/>
          <w:highlight w:val="none"/>
          <w:u w:val="single"/>
          <w:lang w:val="en-US" w:eastAsia="zh-CN"/>
        </w:rPr>
        <w:t xml:space="preserve">       </w:t>
      </w:r>
      <w:r>
        <w:rPr>
          <w:rFonts w:hint="eastAsia" w:asciiTheme="minorEastAsia" w:hAnsiTheme="minorEastAsia" w:eastAsiaTheme="minorEastAsia" w:cstheme="minorEastAsia"/>
          <w:color w:val="auto"/>
          <w:sz w:val="28"/>
          <w:szCs w:val="28"/>
          <w:highlight w:val="none"/>
        </w:rPr>
        <w:t xml:space="preserve">  开户银行：</w:t>
      </w:r>
      <w:r>
        <w:rPr>
          <w:rFonts w:hint="eastAsia" w:asciiTheme="minorEastAsia" w:hAnsiTheme="minorEastAsia" w:eastAsiaTheme="minorEastAsia" w:cstheme="minorEastAsia"/>
          <w:color w:val="auto"/>
          <w:sz w:val="28"/>
          <w:szCs w:val="28"/>
          <w:highlight w:val="none"/>
          <w:u w:val="single"/>
        </w:rPr>
        <w:t xml:space="preserve">        </w:t>
      </w:r>
      <w:r>
        <w:rPr>
          <w:rFonts w:hint="eastAsia" w:asciiTheme="minorEastAsia" w:hAnsiTheme="minorEastAsia" w:eastAsiaTheme="minorEastAsia" w:cstheme="minorEastAsia"/>
          <w:color w:val="auto"/>
          <w:sz w:val="28"/>
          <w:szCs w:val="28"/>
          <w:highlight w:val="none"/>
          <w:u w:val="single"/>
          <w:lang w:val="en-US" w:eastAsia="zh-CN"/>
        </w:rPr>
        <w:t xml:space="preserve">     </w:t>
      </w:r>
      <w:r>
        <w:rPr>
          <w:rFonts w:hint="eastAsia" w:asciiTheme="minorEastAsia" w:hAnsiTheme="minorEastAsia" w:eastAsiaTheme="minorEastAsia" w:cstheme="minorEastAsia"/>
          <w:color w:val="auto"/>
          <w:sz w:val="28"/>
          <w:szCs w:val="28"/>
          <w:highlight w:val="none"/>
          <w:u w:val="single"/>
        </w:rPr>
        <w:t xml:space="preserve">   </w:t>
      </w:r>
      <w:r>
        <w:rPr>
          <w:rFonts w:hint="eastAsia" w:asciiTheme="minorEastAsia" w:hAnsiTheme="minorEastAsia" w:eastAsiaTheme="minorEastAsia" w:cstheme="minorEastAsia"/>
          <w:color w:val="auto"/>
          <w:sz w:val="28"/>
          <w:szCs w:val="28"/>
          <w:highlight w:val="none"/>
          <w:u w:val="single"/>
          <w:lang w:val="en-US" w:eastAsia="zh-CN"/>
        </w:rPr>
        <w:t xml:space="preserve"> </w:t>
      </w:r>
      <w:r>
        <w:rPr>
          <w:rFonts w:hint="eastAsia" w:asciiTheme="minorEastAsia" w:hAnsiTheme="minorEastAsia" w:eastAsiaTheme="minorEastAsia" w:cstheme="minorEastAsia"/>
          <w:color w:val="auto"/>
          <w:sz w:val="28"/>
          <w:szCs w:val="28"/>
          <w:highlight w:val="none"/>
          <w:u w:val="single"/>
        </w:rPr>
        <w:t xml:space="preserve">    </w:t>
      </w:r>
    </w:p>
    <w:p w14:paraId="169B8C2E">
      <w:pPr>
        <w:keepNext w:val="0"/>
        <w:keepLines w:val="0"/>
        <w:pageBreakBefore w:val="0"/>
        <w:widowControl w:val="0"/>
        <w:tabs>
          <w:tab w:val="left" w:pos="420"/>
        </w:tabs>
        <w:kinsoku/>
        <w:wordWrap/>
        <w:overflowPunct/>
        <w:topLinePunct w:val="0"/>
        <w:autoSpaceDE/>
        <w:autoSpaceDN/>
        <w:bidi w:val="0"/>
        <w:adjustRightInd/>
        <w:snapToGrid/>
        <w:spacing w:line="560" w:lineRule="exact"/>
        <w:ind w:left="7545" w:leftChars="2793" w:right="-458" w:rightChars="-218" w:hanging="1680" w:hangingChars="600"/>
        <w:textAlignment w:val="auto"/>
        <w:rPr>
          <w:rFonts w:hint="eastAsia" w:asciiTheme="minorEastAsia" w:hAnsiTheme="minorEastAsia" w:eastAsiaTheme="minorEastAsia" w:cstheme="minorEastAsia"/>
          <w:color w:val="auto"/>
          <w:sz w:val="28"/>
          <w:szCs w:val="28"/>
          <w:highlight w:val="none"/>
          <w:u w:val="single"/>
        </w:rPr>
      </w:pPr>
      <w:r>
        <w:rPr>
          <w:rFonts w:hint="eastAsia" w:asciiTheme="minorEastAsia" w:hAnsiTheme="minorEastAsia" w:eastAsiaTheme="minorEastAsia" w:cstheme="minorEastAsia"/>
          <w:color w:val="auto"/>
          <w:sz w:val="28"/>
          <w:szCs w:val="28"/>
          <w:highlight w:val="none"/>
          <w:u w:val="single"/>
        </w:rPr>
        <w:t xml:space="preserve">        </w:t>
      </w:r>
      <w:r>
        <w:rPr>
          <w:rFonts w:hint="eastAsia" w:asciiTheme="minorEastAsia" w:hAnsiTheme="minorEastAsia" w:eastAsiaTheme="minorEastAsia" w:cstheme="minorEastAsia"/>
          <w:color w:val="auto"/>
          <w:sz w:val="28"/>
          <w:szCs w:val="28"/>
          <w:highlight w:val="none"/>
          <w:u w:val="single"/>
          <w:lang w:val="en-US" w:eastAsia="zh-CN"/>
        </w:rPr>
        <w:t xml:space="preserve">     </w:t>
      </w:r>
      <w:r>
        <w:rPr>
          <w:rFonts w:hint="eastAsia" w:asciiTheme="minorEastAsia" w:hAnsiTheme="minorEastAsia" w:eastAsiaTheme="minorEastAsia" w:cstheme="minorEastAsia"/>
          <w:color w:val="auto"/>
          <w:sz w:val="28"/>
          <w:szCs w:val="28"/>
          <w:highlight w:val="none"/>
          <w:u w:val="single"/>
        </w:rPr>
        <w:t xml:space="preserve">   </w:t>
      </w:r>
      <w:r>
        <w:rPr>
          <w:rFonts w:hint="eastAsia" w:asciiTheme="minorEastAsia" w:hAnsiTheme="minorEastAsia" w:eastAsiaTheme="minorEastAsia" w:cstheme="minorEastAsia"/>
          <w:color w:val="auto"/>
          <w:sz w:val="28"/>
          <w:szCs w:val="28"/>
          <w:highlight w:val="none"/>
          <w:u w:val="single"/>
          <w:lang w:val="en-US" w:eastAsia="zh-CN"/>
        </w:rPr>
        <w:t xml:space="preserve"> </w:t>
      </w:r>
      <w:r>
        <w:rPr>
          <w:rFonts w:hint="eastAsia" w:asciiTheme="minorEastAsia" w:hAnsiTheme="minorEastAsia" w:eastAsiaTheme="minorEastAsia" w:cstheme="minorEastAsia"/>
          <w:color w:val="auto"/>
          <w:sz w:val="28"/>
          <w:szCs w:val="28"/>
          <w:highlight w:val="none"/>
          <w:u w:val="single"/>
        </w:rPr>
        <w:t xml:space="preserve">    </w:t>
      </w:r>
      <w:r>
        <w:rPr>
          <w:rFonts w:hint="eastAsia" w:asciiTheme="minorEastAsia" w:hAnsiTheme="minorEastAsia" w:eastAsiaTheme="minorEastAsia" w:cstheme="minorEastAsia"/>
          <w:color w:val="auto"/>
          <w:sz w:val="28"/>
          <w:szCs w:val="28"/>
          <w:highlight w:val="none"/>
        </w:rPr>
        <w:t xml:space="preserve">  </w:t>
      </w:r>
    </w:p>
    <w:p w14:paraId="65F7E310">
      <w:pPr>
        <w:pStyle w:val="27"/>
        <w:keepNext w:val="0"/>
        <w:keepLines w:val="0"/>
        <w:pageBreakBefore w:val="0"/>
        <w:wordWrap/>
        <w:overflowPunct/>
        <w:topLinePunct w:val="0"/>
        <w:bidi w:val="0"/>
        <w:spacing w:line="560" w:lineRule="exact"/>
        <w:rPr>
          <w:rFonts w:hint="eastAsia" w:ascii="宋体" w:hAnsi="宋体" w:cs="宋体"/>
          <w:color w:val="auto"/>
          <w:sz w:val="28"/>
          <w:szCs w:val="28"/>
          <w:highlight w:val="none"/>
        </w:rPr>
      </w:pPr>
      <w:r>
        <w:rPr>
          <w:rFonts w:hint="eastAsia" w:asciiTheme="minorEastAsia" w:hAnsiTheme="minorEastAsia" w:eastAsiaTheme="minorEastAsia" w:cstheme="minorEastAsia"/>
          <w:color w:val="auto"/>
          <w:sz w:val="28"/>
          <w:szCs w:val="28"/>
          <w:highlight w:val="none"/>
        </w:rPr>
        <w:t>帐    号</w:t>
      </w:r>
      <w:r>
        <w:rPr>
          <w:rFonts w:hint="eastAsia" w:asciiTheme="minorEastAsia" w:hAnsiTheme="minorEastAsia" w:eastAsiaTheme="minorEastAsia" w:cstheme="minorEastAsia"/>
          <w:color w:val="auto"/>
          <w:sz w:val="28"/>
          <w:szCs w:val="28"/>
          <w:highlight w:val="none"/>
          <w:lang w:eastAsia="zh-CN"/>
        </w:rPr>
        <w:t>：</w:t>
      </w:r>
      <w:r>
        <w:rPr>
          <w:rFonts w:hint="eastAsia" w:asciiTheme="minorEastAsia" w:hAnsiTheme="minorEastAsia" w:eastAsiaTheme="minorEastAsia" w:cstheme="minorEastAsia"/>
          <w:color w:val="auto"/>
          <w:spacing w:val="16"/>
          <w:sz w:val="28"/>
          <w:szCs w:val="28"/>
          <w:highlight w:val="none"/>
          <w:u w:val="single"/>
        </w:rPr>
        <w:t xml:space="preserve">     </w:t>
      </w:r>
      <w:r>
        <w:rPr>
          <w:rFonts w:hint="eastAsia" w:asciiTheme="minorEastAsia" w:hAnsiTheme="minorEastAsia" w:eastAsiaTheme="minorEastAsia" w:cstheme="minorEastAsia"/>
          <w:color w:val="auto"/>
          <w:spacing w:val="16"/>
          <w:sz w:val="28"/>
          <w:szCs w:val="28"/>
          <w:highlight w:val="none"/>
          <w:u w:val="single"/>
          <w:lang w:val="en-US" w:eastAsia="zh-CN"/>
        </w:rPr>
        <w:t xml:space="preserve">   </w:t>
      </w:r>
      <w:r>
        <w:rPr>
          <w:rFonts w:hint="eastAsia" w:asciiTheme="minorEastAsia" w:hAnsiTheme="minorEastAsia" w:eastAsiaTheme="minorEastAsia" w:cstheme="minorEastAsia"/>
          <w:color w:val="auto"/>
          <w:spacing w:val="16"/>
          <w:sz w:val="28"/>
          <w:szCs w:val="28"/>
          <w:highlight w:val="none"/>
          <w:u w:val="single"/>
        </w:rPr>
        <w:t xml:space="preserve"> </w:t>
      </w:r>
      <w:r>
        <w:rPr>
          <w:rFonts w:hint="eastAsia" w:asciiTheme="minorEastAsia" w:hAnsiTheme="minorEastAsia" w:eastAsiaTheme="minorEastAsia" w:cstheme="minorEastAsia"/>
          <w:color w:val="auto"/>
          <w:spacing w:val="16"/>
          <w:sz w:val="28"/>
          <w:szCs w:val="28"/>
          <w:highlight w:val="none"/>
          <w:u w:val="single"/>
          <w:lang w:val="en-US" w:eastAsia="zh-CN"/>
        </w:rPr>
        <w:t xml:space="preserve">      </w:t>
      </w:r>
      <w:r>
        <w:rPr>
          <w:rFonts w:hint="eastAsia" w:asciiTheme="minorEastAsia" w:hAnsiTheme="minorEastAsia" w:eastAsiaTheme="minorEastAsia" w:cstheme="minorEastAsia"/>
          <w:color w:val="auto"/>
          <w:sz w:val="28"/>
          <w:szCs w:val="28"/>
          <w:highlight w:val="none"/>
        </w:rPr>
        <w:t xml:space="preserve">    </w:t>
      </w:r>
      <w:r>
        <w:rPr>
          <w:rFonts w:hint="eastAsia" w:asciiTheme="minorEastAsia" w:hAnsiTheme="minorEastAsia" w:eastAsiaTheme="minorEastAsia" w:cstheme="minorEastAsia"/>
          <w:color w:val="auto"/>
          <w:sz w:val="28"/>
          <w:szCs w:val="28"/>
          <w:highlight w:val="none"/>
          <w:lang w:val="en-US" w:eastAsia="zh-CN"/>
        </w:rPr>
        <w:t xml:space="preserve">  </w:t>
      </w:r>
      <w:r>
        <w:rPr>
          <w:rFonts w:hint="eastAsia" w:asciiTheme="minorEastAsia" w:hAnsiTheme="minorEastAsia" w:eastAsiaTheme="minorEastAsia" w:cstheme="minorEastAsia"/>
          <w:color w:val="auto"/>
          <w:sz w:val="28"/>
          <w:szCs w:val="28"/>
          <w:highlight w:val="none"/>
        </w:rPr>
        <w:t xml:space="preserve">帐  </w:t>
      </w:r>
      <w:r>
        <w:rPr>
          <w:rFonts w:hint="eastAsia" w:asciiTheme="minorEastAsia" w:hAnsiTheme="minorEastAsia" w:eastAsiaTheme="minorEastAsia" w:cstheme="minorEastAsia"/>
          <w:color w:val="auto"/>
          <w:sz w:val="28"/>
          <w:szCs w:val="28"/>
          <w:highlight w:val="none"/>
          <w:lang w:val="en-US" w:eastAsia="zh-CN"/>
        </w:rPr>
        <w:t xml:space="preserve"> </w:t>
      </w:r>
      <w:r>
        <w:rPr>
          <w:rFonts w:hint="eastAsia" w:asciiTheme="minorEastAsia" w:hAnsiTheme="minorEastAsia" w:eastAsiaTheme="minorEastAsia" w:cstheme="minorEastAsia"/>
          <w:color w:val="auto"/>
          <w:sz w:val="28"/>
          <w:szCs w:val="28"/>
          <w:highlight w:val="none"/>
        </w:rPr>
        <w:t xml:space="preserve"> 号：</w:t>
      </w:r>
      <w:r>
        <w:rPr>
          <w:rFonts w:hint="eastAsia" w:asciiTheme="minorEastAsia" w:hAnsiTheme="minorEastAsia" w:eastAsiaTheme="minorEastAsia" w:cstheme="minorEastAsia"/>
          <w:color w:val="auto"/>
          <w:sz w:val="28"/>
          <w:szCs w:val="28"/>
          <w:highlight w:val="none"/>
          <w:u w:val="single"/>
        </w:rPr>
        <w:t xml:space="preserve">         </w:t>
      </w:r>
      <w:r>
        <w:rPr>
          <w:rFonts w:hint="eastAsia" w:asciiTheme="minorEastAsia" w:hAnsiTheme="minorEastAsia" w:eastAsiaTheme="minorEastAsia" w:cstheme="minorEastAsia"/>
          <w:color w:val="auto"/>
          <w:sz w:val="28"/>
          <w:szCs w:val="28"/>
          <w:highlight w:val="none"/>
          <w:u w:val="single"/>
          <w:lang w:val="en-US" w:eastAsia="zh-CN"/>
        </w:rPr>
        <w:t xml:space="preserve">     </w:t>
      </w:r>
      <w:r>
        <w:rPr>
          <w:rFonts w:hint="eastAsia" w:asciiTheme="minorEastAsia" w:hAnsiTheme="minorEastAsia" w:eastAsiaTheme="minorEastAsia" w:cstheme="minorEastAsia"/>
          <w:color w:val="auto"/>
          <w:sz w:val="28"/>
          <w:szCs w:val="28"/>
          <w:highlight w:val="none"/>
          <w:u w:val="single"/>
        </w:rPr>
        <w:t xml:space="preserve">   </w:t>
      </w:r>
      <w:r>
        <w:rPr>
          <w:rFonts w:hint="eastAsia" w:asciiTheme="minorEastAsia" w:hAnsiTheme="minorEastAsia" w:eastAsiaTheme="minorEastAsia" w:cstheme="minorEastAsia"/>
          <w:color w:val="auto"/>
          <w:sz w:val="28"/>
          <w:szCs w:val="28"/>
          <w:highlight w:val="none"/>
          <w:u w:val="single"/>
          <w:lang w:val="en-US" w:eastAsia="zh-CN"/>
        </w:rPr>
        <w:t xml:space="preserve"> </w:t>
      </w:r>
      <w:r>
        <w:rPr>
          <w:rFonts w:hint="eastAsia" w:asciiTheme="minorEastAsia" w:hAnsiTheme="minorEastAsia" w:eastAsiaTheme="minorEastAsia" w:cstheme="minorEastAsia"/>
          <w:color w:val="auto"/>
          <w:sz w:val="28"/>
          <w:szCs w:val="28"/>
          <w:highlight w:val="none"/>
          <w:u w:val="single"/>
        </w:rPr>
        <w:t xml:space="preserve">      </w:t>
      </w:r>
    </w:p>
    <w:p w14:paraId="34F1FDE2">
      <w:pPr>
        <w:pStyle w:val="27"/>
        <w:spacing w:line="440" w:lineRule="exact"/>
        <w:rPr>
          <w:rFonts w:hint="eastAsia" w:ascii="宋体" w:hAnsi="宋体" w:cs="宋体"/>
          <w:color w:val="auto"/>
          <w:sz w:val="28"/>
          <w:szCs w:val="28"/>
          <w:highlight w:val="none"/>
        </w:rPr>
      </w:pPr>
    </w:p>
    <w:p w14:paraId="06ED856A">
      <w:pPr>
        <w:keepNext w:val="0"/>
        <w:keepLines w:val="0"/>
        <w:pageBreakBefore w:val="0"/>
        <w:widowControl w:val="0"/>
        <w:kinsoku/>
        <w:wordWrap/>
        <w:overflowPunct/>
        <w:topLinePunct w:val="0"/>
        <w:autoSpaceDE/>
        <w:autoSpaceDN/>
        <w:bidi w:val="0"/>
        <w:adjustRightInd/>
        <w:snapToGrid/>
        <w:spacing w:line="500" w:lineRule="exact"/>
        <w:ind w:left="1566" w:leftChars="-95" w:right="268" w:rightChars="0" w:hanging="1765" w:hangingChars="788"/>
        <w:jc w:val="left"/>
        <w:textAlignment w:val="auto"/>
        <w:rPr>
          <w:rFonts w:hint="eastAsia" w:ascii="宋体" w:hAnsi="宋体" w:cs="宋体"/>
          <w:color w:val="auto"/>
          <w:spacing w:val="-20"/>
          <w:sz w:val="28"/>
          <w:szCs w:val="28"/>
          <w:highlight w:val="none"/>
          <w:u w:val="single"/>
        </w:rPr>
      </w:pPr>
      <w:r>
        <w:rPr>
          <w:rFonts w:hint="eastAsia" w:ascii="宋体" w:hAnsi="宋体" w:cs="宋体"/>
          <w:color w:val="auto"/>
          <w:spacing w:val="-28"/>
          <w:sz w:val="28"/>
          <w:szCs w:val="28"/>
          <w:highlight w:val="none"/>
          <w:lang w:eastAsia="zh-CN"/>
        </w:rPr>
        <w:t>建设单位</w:t>
      </w:r>
      <w:r>
        <w:rPr>
          <w:rFonts w:hint="eastAsia" w:ascii="宋体" w:hAnsi="宋体" w:cs="宋体"/>
          <w:color w:val="auto"/>
          <w:spacing w:val="-28"/>
          <w:sz w:val="28"/>
          <w:szCs w:val="28"/>
          <w:highlight w:val="none"/>
        </w:rPr>
        <w:t>（</w:t>
      </w:r>
      <w:r>
        <w:rPr>
          <w:rFonts w:hint="eastAsia" w:ascii="宋体" w:hAnsi="宋体" w:cs="宋体"/>
          <w:color w:val="auto"/>
          <w:spacing w:val="-28"/>
          <w:sz w:val="28"/>
          <w:szCs w:val="28"/>
          <w:highlight w:val="none"/>
          <w:lang w:val="en-US" w:eastAsia="zh-CN"/>
        </w:rPr>
        <w:t>公</w:t>
      </w:r>
      <w:r>
        <w:rPr>
          <w:rFonts w:hint="eastAsia" w:ascii="宋体" w:hAnsi="宋体" w:cs="宋体"/>
          <w:color w:val="auto"/>
          <w:spacing w:val="-28"/>
          <w:sz w:val="28"/>
          <w:szCs w:val="28"/>
          <w:highlight w:val="none"/>
        </w:rPr>
        <w:t>章）：</w:t>
      </w:r>
      <w:r>
        <w:rPr>
          <w:rFonts w:hint="eastAsia" w:ascii="宋体" w:hAnsi="宋体" w:cs="宋体"/>
          <w:color w:val="auto"/>
          <w:spacing w:val="-20"/>
          <w:sz w:val="28"/>
          <w:szCs w:val="28"/>
          <w:highlight w:val="none"/>
          <w:u w:val="single"/>
        </w:rPr>
        <w:t>合浦县</w:t>
      </w:r>
      <w:r>
        <w:rPr>
          <w:rFonts w:hint="eastAsia" w:ascii="宋体" w:hAnsi="宋体" w:cs="宋体"/>
          <w:color w:val="auto"/>
          <w:spacing w:val="-20"/>
          <w:sz w:val="28"/>
          <w:szCs w:val="28"/>
          <w:highlight w:val="none"/>
          <w:u w:val="single"/>
          <w:lang w:val="en-US" w:eastAsia="zh-CN"/>
        </w:rPr>
        <w:t xml:space="preserve">水利工程管理站 </w:t>
      </w:r>
    </w:p>
    <w:p w14:paraId="0B0463FD">
      <w:pPr>
        <w:keepNext w:val="0"/>
        <w:keepLines w:val="0"/>
        <w:pageBreakBefore w:val="0"/>
        <w:widowControl w:val="0"/>
        <w:kinsoku/>
        <w:wordWrap/>
        <w:overflowPunct/>
        <w:topLinePunct w:val="0"/>
        <w:autoSpaceDE/>
        <w:autoSpaceDN/>
        <w:bidi w:val="0"/>
        <w:adjustRightInd/>
        <w:snapToGrid/>
        <w:spacing w:line="500" w:lineRule="exact"/>
        <w:ind w:left="-181" w:leftChars="-94" w:hanging="16" w:hangingChars="6"/>
        <w:textAlignment w:val="auto"/>
        <w:rPr>
          <w:rFonts w:hint="default" w:ascii="宋体" w:hAnsi="宋体" w:eastAsia="宋体" w:cs="宋体"/>
          <w:color w:val="auto"/>
          <w:sz w:val="28"/>
          <w:szCs w:val="28"/>
          <w:highlight w:val="none"/>
          <w:lang w:val="en-US" w:eastAsia="zh-CN"/>
        </w:rPr>
      </w:pPr>
      <w:r>
        <w:rPr>
          <w:rFonts w:hint="eastAsia" w:ascii="宋体" w:hAnsi="宋体" w:cs="宋体"/>
          <w:color w:val="auto"/>
          <w:sz w:val="28"/>
          <w:szCs w:val="28"/>
          <w:highlight w:val="none"/>
          <w:lang w:val="en-US" w:eastAsia="zh-CN"/>
        </w:rPr>
        <w:t>住    所：</w:t>
      </w:r>
      <w:r>
        <w:rPr>
          <w:rFonts w:hint="eastAsia" w:ascii="宋体" w:hAnsi="宋体" w:cs="宋体"/>
          <w:color w:val="auto"/>
          <w:spacing w:val="-20"/>
          <w:sz w:val="28"/>
          <w:szCs w:val="28"/>
          <w:highlight w:val="none"/>
          <w:u w:val="single"/>
        </w:rPr>
        <w:t>合浦县廉州镇南乐街69号</w:t>
      </w:r>
    </w:p>
    <w:p w14:paraId="1A41BB67">
      <w:pPr>
        <w:keepNext w:val="0"/>
        <w:keepLines w:val="0"/>
        <w:pageBreakBefore w:val="0"/>
        <w:widowControl w:val="0"/>
        <w:kinsoku/>
        <w:wordWrap/>
        <w:overflowPunct/>
        <w:topLinePunct w:val="0"/>
        <w:autoSpaceDE/>
        <w:autoSpaceDN/>
        <w:bidi w:val="0"/>
        <w:adjustRightInd/>
        <w:snapToGrid/>
        <w:spacing w:line="500" w:lineRule="exact"/>
        <w:ind w:left="-181" w:leftChars="-94" w:hanging="16" w:hangingChars="6"/>
        <w:textAlignment w:val="auto"/>
        <w:rPr>
          <w:rFonts w:hint="eastAsia" w:ascii="宋体" w:hAnsi="宋体" w:cs="宋体"/>
          <w:color w:val="auto"/>
          <w:sz w:val="28"/>
          <w:szCs w:val="28"/>
          <w:highlight w:val="none"/>
        </w:rPr>
      </w:pPr>
      <w:r>
        <w:rPr>
          <w:rFonts w:hint="eastAsia" w:ascii="宋体" w:hAnsi="宋体" w:cs="宋体"/>
          <w:color w:val="auto"/>
          <w:sz w:val="28"/>
          <w:szCs w:val="28"/>
          <w:highlight w:val="none"/>
        </w:rPr>
        <w:t>法定代表人或其</w:t>
      </w:r>
    </w:p>
    <w:p w14:paraId="51A0A924">
      <w:pPr>
        <w:keepNext w:val="0"/>
        <w:keepLines w:val="0"/>
        <w:pageBreakBefore w:val="0"/>
        <w:widowControl w:val="0"/>
        <w:kinsoku/>
        <w:wordWrap/>
        <w:overflowPunct/>
        <w:topLinePunct w:val="0"/>
        <w:autoSpaceDE/>
        <w:autoSpaceDN/>
        <w:bidi w:val="0"/>
        <w:adjustRightInd/>
        <w:snapToGrid/>
        <w:spacing w:line="500" w:lineRule="exact"/>
        <w:ind w:left="-184" w:leftChars="-94" w:hanging="13" w:hangingChars="6"/>
        <w:textAlignment w:val="auto"/>
        <w:rPr>
          <w:rFonts w:hint="eastAsia" w:ascii="宋体" w:hAnsi="宋体" w:cs="宋体"/>
          <w:color w:val="auto"/>
          <w:sz w:val="28"/>
          <w:szCs w:val="28"/>
          <w:highlight w:val="none"/>
        </w:rPr>
      </w:pPr>
      <w:r>
        <w:rPr>
          <w:rFonts w:hint="eastAsia" w:ascii="宋体" w:hAnsi="宋体" w:cs="宋体"/>
          <w:color w:val="auto"/>
          <w:spacing w:val="-28"/>
          <w:sz w:val="28"/>
          <w:szCs w:val="28"/>
          <w:highlight w:val="none"/>
        </w:rPr>
        <w:t>委托代理人（签章）：</w:t>
      </w:r>
      <w:r>
        <w:rPr>
          <w:rFonts w:hint="eastAsia" w:ascii="宋体" w:hAnsi="宋体" w:cs="宋体"/>
          <w:color w:val="auto"/>
          <w:spacing w:val="-28"/>
          <w:sz w:val="28"/>
          <w:szCs w:val="28"/>
          <w:highlight w:val="none"/>
          <w:u w:val="single"/>
        </w:rPr>
        <w:t xml:space="preserve">                        </w:t>
      </w:r>
      <w:r>
        <w:rPr>
          <w:rFonts w:hint="eastAsia" w:ascii="宋体" w:hAnsi="宋体" w:cs="宋体"/>
          <w:color w:val="auto"/>
          <w:sz w:val="28"/>
          <w:szCs w:val="28"/>
          <w:highlight w:val="none"/>
        </w:rPr>
        <w:t xml:space="preserve">                       </w:t>
      </w:r>
    </w:p>
    <w:p w14:paraId="4954A12E">
      <w:pPr>
        <w:keepNext w:val="0"/>
        <w:keepLines w:val="0"/>
        <w:pageBreakBefore w:val="0"/>
        <w:widowControl w:val="0"/>
        <w:kinsoku/>
        <w:wordWrap/>
        <w:overflowPunct/>
        <w:topLinePunct w:val="0"/>
        <w:autoSpaceDE/>
        <w:autoSpaceDN/>
        <w:bidi w:val="0"/>
        <w:adjustRightInd/>
        <w:snapToGrid/>
        <w:spacing w:line="500" w:lineRule="exact"/>
        <w:ind w:left="-181" w:leftChars="-94" w:hanging="16" w:hangingChars="6"/>
        <w:textAlignment w:val="auto"/>
        <w:rPr>
          <w:rFonts w:hint="eastAsia" w:ascii="宋体" w:hAnsi="宋体" w:cs="宋体"/>
          <w:color w:val="auto"/>
          <w:sz w:val="28"/>
          <w:szCs w:val="28"/>
          <w:highlight w:val="none"/>
        </w:rPr>
      </w:pPr>
      <w:r>
        <w:rPr>
          <w:rFonts w:hint="eastAsia" w:ascii="宋体" w:hAnsi="宋体" w:cs="宋体"/>
          <w:color w:val="auto"/>
          <w:sz w:val="28"/>
          <w:szCs w:val="28"/>
          <w:highlight w:val="none"/>
        </w:rPr>
        <w:t>电    话：</w:t>
      </w: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u w:val="single"/>
          <w:lang w:val="en-US" w:eastAsia="zh-CN"/>
        </w:rPr>
        <w:t xml:space="preserve">              </w:t>
      </w: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rPr>
        <w:t xml:space="preserve">                               </w:t>
      </w:r>
    </w:p>
    <w:p w14:paraId="4116C4C9">
      <w:pPr>
        <w:keepNext w:val="0"/>
        <w:keepLines w:val="0"/>
        <w:pageBreakBefore w:val="0"/>
        <w:widowControl w:val="0"/>
        <w:kinsoku/>
        <w:wordWrap/>
        <w:overflowPunct/>
        <w:topLinePunct w:val="0"/>
        <w:autoSpaceDE/>
        <w:autoSpaceDN/>
        <w:bidi w:val="0"/>
        <w:adjustRightInd/>
        <w:snapToGrid/>
        <w:spacing w:line="500" w:lineRule="exact"/>
        <w:ind w:left="-181" w:leftChars="-94" w:hanging="16" w:hangingChars="6"/>
        <w:textAlignment w:val="auto"/>
        <w:rPr>
          <w:rFonts w:hint="eastAsia" w:ascii="宋体" w:hAnsi="宋体" w:cs="宋体"/>
          <w:color w:val="auto"/>
          <w:sz w:val="28"/>
          <w:szCs w:val="28"/>
          <w:highlight w:val="none"/>
        </w:rPr>
      </w:pPr>
      <w:r>
        <w:rPr>
          <w:rFonts w:hint="eastAsia" w:ascii="宋体" w:hAnsi="宋体" w:cs="宋体"/>
          <w:color w:val="auto"/>
          <w:sz w:val="28"/>
          <w:szCs w:val="28"/>
          <w:highlight w:val="none"/>
        </w:rPr>
        <w:t>传    真：</w:t>
      </w: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rPr>
        <w:t xml:space="preserve">                          </w:t>
      </w:r>
    </w:p>
    <w:p w14:paraId="0A8D226C">
      <w:pPr>
        <w:keepNext w:val="0"/>
        <w:keepLines w:val="0"/>
        <w:pageBreakBefore w:val="0"/>
        <w:widowControl w:val="0"/>
        <w:kinsoku/>
        <w:wordWrap/>
        <w:overflowPunct/>
        <w:topLinePunct w:val="0"/>
        <w:autoSpaceDE/>
        <w:autoSpaceDN/>
        <w:bidi w:val="0"/>
        <w:adjustRightInd/>
        <w:snapToGrid/>
        <w:spacing w:line="500" w:lineRule="exact"/>
        <w:ind w:left="-181" w:leftChars="-94" w:hanging="16" w:hangingChars="6"/>
        <w:textAlignment w:val="auto"/>
        <w:rPr>
          <w:rFonts w:hint="eastAsia" w:ascii="宋体" w:hAnsi="宋体" w:cs="宋体"/>
          <w:color w:val="auto"/>
          <w:spacing w:val="-31"/>
          <w:sz w:val="28"/>
          <w:szCs w:val="28"/>
          <w:highlight w:val="none"/>
        </w:rPr>
      </w:pPr>
      <w:r>
        <w:rPr>
          <w:rFonts w:hint="eastAsia" w:ascii="宋体" w:hAnsi="宋体" w:cs="宋体"/>
          <w:color w:val="auto"/>
          <w:sz w:val="28"/>
          <w:szCs w:val="28"/>
          <w:highlight w:val="none"/>
        </w:rPr>
        <w:t>邮政编码：</w:t>
      </w:r>
      <w:r>
        <w:rPr>
          <w:rFonts w:hint="eastAsia" w:ascii="宋体" w:hAnsi="宋体" w:cs="宋体"/>
          <w:color w:val="auto"/>
          <w:sz w:val="28"/>
          <w:szCs w:val="28"/>
          <w:highlight w:val="none"/>
          <w:u w:val="single"/>
        </w:rPr>
        <w:t xml:space="preserve">536100             </w:t>
      </w:r>
    </w:p>
    <w:p w14:paraId="721DC0A9">
      <w:pPr>
        <w:spacing w:line="440" w:lineRule="exact"/>
        <w:jc w:val="both"/>
        <w:rPr>
          <w:rFonts w:hint="eastAsia" w:ascii="宋体" w:hAnsi="宋体" w:cs="宋体"/>
          <w:b/>
          <w:bCs/>
          <w:color w:val="auto"/>
          <w:sz w:val="44"/>
          <w:szCs w:val="44"/>
          <w:highlight w:val="none"/>
        </w:rPr>
        <w:sectPr>
          <w:footerReference r:id="rId11" w:type="default"/>
          <w:pgSz w:w="11906" w:h="16838"/>
          <w:pgMar w:top="1418" w:right="1418" w:bottom="1418" w:left="1474" w:header="851" w:footer="992" w:gutter="0"/>
          <w:pgNumType w:fmt="decimal"/>
          <w:cols w:space="720" w:num="1"/>
          <w:docGrid w:type="lines" w:linePitch="312" w:charSpace="0"/>
        </w:sectPr>
      </w:pPr>
    </w:p>
    <w:p w14:paraId="5700FA8C">
      <w:pPr>
        <w:pStyle w:val="5"/>
        <w:bidi w:val="0"/>
        <w:jc w:val="center"/>
        <w:rPr>
          <w:rFonts w:hint="eastAsia"/>
          <w:color w:val="auto"/>
          <w:highlight w:val="none"/>
        </w:rPr>
      </w:pPr>
      <w:bookmarkStart w:id="62" w:name="_Toc31440"/>
      <w:r>
        <w:rPr>
          <w:rFonts w:hint="eastAsia"/>
          <w:color w:val="auto"/>
          <w:highlight w:val="none"/>
        </w:rPr>
        <w:t>二、通用合同条款</w:t>
      </w:r>
      <w:bookmarkEnd w:id="62"/>
    </w:p>
    <w:p w14:paraId="4336E160">
      <w:pPr>
        <w:spacing w:line="440" w:lineRule="exact"/>
        <w:rPr>
          <w:rFonts w:hint="eastAsia" w:ascii="宋体" w:hAnsi="宋体" w:cs="宋体"/>
          <w:color w:val="auto"/>
          <w:sz w:val="28"/>
          <w:szCs w:val="28"/>
          <w:highlight w:val="none"/>
        </w:rPr>
      </w:pPr>
    </w:p>
    <w:p w14:paraId="059A1883">
      <w:pPr>
        <w:keepNext w:val="0"/>
        <w:keepLines w:val="0"/>
        <w:pageBreakBefore w:val="0"/>
        <w:widowControl/>
        <w:kinsoku w:val="0"/>
        <w:wordWrap/>
        <w:overflowPunct/>
        <w:topLinePunct w:val="0"/>
        <w:autoSpaceDE w:val="0"/>
        <w:autoSpaceDN w:val="0"/>
        <w:bidi w:val="0"/>
        <w:adjustRightInd w:val="0"/>
        <w:snapToGrid w:val="0"/>
        <w:spacing w:line="560" w:lineRule="exact"/>
        <w:ind w:firstLine="560" w:firstLineChars="200"/>
        <w:textAlignment w:val="baseline"/>
        <w:rPr>
          <w:rFonts w:hint="eastAsia" w:ascii="宋体" w:hAnsi="宋体" w:cs="宋体"/>
          <w:color w:val="auto"/>
          <w:sz w:val="28"/>
          <w:szCs w:val="28"/>
          <w:highlight w:val="none"/>
        </w:rPr>
      </w:pPr>
      <w:r>
        <w:rPr>
          <w:rFonts w:hint="eastAsia" w:ascii="宋体" w:hAnsi="宋体" w:cs="宋体"/>
          <w:color w:val="auto"/>
          <w:sz w:val="28"/>
          <w:szCs w:val="28"/>
          <w:highlight w:val="none"/>
        </w:rPr>
        <w:t>全文引用水利部、国家电力公司和国家工商行政管理局于2000年2月联合颁发的《水利水电工程施工合同文件》（GF-2000-0208）的通用条款。</w:t>
      </w:r>
    </w:p>
    <w:p w14:paraId="34026C22">
      <w:pPr>
        <w:spacing w:line="440" w:lineRule="exact"/>
        <w:jc w:val="center"/>
        <w:rPr>
          <w:rFonts w:hint="eastAsia" w:ascii="宋体" w:hAnsi="宋体" w:cs="宋体"/>
          <w:color w:val="auto"/>
          <w:sz w:val="28"/>
          <w:szCs w:val="28"/>
          <w:highlight w:val="none"/>
        </w:rPr>
      </w:pPr>
      <w:r>
        <w:rPr>
          <w:rFonts w:hint="eastAsia" w:ascii="宋体" w:hAnsi="宋体" w:cs="宋体"/>
          <w:color w:val="auto"/>
          <w:sz w:val="28"/>
          <w:szCs w:val="28"/>
          <w:highlight w:val="none"/>
        </w:rPr>
        <w:br w:type="page"/>
      </w:r>
      <w:bookmarkStart w:id="63" w:name="_Toc1495"/>
      <w:r>
        <w:rPr>
          <w:rStyle w:val="123"/>
          <w:rFonts w:hint="eastAsia"/>
          <w:color w:val="auto"/>
          <w:highlight w:val="none"/>
        </w:rPr>
        <w:t>三、 专用合同条款</w:t>
      </w:r>
      <w:bookmarkEnd w:id="63"/>
    </w:p>
    <w:p w14:paraId="272606BF">
      <w:pPr>
        <w:spacing w:line="440" w:lineRule="exact"/>
        <w:ind w:firstLine="560" w:firstLineChars="200"/>
        <w:rPr>
          <w:rFonts w:hint="eastAsia" w:ascii="宋体" w:hAnsi="宋体" w:cs="宋体"/>
          <w:color w:val="auto"/>
          <w:sz w:val="28"/>
          <w:szCs w:val="28"/>
          <w:highlight w:val="none"/>
        </w:rPr>
      </w:pPr>
    </w:p>
    <w:p w14:paraId="2F922CF9">
      <w:pPr>
        <w:pStyle w:val="116"/>
        <w:pageBreakBefore w:val="0"/>
        <w:kinsoku/>
        <w:wordWrap/>
        <w:overflowPunct/>
        <w:topLinePunct w:val="0"/>
        <w:bidi w:val="0"/>
        <w:spacing w:beforeLines="0" w:afterLines="0" w:line="500" w:lineRule="exact"/>
        <w:ind w:left="0" w:right="0"/>
        <w:rPr>
          <w:rFonts w:hint="eastAsia" w:ascii="宋体" w:hAnsi="宋体" w:eastAsia="宋体" w:cs="宋体"/>
          <w:color w:val="auto"/>
          <w:spacing w:val="0"/>
          <w:sz w:val="28"/>
          <w:szCs w:val="28"/>
          <w:highlight w:val="none"/>
          <w:lang w:eastAsia="zh-CN"/>
        </w:rPr>
      </w:pPr>
      <w:bookmarkStart w:id="64" w:name="_Toc5795"/>
      <w:bookmarkStart w:id="65" w:name="bookmark1582"/>
      <w:bookmarkStart w:id="66" w:name="_Toc27068"/>
      <w:bookmarkStart w:id="67" w:name="_Toc30818"/>
      <w:bookmarkStart w:id="68" w:name="_Toc19994"/>
      <w:bookmarkStart w:id="69" w:name="bookmark1580"/>
      <w:bookmarkStart w:id="70" w:name="_Toc28947"/>
      <w:bookmarkStart w:id="71" w:name="_Toc21852"/>
      <w:bookmarkStart w:id="72" w:name="bookmark1579"/>
      <w:bookmarkStart w:id="73" w:name="_Toc16103"/>
      <w:r>
        <w:rPr>
          <w:rFonts w:hint="eastAsia" w:ascii="宋体" w:hAnsi="宋体" w:eastAsia="宋体" w:cs="宋体"/>
          <w:color w:val="auto"/>
          <w:spacing w:val="0"/>
          <w:sz w:val="28"/>
          <w:szCs w:val="28"/>
          <w:highlight w:val="none"/>
          <w:lang w:eastAsia="zh-CN"/>
        </w:rPr>
        <w:t>1. 一般约定</w:t>
      </w:r>
      <w:bookmarkEnd w:id="64"/>
      <w:bookmarkEnd w:id="65"/>
      <w:bookmarkEnd w:id="66"/>
      <w:bookmarkEnd w:id="67"/>
      <w:bookmarkEnd w:id="68"/>
      <w:bookmarkEnd w:id="69"/>
      <w:bookmarkEnd w:id="70"/>
      <w:bookmarkEnd w:id="71"/>
      <w:bookmarkEnd w:id="72"/>
      <w:bookmarkEnd w:id="73"/>
    </w:p>
    <w:p w14:paraId="3BB22E70">
      <w:pPr>
        <w:pStyle w:val="116"/>
        <w:pageBreakBefore w:val="0"/>
        <w:kinsoku/>
        <w:wordWrap/>
        <w:overflowPunct/>
        <w:topLinePunct w:val="0"/>
        <w:bidi w:val="0"/>
        <w:spacing w:beforeLines="0" w:afterLines="0" w:line="500" w:lineRule="exact"/>
        <w:ind w:left="0" w:right="0"/>
        <w:rPr>
          <w:rFonts w:hint="eastAsia" w:ascii="宋体" w:hAnsi="宋体" w:eastAsia="宋体" w:cs="宋体"/>
          <w:color w:val="auto"/>
          <w:spacing w:val="0"/>
          <w:sz w:val="28"/>
          <w:szCs w:val="28"/>
          <w:highlight w:val="none"/>
          <w:lang w:eastAsia="zh-CN"/>
        </w:rPr>
      </w:pPr>
      <w:bookmarkStart w:id="74" w:name="_Toc15946"/>
      <w:bookmarkStart w:id="75" w:name="bookmark1583"/>
      <w:bookmarkStart w:id="76" w:name="bookmark1585"/>
      <w:bookmarkStart w:id="77" w:name="_Toc7398"/>
      <w:bookmarkStart w:id="78" w:name="_Toc6206"/>
      <w:bookmarkStart w:id="79" w:name="bookmark1584"/>
      <w:bookmarkStart w:id="80" w:name="_Toc23989"/>
      <w:r>
        <w:rPr>
          <w:rFonts w:hint="eastAsia" w:ascii="宋体" w:hAnsi="宋体" w:eastAsia="宋体" w:cs="宋体"/>
          <w:color w:val="auto"/>
          <w:spacing w:val="0"/>
          <w:sz w:val="28"/>
          <w:szCs w:val="28"/>
          <w:highlight w:val="none"/>
          <w:lang w:eastAsia="zh-CN"/>
        </w:rPr>
        <w:t>1.1词语定义</w:t>
      </w:r>
      <w:bookmarkEnd w:id="74"/>
      <w:bookmarkEnd w:id="75"/>
      <w:bookmarkEnd w:id="76"/>
      <w:bookmarkEnd w:id="77"/>
      <w:bookmarkEnd w:id="78"/>
      <w:bookmarkEnd w:id="79"/>
      <w:bookmarkEnd w:id="80"/>
    </w:p>
    <w:p w14:paraId="3ECFED95">
      <w:pPr>
        <w:pStyle w:val="115"/>
        <w:pageBreakBefore w:val="0"/>
        <w:kinsoku/>
        <w:wordWrap/>
        <w:overflowPunct/>
        <w:topLinePunct w:val="0"/>
        <w:bidi w:val="0"/>
        <w:spacing w:line="500" w:lineRule="exact"/>
        <w:ind w:left="0" w:right="0" w:firstLine="560" w:firstLineChars="200"/>
        <w:rPr>
          <w:rFonts w:hint="eastAsia" w:ascii="宋体" w:hAnsi="宋体" w:eastAsia="宋体" w:cs="宋体"/>
          <w:color w:val="auto"/>
          <w:spacing w:val="0"/>
          <w:sz w:val="28"/>
          <w:szCs w:val="28"/>
          <w:highlight w:val="none"/>
        </w:rPr>
      </w:pPr>
      <w:r>
        <w:rPr>
          <w:rFonts w:hint="eastAsia" w:ascii="宋体" w:hAnsi="宋体" w:eastAsia="宋体" w:cs="宋体"/>
          <w:color w:val="auto"/>
          <w:spacing w:val="0"/>
          <w:sz w:val="28"/>
          <w:szCs w:val="28"/>
          <w:highlight w:val="none"/>
          <w:lang w:val="en-US" w:bidi="en-US"/>
        </w:rPr>
        <w:t>1.1.2</w:t>
      </w:r>
      <w:r>
        <w:rPr>
          <w:rFonts w:hint="eastAsia" w:ascii="宋体" w:hAnsi="宋体" w:eastAsia="宋体" w:cs="宋体"/>
          <w:color w:val="auto"/>
          <w:spacing w:val="0"/>
          <w:sz w:val="28"/>
          <w:szCs w:val="28"/>
          <w:highlight w:val="none"/>
        </w:rPr>
        <w:t>合同当事人和人员</w:t>
      </w:r>
    </w:p>
    <w:p w14:paraId="44BAEB31">
      <w:pPr>
        <w:pStyle w:val="117"/>
        <w:pageBreakBefore w:val="0"/>
        <w:tabs>
          <w:tab w:val="left" w:pos="4064"/>
        </w:tabs>
        <w:kinsoku/>
        <w:wordWrap/>
        <w:overflowPunct/>
        <w:topLinePunct w:val="0"/>
        <w:bidi w:val="0"/>
        <w:spacing w:after="0" w:line="500" w:lineRule="exact"/>
        <w:ind w:left="0" w:right="0" w:firstLine="0"/>
        <w:rPr>
          <w:rFonts w:hint="eastAsia" w:ascii="宋体" w:hAnsi="宋体" w:eastAsia="宋体" w:cs="宋体"/>
          <w:color w:val="auto"/>
          <w:spacing w:val="0"/>
          <w:sz w:val="28"/>
          <w:szCs w:val="28"/>
          <w:highlight w:val="none"/>
          <w:lang w:eastAsia="zh-CN"/>
        </w:rPr>
      </w:pPr>
      <w:r>
        <w:rPr>
          <w:rFonts w:hint="eastAsia" w:ascii="宋体" w:hAnsi="宋体" w:eastAsia="宋体" w:cs="宋体"/>
          <w:color w:val="auto"/>
          <w:spacing w:val="0"/>
          <w:sz w:val="28"/>
          <w:szCs w:val="28"/>
          <w:highlight w:val="none"/>
          <w:lang w:eastAsia="zh-CN"/>
        </w:rPr>
        <w:t>　　1.1.2.</w:t>
      </w:r>
      <w:r>
        <w:rPr>
          <w:rFonts w:hint="eastAsia" w:ascii="宋体" w:hAnsi="宋体" w:eastAsia="宋体" w:cs="宋体"/>
          <w:color w:val="auto"/>
          <w:spacing w:val="0"/>
          <w:sz w:val="28"/>
          <w:szCs w:val="28"/>
          <w:highlight w:val="none"/>
          <w:lang w:val="zh-CN" w:eastAsia="zh-CN" w:bidi="zh-CN"/>
        </w:rPr>
        <w:t>2</w:t>
      </w:r>
      <w:r>
        <w:rPr>
          <w:rFonts w:hint="eastAsia" w:ascii="宋体" w:hAnsi="宋体" w:cs="宋体"/>
          <w:color w:val="auto"/>
          <w:spacing w:val="0"/>
          <w:sz w:val="28"/>
          <w:szCs w:val="28"/>
          <w:highlight w:val="none"/>
          <w:lang w:val="en-US" w:eastAsia="zh-CN" w:bidi="zh-CN"/>
        </w:rPr>
        <w:t>建设单位</w:t>
      </w:r>
      <w:r>
        <w:rPr>
          <w:rFonts w:hint="eastAsia" w:ascii="宋体" w:hAnsi="宋体" w:eastAsia="宋体" w:cs="宋体"/>
          <w:color w:val="auto"/>
          <w:spacing w:val="0"/>
          <w:sz w:val="28"/>
          <w:szCs w:val="28"/>
          <w:highlight w:val="none"/>
          <w:lang w:val="zh-CN" w:eastAsia="zh-CN" w:bidi="zh-CN"/>
        </w:rPr>
        <w:t>：</w:t>
      </w:r>
      <w:r>
        <w:rPr>
          <w:rFonts w:hint="eastAsia" w:ascii="宋体" w:hAnsi="宋体" w:eastAsia="宋体" w:cs="宋体"/>
          <w:b/>
          <w:bCs/>
          <w:color w:val="auto"/>
          <w:spacing w:val="0"/>
          <w:sz w:val="28"/>
          <w:szCs w:val="28"/>
          <w:highlight w:val="none"/>
          <w:u w:val="single"/>
          <w:lang w:val="en-US" w:eastAsia="zh-CN" w:bidi="zh-CN"/>
        </w:rPr>
        <w:t xml:space="preserve"> </w:t>
      </w:r>
      <w:r>
        <w:rPr>
          <w:rFonts w:hint="eastAsia" w:ascii="宋体" w:hAnsi="宋体" w:cs="宋体"/>
          <w:b/>
          <w:bCs/>
          <w:color w:val="auto"/>
          <w:sz w:val="28"/>
          <w:szCs w:val="28"/>
          <w:highlight w:val="none"/>
          <w:u w:val="single"/>
          <w:lang w:val="zh-CN" w:eastAsia="zh-CN" w:bidi="zh-CN"/>
        </w:rPr>
        <w:t>合浦县水利工程管理站</w:t>
      </w:r>
      <w:r>
        <w:rPr>
          <w:rFonts w:hint="eastAsia" w:ascii="宋体" w:hAnsi="宋体" w:eastAsia="宋体" w:cs="宋体"/>
          <w:b/>
          <w:bCs/>
          <w:color w:val="auto"/>
          <w:spacing w:val="0"/>
          <w:sz w:val="28"/>
          <w:szCs w:val="28"/>
          <w:highlight w:val="none"/>
          <w:u w:val="single"/>
          <w:lang w:val="en-US" w:eastAsia="zh-CN" w:bidi="zh-CN"/>
        </w:rPr>
        <w:t xml:space="preserve">  </w:t>
      </w:r>
      <w:r>
        <w:rPr>
          <w:rFonts w:hint="eastAsia" w:ascii="宋体" w:hAnsi="宋体" w:eastAsia="宋体" w:cs="宋体"/>
          <w:color w:val="auto"/>
          <w:spacing w:val="0"/>
          <w:sz w:val="28"/>
          <w:szCs w:val="28"/>
          <w:highlight w:val="none"/>
          <w:lang w:eastAsia="zh-CN"/>
        </w:rPr>
        <w:t>。</w:t>
      </w:r>
    </w:p>
    <w:p w14:paraId="31E30136">
      <w:pPr>
        <w:pStyle w:val="117"/>
        <w:pageBreakBefore w:val="0"/>
        <w:tabs>
          <w:tab w:val="left" w:pos="4066"/>
        </w:tabs>
        <w:kinsoku/>
        <w:wordWrap/>
        <w:overflowPunct/>
        <w:topLinePunct w:val="0"/>
        <w:bidi w:val="0"/>
        <w:spacing w:after="0" w:line="500" w:lineRule="exact"/>
        <w:ind w:left="0" w:right="0" w:firstLine="0"/>
        <w:rPr>
          <w:rFonts w:hint="eastAsia" w:ascii="宋体" w:hAnsi="宋体" w:eastAsia="宋体" w:cs="宋体"/>
          <w:color w:val="auto"/>
          <w:spacing w:val="0"/>
          <w:sz w:val="28"/>
          <w:szCs w:val="28"/>
          <w:highlight w:val="none"/>
          <w:lang w:eastAsia="zh-CN"/>
        </w:rPr>
      </w:pPr>
      <w:r>
        <w:rPr>
          <w:rFonts w:hint="eastAsia" w:ascii="宋体" w:hAnsi="宋体" w:eastAsia="宋体" w:cs="宋体"/>
          <w:color w:val="auto"/>
          <w:spacing w:val="0"/>
          <w:sz w:val="28"/>
          <w:szCs w:val="28"/>
          <w:highlight w:val="none"/>
          <w:lang w:eastAsia="zh-CN"/>
        </w:rPr>
        <w:t>　　1.1.2.</w:t>
      </w:r>
      <w:r>
        <w:rPr>
          <w:rFonts w:hint="eastAsia" w:ascii="宋体" w:hAnsi="宋体" w:eastAsia="宋体" w:cs="宋体"/>
          <w:color w:val="auto"/>
          <w:spacing w:val="0"/>
          <w:sz w:val="28"/>
          <w:szCs w:val="28"/>
          <w:highlight w:val="none"/>
          <w:lang w:val="zh-CN" w:eastAsia="zh-CN" w:bidi="zh-CN"/>
        </w:rPr>
        <w:t>3承包人：</w:t>
      </w:r>
      <w:r>
        <w:rPr>
          <w:rFonts w:hint="eastAsia" w:ascii="宋体" w:hAnsi="宋体" w:eastAsia="宋体" w:cs="宋体"/>
          <w:b/>
          <w:bCs/>
          <w:color w:val="auto"/>
          <w:spacing w:val="0"/>
          <w:sz w:val="28"/>
          <w:szCs w:val="28"/>
          <w:highlight w:val="none"/>
          <w:u w:val="single"/>
          <w:lang w:val="en-US" w:eastAsia="zh-CN" w:bidi="zh-CN"/>
        </w:rPr>
        <w:t xml:space="preserve"> </w:t>
      </w:r>
      <w:r>
        <w:rPr>
          <w:rFonts w:hint="eastAsia" w:asciiTheme="minorEastAsia" w:hAnsiTheme="minorEastAsia" w:eastAsiaTheme="minorEastAsia" w:cstheme="minorEastAsia"/>
          <w:color w:val="auto"/>
          <w:sz w:val="28"/>
          <w:szCs w:val="28"/>
          <w:highlight w:val="none"/>
          <w:u w:val="single"/>
        </w:rPr>
        <w:t xml:space="preserve">        </w:t>
      </w:r>
      <w:r>
        <w:rPr>
          <w:rFonts w:hint="eastAsia" w:asciiTheme="minorEastAsia" w:hAnsiTheme="minorEastAsia" w:eastAsiaTheme="minorEastAsia" w:cstheme="minorEastAsia"/>
          <w:color w:val="auto"/>
          <w:sz w:val="28"/>
          <w:szCs w:val="28"/>
          <w:highlight w:val="none"/>
          <w:u w:val="single"/>
          <w:lang w:val="en-US" w:eastAsia="zh-CN"/>
        </w:rPr>
        <w:t xml:space="preserve">     </w:t>
      </w:r>
      <w:r>
        <w:rPr>
          <w:rFonts w:hint="eastAsia" w:asciiTheme="minorEastAsia" w:hAnsiTheme="minorEastAsia" w:eastAsiaTheme="minorEastAsia" w:cstheme="minorEastAsia"/>
          <w:color w:val="auto"/>
          <w:sz w:val="28"/>
          <w:szCs w:val="28"/>
          <w:highlight w:val="none"/>
          <w:u w:val="single"/>
        </w:rPr>
        <w:t xml:space="preserve">   </w:t>
      </w:r>
      <w:r>
        <w:rPr>
          <w:rFonts w:hint="eastAsia" w:asciiTheme="minorEastAsia" w:hAnsiTheme="minorEastAsia" w:eastAsiaTheme="minorEastAsia" w:cstheme="minorEastAsia"/>
          <w:color w:val="auto"/>
          <w:sz w:val="28"/>
          <w:szCs w:val="28"/>
          <w:highlight w:val="none"/>
          <w:u w:val="single"/>
          <w:lang w:val="en-US" w:eastAsia="zh-CN"/>
        </w:rPr>
        <w:t xml:space="preserve"> </w:t>
      </w:r>
      <w:r>
        <w:rPr>
          <w:rFonts w:hint="eastAsia" w:asciiTheme="minorEastAsia" w:hAnsiTheme="minorEastAsia" w:eastAsiaTheme="minorEastAsia" w:cstheme="minorEastAsia"/>
          <w:color w:val="auto"/>
          <w:sz w:val="28"/>
          <w:szCs w:val="28"/>
          <w:highlight w:val="none"/>
          <w:u w:val="single"/>
        </w:rPr>
        <w:t xml:space="preserve">    </w:t>
      </w:r>
      <w:r>
        <w:rPr>
          <w:rFonts w:hint="eastAsia" w:ascii="宋体" w:hAnsi="宋体" w:eastAsia="宋体" w:cs="宋体"/>
          <w:color w:val="auto"/>
          <w:spacing w:val="0"/>
          <w:sz w:val="28"/>
          <w:szCs w:val="28"/>
          <w:highlight w:val="none"/>
          <w:lang w:eastAsia="zh-CN"/>
        </w:rPr>
        <w:t>。</w:t>
      </w:r>
    </w:p>
    <w:p w14:paraId="1B923F35">
      <w:pPr>
        <w:pStyle w:val="117"/>
        <w:pageBreakBefore w:val="0"/>
        <w:tabs>
          <w:tab w:val="left" w:pos="4066"/>
        </w:tabs>
        <w:kinsoku/>
        <w:wordWrap/>
        <w:overflowPunct/>
        <w:topLinePunct w:val="0"/>
        <w:bidi w:val="0"/>
        <w:spacing w:after="0" w:line="500" w:lineRule="exact"/>
        <w:ind w:left="0" w:right="0" w:firstLine="0"/>
        <w:rPr>
          <w:rFonts w:hint="eastAsia" w:ascii="宋体" w:hAnsi="宋体" w:eastAsia="宋体" w:cs="宋体"/>
          <w:color w:val="auto"/>
          <w:spacing w:val="0"/>
          <w:sz w:val="28"/>
          <w:szCs w:val="28"/>
          <w:highlight w:val="none"/>
          <w:lang w:eastAsia="zh-CN"/>
        </w:rPr>
      </w:pPr>
      <w:r>
        <w:rPr>
          <w:rFonts w:hint="eastAsia" w:ascii="宋体" w:hAnsi="宋体" w:eastAsia="宋体" w:cs="宋体"/>
          <w:color w:val="auto"/>
          <w:spacing w:val="0"/>
          <w:sz w:val="28"/>
          <w:szCs w:val="28"/>
          <w:highlight w:val="none"/>
          <w:lang w:eastAsia="zh-CN"/>
        </w:rPr>
        <w:t>　　1.1.2.</w:t>
      </w:r>
      <w:r>
        <w:rPr>
          <w:rFonts w:hint="eastAsia" w:ascii="宋体" w:hAnsi="宋体" w:eastAsia="宋体" w:cs="宋体"/>
          <w:color w:val="auto"/>
          <w:spacing w:val="0"/>
          <w:sz w:val="28"/>
          <w:szCs w:val="28"/>
          <w:highlight w:val="none"/>
          <w:lang w:eastAsia="zh-CN" w:bidi="zh-CN"/>
        </w:rPr>
        <w:t>4承包人项目负责人、技术负责人和专职安全员</w:t>
      </w:r>
      <w:r>
        <w:rPr>
          <w:rFonts w:hint="eastAsia" w:ascii="宋体" w:hAnsi="宋体" w:eastAsia="宋体" w:cs="宋体"/>
          <w:color w:val="auto"/>
          <w:spacing w:val="0"/>
          <w:sz w:val="28"/>
          <w:szCs w:val="28"/>
          <w:highlight w:val="none"/>
          <w:lang w:val="zh-CN" w:eastAsia="zh-CN" w:bidi="zh-CN"/>
        </w:rPr>
        <w:t>：</w:t>
      </w:r>
      <w:r>
        <w:rPr>
          <w:rFonts w:hint="eastAsia" w:asciiTheme="minorEastAsia" w:hAnsiTheme="minorEastAsia" w:eastAsiaTheme="minorEastAsia" w:cstheme="minorEastAsia"/>
          <w:color w:val="auto"/>
          <w:sz w:val="28"/>
          <w:szCs w:val="28"/>
          <w:highlight w:val="none"/>
          <w:u w:val="single"/>
        </w:rPr>
        <w:t xml:space="preserve">        </w:t>
      </w:r>
      <w:r>
        <w:rPr>
          <w:rFonts w:hint="eastAsia" w:asciiTheme="minorEastAsia" w:hAnsiTheme="minorEastAsia" w:eastAsiaTheme="minorEastAsia" w:cstheme="minorEastAsia"/>
          <w:color w:val="auto"/>
          <w:sz w:val="28"/>
          <w:szCs w:val="28"/>
          <w:highlight w:val="none"/>
          <w:u w:val="single"/>
          <w:lang w:val="en-US" w:eastAsia="zh-CN"/>
        </w:rPr>
        <w:t xml:space="preserve">     </w:t>
      </w:r>
      <w:r>
        <w:rPr>
          <w:rFonts w:hint="eastAsia" w:asciiTheme="minorEastAsia" w:hAnsiTheme="minorEastAsia" w:eastAsiaTheme="minorEastAsia" w:cstheme="minorEastAsia"/>
          <w:color w:val="auto"/>
          <w:sz w:val="28"/>
          <w:szCs w:val="28"/>
          <w:highlight w:val="none"/>
          <w:u w:val="single"/>
        </w:rPr>
        <w:t xml:space="preserve">   </w:t>
      </w:r>
      <w:r>
        <w:rPr>
          <w:rFonts w:hint="eastAsia" w:asciiTheme="minorEastAsia" w:hAnsiTheme="minorEastAsia" w:eastAsiaTheme="minorEastAsia" w:cstheme="minorEastAsia"/>
          <w:color w:val="auto"/>
          <w:sz w:val="28"/>
          <w:szCs w:val="28"/>
          <w:highlight w:val="none"/>
          <w:u w:val="single"/>
          <w:lang w:val="en-US" w:eastAsia="zh-CN"/>
        </w:rPr>
        <w:t xml:space="preserve"> </w:t>
      </w:r>
      <w:r>
        <w:rPr>
          <w:rFonts w:hint="eastAsia" w:asciiTheme="minorEastAsia" w:hAnsiTheme="minorEastAsia" w:eastAsiaTheme="minorEastAsia" w:cstheme="minorEastAsia"/>
          <w:color w:val="auto"/>
          <w:sz w:val="28"/>
          <w:szCs w:val="28"/>
          <w:highlight w:val="none"/>
          <w:u w:val="single"/>
        </w:rPr>
        <w:t xml:space="preserve">    </w:t>
      </w:r>
      <w:r>
        <w:rPr>
          <w:rFonts w:hint="eastAsia" w:ascii="宋体" w:hAnsi="宋体" w:eastAsia="宋体" w:cs="宋体"/>
          <w:color w:val="auto"/>
          <w:spacing w:val="0"/>
          <w:sz w:val="28"/>
          <w:szCs w:val="28"/>
          <w:highlight w:val="none"/>
          <w:lang w:eastAsia="zh-CN" w:bidi="zh-CN"/>
        </w:rPr>
        <w:t>。</w:t>
      </w:r>
    </w:p>
    <w:p w14:paraId="627154FA">
      <w:pPr>
        <w:pStyle w:val="117"/>
        <w:pageBreakBefore w:val="0"/>
        <w:tabs>
          <w:tab w:val="left" w:pos="4064"/>
        </w:tabs>
        <w:kinsoku/>
        <w:wordWrap/>
        <w:overflowPunct/>
        <w:topLinePunct w:val="0"/>
        <w:bidi w:val="0"/>
        <w:spacing w:after="0" w:line="500" w:lineRule="exact"/>
        <w:ind w:left="0" w:right="0" w:firstLine="0"/>
        <w:rPr>
          <w:rFonts w:hint="eastAsia" w:ascii="宋体" w:hAnsi="宋体" w:eastAsia="宋体" w:cs="宋体"/>
          <w:color w:val="auto"/>
          <w:spacing w:val="0"/>
          <w:sz w:val="28"/>
          <w:szCs w:val="28"/>
          <w:highlight w:val="none"/>
          <w:lang w:eastAsia="zh-CN"/>
        </w:rPr>
      </w:pPr>
      <w:r>
        <w:rPr>
          <w:rFonts w:hint="eastAsia" w:ascii="宋体" w:hAnsi="宋体" w:eastAsia="宋体" w:cs="宋体"/>
          <w:color w:val="auto"/>
          <w:spacing w:val="0"/>
          <w:sz w:val="28"/>
          <w:szCs w:val="28"/>
          <w:highlight w:val="none"/>
          <w:lang w:eastAsia="zh-CN"/>
        </w:rPr>
        <w:t>　　1.1.2.</w:t>
      </w:r>
      <w:r>
        <w:rPr>
          <w:rFonts w:hint="eastAsia" w:ascii="宋体" w:hAnsi="宋体" w:eastAsia="宋体" w:cs="宋体"/>
          <w:color w:val="auto"/>
          <w:spacing w:val="0"/>
          <w:sz w:val="28"/>
          <w:szCs w:val="28"/>
          <w:highlight w:val="none"/>
          <w:lang w:val="zh-CN" w:eastAsia="zh-CN" w:bidi="zh-CN"/>
        </w:rPr>
        <w:t>5分包人:</w:t>
      </w:r>
      <w:r>
        <w:rPr>
          <w:rFonts w:hint="eastAsia" w:ascii="宋体" w:hAnsi="宋体" w:eastAsia="宋体" w:cs="宋体"/>
          <w:color w:val="auto"/>
          <w:spacing w:val="0"/>
          <w:sz w:val="28"/>
          <w:szCs w:val="28"/>
          <w:highlight w:val="none"/>
          <w:u w:val="single"/>
          <w:lang w:val="en-US" w:eastAsia="zh-CN" w:bidi="zh-CN"/>
        </w:rPr>
        <w:t xml:space="preserve">  </w:t>
      </w:r>
      <w:r>
        <w:rPr>
          <w:rFonts w:hint="eastAsia" w:ascii="宋体" w:hAnsi="宋体" w:cs="宋体"/>
          <w:color w:val="auto"/>
          <w:spacing w:val="0"/>
          <w:sz w:val="28"/>
          <w:szCs w:val="28"/>
          <w:highlight w:val="none"/>
          <w:u w:val="single"/>
          <w:lang w:val="en-US" w:eastAsia="zh-CN" w:bidi="zh-CN"/>
        </w:rPr>
        <w:t xml:space="preserve">  </w:t>
      </w:r>
      <w:r>
        <w:rPr>
          <w:rFonts w:hint="eastAsia" w:ascii="宋体" w:hAnsi="宋体" w:eastAsia="宋体" w:cs="宋体"/>
          <w:color w:val="auto"/>
          <w:spacing w:val="0"/>
          <w:sz w:val="28"/>
          <w:szCs w:val="28"/>
          <w:highlight w:val="none"/>
          <w:u w:val="single"/>
          <w:lang w:val="en-US" w:eastAsia="zh-CN" w:bidi="zh-CN"/>
        </w:rPr>
        <w:t xml:space="preserve"> / </w:t>
      </w:r>
      <w:r>
        <w:rPr>
          <w:rFonts w:hint="eastAsia" w:ascii="宋体" w:hAnsi="宋体" w:cs="宋体"/>
          <w:color w:val="auto"/>
          <w:spacing w:val="0"/>
          <w:sz w:val="28"/>
          <w:szCs w:val="28"/>
          <w:highlight w:val="none"/>
          <w:u w:val="single"/>
          <w:lang w:val="en-US" w:eastAsia="zh-CN" w:bidi="zh-CN"/>
        </w:rPr>
        <w:t xml:space="preserve">   </w:t>
      </w:r>
      <w:r>
        <w:rPr>
          <w:rFonts w:hint="eastAsia" w:ascii="宋体" w:hAnsi="宋体" w:eastAsia="宋体" w:cs="宋体"/>
          <w:color w:val="auto"/>
          <w:spacing w:val="0"/>
          <w:sz w:val="28"/>
          <w:szCs w:val="28"/>
          <w:highlight w:val="none"/>
          <w:u w:val="single"/>
          <w:lang w:val="en-US" w:eastAsia="zh-CN" w:bidi="zh-CN"/>
        </w:rPr>
        <w:t xml:space="preserve">  </w:t>
      </w:r>
      <w:r>
        <w:rPr>
          <w:rFonts w:hint="eastAsia" w:ascii="宋体" w:hAnsi="宋体" w:eastAsia="宋体" w:cs="宋体"/>
          <w:color w:val="auto"/>
          <w:spacing w:val="0"/>
          <w:sz w:val="28"/>
          <w:szCs w:val="28"/>
          <w:highlight w:val="none"/>
          <w:lang w:eastAsia="zh-CN"/>
        </w:rPr>
        <w:t>。</w:t>
      </w:r>
    </w:p>
    <w:p w14:paraId="2E6DA6F3">
      <w:pPr>
        <w:pStyle w:val="117"/>
        <w:pageBreakBefore w:val="0"/>
        <w:tabs>
          <w:tab w:val="left" w:pos="4064"/>
        </w:tabs>
        <w:kinsoku/>
        <w:wordWrap/>
        <w:overflowPunct/>
        <w:topLinePunct w:val="0"/>
        <w:bidi w:val="0"/>
        <w:spacing w:after="0" w:line="500" w:lineRule="exact"/>
        <w:ind w:left="0" w:right="0" w:firstLine="560" w:firstLineChars="200"/>
        <w:rPr>
          <w:rFonts w:hint="eastAsia" w:ascii="宋体" w:hAnsi="宋体" w:eastAsia="宋体" w:cs="宋体"/>
          <w:color w:val="auto"/>
          <w:spacing w:val="0"/>
          <w:sz w:val="28"/>
          <w:szCs w:val="28"/>
          <w:highlight w:val="none"/>
          <w:lang w:eastAsia="zh-CN"/>
        </w:rPr>
      </w:pPr>
      <w:r>
        <w:rPr>
          <w:rFonts w:hint="eastAsia" w:ascii="宋体" w:hAnsi="宋体" w:eastAsia="宋体" w:cs="宋体"/>
          <w:color w:val="auto"/>
          <w:spacing w:val="0"/>
          <w:sz w:val="28"/>
          <w:szCs w:val="28"/>
          <w:highlight w:val="none"/>
          <w:lang w:eastAsia="zh-CN"/>
        </w:rPr>
        <w:t>1.1.2.6</w:t>
      </w:r>
      <w:r>
        <w:rPr>
          <w:rFonts w:hint="eastAsia" w:ascii="宋体" w:hAnsi="宋体" w:eastAsia="宋体" w:cs="宋体"/>
          <w:color w:val="auto"/>
          <w:spacing w:val="0"/>
          <w:sz w:val="28"/>
          <w:szCs w:val="28"/>
          <w:highlight w:val="none"/>
          <w:lang w:val="zh-CN" w:eastAsia="zh-CN" w:bidi="zh-CN"/>
        </w:rPr>
        <w:t>监理人：</w:t>
      </w:r>
      <w:r>
        <w:rPr>
          <w:rFonts w:hint="eastAsia" w:ascii="宋体" w:hAnsi="宋体" w:eastAsia="宋体" w:cs="宋体"/>
          <w:color w:val="auto"/>
          <w:spacing w:val="0"/>
          <w:sz w:val="28"/>
          <w:szCs w:val="28"/>
          <w:highlight w:val="none"/>
          <w:u w:val="single"/>
          <w:lang w:eastAsia="zh-CN" w:bidi="zh-CN"/>
        </w:rPr>
        <w:t xml:space="preserve"> 另行通知  </w:t>
      </w:r>
      <w:r>
        <w:rPr>
          <w:rFonts w:hint="eastAsia" w:ascii="宋体" w:hAnsi="宋体" w:eastAsia="宋体" w:cs="宋体"/>
          <w:color w:val="auto"/>
          <w:spacing w:val="0"/>
          <w:sz w:val="28"/>
          <w:szCs w:val="28"/>
          <w:highlight w:val="none"/>
          <w:lang w:eastAsia="zh-CN"/>
        </w:rPr>
        <w:t>。</w:t>
      </w:r>
    </w:p>
    <w:p w14:paraId="09C6DB45">
      <w:pPr>
        <w:pStyle w:val="117"/>
        <w:pageBreakBefore w:val="0"/>
        <w:tabs>
          <w:tab w:val="left" w:pos="3649"/>
        </w:tabs>
        <w:kinsoku/>
        <w:wordWrap/>
        <w:overflowPunct/>
        <w:topLinePunct w:val="0"/>
        <w:bidi w:val="0"/>
        <w:spacing w:after="0" w:line="500" w:lineRule="exact"/>
        <w:ind w:left="0" w:right="0" w:firstLine="0"/>
        <w:rPr>
          <w:rFonts w:hint="eastAsia" w:ascii="宋体" w:hAnsi="宋体" w:eastAsia="宋体" w:cs="宋体"/>
          <w:color w:val="auto"/>
          <w:spacing w:val="0"/>
          <w:sz w:val="28"/>
          <w:szCs w:val="28"/>
          <w:highlight w:val="none"/>
          <w:lang w:eastAsia="zh-CN"/>
        </w:rPr>
      </w:pPr>
      <w:r>
        <w:rPr>
          <w:rFonts w:hint="eastAsia" w:ascii="宋体" w:hAnsi="宋体" w:eastAsia="宋体" w:cs="宋体"/>
          <w:color w:val="auto"/>
          <w:spacing w:val="0"/>
          <w:sz w:val="28"/>
          <w:szCs w:val="28"/>
          <w:highlight w:val="none"/>
          <w:lang w:eastAsia="zh-CN"/>
        </w:rPr>
        <w:t>　　1.1.4</w:t>
      </w:r>
      <w:r>
        <w:rPr>
          <w:rFonts w:hint="eastAsia" w:ascii="宋体" w:hAnsi="宋体" w:eastAsia="宋体" w:cs="宋体"/>
          <w:color w:val="auto"/>
          <w:spacing w:val="0"/>
          <w:sz w:val="28"/>
          <w:szCs w:val="28"/>
          <w:highlight w:val="none"/>
          <w:lang w:val="zh-CN" w:eastAsia="zh-CN" w:bidi="zh-CN"/>
        </w:rPr>
        <w:t>工期：</w:t>
      </w:r>
      <w:r>
        <w:rPr>
          <w:rFonts w:hint="eastAsia" w:ascii="宋体" w:hAnsi="宋体" w:eastAsia="宋体" w:cs="宋体"/>
          <w:color w:val="auto"/>
          <w:spacing w:val="0"/>
          <w:sz w:val="28"/>
          <w:szCs w:val="28"/>
          <w:highlight w:val="none"/>
          <w:u w:val="single"/>
          <w:lang w:eastAsia="zh-CN" w:bidi="zh-CN"/>
        </w:rPr>
        <w:t xml:space="preserve"> </w:t>
      </w:r>
      <w:r>
        <w:rPr>
          <w:rFonts w:hint="eastAsia" w:ascii="宋体" w:hAnsi="宋体" w:eastAsia="宋体" w:cs="宋体"/>
          <w:b/>
          <w:bCs/>
          <w:color w:val="auto"/>
          <w:spacing w:val="0"/>
          <w:sz w:val="28"/>
          <w:szCs w:val="28"/>
          <w:highlight w:val="none"/>
          <w:u w:val="single"/>
          <w:lang w:eastAsia="zh-CN"/>
        </w:rPr>
        <w:t>监理签发的开工日起</w:t>
      </w:r>
      <w:r>
        <w:rPr>
          <w:rFonts w:hint="eastAsia" w:ascii="宋体" w:hAnsi="宋体" w:cs="宋体"/>
          <w:b/>
          <w:bCs/>
          <w:color w:val="auto"/>
          <w:spacing w:val="0"/>
          <w:sz w:val="28"/>
          <w:szCs w:val="28"/>
          <w:highlight w:val="none"/>
          <w:u w:val="single"/>
          <w:lang w:val="en-US" w:eastAsia="zh-CN"/>
        </w:rPr>
        <w:t>9</w:t>
      </w:r>
      <w:r>
        <w:rPr>
          <w:rFonts w:hint="eastAsia" w:ascii="宋体" w:hAnsi="宋体" w:eastAsia="宋体" w:cs="宋体"/>
          <w:b/>
          <w:bCs/>
          <w:color w:val="auto"/>
          <w:spacing w:val="0"/>
          <w:sz w:val="28"/>
          <w:szCs w:val="28"/>
          <w:highlight w:val="none"/>
          <w:u w:val="single"/>
          <w:lang w:eastAsia="zh-CN"/>
        </w:rPr>
        <w:t>0日历天内完成</w:t>
      </w:r>
      <w:r>
        <w:rPr>
          <w:rFonts w:hint="eastAsia" w:ascii="宋体" w:hAnsi="宋体" w:eastAsia="宋体" w:cs="宋体"/>
          <w:b/>
          <w:bCs/>
          <w:color w:val="auto"/>
          <w:spacing w:val="0"/>
          <w:sz w:val="28"/>
          <w:szCs w:val="28"/>
          <w:highlight w:val="none"/>
          <w:u w:val="single"/>
          <w:lang w:val="en-US" w:eastAsia="zh-CN" w:bidi="zh-CN"/>
        </w:rPr>
        <w:t xml:space="preserve"> </w:t>
      </w:r>
      <w:r>
        <w:rPr>
          <w:rFonts w:hint="eastAsia" w:ascii="宋体" w:hAnsi="宋体" w:eastAsia="宋体" w:cs="宋体"/>
          <w:color w:val="auto"/>
          <w:spacing w:val="0"/>
          <w:sz w:val="28"/>
          <w:szCs w:val="28"/>
          <w:highlight w:val="none"/>
          <w:lang w:eastAsia="zh-CN"/>
        </w:rPr>
        <w:t>。</w:t>
      </w:r>
    </w:p>
    <w:p w14:paraId="1DD8A900">
      <w:pPr>
        <w:pStyle w:val="115"/>
        <w:pageBreakBefore w:val="0"/>
        <w:tabs>
          <w:tab w:val="left" w:pos="6303"/>
        </w:tabs>
        <w:kinsoku/>
        <w:wordWrap/>
        <w:overflowPunct/>
        <w:topLinePunct w:val="0"/>
        <w:bidi w:val="0"/>
        <w:spacing w:line="500" w:lineRule="exact"/>
        <w:ind w:left="0" w:right="0" w:firstLine="0"/>
        <w:rPr>
          <w:rFonts w:hint="eastAsia" w:ascii="宋体" w:hAnsi="宋体" w:eastAsia="宋体" w:cs="宋体"/>
          <w:color w:val="auto"/>
          <w:spacing w:val="0"/>
          <w:sz w:val="28"/>
          <w:szCs w:val="28"/>
          <w:highlight w:val="none"/>
        </w:rPr>
      </w:pPr>
      <w:r>
        <w:rPr>
          <w:rFonts w:hint="eastAsia" w:ascii="宋体" w:hAnsi="宋体" w:eastAsia="宋体" w:cs="宋体"/>
          <w:color w:val="auto"/>
          <w:spacing w:val="0"/>
          <w:sz w:val="28"/>
          <w:szCs w:val="28"/>
          <w:highlight w:val="none"/>
          <w:lang w:val="en-US" w:bidi="en-US"/>
        </w:rPr>
        <w:t>　　1.1.4.</w:t>
      </w:r>
      <w:r>
        <w:rPr>
          <w:rFonts w:hint="eastAsia" w:ascii="宋体" w:hAnsi="宋体" w:eastAsia="宋体" w:cs="宋体"/>
          <w:color w:val="auto"/>
          <w:spacing w:val="0"/>
          <w:sz w:val="28"/>
          <w:szCs w:val="28"/>
          <w:highlight w:val="none"/>
        </w:rPr>
        <w:t>5缺陷责任期(工程质量保修期):</w:t>
      </w:r>
      <w:r>
        <w:rPr>
          <w:rFonts w:hint="eastAsia" w:ascii="宋体" w:hAnsi="宋体" w:eastAsia="宋体" w:cs="宋体"/>
          <w:color w:val="auto"/>
          <w:spacing w:val="0"/>
          <w:sz w:val="28"/>
          <w:szCs w:val="28"/>
          <w:highlight w:val="none"/>
          <w:u w:val="single"/>
          <w:lang w:val="en-US" w:eastAsia="zh-CN"/>
        </w:rPr>
        <w:t xml:space="preserve">     </w:t>
      </w:r>
      <w:r>
        <w:rPr>
          <w:rFonts w:ascii="宋体" w:hAnsi="宋体"/>
          <w:color w:val="auto"/>
          <w:spacing w:val="0"/>
          <w:sz w:val="28"/>
          <w:szCs w:val="28"/>
          <w:highlight w:val="none"/>
          <w:u w:val="single"/>
        </w:rPr>
        <w:t>一年</w:t>
      </w:r>
      <w:r>
        <w:rPr>
          <w:rFonts w:hint="eastAsia" w:ascii="宋体" w:hAnsi="宋体" w:eastAsia="宋体" w:cs="宋体"/>
          <w:color w:val="auto"/>
          <w:spacing w:val="0"/>
          <w:sz w:val="28"/>
          <w:szCs w:val="28"/>
          <w:highlight w:val="none"/>
          <w:u w:val="single"/>
          <w:lang w:val="en-US" w:eastAsia="zh-CN"/>
        </w:rPr>
        <w:t xml:space="preserve">    </w:t>
      </w:r>
      <w:r>
        <w:rPr>
          <w:rFonts w:hint="eastAsia" w:ascii="宋体" w:hAnsi="宋体" w:eastAsia="宋体" w:cs="宋体"/>
          <w:color w:val="auto"/>
          <w:spacing w:val="0"/>
          <w:sz w:val="28"/>
          <w:szCs w:val="28"/>
          <w:highlight w:val="none"/>
          <w:lang w:val="en-US" w:bidi="en-US"/>
        </w:rPr>
        <w:t>。</w:t>
      </w:r>
    </w:p>
    <w:p w14:paraId="23CB8008">
      <w:pPr>
        <w:pStyle w:val="116"/>
        <w:pageBreakBefore w:val="0"/>
        <w:kinsoku/>
        <w:wordWrap/>
        <w:overflowPunct/>
        <w:topLinePunct w:val="0"/>
        <w:bidi w:val="0"/>
        <w:spacing w:beforeLines="0" w:afterLines="0" w:line="500" w:lineRule="exact"/>
        <w:ind w:left="0" w:right="0"/>
        <w:rPr>
          <w:rFonts w:hint="eastAsia" w:ascii="宋体" w:hAnsi="宋体" w:eastAsia="宋体" w:cs="宋体"/>
          <w:color w:val="auto"/>
          <w:spacing w:val="0"/>
          <w:sz w:val="28"/>
          <w:szCs w:val="28"/>
          <w:highlight w:val="none"/>
          <w:lang w:eastAsia="zh-CN"/>
        </w:rPr>
      </w:pPr>
      <w:bookmarkStart w:id="81" w:name="bookmark1588"/>
      <w:bookmarkStart w:id="82" w:name="_Toc18159"/>
      <w:bookmarkStart w:id="83" w:name="_Toc5595"/>
      <w:bookmarkStart w:id="84" w:name="_Toc31701"/>
      <w:bookmarkStart w:id="85" w:name="bookmark1587"/>
      <w:bookmarkStart w:id="86" w:name="_Toc20388"/>
      <w:bookmarkStart w:id="87" w:name="bookmark1586"/>
      <w:r>
        <w:rPr>
          <w:rFonts w:hint="eastAsia" w:ascii="宋体" w:hAnsi="宋体" w:eastAsia="宋体" w:cs="宋体"/>
          <w:color w:val="auto"/>
          <w:spacing w:val="0"/>
          <w:sz w:val="28"/>
          <w:szCs w:val="28"/>
          <w:highlight w:val="none"/>
          <w:lang w:eastAsia="zh-CN"/>
        </w:rPr>
        <w:t>1.4合同文件的优先顺序</w:t>
      </w:r>
      <w:bookmarkEnd w:id="81"/>
      <w:bookmarkEnd w:id="82"/>
      <w:bookmarkEnd w:id="83"/>
      <w:bookmarkEnd w:id="84"/>
      <w:bookmarkEnd w:id="85"/>
      <w:bookmarkEnd w:id="86"/>
      <w:bookmarkEnd w:id="87"/>
    </w:p>
    <w:p w14:paraId="011300DB">
      <w:pPr>
        <w:pStyle w:val="115"/>
        <w:pageBreakBefore w:val="0"/>
        <w:kinsoku/>
        <w:wordWrap/>
        <w:overflowPunct/>
        <w:topLinePunct w:val="0"/>
        <w:bidi w:val="0"/>
        <w:spacing w:line="500" w:lineRule="exact"/>
        <w:ind w:left="0" w:right="0" w:firstLine="440"/>
        <w:rPr>
          <w:rFonts w:hint="eastAsia" w:ascii="宋体" w:hAnsi="宋体" w:eastAsia="宋体" w:cs="宋体"/>
          <w:color w:val="auto"/>
          <w:spacing w:val="0"/>
          <w:sz w:val="28"/>
          <w:szCs w:val="28"/>
          <w:highlight w:val="none"/>
        </w:rPr>
      </w:pPr>
      <w:r>
        <w:rPr>
          <w:rFonts w:hint="eastAsia" w:ascii="宋体" w:hAnsi="宋体" w:eastAsia="宋体" w:cs="宋体"/>
          <w:color w:val="auto"/>
          <w:spacing w:val="0"/>
          <w:sz w:val="28"/>
          <w:szCs w:val="28"/>
          <w:highlight w:val="none"/>
        </w:rPr>
        <w:t>进入合同的各项文件及其优先顺序如下：</w:t>
      </w:r>
    </w:p>
    <w:p w14:paraId="79C196A4">
      <w:pPr>
        <w:pageBreakBefore w:val="0"/>
        <w:kinsoku/>
        <w:wordWrap/>
        <w:overflowPunct/>
        <w:topLinePunct w:val="0"/>
        <w:bidi w:val="0"/>
        <w:spacing w:line="500" w:lineRule="exact"/>
        <w:ind w:left="0" w:right="0" w:firstLine="560" w:firstLineChars="200"/>
        <w:rPr>
          <w:rFonts w:hint="eastAsia" w:ascii="宋体" w:hAnsi="宋体" w:eastAsia="宋体" w:cs="宋体"/>
          <w:color w:val="auto"/>
          <w:spacing w:val="0"/>
          <w:sz w:val="28"/>
          <w:szCs w:val="28"/>
          <w:highlight w:val="none"/>
        </w:rPr>
      </w:pPr>
      <w:bookmarkStart w:id="88" w:name="bookmark1589"/>
      <w:bookmarkEnd w:id="88"/>
      <w:r>
        <w:rPr>
          <w:rFonts w:hint="eastAsia" w:ascii="宋体" w:hAnsi="宋体" w:eastAsia="宋体" w:cs="宋体"/>
          <w:color w:val="auto"/>
          <w:spacing w:val="0"/>
          <w:sz w:val="28"/>
          <w:szCs w:val="28"/>
          <w:highlight w:val="none"/>
        </w:rPr>
        <w:t>（1）合同协议书（包括补充协议、合同谈判备忘录）；</w:t>
      </w:r>
    </w:p>
    <w:p w14:paraId="1F6F500C">
      <w:pPr>
        <w:pageBreakBefore w:val="0"/>
        <w:kinsoku/>
        <w:wordWrap/>
        <w:overflowPunct/>
        <w:topLinePunct w:val="0"/>
        <w:bidi w:val="0"/>
        <w:spacing w:line="500" w:lineRule="exact"/>
        <w:ind w:left="0" w:right="0" w:firstLine="560" w:firstLineChars="200"/>
        <w:rPr>
          <w:rFonts w:hint="eastAsia" w:ascii="宋体" w:hAnsi="宋体" w:eastAsia="宋体" w:cs="宋体"/>
          <w:color w:val="auto"/>
          <w:spacing w:val="0"/>
          <w:sz w:val="28"/>
          <w:szCs w:val="28"/>
          <w:highlight w:val="none"/>
        </w:rPr>
      </w:pPr>
      <w:r>
        <w:rPr>
          <w:rFonts w:hint="eastAsia" w:ascii="宋体" w:hAnsi="宋体" w:eastAsia="宋体" w:cs="宋体"/>
          <w:color w:val="auto"/>
          <w:spacing w:val="0"/>
          <w:sz w:val="28"/>
          <w:szCs w:val="28"/>
          <w:highlight w:val="none"/>
        </w:rPr>
        <w:t>（2）成交通知书；</w:t>
      </w:r>
    </w:p>
    <w:p w14:paraId="282DDEF1">
      <w:pPr>
        <w:pageBreakBefore w:val="0"/>
        <w:kinsoku/>
        <w:wordWrap/>
        <w:overflowPunct/>
        <w:topLinePunct w:val="0"/>
        <w:bidi w:val="0"/>
        <w:spacing w:line="500" w:lineRule="exact"/>
        <w:ind w:left="0" w:right="0" w:firstLine="560" w:firstLineChars="200"/>
        <w:rPr>
          <w:rFonts w:hint="eastAsia" w:ascii="宋体" w:hAnsi="宋体" w:eastAsia="宋体" w:cs="宋体"/>
          <w:color w:val="auto"/>
          <w:spacing w:val="0"/>
          <w:sz w:val="28"/>
          <w:szCs w:val="28"/>
          <w:highlight w:val="none"/>
        </w:rPr>
      </w:pPr>
      <w:r>
        <w:rPr>
          <w:rFonts w:hint="eastAsia" w:ascii="宋体" w:hAnsi="宋体" w:eastAsia="宋体" w:cs="宋体"/>
          <w:color w:val="auto"/>
          <w:spacing w:val="0"/>
          <w:sz w:val="28"/>
          <w:szCs w:val="28"/>
          <w:highlight w:val="none"/>
        </w:rPr>
        <w:t>（3）谈判书及其附件；</w:t>
      </w:r>
    </w:p>
    <w:p w14:paraId="47CF4BD2">
      <w:pPr>
        <w:pageBreakBefore w:val="0"/>
        <w:kinsoku/>
        <w:wordWrap/>
        <w:overflowPunct/>
        <w:topLinePunct w:val="0"/>
        <w:bidi w:val="0"/>
        <w:spacing w:line="500" w:lineRule="exact"/>
        <w:ind w:left="0" w:right="0" w:firstLine="560" w:firstLineChars="200"/>
        <w:rPr>
          <w:rFonts w:hint="eastAsia" w:ascii="宋体" w:hAnsi="宋体" w:eastAsia="宋体" w:cs="宋体"/>
          <w:color w:val="auto"/>
          <w:spacing w:val="0"/>
          <w:sz w:val="28"/>
          <w:szCs w:val="28"/>
          <w:highlight w:val="none"/>
        </w:rPr>
      </w:pPr>
      <w:r>
        <w:rPr>
          <w:rFonts w:hint="eastAsia" w:ascii="宋体" w:hAnsi="宋体" w:eastAsia="宋体" w:cs="宋体"/>
          <w:color w:val="auto"/>
          <w:spacing w:val="0"/>
          <w:sz w:val="28"/>
          <w:szCs w:val="28"/>
          <w:highlight w:val="none"/>
        </w:rPr>
        <w:t>（4）专用合同条款（含附加条款）；</w:t>
      </w:r>
    </w:p>
    <w:p w14:paraId="0DD6B18D">
      <w:pPr>
        <w:pageBreakBefore w:val="0"/>
        <w:kinsoku/>
        <w:wordWrap/>
        <w:overflowPunct/>
        <w:topLinePunct w:val="0"/>
        <w:bidi w:val="0"/>
        <w:spacing w:line="500" w:lineRule="exact"/>
        <w:ind w:left="0" w:right="0" w:firstLine="560" w:firstLineChars="200"/>
        <w:rPr>
          <w:rFonts w:hint="eastAsia" w:ascii="宋体" w:hAnsi="宋体" w:eastAsia="宋体" w:cs="宋体"/>
          <w:color w:val="auto"/>
          <w:spacing w:val="0"/>
          <w:sz w:val="28"/>
          <w:szCs w:val="28"/>
          <w:highlight w:val="none"/>
        </w:rPr>
      </w:pPr>
      <w:r>
        <w:rPr>
          <w:rFonts w:hint="eastAsia" w:ascii="宋体" w:hAnsi="宋体" w:eastAsia="宋体" w:cs="宋体"/>
          <w:color w:val="auto"/>
          <w:spacing w:val="0"/>
          <w:sz w:val="28"/>
          <w:szCs w:val="28"/>
          <w:highlight w:val="none"/>
        </w:rPr>
        <w:t>（5）图纸；</w:t>
      </w:r>
    </w:p>
    <w:p w14:paraId="7B064C16">
      <w:pPr>
        <w:pageBreakBefore w:val="0"/>
        <w:kinsoku/>
        <w:wordWrap/>
        <w:overflowPunct/>
        <w:topLinePunct w:val="0"/>
        <w:bidi w:val="0"/>
        <w:spacing w:line="500" w:lineRule="exact"/>
        <w:ind w:left="0" w:right="0" w:firstLine="560" w:firstLineChars="200"/>
        <w:rPr>
          <w:rFonts w:hint="eastAsia" w:ascii="宋体" w:hAnsi="宋体" w:eastAsia="宋体" w:cs="宋体"/>
          <w:color w:val="auto"/>
          <w:spacing w:val="0"/>
          <w:sz w:val="28"/>
          <w:szCs w:val="28"/>
          <w:highlight w:val="none"/>
        </w:rPr>
      </w:pPr>
      <w:r>
        <w:rPr>
          <w:rFonts w:hint="eastAsia" w:ascii="宋体" w:hAnsi="宋体" w:eastAsia="宋体" w:cs="宋体"/>
          <w:color w:val="auto"/>
          <w:spacing w:val="0"/>
          <w:sz w:val="28"/>
          <w:szCs w:val="28"/>
          <w:highlight w:val="none"/>
        </w:rPr>
        <w:t>（6）已标价工程量清单；</w:t>
      </w:r>
    </w:p>
    <w:p w14:paraId="068541D5">
      <w:pPr>
        <w:pageBreakBefore w:val="0"/>
        <w:kinsoku/>
        <w:wordWrap/>
        <w:overflowPunct/>
        <w:topLinePunct w:val="0"/>
        <w:bidi w:val="0"/>
        <w:spacing w:line="500" w:lineRule="exact"/>
        <w:ind w:left="0" w:right="0" w:firstLine="560" w:firstLineChars="200"/>
        <w:rPr>
          <w:rFonts w:hint="eastAsia" w:ascii="宋体" w:hAnsi="宋体" w:eastAsia="宋体" w:cs="宋体"/>
          <w:color w:val="auto"/>
          <w:spacing w:val="0"/>
          <w:sz w:val="28"/>
          <w:szCs w:val="28"/>
          <w:highlight w:val="none"/>
        </w:rPr>
      </w:pPr>
      <w:r>
        <w:rPr>
          <w:rFonts w:hint="eastAsia" w:ascii="宋体" w:hAnsi="宋体" w:eastAsia="宋体" w:cs="宋体"/>
          <w:color w:val="auto"/>
          <w:spacing w:val="0"/>
          <w:sz w:val="28"/>
          <w:szCs w:val="28"/>
          <w:highlight w:val="none"/>
        </w:rPr>
        <w:t>（7）技术标准和要求（合同技术条款）；</w:t>
      </w:r>
    </w:p>
    <w:p w14:paraId="55370390">
      <w:pPr>
        <w:pageBreakBefore w:val="0"/>
        <w:kinsoku/>
        <w:wordWrap/>
        <w:overflowPunct/>
        <w:topLinePunct w:val="0"/>
        <w:bidi w:val="0"/>
        <w:spacing w:line="500" w:lineRule="exact"/>
        <w:ind w:left="0" w:right="0" w:firstLine="560" w:firstLineChars="200"/>
        <w:rPr>
          <w:rFonts w:hint="eastAsia" w:ascii="宋体" w:hAnsi="宋体" w:eastAsia="宋体" w:cs="宋体"/>
          <w:color w:val="auto"/>
          <w:spacing w:val="0"/>
          <w:sz w:val="28"/>
          <w:szCs w:val="28"/>
          <w:highlight w:val="none"/>
        </w:rPr>
      </w:pPr>
      <w:r>
        <w:rPr>
          <w:rFonts w:hint="eastAsia" w:ascii="宋体" w:hAnsi="宋体" w:eastAsia="宋体" w:cs="宋体"/>
          <w:color w:val="auto"/>
          <w:spacing w:val="0"/>
          <w:sz w:val="28"/>
          <w:szCs w:val="28"/>
          <w:highlight w:val="none"/>
        </w:rPr>
        <w:t>（8）通用合同条款；</w:t>
      </w:r>
    </w:p>
    <w:p w14:paraId="3D67D55C">
      <w:pPr>
        <w:pageBreakBefore w:val="0"/>
        <w:kinsoku/>
        <w:wordWrap/>
        <w:overflowPunct/>
        <w:topLinePunct w:val="0"/>
        <w:bidi w:val="0"/>
        <w:spacing w:line="500" w:lineRule="exact"/>
        <w:ind w:left="0" w:right="0" w:firstLine="560" w:firstLineChars="200"/>
        <w:rPr>
          <w:rFonts w:hint="eastAsia" w:ascii="宋体" w:hAnsi="宋体" w:eastAsia="宋体" w:cs="宋体"/>
          <w:color w:val="auto"/>
          <w:spacing w:val="0"/>
          <w:sz w:val="28"/>
          <w:szCs w:val="28"/>
          <w:highlight w:val="none"/>
        </w:rPr>
      </w:pPr>
      <w:r>
        <w:rPr>
          <w:rFonts w:hint="eastAsia" w:ascii="宋体" w:hAnsi="宋体" w:eastAsia="宋体" w:cs="宋体"/>
          <w:color w:val="auto"/>
          <w:spacing w:val="0"/>
          <w:sz w:val="28"/>
          <w:szCs w:val="28"/>
          <w:highlight w:val="none"/>
        </w:rPr>
        <w:t>（9）投标文件其他内容；</w:t>
      </w:r>
    </w:p>
    <w:p w14:paraId="34471CE1">
      <w:pPr>
        <w:pageBreakBefore w:val="0"/>
        <w:kinsoku/>
        <w:wordWrap/>
        <w:overflowPunct/>
        <w:topLinePunct w:val="0"/>
        <w:bidi w:val="0"/>
        <w:spacing w:line="500" w:lineRule="exact"/>
        <w:ind w:left="0" w:right="0" w:firstLine="560" w:firstLineChars="200"/>
        <w:rPr>
          <w:rFonts w:hint="eastAsia" w:ascii="宋体" w:hAnsi="宋体" w:eastAsia="宋体" w:cs="宋体"/>
          <w:color w:val="auto"/>
          <w:spacing w:val="0"/>
          <w:sz w:val="28"/>
          <w:szCs w:val="28"/>
          <w:highlight w:val="none"/>
        </w:rPr>
      </w:pPr>
      <w:r>
        <w:rPr>
          <w:rFonts w:hint="eastAsia" w:ascii="宋体" w:hAnsi="宋体" w:eastAsia="宋体" w:cs="宋体"/>
          <w:color w:val="auto"/>
          <w:spacing w:val="0"/>
          <w:sz w:val="28"/>
          <w:szCs w:val="28"/>
          <w:highlight w:val="none"/>
        </w:rPr>
        <w:t>（10）其他合同文件。</w:t>
      </w:r>
    </w:p>
    <w:p w14:paraId="0E6B9190">
      <w:pPr>
        <w:pageBreakBefore w:val="0"/>
        <w:kinsoku/>
        <w:wordWrap/>
        <w:overflowPunct/>
        <w:topLinePunct w:val="0"/>
        <w:bidi w:val="0"/>
        <w:spacing w:line="500" w:lineRule="exact"/>
        <w:ind w:left="0" w:right="0" w:firstLine="560" w:firstLineChars="200"/>
        <w:rPr>
          <w:rFonts w:hint="eastAsia" w:ascii="宋体" w:hAnsi="宋体" w:eastAsia="宋体" w:cs="宋体"/>
          <w:color w:val="auto"/>
          <w:spacing w:val="0"/>
          <w:sz w:val="28"/>
          <w:szCs w:val="28"/>
          <w:highlight w:val="none"/>
        </w:rPr>
      </w:pPr>
      <w:r>
        <w:rPr>
          <w:rFonts w:hint="eastAsia" w:ascii="宋体" w:hAnsi="宋体" w:eastAsia="宋体" w:cs="宋体"/>
          <w:color w:val="auto"/>
          <w:spacing w:val="0"/>
          <w:sz w:val="28"/>
          <w:szCs w:val="28"/>
          <w:highlight w:val="none"/>
        </w:rPr>
        <w:t>上述文件将互相补充，若有不明确或不一致处，以上列次序在先者为准。另外双方有关工程的洽商、变更等书面协议或文件视为本合同的组成部分，若有不明确或不一致处以时间顺序在后者为准。</w:t>
      </w:r>
    </w:p>
    <w:p w14:paraId="1AEE05CD">
      <w:pPr>
        <w:pStyle w:val="116"/>
        <w:pageBreakBefore w:val="0"/>
        <w:kinsoku/>
        <w:wordWrap/>
        <w:overflowPunct/>
        <w:topLinePunct w:val="0"/>
        <w:bidi w:val="0"/>
        <w:spacing w:beforeLines="0" w:afterLines="0" w:line="500" w:lineRule="exact"/>
        <w:ind w:left="0" w:right="0"/>
        <w:rPr>
          <w:rFonts w:hint="eastAsia" w:ascii="宋体" w:hAnsi="宋体" w:eastAsia="宋体" w:cs="宋体"/>
          <w:color w:val="auto"/>
          <w:spacing w:val="0"/>
          <w:sz w:val="28"/>
          <w:szCs w:val="28"/>
          <w:highlight w:val="none"/>
          <w:lang w:eastAsia="zh-CN"/>
        </w:rPr>
      </w:pPr>
      <w:r>
        <w:rPr>
          <w:rFonts w:hint="eastAsia" w:ascii="宋体" w:hAnsi="宋体" w:eastAsia="宋体" w:cs="宋体"/>
          <w:color w:val="auto"/>
          <w:spacing w:val="0"/>
          <w:sz w:val="28"/>
          <w:szCs w:val="28"/>
          <w:highlight w:val="none"/>
          <w:lang w:eastAsia="zh-CN"/>
        </w:rPr>
        <w:t>1.5合同签订</w:t>
      </w:r>
    </w:p>
    <w:p w14:paraId="0AF08D5F">
      <w:pPr>
        <w:pStyle w:val="115"/>
        <w:pageBreakBefore w:val="0"/>
        <w:tabs>
          <w:tab w:val="left" w:pos="2074"/>
        </w:tabs>
        <w:kinsoku/>
        <w:wordWrap/>
        <w:overflowPunct/>
        <w:topLinePunct w:val="0"/>
        <w:bidi w:val="0"/>
        <w:spacing w:line="500" w:lineRule="exact"/>
        <w:ind w:left="0" w:right="0" w:firstLine="0"/>
        <w:rPr>
          <w:rFonts w:hint="eastAsia" w:ascii="宋体" w:hAnsi="宋体" w:eastAsia="宋体" w:cs="宋体"/>
          <w:color w:val="auto"/>
          <w:spacing w:val="0"/>
          <w:sz w:val="28"/>
          <w:szCs w:val="28"/>
          <w:highlight w:val="none"/>
        </w:rPr>
      </w:pPr>
      <w:r>
        <w:rPr>
          <w:rFonts w:hint="eastAsia" w:ascii="宋体" w:hAnsi="宋体" w:eastAsia="宋体" w:cs="宋体"/>
          <w:color w:val="auto"/>
          <w:spacing w:val="0"/>
          <w:sz w:val="28"/>
          <w:szCs w:val="28"/>
          <w:highlight w:val="none"/>
          <w:lang w:val="en-US" w:bidi="en-US"/>
        </w:rPr>
        <w:t>　　签订合同时，必须由承包人法定代表人或项目经理到</w:t>
      </w:r>
      <w:r>
        <w:rPr>
          <w:rFonts w:hint="eastAsia" w:cs="宋体"/>
          <w:color w:val="auto"/>
          <w:spacing w:val="0"/>
          <w:sz w:val="28"/>
          <w:szCs w:val="28"/>
          <w:highlight w:val="none"/>
          <w:lang w:val="en-US" w:eastAsia="zh-CN" w:bidi="en-US"/>
        </w:rPr>
        <w:t>建设单位</w:t>
      </w:r>
      <w:r>
        <w:rPr>
          <w:rFonts w:hint="eastAsia" w:ascii="宋体" w:hAnsi="宋体" w:eastAsia="宋体" w:cs="宋体"/>
          <w:color w:val="auto"/>
          <w:spacing w:val="0"/>
          <w:sz w:val="28"/>
          <w:szCs w:val="28"/>
          <w:highlight w:val="none"/>
          <w:lang w:val="en-US" w:bidi="en-US"/>
        </w:rPr>
        <w:t>所在地签订合同和承诺书，承诺书须承诺按投标文件施工工期完成并通过完工验收；因施工单位的原因未签订合同和承诺书，承诺书须承诺按投标文件施工工期完成并通过完工验收；因施工单位的原因未能按期完工的，按有关约定处罚金。</w:t>
      </w:r>
    </w:p>
    <w:p w14:paraId="1D64F7EA">
      <w:pPr>
        <w:pStyle w:val="116"/>
        <w:pageBreakBefore w:val="0"/>
        <w:kinsoku/>
        <w:wordWrap/>
        <w:overflowPunct/>
        <w:topLinePunct w:val="0"/>
        <w:bidi w:val="0"/>
        <w:spacing w:beforeLines="0" w:afterLines="0" w:line="500" w:lineRule="exact"/>
        <w:ind w:left="0" w:right="0"/>
        <w:rPr>
          <w:rFonts w:hint="eastAsia" w:ascii="宋体" w:hAnsi="宋体" w:eastAsia="宋体" w:cs="宋体"/>
          <w:color w:val="auto"/>
          <w:spacing w:val="0"/>
          <w:sz w:val="28"/>
          <w:szCs w:val="28"/>
          <w:highlight w:val="none"/>
          <w:lang w:eastAsia="zh-CN"/>
        </w:rPr>
      </w:pPr>
      <w:bookmarkStart w:id="89" w:name="_Toc27369"/>
      <w:bookmarkStart w:id="90" w:name="_Toc14626"/>
      <w:bookmarkStart w:id="91" w:name="bookmark1601"/>
      <w:bookmarkStart w:id="92" w:name="bookmark1600"/>
      <w:bookmarkStart w:id="93" w:name="bookmark1599"/>
      <w:bookmarkStart w:id="94" w:name="_Toc27766"/>
      <w:bookmarkStart w:id="95" w:name="_Toc21237"/>
      <w:r>
        <w:rPr>
          <w:rFonts w:hint="eastAsia" w:ascii="宋体" w:hAnsi="宋体" w:eastAsia="宋体" w:cs="宋体"/>
          <w:color w:val="auto"/>
          <w:spacing w:val="0"/>
          <w:sz w:val="28"/>
          <w:szCs w:val="28"/>
          <w:highlight w:val="none"/>
          <w:lang w:eastAsia="zh-CN"/>
        </w:rPr>
        <w:t>1.7联络</w:t>
      </w:r>
      <w:bookmarkEnd w:id="89"/>
      <w:bookmarkEnd w:id="90"/>
      <w:bookmarkEnd w:id="91"/>
      <w:bookmarkEnd w:id="92"/>
      <w:bookmarkEnd w:id="93"/>
      <w:bookmarkEnd w:id="94"/>
      <w:bookmarkEnd w:id="95"/>
    </w:p>
    <w:p w14:paraId="0382907E">
      <w:pPr>
        <w:pStyle w:val="115"/>
        <w:pageBreakBefore w:val="0"/>
        <w:tabs>
          <w:tab w:val="left" w:pos="2074"/>
        </w:tabs>
        <w:kinsoku/>
        <w:wordWrap/>
        <w:overflowPunct/>
        <w:topLinePunct w:val="0"/>
        <w:bidi w:val="0"/>
        <w:spacing w:line="500" w:lineRule="exact"/>
        <w:ind w:left="0" w:right="0" w:firstLine="0"/>
        <w:rPr>
          <w:rFonts w:hint="eastAsia" w:ascii="宋体" w:hAnsi="宋体" w:eastAsia="宋体" w:cs="宋体"/>
          <w:color w:val="auto"/>
          <w:spacing w:val="0"/>
          <w:sz w:val="28"/>
          <w:szCs w:val="28"/>
          <w:highlight w:val="none"/>
        </w:rPr>
      </w:pPr>
      <w:r>
        <w:rPr>
          <w:rFonts w:hint="eastAsia" w:ascii="宋体" w:hAnsi="宋体" w:eastAsia="宋体" w:cs="宋体"/>
          <w:color w:val="auto"/>
          <w:spacing w:val="0"/>
          <w:sz w:val="28"/>
          <w:szCs w:val="28"/>
          <w:highlight w:val="none"/>
          <w:lang w:val="en-US" w:bidi="en-US"/>
        </w:rPr>
        <w:t>　　1.7.2</w:t>
      </w:r>
      <w:r>
        <w:rPr>
          <w:rFonts w:hint="eastAsia" w:ascii="宋体" w:hAnsi="宋体" w:eastAsia="宋体" w:cs="宋体"/>
          <w:color w:val="auto"/>
          <w:spacing w:val="0"/>
          <w:sz w:val="28"/>
          <w:szCs w:val="28"/>
          <w:highlight w:val="none"/>
        </w:rPr>
        <w:t>来往函件均应按技术标准和要求(合同技术条款)约定的期限送</w:t>
      </w:r>
      <w:r>
        <w:rPr>
          <w:rFonts w:hint="eastAsia" w:ascii="宋体" w:hAnsi="宋体" w:eastAsia="宋体" w:cs="宋体"/>
          <w:color w:val="auto"/>
          <w:spacing w:val="0"/>
          <w:sz w:val="28"/>
          <w:szCs w:val="28"/>
          <w:highlight w:val="none"/>
          <w:lang w:val="en-US"/>
        </w:rPr>
        <w:t>达</w:t>
      </w:r>
      <w:r>
        <w:rPr>
          <w:rFonts w:hint="eastAsia" w:ascii="宋体" w:hAnsi="宋体" w:eastAsia="宋体" w:cs="宋体"/>
          <w:color w:val="auto"/>
          <w:spacing w:val="0"/>
          <w:sz w:val="28"/>
          <w:szCs w:val="28"/>
          <w:highlight w:val="none"/>
          <w:u w:val="single"/>
        </w:rPr>
        <w:t>项目监理部或</w:t>
      </w:r>
      <w:r>
        <w:rPr>
          <w:rFonts w:hint="eastAsia" w:ascii="宋体" w:hAnsi="宋体" w:eastAsia="宋体" w:cs="宋体"/>
          <w:color w:val="auto"/>
          <w:spacing w:val="0"/>
          <w:sz w:val="28"/>
          <w:szCs w:val="28"/>
          <w:highlight w:val="none"/>
          <w:u w:val="single"/>
          <w:lang w:val="zh-CN" w:eastAsia="zh-CN"/>
        </w:rPr>
        <w:t>合浦县</w:t>
      </w:r>
      <w:r>
        <w:rPr>
          <w:rFonts w:hint="eastAsia" w:cs="宋体"/>
          <w:color w:val="auto"/>
          <w:spacing w:val="0"/>
          <w:sz w:val="28"/>
          <w:szCs w:val="28"/>
          <w:highlight w:val="none"/>
          <w:u w:val="single"/>
          <w:lang w:val="en-US" w:eastAsia="zh-CN"/>
        </w:rPr>
        <w:t>水利工程管理站</w:t>
      </w:r>
      <w:r>
        <w:rPr>
          <w:rFonts w:hint="eastAsia" w:ascii="宋体" w:hAnsi="宋体" w:eastAsia="宋体" w:cs="宋体"/>
          <w:color w:val="auto"/>
          <w:spacing w:val="0"/>
          <w:sz w:val="28"/>
          <w:szCs w:val="28"/>
          <w:highlight w:val="none"/>
          <w:u w:val="single"/>
        </w:rPr>
        <w:t>，来文形式包括纸质版和电子版资料</w:t>
      </w:r>
      <w:r>
        <w:rPr>
          <w:rFonts w:hint="eastAsia" w:ascii="宋体" w:hAnsi="宋体" w:eastAsia="宋体" w:cs="宋体"/>
          <w:color w:val="auto"/>
          <w:spacing w:val="0"/>
          <w:sz w:val="28"/>
          <w:szCs w:val="28"/>
          <w:highlight w:val="none"/>
          <w:lang w:val="en-US" w:bidi="en-US"/>
        </w:rPr>
        <w:t>。</w:t>
      </w:r>
    </w:p>
    <w:p w14:paraId="0C46010A">
      <w:pPr>
        <w:pStyle w:val="116"/>
        <w:pageBreakBefore w:val="0"/>
        <w:kinsoku/>
        <w:wordWrap/>
        <w:overflowPunct/>
        <w:topLinePunct w:val="0"/>
        <w:bidi w:val="0"/>
        <w:spacing w:beforeLines="0" w:afterLines="0" w:line="500" w:lineRule="exact"/>
        <w:ind w:left="0" w:right="0"/>
        <w:rPr>
          <w:rFonts w:hint="eastAsia" w:ascii="宋体" w:hAnsi="宋体" w:eastAsia="宋体" w:cs="宋体"/>
          <w:color w:val="auto"/>
          <w:spacing w:val="0"/>
          <w:sz w:val="28"/>
          <w:szCs w:val="28"/>
          <w:highlight w:val="none"/>
          <w:lang w:eastAsia="zh-CN"/>
        </w:rPr>
      </w:pPr>
      <w:bookmarkStart w:id="96" w:name="bookmark1604"/>
      <w:bookmarkEnd w:id="96"/>
      <w:bookmarkStart w:id="97" w:name="bookmark1602"/>
      <w:bookmarkStart w:id="98" w:name="_Toc21193"/>
      <w:bookmarkStart w:id="99" w:name="_Toc23476"/>
      <w:bookmarkStart w:id="100" w:name="_Toc24990"/>
      <w:bookmarkStart w:id="101" w:name="_Toc27866"/>
      <w:bookmarkStart w:id="102" w:name="_Toc29068"/>
      <w:bookmarkStart w:id="103" w:name="bookmark1605"/>
      <w:bookmarkStart w:id="104" w:name="_Toc19584"/>
      <w:bookmarkStart w:id="105" w:name="_Toc7249"/>
      <w:bookmarkStart w:id="106" w:name="bookmark1603"/>
      <w:r>
        <w:rPr>
          <w:rFonts w:hint="eastAsia" w:ascii="宋体" w:hAnsi="宋体" w:eastAsia="宋体" w:cs="宋体"/>
          <w:color w:val="auto"/>
          <w:spacing w:val="0"/>
          <w:sz w:val="28"/>
          <w:szCs w:val="28"/>
          <w:highlight w:val="none"/>
          <w:lang w:eastAsia="zh-CN"/>
        </w:rPr>
        <w:t xml:space="preserve">2. </w:t>
      </w:r>
      <w:r>
        <w:rPr>
          <w:rFonts w:hint="eastAsia" w:cs="宋体"/>
          <w:color w:val="auto"/>
          <w:spacing w:val="0"/>
          <w:sz w:val="28"/>
          <w:szCs w:val="28"/>
          <w:highlight w:val="none"/>
          <w:lang w:val="en-US" w:eastAsia="zh-CN" w:bidi="en-US"/>
        </w:rPr>
        <w:t>建设单位</w:t>
      </w:r>
      <w:r>
        <w:rPr>
          <w:rFonts w:hint="eastAsia" w:ascii="宋体" w:hAnsi="宋体" w:eastAsia="宋体" w:cs="宋体"/>
          <w:color w:val="auto"/>
          <w:spacing w:val="0"/>
          <w:sz w:val="28"/>
          <w:szCs w:val="28"/>
          <w:highlight w:val="none"/>
          <w:lang w:eastAsia="zh-CN"/>
        </w:rPr>
        <w:t>义务</w:t>
      </w:r>
      <w:bookmarkEnd w:id="97"/>
      <w:bookmarkEnd w:id="98"/>
      <w:bookmarkEnd w:id="99"/>
      <w:bookmarkEnd w:id="100"/>
      <w:bookmarkEnd w:id="101"/>
      <w:bookmarkEnd w:id="102"/>
      <w:bookmarkEnd w:id="103"/>
      <w:bookmarkEnd w:id="104"/>
      <w:bookmarkEnd w:id="105"/>
      <w:bookmarkEnd w:id="106"/>
    </w:p>
    <w:p w14:paraId="29A90FE8">
      <w:pPr>
        <w:pStyle w:val="116"/>
        <w:pageBreakBefore w:val="0"/>
        <w:kinsoku/>
        <w:wordWrap/>
        <w:overflowPunct/>
        <w:topLinePunct w:val="0"/>
        <w:bidi w:val="0"/>
        <w:spacing w:beforeLines="0" w:afterLines="0" w:line="500" w:lineRule="exact"/>
        <w:ind w:left="0" w:right="0"/>
        <w:rPr>
          <w:rFonts w:hint="eastAsia" w:ascii="宋体" w:hAnsi="宋体" w:eastAsia="宋体" w:cs="宋体"/>
          <w:color w:val="auto"/>
          <w:spacing w:val="0"/>
          <w:sz w:val="28"/>
          <w:szCs w:val="28"/>
          <w:highlight w:val="none"/>
          <w:lang w:eastAsia="zh-CN" w:bidi="en-US"/>
        </w:rPr>
      </w:pPr>
      <w:bookmarkStart w:id="107" w:name="bookmark1606"/>
      <w:bookmarkStart w:id="108" w:name="_Toc15906"/>
      <w:bookmarkStart w:id="109" w:name="bookmark1608"/>
      <w:bookmarkStart w:id="110" w:name="_Toc15235"/>
      <w:bookmarkStart w:id="111" w:name="_Toc7938"/>
      <w:bookmarkStart w:id="112" w:name="_Toc18994"/>
      <w:bookmarkStart w:id="113" w:name="bookmark1607"/>
      <w:r>
        <w:rPr>
          <w:rFonts w:hint="eastAsia" w:ascii="宋体" w:hAnsi="宋体" w:eastAsia="宋体" w:cs="宋体"/>
          <w:color w:val="auto"/>
          <w:spacing w:val="0"/>
          <w:sz w:val="28"/>
          <w:szCs w:val="28"/>
          <w:highlight w:val="none"/>
          <w:lang w:eastAsia="zh-CN" w:bidi="en-US"/>
        </w:rPr>
        <w:t>2.3提供施工场地</w:t>
      </w:r>
      <w:bookmarkEnd w:id="107"/>
      <w:bookmarkEnd w:id="108"/>
      <w:bookmarkEnd w:id="109"/>
      <w:bookmarkEnd w:id="110"/>
      <w:bookmarkEnd w:id="111"/>
      <w:bookmarkEnd w:id="112"/>
      <w:bookmarkEnd w:id="113"/>
    </w:p>
    <w:p w14:paraId="2F3B24DB">
      <w:pPr>
        <w:pStyle w:val="115"/>
        <w:pageBreakBefore w:val="0"/>
        <w:tabs>
          <w:tab w:val="left" w:pos="8227"/>
        </w:tabs>
        <w:kinsoku/>
        <w:wordWrap/>
        <w:overflowPunct/>
        <w:topLinePunct w:val="0"/>
        <w:bidi w:val="0"/>
        <w:spacing w:line="500" w:lineRule="exact"/>
        <w:ind w:left="0" w:right="0" w:firstLine="0"/>
        <w:rPr>
          <w:rFonts w:hint="eastAsia" w:ascii="宋体" w:hAnsi="宋体" w:eastAsia="宋体" w:cs="宋体"/>
          <w:color w:val="auto"/>
          <w:spacing w:val="0"/>
          <w:sz w:val="28"/>
          <w:szCs w:val="28"/>
          <w:highlight w:val="none"/>
          <w:lang w:val="en-US" w:bidi="en-US"/>
        </w:rPr>
      </w:pPr>
      <w:r>
        <w:rPr>
          <w:rFonts w:hint="eastAsia" w:ascii="宋体" w:hAnsi="宋体" w:eastAsia="宋体" w:cs="宋体"/>
          <w:color w:val="auto"/>
          <w:spacing w:val="0"/>
          <w:sz w:val="28"/>
          <w:szCs w:val="28"/>
          <w:highlight w:val="none"/>
          <w:lang w:val="en-US" w:bidi="en-US"/>
        </w:rPr>
        <w:t xml:space="preserve">　　2.3.2 </w:t>
      </w:r>
      <w:r>
        <w:rPr>
          <w:rFonts w:hint="eastAsia" w:cs="宋体"/>
          <w:color w:val="auto"/>
          <w:spacing w:val="0"/>
          <w:sz w:val="28"/>
          <w:szCs w:val="28"/>
          <w:highlight w:val="none"/>
          <w:lang w:val="en-US" w:eastAsia="zh-CN" w:bidi="en-US"/>
        </w:rPr>
        <w:t>建设单位</w:t>
      </w:r>
      <w:r>
        <w:rPr>
          <w:rFonts w:hint="eastAsia" w:ascii="宋体" w:hAnsi="宋体" w:eastAsia="宋体" w:cs="宋体"/>
          <w:color w:val="auto"/>
          <w:spacing w:val="0"/>
          <w:sz w:val="28"/>
          <w:szCs w:val="28"/>
          <w:highlight w:val="none"/>
          <w:lang w:val="en-US" w:bidi="en-US"/>
        </w:rPr>
        <w:t>提供的施工场地范围为：</w:t>
      </w:r>
      <w:r>
        <w:rPr>
          <w:rFonts w:hint="eastAsia" w:cs="宋体"/>
          <w:color w:val="auto"/>
          <w:spacing w:val="0"/>
          <w:sz w:val="28"/>
          <w:szCs w:val="28"/>
          <w:highlight w:val="none"/>
          <w:lang w:val="en-US" w:eastAsia="zh-CN" w:bidi="en-US"/>
        </w:rPr>
        <w:t>建设单位</w:t>
      </w:r>
      <w:r>
        <w:rPr>
          <w:rFonts w:hint="eastAsia" w:ascii="宋体" w:hAnsi="宋体" w:eastAsia="宋体" w:cs="宋体"/>
          <w:color w:val="auto"/>
          <w:spacing w:val="0"/>
          <w:sz w:val="28"/>
          <w:szCs w:val="28"/>
          <w:highlight w:val="none"/>
          <w:lang w:val="en-US" w:bidi="en-US"/>
        </w:rPr>
        <w:t>根据施工图纸划定施工场地范围，</w:t>
      </w:r>
      <w:r>
        <w:rPr>
          <w:rFonts w:hint="eastAsia" w:cs="宋体"/>
          <w:color w:val="auto"/>
          <w:spacing w:val="0"/>
          <w:sz w:val="28"/>
          <w:szCs w:val="28"/>
          <w:highlight w:val="none"/>
          <w:lang w:val="en-US" w:eastAsia="zh-CN" w:bidi="en-US"/>
        </w:rPr>
        <w:t>建设单位</w:t>
      </w:r>
      <w:r>
        <w:rPr>
          <w:rFonts w:hint="eastAsia" w:ascii="宋体" w:hAnsi="宋体" w:eastAsia="宋体" w:cs="宋体"/>
          <w:color w:val="auto"/>
          <w:spacing w:val="0"/>
          <w:sz w:val="28"/>
          <w:szCs w:val="28"/>
          <w:highlight w:val="none"/>
          <w:lang w:val="en-US" w:bidi="en-US"/>
        </w:rPr>
        <w:t>负责办理工地范围内的征地、拆迁和移民等有关手续并落实工程建设用地。承包人自行处理好与当地群众的关系，保证正常施工，并承担由此引起的额外费用增加。如成交后受上述原因影响，不能按时开工或开工后不能正常施工的，可能造成工程进度滞后并有可能导致延误工期的，视为承包人违约，</w:t>
      </w:r>
      <w:r>
        <w:rPr>
          <w:rFonts w:hint="eastAsia" w:cs="宋体"/>
          <w:color w:val="auto"/>
          <w:spacing w:val="0"/>
          <w:sz w:val="28"/>
          <w:szCs w:val="28"/>
          <w:highlight w:val="none"/>
          <w:lang w:val="en-US" w:eastAsia="zh-CN" w:bidi="en-US"/>
        </w:rPr>
        <w:t>建设单位</w:t>
      </w:r>
      <w:r>
        <w:rPr>
          <w:rFonts w:hint="eastAsia" w:ascii="宋体" w:hAnsi="宋体" w:eastAsia="宋体" w:cs="宋体"/>
          <w:color w:val="auto"/>
          <w:spacing w:val="0"/>
          <w:sz w:val="28"/>
          <w:szCs w:val="28"/>
          <w:highlight w:val="none"/>
          <w:lang w:val="en-US" w:bidi="en-US"/>
        </w:rPr>
        <w:t>有权终止合同，将工程另行发包。以上费用由承包人承担，</w:t>
      </w:r>
      <w:r>
        <w:rPr>
          <w:rFonts w:hint="eastAsia" w:cs="宋体"/>
          <w:color w:val="auto"/>
          <w:spacing w:val="0"/>
          <w:sz w:val="28"/>
          <w:szCs w:val="28"/>
          <w:highlight w:val="none"/>
          <w:lang w:val="en-US" w:eastAsia="zh-CN" w:bidi="en-US"/>
        </w:rPr>
        <w:t>建设单位</w:t>
      </w:r>
      <w:r>
        <w:rPr>
          <w:rFonts w:hint="eastAsia" w:ascii="宋体" w:hAnsi="宋体" w:eastAsia="宋体" w:cs="宋体"/>
          <w:color w:val="auto"/>
          <w:spacing w:val="0"/>
          <w:sz w:val="28"/>
          <w:szCs w:val="28"/>
          <w:highlight w:val="none"/>
          <w:lang w:val="en-US" w:bidi="en-US"/>
        </w:rPr>
        <w:t>不另行支付。</w:t>
      </w:r>
    </w:p>
    <w:p w14:paraId="0480E12A">
      <w:pPr>
        <w:pStyle w:val="115"/>
        <w:pageBreakBefore w:val="0"/>
        <w:tabs>
          <w:tab w:val="left" w:pos="8227"/>
        </w:tabs>
        <w:kinsoku/>
        <w:wordWrap/>
        <w:overflowPunct/>
        <w:topLinePunct w:val="0"/>
        <w:bidi w:val="0"/>
        <w:spacing w:line="500" w:lineRule="exact"/>
        <w:ind w:left="0" w:leftChars="0" w:right="0" w:firstLine="560" w:firstLineChars="200"/>
        <w:rPr>
          <w:rFonts w:hint="eastAsia" w:ascii="宋体" w:hAnsi="宋体" w:eastAsia="宋体" w:cs="宋体"/>
          <w:color w:val="auto"/>
          <w:spacing w:val="0"/>
          <w:sz w:val="28"/>
          <w:szCs w:val="28"/>
          <w:highlight w:val="none"/>
          <w:lang w:val="en-US" w:bidi="en-US"/>
        </w:rPr>
      </w:pPr>
      <w:r>
        <w:rPr>
          <w:rFonts w:hint="eastAsia" w:ascii="宋体" w:hAnsi="宋体" w:eastAsia="宋体" w:cs="宋体"/>
          <w:color w:val="auto"/>
          <w:spacing w:val="0"/>
          <w:sz w:val="28"/>
          <w:szCs w:val="28"/>
          <w:highlight w:val="none"/>
          <w:lang w:val="en-US" w:bidi="en-US"/>
        </w:rPr>
        <w:t>2.3.3承包人自行勘察的施工场地范围为：完成合同工程施工建设任务所涉及的所有范围。</w:t>
      </w:r>
    </w:p>
    <w:p w14:paraId="2AE0233E">
      <w:pPr>
        <w:pStyle w:val="115"/>
        <w:pageBreakBefore w:val="0"/>
        <w:tabs>
          <w:tab w:val="left" w:pos="8227"/>
        </w:tabs>
        <w:kinsoku/>
        <w:wordWrap/>
        <w:overflowPunct/>
        <w:topLinePunct w:val="0"/>
        <w:bidi w:val="0"/>
        <w:spacing w:line="500" w:lineRule="exact"/>
        <w:ind w:left="0" w:leftChars="0" w:right="0" w:firstLine="560" w:firstLineChars="200"/>
        <w:rPr>
          <w:rFonts w:hint="eastAsia" w:ascii="宋体" w:hAnsi="宋体" w:eastAsia="宋体" w:cs="宋体"/>
          <w:color w:val="auto"/>
          <w:spacing w:val="0"/>
          <w:sz w:val="28"/>
          <w:szCs w:val="28"/>
          <w:highlight w:val="none"/>
          <w:lang w:val="en-US" w:bidi="en-US"/>
        </w:rPr>
      </w:pPr>
      <w:r>
        <w:rPr>
          <w:rFonts w:hint="eastAsia" w:ascii="宋体" w:hAnsi="宋体" w:eastAsia="宋体" w:cs="宋体"/>
          <w:color w:val="auto"/>
          <w:spacing w:val="0"/>
          <w:sz w:val="28"/>
          <w:szCs w:val="28"/>
          <w:highlight w:val="none"/>
          <w:lang w:val="en-US" w:bidi="en-US"/>
        </w:rPr>
        <w:t xml:space="preserve">2.3.4 </w:t>
      </w:r>
      <w:r>
        <w:rPr>
          <w:rFonts w:hint="eastAsia" w:cs="宋体"/>
          <w:color w:val="auto"/>
          <w:spacing w:val="0"/>
          <w:sz w:val="28"/>
          <w:szCs w:val="28"/>
          <w:highlight w:val="none"/>
          <w:lang w:val="en-US" w:eastAsia="zh-CN" w:bidi="en-US"/>
        </w:rPr>
        <w:t>建设单位</w:t>
      </w:r>
      <w:r>
        <w:rPr>
          <w:rFonts w:hint="eastAsia" w:ascii="宋体" w:hAnsi="宋体" w:eastAsia="宋体" w:cs="宋体"/>
          <w:color w:val="auto"/>
          <w:spacing w:val="0"/>
          <w:sz w:val="28"/>
          <w:szCs w:val="28"/>
          <w:highlight w:val="none"/>
          <w:lang w:val="en-US" w:bidi="en-US"/>
        </w:rPr>
        <w:t>提供的施工场地三通一平（含施工道路）完成情况按招标现状，承包人应无条件接受现场条件。</w:t>
      </w:r>
    </w:p>
    <w:p w14:paraId="049245FF">
      <w:pPr>
        <w:pStyle w:val="116"/>
        <w:pageBreakBefore w:val="0"/>
        <w:kinsoku/>
        <w:wordWrap/>
        <w:overflowPunct/>
        <w:topLinePunct w:val="0"/>
        <w:bidi w:val="0"/>
        <w:spacing w:beforeLines="0" w:afterLines="0" w:line="500" w:lineRule="exact"/>
        <w:ind w:left="0" w:right="0"/>
        <w:rPr>
          <w:rFonts w:hint="eastAsia" w:ascii="宋体" w:hAnsi="宋体" w:eastAsia="宋体" w:cs="宋体"/>
          <w:color w:val="auto"/>
          <w:spacing w:val="0"/>
          <w:sz w:val="28"/>
          <w:szCs w:val="28"/>
          <w:highlight w:val="none"/>
          <w:lang w:eastAsia="zh-CN"/>
        </w:rPr>
      </w:pPr>
      <w:bookmarkStart w:id="114" w:name="_Toc5847"/>
      <w:bookmarkStart w:id="115" w:name="_Toc25580"/>
      <w:bookmarkStart w:id="116" w:name="_Toc13977"/>
      <w:bookmarkStart w:id="117" w:name="_Toc6637"/>
      <w:bookmarkStart w:id="118" w:name="_Toc12839"/>
      <w:bookmarkStart w:id="119" w:name="bookmark1615"/>
      <w:bookmarkStart w:id="120" w:name="_Toc13318"/>
      <w:bookmarkStart w:id="121" w:name="_Toc16731"/>
      <w:bookmarkStart w:id="122" w:name="bookmark1613"/>
      <w:bookmarkStart w:id="123" w:name="bookmark1612"/>
      <w:r>
        <w:rPr>
          <w:rFonts w:hint="eastAsia" w:ascii="宋体" w:hAnsi="宋体" w:eastAsia="宋体" w:cs="宋体"/>
          <w:color w:val="auto"/>
          <w:spacing w:val="0"/>
          <w:sz w:val="28"/>
          <w:szCs w:val="28"/>
          <w:highlight w:val="none"/>
          <w:lang w:eastAsia="zh-CN"/>
        </w:rPr>
        <w:t>3. 监理人</w:t>
      </w:r>
      <w:bookmarkEnd w:id="114"/>
      <w:bookmarkEnd w:id="115"/>
      <w:bookmarkEnd w:id="116"/>
      <w:bookmarkEnd w:id="117"/>
      <w:bookmarkEnd w:id="118"/>
      <w:bookmarkEnd w:id="119"/>
      <w:bookmarkEnd w:id="120"/>
      <w:bookmarkEnd w:id="121"/>
    </w:p>
    <w:p w14:paraId="7A683CA3">
      <w:pPr>
        <w:pStyle w:val="116"/>
        <w:pageBreakBefore w:val="0"/>
        <w:kinsoku/>
        <w:wordWrap/>
        <w:overflowPunct/>
        <w:topLinePunct w:val="0"/>
        <w:bidi w:val="0"/>
        <w:spacing w:beforeLines="0" w:afterLines="0" w:line="500" w:lineRule="exact"/>
        <w:ind w:left="0" w:right="0"/>
        <w:rPr>
          <w:rFonts w:hint="eastAsia" w:ascii="宋体" w:hAnsi="宋体" w:eastAsia="宋体" w:cs="宋体"/>
          <w:color w:val="auto"/>
          <w:spacing w:val="0"/>
          <w:sz w:val="28"/>
          <w:szCs w:val="28"/>
          <w:highlight w:val="none"/>
          <w:lang w:eastAsia="zh-CN" w:bidi="en-US"/>
        </w:rPr>
      </w:pPr>
      <w:bookmarkStart w:id="124" w:name="_Toc5690"/>
      <w:bookmarkStart w:id="125" w:name="_Toc5796"/>
      <w:bookmarkStart w:id="126" w:name="_Toc14947"/>
      <w:bookmarkStart w:id="127" w:name="bookmark1616"/>
      <w:bookmarkStart w:id="128" w:name="_Toc27024"/>
      <w:r>
        <w:rPr>
          <w:rFonts w:hint="eastAsia" w:ascii="宋体" w:hAnsi="宋体" w:eastAsia="宋体" w:cs="宋体"/>
          <w:color w:val="auto"/>
          <w:spacing w:val="0"/>
          <w:sz w:val="28"/>
          <w:szCs w:val="28"/>
          <w:highlight w:val="none"/>
          <w:lang w:eastAsia="zh-CN" w:bidi="en-US"/>
        </w:rPr>
        <w:t>3.1监理人的职责和权力</w:t>
      </w:r>
      <w:bookmarkEnd w:id="122"/>
      <w:bookmarkEnd w:id="123"/>
      <w:bookmarkEnd w:id="124"/>
      <w:bookmarkEnd w:id="125"/>
      <w:bookmarkEnd w:id="126"/>
      <w:bookmarkEnd w:id="127"/>
      <w:bookmarkEnd w:id="128"/>
    </w:p>
    <w:p w14:paraId="5B7454FC">
      <w:pPr>
        <w:pStyle w:val="115"/>
        <w:pageBreakBefore w:val="0"/>
        <w:kinsoku/>
        <w:wordWrap/>
        <w:overflowPunct/>
        <w:topLinePunct w:val="0"/>
        <w:bidi w:val="0"/>
        <w:spacing w:line="500" w:lineRule="exact"/>
        <w:ind w:left="0" w:leftChars="0" w:right="0" w:firstLine="560" w:firstLineChars="200"/>
        <w:jc w:val="both"/>
        <w:rPr>
          <w:rFonts w:hint="eastAsia" w:ascii="宋体" w:hAnsi="宋体" w:eastAsia="宋体" w:cs="宋体"/>
          <w:color w:val="auto"/>
          <w:spacing w:val="0"/>
          <w:sz w:val="28"/>
          <w:szCs w:val="28"/>
          <w:highlight w:val="none"/>
        </w:rPr>
      </w:pPr>
      <w:r>
        <w:rPr>
          <w:rFonts w:hint="eastAsia" w:ascii="宋体" w:hAnsi="宋体" w:eastAsia="宋体" w:cs="宋体"/>
          <w:color w:val="auto"/>
          <w:spacing w:val="0"/>
          <w:sz w:val="28"/>
          <w:szCs w:val="28"/>
          <w:highlight w:val="none"/>
          <w:lang w:val="en-US" w:bidi="en-US"/>
        </w:rPr>
        <w:t>3.1.1</w:t>
      </w:r>
      <w:r>
        <w:rPr>
          <w:rFonts w:hint="eastAsia" w:ascii="宋体" w:hAnsi="宋体" w:eastAsia="宋体" w:cs="宋体"/>
          <w:color w:val="auto"/>
          <w:spacing w:val="0"/>
          <w:sz w:val="28"/>
          <w:szCs w:val="28"/>
          <w:highlight w:val="none"/>
        </w:rPr>
        <w:t>监理人须根据</w:t>
      </w:r>
      <w:r>
        <w:rPr>
          <w:rFonts w:hint="eastAsia" w:cs="宋体"/>
          <w:color w:val="auto"/>
          <w:spacing w:val="0"/>
          <w:sz w:val="28"/>
          <w:szCs w:val="28"/>
          <w:highlight w:val="none"/>
          <w:lang w:eastAsia="zh-CN"/>
        </w:rPr>
        <w:t>建设单位</w:t>
      </w:r>
      <w:r>
        <w:rPr>
          <w:rFonts w:hint="eastAsia" w:ascii="宋体" w:hAnsi="宋体" w:eastAsia="宋体" w:cs="宋体"/>
          <w:color w:val="auto"/>
          <w:spacing w:val="0"/>
          <w:sz w:val="28"/>
          <w:szCs w:val="28"/>
          <w:highlight w:val="none"/>
        </w:rPr>
        <w:t>事先批准的权力范围行使权力，</w:t>
      </w:r>
      <w:r>
        <w:rPr>
          <w:rFonts w:hint="eastAsia" w:cs="宋体"/>
          <w:color w:val="auto"/>
          <w:spacing w:val="0"/>
          <w:sz w:val="28"/>
          <w:szCs w:val="28"/>
          <w:highlight w:val="none"/>
          <w:lang w:eastAsia="zh-CN"/>
        </w:rPr>
        <w:t>建设单位</w:t>
      </w:r>
      <w:r>
        <w:rPr>
          <w:rFonts w:hint="eastAsia" w:ascii="宋体" w:hAnsi="宋体" w:eastAsia="宋体" w:cs="宋体"/>
          <w:color w:val="auto"/>
          <w:spacing w:val="0"/>
          <w:sz w:val="28"/>
          <w:szCs w:val="28"/>
          <w:highlight w:val="none"/>
        </w:rPr>
        <w:t>批准的权力范围：按本工程委托监理合同。</w:t>
      </w:r>
    </w:p>
    <w:p w14:paraId="6C1EAD35">
      <w:pPr>
        <w:pStyle w:val="116"/>
        <w:pageBreakBefore w:val="0"/>
        <w:kinsoku/>
        <w:wordWrap/>
        <w:overflowPunct/>
        <w:topLinePunct w:val="0"/>
        <w:bidi w:val="0"/>
        <w:spacing w:beforeLines="0" w:afterLines="0" w:line="500" w:lineRule="exact"/>
        <w:ind w:left="0" w:right="0"/>
        <w:rPr>
          <w:rFonts w:hint="eastAsia" w:ascii="宋体" w:hAnsi="宋体" w:eastAsia="宋体" w:cs="宋体"/>
          <w:color w:val="auto"/>
          <w:spacing w:val="0"/>
          <w:sz w:val="28"/>
          <w:szCs w:val="28"/>
          <w:highlight w:val="none"/>
          <w:lang w:eastAsia="zh-CN"/>
        </w:rPr>
      </w:pPr>
      <w:bookmarkStart w:id="129" w:name="bookmark1619"/>
      <w:bookmarkEnd w:id="129"/>
      <w:bookmarkStart w:id="130" w:name="bookmark1620"/>
      <w:bookmarkStart w:id="131" w:name="_Toc19218"/>
      <w:bookmarkStart w:id="132" w:name="_Toc26809"/>
      <w:bookmarkStart w:id="133" w:name="_Toc239"/>
      <w:bookmarkStart w:id="134" w:name="_Toc23429"/>
      <w:bookmarkStart w:id="135" w:name="_Toc4014"/>
      <w:bookmarkStart w:id="136" w:name="_Toc14596"/>
      <w:bookmarkStart w:id="137" w:name="_Toc23394"/>
      <w:bookmarkStart w:id="138" w:name="bookmark1617"/>
      <w:bookmarkStart w:id="139" w:name="bookmark1618"/>
      <w:r>
        <w:rPr>
          <w:rFonts w:hint="eastAsia" w:ascii="宋体" w:hAnsi="宋体" w:eastAsia="宋体" w:cs="宋体"/>
          <w:color w:val="auto"/>
          <w:spacing w:val="0"/>
          <w:sz w:val="28"/>
          <w:szCs w:val="28"/>
          <w:highlight w:val="none"/>
          <w:lang w:eastAsia="zh-CN"/>
        </w:rPr>
        <w:t>4. 承包人</w:t>
      </w:r>
      <w:bookmarkEnd w:id="130"/>
      <w:bookmarkEnd w:id="131"/>
      <w:bookmarkEnd w:id="132"/>
      <w:bookmarkEnd w:id="133"/>
      <w:bookmarkEnd w:id="134"/>
      <w:bookmarkEnd w:id="135"/>
      <w:bookmarkEnd w:id="136"/>
      <w:bookmarkEnd w:id="137"/>
    </w:p>
    <w:p w14:paraId="5B79305D">
      <w:pPr>
        <w:pStyle w:val="116"/>
        <w:pageBreakBefore w:val="0"/>
        <w:kinsoku/>
        <w:wordWrap/>
        <w:overflowPunct/>
        <w:topLinePunct w:val="0"/>
        <w:bidi w:val="0"/>
        <w:spacing w:beforeLines="0" w:afterLines="0" w:line="500" w:lineRule="exact"/>
        <w:ind w:left="0" w:right="0"/>
        <w:rPr>
          <w:rFonts w:hint="eastAsia" w:ascii="宋体" w:hAnsi="宋体" w:eastAsia="宋体" w:cs="宋体"/>
          <w:color w:val="auto"/>
          <w:spacing w:val="0"/>
          <w:sz w:val="28"/>
          <w:szCs w:val="28"/>
          <w:highlight w:val="none"/>
          <w:lang w:eastAsia="zh-CN" w:bidi="en-US"/>
        </w:rPr>
      </w:pPr>
      <w:bookmarkStart w:id="140" w:name="_Toc14137"/>
      <w:bookmarkStart w:id="141" w:name="_Toc12561"/>
      <w:bookmarkStart w:id="142" w:name="bookmark1621"/>
      <w:bookmarkStart w:id="143" w:name="_Toc1345"/>
      <w:bookmarkStart w:id="144" w:name="_Toc5498"/>
      <w:r>
        <w:rPr>
          <w:rFonts w:hint="eastAsia" w:ascii="宋体" w:hAnsi="宋体" w:eastAsia="宋体" w:cs="宋体"/>
          <w:color w:val="auto"/>
          <w:spacing w:val="0"/>
          <w:sz w:val="28"/>
          <w:szCs w:val="28"/>
          <w:highlight w:val="none"/>
          <w:lang w:eastAsia="zh-CN" w:bidi="en-US"/>
        </w:rPr>
        <w:t>4.1承包人的一般义务</w:t>
      </w:r>
      <w:bookmarkEnd w:id="138"/>
      <w:bookmarkEnd w:id="139"/>
      <w:bookmarkEnd w:id="140"/>
      <w:bookmarkEnd w:id="141"/>
      <w:bookmarkEnd w:id="142"/>
      <w:bookmarkEnd w:id="143"/>
      <w:bookmarkEnd w:id="144"/>
    </w:p>
    <w:p w14:paraId="740354A3">
      <w:pPr>
        <w:pStyle w:val="47"/>
        <w:pageBreakBefore w:val="0"/>
        <w:kinsoku/>
        <w:wordWrap/>
        <w:overflowPunct/>
        <w:topLinePunct w:val="0"/>
        <w:bidi w:val="0"/>
        <w:spacing w:line="500" w:lineRule="exact"/>
        <w:ind w:left="0" w:right="0" w:firstLine="560" w:firstLineChars="200"/>
        <w:rPr>
          <w:rFonts w:hint="eastAsia" w:ascii="宋体" w:hAnsi="宋体" w:eastAsia="宋体" w:cs="宋体"/>
          <w:color w:val="auto"/>
          <w:spacing w:val="0"/>
          <w:sz w:val="28"/>
          <w:szCs w:val="28"/>
          <w:highlight w:val="none"/>
          <w:lang w:eastAsia="zh-CN"/>
        </w:rPr>
      </w:pPr>
      <w:bookmarkStart w:id="145" w:name="bookmark1622"/>
      <w:bookmarkEnd w:id="145"/>
      <w:r>
        <w:rPr>
          <w:rFonts w:hint="eastAsia" w:ascii="宋体" w:hAnsi="宋体" w:eastAsia="宋体" w:cs="宋体"/>
          <w:color w:val="auto"/>
          <w:spacing w:val="0"/>
          <w:sz w:val="28"/>
          <w:szCs w:val="28"/>
          <w:highlight w:val="none"/>
          <w:lang w:eastAsia="zh-CN"/>
        </w:rPr>
        <w:t>4.1.10其他义务</w:t>
      </w:r>
    </w:p>
    <w:p w14:paraId="559BDEE2">
      <w:pPr>
        <w:pStyle w:val="25"/>
        <w:pageBreakBefore w:val="0"/>
        <w:kinsoku/>
        <w:wordWrap/>
        <w:overflowPunct/>
        <w:topLinePunct w:val="0"/>
        <w:bidi w:val="0"/>
        <w:spacing w:after="0" w:line="500" w:lineRule="exact"/>
        <w:ind w:left="0" w:leftChars="0" w:right="0" w:firstLine="562" w:firstLineChars="200"/>
        <w:rPr>
          <w:rFonts w:hint="eastAsia" w:ascii="宋体" w:hAnsi="宋体" w:eastAsia="宋体" w:cs="宋体"/>
          <w:color w:val="auto"/>
          <w:spacing w:val="0"/>
          <w:sz w:val="28"/>
          <w:szCs w:val="28"/>
          <w:highlight w:val="none"/>
        </w:rPr>
      </w:pPr>
      <w:bookmarkStart w:id="146" w:name="bookmark1623"/>
      <w:bookmarkEnd w:id="146"/>
      <w:bookmarkStart w:id="147" w:name="bookmark1651"/>
      <w:bookmarkStart w:id="148" w:name="bookmark1650"/>
      <w:bookmarkStart w:id="149" w:name="bookmark1652"/>
      <w:r>
        <w:rPr>
          <w:rFonts w:hint="eastAsia" w:ascii="宋体" w:hAnsi="宋体" w:eastAsia="宋体" w:cs="宋体"/>
          <w:b/>
          <w:color w:val="auto"/>
          <w:spacing w:val="0"/>
          <w:sz w:val="28"/>
          <w:szCs w:val="28"/>
          <w:highlight w:val="none"/>
        </w:rPr>
        <w:t>（一）</w:t>
      </w:r>
      <w:r>
        <w:rPr>
          <w:rFonts w:hint="eastAsia" w:ascii="宋体" w:hAnsi="宋体" w:eastAsia="宋体" w:cs="宋体"/>
          <w:b/>
          <w:bCs/>
          <w:color w:val="auto"/>
          <w:spacing w:val="0"/>
          <w:sz w:val="28"/>
          <w:szCs w:val="28"/>
          <w:highlight w:val="none"/>
        </w:rPr>
        <w:t>办理建筑意外伤害保险。</w:t>
      </w:r>
    </w:p>
    <w:p w14:paraId="3DF68118">
      <w:pPr>
        <w:pageBreakBefore w:val="0"/>
        <w:kinsoku/>
        <w:wordWrap/>
        <w:overflowPunct/>
        <w:topLinePunct w:val="0"/>
        <w:bidi w:val="0"/>
        <w:spacing w:line="500" w:lineRule="exact"/>
        <w:ind w:left="0" w:right="0"/>
        <w:rPr>
          <w:rFonts w:hint="eastAsia" w:ascii="宋体" w:hAnsi="宋体" w:eastAsia="宋体" w:cs="宋体"/>
          <w:color w:val="auto"/>
          <w:spacing w:val="0"/>
          <w:sz w:val="28"/>
          <w:szCs w:val="28"/>
          <w:highlight w:val="none"/>
        </w:rPr>
      </w:pPr>
      <w:r>
        <w:rPr>
          <w:rFonts w:hint="eastAsia" w:ascii="宋体" w:hAnsi="宋体" w:eastAsia="宋体" w:cs="宋体"/>
          <w:color w:val="auto"/>
          <w:spacing w:val="0"/>
          <w:sz w:val="28"/>
          <w:szCs w:val="28"/>
          <w:highlight w:val="none"/>
        </w:rPr>
        <w:t>　　承包人要严格按照国务院《工伤保险条例》规定，及时为农民工办理参加工伤保险手续，并按时足额缴纳工伤保险费。同时，按照《建筑法》规定，为施工现场从事危险作业的农民工办理意外伤害保险。必须在工程开工前办理完建筑意外保险的投保手续，为参加本合同工程现场施工所有作业人员及管理人员，包括参加工程建设的管理人员、监理人员、施工人员(含民工)办理建筑意外伤害保险，支付保险费(意外伤害保险费为中标的工程量清单总价的3‰，由承包人承担) 。</w:t>
      </w:r>
    </w:p>
    <w:p w14:paraId="2C2451F6">
      <w:pPr>
        <w:pageBreakBefore w:val="0"/>
        <w:kinsoku/>
        <w:wordWrap/>
        <w:overflowPunct/>
        <w:topLinePunct w:val="0"/>
        <w:bidi w:val="0"/>
        <w:spacing w:line="500" w:lineRule="exact"/>
        <w:ind w:left="0" w:right="0"/>
        <w:rPr>
          <w:rFonts w:hint="eastAsia" w:ascii="宋体" w:hAnsi="宋体" w:eastAsia="宋体" w:cs="宋体"/>
          <w:color w:val="auto"/>
          <w:spacing w:val="0"/>
          <w:sz w:val="28"/>
          <w:szCs w:val="28"/>
          <w:highlight w:val="none"/>
        </w:rPr>
      </w:pPr>
      <w:r>
        <w:rPr>
          <w:rFonts w:hint="eastAsia" w:ascii="宋体" w:hAnsi="宋体" w:eastAsia="宋体" w:cs="宋体"/>
          <w:color w:val="auto"/>
          <w:spacing w:val="0"/>
          <w:sz w:val="28"/>
          <w:szCs w:val="28"/>
          <w:highlight w:val="none"/>
        </w:rPr>
        <w:t>　　保险期限自投保之日（工程开工之日）起至工程竣工验收时止，时间上涵盖施工全过程的任一时段。</w:t>
      </w:r>
    </w:p>
    <w:p w14:paraId="55559195">
      <w:pPr>
        <w:pageBreakBefore w:val="0"/>
        <w:kinsoku/>
        <w:wordWrap/>
        <w:overflowPunct/>
        <w:topLinePunct w:val="0"/>
        <w:bidi w:val="0"/>
        <w:spacing w:line="500" w:lineRule="exact"/>
        <w:ind w:left="0" w:right="0" w:firstLine="560" w:firstLineChars="200"/>
        <w:rPr>
          <w:rFonts w:hint="eastAsia" w:ascii="宋体" w:hAnsi="宋体" w:eastAsia="宋体" w:cs="宋体"/>
          <w:color w:val="auto"/>
          <w:spacing w:val="0"/>
          <w:sz w:val="28"/>
          <w:szCs w:val="28"/>
          <w:highlight w:val="none"/>
        </w:rPr>
      </w:pPr>
      <w:r>
        <w:rPr>
          <w:rFonts w:hint="eastAsia" w:ascii="宋体" w:hAnsi="宋体" w:eastAsia="宋体" w:cs="宋体"/>
          <w:color w:val="auto"/>
          <w:spacing w:val="0"/>
          <w:sz w:val="28"/>
          <w:szCs w:val="28"/>
          <w:highlight w:val="none"/>
        </w:rPr>
        <w:t>鉴于本合同工程各工种调动频繁、用工流动性大等特点，投保实行不记名和不计人数的方式，一旦该工程项目发生人员意外伤害，只要是在该工程发生的，都应该由保险公司在保险责任范围内负责赔付。</w:t>
      </w:r>
    </w:p>
    <w:p w14:paraId="1C1D2B3E">
      <w:pPr>
        <w:pageBreakBefore w:val="0"/>
        <w:kinsoku/>
        <w:wordWrap/>
        <w:overflowPunct/>
        <w:topLinePunct w:val="0"/>
        <w:bidi w:val="0"/>
        <w:spacing w:line="500" w:lineRule="exact"/>
        <w:ind w:left="0" w:right="0" w:firstLine="400"/>
        <w:rPr>
          <w:rFonts w:hint="eastAsia" w:ascii="宋体" w:hAnsi="宋体" w:eastAsia="宋体" w:cs="宋体"/>
          <w:b/>
          <w:bCs/>
          <w:color w:val="auto"/>
          <w:spacing w:val="0"/>
          <w:sz w:val="28"/>
          <w:szCs w:val="28"/>
          <w:highlight w:val="none"/>
        </w:rPr>
      </w:pPr>
      <w:bookmarkStart w:id="150" w:name="bookmark1624"/>
      <w:bookmarkEnd w:id="150"/>
      <w:r>
        <w:rPr>
          <w:rFonts w:hint="eastAsia" w:ascii="宋体" w:hAnsi="宋体" w:eastAsia="宋体" w:cs="宋体"/>
          <w:b/>
          <w:bCs/>
          <w:color w:val="auto"/>
          <w:spacing w:val="0"/>
          <w:sz w:val="28"/>
          <w:szCs w:val="28"/>
          <w:highlight w:val="none"/>
        </w:rPr>
        <w:t>（二)执行国务院《保障农民工工资支付条例》、《工程建设领域农民工工资专用账户管理暂行办法》 (人社部发〔2021〕53号)和广西根治拖欠农民工工资工作的相关要求。</w:t>
      </w:r>
    </w:p>
    <w:p w14:paraId="67E15E82">
      <w:pPr>
        <w:pageBreakBefore w:val="0"/>
        <w:kinsoku/>
        <w:wordWrap/>
        <w:overflowPunct/>
        <w:topLinePunct w:val="0"/>
        <w:bidi w:val="0"/>
        <w:spacing w:line="500" w:lineRule="exact"/>
        <w:ind w:left="0" w:right="0" w:firstLine="560" w:firstLineChars="200"/>
        <w:rPr>
          <w:rFonts w:hint="eastAsia" w:ascii="宋体" w:hAnsi="宋体" w:eastAsia="宋体" w:cs="宋体"/>
          <w:color w:val="auto"/>
          <w:spacing w:val="0"/>
          <w:sz w:val="28"/>
          <w:szCs w:val="28"/>
          <w:highlight w:val="none"/>
        </w:rPr>
      </w:pPr>
      <w:r>
        <w:rPr>
          <w:rFonts w:hint="eastAsia" w:ascii="宋体" w:hAnsi="宋体" w:eastAsia="宋体" w:cs="宋体"/>
          <w:color w:val="auto"/>
          <w:spacing w:val="0"/>
          <w:sz w:val="28"/>
          <w:szCs w:val="28"/>
          <w:highlight w:val="none"/>
        </w:rPr>
        <w:t>1、开设农民工工资专用帐户，并与建设单位、开户银行签订资金管理三方协议，农民工工资占工程款比例为20%。</w:t>
      </w:r>
    </w:p>
    <w:p w14:paraId="7166C98B">
      <w:pPr>
        <w:pageBreakBefore w:val="0"/>
        <w:kinsoku/>
        <w:wordWrap/>
        <w:overflowPunct/>
        <w:topLinePunct w:val="0"/>
        <w:bidi w:val="0"/>
        <w:spacing w:line="500" w:lineRule="exact"/>
        <w:ind w:left="0" w:right="0" w:firstLine="560" w:firstLineChars="200"/>
        <w:rPr>
          <w:rFonts w:hint="eastAsia" w:ascii="宋体" w:hAnsi="宋体" w:eastAsia="宋体" w:cs="宋体"/>
          <w:color w:val="auto"/>
          <w:spacing w:val="0"/>
          <w:sz w:val="28"/>
          <w:szCs w:val="28"/>
          <w:highlight w:val="none"/>
        </w:rPr>
      </w:pPr>
      <w:r>
        <w:rPr>
          <w:rFonts w:hint="eastAsia" w:ascii="宋体" w:hAnsi="宋体" w:eastAsia="宋体" w:cs="宋体"/>
          <w:color w:val="auto"/>
          <w:spacing w:val="0"/>
          <w:sz w:val="28"/>
          <w:szCs w:val="28"/>
          <w:highlight w:val="none"/>
        </w:rPr>
        <w:t>2</w:t>
      </w:r>
      <w:r>
        <w:rPr>
          <w:rFonts w:hint="eastAsia" w:ascii="宋体" w:hAnsi="宋体" w:eastAsia="宋体" w:cs="宋体"/>
          <w:color w:val="auto"/>
          <w:spacing w:val="0"/>
          <w:sz w:val="28"/>
          <w:szCs w:val="28"/>
          <w:highlight w:val="none"/>
          <w:lang w:eastAsia="zh-CN"/>
        </w:rPr>
        <w:t>、</w:t>
      </w:r>
      <w:r>
        <w:rPr>
          <w:rFonts w:hint="eastAsia" w:ascii="宋体" w:hAnsi="宋体" w:eastAsia="宋体" w:cs="宋体"/>
          <w:color w:val="auto"/>
          <w:spacing w:val="0"/>
          <w:sz w:val="28"/>
          <w:szCs w:val="28"/>
          <w:highlight w:val="none"/>
        </w:rPr>
        <w:t>缴纳农民工工资保证金(适用于在本自治区行政区域内施工的所有水利水电工程项目)，根据《广西壮族自治区人力资源和社会保障厅 广西壮族自治区住房和城乡建设厅 广西壮族自治区交通运输厅 广西壮族自治区水利厅 中国银行保险监督管理委员会 广西监管局关于印发广西壮族自治区工程建设领域农民工工资保证金规定实施办法的通知》(桂人社规〔2021〕16号)规定，履行以下义务：</w:t>
      </w:r>
    </w:p>
    <w:p w14:paraId="6B88D2D3">
      <w:pPr>
        <w:pageBreakBefore w:val="0"/>
        <w:kinsoku/>
        <w:wordWrap/>
        <w:overflowPunct/>
        <w:topLinePunct w:val="0"/>
        <w:bidi w:val="0"/>
        <w:spacing w:line="500" w:lineRule="exact"/>
        <w:ind w:left="0" w:right="0" w:firstLine="560" w:firstLineChars="200"/>
        <w:rPr>
          <w:rFonts w:hint="eastAsia" w:ascii="宋体" w:hAnsi="宋体" w:eastAsia="宋体" w:cs="宋体"/>
          <w:color w:val="auto"/>
          <w:spacing w:val="0"/>
          <w:sz w:val="28"/>
          <w:szCs w:val="28"/>
          <w:highlight w:val="none"/>
        </w:rPr>
      </w:pPr>
      <w:r>
        <w:rPr>
          <w:rFonts w:hint="eastAsia" w:ascii="宋体" w:hAnsi="宋体" w:eastAsia="宋体" w:cs="宋体"/>
          <w:color w:val="auto"/>
          <w:spacing w:val="0"/>
          <w:sz w:val="28"/>
          <w:szCs w:val="28"/>
          <w:highlight w:val="none"/>
        </w:rPr>
        <w:t>(1)按以下标准在农民工工资保证金专用账户足额存入农民工工资保证金：</w:t>
      </w:r>
    </w:p>
    <w:p w14:paraId="682DD711">
      <w:pPr>
        <w:pageBreakBefore w:val="0"/>
        <w:kinsoku/>
        <w:wordWrap/>
        <w:overflowPunct/>
        <w:topLinePunct w:val="0"/>
        <w:bidi w:val="0"/>
        <w:spacing w:line="500" w:lineRule="exact"/>
        <w:ind w:left="0" w:right="0" w:firstLine="560" w:firstLineChars="200"/>
        <w:rPr>
          <w:rFonts w:hint="eastAsia" w:ascii="宋体" w:hAnsi="宋体" w:eastAsia="宋体" w:cs="宋体"/>
          <w:color w:val="auto"/>
          <w:spacing w:val="0"/>
          <w:sz w:val="28"/>
          <w:szCs w:val="28"/>
          <w:highlight w:val="none"/>
        </w:rPr>
      </w:pPr>
      <w:r>
        <w:rPr>
          <w:rFonts w:hint="eastAsia" w:ascii="宋体" w:hAnsi="宋体" w:eastAsia="宋体" w:cs="宋体"/>
          <w:color w:val="auto"/>
          <w:spacing w:val="0"/>
          <w:sz w:val="28"/>
          <w:szCs w:val="28"/>
          <w:highlight w:val="none"/>
        </w:rPr>
        <w:t>按工程施工合同额的1%比例存储农民工工资保证金。</w:t>
      </w:r>
    </w:p>
    <w:p w14:paraId="68639747">
      <w:pPr>
        <w:pageBreakBefore w:val="0"/>
        <w:kinsoku/>
        <w:wordWrap/>
        <w:overflowPunct/>
        <w:topLinePunct w:val="0"/>
        <w:bidi w:val="0"/>
        <w:spacing w:line="500" w:lineRule="exact"/>
        <w:ind w:left="0" w:right="0" w:firstLine="560" w:firstLineChars="200"/>
        <w:rPr>
          <w:rFonts w:hint="eastAsia" w:ascii="宋体" w:hAnsi="宋体" w:eastAsia="宋体" w:cs="宋体"/>
          <w:color w:val="auto"/>
          <w:spacing w:val="0"/>
          <w:sz w:val="28"/>
          <w:szCs w:val="28"/>
          <w:highlight w:val="none"/>
        </w:rPr>
      </w:pPr>
      <w:r>
        <w:rPr>
          <w:rFonts w:hint="eastAsia" w:ascii="宋体" w:hAnsi="宋体" w:eastAsia="宋体" w:cs="宋体"/>
          <w:color w:val="auto"/>
          <w:spacing w:val="0"/>
          <w:sz w:val="28"/>
          <w:szCs w:val="28"/>
          <w:highlight w:val="none"/>
        </w:rPr>
        <w:t>施工总承包单位存储工资保证金或提交银行保函前2年内在工资保证金管理地区发生  过拖欠农民工工资行为的，工资保证金存储比例为1.5% (单个项目存储金额不设定上限)；因拖欠农民工工资被纳入“严重失信主体名单”的，工资保证金存储比例为 2% (单个项目存储金额不设定上限) 。</w:t>
      </w:r>
    </w:p>
    <w:p w14:paraId="061F1724">
      <w:pPr>
        <w:pageBreakBefore w:val="0"/>
        <w:kinsoku/>
        <w:wordWrap/>
        <w:overflowPunct/>
        <w:topLinePunct w:val="0"/>
        <w:bidi w:val="0"/>
        <w:spacing w:line="500" w:lineRule="exact"/>
        <w:ind w:left="0" w:right="0" w:firstLine="560" w:firstLineChars="200"/>
        <w:rPr>
          <w:rFonts w:hint="eastAsia" w:ascii="宋体" w:hAnsi="宋体" w:eastAsia="宋体" w:cs="宋体"/>
          <w:color w:val="auto"/>
          <w:spacing w:val="0"/>
          <w:sz w:val="28"/>
          <w:szCs w:val="28"/>
          <w:highlight w:val="none"/>
        </w:rPr>
      </w:pPr>
      <w:r>
        <w:rPr>
          <w:rFonts w:hint="eastAsia" w:ascii="宋体" w:hAnsi="宋体" w:eastAsia="宋体" w:cs="宋体"/>
          <w:color w:val="auto"/>
          <w:spacing w:val="0"/>
          <w:sz w:val="28"/>
          <w:szCs w:val="28"/>
          <w:highlight w:val="none"/>
        </w:rPr>
        <w:t>承包人按时发放农民工工资，在</w:t>
      </w:r>
      <w:r>
        <w:rPr>
          <w:rFonts w:hint="eastAsia" w:ascii="宋体" w:hAnsi="宋体" w:eastAsia="宋体" w:cs="宋体"/>
          <w:color w:val="auto"/>
          <w:spacing w:val="0"/>
          <w:sz w:val="28"/>
          <w:szCs w:val="28"/>
          <w:highlight w:val="none"/>
          <w:lang w:eastAsia="zh-CN"/>
        </w:rPr>
        <w:t>建设单位</w:t>
      </w:r>
      <w:r>
        <w:rPr>
          <w:rFonts w:hint="eastAsia" w:ascii="宋体" w:hAnsi="宋体" w:eastAsia="宋体" w:cs="宋体"/>
          <w:color w:val="auto"/>
          <w:spacing w:val="0"/>
          <w:sz w:val="28"/>
          <w:szCs w:val="28"/>
          <w:highlight w:val="none"/>
        </w:rPr>
        <w:t>按时支付工程进度款后，承包人发生拖欠农民工工资的，人力资源和社会保障部门可从农民工工资保证金中先行垫付，并将作为不良信用单位记入该承包人工资支付信用档案。承包人恶意拖欠、克扣农民工工资的，</w:t>
      </w:r>
      <w:r>
        <w:rPr>
          <w:rFonts w:hint="eastAsia" w:ascii="宋体" w:hAnsi="宋体" w:eastAsia="宋体" w:cs="宋体"/>
          <w:color w:val="auto"/>
          <w:spacing w:val="0"/>
          <w:sz w:val="28"/>
          <w:szCs w:val="28"/>
          <w:highlight w:val="none"/>
          <w:lang w:eastAsia="zh-CN"/>
        </w:rPr>
        <w:t>建设单位</w:t>
      </w:r>
      <w:r>
        <w:rPr>
          <w:rFonts w:hint="eastAsia" w:ascii="宋体" w:hAnsi="宋体" w:eastAsia="宋体" w:cs="宋体"/>
          <w:color w:val="auto"/>
          <w:spacing w:val="0"/>
          <w:sz w:val="28"/>
          <w:szCs w:val="28"/>
          <w:highlight w:val="none"/>
        </w:rPr>
        <w:t>将按投标文件承诺书的相关规定处理。</w:t>
      </w:r>
    </w:p>
    <w:p w14:paraId="6C9A8992">
      <w:pPr>
        <w:pageBreakBefore w:val="0"/>
        <w:kinsoku/>
        <w:wordWrap/>
        <w:overflowPunct/>
        <w:topLinePunct w:val="0"/>
        <w:bidi w:val="0"/>
        <w:spacing w:line="500" w:lineRule="exact"/>
        <w:ind w:left="0" w:right="0" w:firstLine="560" w:firstLineChars="200"/>
        <w:rPr>
          <w:rFonts w:hint="eastAsia" w:ascii="宋体" w:hAnsi="宋体" w:eastAsia="宋体" w:cs="宋体"/>
          <w:color w:val="auto"/>
          <w:spacing w:val="0"/>
          <w:sz w:val="28"/>
          <w:szCs w:val="28"/>
          <w:highlight w:val="none"/>
        </w:rPr>
      </w:pPr>
      <w:r>
        <w:rPr>
          <w:rFonts w:hint="eastAsia" w:ascii="宋体" w:hAnsi="宋体" w:eastAsia="宋体" w:cs="宋体"/>
          <w:color w:val="auto"/>
          <w:spacing w:val="0"/>
          <w:sz w:val="28"/>
          <w:szCs w:val="28"/>
          <w:highlight w:val="none"/>
        </w:rPr>
        <w:t>因承包人拖欠农民工工资等原因造成农民工到</w:t>
      </w:r>
      <w:r>
        <w:rPr>
          <w:rFonts w:hint="eastAsia" w:ascii="宋体" w:hAnsi="宋体" w:eastAsia="宋体" w:cs="宋体"/>
          <w:color w:val="auto"/>
          <w:spacing w:val="0"/>
          <w:sz w:val="28"/>
          <w:szCs w:val="28"/>
          <w:highlight w:val="none"/>
          <w:lang w:eastAsia="zh-CN"/>
        </w:rPr>
        <w:t>建设单位</w:t>
      </w:r>
      <w:r>
        <w:rPr>
          <w:rFonts w:hint="eastAsia" w:ascii="宋体" w:hAnsi="宋体" w:eastAsia="宋体" w:cs="宋体"/>
          <w:color w:val="auto"/>
          <w:spacing w:val="0"/>
          <w:sz w:val="28"/>
          <w:szCs w:val="28"/>
          <w:highlight w:val="none"/>
        </w:rPr>
        <w:t>或政府相关部门聚众闹事、追讨工资等事件，按1000元.人/次进行处罚，如达三次以上，没收全部履约保证金，如造成</w:t>
      </w:r>
      <w:r>
        <w:rPr>
          <w:rFonts w:hint="eastAsia" w:ascii="宋体" w:hAnsi="宋体" w:eastAsia="宋体" w:cs="宋体"/>
          <w:color w:val="auto"/>
          <w:spacing w:val="0"/>
          <w:sz w:val="28"/>
          <w:szCs w:val="28"/>
          <w:highlight w:val="none"/>
          <w:lang w:eastAsia="zh-CN"/>
        </w:rPr>
        <w:t>建设单位</w:t>
      </w:r>
      <w:r>
        <w:rPr>
          <w:rFonts w:hint="eastAsia" w:ascii="宋体" w:hAnsi="宋体" w:eastAsia="宋体" w:cs="宋体"/>
          <w:color w:val="auto"/>
          <w:spacing w:val="0"/>
          <w:sz w:val="28"/>
          <w:szCs w:val="28"/>
          <w:highlight w:val="none"/>
        </w:rPr>
        <w:t>损失的，由承包人负责赔偿。</w:t>
      </w:r>
    </w:p>
    <w:p w14:paraId="538795DF">
      <w:pPr>
        <w:pageBreakBefore w:val="0"/>
        <w:kinsoku/>
        <w:wordWrap/>
        <w:overflowPunct/>
        <w:topLinePunct w:val="0"/>
        <w:bidi w:val="0"/>
        <w:spacing w:line="500" w:lineRule="exact"/>
        <w:ind w:left="0" w:right="0" w:firstLine="560" w:firstLineChars="200"/>
        <w:rPr>
          <w:rFonts w:hint="eastAsia" w:ascii="宋体" w:hAnsi="宋体" w:eastAsia="宋体" w:cs="宋体"/>
          <w:color w:val="auto"/>
          <w:spacing w:val="0"/>
          <w:sz w:val="28"/>
          <w:szCs w:val="28"/>
          <w:highlight w:val="none"/>
        </w:rPr>
      </w:pPr>
      <w:r>
        <w:rPr>
          <w:rFonts w:hint="eastAsia" w:ascii="宋体" w:hAnsi="宋体" w:eastAsia="宋体" w:cs="宋体"/>
          <w:color w:val="auto"/>
          <w:spacing w:val="0"/>
          <w:sz w:val="28"/>
          <w:szCs w:val="28"/>
          <w:highlight w:val="none"/>
        </w:rPr>
        <w:t>(2)承包人在投标时，必须在投标文件中作如下承诺：</w:t>
      </w:r>
    </w:p>
    <w:p w14:paraId="512EC418">
      <w:pPr>
        <w:pageBreakBefore w:val="0"/>
        <w:kinsoku/>
        <w:wordWrap/>
        <w:overflowPunct/>
        <w:topLinePunct w:val="0"/>
        <w:bidi w:val="0"/>
        <w:spacing w:line="500" w:lineRule="exact"/>
        <w:ind w:left="0" w:right="0" w:firstLine="560" w:firstLineChars="200"/>
        <w:rPr>
          <w:rFonts w:hint="eastAsia" w:ascii="宋体" w:hAnsi="宋体" w:eastAsia="宋体" w:cs="宋体"/>
          <w:color w:val="auto"/>
          <w:spacing w:val="0"/>
          <w:sz w:val="28"/>
          <w:szCs w:val="28"/>
          <w:highlight w:val="none"/>
        </w:rPr>
      </w:pPr>
      <w:r>
        <w:rPr>
          <w:rFonts w:hint="eastAsia" w:ascii="宋体" w:hAnsi="宋体" w:eastAsia="宋体" w:cs="宋体"/>
          <w:color w:val="auto"/>
          <w:spacing w:val="0"/>
          <w:sz w:val="28"/>
          <w:szCs w:val="28"/>
          <w:highlight w:val="none"/>
        </w:rPr>
        <w:t>① 如实说明其以前所承建的工程项目中工资支付的情况，特别注明是否存在拖欠或克扣农民工工资的行为。</w:t>
      </w:r>
    </w:p>
    <w:p w14:paraId="28DD8CC8">
      <w:pPr>
        <w:pageBreakBefore w:val="0"/>
        <w:kinsoku/>
        <w:wordWrap/>
        <w:overflowPunct/>
        <w:topLinePunct w:val="0"/>
        <w:bidi w:val="0"/>
        <w:spacing w:line="500" w:lineRule="exact"/>
        <w:ind w:left="0" w:right="0" w:firstLine="560" w:firstLineChars="200"/>
        <w:rPr>
          <w:rFonts w:hint="eastAsia" w:ascii="宋体" w:hAnsi="宋体" w:eastAsia="宋体" w:cs="宋体"/>
          <w:color w:val="auto"/>
          <w:spacing w:val="0"/>
          <w:sz w:val="28"/>
          <w:szCs w:val="28"/>
          <w:highlight w:val="none"/>
        </w:rPr>
      </w:pPr>
      <w:r>
        <w:rPr>
          <w:rFonts w:hint="eastAsia" w:ascii="宋体" w:hAnsi="宋体" w:eastAsia="宋体" w:cs="宋体"/>
          <w:color w:val="auto"/>
          <w:spacing w:val="0"/>
          <w:sz w:val="28"/>
          <w:szCs w:val="28"/>
          <w:highlight w:val="none"/>
        </w:rPr>
        <w:t>② 承诺中标后及时、足额在农民工工资保证金专家账户存入农民工工资保证金。</w:t>
      </w:r>
    </w:p>
    <w:p w14:paraId="1F0287A2">
      <w:pPr>
        <w:pageBreakBefore w:val="0"/>
        <w:kinsoku/>
        <w:wordWrap/>
        <w:overflowPunct/>
        <w:topLinePunct w:val="0"/>
        <w:bidi w:val="0"/>
        <w:spacing w:line="500" w:lineRule="exact"/>
        <w:ind w:left="0" w:right="0" w:firstLine="560" w:firstLineChars="200"/>
        <w:rPr>
          <w:rFonts w:hint="eastAsia" w:ascii="宋体" w:hAnsi="宋体" w:eastAsia="宋体" w:cs="宋体"/>
          <w:color w:val="auto"/>
          <w:spacing w:val="0"/>
          <w:sz w:val="28"/>
          <w:szCs w:val="28"/>
          <w:highlight w:val="none"/>
        </w:rPr>
      </w:pPr>
      <w:r>
        <w:rPr>
          <w:rFonts w:hint="eastAsia" w:ascii="宋体" w:hAnsi="宋体" w:eastAsia="宋体" w:cs="宋体"/>
          <w:color w:val="auto"/>
          <w:spacing w:val="0"/>
          <w:sz w:val="28"/>
          <w:szCs w:val="28"/>
          <w:highlight w:val="none"/>
        </w:rPr>
        <w:t>③ 承诺依法按月申请和足额支付农民工工资，一旦其承建的工程项目出现拖欠农民工工资情况的，人力资源和社会保障部门可从农民工工资专用账户的资金中中先予垫支。</w:t>
      </w:r>
    </w:p>
    <w:p w14:paraId="27351151">
      <w:pPr>
        <w:pageBreakBefore w:val="0"/>
        <w:kinsoku/>
        <w:wordWrap/>
        <w:overflowPunct/>
        <w:topLinePunct w:val="0"/>
        <w:bidi w:val="0"/>
        <w:spacing w:line="500" w:lineRule="exact"/>
        <w:ind w:left="0" w:right="0" w:firstLine="560" w:firstLineChars="200"/>
        <w:rPr>
          <w:rFonts w:hint="eastAsia" w:ascii="宋体" w:hAnsi="宋体" w:eastAsia="宋体" w:cs="宋体"/>
          <w:color w:val="auto"/>
          <w:spacing w:val="0"/>
          <w:sz w:val="28"/>
          <w:szCs w:val="28"/>
          <w:highlight w:val="none"/>
        </w:rPr>
      </w:pPr>
      <w:r>
        <w:rPr>
          <w:rFonts w:hint="eastAsia" w:ascii="宋体" w:hAnsi="宋体" w:eastAsia="宋体" w:cs="宋体"/>
          <w:color w:val="auto"/>
          <w:spacing w:val="0"/>
          <w:sz w:val="28"/>
          <w:szCs w:val="28"/>
          <w:highlight w:val="none"/>
        </w:rPr>
        <w:t>承包人应当持根据上述作出的承诺和说明，依法到同级人力资源和社会保障部门申报办理农民工工资保证金三方监管，并向</w:t>
      </w:r>
      <w:r>
        <w:rPr>
          <w:rFonts w:hint="eastAsia" w:ascii="宋体" w:hAnsi="宋体" w:eastAsia="宋体" w:cs="宋体"/>
          <w:color w:val="auto"/>
          <w:spacing w:val="0"/>
          <w:sz w:val="28"/>
          <w:szCs w:val="28"/>
          <w:highlight w:val="none"/>
          <w:lang w:eastAsia="zh-CN"/>
        </w:rPr>
        <w:t>建设单位</w:t>
      </w:r>
      <w:r>
        <w:rPr>
          <w:rFonts w:hint="eastAsia" w:ascii="宋体" w:hAnsi="宋体" w:eastAsia="宋体" w:cs="宋体"/>
          <w:color w:val="auto"/>
          <w:spacing w:val="0"/>
          <w:sz w:val="28"/>
          <w:szCs w:val="28"/>
          <w:highlight w:val="none"/>
        </w:rPr>
        <w:t>提供农民工工资保证金专用账户监管协议和缴存农民工工资保证金凭证，由</w:t>
      </w:r>
      <w:r>
        <w:rPr>
          <w:rFonts w:hint="eastAsia" w:ascii="宋体" w:hAnsi="宋体" w:eastAsia="宋体" w:cs="宋体"/>
          <w:color w:val="auto"/>
          <w:spacing w:val="0"/>
          <w:sz w:val="28"/>
          <w:szCs w:val="28"/>
          <w:highlight w:val="none"/>
          <w:lang w:eastAsia="zh-CN"/>
        </w:rPr>
        <w:t>建设单位</w:t>
      </w:r>
      <w:r>
        <w:rPr>
          <w:rFonts w:hint="eastAsia" w:ascii="宋体" w:hAnsi="宋体" w:eastAsia="宋体" w:cs="宋体"/>
          <w:color w:val="auto"/>
          <w:spacing w:val="0"/>
          <w:sz w:val="28"/>
          <w:szCs w:val="28"/>
          <w:highlight w:val="none"/>
        </w:rPr>
        <w:t>到水利部门办理工程开工备案手续。</w:t>
      </w:r>
    </w:p>
    <w:p w14:paraId="494B7E86">
      <w:pPr>
        <w:pageBreakBefore w:val="0"/>
        <w:kinsoku/>
        <w:wordWrap/>
        <w:overflowPunct/>
        <w:topLinePunct w:val="0"/>
        <w:bidi w:val="0"/>
        <w:spacing w:line="500" w:lineRule="exact"/>
        <w:ind w:left="0" w:right="0"/>
        <w:rPr>
          <w:rFonts w:hint="eastAsia" w:ascii="宋体" w:hAnsi="宋体" w:eastAsia="宋体" w:cs="宋体"/>
          <w:color w:val="auto"/>
          <w:spacing w:val="0"/>
          <w:sz w:val="28"/>
          <w:szCs w:val="28"/>
          <w:highlight w:val="none"/>
        </w:rPr>
      </w:pPr>
      <w:r>
        <w:rPr>
          <w:rFonts w:hint="eastAsia" w:ascii="宋体" w:hAnsi="宋体" w:eastAsia="宋体" w:cs="宋体"/>
          <w:color w:val="auto"/>
          <w:spacing w:val="0"/>
          <w:sz w:val="28"/>
          <w:szCs w:val="28"/>
          <w:highlight w:val="none"/>
        </w:rPr>
        <w:t>　　</w:t>
      </w:r>
      <w:r>
        <w:rPr>
          <w:rFonts w:hint="eastAsia" w:ascii="宋体" w:hAnsi="宋体" w:eastAsia="宋体" w:cs="宋体"/>
          <w:b/>
          <w:bCs/>
          <w:color w:val="auto"/>
          <w:spacing w:val="0"/>
          <w:sz w:val="28"/>
          <w:szCs w:val="28"/>
          <w:highlight w:val="none"/>
        </w:rPr>
        <w:t>(三) 工程施工的义务和责任</w:t>
      </w:r>
    </w:p>
    <w:p w14:paraId="1AC3BB42">
      <w:pPr>
        <w:pageBreakBefore w:val="0"/>
        <w:kinsoku/>
        <w:wordWrap/>
        <w:overflowPunct/>
        <w:topLinePunct w:val="0"/>
        <w:bidi w:val="0"/>
        <w:spacing w:line="500" w:lineRule="exact"/>
        <w:ind w:left="0" w:right="0"/>
        <w:rPr>
          <w:rFonts w:hint="eastAsia" w:ascii="宋体" w:hAnsi="宋体" w:eastAsia="宋体" w:cs="宋体"/>
          <w:color w:val="auto"/>
          <w:spacing w:val="0"/>
          <w:sz w:val="28"/>
          <w:szCs w:val="28"/>
          <w:highlight w:val="none"/>
        </w:rPr>
      </w:pPr>
      <w:r>
        <w:rPr>
          <w:rFonts w:hint="eastAsia" w:ascii="宋体" w:hAnsi="宋体" w:eastAsia="宋体" w:cs="宋体"/>
          <w:color w:val="auto"/>
          <w:spacing w:val="0"/>
          <w:sz w:val="28"/>
          <w:szCs w:val="28"/>
          <w:highlight w:val="none"/>
        </w:rPr>
        <w:t>　　(1) 承包人应负责施工场地内部的水、电等施工管、线路的铺、架设及其费用，并按供电部门规定向供电部门(或</w:t>
      </w:r>
      <w:r>
        <w:rPr>
          <w:rFonts w:hint="eastAsia" w:ascii="宋体" w:hAnsi="宋体" w:eastAsia="宋体" w:cs="宋体"/>
          <w:color w:val="auto"/>
          <w:spacing w:val="0"/>
          <w:sz w:val="28"/>
          <w:szCs w:val="28"/>
          <w:highlight w:val="none"/>
          <w:lang w:eastAsia="zh-CN"/>
        </w:rPr>
        <w:t>建设单位</w:t>
      </w:r>
      <w:r>
        <w:rPr>
          <w:rFonts w:hint="eastAsia" w:ascii="宋体" w:hAnsi="宋体" w:eastAsia="宋体" w:cs="宋体"/>
          <w:color w:val="auto"/>
          <w:spacing w:val="0"/>
          <w:sz w:val="28"/>
          <w:szCs w:val="28"/>
          <w:highlight w:val="none"/>
        </w:rPr>
        <w:t>) 交纳水、电费。</w:t>
      </w:r>
      <w:r>
        <w:rPr>
          <w:rFonts w:hint="eastAsia" w:ascii="宋体" w:hAnsi="宋体" w:eastAsia="宋体" w:cs="宋体"/>
          <w:color w:val="auto"/>
          <w:spacing w:val="0"/>
          <w:sz w:val="28"/>
          <w:szCs w:val="28"/>
          <w:highlight w:val="none"/>
          <w:lang w:eastAsia="zh-CN"/>
        </w:rPr>
        <w:t>建设单位</w:t>
      </w:r>
      <w:r>
        <w:rPr>
          <w:rFonts w:hint="eastAsia" w:ascii="宋体" w:hAnsi="宋体" w:eastAsia="宋体" w:cs="宋体"/>
          <w:color w:val="auto"/>
          <w:spacing w:val="0"/>
          <w:sz w:val="28"/>
          <w:szCs w:val="28"/>
          <w:highlight w:val="none"/>
        </w:rPr>
        <w:t>提供的接电点在签订合同时明确。另外，施工通讯及设施由承包人负责并承担费用。</w:t>
      </w:r>
    </w:p>
    <w:p w14:paraId="25B76C5C">
      <w:pPr>
        <w:pageBreakBefore w:val="0"/>
        <w:kinsoku/>
        <w:wordWrap/>
        <w:overflowPunct/>
        <w:topLinePunct w:val="0"/>
        <w:bidi w:val="0"/>
        <w:spacing w:line="500" w:lineRule="exact"/>
        <w:ind w:left="0" w:right="0"/>
        <w:rPr>
          <w:rFonts w:hint="eastAsia" w:ascii="宋体" w:hAnsi="宋体" w:eastAsia="宋体" w:cs="宋体"/>
          <w:color w:val="auto"/>
          <w:spacing w:val="0"/>
          <w:sz w:val="28"/>
          <w:szCs w:val="28"/>
          <w:highlight w:val="none"/>
        </w:rPr>
      </w:pPr>
      <w:r>
        <w:rPr>
          <w:rFonts w:hint="eastAsia" w:ascii="宋体" w:hAnsi="宋体" w:eastAsia="宋体" w:cs="宋体"/>
          <w:color w:val="auto"/>
          <w:spacing w:val="0"/>
          <w:sz w:val="28"/>
          <w:szCs w:val="28"/>
          <w:highlight w:val="none"/>
        </w:rPr>
        <w:t>　　(2) 除民房外、承包人应按监理人的指示负责拆除、清理已征用土地范围内的地上地下附属物，例如： 旧基础、旧石墙、旧管道、杂物、竹木、蕉木、树木、树(竹)根、杂草等，为施工需要或施工原因采取临时渡汛措施并承担其费用。</w:t>
      </w:r>
    </w:p>
    <w:p w14:paraId="1BF9DC7D">
      <w:pPr>
        <w:pageBreakBefore w:val="0"/>
        <w:kinsoku/>
        <w:wordWrap/>
        <w:overflowPunct/>
        <w:topLinePunct w:val="0"/>
        <w:bidi w:val="0"/>
        <w:spacing w:line="500" w:lineRule="exact"/>
        <w:ind w:left="0" w:right="0" w:firstLine="560" w:firstLineChars="200"/>
        <w:rPr>
          <w:rFonts w:hint="eastAsia" w:ascii="宋体" w:hAnsi="宋体" w:eastAsia="宋体" w:cs="宋体"/>
          <w:color w:val="auto"/>
          <w:spacing w:val="0"/>
          <w:sz w:val="28"/>
          <w:szCs w:val="28"/>
          <w:highlight w:val="none"/>
        </w:rPr>
      </w:pPr>
      <w:r>
        <w:rPr>
          <w:rFonts w:hint="eastAsia" w:ascii="宋体" w:hAnsi="宋体" w:eastAsia="宋体" w:cs="宋体"/>
          <w:color w:val="auto"/>
          <w:spacing w:val="0"/>
          <w:sz w:val="28"/>
          <w:szCs w:val="28"/>
          <w:highlight w:val="none"/>
        </w:rPr>
        <w:t>(3)承包人因施工需要所采取的安全防护费用由承包人承担。</w:t>
      </w:r>
    </w:p>
    <w:p w14:paraId="58357D31">
      <w:pPr>
        <w:pageBreakBefore w:val="0"/>
        <w:kinsoku/>
        <w:wordWrap/>
        <w:overflowPunct/>
        <w:topLinePunct w:val="0"/>
        <w:bidi w:val="0"/>
        <w:spacing w:line="500" w:lineRule="exact"/>
        <w:ind w:left="0" w:right="0"/>
        <w:rPr>
          <w:rFonts w:hint="eastAsia" w:ascii="宋体" w:hAnsi="宋体" w:eastAsia="宋体" w:cs="宋体"/>
          <w:color w:val="auto"/>
          <w:spacing w:val="0"/>
          <w:sz w:val="28"/>
          <w:szCs w:val="28"/>
          <w:highlight w:val="none"/>
        </w:rPr>
      </w:pPr>
      <w:r>
        <w:rPr>
          <w:rFonts w:hint="eastAsia" w:ascii="宋体" w:hAnsi="宋体" w:eastAsia="宋体" w:cs="宋体"/>
          <w:color w:val="auto"/>
          <w:spacing w:val="0"/>
          <w:sz w:val="28"/>
          <w:szCs w:val="28"/>
          <w:highlight w:val="none"/>
        </w:rPr>
        <w:t>　　(4) 承包人应充分理解有一些设施(如施工道路、桥梁) 可能会有其它人和单位使用通行，在使用过程中发生干扰或纠纷时，承包人自行协调处理并承担相应费用。承包人应充分理解在施工过程中涉及材料和土方运输、施工车辆及人员可能会与其它人和单位发生干扰或纠纷，承包人自行协调处理并承担相应费用。</w:t>
      </w:r>
    </w:p>
    <w:p w14:paraId="2A117C71">
      <w:pPr>
        <w:pageBreakBefore w:val="0"/>
        <w:kinsoku/>
        <w:wordWrap/>
        <w:overflowPunct/>
        <w:topLinePunct w:val="0"/>
        <w:bidi w:val="0"/>
        <w:spacing w:line="500" w:lineRule="exact"/>
        <w:ind w:left="0" w:right="0"/>
        <w:rPr>
          <w:rFonts w:hint="eastAsia" w:ascii="宋体" w:hAnsi="宋体" w:eastAsia="宋体" w:cs="宋体"/>
          <w:color w:val="auto"/>
          <w:spacing w:val="0"/>
          <w:sz w:val="28"/>
          <w:szCs w:val="28"/>
          <w:highlight w:val="none"/>
        </w:rPr>
      </w:pPr>
      <w:r>
        <w:rPr>
          <w:rFonts w:hint="eastAsia" w:ascii="宋体" w:hAnsi="宋体" w:eastAsia="宋体" w:cs="宋体"/>
          <w:color w:val="auto"/>
          <w:spacing w:val="0"/>
          <w:sz w:val="28"/>
          <w:szCs w:val="28"/>
          <w:highlight w:val="none"/>
        </w:rPr>
        <w:t>　　(5)承包人将租用临时用地费用列入报价的“临时工程费”内。</w:t>
      </w:r>
    </w:p>
    <w:p w14:paraId="4FC6A692">
      <w:pPr>
        <w:pageBreakBefore w:val="0"/>
        <w:kinsoku/>
        <w:wordWrap/>
        <w:overflowPunct/>
        <w:topLinePunct w:val="0"/>
        <w:bidi w:val="0"/>
        <w:spacing w:line="500" w:lineRule="exact"/>
        <w:ind w:left="0" w:right="0"/>
        <w:rPr>
          <w:rFonts w:hint="eastAsia" w:ascii="宋体" w:hAnsi="宋体" w:eastAsia="宋体" w:cs="宋体"/>
          <w:color w:val="auto"/>
          <w:spacing w:val="0"/>
          <w:sz w:val="28"/>
          <w:szCs w:val="28"/>
          <w:highlight w:val="none"/>
        </w:rPr>
      </w:pPr>
      <w:r>
        <w:rPr>
          <w:rFonts w:hint="eastAsia" w:ascii="宋体" w:hAnsi="宋体" w:eastAsia="宋体" w:cs="宋体"/>
          <w:color w:val="auto"/>
          <w:spacing w:val="0"/>
          <w:sz w:val="28"/>
          <w:szCs w:val="28"/>
          <w:highlight w:val="none"/>
        </w:rPr>
        <w:t>　　(6)承包人负责工程取土场地的落实和取土手续的办理。</w:t>
      </w:r>
    </w:p>
    <w:p w14:paraId="2E7496E8">
      <w:pPr>
        <w:pageBreakBefore w:val="0"/>
        <w:kinsoku/>
        <w:wordWrap/>
        <w:overflowPunct/>
        <w:topLinePunct w:val="0"/>
        <w:bidi w:val="0"/>
        <w:spacing w:line="500" w:lineRule="exact"/>
        <w:ind w:left="0" w:right="0"/>
        <w:rPr>
          <w:rFonts w:hint="eastAsia" w:ascii="宋体" w:hAnsi="宋体" w:eastAsia="宋体" w:cs="宋体"/>
          <w:color w:val="auto"/>
          <w:spacing w:val="0"/>
          <w:sz w:val="28"/>
          <w:szCs w:val="28"/>
          <w:highlight w:val="none"/>
        </w:rPr>
      </w:pPr>
      <w:r>
        <w:rPr>
          <w:rFonts w:hint="eastAsia" w:ascii="宋体" w:hAnsi="宋体" w:eastAsia="宋体" w:cs="宋体"/>
          <w:color w:val="auto"/>
          <w:spacing w:val="0"/>
          <w:sz w:val="28"/>
          <w:szCs w:val="28"/>
          <w:highlight w:val="none"/>
        </w:rPr>
        <w:t>　　(7) 承包人应为监理、质监、</w:t>
      </w:r>
      <w:r>
        <w:rPr>
          <w:rFonts w:hint="eastAsia" w:ascii="宋体" w:hAnsi="宋体" w:eastAsia="宋体" w:cs="宋体"/>
          <w:color w:val="auto"/>
          <w:spacing w:val="0"/>
          <w:sz w:val="28"/>
          <w:szCs w:val="28"/>
          <w:highlight w:val="none"/>
          <w:lang w:eastAsia="zh-CN"/>
        </w:rPr>
        <w:t>建设单位</w:t>
      </w:r>
      <w:r>
        <w:rPr>
          <w:rFonts w:hint="eastAsia" w:ascii="宋体" w:hAnsi="宋体" w:eastAsia="宋体" w:cs="宋体"/>
          <w:color w:val="auto"/>
          <w:spacing w:val="0"/>
          <w:sz w:val="28"/>
          <w:szCs w:val="28"/>
          <w:highlight w:val="none"/>
        </w:rPr>
        <w:t>现场代表对施工现场的检查监督提供必要的配合，并对这种配合对施工的影响应有充分的考虑。</w:t>
      </w:r>
    </w:p>
    <w:p w14:paraId="7890EC8B">
      <w:pPr>
        <w:pageBreakBefore w:val="0"/>
        <w:kinsoku/>
        <w:wordWrap/>
        <w:overflowPunct/>
        <w:topLinePunct w:val="0"/>
        <w:bidi w:val="0"/>
        <w:spacing w:line="500" w:lineRule="exact"/>
        <w:ind w:left="0" w:right="0"/>
        <w:rPr>
          <w:rFonts w:hint="eastAsia" w:ascii="宋体" w:hAnsi="宋体" w:eastAsia="宋体" w:cs="宋体"/>
          <w:color w:val="auto"/>
          <w:spacing w:val="0"/>
          <w:sz w:val="28"/>
          <w:szCs w:val="28"/>
          <w:highlight w:val="none"/>
        </w:rPr>
      </w:pPr>
      <w:r>
        <w:rPr>
          <w:rFonts w:hint="eastAsia" w:ascii="宋体" w:hAnsi="宋体" w:eastAsia="宋体" w:cs="宋体"/>
          <w:color w:val="auto"/>
          <w:spacing w:val="0"/>
          <w:sz w:val="28"/>
          <w:szCs w:val="28"/>
          <w:highlight w:val="none"/>
        </w:rPr>
        <w:t>　　(8)工程竣工后，承包人应按监理人的指示清理施工现场直至监理人、</w:t>
      </w:r>
      <w:r>
        <w:rPr>
          <w:rFonts w:hint="eastAsia" w:ascii="宋体" w:hAnsi="宋体" w:eastAsia="宋体" w:cs="宋体"/>
          <w:color w:val="auto"/>
          <w:spacing w:val="0"/>
          <w:sz w:val="28"/>
          <w:szCs w:val="28"/>
          <w:highlight w:val="none"/>
          <w:lang w:eastAsia="zh-CN"/>
        </w:rPr>
        <w:t>建设单位</w:t>
      </w:r>
      <w:r>
        <w:rPr>
          <w:rFonts w:hint="eastAsia" w:ascii="宋体" w:hAnsi="宋体" w:eastAsia="宋体" w:cs="宋体"/>
          <w:color w:val="auto"/>
          <w:spacing w:val="0"/>
          <w:sz w:val="28"/>
          <w:szCs w:val="28"/>
          <w:highlight w:val="none"/>
        </w:rPr>
        <w:t>满意为止。</w:t>
      </w:r>
    </w:p>
    <w:p w14:paraId="132542F6">
      <w:pPr>
        <w:pageBreakBefore w:val="0"/>
        <w:kinsoku/>
        <w:wordWrap/>
        <w:overflowPunct/>
        <w:topLinePunct w:val="0"/>
        <w:bidi w:val="0"/>
        <w:spacing w:line="500" w:lineRule="exact"/>
        <w:ind w:left="0" w:right="0"/>
        <w:rPr>
          <w:rFonts w:hint="eastAsia" w:ascii="宋体" w:hAnsi="宋体" w:eastAsia="宋体" w:cs="宋体"/>
          <w:color w:val="auto"/>
          <w:spacing w:val="0"/>
          <w:sz w:val="28"/>
          <w:szCs w:val="28"/>
          <w:highlight w:val="none"/>
        </w:rPr>
      </w:pPr>
      <w:r>
        <w:rPr>
          <w:rFonts w:hint="eastAsia" w:ascii="宋体" w:hAnsi="宋体" w:eastAsia="宋体" w:cs="宋体"/>
          <w:color w:val="auto"/>
          <w:spacing w:val="0"/>
          <w:sz w:val="28"/>
          <w:szCs w:val="28"/>
          <w:highlight w:val="none"/>
        </w:rPr>
        <w:t>　　(9) 对上述(1)~(8) 项工作,费用已包括在有关单价和总价中，</w:t>
      </w:r>
      <w:r>
        <w:rPr>
          <w:rFonts w:hint="eastAsia" w:ascii="宋体" w:hAnsi="宋体" w:eastAsia="宋体" w:cs="宋体"/>
          <w:color w:val="auto"/>
          <w:spacing w:val="0"/>
          <w:sz w:val="28"/>
          <w:szCs w:val="28"/>
          <w:highlight w:val="none"/>
          <w:lang w:eastAsia="zh-CN"/>
        </w:rPr>
        <w:t>建设单位</w:t>
      </w:r>
      <w:r>
        <w:rPr>
          <w:rFonts w:hint="eastAsia" w:ascii="宋体" w:hAnsi="宋体" w:eastAsia="宋体" w:cs="宋体"/>
          <w:color w:val="auto"/>
          <w:spacing w:val="0"/>
          <w:sz w:val="28"/>
          <w:szCs w:val="28"/>
          <w:highlight w:val="none"/>
        </w:rPr>
        <w:t>不再另行支付由此所发生的一切费用。</w:t>
      </w:r>
    </w:p>
    <w:p w14:paraId="543E3983">
      <w:pPr>
        <w:pageBreakBefore w:val="0"/>
        <w:kinsoku/>
        <w:wordWrap/>
        <w:overflowPunct/>
        <w:topLinePunct w:val="0"/>
        <w:bidi w:val="0"/>
        <w:spacing w:line="500" w:lineRule="exact"/>
        <w:ind w:left="0" w:right="0"/>
        <w:rPr>
          <w:rFonts w:hint="eastAsia" w:ascii="宋体" w:hAnsi="宋体" w:eastAsia="宋体" w:cs="宋体"/>
          <w:color w:val="auto"/>
          <w:spacing w:val="0"/>
          <w:sz w:val="28"/>
          <w:szCs w:val="28"/>
          <w:highlight w:val="none"/>
        </w:rPr>
      </w:pPr>
      <w:r>
        <w:rPr>
          <w:rFonts w:hint="eastAsia" w:ascii="宋体" w:hAnsi="宋体" w:eastAsia="宋体" w:cs="宋体"/>
          <w:color w:val="auto"/>
          <w:spacing w:val="0"/>
          <w:sz w:val="28"/>
          <w:szCs w:val="28"/>
          <w:highlight w:val="none"/>
        </w:rPr>
        <w:t>　　(10)经过公路、城市道路的施工车辆，必须按交警、城管、环保、环卫等部门规定执行。施工车辆的营运手续办理、清洗等一切费用由承包人承担。由于车辆超载、带泥或洒漏造成的道路损坏、环境污染等，其责任和费用均由承包人承担。</w:t>
      </w:r>
    </w:p>
    <w:p w14:paraId="3AB95E8F">
      <w:pPr>
        <w:pageBreakBefore w:val="0"/>
        <w:kinsoku/>
        <w:wordWrap/>
        <w:overflowPunct/>
        <w:topLinePunct w:val="0"/>
        <w:bidi w:val="0"/>
        <w:spacing w:line="500" w:lineRule="exact"/>
        <w:ind w:left="0" w:right="0"/>
        <w:rPr>
          <w:rFonts w:hint="eastAsia" w:ascii="宋体" w:hAnsi="宋体" w:eastAsia="宋体" w:cs="宋体"/>
          <w:color w:val="auto"/>
          <w:spacing w:val="0"/>
          <w:sz w:val="28"/>
          <w:szCs w:val="28"/>
          <w:highlight w:val="none"/>
        </w:rPr>
      </w:pPr>
      <w:r>
        <w:rPr>
          <w:rFonts w:hint="eastAsia" w:ascii="宋体" w:hAnsi="宋体" w:eastAsia="宋体" w:cs="宋体"/>
          <w:color w:val="auto"/>
          <w:spacing w:val="0"/>
          <w:sz w:val="28"/>
          <w:szCs w:val="28"/>
          <w:highlight w:val="none"/>
        </w:rPr>
        <w:t>　　(11) 承包人必须文明、安全施工，在施工期间发生的一切人员伤亡和财产损失等责任事故和所发生的一切费用概由承包人承担。</w:t>
      </w:r>
    </w:p>
    <w:p w14:paraId="159E089B">
      <w:pPr>
        <w:pageBreakBefore w:val="0"/>
        <w:kinsoku/>
        <w:wordWrap/>
        <w:overflowPunct/>
        <w:topLinePunct w:val="0"/>
        <w:bidi w:val="0"/>
        <w:spacing w:line="500" w:lineRule="exact"/>
        <w:ind w:left="0" w:right="0"/>
        <w:rPr>
          <w:rFonts w:hint="eastAsia" w:ascii="宋体" w:hAnsi="宋体" w:eastAsia="宋体" w:cs="宋体"/>
          <w:color w:val="auto"/>
          <w:spacing w:val="0"/>
          <w:sz w:val="28"/>
          <w:szCs w:val="28"/>
          <w:highlight w:val="none"/>
        </w:rPr>
      </w:pPr>
      <w:r>
        <w:rPr>
          <w:rFonts w:hint="eastAsia" w:ascii="宋体" w:hAnsi="宋体" w:eastAsia="宋体" w:cs="宋体"/>
          <w:color w:val="auto"/>
          <w:spacing w:val="0"/>
          <w:sz w:val="28"/>
          <w:szCs w:val="28"/>
          <w:highlight w:val="none"/>
        </w:rPr>
        <w:t>　　(12) 按照</w:t>
      </w:r>
      <w:r>
        <w:rPr>
          <w:rFonts w:hint="eastAsia" w:ascii="宋体" w:hAnsi="宋体" w:eastAsia="宋体" w:cs="宋体"/>
          <w:color w:val="auto"/>
          <w:spacing w:val="0"/>
          <w:sz w:val="28"/>
          <w:szCs w:val="28"/>
          <w:highlight w:val="none"/>
          <w:lang w:eastAsia="zh-CN"/>
        </w:rPr>
        <w:t>建设单位</w:t>
      </w:r>
      <w:r>
        <w:rPr>
          <w:rFonts w:hint="eastAsia" w:ascii="宋体" w:hAnsi="宋体" w:eastAsia="宋体" w:cs="宋体"/>
          <w:color w:val="auto"/>
          <w:spacing w:val="0"/>
          <w:sz w:val="28"/>
          <w:szCs w:val="28"/>
          <w:highlight w:val="none"/>
        </w:rPr>
        <w:t>的要求作好安全文明宣传、领导检查宣传等工作，相关费用由承包人承担。</w:t>
      </w:r>
    </w:p>
    <w:p w14:paraId="482EC815">
      <w:pPr>
        <w:pageBreakBefore w:val="0"/>
        <w:kinsoku/>
        <w:wordWrap/>
        <w:overflowPunct/>
        <w:topLinePunct w:val="0"/>
        <w:bidi w:val="0"/>
        <w:spacing w:line="500" w:lineRule="exact"/>
        <w:ind w:left="0" w:right="0"/>
        <w:rPr>
          <w:rFonts w:hint="eastAsia" w:ascii="宋体" w:hAnsi="宋体" w:eastAsia="宋体" w:cs="宋体"/>
          <w:color w:val="auto"/>
          <w:spacing w:val="0"/>
          <w:sz w:val="28"/>
          <w:szCs w:val="28"/>
          <w:highlight w:val="none"/>
        </w:rPr>
      </w:pPr>
      <w:r>
        <w:rPr>
          <w:rFonts w:hint="eastAsia" w:ascii="宋体" w:hAnsi="宋体" w:eastAsia="宋体" w:cs="宋体"/>
          <w:color w:val="auto"/>
          <w:spacing w:val="0"/>
          <w:sz w:val="28"/>
          <w:szCs w:val="28"/>
          <w:highlight w:val="none"/>
        </w:rPr>
        <w:t>　　(13)承包人应按约定时间和要求，完成以下工作：</w:t>
      </w:r>
    </w:p>
    <w:p w14:paraId="2CDDFCE7">
      <w:pPr>
        <w:pageBreakBefore w:val="0"/>
        <w:kinsoku/>
        <w:wordWrap/>
        <w:overflowPunct/>
        <w:topLinePunct w:val="0"/>
        <w:bidi w:val="0"/>
        <w:spacing w:line="500" w:lineRule="exact"/>
        <w:ind w:left="0" w:right="0"/>
        <w:rPr>
          <w:rFonts w:hint="eastAsia" w:ascii="宋体" w:hAnsi="宋体" w:eastAsia="宋体" w:cs="宋体"/>
          <w:color w:val="auto"/>
          <w:spacing w:val="0"/>
          <w:sz w:val="28"/>
          <w:szCs w:val="28"/>
          <w:highlight w:val="none"/>
        </w:rPr>
      </w:pPr>
      <w:r>
        <w:rPr>
          <w:rFonts w:hint="eastAsia" w:ascii="宋体" w:hAnsi="宋体" w:eastAsia="宋体" w:cs="宋体"/>
          <w:color w:val="auto"/>
          <w:spacing w:val="0"/>
          <w:sz w:val="28"/>
          <w:szCs w:val="28"/>
          <w:highlight w:val="none"/>
        </w:rPr>
        <w:t>　　①按时提交施工组织设计、单位工程的施工方案。</w:t>
      </w:r>
    </w:p>
    <w:p w14:paraId="02011635">
      <w:pPr>
        <w:pageBreakBefore w:val="0"/>
        <w:kinsoku/>
        <w:wordWrap/>
        <w:overflowPunct/>
        <w:topLinePunct w:val="0"/>
        <w:bidi w:val="0"/>
        <w:spacing w:line="500" w:lineRule="exact"/>
        <w:ind w:left="0" w:right="0"/>
        <w:rPr>
          <w:rFonts w:hint="eastAsia" w:ascii="宋体" w:hAnsi="宋体" w:eastAsia="宋体" w:cs="宋体"/>
          <w:color w:val="auto"/>
          <w:spacing w:val="0"/>
          <w:sz w:val="28"/>
          <w:szCs w:val="28"/>
          <w:highlight w:val="none"/>
        </w:rPr>
      </w:pPr>
      <w:r>
        <w:rPr>
          <w:rFonts w:hint="eastAsia" w:ascii="宋体" w:hAnsi="宋体" w:eastAsia="宋体" w:cs="宋体"/>
          <w:color w:val="auto"/>
          <w:spacing w:val="0"/>
          <w:sz w:val="28"/>
          <w:szCs w:val="28"/>
          <w:highlight w:val="none"/>
        </w:rPr>
        <w:t>　　②每月20 日向监理人提交当月工程进度报表及下月进度计划。</w:t>
      </w:r>
    </w:p>
    <w:p w14:paraId="11F99F3B">
      <w:pPr>
        <w:pageBreakBefore w:val="0"/>
        <w:kinsoku/>
        <w:wordWrap/>
        <w:overflowPunct/>
        <w:topLinePunct w:val="0"/>
        <w:bidi w:val="0"/>
        <w:spacing w:line="500" w:lineRule="exact"/>
        <w:ind w:left="0" w:right="0"/>
        <w:rPr>
          <w:rFonts w:hint="eastAsia" w:ascii="宋体" w:hAnsi="宋体" w:eastAsia="宋体" w:cs="宋体"/>
          <w:color w:val="auto"/>
          <w:spacing w:val="0"/>
          <w:sz w:val="28"/>
          <w:szCs w:val="28"/>
          <w:highlight w:val="none"/>
        </w:rPr>
      </w:pPr>
      <w:r>
        <w:rPr>
          <w:rFonts w:hint="eastAsia" w:ascii="宋体" w:hAnsi="宋体" w:eastAsia="宋体" w:cs="宋体"/>
          <w:color w:val="auto"/>
          <w:spacing w:val="0"/>
          <w:sz w:val="28"/>
          <w:szCs w:val="28"/>
          <w:highlight w:val="none"/>
        </w:rPr>
        <w:t>　　③承包人自行负责施工安全保卫工作及夜间施工照明。</w:t>
      </w:r>
    </w:p>
    <w:p w14:paraId="45D0371C">
      <w:pPr>
        <w:pageBreakBefore w:val="0"/>
        <w:kinsoku/>
        <w:wordWrap/>
        <w:overflowPunct/>
        <w:topLinePunct w:val="0"/>
        <w:bidi w:val="0"/>
        <w:spacing w:line="500" w:lineRule="exact"/>
        <w:ind w:left="0" w:right="0"/>
        <w:rPr>
          <w:rFonts w:hint="eastAsia" w:ascii="宋体" w:hAnsi="宋体" w:eastAsia="宋体" w:cs="宋体"/>
          <w:color w:val="auto"/>
          <w:spacing w:val="0"/>
          <w:sz w:val="28"/>
          <w:szCs w:val="28"/>
          <w:highlight w:val="none"/>
        </w:rPr>
      </w:pPr>
      <w:r>
        <w:rPr>
          <w:rFonts w:hint="eastAsia" w:ascii="宋体" w:hAnsi="宋体" w:eastAsia="宋体" w:cs="宋体"/>
          <w:color w:val="auto"/>
          <w:spacing w:val="0"/>
          <w:sz w:val="28"/>
          <w:szCs w:val="28"/>
          <w:highlight w:val="none"/>
        </w:rPr>
        <w:t>　　④需承包人办理的有关施工场地交通、环卫和施工噪音管理等手续：遵守有关部门对施工现场交通、环卫和施工噪音管理规定，如有发生，费用由承包人承担。</w:t>
      </w:r>
    </w:p>
    <w:p w14:paraId="569A304B">
      <w:pPr>
        <w:pageBreakBefore w:val="0"/>
        <w:kinsoku/>
        <w:wordWrap/>
        <w:overflowPunct/>
        <w:topLinePunct w:val="0"/>
        <w:bidi w:val="0"/>
        <w:spacing w:line="500" w:lineRule="exact"/>
        <w:ind w:left="0" w:right="0"/>
        <w:rPr>
          <w:rFonts w:hint="eastAsia" w:ascii="宋体" w:hAnsi="宋体" w:eastAsia="宋体" w:cs="宋体"/>
          <w:color w:val="auto"/>
          <w:spacing w:val="0"/>
          <w:sz w:val="28"/>
          <w:szCs w:val="28"/>
          <w:highlight w:val="none"/>
        </w:rPr>
      </w:pPr>
      <w:r>
        <w:rPr>
          <w:rFonts w:hint="eastAsia" w:ascii="宋体" w:hAnsi="宋体" w:eastAsia="宋体" w:cs="宋体"/>
          <w:color w:val="auto"/>
          <w:spacing w:val="0"/>
          <w:sz w:val="28"/>
          <w:szCs w:val="28"/>
          <w:highlight w:val="none"/>
        </w:rPr>
        <w:t>　　⑤已完工程成品保护的特殊要求及费用承担： 已竣工工程未交付</w:t>
      </w:r>
      <w:r>
        <w:rPr>
          <w:rFonts w:hint="eastAsia" w:ascii="宋体" w:hAnsi="宋体" w:eastAsia="宋体" w:cs="宋体"/>
          <w:color w:val="auto"/>
          <w:spacing w:val="0"/>
          <w:sz w:val="28"/>
          <w:szCs w:val="28"/>
          <w:highlight w:val="none"/>
          <w:lang w:eastAsia="zh-CN"/>
        </w:rPr>
        <w:t>建设单位</w:t>
      </w:r>
      <w:r>
        <w:rPr>
          <w:rFonts w:hint="eastAsia" w:ascii="宋体" w:hAnsi="宋体" w:eastAsia="宋体" w:cs="宋体"/>
          <w:color w:val="auto"/>
          <w:spacing w:val="0"/>
          <w:sz w:val="28"/>
          <w:szCs w:val="28"/>
          <w:highlight w:val="none"/>
        </w:rPr>
        <w:t>之前，承包人按协议条款约定负责已完成工程的成品保护工作，保护期间发生损坏，承包人自费予以修复。</w:t>
      </w:r>
    </w:p>
    <w:p w14:paraId="2713DE6F">
      <w:pPr>
        <w:pageBreakBefore w:val="0"/>
        <w:kinsoku/>
        <w:wordWrap/>
        <w:overflowPunct/>
        <w:topLinePunct w:val="0"/>
        <w:bidi w:val="0"/>
        <w:spacing w:line="500" w:lineRule="exact"/>
        <w:ind w:left="0" w:right="0"/>
        <w:rPr>
          <w:rFonts w:hint="eastAsia" w:ascii="宋体" w:hAnsi="宋体" w:eastAsia="宋体" w:cs="宋体"/>
          <w:color w:val="auto"/>
          <w:spacing w:val="0"/>
          <w:sz w:val="28"/>
          <w:szCs w:val="28"/>
          <w:highlight w:val="none"/>
        </w:rPr>
      </w:pPr>
      <w:r>
        <w:rPr>
          <w:rFonts w:hint="eastAsia" w:ascii="宋体" w:hAnsi="宋体" w:eastAsia="宋体" w:cs="宋体"/>
          <w:color w:val="auto"/>
          <w:spacing w:val="0"/>
          <w:sz w:val="28"/>
          <w:szCs w:val="28"/>
          <w:highlight w:val="none"/>
        </w:rPr>
        <w:t>　　⑥承包人有义务对施工场地周围管线(含地上及地下)和邻近建筑物、构筑物(含文物保护建筑)、古树名木等进行探明并负责保护。</w:t>
      </w:r>
    </w:p>
    <w:p w14:paraId="678B13EA">
      <w:pPr>
        <w:pageBreakBefore w:val="0"/>
        <w:kinsoku/>
        <w:wordWrap/>
        <w:overflowPunct/>
        <w:topLinePunct w:val="0"/>
        <w:bidi w:val="0"/>
        <w:spacing w:line="500" w:lineRule="exact"/>
        <w:ind w:left="0" w:right="0"/>
        <w:rPr>
          <w:rFonts w:hint="eastAsia" w:ascii="宋体" w:hAnsi="宋体" w:eastAsia="宋体" w:cs="宋体"/>
          <w:color w:val="auto"/>
          <w:spacing w:val="0"/>
          <w:sz w:val="28"/>
          <w:szCs w:val="28"/>
          <w:highlight w:val="none"/>
        </w:rPr>
      </w:pPr>
      <w:r>
        <w:rPr>
          <w:rFonts w:hint="eastAsia" w:ascii="宋体" w:hAnsi="宋体" w:eastAsia="宋体" w:cs="宋体"/>
          <w:color w:val="auto"/>
          <w:spacing w:val="0"/>
          <w:sz w:val="28"/>
          <w:szCs w:val="28"/>
          <w:highlight w:val="none"/>
        </w:rPr>
        <w:t>　　⑦施工场地清洁卫生的要求：按城建卫生有关规定执行，由承包人负责，费用由承包人承担。</w:t>
      </w:r>
    </w:p>
    <w:p w14:paraId="7F6D618A">
      <w:pPr>
        <w:pageBreakBefore w:val="0"/>
        <w:kinsoku/>
        <w:wordWrap/>
        <w:overflowPunct/>
        <w:topLinePunct w:val="0"/>
        <w:bidi w:val="0"/>
        <w:spacing w:line="500" w:lineRule="exact"/>
        <w:ind w:left="0" w:right="0"/>
        <w:rPr>
          <w:rFonts w:hint="eastAsia" w:ascii="宋体" w:hAnsi="宋体" w:eastAsia="宋体" w:cs="宋体"/>
          <w:color w:val="auto"/>
          <w:spacing w:val="0"/>
          <w:sz w:val="28"/>
          <w:szCs w:val="28"/>
          <w:highlight w:val="none"/>
        </w:rPr>
      </w:pPr>
      <w:r>
        <w:rPr>
          <w:rFonts w:hint="eastAsia" w:ascii="宋体" w:hAnsi="宋体" w:eastAsia="宋体" w:cs="宋体"/>
          <w:color w:val="auto"/>
          <w:spacing w:val="0"/>
          <w:sz w:val="28"/>
          <w:szCs w:val="28"/>
          <w:highlight w:val="none"/>
        </w:rPr>
        <w:t>　　⑧承包人承担施工场地、水电及运输通道的修建和维护、清场等费用。</w:t>
      </w:r>
    </w:p>
    <w:p w14:paraId="69D1CEDF">
      <w:pPr>
        <w:pageBreakBefore w:val="0"/>
        <w:kinsoku/>
        <w:wordWrap/>
        <w:overflowPunct/>
        <w:topLinePunct w:val="0"/>
        <w:bidi w:val="0"/>
        <w:spacing w:line="500" w:lineRule="exact"/>
        <w:ind w:left="0" w:right="0"/>
        <w:rPr>
          <w:rFonts w:hint="eastAsia" w:ascii="宋体" w:hAnsi="宋体" w:eastAsia="宋体" w:cs="宋体"/>
          <w:color w:val="auto"/>
          <w:spacing w:val="0"/>
          <w:sz w:val="28"/>
          <w:szCs w:val="28"/>
          <w:highlight w:val="none"/>
        </w:rPr>
      </w:pPr>
      <w:r>
        <w:rPr>
          <w:rFonts w:hint="eastAsia" w:ascii="宋体" w:hAnsi="宋体" w:eastAsia="宋体" w:cs="宋体"/>
          <w:color w:val="auto"/>
          <w:spacing w:val="0"/>
          <w:sz w:val="28"/>
          <w:szCs w:val="28"/>
          <w:highlight w:val="none"/>
        </w:rPr>
        <w:t>　　(14)双方约定承包人应做的其他工作：</w:t>
      </w:r>
    </w:p>
    <w:p w14:paraId="1A75FBE4">
      <w:pPr>
        <w:pageBreakBefore w:val="0"/>
        <w:kinsoku/>
        <w:wordWrap/>
        <w:overflowPunct/>
        <w:topLinePunct w:val="0"/>
        <w:bidi w:val="0"/>
        <w:spacing w:line="500" w:lineRule="exact"/>
        <w:ind w:left="0" w:right="0"/>
        <w:rPr>
          <w:rFonts w:hint="eastAsia" w:ascii="宋体" w:hAnsi="宋体" w:eastAsia="宋体" w:cs="宋体"/>
          <w:color w:val="auto"/>
          <w:spacing w:val="0"/>
          <w:sz w:val="28"/>
          <w:szCs w:val="28"/>
          <w:highlight w:val="none"/>
        </w:rPr>
      </w:pPr>
      <w:r>
        <w:rPr>
          <w:rFonts w:hint="eastAsia" w:ascii="宋体" w:hAnsi="宋体" w:eastAsia="宋体" w:cs="宋体"/>
          <w:color w:val="auto"/>
          <w:spacing w:val="0"/>
          <w:sz w:val="28"/>
          <w:szCs w:val="28"/>
          <w:highlight w:val="none"/>
        </w:rPr>
        <w:t>　　①凡属于需要承包人交付给其他承包人的工作面以及与其他承包人交叉作业的工作面，承包人必须服从监理人的决定，按规定的完工日期完成并将清理好的工作面移交给</w:t>
      </w:r>
      <w:r>
        <w:rPr>
          <w:rFonts w:hint="eastAsia" w:ascii="宋体" w:hAnsi="宋体" w:eastAsia="宋体" w:cs="宋体"/>
          <w:color w:val="auto"/>
          <w:spacing w:val="0"/>
          <w:sz w:val="28"/>
          <w:szCs w:val="28"/>
          <w:highlight w:val="none"/>
          <w:lang w:eastAsia="zh-CN"/>
        </w:rPr>
        <w:t>建设单位</w:t>
      </w:r>
      <w:r>
        <w:rPr>
          <w:rFonts w:hint="eastAsia" w:ascii="宋体" w:hAnsi="宋体" w:eastAsia="宋体" w:cs="宋体"/>
          <w:color w:val="auto"/>
          <w:spacing w:val="0"/>
          <w:sz w:val="28"/>
          <w:szCs w:val="28"/>
          <w:highlight w:val="none"/>
        </w:rPr>
        <w:t>，并取得监理人的同意。</w:t>
      </w:r>
    </w:p>
    <w:p w14:paraId="045B9C88">
      <w:pPr>
        <w:pageBreakBefore w:val="0"/>
        <w:kinsoku/>
        <w:wordWrap/>
        <w:overflowPunct/>
        <w:topLinePunct w:val="0"/>
        <w:bidi w:val="0"/>
        <w:spacing w:line="500" w:lineRule="exact"/>
        <w:ind w:left="0" w:right="0"/>
        <w:rPr>
          <w:rFonts w:hint="eastAsia" w:ascii="宋体" w:hAnsi="宋体" w:eastAsia="宋体" w:cs="宋体"/>
          <w:color w:val="auto"/>
          <w:spacing w:val="0"/>
          <w:sz w:val="28"/>
          <w:szCs w:val="28"/>
          <w:highlight w:val="none"/>
        </w:rPr>
      </w:pPr>
      <w:r>
        <w:rPr>
          <w:rFonts w:hint="eastAsia" w:ascii="宋体" w:hAnsi="宋体" w:eastAsia="宋体" w:cs="宋体"/>
          <w:color w:val="auto"/>
          <w:spacing w:val="0"/>
          <w:sz w:val="28"/>
          <w:szCs w:val="28"/>
          <w:highlight w:val="none"/>
        </w:rPr>
        <w:t>　　②工程完工后，承包人应按监理人的指示清理施工现场。并在工程完工后 3 个月内完成并提交工程竣工资料和工程结算资料。承包人逾期提交，</w:t>
      </w:r>
      <w:r>
        <w:rPr>
          <w:rFonts w:hint="eastAsia" w:ascii="宋体" w:hAnsi="宋体" w:eastAsia="宋体" w:cs="宋体"/>
          <w:color w:val="auto"/>
          <w:spacing w:val="0"/>
          <w:sz w:val="28"/>
          <w:szCs w:val="28"/>
          <w:highlight w:val="none"/>
          <w:lang w:eastAsia="zh-CN"/>
        </w:rPr>
        <w:t>建设单位</w:t>
      </w:r>
      <w:r>
        <w:rPr>
          <w:rFonts w:hint="eastAsia" w:ascii="宋体" w:hAnsi="宋体" w:eastAsia="宋体" w:cs="宋体"/>
          <w:color w:val="auto"/>
          <w:spacing w:val="0"/>
          <w:sz w:val="28"/>
          <w:szCs w:val="28"/>
          <w:highlight w:val="none"/>
        </w:rPr>
        <w:t>将对承包人的拖延行为视为违约，并按1000元/天计算违约金，违约金从承包人应得的工程款中扣除，但其最终的累计总金额与各项逾期完工违约金合计不超过合同价格的 2％。</w:t>
      </w:r>
    </w:p>
    <w:p w14:paraId="25AF3521">
      <w:pPr>
        <w:pageBreakBefore w:val="0"/>
        <w:kinsoku/>
        <w:wordWrap/>
        <w:overflowPunct/>
        <w:topLinePunct w:val="0"/>
        <w:bidi w:val="0"/>
        <w:spacing w:line="500" w:lineRule="exact"/>
        <w:ind w:left="0" w:right="0" w:firstLine="280" w:firstLineChars="100"/>
        <w:rPr>
          <w:rFonts w:hint="eastAsia" w:ascii="宋体" w:hAnsi="宋体" w:eastAsia="宋体" w:cs="宋体"/>
          <w:color w:val="auto"/>
          <w:spacing w:val="0"/>
          <w:sz w:val="28"/>
          <w:szCs w:val="28"/>
          <w:highlight w:val="none"/>
        </w:rPr>
      </w:pPr>
      <w:r>
        <w:rPr>
          <w:rFonts w:hint="eastAsia" w:ascii="宋体" w:hAnsi="宋体" w:eastAsia="宋体" w:cs="宋体"/>
          <w:color w:val="auto"/>
          <w:spacing w:val="0"/>
          <w:sz w:val="28"/>
          <w:szCs w:val="28"/>
          <w:highlight w:val="none"/>
        </w:rPr>
        <w:t>（15）其他未尽事宜双方另行协商。</w:t>
      </w:r>
    </w:p>
    <w:p w14:paraId="6DD72385">
      <w:pPr>
        <w:pStyle w:val="116"/>
        <w:pageBreakBefore w:val="0"/>
        <w:kinsoku/>
        <w:wordWrap/>
        <w:overflowPunct/>
        <w:topLinePunct w:val="0"/>
        <w:bidi w:val="0"/>
        <w:spacing w:beforeLines="0" w:afterLines="0" w:line="500" w:lineRule="exact"/>
        <w:ind w:left="0" w:right="0"/>
        <w:rPr>
          <w:rFonts w:hint="eastAsia" w:ascii="宋体" w:hAnsi="宋体" w:eastAsia="宋体" w:cs="宋体"/>
          <w:color w:val="auto"/>
          <w:spacing w:val="0"/>
          <w:sz w:val="28"/>
          <w:szCs w:val="28"/>
          <w:highlight w:val="none"/>
          <w:lang w:eastAsia="zh-CN" w:bidi="en-US"/>
        </w:rPr>
      </w:pPr>
      <w:bookmarkStart w:id="151" w:name="_Toc14148"/>
      <w:bookmarkStart w:id="152" w:name="_Toc16128"/>
      <w:bookmarkStart w:id="153" w:name="_Toc22235"/>
      <w:bookmarkStart w:id="154" w:name="_Toc27453"/>
      <w:r>
        <w:rPr>
          <w:rFonts w:hint="eastAsia" w:ascii="宋体" w:hAnsi="宋体" w:eastAsia="宋体" w:cs="宋体"/>
          <w:color w:val="auto"/>
          <w:spacing w:val="0"/>
          <w:sz w:val="28"/>
          <w:szCs w:val="28"/>
          <w:highlight w:val="none"/>
          <w:lang w:eastAsia="zh-CN" w:bidi="en-US"/>
        </w:rPr>
        <w:t>4.3分包</w:t>
      </w:r>
      <w:bookmarkEnd w:id="151"/>
      <w:bookmarkEnd w:id="152"/>
      <w:bookmarkEnd w:id="153"/>
      <w:bookmarkEnd w:id="154"/>
    </w:p>
    <w:p w14:paraId="250E2F26">
      <w:pPr>
        <w:pStyle w:val="115"/>
        <w:pageBreakBefore w:val="0"/>
        <w:tabs>
          <w:tab w:val="left" w:pos="5849"/>
        </w:tabs>
        <w:kinsoku/>
        <w:wordWrap/>
        <w:overflowPunct/>
        <w:topLinePunct w:val="0"/>
        <w:bidi w:val="0"/>
        <w:spacing w:line="500" w:lineRule="exact"/>
        <w:ind w:left="0" w:right="0" w:firstLine="0"/>
        <w:jc w:val="both"/>
        <w:rPr>
          <w:rFonts w:hint="eastAsia" w:ascii="宋体" w:hAnsi="宋体" w:eastAsia="宋体" w:cs="宋体"/>
          <w:color w:val="auto"/>
          <w:spacing w:val="0"/>
          <w:sz w:val="28"/>
          <w:szCs w:val="28"/>
          <w:highlight w:val="none"/>
        </w:rPr>
      </w:pPr>
      <w:r>
        <w:rPr>
          <w:rFonts w:hint="eastAsia" w:ascii="宋体" w:hAnsi="宋体" w:eastAsia="宋体" w:cs="宋体"/>
          <w:color w:val="auto"/>
          <w:spacing w:val="0"/>
          <w:sz w:val="28"/>
          <w:szCs w:val="28"/>
          <w:highlight w:val="none"/>
          <w:lang w:val="en-US"/>
        </w:rPr>
        <w:t>　　4.3.</w:t>
      </w:r>
      <w:r>
        <w:rPr>
          <w:rFonts w:hint="eastAsia" w:ascii="宋体" w:hAnsi="宋体" w:eastAsia="宋体" w:cs="宋体"/>
          <w:color w:val="auto"/>
          <w:spacing w:val="0"/>
          <w:sz w:val="28"/>
          <w:szCs w:val="28"/>
          <w:highlight w:val="none"/>
        </w:rPr>
        <w:t>2本项目</w:t>
      </w:r>
      <w:r>
        <w:rPr>
          <w:rFonts w:hint="eastAsia" w:ascii="宋体" w:hAnsi="宋体" w:eastAsia="宋体" w:cs="宋体"/>
          <w:b/>
          <w:bCs/>
          <w:color w:val="auto"/>
          <w:spacing w:val="0"/>
          <w:sz w:val="28"/>
          <w:szCs w:val="28"/>
          <w:highlight w:val="none"/>
          <w:u w:val="single"/>
        </w:rPr>
        <w:t>不允许</w:t>
      </w:r>
      <w:r>
        <w:rPr>
          <w:rFonts w:hint="eastAsia" w:ascii="宋体" w:hAnsi="宋体" w:eastAsia="宋体" w:cs="宋体"/>
          <w:color w:val="auto"/>
          <w:spacing w:val="0"/>
          <w:sz w:val="28"/>
          <w:szCs w:val="28"/>
          <w:highlight w:val="none"/>
        </w:rPr>
        <w:t>专业工程分包，允许承包人分包的工程项目、工作内容与分包金额限额为：</w:t>
      </w:r>
    </w:p>
    <w:p w14:paraId="36FD6E94">
      <w:pPr>
        <w:pStyle w:val="117"/>
        <w:pageBreakBefore w:val="0"/>
        <w:numPr>
          <w:ilvl w:val="0"/>
          <w:numId w:val="6"/>
        </w:numPr>
        <w:tabs>
          <w:tab w:val="left" w:pos="924"/>
          <w:tab w:val="left" w:pos="3770"/>
        </w:tabs>
        <w:kinsoku/>
        <w:wordWrap/>
        <w:overflowPunct/>
        <w:topLinePunct w:val="0"/>
        <w:bidi w:val="0"/>
        <w:spacing w:after="0" w:line="500" w:lineRule="exact"/>
        <w:ind w:left="0" w:right="0"/>
        <w:jc w:val="both"/>
        <w:rPr>
          <w:rFonts w:hint="eastAsia" w:ascii="宋体" w:hAnsi="宋体" w:eastAsia="宋体" w:cs="宋体"/>
          <w:color w:val="auto"/>
          <w:spacing w:val="0"/>
          <w:sz w:val="28"/>
          <w:szCs w:val="28"/>
          <w:highlight w:val="none"/>
          <w:lang w:eastAsia="zh-CN"/>
        </w:rPr>
      </w:pPr>
      <w:bookmarkStart w:id="155" w:name="bookmark1653"/>
      <w:bookmarkEnd w:id="155"/>
      <w:r>
        <w:rPr>
          <w:rFonts w:hint="eastAsia" w:ascii="宋体" w:hAnsi="宋体" w:eastAsia="宋体" w:cs="宋体"/>
          <w:color w:val="auto"/>
          <w:spacing w:val="0"/>
          <w:sz w:val="28"/>
          <w:szCs w:val="28"/>
          <w:highlight w:val="none"/>
          <w:lang w:val="zh-CN" w:eastAsia="zh-CN" w:bidi="zh-CN"/>
        </w:rPr>
        <w:t>工程项目：</w:t>
      </w:r>
      <w:r>
        <w:rPr>
          <w:rFonts w:hint="eastAsia" w:ascii="宋体" w:hAnsi="宋体" w:eastAsia="宋体" w:cs="宋体"/>
          <w:color w:val="auto"/>
          <w:spacing w:val="0"/>
          <w:sz w:val="28"/>
          <w:szCs w:val="28"/>
          <w:highlight w:val="none"/>
          <w:u w:val="single"/>
          <w:lang w:val="en-US" w:eastAsia="zh-CN" w:bidi="zh-CN"/>
        </w:rPr>
        <w:t xml:space="preserve">   </w:t>
      </w:r>
      <w:r>
        <w:rPr>
          <w:rFonts w:hint="eastAsia" w:ascii="宋体" w:hAnsi="宋体" w:eastAsia="宋体" w:cs="宋体"/>
          <w:color w:val="auto"/>
          <w:spacing w:val="0"/>
          <w:sz w:val="28"/>
          <w:szCs w:val="28"/>
          <w:highlight w:val="none"/>
          <w:u w:val="single"/>
          <w:lang w:eastAsia="zh-CN" w:bidi="zh-CN"/>
        </w:rPr>
        <w:t>/</w:t>
      </w:r>
      <w:r>
        <w:rPr>
          <w:rFonts w:hint="eastAsia" w:ascii="宋体" w:hAnsi="宋体" w:eastAsia="宋体" w:cs="宋体"/>
          <w:color w:val="auto"/>
          <w:spacing w:val="0"/>
          <w:sz w:val="28"/>
          <w:szCs w:val="28"/>
          <w:highlight w:val="none"/>
          <w:u w:val="single"/>
          <w:lang w:eastAsia="zh-CN"/>
        </w:rPr>
        <w:tab/>
      </w:r>
      <w:r>
        <w:rPr>
          <w:rFonts w:hint="eastAsia" w:ascii="宋体" w:hAnsi="宋体" w:eastAsia="宋体" w:cs="宋体"/>
          <w:color w:val="auto"/>
          <w:spacing w:val="0"/>
          <w:sz w:val="28"/>
          <w:szCs w:val="28"/>
          <w:highlight w:val="none"/>
          <w:lang w:eastAsia="zh-CN"/>
        </w:rPr>
        <w:t>。</w:t>
      </w:r>
    </w:p>
    <w:p w14:paraId="580D3C83">
      <w:pPr>
        <w:pStyle w:val="117"/>
        <w:pageBreakBefore w:val="0"/>
        <w:numPr>
          <w:ilvl w:val="0"/>
          <w:numId w:val="6"/>
        </w:numPr>
        <w:tabs>
          <w:tab w:val="left" w:pos="924"/>
          <w:tab w:val="left" w:pos="3770"/>
        </w:tabs>
        <w:kinsoku/>
        <w:wordWrap/>
        <w:overflowPunct/>
        <w:topLinePunct w:val="0"/>
        <w:bidi w:val="0"/>
        <w:spacing w:after="0" w:line="500" w:lineRule="exact"/>
        <w:ind w:left="0" w:right="0"/>
        <w:jc w:val="both"/>
        <w:rPr>
          <w:rFonts w:hint="eastAsia" w:ascii="宋体" w:hAnsi="宋体" w:eastAsia="宋体" w:cs="宋体"/>
          <w:color w:val="auto"/>
          <w:spacing w:val="0"/>
          <w:sz w:val="28"/>
          <w:szCs w:val="28"/>
          <w:highlight w:val="none"/>
          <w:lang w:eastAsia="zh-CN"/>
        </w:rPr>
      </w:pPr>
      <w:bookmarkStart w:id="156" w:name="bookmark1654"/>
      <w:bookmarkEnd w:id="156"/>
      <w:r>
        <w:rPr>
          <w:rFonts w:hint="eastAsia" w:ascii="宋体" w:hAnsi="宋体" w:eastAsia="宋体" w:cs="宋体"/>
          <w:color w:val="auto"/>
          <w:spacing w:val="0"/>
          <w:sz w:val="28"/>
          <w:szCs w:val="28"/>
          <w:highlight w:val="none"/>
          <w:lang w:val="zh-CN" w:eastAsia="zh-CN" w:bidi="zh-CN"/>
        </w:rPr>
        <w:t>工作内容：</w:t>
      </w:r>
      <w:r>
        <w:rPr>
          <w:rFonts w:hint="eastAsia" w:ascii="宋体" w:hAnsi="宋体" w:eastAsia="宋体" w:cs="宋体"/>
          <w:color w:val="auto"/>
          <w:spacing w:val="0"/>
          <w:sz w:val="28"/>
          <w:szCs w:val="28"/>
          <w:highlight w:val="none"/>
          <w:u w:val="single"/>
          <w:lang w:val="en-US" w:eastAsia="zh-CN" w:bidi="zh-CN"/>
        </w:rPr>
        <w:t xml:space="preserve">   </w:t>
      </w:r>
      <w:r>
        <w:rPr>
          <w:rFonts w:hint="eastAsia" w:ascii="宋体" w:hAnsi="宋体" w:eastAsia="宋体" w:cs="宋体"/>
          <w:color w:val="auto"/>
          <w:spacing w:val="0"/>
          <w:sz w:val="28"/>
          <w:szCs w:val="28"/>
          <w:highlight w:val="none"/>
          <w:u w:val="single"/>
          <w:lang w:eastAsia="zh-CN" w:bidi="zh-CN"/>
        </w:rPr>
        <w:t>/</w:t>
      </w:r>
      <w:r>
        <w:rPr>
          <w:rFonts w:hint="eastAsia" w:ascii="宋体" w:hAnsi="宋体" w:eastAsia="宋体" w:cs="宋体"/>
          <w:color w:val="auto"/>
          <w:spacing w:val="0"/>
          <w:sz w:val="28"/>
          <w:szCs w:val="28"/>
          <w:highlight w:val="none"/>
          <w:u w:val="single"/>
          <w:lang w:eastAsia="zh-CN"/>
        </w:rPr>
        <w:tab/>
      </w:r>
      <w:r>
        <w:rPr>
          <w:rFonts w:hint="eastAsia" w:ascii="宋体" w:hAnsi="宋体" w:eastAsia="宋体" w:cs="宋体"/>
          <w:color w:val="auto"/>
          <w:spacing w:val="0"/>
          <w:sz w:val="28"/>
          <w:szCs w:val="28"/>
          <w:highlight w:val="none"/>
          <w:lang w:eastAsia="zh-CN"/>
        </w:rPr>
        <w:t>。</w:t>
      </w:r>
    </w:p>
    <w:p w14:paraId="24A5D4FC">
      <w:pPr>
        <w:pStyle w:val="115"/>
        <w:pageBreakBefore w:val="0"/>
        <w:numPr>
          <w:ilvl w:val="0"/>
          <w:numId w:val="6"/>
        </w:numPr>
        <w:tabs>
          <w:tab w:val="left" w:pos="924"/>
          <w:tab w:val="left" w:pos="4190"/>
        </w:tabs>
        <w:kinsoku/>
        <w:wordWrap/>
        <w:overflowPunct/>
        <w:topLinePunct w:val="0"/>
        <w:bidi w:val="0"/>
        <w:spacing w:line="500" w:lineRule="exact"/>
        <w:ind w:left="0" w:right="0" w:firstLine="420"/>
        <w:jc w:val="both"/>
        <w:rPr>
          <w:rFonts w:hint="eastAsia" w:ascii="宋体" w:hAnsi="宋体" w:eastAsia="宋体" w:cs="宋体"/>
          <w:color w:val="auto"/>
          <w:spacing w:val="0"/>
          <w:sz w:val="28"/>
          <w:szCs w:val="28"/>
          <w:highlight w:val="none"/>
        </w:rPr>
      </w:pPr>
      <w:bookmarkStart w:id="157" w:name="bookmark1655"/>
      <w:bookmarkEnd w:id="157"/>
      <w:r>
        <w:rPr>
          <w:rFonts w:hint="eastAsia" w:ascii="宋体" w:hAnsi="宋体" w:eastAsia="宋体" w:cs="宋体"/>
          <w:color w:val="auto"/>
          <w:spacing w:val="0"/>
          <w:sz w:val="28"/>
          <w:szCs w:val="28"/>
          <w:highlight w:val="none"/>
        </w:rPr>
        <w:t>分包金额限额：</w:t>
      </w:r>
      <w:r>
        <w:rPr>
          <w:rFonts w:hint="eastAsia" w:ascii="宋体" w:hAnsi="宋体" w:eastAsia="宋体" w:cs="宋体"/>
          <w:color w:val="auto"/>
          <w:spacing w:val="0"/>
          <w:sz w:val="28"/>
          <w:szCs w:val="28"/>
          <w:highlight w:val="none"/>
          <w:u w:val="single"/>
          <w:lang w:val="en-US" w:eastAsia="zh-CN" w:bidi="zh-CN"/>
        </w:rPr>
        <w:t xml:space="preserve">  </w:t>
      </w:r>
      <w:r>
        <w:rPr>
          <w:rFonts w:hint="eastAsia" w:ascii="宋体" w:hAnsi="宋体" w:eastAsia="宋体" w:cs="宋体"/>
          <w:color w:val="auto"/>
          <w:spacing w:val="0"/>
          <w:sz w:val="28"/>
          <w:szCs w:val="28"/>
          <w:highlight w:val="none"/>
          <w:u w:val="single"/>
          <w:lang w:val="en-US"/>
        </w:rPr>
        <w:t>/</w:t>
      </w:r>
      <w:r>
        <w:rPr>
          <w:rFonts w:hint="eastAsia" w:ascii="宋体" w:hAnsi="宋体" w:eastAsia="宋体" w:cs="宋体"/>
          <w:color w:val="auto"/>
          <w:spacing w:val="0"/>
          <w:sz w:val="28"/>
          <w:szCs w:val="28"/>
          <w:highlight w:val="none"/>
          <w:u w:val="single"/>
          <w:lang w:val="en-US" w:eastAsia="zh-CN"/>
        </w:rPr>
        <w:t xml:space="preserve"> </w:t>
      </w:r>
      <w:r>
        <w:rPr>
          <w:rFonts w:hint="eastAsia" w:ascii="宋体" w:hAnsi="宋体" w:eastAsia="宋体" w:cs="宋体"/>
          <w:color w:val="auto"/>
          <w:spacing w:val="0"/>
          <w:sz w:val="28"/>
          <w:szCs w:val="28"/>
          <w:highlight w:val="none"/>
          <w:lang w:val="en-US" w:bidi="en-US"/>
        </w:rPr>
        <w:t>。</w:t>
      </w:r>
    </w:p>
    <w:p w14:paraId="5041C3AF">
      <w:pPr>
        <w:pStyle w:val="115"/>
        <w:pageBreakBefore w:val="0"/>
        <w:tabs>
          <w:tab w:val="left" w:pos="5849"/>
        </w:tabs>
        <w:kinsoku/>
        <w:wordWrap/>
        <w:overflowPunct/>
        <w:topLinePunct w:val="0"/>
        <w:bidi w:val="0"/>
        <w:spacing w:line="500" w:lineRule="exact"/>
        <w:ind w:left="0" w:right="0" w:firstLine="420"/>
        <w:jc w:val="both"/>
        <w:rPr>
          <w:rFonts w:hint="eastAsia" w:ascii="宋体" w:hAnsi="宋体" w:eastAsia="宋体" w:cs="宋体"/>
          <w:color w:val="auto"/>
          <w:spacing w:val="0"/>
          <w:sz w:val="28"/>
          <w:szCs w:val="28"/>
          <w:highlight w:val="none"/>
        </w:rPr>
      </w:pPr>
      <w:r>
        <w:rPr>
          <w:rFonts w:hint="eastAsia" w:ascii="宋体" w:hAnsi="宋体" w:eastAsia="宋体" w:cs="宋体"/>
          <w:color w:val="auto"/>
          <w:spacing w:val="0"/>
          <w:sz w:val="28"/>
          <w:szCs w:val="28"/>
          <w:highlight w:val="none"/>
          <w:lang w:val="en-US" w:bidi="en-US"/>
        </w:rPr>
        <w:t>4.3.</w:t>
      </w:r>
      <w:r>
        <w:rPr>
          <w:rFonts w:hint="eastAsia" w:ascii="宋体" w:hAnsi="宋体" w:eastAsia="宋体" w:cs="宋体"/>
          <w:color w:val="auto"/>
          <w:spacing w:val="0"/>
          <w:sz w:val="28"/>
          <w:szCs w:val="28"/>
          <w:highlight w:val="none"/>
        </w:rPr>
        <w:t>10 分包人项目管理机构的设立：</w:t>
      </w:r>
      <w:r>
        <w:rPr>
          <w:rFonts w:hint="eastAsia" w:ascii="宋体" w:hAnsi="宋体" w:eastAsia="宋体" w:cs="宋体"/>
          <w:color w:val="auto"/>
          <w:spacing w:val="0"/>
          <w:sz w:val="28"/>
          <w:szCs w:val="28"/>
          <w:highlight w:val="none"/>
          <w:u w:val="single"/>
          <w:lang w:val="en-US" w:eastAsia="zh-CN" w:bidi="zh-CN"/>
        </w:rPr>
        <w:t xml:space="preserve">  </w:t>
      </w:r>
      <w:r>
        <w:rPr>
          <w:rFonts w:hint="eastAsia" w:ascii="宋体" w:hAnsi="宋体" w:eastAsia="宋体" w:cs="宋体"/>
          <w:color w:val="auto"/>
          <w:spacing w:val="0"/>
          <w:sz w:val="28"/>
          <w:szCs w:val="28"/>
          <w:highlight w:val="none"/>
          <w:u w:val="single"/>
          <w:lang w:val="en-US"/>
        </w:rPr>
        <w:t>/</w:t>
      </w:r>
      <w:r>
        <w:rPr>
          <w:rFonts w:hint="eastAsia" w:ascii="宋体" w:hAnsi="宋体" w:eastAsia="宋体" w:cs="宋体"/>
          <w:color w:val="auto"/>
          <w:spacing w:val="0"/>
          <w:sz w:val="28"/>
          <w:szCs w:val="28"/>
          <w:highlight w:val="none"/>
          <w:u w:val="single"/>
          <w:lang w:val="en-US" w:eastAsia="zh-CN"/>
        </w:rPr>
        <w:t xml:space="preserve"> </w:t>
      </w:r>
      <w:r>
        <w:rPr>
          <w:rFonts w:hint="eastAsia" w:ascii="宋体" w:hAnsi="宋体" w:eastAsia="宋体" w:cs="宋体"/>
          <w:color w:val="auto"/>
          <w:spacing w:val="0"/>
          <w:sz w:val="28"/>
          <w:szCs w:val="28"/>
          <w:highlight w:val="none"/>
          <w:lang w:val="en-US" w:bidi="en-US"/>
        </w:rPr>
        <w:t>。</w:t>
      </w:r>
    </w:p>
    <w:bookmarkEnd w:id="147"/>
    <w:bookmarkEnd w:id="148"/>
    <w:bookmarkEnd w:id="149"/>
    <w:p w14:paraId="3A8882A1">
      <w:pPr>
        <w:pStyle w:val="116"/>
        <w:pageBreakBefore w:val="0"/>
        <w:kinsoku/>
        <w:wordWrap/>
        <w:overflowPunct/>
        <w:topLinePunct w:val="0"/>
        <w:bidi w:val="0"/>
        <w:spacing w:beforeLines="0" w:afterLines="0" w:line="500" w:lineRule="exact"/>
        <w:ind w:left="0" w:right="0"/>
        <w:rPr>
          <w:rFonts w:hint="eastAsia" w:ascii="宋体" w:hAnsi="宋体" w:eastAsia="宋体" w:cs="宋体"/>
          <w:color w:val="auto"/>
          <w:spacing w:val="0"/>
          <w:sz w:val="28"/>
          <w:szCs w:val="28"/>
          <w:highlight w:val="none"/>
          <w:lang w:eastAsia="zh-CN"/>
        </w:rPr>
      </w:pPr>
      <w:bookmarkStart w:id="158" w:name="_Toc10044"/>
      <w:bookmarkStart w:id="159" w:name="_Toc27098"/>
      <w:bookmarkStart w:id="160" w:name="_Toc30464"/>
      <w:bookmarkStart w:id="161" w:name="_Toc12270"/>
      <w:r>
        <w:rPr>
          <w:rFonts w:hint="eastAsia" w:ascii="宋体" w:hAnsi="宋体" w:eastAsia="宋体" w:cs="宋体"/>
          <w:color w:val="auto"/>
          <w:spacing w:val="0"/>
          <w:sz w:val="28"/>
          <w:szCs w:val="28"/>
          <w:highlight w:val="none"/>
          <w:lang w:eastAsia="zh-CN" w:bidi="en-US"/>
        </w:rPr>
        <w:t>4.5 承包人项目负责人</w:t>
      </w:r>
      <w:bookmarkEnd w:id="158"/>
      <w:bookmarkEnd w:id="159"/>
      <w:bookmarkEnd w:id="160"/>
      <w:bookmarkEnd w:id="161"/>
    </w:p>
    <w:p w14:paraId="309EE469">
      <w:pPr>
        <w:pageBreakBefore w:val="0"/>
        <w:kinsoku/>
        <w:wordWrap/>
        <w:overflowPunct/>
        <w:topLinePunct w:val="0"/>
        <w:bidi w:val="0"/>
        <w:spacing w:line="500" w:lineRule="exact"/>
        <w:ind w:left="0" w:right="0"/>
        <w:rPr>
          <w:rFonts w:hint="eastAsia" w:ascii="宋体" w:hAnsi="宋体" w:eastAsia="宋体" w:cs="宋体"/>
          <w:color w:val="auto"/>
          <w:spacing w:val="0"/>
          <w:sz w:val="28"/>
          <w:szCs w:val="28"/>
          <w:highlight w:val="none"/>
        </w:rPr>
      </w:pPr>
      <w:r>
        <w:rPr>
          <w:rFonts w:hint="eastAsia" w:ascii="宋体" w:hAnsi="宋体" w:eastAsia="宋体" w:cs="宋体"/>
          <w:color w:val="auto"/>
          <w:spacing w:val="0"/>
          <w:sz w:val="28"/>
          <w:szCs w:val="28"/>
          <w:highlight w:val="none"/>
        </w:rPr>
        <w:t>　　4.5.5 (1)同一施工项目负责人不能同时在两个及以上的工程项目上担任施工项目负责人。</w:t>
      </w:r>
    </w:p>
    <w:p w14:paraId="6AF1D038">
      <w:pPr>
        <w:pStyle w:val="119"/>
        <w:pageBreakBefore w:val="0"/>
        <w:tabs>
          <w:tab w:val="left" w:pos="5849"/>
        </w:tabs>
        <w:kinsoku/>
        <w:wordWrap/>
        <w:overflowPunct/>
        <w:topLinePunct w:val="0"/>
        <w:bidi w:val="0"/>
        <w:spacing w:line="500" w:lineRule="exact"/>
        <w:ind w:left="0" w:right="0" w:firstLine="0"/>
        <w:rPr>
          <w:rFonts w:hint="eastAsia" w:ascii="宋体" w:hAnsi="宋体" w:eastAsia="宋体" w:cs="宋体"/>
          <w:color w:val="auto"/>
          <w:spacing w:val="0"/>
          <w:sz w:val="28"/>
          <w:szCs w:val="28"/>
          <w:highlight w:val="none"/>
          <w:lang w:val="en-US" w:bidi="en-US"/>
        </w:rPr>
      </w:pPr>
      <w:r>
        <w:rPr>
          <w:rFonts w:hint="eastAsia" w:ascii="宋体" w:hAnsi="宋体" w:eastAsia="宋体" w:cs="宋体"/>
          <w:color w:val="auto"/>
          <w:spacing w:val="0"/>
          <w:sz w:val="28"/>
          <w:szCs w:val="28"/>
          <w:highlight w:val="none"/>
        </w:rPr>
        <w:t>　　(2) 承包人应保证项目负责人每月在工地现场的时间不少于</w:t>
      </w:r>
      <w:r>
        <w:rPr>
          <w:rFonts w:hint="eastAsia" w:ascii="宋体" w:hAnsi="宋体" w:eastAsia="宋体" w:cs="宋体"/>
          <w:color w:val="auto"/>
          <w:spacing w:val="0"/>
          <w:sz w:val="28"/>
          <w:szCs w:val="28"/>
          <w:highlight w:val="none"/>
          <w:u w:val="single"/>
        </w:rPr>
        <w:t xml:space="preserve"> 22</w:t>
      </w:r>
      <w:r>
        <w:rPr>
          <w:rFonts w:hint="eastAsia" w:ascii="宋体" w:hAnsi="宋体" w:eastAsia="宋体" w:cs="宋体"/>
          <w:color w:val="auto"/>
          <w:spacing w:val="0"/>
          <w:sz w:val="28"/>
          <w:szCs w:val="28"/>
          <w:highlight w:val="none"/>
        </w:rPr>
        <w:t xml:space="preserve">日，否则将按每人每天人民币 </w:t>
      </w:r>
      <w:r>
        <w:rPr>
          <w:rFonts w:hint="eastAsia" w:ascii="宋体" w:hAnsi="宋体" w:eastAsia="宋体" w:cs="宋体"/>
          <w:color w:val="auto"/>
          <w:spacing w:val="0"/>
          <w:sz w:val="28"/>
          <w:szCs w:val="28"/>
          <w:highlight w:val="none"/>
          <w:u w:val="single"/>
        </w:rPr>
        <w:t xml:space="preserve">500 </w:t>
      </w:r>
      <w:r>
        <w:rPr>
          <w:rFonts w:hint="eastAsia" w:ascii="宋体" w:hAnsi="宋体" w:eastAsia="宋体" w:cs="宋体"/>
          <w:color w:val="auto"/>
          <w:spacing w:val="0"/>
          <w:sz w:val="28"/>
          <w:szCs w:val="28"/>
          <w:highlight w:val="none"/>
        </w:rPr>
        <w:t>元的标准向</w:t>
      </w:r>
      <w:r>
        <w:rPr>
          <w:rFonts w:hint="eastAsia" w:hAnsi="宋体" w:cs="宋体"/>
          <w:color w:val="auto"/>
          <w:spacing w:val="0"/>
          <w:sz w:val="28"/>
          <w:szCs w:val="28"/>
          <w:highlight w:val="none"/>
          <w:lang w:eastAsia="zh-CN"/>
        </w:rPr>
        <w:t>建设单位</w:t>
      </w:r>
      <w:r>
        <w:rPr>
          <w:rFonts w:hint="eastAsia" w:ascii="宋体" w:hAnsi="宋体" w:eastAsia="宋体" w:cs="宋体"/>
          <w:color w:val="auto"/>
          <w:spacing w:val="0"/>
          <w:sz w:val="28"/>
          <w:szCs w:val="28"/>
          <w:highlight w:val="none"/>
        </w:rPr>
        <w:t>支付违约金，</w:t>
      </w:r>
      <w:r>
        <w:rPr>
          <w:rFonts w:hint="eastAsia" w:ascii="宋体" w:hAnsi="宋体" w:eastAsia="宋体" w:cs="宋体"/>
          <w:color w:val="auto"/>
          <w:spacing w:val="0"/>
          <w:sz w:val="28"/>
          <w:szCs w:val="28"/>
          <w:highlight w:val="none"/>
          <w:lang w:val="en-US" w:bidi="en-US"/>
        </w:rPr>
        <w:t>由有关行政监督部门处理后报请有关行政监督部门将结果记入市场主体信用档案，公布不良行为记录。上述人员因其他事务需短期离开工地，应向</w:t>
      </w:r>
      <w:r>
        <w:rPr>
          <w:rFonts w:hint="eastAsia" w:hAnsi="宋体" w:cs="宋体"/>
          <w:color w:val="auto"/>
          <w:spacing w:val="0"/>
          <w:sz w:val="28"/>
          <w:szCs w:val="28"/>
          <w:highlight w:val="none"/>
          <w:lang w:val="en-US" w:eastAsia="zh-CN" w:bidi="en-US"/>
        </w:rPr>
        <w:t>建设单位</w:t>
      </w:r>
      <w:r>
        <w:rPr>
          <w:rFonts w:hint="eastAsia" w:ascii="宋体" w:hAnsi="宋体" w:eastAsia="宋体" w:cs="宋体"/>
          <w:color w:val="auto"/>
          <w:spacing w:val="0"/>
          <w:sz w:val="28"/>
          <w:szCs w:val="28"/>
          <w:highlight w:val="none"/>
          <w:lang w:val="en-US" w:bidi="en-US"/>
        </w:rPr>
        <w:t xml:space="preserve">请假，经批准后方可离开，离开期间应委托项目相关负责人负责其外出时的日常工作。 </w:t>
      </w:r>
    </w:p>
    <w:p w14:paraId="0304CAF2">
      <w:pPr>
        <w:pStyle w:val="116"/>
        <w:pageBreakBefore w:val="0"/>
        <w:kinsoku/>
        <w:wordWrap/>
        <w:overflowPunct/>
        <w:topLinePunct w:val="0"/>
        <w:bidi w:val="0"/>
        <w:spacing w:beforeLines="0" w:afterLines="0" w:line="500" w:lineRule="exact"/>
        <w:ind w:left="0" w:right="0"/>
        <w:rPr>
          <w:rFonts w:hint="eastAsia" w:ascii="宋体" w:hAnsi="宋体" w:eastAsia="宋体" w:cs="宋体"/>
          <w:color w:val="auto"/>
          <w:spacing w:val="0"/>
          <w:sz w:val="28"/>
          <w:szCs w:val="28"/>
          <w:highlight w:val="none"/>
          <w:lang w:eastAsia="zh-CN"/>
        </w:rPr>
      </w:pPr>
      <w:bookmarkStart w:id="162" w:name="_Toc7672"/>
      <w:bookmarkStart w:id="163" w:name="_Toc22943"/>
      <w:bookmarkStart w:id="164" w:name="_Toc16547"/>
      <w:bookmarkStart w:id="165" w:name="_Toc9604"/>
      <w:r>
        <w:rPr>
          <w:rFonts w:hint="eastAsia" w:ascii="宋体" w:hAnsi="宋体" w:eastAsia="宋体" w:cs="宋体"/>
          <w:color w:val="auto"/>
          <w:spacing w:val="0"/>
          <w:sz w:val="28"/>
          <w:szCs w:val="28"/>
          <w:highlight w:val="none"/>
          <w:lang w:eastAsia="zh-CN" w:bidi="en-US"/>
        </w:rPr>
        <w:t>4.6 承包人人员的管理</w:t>
      </w:r>
      <w:bookmarkEnd w:id="162"/>
      <w:bookmarkEnd w:id="163"/>
      <w:bookmarkEnd w:id="164"/>
      <w:bookmarkEnd w:id="165"/>
    </w:p>
    <w:p w14:paraId="4058C85B">
      <w:pPr>
        <w:pageBreakBefore w:val="0"/>
        <w:kinsoku/>
        <w:wordWrap/>
        <w:overflowPunct/>
        <w:topLinePunct w:val="0"/>
        <w:bidi w:val="0"/>
        <w:spacing w:line="500" w:lineRule="exact"/>
        <w:ind w:left="0" w:right="0"/>
        <w:rPr>
          <w:rFonts w:hint="eastAsia" w:ascii="宋体" w:hAnsi="宋体" w:eastAsia="宋体" w:cs="宋体"/>
          <w:color w:val="auto"/>
          <w:spacing w:val="0"/>
          <w:sz w:val="28"/>
          <w:szCs w:val="28"/>
          <w:highlight w:val="none"/>
        </w:rPr>
      </w:pPr>
      <w:r>
        <w:rPr>
          <w:rFonts w:hint="eastAsia" w:ascii="宋体" w:hAnsi="宋体" w:eastAsia="宋体" w:cs="宋体"/>
          <w:color w:val="auto"/>
          <w:spacing w:val="0"/>
          <w:sz w:val="28"/>
          <w:szCs w:val="28"/>
          <w:highlight w:val="none"/>
        </w:rPr>
        <w:t>　　4.6.3 承包人安排在施工场地的主要管理人员和技术骨干应相对稳定。投入本项目的项目经理、技术负责人、质量检查员、专职安全员等主要管理人员中标后，未经</w:t>
      </w:r>
      <w:r>
        <w:rPr>
          <w:rFonts w:hint="eastAsia" w:ascii="宋体" w:hAnsi="宋体" w:eastAsia="宋体" w:cs="宋体"/>
          <w:color w:val="auto"/>
          <w:spacing w:val="0"/>
          <w:sz w:val="28"/>
          <w:szCs w:val="28"/>
          <w:highlight w:val="none"/>
          <w:lang w:eastAsia="zh-CN"/>
        </w:rPr>
        <w:t>建设单位</w:t>
      </w:r>
      <w:r>
        <w:rPr>
          <w:rFonts w:hint="eastAsia" w:ascii="宋体" w:hAnsi="宋体" w:eastAsia="宋体" w:cs="宋体"/>
          <w:color w:val="auto"/>
          <w:spacing w:val="0"/>
          <w:sz w:val="28"/>
          <w:szCs w:val="28"/>
          <w:highlight w:val="none"/>
        </w:rPr>
        <w:t>书面批准不得更换。拟申请变换的主要管理人员，不得低于投标拟投入人员的同等条件。</w:t>
      </w:r>
    </w:p>
    <w:p w14:paraId="61799DC3">
      <w:pPr>
        <w:pageBreakBefore w:val="0"/>
        <w:kinsoku/>
        <w:wordWrap/>
        <w:overflowPunct/>
        <w:topLinePunct w:val="0"/>
        <w:bidi w:val="0"/>
        <w:spacing w:line="500" w:lineRule="exact"/>
        <w:ind w:left="0" w:right="0"/>
        <w:rPr>
          <w:rFonts w:hint="eastAsia" w:ascii="宋体" w:hAnsi="宋体" w:eastAsia="宋体" w:cs="宋体"/>
          <w:color w:val="auto"/>
          <w:spacing w:val="0"/>
          <w:sz w:val="28"/>
          <w:szCs w:val="28"/>
          <w:highlight w:val="none"/>
        </w:rPr>
      </w:pPr>
      <w:r>
        <w:rPr>
          <w:rFonts w:hint="eastAsia" w:ascii="宋体" w:hAnsi="宋体" w:eastAsia="宋体" w:cs="宋体"/>
          <w:color w:val="auto"/>
          <w:spacing w:val="0"/>
          <w:sz w:val="28"/>
          <w:szCs w:val="28"/>
          <w:highlight w:val="none"/>
        </w:rPr>
        <w:t>　　4.6.4 承包人项目经理、技术负责人、质量管理人员、安全管理人员驻工程现场时间不得少于22 天/月，否则对项目经理、技术负责人按每少1天处 500 元/天.人的罚款；对质量管理人员、安全管理人员按每少1天处 300元/天.人的罚款。在工地现场实行每日签到上班制度，签到必须是本人签字，发现有代签弄虚作假的， 每人次按缺勤 10天处罚，</w:t>
      </w:r>
      <w:r>
        <w:rPr>
          <w:rFonts w:hint="eastAsia" w:ascii="宋体" w:hAnsi="宋体" w:eastAsia="宋体" w:cs="宋体"/>
          <w:color w:val="auto"/>
          <w:spacing w:val="0"/>
          <w:sz w:val="28"/>
          <w:szCs w:val="28"/>
          <w:highlight w:val="none"/>
          <w:lang w:eastAsia="zh-CN"/>
        </w:rPr>
        <w:t>建设单位</w:t>
      </w:r>
      <w:r>
        <w:rPr>
          <w:rFonts w:hint="eastAsia" w:ascii="宋体" w:hAnsi="宋体" w:eastAsia="宋体" w:cs="宋体"/>
          <w:color w:val="auto"/>
          <w:spacing w:val="0"/>
          <w:sz w:val="28"/>
          <w:szCs w:val="28"/>
          <w:highlight w:val="none"/>
        </w:rPr>
        <w:t>现场检查发现人员不到位的一次按缺勤 10 天处罚，</w:t>
      </w:r>
      <w:r>
        <w:rPr>
          <w:rFonts w:hint="eastAsia" w:ascii="宋体" w:hAnsi="宋体" w:eastAsia="宋体" w:cs="宋体"/>
          <w:color w:val="auto"/>
          <w:spacing w:val="0"/>
          <w:sz w:val="28"/>
          <w:szCs w:val="28"/>
          <w:highlight w:val="none"/>
          <w:lang w:eastAsia="zh-CN"/>
        </w:rPr>
        <w:t>建设单位</w:t>
      </w:r>
      <w:r>
        <w:rPr>
          <w:rFonts w:hint="eastAsia" w:ascii="宋体" w:hAnsi="宋体" w:eastAsia="宋体" w:cs="宋体"/>
          <w:color w:val="auto"/>
          <w:spacing w:val="0"/>
          <w:sz w:val="28"/>
          <w:szCs w:val="28"/>
          <w:highlight w:val="none"/>
        </w:rPr>
        <w:t>在每月支付给承包人的进度付款中直接扣除；若项目经理、技术负责人连续 2 个月少于合同规定驻工地时间，</w:t>
      </w:r>
      <w:r>
        <w:rPr>
          <w:rFonts w:hint="eastAsia" w:ascii="宋体" w:hAnsi="宋体" w:eastAsia="宋体" w:cs="宋体"/>
          <w:color w:val="auto"/>
          <w:spacing w:val="0"/>
          <w:sz w:val="28"/>
          <w:szCs w:val="28"/>
          <w:highlight w:val="none"/>
          <w:lang w:eastAsia="zh-CN"/>
        </w:rPr>
        <w:t>建设单位</w:t>
      </w:r>
      <w:r>
        <w:rPr>
          <w:rFonts w:hint="eastAsia" w:ascii="宋体" w:hAnsi="宋体" w:eastAsia="宋体" w:cs="宋体"/>
          <w:color w:val="auto"/>
          <w:spacing w:val="0"/>
          <w:sz w:val="28"/>
          <w:szCs w:val="28"/>
          <w:highlight w:val="none"/>
        </w:rPr>
        <w:t>将约谈承包人法定代表人；若第 3 个月依然不能履行合同规定驻工地时间，</w:t>
      </w:r>
      <w:r>
        <w:rPr>
          <w:rFonts w:hint="eastAsia" w:ascii="宋体" w:hAnsi="宋体" w:eastAsia="宋体" w:cs="宋体"/>
          <w:color w:val="auto"/>
          <w:spacing w:val="0"/>
          <w:sz w:val="28"/>
          <w:szCs w:val="28"/>
          <w:highlight w:val="none"/>
          <w:lang w:eastAsia="zh-CN"/>
        </w:rPr>
        <w:t>建设单位</w:t>
      </w:r>
      <w:r>
        <w:rPr>
          <w:rFonts w:hint="eastAsia" w:ascii="宋体" w:hAnsi="宋体" w:eastAsia="宋体" w:cs="宋体"/>
          <w:color w:val="auto"/>
          <w:spacing w:val="0"/>
          <w:sz w:val="28"/>
          <w:szCs w:val="28"/>
          <w:highlight w:val="none"/>
        </w:rPr>
        <w:t>有权与承包人解除本合同， 按本合同完成工作量据实结算，承包人不得有异议并无条件承担由 此给</w:t>
      </w:r>
      <w:r>
        <w:rPr>
          <w:rFonts w:hint="eastAsia" w:ascii="宋体" w:hAnsi="宋体" w:eastAsia="宋体" w:cs="宋体"/>
          <w:color w:val="auto"/>
          <w:spacing w:val="0"/>
          <w:sz w:val="28"/>
          <w:szCs w:val="28"/>
          <w:highlight w:val="none"/>
          <w:lang w:eastAsia="zh-CN"/>
        </w:rPr>
        <w:t>建设单位</w:t>
      </w:r>
      <w:r>
        <w:rPr>
          <w:rFonts w:hint="eastAsia" w:ascii="宋体" w:hAnsi="宋体" w:eastAsia="宋体" w:cs="宋体"/>
          <w:color w:val="auto"/>
          <w:spacing w:val="0"/>
          <w:sz w:val="28"/>
          <w:szCs w:val="28"/>
          <w:highlight w:val="none"/>
        </w:rPr>
        <w:t>带来的一切损失。 同时视为承包人未按合同履约， 由</w:t>
      </w:r>
      <w:r>
        <w:rPr>
          <w:rFonts w:hint="eastAsia" w:ascii="宋体" w:hAnsi="宋体" w:eastAsia="宋体" w:cs="宋体"/>
          <w:color w:val="auto"/>
          <w:spacing w:val="0"/>
          <w:sz w:val="28"/>
          <w:szCs w:val="28"/>
          <w:highlight w:val="none"/>
          <w:lang w:eastAsia="zh-CN"/>
        </w:rPr>
        <w:t>建设单位</w:t>
      </w:r>
      <w:r>
        <w:rPr>
          <w:rFonts w:hint="eastAsia" w:ascii="宋体" w:hAnsi="宋体" w:eastAsia="宋体" w:cs="宋体"/>
          <w:color w:val="auto"/>
          <w:spacing w:val="0"/>
          <w:sz w:val="28"/>
          <w:szCs w:val="28"/>
          <w:highlight w:val="none"/>
        </w:rPr>
        <w:t>报上级有关行政监督部门进行处理并依照相关规定将结果记入承包人的市场主体信用档案，公布不良行为记录。</w:t>
      </w:r>
    </w:p>
    <w:p w14:paraId="30AD5D6D">
      <w:pPr>
        <w:pStyle w:val="115"/>
        <w:pageBreakBefore w:val="0"/>
        <w:tabs>
          <w:tab w:val="left" w:pos="5849"/>
        </w:tabs>
        <w:kinsoku/>
        <w:wordWrap/>
        <w:overflowPunct/>
        <w:topLinePunct w:val="0"/>
        <w:bidi w:val="0"/>
        <w:spacing w:line="500" w:lineRule="exact"/>
        <w:ind w:left="0" w:right="0" w:firstLine="0"/>
        <w:jc w:val="both"/>
        <w:rPr>
          <w:rFonts w:hint="eastAsia" w:ascii="宋体" w:hAnsi="宋体" w:eastAsia="宋体" w:cs="宋体"/>
          <w:color w:val="auto"/>
          <w:spacing w:val="0"/>
          <w:sz w:val="28"/>
          <w:szCs w:val="28"/>
          <w:highlight w:val="none"/>
          <w:lang w:val="en-US" w:bidi="en-US"/>
        </w:rPr>
      </w:pPr>
      <w:r>
        <w:rPr>
          <w:rFonts w:hint="eastAsia" w:ascii="宋体" w:hAnsi="宋体" w:eastAsia="宋体" w:cs="宋体"/>
          <w:color w:val="auto"/>
          <w:spacing w:val="0"/>
          <w:sz w:val="28"/>
          <w:szCs w:val="28"/>
          <w:highlight w:val="none"/>
        </w:rPr>
        <w:t>　　4.6.5.1 施工单位要制定好每 15 天进度节点，项目业主要对每 15 天进度节点进行考核，如有两个节点进度未能完成任务，项目业主有权采取必要的赶工措施 (包括增派机械、人员、增加工作面) ，所发生的赶工费用由施工单位负责支付。</w:t>
      </w:r>
    </w:p>
    <w:p w14:paraId="023CCCC4">
      <w:pPr>
        <w:pStyle w:val="116"/>
        <w:pageBreakBefore w:val="0"/>
        <w:kinsoku/>
        <w:wordWrap/>
        <w:overflowPunct/>
        <w:topLinePunct w:val="0"/>
        <w:bidi w:val="0"/>
        <w:spacing w:beforeLines="0" w:afterLines="0" w:line="500" w:lineRule="exact"/>
        <w:ind w:left="0" w:right="0"/>
        <w:rPr>
          <w:rFonts w:hint="eastAsia" w:ascii="宋体" w:hAnsi="宋体" w:eastAsia="宋体" w:cs="宋体"/>
          <w:color w:val="auto"/>
          <w:spacing w:val="0"/>
          <w:sz w:val="28"/>
          <w:szCs w:val="28"/>
          <w:highlight w:val="none"/>
          <w:lang w:eastAsia="zh-CN" w:bidi="en-US"/>
        </w:rPr>
      </w:pPr>
      <w:bookmarkStart w:id="166" w:name="bookmark1656"/>
      <w:bookmarkStart w:id="167" w:name="_Toc8745"/>
      <w:bookmarkStart w:id="168" w:name="_Toc24838"/>
      <w:bookmarkStart w:id="169" w:name="_Toc3434"/>
      <w:bookmarkStart w:id="170" w:name="bookmark1658"/>
      <w:bookmarkStart w:id="171" w:name="_Toc25240"/>
      <w:bookmarkStart w:id="172" w:name="bookmark1657"/>
      <w:r>
        <w:rPr>
          <w:rFonts w:hint="eastAsia" w:ascii="宋体" w:hAnsi="宋体" w:eastAsia="宋体" w:cs="宋体"/>
          <w:color w:val="auto"/>
          <w:spacing w:val="0"/>
          <w:sz w:val="28"/>
          <w:szCs w:val="28"/>
          <w:highlight w:val="none"/>
          <w:lang w:eastAsia="zh-CN" w:bidi="en-US"/>
        </w:rPr>
        <w:t>4.7撤换承包人项目经理和其他人员</w:t>
      </w:r>
      <w:bookmarkEnd w:id="166"/>
      <w:bookmarkEnd w:id="167"/>
      <w:bookmarkEnd w:id="168"/>
      <w:bookmarkEnd w:id="169"/>
      <w:bookmarkEnd w:id="170"/>
      <w:bookmarkEnd w:id="171"/>
      <w:bookmarkEnd w:id="172"/>
    </w:p>
    <w:p w14:paraId="10677217">
      <w:pPr>
        <w:pageBreakBefore w:val="0"/>
        <w:kinsoku/>
        <w:wordWrap/>
        <w:overflowPunct/>
        <w:topLinePunct w:val="0"/>
        <w:bidi w:val="0"/>
        <w:spacing w:line="500" w:lineRule="exact"/>
        <w:ind w:left="0" w:right="0"/>
        <w:rPr>
          <w:rFonts w:hint="eastAsia" w:ascii="宋体" w:hAnsi="宋体" w:eastAsia="宋体" w:cs="宋体"/>
          <w:color w:val="auto"/>
          <w:spacing w:val="0"/>
          <w:sz w:val="28"/>
          <w:szCs w:val="28"/>
          <w:highlight w:val="none"/>
        </w:rPr>
      </w:pPr>
      <w:bookmarkStart w:id="173" w:name="bookmark1660"/>
      <w:bookmarkStart w:id="174" w:name="bookmark1659"/>
      <w:bookmarkStart w:id="175" w:name="bookmark1661"/>
      <w:r>
        <w:rPr>
          <w:rFonts w:hint="eastAsia" w:ascii="宋体" w:hAnsi="宋体" w:eastAsia="宋体" w:cs="宋体"/>
          <w:color w:val="auto"/>
          <w:spacing w:val="0"/>
          <w:sz w:val="28"/>
          <w:szCs w:val="28"/>
          <w:highlight w:val="none"/>
        </w:rPr>
        <w:t>　　口 4.7.1 中标人根据投标文件的承诺，投入本项目的项目经理、技术负责人、质量管理员、 安全管理员等主要管理人员中标后不得更换(除因故去世、调离本单位外)。</w:t>
      </w:r>
    </w:p>
    <w:p w14:paraId="12C3E629">
      <w:pPr>
        <w:pageBreakBefore w:val="0"/>
        <w:kinsoku/>
        <w:wordWrap/>
        <w:overflowPunct/>
        <w:topLinePunct w:val="0"/>
        <w:bidi w:val="0"/>
        <w:spacing w:line="500" w:lineRule="exact"/>
        <w:ind w:left="0" w:right="0"/>
        <w:rPr>
          <w:rFonts w:hint="eastAsia" w:ascii="宋体" w:hAnsi="宋体" w:eastAsia="宋体" w:cs="宋体"/>
          <w:color w:val="auto"/>
          <w:spacing w:val="0"/>
          <w:sz w:val="28"/>
          <w:szCs w:val="28"/>
          <w:highlight w:val="none"/>
        </w:rPr>
      </w:pPr>
      <w:r>
        <w:rPr>
          <w:rFonts w:hint="eastAsia" w:ascii="宋体" w:hAnsi="宋体" w:eastAsia="宋体" w:cs="宋体"/>
          <w:color w:val="auto"/>
          <w:spacing w:val="0"/>
          <w:sz w:val="28"/>
          <w:szCs w:val="28"/>
          <w:highlight w:val="none"/>
        </w:rPr>
        <w:t>　　☑4.7.1 投入本项目的项目经理、技术负责人、质量管理员、专职管理员等主要管理人员中标后，经中标人申请、监理机构审核允许、</w:t>
      </w:r>
      <w:r>
        <w:rPr>
          <w:rFonts w:hint="eastAsia" w:ascii="宋体" w:hAnsi="宋体" w:eastAsia="宋体" w:cs="宋体"/>
          <w:color w:val="auto"/>
          <w:spacing w:val="0"/>
          <w:sz w:val="28"/>
          <w:szCs w:val="28"/>
          <w:highlight w:val="none"/>
          <w:lang w:eastAsia="zh-CN"/>
        </w:rPr>
        <w:t>建设单位</w:t>
      </w:r>
      <w:r>
        <w:rPr>
          <w:rFonts w:hint="eastAsia" w:ascii="宋体" w:hAnsi="宋体" w:eastAsia="宋体" w:cs="宋体"/>
          <w:color w:val="auto"/>
          <w:spacing w:val="0"/>
          <w:sz w:val="28"/>
          <w:szCs w:val="28"/>
          <w:highlight w:val="none"/>
        </w:rPr>
        <w:t>同意后方可变更为不低于同等条件的人员。</w:t>
      </w:r>
    </w:p>
    <w:p w14:paraId="3EAB89FD">
      <w:pPr>
        <w:pageBreakBefore w:val="0"/>
        <w:kinsoku/>
        <w:wordWrap/>
        <w:overflowPunct/>
        <w:topLinePunct w:val="0"/>
        <w:bidi w:val="0"/>
        <w:spacing w:line="500" w:lineRule="exact"/>
        <w:ind w:left="0" w:right="0"/>
        <w:rPr>
          <w:rFonts w:hint="eastAsia" w:ascii="宋体" w:hAnsi="宋体" w:eastAsia="宋体" w:cs="宋体"/>
          <w:color w:val="auto"/>
          <w:spacing w:val="0"/>
          <w:sz w:val="28"/>
          <w:szCs w:val="28"/>
          <w:highlight w:val="none"/>
        </w:rPr>
      </w:pPr>
      <w:r>
        <w:rPr>
          <w:rFonts w:hint="eastAsia" w:ascii="宋体" w:hAnsi="宋体" w:eastAsia="宋体" w:cs="宋体"/>
          <w:color w:val="auto"/>
          <w:spacing w:val="0"/>
          <w:sz w:val="28"/>
          <w:szCs w:val="28"/>
          <w:highlight w:val="none"/>
        </w:rPr>
        <w:t>　　4.7.2 除非</w:t>
      </w:r>
      <w:r>
        <w:rPr>
          <w:rFonts w:hint="eastAsia" w:ascii="宋体" w:hAnsi="宋体" w:eastAsia="宋体" w:cs="宋体"/>
          <w:color w:val="auto"/>
          <w:spacing w:val="0"/>
          <w:sz w:val="28"/>
          <w:szCs w:val="28"/>
          <w:highlight w:val="none"/>
          <w:lang w:eastAsia="zh-CN"/>
        </w:rPr>
        <w:t>建设单位</w:t>
      </w:r>
      <w:r>
        <w:rPr>
          <w:rFonts w:hint="eastAsia" w:ascii="宋体" w:hAnsi="宋体" w:eastAsia="宋体" w:cs="宋体"/>
          <w:color w:val="auto"/>
          <w:spacing w:val="0"/>
          <w:sz w:val="28"/>
          <w:szCs w:val="28"/>
          <w:highlight w:val="none"/>
        </w:rPr>
        <w:t>要求或者批准， 承包人擅自更换项目经理、项目副经理、技术负责人、专职安全员的，将按每人每天人民币 500 元的标准向</w:t>
      </w:r>
      <w:r>
        <w:rPr>
          <w:rFonts w:hint="eastAsia" w:ascii="宋体" w:hAnsi="宋体" w:eastAsia="宋体" w:cs="宋体"/>
          <w:color w:val="auto"/>
          <w:spacing w:val="0"/>
          <w:sz w:val="28"/>
          <w:szCs w:val="28"/>
          <w:highlight w:val="none"/>
          <w:lang w:eastAsia="zh-CN"/>
        </w:rPr>
        <w:t>建设单位</w:t>
      </w:r>
      <w:r>
        <w:rPr>
          <w:rFonts w:hint="eastAsia" w:ascii="宋体" w:hAnsi="宋体" w:eastAsia="宋体" w:cs="宋体"/>
          <w:color w:val="auto"/>
          <w:spacing w:val="0"/>
          <w:sz w:val="28"/>
          <w:szCs w:val="28"/>
          <w:highlight w:val="none"/>
        </w:rPr>
        <w:t>支付违约金。 由</w:t>
      </w:r>
      <w:r>
        <w:rPr>
          <w:rFonts w:hint="eastAsia" w:ascii="宋体" w:hAnsi="宋体" w:eastAsia="宋体" w:cs="宋体"/>
          <w:color w:val="auto"/>
          <w:spacing w:val="0"/>
          <w:sz w:val="28"/>
          <w:szCs w:val="28"/>
          <w:highlight w:val="none"/>
          <w:lang w:eastAsia="zh-CN"/>
        </w:rPr>
        <w:t>建设单位</w:t>
      </w:r>
      <w:r>
        <w:rPr>
          <w:rFonts w:hint="eastAsia" w:ascii="宋体" w:hAnsi="宋体" w:eastAsia="宋体" w:cs="宋体"/>
          <w:color w:val="auto"/>
          <w:spacing w:val="0"/>
          <w:sz w:val="28"/>
          <w:szCs w:val="28"/>
          <w:highlight w:val="none"/>
        </w:rPr>
        <w:t>报上级有关行政监督部门进行处理并依照相关规定将结果记入承包人的市场主体信用档案，公布不良行为记录。</w:t>
      </w:r>
    </w:p>
    <w:p w14:paraId="37986CF5">
      <w:pPr>
        <w:pageBreakBefore w:val="0"/>
        <w:kinsoku/>
        <w:wordWrap/>
        <w:overflowPunct/>
        <w:topLinePunct w:val="0"/>
        <w:bidi w:val="0"/>
        <w:spacing w:line="500" w:lineRule="exact"/>
        <w:ind w:left="0" w:right="0"/>
        <w:rPr>
          <w:rFonts w:hint="eastAsia" w:ascii="宋体" w:hAnsi="宋体" w:eastAsia="宋体" w:cs="宋体"/>
          <w:color w:val="auto"/>
          <w:spacing w:val="0"/>
          <w:sz w:val="28"/>
          <w:szCs w:val="28"/>
          <w:highlight w:val="none"/>
        </w:rPr>
      </w:pPr>
      <w:r>
        <w:rPr>
          <w:rFonts w:hint="eastAsia" w:ascii="宋体" w:hAnsi="宋体" w:eastAsia="宋体" w:cs="宋体"/>
          <w:color w:val="auto"/>
          <w:spacing w:val="0"/>
          <w:sz w:val="28"/>
          <w:szCs w:val="28"/>
          <w:highlight w:val="none"/>
        </w:rPr>
        <w:t>　　4.7.3 尽管承包人已按第 4.6.2 款的规定派遣了各类人员，但仍然不能满足合同工程的进度计划或质量要求时，</w:t>
      </w:r>
      <w:r>
        <w:rPr>
          <w:rFonts w:hint="eastAsia" w:ascii="宋体" w:hAnsi="宋体" w:eastAsia="宋体" w:cs="宋体"/>
          <w:color w:val="auto"/>
          <w:spacing w:val="0"/>
          <w:sz w:val="28"/>
          <w:szCs w:val="28"/>
          <w:highlight w:val="none"/>
          <w:lang w:eastAsia="zh-CN"/>
        </w:rPr>
        <w:t>建设单位</w:t>
      </w:r>
      <w:r>
        <w:rPr>
          <w:rFonts w:hint="eastAsia" w:ascii="宋体" w:hAnsi="宋体" w:eastAsia="宋体" w:cs="宋体"/>
          <w:color w:val="auto"/>
          <w:spacing w:val="0"/>
          <w:sz w:val="28"/>
          <w:szCs w:val="28"/>
          <w:highlight w:val="none"/>
        </w:rPr>
        <w:t xml:space="preserve">有权要求承包人继续增派(/或更换) 人员。承包人在接到通知 14 天内，增派(和/或更换)的人员要到岗，否则，承包人应按每人每天人民币 </w:t>
      </w:r>
      <w:r>
        <w:rPr>
          <w:rFonts w:hint="eastAsia" w:ascii="宋体" w:hAnsi="宋体" w:eastAsia="宋体" w:cs="宋体"/>
          <w:color w:val="auto"/>
          <w:spacing w:val="0"/>
          <w:sz w:val="28"/>
          <w:szCs w:val="28"/>
          <w:highlight w:val="none"/>
          <w:u w:val="single"/>
        </w:rPr>
        <w:t xml:space="preserve">500 </w:t>
      </w:r>
      <w:r>
        <w:rPr>
          <w:rFonts w:hint="eastAsia" w:ascii="宋体" w:hAnsi="宋体" w:eastAsia="宋体" w:cs="宋体"/>
          <w:color w:val="auto"/>
          <w:spacing w:val="0"/>
          <w:sz w:val="28"/>
          <w:szCs w:val="28"/>
          <w:highlight w:val="none"/>
        </w:rPr>
        <w:t>元的标准向</w:t>
      </w:r>
      <w:r>
        <w:rPr>
          <w:rFonts w:hint="eastAsia" w:ascii="宋体" w:hAnsi="宋体" w:eastAsia="宋体" w:cs="宋体"/>
          <w:color w:val="auto"/>
          <w:spacing w:val="0"/>
          <w:sz w:val="28"/>
          <w:szCs w:val="28"/>
          <w:highlight w:val="none"/>
          <w:lang w:eastAsia="zh-CN"/>
        </w:rPr>
        <w:t>建设单位</w:t>
      </w:r>
      <w:r>
        <w:rPr>
          <w:rFonts w:hint="eastAsia" w:ascii="宋体" w:hAnsi="宋体" w:eastAsia="宋体" w:cs="宋体"/>
          <w:color w:val="auto"/>
          <w:spacing w:val="0"/>
          <w:sz w:val="28"/>
          <w:szCs w:val="28"/>
          <w:highlight w:val="none"/>
        </w:rPr>
        <w:t>支付违约金，直至按照</w:t>
      </w:r>
      <w:r>
        <w:rPr>
          <w:rFonts w:hint="eastAsia" w:ascii="宋体" w:hAnsi="宋体" w:eastAsia="宋体" w:cs="宋体"/>
          <w:color w:val="auto"/>
          <w:spacing w:val="0"/>
          <w:sz w:val="28"/>
          <w:szCs w:val="28"/>
          <w:highlight w:val="none"/>
          <w:lang w:eastAsia="zh-CN"/>
        </w:rPr>
        <w:t>建设单位</w:t>
      </w:r>
      <w:r>
        <w:rPr>
          <w:rFonts w:hint="eastAsia" w:ascii="宋体" w:hAnsi="宋体" w:eastAsia="宋体" w:cs="宋体"/>
          <w:color w:val="auto"/>
          <w:spacing w:val="0"/>
          <w:sz w:val="28"/>
          <w:szCs w:val="28"/>
          <w:highlight w:val="none"/>
        </w:rPr>
        <w:t>的要求增派(和/或更换)的人员到岗为此。</w:t>
      </w:r>
    </w:p>
    <w:bookmarkEnd w:id="173"/>
    <w:bookmarkEnd w:id="174"/>
    <w:bookmarkEnd w:id="175"/>
    <w:p w14:paraId="09F740C5">
      <w:pPr>
        <w:pStyle w:val="116"/>
        <w:pageBreakBefore w:val="0"/>
        <w:kinsoku/>
        <w:wordWrap/>
        <w:overflowPunct/>
        <w:topLinePunct w:val="0"/>
        <w:bidi w:val="0"/>
        <w:spacing w:beforeLines="0" w:afterLines="0" w:line="500" w:lineRule="exact"/>
        <w:ind w:left="0" w:right="0"/>
        <w:rPr>
          <w:rFonts w:hint="eastAsia" w:ascii="宋体" w:hAnsi="宋体" w:eastAsia="宋体" w:cs="宋体"/>
          <w:color w:val="auto"/>
          <w:spacing w:val="0"/>
          <w:sz w:val="28"/>
          <w:szCs w:val="28"/>
          <w:highlight w:val="none"/>
          <w:lang w:eastAsia="zh-CN" w:bidi="en-US"/>
        </w:rPr>
      </w:pPr>
      <w:bookmarkStart w:id="176" w:name="bookmark1664"/>
      <w:bookmarkEnd w:id="176"/>
      <w:bookmarkStart w:id="177" w:name="_Toc29283"/>
      <w:bookmarkStart w:id="178" w:name="_Toc12517"/>
      <w:bookmarkStart w:id="179" w:name="_Toc11500"/>
      <w:bookmarkStart w:id="180" w:name="_Toc28810"/>
      <w:bookmarkStart w:id="181" w:name="bookmark1662"/>
      <w:bookmarkStart w:id="182" w:name="_Toc24595"/>
      <w:bookmarkStart w:id="183" w:name="_Toc30449"/>
      <w:bookmarkStart w:id="184" w:name="bookmark1665"/>
      <w:bookmarkStart w:id="185" w:name="_Toc3236"/>
      <w:bookmarkStart w:id="186" w:name="_Toc25976"/>
      <w:bookmarkStart w:id="187" w:name="_Toc22685"/>
      <w:bookmarkStart w:id="188" w:name="bookmark1663"/>
      <w:r>
        <w:rPr>
          <w:rFonts w:hint="eastAsia" w:ascii="宋体" w:hAnsi="宋体" w:eastAsia="宋体" w:cs="宋体"/>
          <w:color w:val="auto"/>
          <w:spacing w:val="0"/>
          <w:sz w:val="28"/>
          <w:szCs w:val="28"/>
          <w:highlight w:val="none"/>
          <w:lang w:eastAsia="zh-CN" w:bidi="en-US"/>
        </w:rPr>
        <w:t>4.11不利物质条件</w:t>
      </w:r>
      <w:bookmarkEnd w:id="177"/>
      <w:bookmarkEnd w:id="178"/>
      <w:bookmarkEnd w:id="179"/>
      <w:bookmarkEnd w:id="180"/>
    </w:p>
    <w:p w14:paraId="4961516E">
      <w:pPr>
        <w:pStyle w:val="115"/>
        <w:pageBreakBefore w:val="0"/>
        <w:tabs>
          <w:tab w:val="left" w:pos="8230"/>
        </w:tabs>
        <w:kinsoku/>
        <w:wordWrap/>
        <w:overflowPunct/>
        <w:topLinePunct w:val="0"/>
        <w:bidi w:val="0"/>
        <w:spacing w:line="500" w:lineRule="exact"/>
        <w:ind w:left="0" w:right="0" w:firstLine="0"/>
        <w:jc w:val="both"/>
        <w:rPr>
          <w:rFonts w:hint="eastAsia" w:ascii="宋体" w:hAnsi="宋体" w:eastAsia="宋体" w:cs="宋体"/>
          <w:color w:val="auto"/>
          <w:spacing w:val="0"/>
          <w:sz w:val="28"/>
          <w:szCs w:val="28"/>
          <w:highlight w:val="none"/>
        </w:rPr>
      </w:pPr>
      <w:r>
        <w:rPr>
          <w:rFonts w:hint="eastAsia" w:ascii="宋体" w:hAnsi="宋体" w:eastAsia="宋体" w:cs="宋体"/>
          <w:color w:val="auto"/>
          <w:spacing w:val="0"/>
          <w:sz w:val="28"/>
          <w:szCs w:val="28"/>
          <w:highlight w:val="none"/>
          <w:lang w:val="en-US" w:bidi="en-US"/>
        </w:rPr>
        <w:t>　　4.11.1</w:t>
      </w:r>
      <w:r>
        <w:rPr>
          <w:rFonts w:hint="eastAsia" w:ascii="宋体" w:hAnsi="宋体" w:eastAsia="宋体" w:cs="宋体"/>
          <w:color w:val="auto"/>
          <w:spacing w:val="0"/>
          <w:sz w:val="28"/>
          <w:szCs w:val="28"/>
          <w:highlight w:val="none"/>
        </w:rPr>
        <w:t>不利物质条件的范围：</w:t>
      </w:r>
      <w:r>
        <w:rPr>
          <w:rFonts w:hint="eastAsia" w:ascii="宋体" w:hAnsi="宋体" w:eastAsia="宋体" w:cs="宋体"/>
          <w:color w:val="auto"/>
          <w:spacing w:val="0"/>
          <w:sz w:val="28"/>
          <w:szCs w:val="28"/>
          <w:highlight w:val="none"/>
          <w:u w:val="single"/>
        </w:rPr>
        <w:t xml:space="preserve">无 </w:t>
      </w:r>
      <w:r>
        <w:rPr>
          <w:rFonts w:hint="eastAsia" w:ascii="宋体" w:hAnsi="宋体" w:eastAsia="宋体" w:cs="宋体"/>
          <w:color w:val="auto"/>
          <w:spacing w:val="0"/>
          <w:sz w:val="28"/>
          <w:szCs w:val="28"/>
          <w:highlight w:val="none"/>
          <w:lang w:val="en-US" w:bidi="en-US"/>
        </w:rPr>
        <w:t>。</w:t>
      </w:r>
    </w:p>
    <w:p w14:paraId="51659B8A">
      <w:pPr>
        <w:pStyle w:val="116"/>
        <w:pageBreakBefore w:val="0"/>
        <w:kinsoku/>
        <w:wordWrap/>
        <w:overflowPunct/>
        <w:topLinePunct w:val="0"/>
        <w:bidi w:val="0"/>
        <w:spacing w:beforeLines="0" w:afterLines="0" w:line="500" w:lineRule="exact"/>
        <w:ind w:left="0" w:right="0"/>
        <w:rPr>
          <w:rFonts w:hint="eastAsia" w:ascii="宋体" w:hAnsi="宋体" w:eastAsia="宋体" w:cs="宋体"/>
          <w:color w:val="auto"/>
          <w:spacing w:val="0"/>
          <w:sz w:val="28"/>
          <w:szCs w:val="28"/>
          <w:highlight w:val="none"/>
          <w:lang w:eastAsia="zh-CN"/>
        </w:rPr>
      </w:pPr>
      <w:r>
        <w:rPr>
          <w:rFonts w:hint="eastAsia" w:ascii="宋体" w:hAnsi="宋体" w:eastAsia="宋体" w:cs="宋体"/>
          <w:color w:val="auto"/>
          <w:spacing w:val="0"/>
          <w:sz w:val="28"/>
          <w:szCs w:val="28"/>
          <w:highlight w:val="none"/>
          <w:lang w:eastAsia="zh-CN"/>
        </w:rPr>
        <w:t>5. 材料和工程设备</w:t>
      </w:r>
      <w:bookmarkEnd w:id="181"/>
      <w:bookmarkEnd w:id="182"/>
      <w:bookmarkEnd w:id="183"/>
      <w:bookmarkEnd w:id="184"/>
      <w:bookmarkEnd w:id="185"/>
      <w:bookmarkEnd w:id="186"/>
      <w:bookmarkEnd w:id="187"/>
      <w:bookmarkEnd w:id="188"/>
    </w:p>
    <w:p w14:paraId="0309155C">
      <w:pPr>
        <w:pStyle w:val="116"/>
        <w:pageBreakBefore w:val="0"/>
        <w:kinsoku/>
        <w:wordWrap/>
        <w:overflowPunct/>
        <w:topLinePunct w:val="0"/>
        <w:bidi w:val="0"/>
        <w:spacing w:beforeLines="0" w:afterLines="0" w:line="500" w:lineRule="exact"/>
        <w:ind w:left="0" w:right="0"/>
        <w:rPr>
          <w:rFonts w:hint="eastAsia" w:ascii="宋体" w:hAnsi="宋体" w:eastAsia="宋体" w:cs="宋体"/>
          <w:color w:val="auto"/>
          <w:spacing w:val="0"/>
          <w:sz w:val="28"/>
          <w:szCs w:val="28"/>
          <w:highlight w:val="none"/>
          <w:lang w:eastAsia="zh-CN" w:bidi="en-US"/>
        </w:rPr>
      </w:pPr>
      <w:bookmarkStart w:id="189" w:name="bookmark1668"/>
      <w:bookmarkStart w:id="190" w:name="bookmark1666"/>
      <w:bookmarkStart w:id="191" w:name="_Toc17175"/>
      <w:bookmarkStart w:id="192" w:name="_Toc21711"/>
      <w:bookmarkStart w:id="193" w:name="_Toc6736"/>
      <w:bookmarkStart w:id="194" w:name="bookmark1667"/>
      <w:bookmarkStart w:id="195" w:name="_Toc23149"/>
      <w:r>
        <w:rPr>
          <w:rFonts w:hint="eastAsia" w:ascii="宋体" w:hAnsi="宋体" w:eastAsia="宋体" w:cs="宋体"/>
          <w:color w:val="auto"/>
          <w:spacing w:val="0"/>
          <w:sz w:val="28"/>
          <w:szCs w:val="28"/>
          <w:highlight w:val="none"/>
          <w:lang w:eastAsia="zh-CN" w:bidi="en-US"/>
        </w:rPr>
        <w:t>5.1承包人提供的材料和工程设备</w:t>
      </w:r>
    </w:p>
    <w:p w14:paraId="66FFF621">
      <w:pPr>
        <w:pStyle w:val="115"/>
        <w:pageBreakBefore w:val="0"/>
        <w:tabs>
          <w:tab w:val="left" w:pos="8230"/>
        </w:tabs>
        <w:kinsoku/>
        <w:wordWrap/>
        <w:overflowPunct/>
        <w:topLinePunct w:val="0"/>
        <w:bidi w:val="0"/>
        <w:spacing w:line="500" w:lineRule="exact"/>
        <w:ind w:left="0" w:right="0" w:firstLine="0"/>
        <w:jc w:val="both"/>
        <w:rPr>
          <w:rFonts w:hint="eastAsia" w:ascii="宋体" w:hAnsi="宋体" w:eastAsia="宋体" w:cs="宋体"/>
          <w:color w:val="auto"/>
          <w:spacing w:val="0"/>
          <w:sz w:val="28"/>
          <w:szCs w:val="28"/>
          <w:highlight w:val="none"/>
        </w:rPr>
      </w:pPr>
      <w:r>
        <w:rPr>
          <w:rFonts w:hint="eastAsia" w:ascii="宋体" w:hAnsi="宋体" w:eastAsia="宋体" w:cs="宋体"/>
          <w:color w:val="auto"/>
          <w:spacing w:val="0"/>
          <w:sz w:val="28"/>
          <w:szCs w:val="28"/>
          <w:highlight w:val="none"/>
        </w:rPr>
        <w:t>　　5.1.2本工程承包人所用钢筋，性能相当于柳钢、水城、平钢生产的产品；水泥性能相当于鱼峰牌、华润牌（红水河牌）、海螺牌的产品标准。管材及配件必须按性能、技术要求、质量标准提供未经使用的全新产品，</w:t>
      </w:r>
      <w:r>
        <w:rPr>
          <w:rFonts w:hint="eastAsia" w:cs="宋体"/>
          <w:color w:val="auto"/>
          <w:spacing w:val="0"/>
          <w:sz w:val="28"/>
          <w:szCs w:val="28"/>
          <w:highlight w:val="none"/>
          <w:lang w:eastAsia="zh-CN"/>
        </w:rPr>
        <w:t>建设单位</w:t>
      </w:r>
      <w:r>
        <w:rPr>
          <w:rFonts w:hint="eastAsia" w:ascii="宋体" w:hAnsi="宋体" w:eastAsia="宋体" w:cs="宋体"/>
          <w:color w:val="auto"/>
          <w:spacing w:val="0"/>
          <w:sz w:val="28"/>
          <w:szCs w:val="28"/>
          <w:highlight w:val="none"/>
        </w:rPr>
        <w:t>和监理方根据自治区水利厅印发“《关于进一步加强农村饮水安全工程管材管理的意见》的通知(桂水农水[2014]51号)”和“关于印发《广西水利工程建设管材管件质量检测管理暂行办法》的通知（桂水质监[2014]8号）”有关规定进行检测（检测费用由承包方承担，不合格产品全部退回，承包方需负责承担一切损失）。</w:t>
      </w:r>
    </w:p>
    <w:p w14:paraId="7F105A21">
      <w:pPr>
        <w:pStyle w:val="116"/>
        <w:pageBreakBefore w:val="0"/>
        <w:kinsoku/>
        <w:wordWrap/>
        <w:overflowPunct/>
        <w:topLinePunct w:val="0"/>
        <w:bidi w:val="0"/>
        <w:spacing w:beforeLines="0" w:afterLines="0" w:line="500" w:lineRule="exact"/>
        <w:ind w:left="0" w:right="0"/>
        <w:rPr>
          <w:rFonts w:hint="eastAsia" w:ascii="宋体" w:hAnsi="宋体" w:eastAsia="宋体" w:cs="宋体"/>
          <w:color w:val="auto"/>
          <w:spacing w:val="0"/>
          <w:sz w:val="28"/>
          <w:szCs w:val="28"/>
          <w:highlight w:val="none"/>
          <w:lang w:eastAsia="zh-CN" w:bidi="en-US"/>
        </w:rPr>
      </w:pPr>
      <w:r>
        <w:rPr>
          <w:rFonts w:hint="eastAsia" w:ascii="宋体" w:hAnsi="宋体" w:eastAsia="宋体" w:cs="宋体"/>
          <w:color w:val="auto"/>
          <w:spacing w:val="0"/>
          <w:sz w:val="28"/>
          <w:szCs w:val="28"/>
          <w:highlight w:val="none"/>
          <w:lang w:eastAsia="zh-CN" w:bidi="en-US"/>
        </w:rPr>
        <w:t>5.2</w:t>
      </w:r>
      <w:r>
        <w:rPr>
          <w:rFonts w:hint="eastAsia" w:ascii="宋体" w:hAnsi="宋体" w:cs="宋体"/>
          <w:color w:val="auto"/>
          <w:spacing w:val="0"/>
          <w:sz w:val="28"/>
          <w:szCs w:val="28"/>
          <w:highlight w:val="none"/>
          <w:lang w:eastAsia="zh-CN" w:bidi="en-US"/>
        </w:rPr>
        <w:t>建设单位</w:t>
      </w:r>
      <w:r>
        <w:rPr>
          <w:rFonts w:hint="eastAsia" w:ascii="宋体" w:hAnsi="宋体" w:eastAsia="宋体" w:cs="宋体"/>
          <w:color w:val="auto"/>
          <w:spacing w:val="0"/>
          <w:sz w:val="28"/>
          <w:szCs w:val="28"/>
          <w:highlight w:val="none"/>
          <w:lang w:eastAsia="zh-CN" w:bidi="en-US"/>
        </w:rPr>
        <w:t>提供的材料和工程设备</w:t>
      </w:r>
      <w:bookmarkEnd w:id="189"/>
      <w:bookmarkEnd w:id="190"/>
      <w:bookmarkEnd w:id="191"/>
      <w:bookmarkEnd w:id="192"/>
      <w:bookmarkEnd w:id="193"/>
      <w:bookmarkEnd w:id="194"/>
      <w:bookmarkEnd w:id="195"/>
    </w:p>
    <w:p w14:paraId="33BA9E22">
      <w:pPr>
        <w:pStyle w:val="115"/>
        <w:pageBreakBefore w:val="0"/>
        <w:tabs>
          <w:tab w:val="left" w:pos="8230"/>
        </w:tabs>
        <w:kinsoku/>
        <w:wordWrap/>
        <w:overflowPunct/>
        <w:topLinePunct w:val="0"/>
        <w:bidi w:val="0"/>
        <w:spacing w:line="500" w:lineRule="exact"/>
        <w:ind w:left="0" w:right="0" w:firstLine="0"/>
        <w:jc w:val="both"/>
        <w:rPr>
          <w:rFonts w:hint="eastAsia" w:ascii="宋体" w:hAnsi="宋体" w:eastAsia="宋体" w:cs="宋体"/>
          <w:color w:val="auto"/>
          <w:spacing w:val="0"/>
          <w:sz w:val="28"/>
          <w:szCs w:val="28"/>
          <w:highlight w:val="none"/>
        </w:rPr>
      </w:pPr>
      <w:bookmarkStart w:id="196" w:name="bookmark1669"/>
      <w:bookmarkEnd w:id="196"/>
      <w:r>
        <w:rPr>
          <w:rFonts w:hint="eastAsia" w:ascii="宋体" w:hAnsi="宋体" w:eastAsia="宋体" w:cs="宋体"/>
          <w:color w:val="auto"/>
          <w:spacing w:val="0"/>
          <w:sz w:val="28"/>
          <w:szCs w:val="28"/>
          <w:highlight w:val="none"/>
        </w:rPr>
        <w:t>　　5.2.1  本工程</w:t>
      </w:r>
      <w:r>
        <w:rPr>
          <w:rFonts w:hint="eastAsia" w:cs="宋体"/>
          <w:color w:val="auto"/>
          <w:spacing w:val="0"/>
          <w:sz w:val="28"/>
          <w:szCs w:val="28"/>
          <w:highlight w:val="none"/>
          <w:lang w:eastAsia="zh-CN"/>
        </w:rPr>
        <w:t>建设单位</w:t>
      </w:r>
      <w:r>
        <w:rPr>
          <w:rFonts w:hint="eastAsia" w:ascii="宋体" w:hAnsi="宋体" w:eastAsia="宋体" w:cs="宋体"/>
          <w:color w:val="auto"/>
          <w:spacing w:val="0"/>
          <w:sz w:val="28"/>
          <w:szCs w:val="28"/>
          <w:highlight w:val="none"/>
        </w:rPr>
        <w:t>无提供任何材料和工程设备。</w:t>
      </w:r>
    </w:p>
    <w:p w14:paraId="0BD8AFA8">
      <w:pPr>
        <w:pStyle w:val="116"/>
        <w:pageBreakBefore w:val="0"/>
        <w:kinsoku/>
        <w:wordWrap/>
        <w:overflowPunct/>
        <w:topLinePunct w:val="0"/>
        <w:bidi w:val="0"/>
        <w:spacing w:beforeLines="0" w:afterLines="0" w:line="500" w:lineRule="exact"/>
        <w:ind w:left="0" w:right="0"/>
        <w:rPr>
          <w:rFonts w:hint="eastAsia" w:ascii="宋体" w:hAnsi="宋体" w:eastAsia="宋体" w:cs="宋体"/>
          <w:color w:val="auto"/>
          <w:spacing w:val="0"/>
          <w:sz w:val="28"/>
          <w:szCs w:val="28"/>
          <w:highlight w:val="none"/>
          <w:lang w:eastAsia="zh-CN"/>
        </w:rPr>
      </w:pPr>
      <w:bookmarkStart w:id="197" w:name="bookmark1672"/>
      <w:bookmarkEnd w:id="197"/>
      <w:bookmarkStart w:id="198" w:name="bookmark1671"/>
      <w:bookmarkStart w:id="199" w:name="_Toc453"/>
      <w:bookmarkStart w:id="200" w:name="_Toc8863"/>
      <w:bookmarkStart w:id="201" w:name="_Toc17810"/>
      <w:bookmarkStart w:id="202" w:name="_Toc27780"/>
      <w:bookmarkStart w:id="203" w:name="_Toc13415"/>
      <w:bookmarkStart w:id="204" w:name="bookmark1673"/>
      <w:bookmarkStart w:id="205" w:name="_Toc6599"/>
      <w:bookmarkStart w:id="206" w:name="bookmark1670"/>
      <w:bookmarkStart w:id="207" w:name="_Toc9582"/>
      <w:r>
        <w:rPr>
          <w:rFonts w:hint="eastAsia" w:ascii="宋体" w:hAnsi="宋体" w:eastAsia="宋体" w:cs="宋体"/>
          <w:color w:val="auto"/>
          <w:spacing w:val="0"/>
          <w:sz w:val="28"/>
          <w:szCs w:val="28"/>
          <w:highlight w:val="none"/>
          <w:lang w:eastAsia="zh-CN"/>
        </w:rPr>
        <w:t>6. 施工设备和临时设施</w:t>
      </w:r>
      <w:bookmarkEnd w:id="198"/>
      <w:bookmarkEnd w:id="199"/>
      <w:bookmarkEnd w:id="200"/>
      <w:bookmarkEnd w:id="201"/>
      <w:bookmarkEnd w:id="202"/>
      <w:bookmarkEnd w:id="203"/>
      <w:bookmarkEnd w:id="204"/>
      <w:bookmarkEnd w:id="205"/>
      <w:bookmarkEnd w:id="206"/>
      <w:bookmarkEnd w:id="207"/>
    </w:p>
    <w:p w14:paraId="67F1E730">
      <w:pPr>
        <w:pStyle w:val="116"/>
        <w:pageBreakBefore w:val="0"/>
        <w:kinsoku/>
        <w:wordWrap/>
        <w:overflowPunct/>
        <w:topLinePunct w:val="0"/>
        <w:bidi w:val="0"/>
        <w:spacing w:beforeLines="0" w:afterLines="0" w:line="500" w:lineRule="exact"/>
        <w:ind w:left="0" w:right="0"/>
        <w:rPr>
          <w:rFonts w:hint="eastAsia" w:ascii="宋体" w:hAnsi="宋体" w:eastAsia="宋体" w:cs="宋体"/>
          <w:color w:val="auto"/>
          <w:spacing w:val="0"/>
          <w:sz w:val="28"/>
          <w:szCs w:val="28"/>
          <w:highlight w:val="none"/>
          <w:lang w:eastAsia="zh-CN" w:bidi="en-US"/>
        </w:rPr>
      </w:pPr>
      <w:bookmarkStart w:id="208" w:name="bookmark1676"/>
      <w:bookmarkStart w:id="209" w:name="_Toc13374"/>
      <w:bookmarkStart w:id="210" w:name="_Toc6250"/>
      <w:bookmarkStart w:id="211" w:name="_Toc20892"/>
      <w:bookmarkStart w:id="212" w:name="_Toc29029"/>
      <w:bookmarkStart w:id="213" w:name="bookmark1674"/>
      <w:bookmarkStart w:id="214" w:name="bookmark1675"/>
      <w:r>
        <w:rPr>
          <w:rFonts w:hint="eastAsia" w:ascii="宋体" w:hAnsi="宋体" w:eastAsia="宋体" w:cs="宋体"/>
          <w:color w:val="auto"/>
          <w:spacing w:val="0"/>
          <w:sz w:val="28"/>
          <w:szCs w:val="28"/>
          <w:highlight w:val="none"/>
          <w:lang w:eastAsia="zh-CN" w:bidi="en-US"/>
        </w:rPr>
        <w:t>6.1承包人提供的施工设备和临时设施</w:t>
      </w:r>
      <w:bookmarkEnd w:id="208"/>
      <w:bookmarkEnd w:id="209"/>
      <w:bookmarkEnd w:id="210"/>
      <w:bookmarkEnd w:id="211"/>
      <w:bookmarkEnd w:id="212"/>
      <w:bookmarkEnd w:id="213"/>
      <w:bookmarkEnd w:id="214"/>
    </w:p>
    <w:p w14:paraId="1C8F401E">
      <w:pPr>
        <w:pStyle w:val="115"/>
        <w:pageBreakBefore w:val="0"/>
        <w:kinsoku/>
        <w:wordWrap/>
        <w:overflowPunct/>
        <w:topLinePunct w:val="0"/>
        <w:bidi w:val="0"/>
        <w:spacing w:line="500" w:lineRule="exact"/>
        <w:ind w:left="0" w:right="0" w:firstLine="0"/>
        <w:jc w:val="both"/>
        <w:rPr>
          <w:rFonts w:hint="eastAsia" w:ascii="宋体" w:hAnsi="宋体" w:eastAsia="宋体" w:cs="宋体"/>
          <w:color w:val="auto"/>
          <w:spacing w:val="0"/>
          <w:sz w:val="28"/>
          <w:szCs w:val="28"/>
          <w:highlight w:val="none"/>
        </w:rPr>
      </w:pPr>
      <w:r>
        <w:rPr>
          <w:rFonts w:hint="eastAsia" w:ascii="宋体" w:hAnsi="宋体" w:eastAsia="宋体" w:cs="宋体"/>
          <w:color w:val="auto"/>
          <w:spacing w:val="0"/>
          <w:sz w:val="28"/>
          <w:szCs w:val="28"/>
          <w:highlight w:val="none"/>
          <w:lang w:val="en-US" w:bidi="en-US"/>
        </w:rPr>
        <w:t>　　6.1.2</w:t>
      </w:r>
      <w:r>
        <w:rPr>
          <w:rFonts w:hint="eastAsia" w:ascii="宋体" w:hAnsi="宋体" w:eastAsia="宋体" w:cs="宋体"/>
          <w:color w:val="auto"/>
          <w:spacing w:val="0"/>
          <w:sz w:val="28"/>
          <w:szCs w:val="28"/>
          <w:highlight w:val="none"/>
        </w:rPr>
        <w:t>承包人自行承担修建临时设施的费用，需要临时占地的，由承包人办理相关申请手续，</w:t>
      </w:r>
      <w:r>
        <w:rPr>
          <w:rFonts w:hint="eastAsia" w:cs="宋体"/>
          <w:color w:val="auto"/>
          <w:spacing w:val="0"/>
          <w:sz w:val="28"/>
          <w:szCs w:val="28"/>
          <w:highlight w:val="none"/>
          <w:lang w:eastAsia="zh-CN"/>
        </w:rPr>
        <w:t>建设单位</w:t>
      </w:r>
      <w:r>
        <w:rPr>
          <w:rFonts w:hint="eastAsia" w:ascii="宋体" w:hAnsi="宋体" w:eastAsia="宋体" w:cs="宋体"/>
          <w:color w:val="auto"/>
          <w:spacing w:val="0"/>
          <w:sz w:val="28"/>
          <w:szCs w:val="28"/>
          <w:highlight w:val="none"/>
        </w:rPr>
        <w:t>予以协助，发生的相关费用由承包人承担。</w:t>
      </w:r>
    </w:p>
    <w:p w14:paraId="4D8D6ABE">
      <w:pPr>
        <w:pStyle w:val="116"/>
        <w:pageBreakBefore w:val="0"/>
        <w:kinsoku/>
        <w:wordWrap/>
        <w:overflowPunct/>
        <w:topLinePunct w:val="0"/>
        <w:bidi w:val="0"/>
        <w:spacing w:beforeLines="0" w:afterLines="0" w:line="500" w:lineRule="exact"/>
        <w:ind w:left="0" w:right="0"/>
        <w:rPr>
          <w:rFonts w:hint="eastAsia" w:ascii="宋体" w:hAnsi="宋体" w:eastAsia="宋体" w:cs="宋体"/>
          <w:color w:val="auto"/>
          <w:spacing w:val="0"/>
          <w:sz w:val="28"/>
          <w:szCs w:val="28"/>
          <w:highlight w:val="none"/>
          <w:lang w:eastAsia="zh-CN" w:bidi="en-US"/>
        </w:rPr>
      </w:pPr>
      <w:bookmarkStart w:id="215" w:name="bookmark1679"/>
      <w:bookmarkStart w:id="216" w:name="_Toc1454"/>
      <w:bookmarkStart w:id="217" w:name="bookmark1677"/>
      <w:bookmarkStart w:id="218" w:name="_Toc20771"/>
      <w:bookmarkStart w:id="219" w:name="_Toc14212"/>
      <w:bookmarkStart w:id="220" w:name="bookmark1678"/>
      <w:bookmarkStart w:id="221" w:name="_Toc28085"/>
      <w:bookmarkStart w:id="222" w:name="_Toc8746"/>
      <w:bookmarkStart w:id="223" w:name="_Toc18798"/>
      <w:bookmarkStart w:id="224" w:name="bookmark1682"/>
      <w:bookmarkStart w:id="225" w:name="bookmark1685"/>
      <w:bookmarkStart w:id="226" w:name="_Toc20581"/>
      <w:bookmarkStart w:id="227" w:name="_Toc24910"/>
      <w:bookmarkStart w:id="228" w:name="_Toc16046"/>
      <w:bookmarkStart w:id="229" w:name="_Toc12202"/>
      <w:bookmarkStart w:id="230" w:name="bookmark1683"/>
      <w:bookmarkStart w:id="231" w:name="_Toc9116"/>
      <w:bookmarkStart w:id="232" w:name="bookmark1688"/>
      <w:bookmarkStart w:id="233" w:name="bookmark1687"/>
      <w:bookmarkStart w:id="234" w:name="bookmark1686"/>
      <w:r>
        <w:rPr>
          <w:rFonts w:hint="eastAsia" w:ascii="宋体" w:hAnsi="宋体" w:eastAsia="宋体" w:cs="宋体"/>
          <w:color w:val="auto"/>
          <w:spacing w:val="0"/>
          <w:sz w:val="28"/>
          <w:szCs w:val="28"/>
          <w:highlight w:val="none"/>
          <w:lang w:eastAsia="zh-CN" w:bidi="en-US"/>
        </w:rPr>
        <w:t>6.2</w:t>
      </w:r>
      <w:r>
        <w:rPr>
          <w:rFonts w:hint="eastAsia" w:ascii="宋体" w:hAnsi="宋体" w:cs="宋体"/>
          <w:color w:val="auto"/>
          <w:spacing w:val="0"/>
          <w:sz w:val="28"/>
          <w:szCs w:val="28"/>
          <w:highlight w:val="none"/>
          <w:lang w:eastAsia="zh-CN" w:bidi="en-US"/>
        </w:rPr>
        <w:t>建设单位</w:t>
      </w:r>
      <w:r>
        <w:rPr>
          <w:rFonts w:hint="eastAsia" w:ascii="宋体" w:hAnsi="宋体" w:eastAsia="宋体" w:cs="宋体"/>
          <w:color w:val="auto"/>
          <w:spacing w:val="0"/>
          <w:sz w:val="28"/>
          <w:szCs w:val="28"/>
          <w:highlight w:val="none"/>
          <w:lang w:eastAsia="zh-CN" w:bidi="en-US"/>
        </w:rPr>
        <w:t>提供的施工设备和临时设施</w:t>
      </w:r>
      <w:bookmarkEnd w:id="215"/>
      <w:bookmarkEnd w:id="216"/>
      <w:bookmarkEnd w:id="217"/>
      <w:bookmarkEnd w:id="218"/>
      <w:bookmarkEnd w:id="219"/>
      <w:bookmarkEnd w:id="220"/>
      <w:bookmarkEnd w:id="221"/>
    </w:p>
    <w:p w14:paraId="758D271C">
      <w:pPr>
        <w:pStyle w:val="47"/>
        <w:pageBreakBefore w:val="0"/>
        <w:kinsoku/>
        <w:wordWrap/>
        <w:overflowPunct/>
        <w:topLinePunct w:val="0"/>
        <w:bidi w:val="0"/>
        <w:spacing w:line="500" w:lineRule="exact"/>
        <w:ind w:left="0" w:right="0" w:firstLine="452"/>
        <w:rPr>
          <w:rFonts w:hint="eastAsia" w:ascii="宋体" w:hAnsi="宋体" w:eastAsia="宋体" w:cs="宋体"/>
          <w:color w:val="auto"/>
          <w:spacing w:val="0"/>
          <w:sz w:val="28"/>
          <w:szCs w:val="28"/>
          <w:highlight w:val="none"/>
          <w:lang w:val="zh-CN" w:eastAsia="zh-CN" w:bidi="zh-CN"/>
        </w:rPr>
      </w:pPr>
      <w:bookmarkStart w:id="235" w:name="bookmark1684"/>
      <w:bookmarkEnd w:id="235"/>
      <w:bookmarkStart w:id="236" w:name="bookmark1680"/>
      <w:bookmarkEnd w:id="236"/>
      <w:r>
        <w:rPr>
          <w:rFonts w:hint="eastAsia" w:ascii="宋体" w:hAnsi="宋体" w:eastAsia="宋体" w:cs="宋体"/>
          <w:color w:val="auto"/>
          <w:spacing w:val="0"/>
          <w:sz w:val="28"/>
          <w:szCs w:val="28"/>
          <w:highlight w:val="none"/>
          <w:lang w:val="zh-CN" w:eastAsia="zh-CN" w:bidi="zh-CN"/>
        </w:rPr>
        <w:t>（1）</w:t>
      </w:r>
      <w:r>
        <w:rPr>
          <w:rFonts w:hint="eastAsia" w:ascii="宋体" w:hAnsi="宋体" w:cs="宋体"/>
          <w:color w:val="auto"/>
          <w:spacing w:val="0"/>
          <w:sz w:val="28"/>
          <w:szCs w:val="28"/>
          <w:highlight w:val="none"/>
          <w:lang w:val="zh-CN" w:eastAsia="zh-CN" w:bidi="zh-CN"/>
        </w:rPr>
        <w:t>建设单位</w:t>
      </w:r>
      <w:r>
        <w:rPr>
          <w:rFonts w:hint="eastAsia" w:ascii="宋体" w:hAnsi="宋体" w:eastAsia="宋体" w:cs="宋体"/>
          <w:color w:val="auto"/>
          <w:spacing w:val="0"/>
          <w:sz w:val="28"/>
          <w:szCs w:val="28"/>
          <w:highlight w:val="none"/>
          <w:lang w:val="zh-CN" w:eastAsia="zh-CN" w:bidi="zh-CN"/>
        </w:rPr>
        <w:t>提供的的施工设备：</w:t>
      </w:r>
      <w:r>
        <w:rPr>
          <w:rFonts w:hint="eastAsia" w:ascii="宋体" w:hAnsi="宋体" w:eastAsia="宋体" w:cs="宋体"/>
          <w:color w:val="auto"/>
          <w:spacing w:val="0"/>
          <w:sz w:val="28"/>
          <w:szCs w:val="28"/>
          <w:highlight w:val="none"/>
          <w:u w:val="single"/>
          <w:lang w:val="en-US" w:eastAsia="zh-CN" w:bidi="zh-CN"/>
        </w:rPr>
        <w:t xml:space="preserve">             </w:t>
      </w:r>
      <w:r>
        <w:rPr>
          <w:rFonts w:hint="eastAsia" w:ascii="宋体" w:hAnsi="宋体" w:eastAsia="宋体" w:cs="宋体"/>
          <w:color w:val="auto"/>
          <w:spacing w:val="0"/>
          <w:sz w:val="28"/>
          <w:szCs w:val="28"/>
          <w:highlight w:val="none"/>
          <w:lang w:val="zh-CN" w:eastAsia="zh-CN" w:bidi="zh-CN"/>
        </w:rPr>
        <w:t>。</w:t>
      </w:r>
    </w:p>
    <w:p w14:paraId="7C3262D9">
      <w:pPr>
        <w:pStyle w:val="47"/>
        <w:pageBreakBefore w:val="0"/>
        <w:kinsoku/>
        <w:wordWrap/>
        <w:overflowPunct/>
        <w:topLinePunct w:val="0"/>
        <w:bidi w:val="0"/>
        <w:spacing w:line="500" w:lineRule="exact"/>
        <w:ind w:left="0" w:right="0" w:firstLine="452"/>
        <w:rPr>
          <w:rFonts w:hint="eastAsia" w:ascii="宋体" w:hAnsi="宋体" w:eastAsia="宋体" w:cs="宋体"/>
          <w:color w:val="auto"/>
          <w:spacing w:val="0"/>
          <w:sz w:val="28"/>
          <w:szCs w:val="28"/>
          <w:highlight w:val="none"/>
          <w:lang w:val="zh-CN" w:eastAsia="zh-CN" w:bidi="zh-CN"/>
        </w:rPr>
      </w:pPr>
      <w:r>
        <w:rPr>
          <w:rFonts w:hint="eastAsia" w:ascii="宋体" w:hAnsi="宋体" w:eastAsia="宋体" w:cs="宋体"/>
          <w:color w:val="auto"/>
          <w:spacing w:val="0"/>
          <w:sz w:val="28"/>
          <w:szCs w:val="28"/>
          <w:highlight w:val="none"/>
          <w:lang w:val="zh-CN" w:eastAsia="zh-CN" w:bidi="zh-CN"/>
        </w:rPr>
        <w:t>（2）</w:t>
      </w:r>
      <w:r>
        <w:rPr>
          <w:rFonts w:hint="eastAsia" w:ascii="宋体" w:hAnsi="宋体" w:cs="宋体"/>
          <w:color w:val="auto"/>
          <w:spacing w:val="0"/>
          <w:sz w:val="28"/>
          <w:szCs w:val="28"/>
          <w:highlight w:val="none"/>
          <w:lang w:val="zh-CN" w:eastAsia="zh-CN" w:bidi="zh-CN"/>
        </w:rPr>
        <w:t>建设单位</w:t>
      </w:r>
      <w:r>
        <w:rPr>
          <w:rFonts w:hint="eastAsia" w:ascii="宋体" w:hAnsi="宋体" w:eastAsia="宋体" w:cs="宋体"/>
          <w:color w:val="auto"/>
          <w:spacing w:val="0"/>
          <w:sz w:val="28"/>
          <w:szCs w:val="28"/>
          <w:highlight w:val="none"/>
          <w:lang w:val="zh-CN" w:eastAsia="zh-CN" w:bidi="zh-CN"/>
        </w:rPr>
        <w:t>提供的临时设施：</w:t>
      </w:r>
      <w:r>
        <w:rPr>
          <w:rFonts w:hint="eastAsia" w:ascii="宋体" w:hAnsi="宋体" w:eastAsia="宋体" w:cs="宋体"/>
          <w:color w:val="auto"/>
          <w:spacing w:val="0"/>
          <w:sz w:val="28"/>
          <w:szCs w:val="28"/>
          <w:highlight w:val="none"/>
          <w:u w:val="single"/>
          <w:lang w:val="en-US" w:eastAsia="zh-CN" w:bidi="zh-CN"/>
        </w:rPr>
        <w:t xml:space="preserve">               </w:t>
      </w:r>
      <w:r>
        <w:rPr>
          <w:rFonts w:hint="eastAsia" w:ascii="宋体" w:hAnsi="宋体" w:eastAsia="宋体" w:cs="宋体"/>
          <w:color w:val="auto"/>
          <w:spacing w:val="0"/>
          <w:sz w:val="28"/>
          <w:szCs w:val="28"/>
          <w:highlight w:val="none"/>
          <w:lang w:val="zh-CN" w:eastAsia="zh-CN" w:bidi="zh-CN"/>
        </w:rPr>
        <w:t>。</w:t>
      </w:r>
    </w:p>
    <w:p w14:paraId="45034DFB">
      <w:pPr>
        <w:pStyle w:val="116"/>
        <w:pageBreakBefore w:val="0"/>
        <w:kinsoku/>
        <w:wordWrap/>
        <w:overflowPunct/>
        <w:topLinePunct w:val="0"/>
        <w:bidi w:val="0"/>
        <w:spacing w:beforeLines="0" w:afterLines="0" w:line="500" w:lineRule="exact"/>
        <w:ind w:left="0" w:right="0"/>
        <w:rPr>
          <w:rFonts w:hint="eastAsia" w:ascii="宋体" w:hAnsi="宋体" w:eastAsia="宋体" w:cs="宋体"/>
          <w:color w:val="auto"/>
          <w:spacing w:val="0"/>
          <w:sz w:val="28"/>
          <w:szCs w:val="28"/>
          <w:highlight w:val="none"/>
          <w:lang w:eastAsia="zh-CN"/>
        </w:rPr>
      </w:pPr>
      <w:r>
        <w:rPr>
          <w:rFonts w:hint="eastAsia" w:ascii="宋体" w:hAnsi="宋体" w:eastAsia="宋体" w:cs="宋体"/>
          <w:color w:val="auto"/>
          <w:spacing w:val="0"/>
          <w:sz w:val="28"/>
          <w:szCs w:val="28"/>
          <w:highlight w:val="none"/>
          <w:lang w:eastAsia="zh-CN"/>
        </w:rPr>
        <w:t>7. 交通运输</w:t>
      </w:r>
      <w:bookmarkEnd w:id="222"/>
      <w:bookmarkEnd w:id="223"/>
      <w:bookmarkEnd w:id="224"/>
      <w:bookmarkEnd w:id="225"/>
      <w:bookmarkEnd w:id="226"/>
      <w:bookmarkEnd w:id="227"/>
      <w:bookmarkEnd w:id="228"/>
      <w:bookmarkEnd w:id="229"/>
      <w:bookmarkEnd w:id="230"/>
      <w:bookmarkEnd w:id="231"/>
    </w:p>
    <w:p w14:paraId="4821B407">
      <w:pPr>
        <w:pStyle w:val="116"/>
        <w:pageBreakBefore w:val="0"/>
        <w:kinsoku/>
        <w:wordWrap/>
        <w:overflowPunct/>
        <w:topLinePunct w:val="0"/>
        <w:bidi w:val="0"/>
        <w:spacing w:beforeLines="0" w:afterLines="0" w:line="500" w:lineRule="exact"/>
        <w:ind w:left="0" w:right="0"/>
        <w:rPr>
          <w:rFonts w:hint="eastAsia" w:ascii="宋体" w:hAnsi="宋体" w:eastAsia="宋体" w:cs="宋体"/>
          <w:color w:val="auto"/>
          <w:spacing w:val="0"/>
          <w:sz w:val="28"/>
          <w:szCs w:val="28"/>
          <w:highlight w:val="none"/>
          <w:lang w:eastAsia="zh-CN" w:bidi="en-US"/>
        </w:rPr>
      </w:pPr>
      <w:bookmarkStart w:id="237" w:name="_Toc13571"/>
      <w:bookmarkStart w:id="238" w:name="_Toc22063"/>
      <w:bookmarkStart w:id="239" w:name="_Toc21833"/>
      <w:bookmarkStart w:id="240" w:name="_Toc23651"/>
      <w:r>
        <w:rPr>
          <w:rFonts w:hint="eastAsia" w:ascii="宋体" w:hAnsi="宋体" w:eastAsia="宋体" w:cs="宋体"/>
          <w:color w:val="auto"/>
          <w:spacing w:val="0"/>
          <w:sz w:val="28"/>
          <w:szCs w:val="28"/>
          <w:highlight w:val="none"/>
          <w:lang w:eastAsia="zh-CN" w:bidi="en-US"/>
        </w:rPr>
        <w:t>7.1道路通行权和场外设施</w:t>
      </w:r>
      <w:bookmarkEnd w:id="232"/>
      <w:bookmarkEnd w:id="233"/>
      <w:bookmarkEnd w:id="234"/>
      <w:bookmarkEnd w:id="237"/>
      <w:bookmarkEnd w:id="238"/>
      <w:bookmarkEnd w:id="239"/>
      <w:bookmarkEnd w:id="240"/>
    </w:p>
    <w:p w14:paraId="08B62166">
      <w:pPr>
        <w:pStyle w:val="115"/>
        <w:pageBreakBefore w:val="0"/>
        <w:tabs>
          <w:tab w:val="left" w:pos="8218"/>
        </w:tabs>
        <w:kinsoku/>
        <w:wordWrap/>
        <w:overflowPunct/>
        <w:topLinePunct w:val="0"/>
        <w:bidi w:val="0"/>
        <w:spacing w:line="500" w:lineRule="exact"/>
        <w:ind w:left="0" w:right="0" w:firstLine="0"/>
        <w:jc w:val="both"/>
        <w:rPr>
          <w:rFonts w:hint="eastAsia" w:ascii="宋体" w:hAnsi="宋体" w:eastAsia="宋体" w:cs="宋体"/>
          <w:b/>
          <w:color w:val="auto"/>
          <w:spacing w:val="0"/>
          <w:sz w:val="28"/>
          <w:szCs w:val="28"/>
          <w:highlight w:val="none"/>
          <w:lang w:val="en-US" w:bidi="en-US"/>
        </w:rPr>
      </w:pPr>
      <w:r>
        <w:rPr>
          <w:rFonts w:hint="eastAsia" w:ascii="宋体" w:hAnsi="宋体" w:eastAsia="宋体" w:cs="宋体"/>
          <w:b/>
          <w:color w:val="auto"/>
          <w:spacing w:val="0"/>
          <w:sz w:val="28"/>
          <w:szCs w:val="28"/>
          <w:highlight w:val="none"/>
        </w:rPr>
        <w:t>　　道路通行权和场外设施的约定：</w:t>
      </w:r>
      <w:r>
        <w:rPr>
          <w:rFonts w:hint="eastAsia" w:ascii="宋体" w:hAnsi="宋体" w:eastAsia="宋体" w:cs="宋体"/>
          <w:b/>
          <w:color w:val="auto"/>
          <w:spacing w:val="0"/>
          <w:sz w:val="28"/>
          <w:szCs w:val="28"/>
          <w:highlight w:val="none"/>
          <w:u w:val="single"/>
        </w:rPr>
        <w:t xml:space="preserve">承包人负责并承担费用 </w:t>
      </w:r>
      <w:r>
        <w:rPr>
          <w:rFonts w:hint="eastAsia" w:ascii="宋体" w:hAnsi="宋体" w:eastAsia="宋体" w:cs="宋体"/>
          <w:b/>
          <w:color w:val="auto"/>
          <w:spacing w:val="0"/>
          <w:sz w:val="28"/>
          <w:szCs w:val="28"/>
          <w:highlight w:val="none"/>
          <w:lang w:val="en-US" w:bidi="en-US"/>
        </w:rPr>
        <w:t>。</w:t>
      </w:r>
    </w:p>
    <w:p w14:paraId="4203FDA1">
      <w:pPr>
        <w:pStyle w:val="116"/>
        <w:pageBreakBefore w:val="0"/>
        <w:kinsoku/>
        <w:wordWrap/>
        <w:overflowPunct/>
        <w:topLinePunct w:val="0"/>
        <w:bidi w:val="0"/>
        <w:spacing w:beforeLines="0" w:afterLines="0" w:line="500" w:lineRule="exact"/>
        <w:ind w:left="0" w:right="0"/>
        <w:rPr>
          <w:rFonts w:hint="eastAsia" w:ascii="宋体" w:hAnsi="宋体" w:eastAsia="宋体" w:cs="宋体"/>
          <w:color w:val="auto"/>
          <w:spacing w:val="0"/>
          <w:sz w:val="28"/>
          <w:szCs w:val="28"/>
          <w:highlight w:val="none"/>
          <w:lang w:eastAsia="zh-CN"/>
        </w:rPr>
      </w:pPr>
      <w:bookmarkStart w:id="241" w:name="_Toc28858"/>
      <w:bookmarkStart w:id="242" w:name="_Toc10460"/>
      <w:bookmarkStart w:id="243" w:name="_Toc20851"/>
      <w:bookmarkStart w:id="244" w:name="_Toc13214"/>
      <w:bookmarkStart w:id="245" w:name="bookmark1689"/>
      <w:bookmarkStart w:id="246" w:name="bookmark1690"/>
      <w:bookmarkStart w:id="247" w:name="_Toc6815"/>
      <w:bookmarkStart w:id="248" w:name="bookmark1692"/>
      <w:bookmarkStart w:id="249" w:name="_Toc20794"/>
      <w:bookmarkStart w:id="250" w:name="_Toc976"/>
      <w:bookmarkStart w:id="251" w:name="bookmark1695"/>
      <w:bookmarkStart w:id="252" w:name="bookmark1694"/>
      <w:bookmarkStart w:id="253" w:name="bookmark1693"/>
      <w:r>
        <w:rPr>
          <w:rFonts w:hint="eastAsia" w:ascii="宋体" w:hAnsi="宋体" w:eastAsia="宋体" w:cs="宋体"/>
          <w:color w:val="auto"/>
          <w:spacing w:val="0"/>
          <w:sz w:val="28"/>
          <w:szCs w:val="28"/>
          <w:highlight w:val="none"/>
          <w:lang w:eastAsia="zh-CN"/>
        </w:rPr>
        <w:t>8. 测量放线</w:t>
      </w:r>
      <w:bookmarkEnd w:id="241"/>
      <w:bookmarkEnd w:id="242"/>
      <w:bookmarkEnd w:id="243"/>
      <w:bookmarkEnd w:id="244"/>
      <w:bookmarkEnd w:id="245"/>
      <w:bookmarkEnd w:id="246"/>
      <w:bookmarkEnd w:id="247"/>
      <w:bookmarkEnd w:id="248"/>
      <w:bookmarkEnd w:id="249"/>
      <w:bookmarkEnd w:id="250"/>
    </w:p>
    <w:p w14:paraId="416E315A">
      <w:pPr>
        <w:pStyle w:val="116"/>
        <w:pageBreakBefore w:val="0"/>
        <w:kinsoku/>
        <w:wordWrap/>
        <w:overflowPunct/>
        <w:topLinePunct w:val="0"/>
        <w:bidi w:val="0"/>
        <w:spacing w:beforeLines="0" w:afterLines="0" w:line="500" w:lineRule="exact"/>
        <w:ind w:left="0" w:right="0"/>
        <w:rPr>
          <w:rFonts w:hint="eastAsia" w:ascii="宋体" w:hAnsi="宋体" w:eastAsia="宋体" w:cs="宋体"/>
          <w:color w:val="auto"/>
          <w:spacing w:val="0"/>
          <w:sz w:val="28"/>
          <w:szCs w:val="28"/>
          <w:highlight w:val="none"/>
          <w:lang w:eastAsia="zh-CN" w:bidi="en-US"/>
        </w:rPr>
      </w:pPr>
      <w:bookmarkStart w:id="254" w:name="_Toc18255"/>
      <w:bookmarkStart w:id="255" w:name="_Toc4655"/>
      <w:bookmarkStart w:id="256" w:name="_Toc30599"/>
      <w:bookmarkStart w:id="257" w:name="_Toc825"/>
      <w:r>
        <w:rPr>
          <w:rFonts w:hint="eastAsia" w:ascii="宋体" w:hAnsi="宋体" w:eastAsia="宋体" w:cs="宋体"/>
          <w:color w:val="auto"/>
          <w:spacing w:val="0"/>
          <w:sz w:val="28"/>
          <w:szCs w:val="28"/>
          <w:highlight w:val="none"/>
          <w:lang w:eastAsia="zh-CN" w:bidi="en-US"/>
        </w:rPr>
        <w:t>8.1施工控制网</w:t>
      </w:r>
      <w:bookmarkEnd w:id="251"/>
      <w:bookmarkEnd w:id="252"/>
      <w:bookmarkEnd w:id="253"/>
      <w:bookmarkEnd w:id="254"/>
      <w:bookmarkEnd w:id="255"/>
      <w:bookmarkEnd w:id="256"/>
      <w:bookmarkEnd w:id="257"/>
    </w:p>
    <w:p w14:paraId="38CEDBBF">
      <w:pPr>
        <w:pStyle w:val="117"/>
        <w:pageBreakBefore w:val="0"/>
        <w:tabs>
          <w:tab w:val="left" w:pos="750"/>
          <w:tab w:val="left" w:pos="4898"/>
        </w:tabs>
        <w:kinsoku/>
        <w:wordWrap/>
        <w:overflowPunct/>
        <w:topLinePunct w:val="0"/>
        <w:bidi w:val="0"/>
        <w:spacing w:after="0" w:line="500" w:lineRule="exact"/>
        <w:ind w:left="0" w:right="0" w:firstLine="0"/>
        <w:rPr>
          <w:rFonts w:hint="eastAsia" w:ascii="宋体" w:hAnsi="宋体" w:eastAsia="宋体" w:cs="宋体"/>
          <w:color w:val="auto"/>
          <w:spacing w:val="0"/>
          <w:sz w:val="28"/>
          <w:szCs w:val="28"/>
          <w:highlight w:val="none"/>
          <w:lang w:eastAsia="zh-CN"/>
        </w:rPr>
      </w:pPr>
      <w:bookmarkStart w:id="258" w:name="bookmark1696"/>
      <w:bookmarkEnd w:id="258"/>
      <w:r>
        <w:rPr>
          <w:rFonts w:hint="eastAsia" w:ascii="宋体" w:hAnsi="宋体" w:eastAsia="宋体" w:cs="宋体"/>
          <w:color w:val="auto"/>
          <w:spacing w:val="0"/>
          <w:sz w:val="28"/>
          <w:szCs w:val="28"/>
          <w:highlight w:val="none"/>
          <w:lang w:eastAsia="zh-CN" w:bidi="zh-CN"/>
        </w:rPr>
        <w:t>　　8.1.</w:t>
      </w:r>
      <w:r>
        <w:rPr>
          <w:rFonts w:hint="eastAsia" w:ascii="宋体" w:hAnsi="宋体" w:eastAsia="宋体" w:cs="宋体"/>
          <w:color w:val="auto"/>
          <w:spacing w:val="0"/>
          <w:sz w:val="28"/>
          <w:szCs w:val="28"/>
          <w:highlight w:val="none"/>
          <w:lang w:val="zh-CN" w:eastAsia="zh-CN" w:bidi="zh-CN"/>
        </w:rPr>
        <w:t>1 施工控制网的约定：</w:t>
      </w:r>
      <w:r>
        <w:rPr>
          <w:rFonts w:hint="eastAsia" w:ascii="宋体" w:hAnsi="宋体" w:eastAsia="宋体" w:cs="宋体"/>
          <w:color w:val="auto"/>
          <w:spacing w:val="0"/>
          <w:sz w:val="28"/>
          <w:szCs w:val="28"/>
          <w:highlight w:val="none"/>
          <w:lang w:eastAsia="zh-CN"/>
        </w:rPr>
        <w:t>由</w:t>
      </w:r>
      <w:r>
        <w:rPr>
          <w:rFonts w:hint="eastAsia" w:ascii="宋体" w:hAnsi="宋体" w:cs="宋体"/>
          <w:color w:val="auto"/>
          <w:spacing w:val="0"/>
          <w:sz w:val="28"/>
          <w:szCs w:val="28"/>
          <w:highlight w:val="none"/>
          <w:lang w:eastAsia="zh-CN"/>
        </w:rPr>
        <w:t>建设单位</w:t>
      </w:r>
      <w:r>
        <w:rPr>
          <w:rFonts w:hint="eastAsia" w:ascii="宋体" w:hAnsi="宋体" w:eastAsia="宋体" w:cs="宋体"/>
          <w:color w:val="auto"/>
          <w:spacing w:val="0"/>
          <w:sz w:val="28"/>
          <w:szCs w:val="28"/>
          <w:highlight w:val="none"/>
          <w:lang w:eastAsia="zh-CN"/>
        </w:rPr>
        <w:t>负责交桩，承包人负责复核、测设；</w:t>
      </w:r>
      <w:r>
        <w:rPr>
          <w:rFonts w:hint="eastAsia" w:ascii="宋体" w:hAnsi="宋体" w:cs="宋体"/>
          <w:color w:val="auto"/>
          <w:spacing w:val="0"/>
          <w:sz w:val="28"/>
          <w:szCs w:val="28"/>
          <w:highlight w:val="none"/>
          <w:lang w:eastAsia="zh-CN"/>
        </w:rPr>
        <w:t>建设单位</w:t>
      </w:r>
      <w:r>
        <w:rPr>
          <w:rFonts w:hint="eastAsia" w:ascii="宋体" w:hAnsi="宋体" w:eastAsia="宋体" w:cs="宋体"/>
          <w:color w:val="auto"/>
          <w:spacing w:val="0"/>
          <w:sz w:val="28"/>
          <w:szCs w:val="28"/>
          <w:highlight w:val="none"/>
          <w:lang w:eastAsia="zh-CN"/>
        </w:rPr>
        <w:t>应在本合同协议书签订后7天内，向承包人提供基准点、基准线和水准点及相关资料；承包人在收到上述资料后的14天内，将施测的施工控制网资料提交监理人审批；</w:t>
      </w:r>
      <w:r>
        <w:rPr>
          <w:rFonts w:hint="eastAsia" w:ascii="宋体" w:hAnsi="宋体" w:cs="宋体"/>
          <w:color w:val="auto"/>
          <w:spacing w:val="0"/>
          <w:sz w:val="28"/>
          <w:szCs w:val="28"/>
          <w:highlight w:val="none"/>
          <w:lang w:eastAsia="zh-CN"/>
        </w:rPr>
        <w:t>建设单位</w:t>
      </w:r>
      <w:r>
        <w:rPr>
          <w:rFonts w:hint="eastAsia" w:ascii="宋体" w:hAnsi="宋体" w:eastAsia="宋体" w:cs="宋体"/>
          <w:color w:val="auto"/>
          <w:spacing w:val="0"/>
          <w:sz w:val="28"/>
          <w:szCs w:val="28"/>
          <w:highlight w:val="none"/>
          <w:lang w:eastAsia="zh-CN"/>
        </w:rPr>
        <w:t>对提供的测设控制网准确性负责。</w:t>
      </w:r>
    </w:p>
    <w:p w14:paraId="7DF385E0">
      <w:pPr>
        <w:pStyle w:val="116"/>
        <w:pageBreakBefore w:val="0"/>
        <w:kinsoku/>
        <w:wordWrap/>
        <w:overflowPunct/>
        <w:topLinePunct w:val="0"/>
        <w:bidi w:val="0"/>
        <w:spacing w:beforeLines="0" w:afterLines="0" w:line="500" w:lineRule="exact"/>
        <w:ind w:left="0" w:right="0"/>
        <w:rPr>
          <w:rFonts w:hint="eastAsia" w:ascii="宋体" w:hAnsi="宋体" w:eastAsia="宋体" w:cs="宋体"/>
          <w:color w:val="auto"/>
          <w:spacing w:val="0"/>
          <w:sz w:val="28"/>
          <w:szCs w:val="28"/>
          <w:highlight w:val="none"/>
          <w:lang w:eastAsia="zh-CN"/>
        </w:rPr>
      </w:pPr>
      <w:bookmarkStart w:id="259" w:name="_Toc27022"/>
      <w:bookmarkStart w:id="260" w:name="_Toc29455"/>
      <w:bookmarkStart w:id="261" w:name="_Toc17055"/>
      <w:bookmarkStart w:id="262" w:name="_Toc25382"/>
      <w:bookmarkStart w:id="263" w:name="_Toc15272"/>
      <w:bookmarkStart w:id="264" w:name="_Toc3745"/>
      <w:r>
        <w:rPr>
          <w:rFonts w:hint="eastAsia" w:ascii="宋体" w:hAnsi="宋体" w:eastAsia="宋体" w:cs="宋体"/>
          <w:color w:val="auto"/>
          <w:spacing w:val="0"/>
          <w:sz w:val="28"/>
          <w:szCs w:val="28"/>
          <w:highlight w:val="none"/>
          <w:lang w:eastAsia="zh-CN"/>
        </w:rPr>
        <w:t>9. 施工安全、治安保卫和环境保护</w:t>
      </w:r>
      <w:bookmarkEnd w:id="259"/>
      <w:bookmarkEnd w:id="260"/>
      <w:bookmarkEnd w:id="261"/>
      <w:bookmarkEnd w:id="262"/>
      <w:bookmarkEnd w:id="263"/>
      <w:bookmarkEnd w:id="264"/>
    </w:p>
    <w:p w14:paraId="215B8A9D">
      <w:pPr>
        <w:pageBreakBefore w:val="0"/>
        <w:kinsoku/>
        <w:wordWrap/>
        <w:overflowPunct/>
        <w:topLinePunct w:val="0"/>
        <w:bidi w:val="0"/>
        <w:spacing w:line="500" w:lineRule="exact"/>
        <w:ind w:left="0" w:right="0"/>
        <w:rPr>
          <w:rFonts w:hint="eastAsia" w:ascii="宋体" w:hAnsi="宋体" w:eastAsia="宋体" w:cs="宋体"/>
          <w:color w:val="auto"/>
          <w:spacing w:val="0"/>
          <w:sz w:val="28"/>
          <w:szCs w:val="28"/>
          <w:highlight w:val="none"/>
        </w:rPr>
      </w:pPr>
      <w:r>
        <w:rPr>
          <w:rFonts w:hint="eastAsia" w:ascii="宋体" w:hAnsi="宋体" w:eastAsia="宋体" w:cs="宋体"/>
          <w:color w:val="auto"/>
          <w:spacing w:val="0"/>
          <w:sz w:val="28"/>
          <w:szCs w:val="28"/>
          <w:highlight w:val="none"/>
        </w:rPr>
        <w:t>　　9.1.3 本款补充：但由于承包人原因造成的应由承包人承担责任。</w:t>
      </w:r>
    </w:p>
    <w:p w14:paraId="63307BA7">
      <w:pPr>
        <w:pageBreakBefore w:val="0"/>
        <w:kinsoku/>
        <w:wordWrap/>
        <w:overflowPunct/>
        <w:topLinePunct w:val="0"/>
        <w:bidi w:val="0"/>
        <w:spacing w:line="500" w:lineRule="exact"/>
        <w:ind w:left="0" w:right="0"/>
        <w:rPr>
          <w:rFonts w:hint="eastAsia" w:ascii="宋体" w:hAnsi="宋体" w:eastAsia="宋体" w:cs="宋体"/>
          <w:color w:val="auto"/>
          <w:spacing w:val="0"/>
          <w:sz w:val="28"/>
          <w:szCs w:val="28"/>
          <w:highlight w:val="none"/>
        </w:rPr>
      </w:pPr>
      <w:r>
        <w:rPr>
          <w:rFonts w:hint="eastAsia" w:ascii="宋体" w:hAnsi="宋体" w:eastAsia="宋体" w:cs="宋体"/>
          <w:color w:val="auto"/>
          <w:spacing w:val="0"/>
          <w:sz w:val="28"/>
          <w:szCs w:val="28"/>
          <w:highlight w:val="none"/>
        </w:rPr>
        <w:t>　　9.1.4 本款改为：除专用合同条款另有约定外，承包人应自行调查施工现场及施工可能影响的毗邻区域内供水、排水、供电、供气、供热、通信、广播电视等地下管线资料，气象和水文观测资料，拟建工程可能影响的相邻建筑物地下工程的有关资料，应承包人要求，</w:t>
      </w:r>
      <w:r>
        <w:rPr>
          <w:rFonts w:hint="eastAsia" w:ascii="宋体" w:hAnsi="宋体" w:eastAsia="宋体" w:cs="宋体"/>
          <w:color w:val="auto"/>
          <w:spacing w:val="0"/>
          <w:sz w:val="28"/>
          <w:szCs w:val="28"/>
          <w:highlight w:val="none"/>
          <w:lang w:eastAsia="zh-CN"/>
        </w:rPr>
        <w:t>建设单位</w:t>
      </w:r>
      <w:r>
        <w:rPr>
          <w:rFonts w:hint="eastAsia" w:ascii="宋体" w:hAnsi="宋体" w:eastAsia="宋体" w:cs="宋体"/>
          <w:color w:val="auto"/>
          <w:spacing w:val="0"/>
          <w:sz w:val="28"/>
          <w:szCs w:val="28"/>
          <w:highlight w:val="none"/>
        </w:rPr>
        <w:t>可以提供协助； 由于承包人调查不清楚而造成施工现场及施工可能影响的毗邻区域内工程建筑物或管线损坏的，由承包人负责恢复并承担经济损失，由此造成期延误的责任由承包人承担。</w:t>
      </w:r>
    </w:p>
    <w:p w14:paraId="57FB0746">
      <w:pPr>
        <w:pStyle w:val="116"/>
        <w:pageBreakBefore w:val="0"/>
        <w:kinsoku/>
        <w:wordWrap/>
        <w:overflowPunct/>
        <w:topLinePunct w:val="0"/>
        <w:bidi w:val="0"/>
        <w:spacing w:beforeLines="0" w:afterLines="0" w:line="500" w:lineRule="exact"/>
        <w:ind w:left="0" w:right="0"/>
        <w:rPr>
          <w:rFonts w:hint="eastAsia" w:ascii="宋体" w:hAnsi="宋体" w:eastAsia="宋体" w:cs="宋体"/>
          <w:color w:val="auto"/>
          <w:spacing w:val="0"/>
          <w:sz w:val="28"/>
          <w:szCs w:val="28"/>
          <w:highlight w:val="none"/>
          <w:lang w:eastAsia="zh-CN" w:bidi="en-US"/>
        </w:rPr>
      </w:pPr>
      <w:bookmarkStart w:id="265" w:name="_Toc17966"/>
      <w:bookmarkStart w:id="266" w:name="_Toc7841"/>
      <w:bookmarkStart w:id="267" w:name="_Toc9063"/>
      <w:bookmarkStart w:id="268" w:name="_Toc962"/>
      <w:r>
        <w:rPr>
          <w:rFonts w:hint="eastAsia" w:ascii="宋体" w:hAnsi="宋体" w:eastAsia="宋体" w:cs="宋体"/>
          <w:color w:val="auto"/>
          <w:spacing w:val="0"/>
          <w:sz w:val="28"/>
          <w:szCs w:val="28"/>
          <w:highlight w:val="none"/>
          <w:lang w:eastAsia="zh-CN" w:bidi="en-US"/>
        </w:rPr>
        <w:t>9.2承包人的施工安全责任</w:t>
      </w:r>
      <w:bookmarkEnd w:id="265"/>
      <w:bookmarkEnd w:id="266"/>
      <w:bookmarkEnd w:id="267"/>
      <w:bookmarkEnd w:id="268"/>
    </w:p>
    <w:p w14:paraId="014BFEB1">
      <w:pPr>
        <w:pageBreakBefore w:val="0"/>
        <w:kinsoku/>
        <w:wordWrap/>
        <w:overflowPunct/>
        <w:topLinePunct w:val="0"/>
        <w:bidi w:val="0"/>
        <w:spacing w:line="500" w:lineRule="exact"/>
        <w:ind w:left="0" w:right="0"/>
        <w:rPr>
          <w:rFonts w:hint="eastAsia" w:ascii="宋体" w:hAnsi="宋体" w:eastAsia="宋体" w:cs="宋体"/>
          <w:color w:val="auto"/>
          <w:spacing w:val="0"/>
          <w:sz w:val="28"/>
          <w:szCs w:val="28"/>
          <w:highlight w:val="none"/>
        </w:rPr>
      </w:pPr>
      <w:r>
        <w:rPr>
          <w:rFonts w:hint="eastAsia" w:ascii="宋体" w:hAnsi="宋体" w:eastAsia="宋体" w:cs="宋体"/>
          <w:color w:val="auto"/>
          <w:spacing w:val="0"/>
          <w:sz w:val="28"/>
          <w:szCs w:val="28"/>
          <w:highlight w:val="none"/>
        </w:rPr>
        <w:t>　　9.2. 8 安全施工措施所需费为合同金额 1.5%，由承包人专门用于施工安全措施相关支出，不得挪作他用。</w:t>
      </w:r>
    </w:p>
    <w:p w14:paraId="3BF69EE9">
      <w:pPr>
        <w:pStyle w:val="116"/>
        <w:pageBreakBefore w:val="0"/>
        <w:kinsoku/>
        <w:wordWrap/>
        <w:overflowPunct/>
        <w:topLinePunct w:val="0"/>
        <w:bidi w:val="0"/>
        <w:spacing w:beforeLines="0" w:afterLines="0" w:line="500" w:lineRule="exact"/>
        <w:ind w:left="0" w:right="0" w:firstLine="560" w:firstLineChars="200"/>
        <w:rPr>
          <w:rFonts w:hint="eastAsia" w:ascii="宋体" w:hAnsi="宋体" w:eastAsia="宋体" w:cs="宋体"/>
          <w:b w:val="0"/>
          <w:color w:val="auto"/>
          <w:spacing w:val="0"/>
          <w:kern w:val="2"/>
          <w:sz w:val="28"/>
          <w:szCs w:val="28"/>
          <w:highlight w:val="none"/>
          <w:lang w:eastAsia="zh-CN"/>
        </w:rPr>
      </w:pPr>
      <w:bookmarkStart w:id="269" w:name="_Toc10880"/>
      <w:bookmarkStart w:id="270" w:name="_Toc7789"/>
      <w:bookmarkStart w:id="271" w:name="_Toc17671"/>
      <w:bookmarkStart w:id="272" w:name="_Toc30838"/>
      <w:r>
        <w:rPr>
          <w:rFonts w:hint="eastAsia" w:ascii="宋体" w:hAnsi="宋体" w:eastAsia="宋体" w:cs="宋体"/>
          <w:b w:val="0"/>
          <w:color w:val="auto"/>
          <w:spacing w:val="0"/>
          <w:kern w:val="2"/>
          <w:sz w:val="28"/>
          <w:szCs w:val="28"/>
          <w:highlight w:val="none"/>
          <w:lang w:eastAsia="zh-CN"/>
        </w:rPr>
        <w:t>9.2.12 下列工程应编制专项施工方案：由</w:t>
      </w:r>
      <w:r>
        <w:rPr>
          <w:rFonts w:hint="eastAsia" w:ascii="宋体" w:hAnsi="宋体" w:cs="宋体"/>
          <w:b w:val="0"/>
          <w:color w:val="auto"/>
          <w:spacing w:val="0"/>
          <w:kern w:val="2"/>
          <w:sz w:val="28"/>
          <w:szCs w:val="28"/>
          <w:highlight w:val="none"/>
          <w:lang w:eastAsia="zh-CN"/>
        </w:rPr>
        <w:t>建设单位</w:t>
      </w:r>
      <w:r>
        <w:rPr>
          <w:rFonts w:hint="eastAsia" w:ascii="宋体" w:hAnsi="宋体" w:eastAsia="宋体" w:cs="宋体"/>
          <w:b w:val="0"/>
          <w:color w:val="auto"/>
          <w:spacing w:val="0"/>
          <w:kern w:val="2"/>
          <w:sz w:val="28"/>
          <w:szCs w:val="28"/>
          <w:highlight w:val="none"/>
          <w:lang w:eastAsia="zh-CN"/>
        </w:rPr>
        <w:t>和监理人根据有关规定明确。其中应组织专家论证和审查的专项施工方案：由</w:t>
      </w:r>
      <w:r>
        <w:rPr>
          <w:rFonts w:hint="eastAsia" w:ascii="宋体" w:hAnsi="宋体" w:cs="宋体"/>
          <w:b w:val="0"/>
          <w:color w:val="auto"/>
          <w:spacing w:val="0"/>
          <w:kern w:val="2"/>
          <w:sz w:val="28"/>
          <w:szCs w:val="28"/>
          <w:highlight w:val="none"/>
          <w:lang w:eastAsia="zh-CN"/>
        </w:rPr>
        <w:t>建设单位</w:t>
      </w:r>
      <w:r>
        <w:rPr>
          <w:rFonts w:hint="eastAsia" w:ascii="宋体" w:hAnsi="宋体" w:eastAsia="宋体" w:cs="宋体"/>
          <w:b w:val="0"/>
          <w:color w:val="auto"/>
          <w:spacing w:val="0"/>
          <w:kern w:val="2"/>
          <w:sz w:val="28"/>
          <w:szCs w:val="28"/>
          <w:highlight w:val="none"/>
          <w:lang w:eastAsia="zh-CN"/>
        </w:rPr>
        <w:t>和监理人根据有关规定明确。</w:t>
      </w:r>
      <w:bookmarkEnd w:id="269"/>
      <w:bookmarkEnd w:id="270"/>
      <w:bookmarkEnd w:id="271"/>
      <w:bookmarkEnd w:id="272"/>
    </w:p>
    <w:p w14:paraId="34AF10F3">
      <w:pPr>
        <w:pStyle w:val="116"/>
        <w:pageBreakBefore w:val="0"/>
        <w:kinsoku/>
        <w:wordWrap/>
        <w:overflowPunct/>
        <w:topLinePunct w:val="0"/>
        <w:bidi w:val="0"/>
        <w:spacing w:beforeLines="0" w:afterLines="0" w:line="500" w:lineRule="exact"/>
        <w:ind w:left="0" w:right="0"/>
        <w:rPr>
          <w:rFonts w:hint="eastAsia" w:ascii="宋体" w:hAnsi="宋体" w:eastAsia="宋体" w:cs="宋体"/>
          <w:color w:val="auto"/>
          <w:spacing w:val="0"/>
          <w:sz w:val="28"/>
          <w:szCs w:val="28"/>
          <w:highlight w:val="none"/>
          <w:lang w:eastAsia="zh-CN" w:bidi="en-US"/>
        </w:rPr>
      </w:pPr>
      <w:bookmarkStart w:id="273" w:name="_Toc2549"/>
      <w:bookmarkStart w:id="274" w:name="_Toc23409"/>
      <w:bookmarkStart w:id="275" w:name="_Toc25261"/>
      <w:bookmarkStart w:id="276" w:name="_Toc4015"/>
      <w:r>
        <w:rPr>
          <w:rFonts w:hint="eastAsia" w:ascii="宋体" w:hAnsi="宋体" w:eastAsia="宋体" w:cs="宋体"/>
          <w:color w:val="auto"/>
          <w:spacing w:val="0"/>
          <w:sz w:val="28"/>
          <w:szCs w:val="28"/>
          <w:highlight w:val="none"/>
          <w:lang w:eastAsia="zh-CN" w:bidi="en-US"/>
        </w:rPr>
        <w:t>9.7文明工地</w:t>
      </w:r>
      <w:bookmarkEnd w:id="273"/>
      <w:bookmarkEnd w:id="274"/>
      <w:bookmarkEnd w:id="275"/>
      <w:bookmarkEnd w:id="276"/>
    </w:p>
    <w:p w14:paraId="3D89BB4B">
      <w:pPr>
        <w:pStyle w:val="115"/>
        <w:pageBreakBefore w:val="0"/>
        <w:tabs>
          <w:tab w:val="left" w:pos="5323"/>
        </w:tabs>
        <w:kinsoku/>
        <w:wordWrap/>
        <w:overflowPunct/>
        <w:topLinePunct w:val="0"/>
        <w:bidi w:val="0"/>
        <w:spacing w:line="500" w:lineRule="exact"/>
        <w:ind w:left="0" w:right="0" w:firstLine="0"/>
        <w:rPr>
          <w:rFonts w:hint="eastAsia" w:ascii="宋体" w:hAnsi="宋体" w:eastAsia="宋体" w:cs="宋体"/>
          <w:color w:val="auto"/>
          <w:spacing w:val="0"/>
          <w:sz w:val="28"/>
          <w:szCs w:val="28"/>
          <w:highlight w:val="none"/>
          <w:lang w:val="en-US"/>
        </w:rPr>
      </w:pPr>
      <w:r>
        <w:rPr>
          <w:rFonts w:hint="eastAsia" w:ascii="宋体" w:hAnsi="宋体" w:eastAsia="宋体" w:cs="宋体"/>
          <w:color w:val="auto"/>
          <w:spacing w:val="0"/>
          <w:sz w:val="28"/>
          <w:szCs w:val="28"/>
          <w:highlight w:val="none"/>
          <w:lang w:val="en-US" w:bidi="en-US"/>
        </w:rPr>
        <w:t>　　9.7.</w:t>
      </w:r>
      <w:r>
        <w:rPr>
          <w:rFonts w:hint="eastAsia" w:ascii="宋体" w:hAnsi="宋体" w:eastAsia="宋体" w:cs="宋体"/>
          <w:color w:val="auto"/>
          <w:spacing w:val="0"/>
          <w:sz w:val="28"/>
          <w:szCs w:val="28"/>
          <w:highlight w:val="none"/>
        </w:rPr>
        <w:t>1本合同文明工地的约定：</w:t>
      </w:r>
      <w:r>
        <w:rPr>
          <w:rFonts w:hint="eastAsia" w:ascii="宋体" w:hAnsi="宋体" w:eastAsia="宋体" w:cs="宋体"/>
          <w:color w:val="auto"/>
          <w:spacing w:val="0"/>
          <w:sz w:val="28"/>
          <w:szCs w:val="28"/>
          <w:highlight w:val="none"/>
          <w:u w:val="single"/>
          <w:lang w:val="en-US"/>
        </w:rPr>
        <w:t>按水利部《水利系统文明建设工地评审管理办法》创建文明建设工地</w:t>
      </w:r>
      <w:r>
        <w:rPr>
          <w:rFonts w:hint="eastAsia" w:ascii="宋体" w:hAnsi="宋体" w:eastAsia="宋体" w:cs="宋体"/>
          <w:color w:val="auto"/>
          <w:spacing w:val="0"/>
          <w:sz w:val="28"/>
          <w:szCs w:val="28"/>
          <w:highlight w:val="none"/>
          <w:lang w:val="en-US"/>
        </w:rPr>
        <w:t>。</w:t>
      </w:r>
      <w:bookmarkStart w:id="277" w:name="bookmark1709"/>
      <w:bookmarkStart w:id="278" w:name="bookmark1710"/>
      <w:bookmarkStart w:id="279" w:name="bookmark1708"/>
      <w:bookmarkStart w:id="280" w:name="_Toc8738"/>
      <w:bookmarkStart w:id="281" w:name="_Toc845"/>
    </w:p>
    <w:p w14:paraId="6AC1E3AD">
      <w:pPr>
        <w:pStyle w:val="116"/>
        <w:pageBreakBefore w:val="0"/>
        <w:kinsoku/>
        <w:wordWrap/>
        <w:overflowPunct/>
        <w:topLinePunct w:val="0"/>
        <w:bidi w:val="0"/>
        <w:spacing w:beforeLines="0" w:afterLines="0" w:line="500" w:lineRule="exact"/>
        <w:ind w:left="0" w:right="0"/>
        <w:rPr>
          <w:rFonts w:hint="eastAsia" w:ascii="宋体" w:hAnsi="宋体" w:eastAsia="宋体" w:cs="宋体"/>
          <w:color w:val="auto"/>
          <w:spacing w:val="0"/>
          <w:sz w:val="28"/>
          <w:szCs w:val="28"/>
          <w:highlight w:val="none"/>
          <w:lang w:eastAsia="zh-CN"/>
        </w:rPr>
      </w:pPr>
      <w:bookmarkStart w:id="282" w:name="_Toc15986"/>
      <w:bookmarkStart w:id="283" w:name="_Toc4585"/>
      <w:bookmarkStart w:id="284" w:name="_Toc5443"/>
      <w:bookmarkStart w:id="285" w:name="_Toc11412"/>
      <w:bookmarkStart w:id="286" w:name="_Toc16184"/>
      <w:r>
        <w:rPr>
          <w:rFonts w:hint="eastAsia" w:ascii="宋体" w:hAnsi="宋体" w:eastAsia="宋体" w:cs="宋体"/>
          <w:color w:val="auto"/>
          <w:spacing w:val="0"/>
          <w:sz w:val="28"/>
          <w:szCs w:val="28"/>
          <w:highlight w:val="none"/>
          <w:lang w:eastAsia="zh-CN"/>
        </w:rPr>
        <w:t>11. 开工和竣工（完工</w:t>
      </w:r>
      <w:bookmarkEnd w:id="277"/>
      <w:bookmarkEnd w:id="278"/>
      <w:bookmarkEnd w:id="279"/>
      <w:bookmarkEnd w:id="280"/>
      <w:bookmarkEnd w:id="281"/>
      <w:r>
        <w:rPr>
          <w:rFonts w:hint="eastAsia" w:ascii="宋体" w:hAnsi="宋体" w:eastAsia="宋体" w:cs="宋体"/>
          <w:color w:val="auto"/>
          <w:spacing w:val="0"/>
          <w:sz w:val="28"/>
          <w:szCs w:val="28"/>
          <w:highlight w:val="none"/>
          <w:lang w:eastAsia="zh-CN"/>
        </w:rPr>
        <w:t>）</w:t>
      </w:r>
      <w:bookmarkEnd w:id="282"/>
      <w:bookmarkEnd w:id="283"/>
      <w:bookmarkEnd w:id="284"/>
      <w:bookmarkEnd w:id="285"/>
      <w:bookmarkEnd w:id="286"/>
    </w:p>
    <w:p w14:paraId="09398947">
      <w:pPr>
        <w:pageBreakBefore w:val="0"/>
        <w:kinsoku/>
        <w:wordWrap/>
        <w:overflowPunct/>
        <w:topLinePunct w:val="0"/>
        <w:bidi w:val="0"/>
        <w:spacing w:line="500" w:lineRule="exact"/>
        <w:ind w:firstLine="560" w:firstLineChars="200"/>
        <w:rPr>
          <w:rFonts w:hint="eastAsia" w:ascii="宋体" w:hAnsi="宋体" w:eastAsia="宋体" w:cs="宋体"/>
          <w:b w:val="0"/>
          <w:bCs/>
          <w:color w:val="auto"/>
          <w:spacing w:val="0"/>
          <w:kern w:val="2"/>
          <w:sz w:val="28"/>
          <w:szCs w:val="28"/>
          <w:highlight w:val="none"/>
          <w:lang w:eastAsia="zh-CN"/>
        </w:rPr>
      </w:pPr>
      <w:bookmarkStart w:id="287" w:name="_Toc10360"/>
      <w:bookmarkStart w:id="288" w:name="bookmark1716"/>
      <w:bookmarkStart w:id="289" w:name="bookmark1714"/>
      <w:bookmarkStart w:id="290" w:name="bookmark1715"/>
      <w:bookmarkStart w:id="291" w:name="_Toc4463"/>
      <w:bookmarkStart w:id="292" w:name="_Toc10095"/>
      <w:bookmarkStart w:id="293" w:name="_Toc18602"/>
      <w:r>
        <w:rPr>
          <w:rFonts w:hint="eastAsia" w:ascii="宋体" w:hAnsi="宋体" w:eastAsia="宋体" w:cs="宋体"/>
          <w:bCs/>
          <w:color w:val="auto"/>
          <w:spacing w:val="0"/>
          <w:kern w:val="2"/>
          <w:sz w:val="28"/>
          <w:szCs w:val="28"/>
          <w:highlight w:val="none"/>
        </w:rPr>
        <w:t>1</w:t>
      </w:r>
      <w:r>
        <w:rPr>
          <w:rFonts w:hint="eastAsia" w:ascii="宋体" w:hAnsi="宋体" w:eastAsia="宋体" w:cs="宋体"/>
          <w:bCs/>
          <w:color w:val="auto"/>
          <w:spacing w:val="0"/>
          <w:kern w:val="2"/>
          <w:sz w:val="28"/>
          <w:szCs w:val="28"/>
          <w:highlight w:val="none"/>
        </w:rPr>
        <w:t>1.1本工程计划开工时间为：</w:t>
      </w:r>
      <w:r>
        <w:rPr>
          <w:rFonts w:hint="eastAsia" w:ascii="宋体" w:hAnsi="宋体" w:eastAsia="宋体" w:cs="宋体"/>
          <w:b/>
          <w:color w:val="auto"/>
          <w:spacing w:val="0"/>
          <w:kern w:val="2"/>
          <w:sz w:val="28"/>
          <w:szCs w:val="28"/>
          <w:highlight w:val="none"/>
          <w:u w:val="single"/>
          <w:lang w:val="en-US" w:eastAsia="zh-CN"/>
        </w:rPr>
        <w:t xml:space="preserve"> </w:t>
      </w:r>
      <w:r>
        <w:rPr>
          <w:rFonts w:hint="eastAsia" w:ascii="宋体" w:hAnsi="宋体"/>
          <w:b/>
          <w:color w:val="auto"/>
          <w:spacing w:val="0"/>
          <w:kern w:val="2"/>
          <w:sz w:val="28"/>
          <w:szCs w:val="28"/>
          <w:highlight w:val="none"/>
          <w:u w:val="single"/>
        </w:rPr>
        <w:t>202</w:t>
      </w:r>
      <w:r>
        <w:rPr>
          <w:rFonts w:hint="eastAsia" w:ascii="宋体" w:hAnsi="宋体"/>
          <w:b/>
          <w:color w:val="auto"/>
          <w:spacing w:val="0"/>
          <w:kern w:val="2"/>
          <w:sz w:val="28"/>
          <w:szCs w:val="28"/>
          <w:highlight w:val="none"/>
          <w:u w:val="single"/>
          <w:lang w:val="en-US" w:eastAsia="zh-CN"/>
        </w:rPr>
        <w:t>6</w:t>
      </w:r>
      <w:r>
        <w:rPr>
          <w:rFonts w:hint="eastAsia" w:ascii="宋体" w:hAnsi="宋体"/>
          <w:b/>
          <w:color w:val="auto"/>
          <w:spacing w:val="0"/>
          <w:kern w:val="2"/>
          <w:sz w:val="28"/>
          <w:szCs w:val="28"/>
          <w:highlight w:val="none"/>
          <w:u w:val="single"/>
        </w:rPr>
        <w:t>年</w:t>
      </w:r>
      <w:r>
        <w:rPr>
          <w:rFonts w:hint="eastAsia" w:ascii="宋体" w:hAnsi="宋体" w:eastAsia="宋体"/>
          <w:b/>
          <w:color w:val="auto"/>
          <w:spacing w:val="0"/>
          <w:kern w:val="2"/>
          <w:sz w:val="28"/>
          <w:szCs w:val="28"/>
          <w:highlight w:val="none"/>
          <w:u w:val="single"/>
          <w:lang w:val="en-US" w:eastAsia="zh-CN"/>
        </w:rPr>
        <w:t xml:space="preserve"> </w:t>
      </w:r>
      <w:r>
        <w:rPr>
          <w:rFonts w:hint="eastAsia" w:ascii="宋体" w:hAnsi="宋体"/>
          <w:b/>
          <w:color w:val="auto"/>
          <w:spacing w:val="0"/>
          <w:kern w:val="2"/>
          <w:sz w:val="28"/>
          <w:szCs w:val="28"/>
          <w:highlight w:val="none"/>
          <w:u w:val="single"/>
        </w:rPr>
        <w:t>月</w:t>
      </w:r>
      <w:r>
        <w:rPr>
          <w:rFonts w:hint="eastAsia" w:ascii="宋体" w:hAnsi="宋体" w:eastAsia="宋体"/>
          <w:b/>
          <w:color w:val="auto"/>
          <w:spacing w:val="0"/>
          <w:kern w:val="2"/>
          <w:sz w:val="28"/>
          <w:szCs w:val="28"/>
          <w:highlight w:val="none"/>
          <w:u w:val="single"/>
          <w:lang w:val="en-US" w:eastAsia="zh-CN"/>
        </w:rPr>
        <w:t xml:space="preserve">  </w:t>
      </w:r>
      <w:r>
        <w:rPr>
          <w:rFonts w:hint="eastAsia" w:ascii="宋体" w:hAnsi="宋体"/>
          <w:b/>
          <w:color w:val="auto"/>
          <w:spacing w:val="0"/>
          <w:kern w:val="2"/>
          <w:sz w:val="28"/>
          <w:szCs w:val="28"/>
          <w:highlight w:val="none"/>
          <w:u w:val="single"/>
        </w:rPr>
        <w:t>日（具体以监理开工令为准）</w:t>
      </w:r>
      <w:r>
        <w:rPr>
          <w:rFonts w:hint="eastAsia" w:ascii="宋体" w:hAnsi="宋体" w:eastAsia="宋体" w:cs="宋体"/>
          <w:b/>
          <w:color w:val="auto"/>
          <w:spacing w:val="0"/>
          <w:kern w:val="2"/>
          <w:sz w:val="28"/>
          <w:szCs w:val="28"/>
          <w:highlight w:val="none"/>
          <w:u w:val="single"/>
          <w:lang w:val="en-US" w:eastAsia="zh-CN"/>
        </w:rPr>
        <w:t xml:space="preserve"> </w:t>
      </w:r>
      <w:r>
        <w:rPr>
          <w:rFonts w:hint="eastAsia" w:ascii="宋体" w:hAnsi="宋体" w:eastAsia="宋体" w:cs="宋体"/>
          <w:b/>
          <w:color w:val="auto"/>
          <w:spacing w:val="0"/>
          <w:kern w:val="2"/>
          <w:sz w:val="28"/>
          <w:szCs w:val="28"/>
          <w:highlight w:val="none"/>
          <w:u w:val="single"/>
        </w:rPr>
        <w:t>。</w:t>
      </w:r>
      <w:r>
        <w:rPr>
          <w:rFonts w:hint="eastAsia" w:ascii="宋体" w:hAnsi="宋体" w:eastAsia="宋体" w:cs="宋体"/>
          <w:color w:val="auto"/>
          <w:spacing w:val="0"/>
          <w:kern w:val="2"/>
          <w:sz w:val="28"/>
          <w:szCs w:val="28"/>
          <w:highlight w:val="none"/>
          <w:lang w:eastAsia="zh-CN"/>
        </w:rPr>
        <w:t>　</w:t>
      </w:r>
      <w:r>
        <w:rPr>
          <w:rFonts w:hint="eastAsia" w:ascii="宋体" w:hAnsi="宋体" w:eastAsia="宋体" w:cs="宋体"/>
          <w:b w:val="0"/>
          <w:bCs/>
          <w:color w:val="auto"/>
          <w:spacing w:val="0"/>
          <w:kern w:val="2"/>
          <w:sz w:val="28"/>
          <w:szCs w:val="28"/>
          <w:highlight w:val="none"/>
          <w:lang w:eastAsia="zh-CN"/>
        </w:rPr>
        <w:t>　</w:t>
      </w:r>
    </w:p>
    <w:p w14:paraId="5584E1EC">
      <w:pPr>
        <w:pageBreakBefore w:val="0"/>
        <w:kinsoku/>
        <w:wordWrap/>
        <w:overflowPunct/>
        <w:topLinePunct w:val="0"/>
        <w:bidi w:val="0"/>
        <w:spacing w:line="500" w:lineRule="exact"/>
        <w:ind w:firstLine="560" w:firstLineChars="200"/>
        <w:rPr>
          <w:rFonts w:hint="eastAsia" w:ascii="宋体" w:hAnsi="宋体" w:eastAsia="宋体" w:cs="宋体"/>
          <w:color w:val="auto"/>
          <w:spacing w:val="0"/>
          <w:kern w:val="2"/>
          <w:sz w:val="28"/>
          <w:szCs w:val="28"/>
          <w:highlight w:val="none"/>
          <w:u w:val="single"/>
          <w:lang w:eastAsia="zh-CN"/>
        </w:rPr>
      </w:pPr>
      <w:r>
        <w:rPr>
          <w:rFonts w:hint="eastAsia" w:ascii="宋体" w:hAnsi="宋体" w:eastAsia="宋体" w:cs="宋体"/>
          <w:b w:val="0"/>
          <w:bCs/>
          <w:color w:val="auto"/>
          <w:spacing w:val="0"/>
          <w:kern w:val="2"/>
          <w:sz w:val="28"/>
          <w:szCs w:val="28"/>
          <w:highlight w:val="none"/>
          <w:lang w:eastAsia="zh-CN"/>
        </w:rPr>
        <w:t>11.2本工程计划完工时间为：</w:t>
      </w:r>
      <w:r>
        <w:rPr>
          <w:rFonts w:hint="eastAsia" w:ascii="宋体" w:hAnsi="宋体" w:eastAsia="宋体" w:cs="宋体"/>
          <w:color w:val="auto"/>
          <w:spacing w:val="0"/>
          <w:kern w:val="2"/>
          <w:sz w:val="28"/>
          <w:szCs w:val="28"/>
          <w:highlight w:val="none"/>
          <w:u w:val="single"/>
          <w:lang w:val="en-US" w:eastAsia="zh-CN"/>
        </w:rPr>
        <w:t xml:space="preserve"> </w:t>
      </w:r>
      <w:r>
        <w:rPr>
          <w:rFonts w:hint="eastAsia" w:ascii="宋体" w:hAnsi="宋体"/>
          <w:b/>
          <w:color w:val="auto"/>
          <w:spacing w:val="0"/>
          <w:kern w:val="2"/>
          <w:sz w:val="28"/>
          <w:szCs w:val="28"/>
          <w:highlight w:val="none"/>
          <w:u w:val="single"/>
        </w:rPr>
        <w:t>202</w:t>
      </w:r>
      <w:r>
        <w:rPr>
          <w:rFonts w:hint="eastAsia" w:ascii="宋体" w:hAnsi="宋体"/>
          <w:b/>
          <w:color w:val="auto"/>
          <w:spacing w:val="0"/>
          <w:kern w:val="2"/>
          <w:sz w:val="28"/>
          <w:szCs w:val="28"/>
          <w:highlight w:val="none"/>
          <w:u w:val="single"/>
          <w:lang w:val="en-US" w:eastAsia="zh-CN"/>
        </w:rPr>
        <w:t>6</w:t>
      </w:r>
      <w:r>
        <w:rPr>
          <w:rFonts w:hint="eastAsia" w:ascii="宋体" w:hAnsi="宋体"/>
          <w:b/>
          <w:color w:val="auto"/>
          <w:spacing w:val="0"/>
          <w:kern w:val="2"/>
          <w:sz w:val="28"/>
          <w:szCs w:val="28"/>
          <w:highlight w:val="none"/>
          <w:u w:val="single"/>
        </w:rPr>
        <w:t>年</w:t>
      </w:r>
      <w:r>
        <w:rPr>
          <w:rFonts w:hint="eastAsia" w:ascii="宋体" w:hAnsi="宋体" w:eastAsia="宋体"/>
          <w:b/>
          <w:color w:val="auto"/>
          <w:spacing w:val="0"/>
          <w:kern w:val="2"/>
          <w:sz w:val="28"/>
          <w:szCs w:val="28"/>
          <w:highlight w:val="none"/>
          <w:u w:val="single"/>
          <w:lang w:val="en-US" w:eastAsia="zh-CN"/>
        </w:rPr>
        <w:t xml:space="preserve">  </w:t>
      </w:r>
      <w:r>
        <w:rPr>
          <w:rFonts w:hint="eastAsia" w:ascii="宋体" w:hAnsi="宋体"/>
          <w:b/>
          <w:color w:val="auto"/>
          <w:spacing w:val="0"/>
          <w:kern w:val="2"/>
          <w:sz w:val="28"/>
          <w:szCs w:val="28"/>
          <w:highlight w:val="none"/>
          <w:u w:val="single"/>
        </w:rPr>
        <w:t>月</w:t>
      </w:r>
      <w:r>
        <w:rPr>
          <w:rFonts w:hint="eastAsia" w:ascii="宋体" w:hAnsi="宋体" w:eastAsia="宋体"/>
          <w:b/>
          <w:color w:val="auto"/>
          <w:spacing w:val="0"/>
          <w:kern w:val="2"/>
          <w:sz w:val="28"/>
          <w:szCs w:val="28"/>
          <w:highlight w:val="none"/>
          <w:u w:val="single"/>
          <w:lang w:val="en-US" w:eastAsia="zh-CN"/>
        </w:rPr>
        <w:t xml:space="preserve">  </w:t>
      </w:r>
      <w:r>
        <w:rPr>
          <w:rFonts w:hint="eastAsia" w:ascii="宋体" w:hAnsi="宋体"/>
          <w:b/>
          <w:color w:val="auto"/>
          <w:spacing w:val="0"/>
          <w:kern w:val="2"/>
          <w:sz w:val="28"/>
          <w:szCs w:val="28"/>
          <w:highlight w:val="none"/>
          <w:u w:val="single"/>
        </w:rPr>
        <w:t>日（具体监理签发开工令之日起</w:t>
      </w:r>
      <w:r>
        <w:rPr>
          <w:rFonts w:hint="eastAsia" w:ascii="宋体" w:hAnsi="宋体"/>
          <w:b/>
          <w:color w:val="auto"/>
          <w:spacing w:val="0"/>
          <w:kern w:val="2"/>
          <w:sz w:val="28"/>
          <w:szCs w:val="28"/>
          <w:highlight w:val="none"/>
          <w:u w:val="single"/>
          <w:lang w:val="en-US" w:eastAsia="zh-CN"/>
        </w:rPr>
        <w:t>90</w:t>
      </w:r>
      <w:r>
        <w:rPr>
          <w:rFonts w:hint="eastAsia" w:ascii="宋体" w:hAnsi="宋体"/>
          <w:b/>
          <w:color w:val="auto"/>
          <w:spacing w:val="0"/>
          <w:kern w:val="2"/>
          <w:sz w:val="28"/>
          <w:szCs w:val="28"/>
          <w:highlight w:val="none"/>
          <w:u w:val="single"/>
        </w:rPr>
        <w:t>日历天为准）</w:t>
      </w:r>
      <w:r>
        <w:rPr>
          <w:rFonts w:hint="eastAsia" w:ascii="宋体" w:hAnsi="宋体" w:eastAsia="宋体" w:cs="宋体"/>
          <w:color w:val="auto"/>
          <w:spacing w:val="0"/>
          <w:kern w:val="2"/>
          <w:sz w:val="28"/>
          <w:szCs w:val="28"/>
          <w:highlight w:val="none"/>
          <w:u w:val="single"/>
          <w:lang w:eastAsia="zh-CN"/>
        </w:rPr>
        <w:t>。</w:t>
      </w:r>
      <w:bookmarkEnd w:id="287"/>
      <w:bookmarkEnd w:id="288"/>
      <w:bookmarkEnd w:id="289"/>
      <w:bookmarkEnd w:id="290"/>
      <w:bookmarkEnd w:id="291"/>
      <w:bookmarkEnd w:id="292"/>
      <w:bookmarkEnd w:id="293"/>
      <w:bookmarkStart w:id="294" w:name="_Toc20736"/>
      <w:bookmarkStart w:id="295" w:name="_Toc3612"/>
      <w:bookmarkStart w:id="296" w:name="_Toc32749"/>
      <w:bookmarkStart w:id="297" w:name="bookmark1730"/>
      <w:bookmarkStart w:id="298" w:name="_Toc30057"/>
      <w:bookmarkStart w:id="299" w:name="bookmark1728"/>
      <w:bookmarkStart w:id="300" w:name="bookmark1729"/>
    </w:p>
    <w:p w14:paraId="20B4DA48">
      <w:pPr>
        <w:keepNext w:val="0"/>
        <w:keepLines w:val="0"/>
        <w:pageBreakBefore w:val="0"/>
        <w:widowControl/>
        <w:kinsoku/>
        <w:wordWrap/>
        <w:overflowPunct/>
        <w:topLinePunct w:val="0"/>
        <w:autoSpaceDE w:val="0"/>
        <w:autoSpaceDN w:val="0"/>
        <w:bidi w:val="0"/>
        <w:adjustRightInd w:val="0"/>
        <w:snapToGrid w:val="0"/>
        <w:spacing w:line="500" w:lineRule="exact"/>
        <w:textAlignment w:val="baseline"/>
        <w:rPr>
          <w:rFonts w:hint="eastAsia" w:asciiTheme="minorEastAsia" w:hAnsiTheme="minorEastAsia" w:eastAsiaTheme="minorEastAsia" w:cstheme="minorEastAsia"/>
          <w:b/>
          <w:bCs/>
          <w:color w:val="auto"/>
          <w:sz w:val="28"/>
          <w:szCs w:val="28"/>
          <w:highlight w:val="none"/>
          <w:lang w:eastAsia="zh-CN"/>
        </w:rPr>
      </w:pPr>
      <w:r>
        <w:rPr>
          <w:rFonts w:hint="eastAsia" w:asciiTheme="minorEastAsia" w:hAnsiTheme="minorEastAsia" w:eastAsiaTheme="minorEastAsia" w:cstheme="minorEastAsia"/>
          <w:b/>
          <w:bCs/>
          <w:color w:val="auto"/>
          <w:sz w:val="28"/>
          <w:szCs w:val="28"/>
          <w:highlight w:val="none"/>
          <w:lang w:eastAsia="zh-CN"/>
        </w:rPr>
        <w:t>11.3建设单位的工期延误</w:t>
      </w:r>
    </w:p>
    <w:p w14:paraId="177A4A5C">
      <w:pPr>
        <w:keepNext w:val="0"/>
        <w:keepLines w:val="0"/>
        <w:pageBreakBefore w:val="0"/>
        <w:widowControl/>
        <w:kinsoku/>
        <w:wordWrap/>
        <w:overflowPunct/>
        <w:topLinePunct w:val="0"/>
        <w:autoSpaceDE w:val="0"/>
        <w:autoSpaceDN w:val="0"/>
        <w:bidi w:val="0"/>
        <w:adjustRightInd w:val="0"/>
        <w:snapToGrid w:val="0"/>
        <w:spacing w:line="500" w:lineRule="exact"/>
        <w:ind w:firstLine="560" w:firstLineChars="200"/>
        <w:textAlignment w:val="baseline"/>
        <w:rPr>
          <w:rFonts w:hint="eastAsia" w:asciiTheme="minorEastAsia" w:hAnsiTheme="minorEastAsia" w:eastAsiaTheme="minorEastAsia" w:cstheme="minorEastAsia"/>
          <w:color w:val="auto"/>
          <w:sz w:val="28"/>
          <w:szCs w:val="28"/>
          <w:highlight w:val="none"/>
          <w:lang w:eastAsia="zh-CN"/>
        </w:rPr>
      </w:pPr>
      <w:r>
        <w:rPr>
          <w:rFonts w:hint="eastAsia" w:ascii="宋体" w:hAnsi="宋体" w:eastAsia="宋体" w:cs="宋体"/>
          <w:b w:val="0"/>
          <w:snapToGrid/>
          <w:color w:val="auto"/>
          <w:spacing w:val="0"/>
          <w:kern w:val="2"/>
          <w:sz w:val="28"/>
          <w:szCs w:val="28"/>
          <w:highlight w:val="none"/>
          <w:lang w:val="en-US" w:eastAsia="zh-CN" w:bidi="ar-SA"/>
        </w:rPr>
        <w:t>在履行合同过程中，由于建设单位的下列原因造成工期延误的，承包人有权要求建设单位延长工期。需要修订合同进度计划的，按照通用合同条款第 10.2 款的约定办理。</w:t>
      </w:r>
    </w:p>
    <w:p w14:paraId="5E3C4F05">
      <w:pPr>
        <w:keepNext w:val="0"/>
        <w:keepLines w:val="0"/>
        <w:pageBreakBefore w:val="0"/>
        <w:widowControl/>
        <w:kinsoku/>
        <w:wordWrap/>
        <w:overflowPunct/>
        <w:topLinePunct w:val="0"/>
        <w:autoSpaceDE w:val="0"/>
        <w:autoSpaceDN w:val="0"/>
        <w:bidi w:val="0"/>
        <w:adjustRightInd w:val="0"/>
        <w:snapToGrid w:val="0"/>
        <w:spacing w:line="500" w:lineRule="exact"/>
        <w:ind w:left="0" w:right="0" w:firstLine="560" w:firstLineChars="200"/>
        <w:textAlignment w:val="baseline"/>
        <w:rPr>
          <w:rFonts w:hint="eastAsia" w:ascii="宋体" w:hAnsi="宋体" w:eastAsia="宋体" w:cs="宋体"/>
          <w:color w:val="auto"/>
          <w:spacing w:val="0"/>
          <w:sz w:val="28"/>
          <w:szCs w:val="28"/>
          <w:highlight w:val="none"/>
        </w:rPr>
      </w:pPr>
      <w:r>
        <w:rPr>
          <w:rFonts w:hint="eastAsia" w:ascii="宋体" w:hAnsi="宋体" w:eastAsia="宋体" w:cs="宋体"/>
          <w:color w:val="auto"/>
          <w:spacing w:val="0"/>
          <w:sz w:val="28"/>
          <w:szCs w:val="28"/>
          <w:highlight w:val="none"/>
        </w:rPr>
        <w:t>(1)增加合同工作内容；</w:t>
      </w:r>
    </w:p>
    <w:p w14:paraId="1BE831A8">
      <w:pPr>
        <w:keepNext w:val="0"/>
        <w:keepLines w:val="0"/>
        <w:pageBreakBefore w:val="0"/>
        <w:widowControl/>
        <w:kinsoku/>
        <w:wordWrap/>
        <w:overflowPunct/>
        <w:topLinePunct w:val="0"/>
        <w:autoSpaceDE w:val="0"/>
        <w:autoSpaceDN w:val="0"/>
        <w:bidi w:val="0"/>
        <w:adjustRightInd w:val="0"/>
        <w:snapToGrid w:val="0"/>
        <w:spacing w:line="500" w:lineRule="exact"/>
        <w:ind w:left="0" w:right="0" w:firstLine="560" w:firstLineChars="200"/>
        <w:textAlignment w:val="baseline"/>
        <w:rPr>
          <w:rFonts w:hint="eastAsia" w:ascii="宋体" w:hAnsi="宋体" w:eastAsia="宋体" w:cs="宋体"/>
          <w:color w:val="auto"/>
          <w:spacing w:val="0"/>
          <w:sz w:val="28"/>
          <w:szCs w:val="28"/>
          <w:highlight w:val="none"/>
        </w:rPr>
      </w:pPr>
      <w:r>
        <w:rPr>
          <w:rFonts w:hint="eastAsia" w:ascii="宋体" w:hAnsi="宋体" w:eastAsia="宋体" w:cs="宋体"/>
          <w:color w:val="auto"/>
          <w:spacing w:val="0"/>
          <w:sz w:val="28"/>
          <w:szCs w:val="28"/>
          <w:highlight w:val="none"/>
        </w:rPr>
        <w:t>(2)改变合同中任何一项工作的质量要求或其他特性；</w:t>
      </w:r>
    </w:p>
    <w:p w14:paraId="7020ED34">
      <w:pPr>
        <w:keepNext w:val="0"/>
        <w:keepLines w:val="0"/>
        <w:pageBreakBefore w:val="0"/>
        <w:widowControl/>
        <w:kinsoku/>
        <w:wordWrap/>
        <w:overflowPunct/>
        <w:topLinePunct w:val="0"/>
        <w:autoSpaceDE w:val="0"/>
        <w:autoSpaceDN w:val="0"/>
        <w:bidi w:val="0"/>
        <w:adjustRightInd w:val="0"/>
        <w:snapToGrid w:val="0"/>
        <w:spacing w:line="500" w:lineRule="exact"/>
        <w:ind w:left="0" w:right="0" w:firstLine="560" w:firstLineChars="200"/>
        <w:textAlignment w:val="baseline"/>
        <w:rPr>
          <w:rFonts w:hint="eastAsia" w:ascii="宋体" w:hAnsi="宋体" w:eastAsia="宋体" w:cs="宋体"/>
          <w:color w:val="auto"/>
          <w:spacing w:val="0"/>
          <w:sz w:val="28"/>
          <w:szCs w:val="28"/>
          <w:highlight w:val="none"/>
        </w:rPr>
      </w:pPr>
      <w:r>
        <w:rPr>
          <w:rFonts w:hint="eastAsia" w:ascii="宋体" w:hAnsi="宋体" w:eastAsia="宋体" w:cs="宋体"/>
          <w:color w:val="auto"/>
          <w:spacing w:val="0"/>
          <w:sz w:val="28"/>
          <w:szCs w:val="28"/>
          <w:highlight w:val="none"/>
        </w:rPr>
        <w:t>(3)</w:t>
      </w:r>
      <w:r>
        <w:rPr>
          <w:rFonts w:hint="eastAsia" w:ascii="宋体" w:hAnsi="宋体" w:eastAsia="宋体" w:cs="宋体"/>
          <w:color w:val="auto"/>
          <w:spacing w:val="0"/>
          <w:sz w:val="28"/>
          <w:szCs w:val="28"/>
          <w:highlight w:val="none"/>
          <w:lang w:eastAsia="zh-CN"/>
        </w:rPr>
        <w:t>建设单位</w:t>
      </w:r>
      <w:r>
        <w:rPr>
          <w:rFonts w:hint="eastAsia" w:ascii="宋体" w:hAnsi="宋体" w:eastAsia="宋体" w:cs="宋体"/>
          <w:color w:val="auto"/>
          <w:spacing w:val="0"/>
          <w:sz w:val="28"/>
          <w:szCs w:val="28"/>
          <w:highlight w:val="none"/>
        </w:rPr>
        <w:t>迟延提供材料、工程设备或变更交货地点的；</w:t>
      </w:r>
    </w:p>
    <w:p w14:paraId="52FDD176">
      <w:pPr>
        <w:keepNext w:val="0"/>
        <w:keepLines w:val="0"/>
        <w:pageBreakBefore w:val="0"/>
        <w:widowControl/>
        <w:kinsoku/>
        <w:wordWrap/>
        <w:overflowPunct/>
        <w:topLinePunct w:val="0"/>
        <w:autoSpaceDE w:val="0"/>
        <w:autoSpaceDN w:val="0"/>
        <w:bidi w:val="0"/>
        <w:adjustRightInd w:val="0"/>
        <w:snapToGrid w:val="0"/>
        <w:spacing w:line="500" w:lineRule="exact"/>
        <w:ind w:left="0" w:right="0" w:firstLine="560" w:firstLineChars="200"/>
        <w:textAlignment w:val="baseline"/>
        <w:rPr>
          <w:rFonts w:hint="eastAsia" w:ascii="宋体" w:hAnsi="宋体" w:eastAsia="宋体" w:cs="宋体"/>
          <w:color w:val="auto"/>
          <w:spacing w:val="0"/>
          <w:sz w:val="28"/>
          <w:szCs w:val="28"/>
          <w:highlight w:val="none"/>
        </w:rPr>
      </w:pPr>
      <w:r>
        <w:rPr>
          <w:rFonts w:hint="eastAsia" w:ascii="宋体" w:hAnsi="宋体" w:eastAsia="宋体" w:cs="宋体"/>
          <w:color w:val="auto"/>
          <w:spacing w:val="0"/>
          <w:sz w:val="28"/>
          <w:szCs w:val="28"/>
          <w:highlight w:val="none"/>
        </w:rPr>
        <w:t>(4)因</w:t>
      </w:r>
      <w:r>
        <w:rPr>
          <w:rFonts w:hint="eastAsia" w:ascii="宋体" w:hAnsi="宋体" w:eastAsia="宋体" w:cs="宋体"/>
          <w:color w:val="auto"/>
          <w:spacing w:val="0"/>
          <w:sz w:val="28"/>
          <w:szCs w:val="28"/>
          <w:highlight w:val="none"/>
          <w:lang w:eastAsia="zh-CN"/>
        </w:rPr>
        <w:t>建设单位</w:t>
      </w:r>
      <w:r>
        <w:rPr>
          <w:rFonts w:hint="eastAsia" w:ascii="宋体" w:hAnsi="宋体" w:eastAsia="宋体" w:cs="宋体"/>
          <w:color w:val="auto"/>
          <w:spacing w:val="0"/>
          <w:sz w:val="28"/>
          <w:szCs w:val="28"/>
          <w:highlight w:val="none"/>
        </w:rPr>
        <w:t>原因导致的暂停施工；</w:t>
      </w:r>
    </w:p>
    <w:p w14:paraId="2038000B">
      <w:pPr>
        <w:keepNext w:val="0"/>
        <w:keepLines w:val="0"/>
        <w:pageBreakBefore w:val="0"/>
        <w:widowControl/>
        <w:kinsoku/>
        <w:wordWrap/>
        <w:overflowPunct/>
        <w:topLinePunct w:val="0"/>
        <w:autoSpaceDE w:val="0"/>
        <w:autoSpaceDN w:val="0"/>
        <w:bidi w:val="0"/>
        <w:adjustRightInd w:val="0"/>
        <w:snapToGrid w:val="0"/>
        <w:spacing w:line="500" w:lineRule="exact"/>
        <w:ind w:left="0" w:right="0" w:firstLine="560" w:firstLineChars="200"/>
        <w:textAlignment w:val="baseline"/>
        <w:rPr>
          <w:rFonts w:hint="eastAsia" w:ascii="宋体" w:hAnsi="宋体" w:eastAsia="宋体" w:cs="宋体"/>
          <w:color w:val="auto"/>
          <w:spacing w:val="0"/>
          <w:sz w:val="28"/>
          <w:szCs w:val="28"/>
          <w:highlight w:val="none"/>
        </w:rPr>
      </w:pPr>
      <w:r>
        <w:rPr>
          <w:rFonts w:hint="eastAsia" w:ascii="宋体" w:hAnsi="宋体" w:eastAsia="宋体" w:cs="宋体"/>
          <w:color w:val="auto"/>
          <w:spacing w:val="0"/>
          <w:sz w:val="28"/>
          <w:szCs w:val="28"/>
          <w:highlight w:val="none"/>
        </w:rPr>
        <w:t>(5)提供图纸延误；</w:t>
      </w:r>
    </w:p>
    <w:p w14:paraId="4AE36C4D">
      <w:pPr>
        <w:keepNext w:val="0"/>
        <w:keepLines w:val="0"/>
        <w:pageBreakBefore w:val="0"/>
        <w:widowControl/>
        <w:kinsoku/>
        <w:wordWrap/>
        <w:overflowPunct/>
        <w:topLinePunct w:val="0"/>
        <w:autoSpaceDE w:val="0"/>
        <w:autoSpaceDN w:val="0"/>
        <w:bidi w:val="0"/>
        <w:adjustRightInd w:val="0"/>
        <w:snapToGrid w:val="0"/>
        <w:spacing w:line="500" w:lineRule="exact"/>
        <w:ind w:left="0" w:right="0" w:firstLine="560" w:firstLineChars="200"/>
        <w:textAlignment w:val="baseline"/>
        <w:rPr>
          <w:rFonts w:hint="eastAsia" w:ascii="宋体" w:hAnsi="宋体" w:eastAsia="宋体" w:cs="宋体"/>
          <w:color w:val="auto"/>
          <w:spacing w:val="0"/>
          <w:sz w:val="28"/>
          <w:szCs w:val="28"/>
          <w:highlight w:val="none"/>
        </w:rPr>
      </w:pPr>
      <w:r>
        <w:rPr>
          <w:rFonts w:hint="eastAsia" w:ascii="宋体" w:hAnsi="宋体" w:eastAsia="宋体" w:cs="宋体"/>
          <w:color w:val="auto"/>
          <w:spacing w:val="0"/>
          <w:sz w:val="28"/>
          <w:szCs w:val="28"/>
          <w:highlight w:val="none"/>
        </w:rPr>
        <w:t>(6)未按合同约定及时支付预付款、进度款；</w:t>
      </w:r>
    </w:p>
    <w:p w14:paraId="23A58AD7">
      <w:pPr>
        <w:keepNext w:val="0"/>
        <w:keepLines w:val="0"/>
        <w:pageBreakBefore w:val="0"/>
        <w:widowControl/>
        <w:kinsoku/>
        <w:wordWrap/>
        <w:overflowPunct/>
        <w:topLinePunct w:val="0"/>
        <w:autoSpaceDE w:val="0"/>
        <w:autoSpaceDN w:val="0"/>
        <w:bidi w:val="0"/>
        <w:adjustRightInd w:val="0"/>
        <w:snapToGrid w:val="0"/>
        <w:spacing w:line="500" w:lineRule="exact"/>
        <w:ind w:left="0" w:right="0" w:firstLine="560" w:firstLineChars="200"/>
        <w:textAlignment w:val="baseline"/>
        <w:rPr>
          <w:rFonts w:hint="eastAsia" w:ascii="宋体" w:hAnsi="宋体" w:eastAsia="宋体" w:cs="宋体"/>
          <w:color w:val="auto"/>
          <w:spacing w:val="0"/>
          <w:sz w:val="28"/>
          <w:szCs w:val="28"/>
          <w:highlight w:val="none"/>
        </w:rPr>
      </w:pPr>
      <w:r>
        <w:rPr>
          <w:rFonts w:hint="eastAsia" w:ascii="宋体" w:hAnsi="宋体" w:eastAsia="宋体" w:cs="宋体"/>
          <w:color w:val="auto"/>
          <w:spacing w:val="0"/>
          <w:sz w:val="28"/>
          <w:szCs w:val="28"/>
          <w:highlight w:val="none"/>
        </w:rPr>
        <w:t>(7)</w:t>
      </w:r>
      <w:r>
        <w:rPr>
          <w:rFonts w:hint="eastAsia" w:ascii="宋体" w:hAnsi="宋体" w:eastAsia="宋体" w:cs="宋体"/>
          <w:color w:val="auto"/>
          <w:spacing w:val="0"/>
          <w:sz w:val="28"/>
          <w:szCs w:val="28"/>
          <w:highlight w:val="none"/>
          <w:lang w:eastAsia="zh-CN"/>
        </w:rPr>
        <w:t>建设单位</w:t>
      </w:r>
      <w:r>
        <w:rPr>
          <w:rFonts w:hint="eastAsia" w:ascii="宋体" w:hAnsi="宋体" w:eastAsia="宋体" w:cs="宋体"/>
          <w:color w:val="auto"/>
          <w:spacing w:val="0"/>
          <w:sz w:val="28"/>
          <w:szCs w:val="28"/>
          <w:highlight w:val="none"/>
        </w:rPr>
        <w:t>造成工期延误的其他原因。</w:t>
      </w:r>
    </w:p>
    <w:p w14:paraId="0F2C1B51">
      <w:pPr>
        <w:pStyle w:val="116"/>
        <w:pageBreakBefore w:val="0"/>
        <w:kinsoku/>
        <w:wordWrap/>
        <w:overflowPunct/>
        <w:topLinePunct w:val="0"/>
        <w:bidi w:val="0"/>
        <w:spacing w:before="0" w:beforeLines="0" w:after="0" w:afterLines="0" w:line="500" w:lineRule="exact"/>
        <w:ind w:left="0" w:right="0"/>
        <w:rPr>
          <w:rFonts w:hint="eastAsia" w:ascii="宋体" w:hAnsi="宋体" w:eastAsia="宋体" w:cs="宋体"/>
          <w:color w:val="auto"/>
          <w:spacing w:val="0"/>
          <w:sz w:val="28"/>
          <w:szCs w:val="28"/>
          <w:highlight w:val="none"/>
          <w:lang w:eastAsia="zh-CN" w:bidi="en-US"/>
        </w:rPr>
      </w:pPr>
      <w:bookmarkStart w:id="301" w:name="bookmark1719"/>
      <w:bookmarkStart w:id="302" w:name="_Toc8593"/>
      <w:bookmarkStart w:id="303" w:name="bookmark1717"/>
      <w:bookmarkStart w:id="304" w:name="_Toc25121"/>
      <w:bookmarkStart w:id="305" w:name="bookmark1718"/>
      <w:bookmarkStart w:id="306" w:name="_Toc30617"/>
      <w:bookmarkStart w:id="307" w:name="_Toc30473"/>
      <w:r>
        <w:rPr>
          <w:rFonts w:hint="eastAsia" w:ascii="宋体" w:hAnsi="宋体" w:eastAsia="宋体" w:cs="宋体"/>
          <w:color w:val="auto"/>
          <w:spacing w:val="0"/>
          <w:sz w:val="28"/>
          <w:szCs w:val="28"/>
          <w:highlight w:val="none"/>
          <w:lang w:eastAsia="zh-CN" w:bidi="en-US"/>
        </w:rPr>
        <w:t>11.4异常恶劣的气候条件</w:t>
      </w:r>
      <w:bookmarkEnd w:id="301"/>
      <w:bookmarkEnd w:id="302"/>
      <w:bookmarkEnd w:id="303"/>
      <w:bookmarkEnd w:id="304"/>
      <w:bookmarkEnd w:id="305"/>
      <w:bookmarkEnd w:id="306"/>
      <w:bookmarkEnd w:id="307"/>
    </w:p>
    <w:p w14:paraId="1BE88E66">
      <w:pPr>
        <w:pStyle w:val="115"/>
        <w:pageBreakBefore w:val="0"/>
        <w:kinsoku/>
        <w:wordWrap/>
        <w:overflowPunct/>
        <w:topLinePunct w:val="0"/>
        <w:bidi w:val="0"/>
        <w:spacing w:line="500" w:lineRule="exact"/>
        <w:ind w:left="0" w:right="0" w:firstLine="0"/>
        <w:jc w:val="both"/>
        <w:rPr>
          <w:rFonts w:hint="eastAsia" w:ascii="宋体" w:hAnsi="宋体" w:eastAsia="宋体" w:cs="宋体"/>
          <w:color w:val="auto"/>
          <w:spacing w:val="0"/>
          <w:sz w:val="28"/>
          <w:szCs w:val="28"/>
          <w:highlight w:val="none"/>
        </w:rPr>
      </w:pPr>
      <w:r>
        <w:rPr>
          <w:rFonts w:hint="eastAsia" w:ascii="宋体" w:hAnsi="宋体" w:eastAsia="宋体" w:cs="宋体"/>
          <w:color w:val="auto"/>
          <w:spacing w:val="0"/>
          <w:sz w:val="28"/>
          <w:szCs w:val="28"/>
          <w:highlight w:val="none"/>
          <w:lang w:val="en-US" w:bidi="en-US"/>
        </w:rPr>
        <w:t>　　11.4.3</w:t>
      </w:r>
      <w:r>
        <w:rPr>
          <w:rFonts w:hint="eastAsia" w:ascii="宋体" w:hAnsi="宋体" w:eastAsia="宋体" w:cs="宋体"/>
          <w:color w:val="auto"/>
          <w:spacing w:val="0"/>
          <w:sz w:val="28"/>
          <w:szCs w:val="28"/>
          <w:highlight w:val="none"/>
        </w:rPr>
        <w:t>本合同工程界定异常恶劣气候条件的范围为：</w:t>
      </w:r>
    </w:p>
    <w:p w14:paraId="77BB9DC0">
      <w:pPr>
        <w:keepNext w:val="0"/>
        <w:keepLines w:val="0"/>
        <w:pageBreakBefore w:val="0"/>
        <w:widowControl/>
        <w:kinsoku/>
        <w:wordWrap/>
        <w:overflowPunct/>
        <w:topLinePunct w:val="0"/>
        <w:autoSpaceDE w:val="0"/>
        <w:autoSpaceDN w:val="0"/>
        <w:bidi w:val="0"/>
        <w:adjustRightInd w:val="0"/>
        <w:snapToGrid w:val="0"/>
        <w:spacing w:line="500" w:lineRule="exact"/>
        <w:ind w:left="0" w:right="0" w:firstLine="560" w:firstLineChars="200"/>
        <w:textAlignment w:val="baseline"/>
        <w:rPr>
          <w:rFonts w:hint="eastAsia" w:ascii="宋体" w:hAnsi="宋体" w:eastAsia="宋体" w:cs="宋体"/>
          <w:color w:val="auto"/>
          <w:spacing w:val="0"/>
          <w:sz w:val="28"/>
          <w:szCs w:val="28"/>
          <w:highlight w:val="none"/>
        </w:rPr>
      </w:pPr>
      <w:bookmarkStart w:id="308" w:name="bookmark1720"/>
      <w:bookmarkEnd w:id="308"/>
      <w:r>
        <w:rPr>
          <w:rFonts w:hint="eastAsia" w:ascii="宋体" w:hAnsi="宋体" w:eastAsia="宋体" w:cs="宋体"/>
          <w:color w:val="auto"/>
          <w:spacing w:val="0"/>
          <w:sz w:val="28"/>
          <w:szCs w:val="28"/>
          <w:highlight w:val="none"/>
        </w:rPr>
        <w:t>(1)特大暴雨级的降雨持续 48 小时以上；</w:t>
      </w:r>
    </w:p>
    <w:p w14:paraId="54063496">
      <w:pPr>
        <w:keepNext w:val="0"/>
        <w:keepLines w:val="0"/>
        <w:pageBreakBefore w:val="0"/>
        <w:widowControl/>
        <w:kinsoku/>
        <w:wordWrap/>
        <w:overflowPunct/>
        <w:topLinePunct w:val="0"/>
        <w:autoSpaceDE w:val="0"/>
        <w:autoSpaceDN w:val="0"/>
        <w:bidi w:val="0"/>
        <w:adjustRightInd w:val="0"/>
        <w:snapToGrid w:val="0"/>
        <w:spacing w:line="500" w:lineRule="exact"/>
        <w:ind w:left="0" w:right="0" w:firstLine="560" w:firstLineChars="200"/>
        <w:textAlignment w:val="baseline"/>
        <w:rPr>
          <w:rFonts w:hint="eastAsia" w:ascii="宋体" w:hAnsi="宋体" w:eastAsia="宋体" w:cs="宋体"/>
          <w:color w:val="auto"/>
          <w:spacing w:val="0"/>
          <w:sz w:val="28"/>
          <w:szCs w:val="28"/>
          <w:highlight w:val="none"/>
        </w:rPr>
      </w:pPr>
      <w:r>
        <w:rPr>
          <w:rFonts w:hint="eastAsia" w:ascii="宋体" w:hAnsi="宋体" w:eastAsia="宋体" w:cs="宋体"/>
          <w:color w:val="auto"/>
          <w:spacing w:val="0"/>
          <w:sz w:val="28"/>
          <w:szCs w:val="28"/>
          <w:highlight w:val="none"/>
        </w:rPr>
        <w:t>(2) 12 级及以上飓风持续 24 小时；</w:t>
      </w:r>
    </w:p>
    <w:p w14:paraId="3C2566E2">
      <w:pPr>
        <w:keepNext w:val="0"/>
        <w:keepLines w:val="0"/>
        <w:pageBreakBefore w:val="0"/>
        <w:widowControl/>
        <w:kinsoku/>
        <w:wordWrap/>
        <w:overflowPunct/>
        <w:topLinePunct w:val="0"/>
        <w:autoSpaceDE w:val="0"/>
        <w:autoSpaceDN w:val="0"/>
        <w:bidi w:val="0"/>
        <w:adjustRightInd w:val="0"/>
        <w:snapToGrid w:val="0"/>
        <w:spacing w:line="500" w:lineRule="exact"/>
        <w:ind w:left="0" w:right="0" w:firstLine="560" w:firstLineChars="200"/>
        <w:textAlignment w:val="baseline"/>
        <w:rPr>
          <w:rFonts w:hint="eastAsia" w:ascii="宋体" w:hAnsi="宋体" w:eastAsia="宋体" w:cs="宋体"/>
          <w:color w:val="auto"/>
          <w:spacing w:val="0"/>
          <w:sz w:val="28"/>
          <w:szCs w:val="28"/>
          <w:highlight w:val="none"/>
        </w:rPr>
      </w:pPr>
      <w:r>
        <w:rPr>
          <w:rFonts w:hint="eastAsia" w:ascii="宋体" w:hAnsi="宋体" w:eastAsia="宋体" w:cs="宋体"/>
          <w:color w:val="auto"/>
          <w:spacing w:val="0"/>
          <w:sz w:val="28"/>
          <w:szCs w:val="28"/>
          <w:highlight w:val="none"/>
        </w:rPr>
        <w:t>(3) 20 年一遇的风暴潮；</w:t>
      </w:r>
    </w:p>
    <w:p w14:paraId="5026F01F">
      <w:pPr>
        <w:keepNext w:val="0"/>
        <w:keepLines w:val="0"/>
        <w:pageBreakBefore w:val="0"/>
        <w:widowControl/>
        <w:kinsoku/>
        <w:wordWrap/>
        <w:overflowPunct/>
        <w:topLinePunct w:val="0"/>
        <w:autoSpaceDE w:val="0"/>
        <w:autoSpaceDN w:val="0"/>
        <w:bidi w:val="0"/>
        <w:adjustRightInd w:val="0"/>
        <w:snapToGrid w:val="0"/>
        <w:spacing w:line="500" w:lineRule="exact"/>
        <w:ind w:left="0" w:right="0" w:firstLine="560" w:firstLineChars="200"/>
        <w:textAlignment w:val="baseline"/>
        <w:rPr>
          <w:rFonts w:hint="eastAsia" w:ascii="宋体" w:hAnsi="宋体" w:eastAsia="宋体" w:cs="宋体"/>
          <w:color w:val="auto"/>
          <w:spacing w:val="0"/>
          <w:sz w:val="28"/>
          <w:szCs w:val="28"/>
          <w:highlight w:val="none"/>
        </w:rPr>
      </w:pPr>
      <w:r>
        <w:rPr>
          <w:rFonts w:hint="eastAsia" w:ascii="宋体" w:hAnsi="宋体" w:eastAsia="宋体" w:cs="宋体"/>
          <w:color w:val="auto"/>
          <w:spacing w:val="0"/>
          <w:sz w:val="28"/>
          <w:szCs w:val="28"/>
          <w:highlight w:val="none"/>
        </w:rPr>
        <w:t>(4)日气温超过 40 ℃的高温大于 2 天；</w:t>
      </w:r>
    </w:p>
    <w:p w14:paraId="23237E86">
      <w:pPr>
        <w:keepNext w:val="0"/>
        <w:keepLines w:val="0"/>
        <w:pageBreakBefore w:val="0"/>
        <w:widowControl/>
        <w:kinsoku/>
        <w:wordWrap/>
        <w:overflowPunct/>
        <w:topLinePunct w:val="0"/>
        <w:autoSpaceDE w:val="0"/>
        <w:autoSpaceDN w:val="0"/>
        <w:bidi w:val="0"/>
        <w:adjustRightInd w:val="0"/>
        <w:snapToGrid w:val="0"/>
        <w:spacing w:line="500" w:lineRule="exact"/>
        <w:ind w:left="0" w:right="0" w:firstLine="560" w:firstLineChars="200"/>
        <w:textAlignment w:val="baseline"/>
        <w:rPr>
          <w:rFonts w:hint="eastAsia" w:ascii="宋体" w:hAnsi="宋体" w:eastAsia="宋体" w:cs="宋体"/>
          <w:color w:val="auto"/>
          <w:spacing w:val="0"/>
          <w:sz w:val="28"/>
          <w:szCs w:val="28"/>
          <w:highlight w:val="none"/>
        </w:rPr>
      </w:pPr>
      <w:r>
        <w:rPr>
          <w:rFonts w:hint="eastAsia" w:ascii="宋体" w:hAnsi="宋体" w:eastAsia="宋体" w:cs="宋体"/>
          <w:color w:val="auto"/>
          <w:spacing w:val="0"/>
          <w:sz w:val="28"/>
          <w:szCs w:val="28"/>
          <w:highlight w:val="none"/>
        </w:rPr>
        <w:t>(5)日气温低于 -10 ℃的严寒大于 2 天。</w:t>
      </w:r>
    </w:p>
    <w:p w14:paraId="6CF730A0">
      <w:pPr>
        <w:keepNext w:val="0"/>
        <w:keepLines w:val="0"/>
        <w:pageBreakBefore w:val="0"/>
        <w:widowControl/>
        <w:kinsoku/>
        <w:wordWrap/>
        <w:overflowPunct/>
        <w:topLinePunct w:val="0"/>
        <w:autoSpaceDE w:val="0"/>
        <w:autoSpaceDN w:val="0"/>
        <w:bidi w:val="0"/>
        <w:adjustRightInd w:val="0"/>
        <w:snapToGrid w:val="0"/>
        <w:spacing w:line="500" w:lineRule="exact"/>
        <w:ind w:left="0" w:right="0" w:firstLine="560" w:firstLineChars="200"/>
        <w:textAlignment w:val="baseline"/>
        <w:rPr>
          <w:rFonts w:hint="eastAsia" w:ascii="宋体" w:hAnsi="宋体" w:eastAsia="宋体" w:cs="宋体"/>
          <w:color w:val="auto"/>
          <w:spacing w:val="0"/>
          <w:sz w:val="28"/>
          <w:szCs w:val="28"/>
          <w:highlight w:val="none"/>
        </w:rPr>
      </w:pPr>
      <w:r>
        <w:rPr>
          <w:rFonts w:hint="eastAsia" w:ascii="宋体" w:hAnsi="宋体" w:eastAsia="宋体" w:cs="宋体"/>
          <w:color w:val="auto"/>
          <w:spacing w:val="0"/>
          <w:sz w:val="28"/>
          <w:szCs w:val="28"/>
          <w:highlight w:val="none"/>
        </w:rPr>
        <w:t>(6)造成工程损坏的冰雹和大雪灾害；</w:t>
      </w:r>
    </w:p>
    <w:p w14:paraId="065BD3F5">
      <w:pPr>
        <w:keepNext w:val="0"/>
        <w:keepLines w:val="0"/>
        <w:pageBreakBefore w:val="0"/>
        <w:widowControl/>
        <w:kinsoku/>
        <w:wordWrap/>
        <w:overflowPunct/>
        <w:topLinePunct w:val="0"/>
        <w:autoSpaceDE w:val="0"/>
        <w:autoSpaceDN w:val="0"/>
        <w:bidi w:val="0"/>
        <w:adjustRightInd w:val="0"/>
        <w:snapToGrid w:val="0"/>
        <w:spacing w:line="500" w:lineRule="exact"/>
        <w:ind w:left="0" w:right="0" w:firstLine="560" w:firstLineChars="200"/>
        <w:textAlignment w:val="baseline"/>
        <w:rPr>
          <w:rFonts w:hint="eastAsia" w:ascii="宋体" w:hAnsi="宋体" w:eastAsia="宋体" w:cs="宋体"/>
          <w:color w:val="auto"/>
          <w:spacing w:val="0"/>
          <w:sz w:val="28"/>
          <w:szCs w:val="28"/>
          <w:highlight w:val="none"/>
        </w:rPr>
      </w:pPr>
      <w:r>
        <w:rPr>
          <w:rFonts w:hint="eastAsia" w:ascii="宋体" w:hAnsi="宋体" w:eastAsia="宋体" w:cs="宋体"/>
          <w:color w:val="auto"/>
          <w:spacing w:val="0"/>
          <w:sz w:val="28"/>
          <w:szCs w:val="28"/>
          <w:highlight w:val="none"/>
        </w:rPr>
        <w:t>(7) 6 级以上的地震；</w:t>
      </w:r>
    </w:p>
    <w:p w14:paraId="42E8113A">
      <w:pPr>
        <w:keepNext w:val="0"/>
        <w:keepLines w:val="0"/>
        <w:pageBreakBefore w:val="0"/>
        <w:widowControl/>
        <w:kinsoku/>
        <w:wordWrap/>
        <w:overflowPunct/>
        <w:topLinePunct w:val="0"/>
        <w:autoSpaceDE w:val="0"/>
        <w:autoSpaceDN w:val="0"/>
        <w:bidi w:val="0"/>
        <w:adjustRightInd w:val="0"/>
        <w:snapToGrid w:val="0"/>
        <w:spacing w:line="500" w:lineRule="exact"/>
        <w:ind w:left="0" w:right="0" w:firstLine="560" w:firstLineChars="200"/>
        <w:textAlignment w:val="baseline"/>
        <w:rPr>
          <w:rFonts w:hint="eastAsia" w:ascii="宋体" w:hAnsi="宋体" w:eastAsia="宋体" w:cs="宋体"/>
          <w:color w:val="auto"/>
          <w:spacing w:val="0"/>
          <w:sz w:val="28"/>
          <w:szCs w:val="28"/>
          <w:highlight w:val="none"/>
        </w:rPr>
      </w:pPr>
      <w:r>
        <w:rPr>
          <w:rFonts w:hint="eastAsia" w:ascii="宋体" w:hAnsi="宋体" w:eastAsia="宋体" w:cs="宋体"/>
          <w:color w:val="auto"/>
          <w:spacing w:val="0"/>
          <w:sz w:val="28"/>
          <w:szCs w:val="28"/>
          <w:highlight w:val="none"/>
        </w:rPr>
        <w:t>(8) 50 年一遇及以上的洪水；</w:t>
      </w:r>
    </w:p>
    <w:p w14:paraId="15FE5E71">
      <w:pPr>
        <w:keepNext w:val="0"/>
        <w:keepLines w:val="0"/>
        <w:pageBreakBefore w:val="0"/>
        <w:widowControl/>
        <w:kinsoku/>
        <w:wordWrap/>
        <w:overflowPunct/>
        <w:topLinePunct w:val="0"/>
        <w:autoSpaceDE w:val="0"/>
        <w:autoSpaceDN w:val="0"/>
        <w:bidi w:val="0"/>
        <w:adjustRightInd w:val="0"/>
        <w:snapToGrid w:val="0"/>
        <w:spacing w:line="500" w:lineRule="exact"/>
        <w:ind w:left="0" w:right="0" w:firstLine="560" w:firstLineChars="200"/>
        <w:textAlignment w:val="baseline"/>
        <w:rPr>
          <w:rFonts w:hint="eastAsia" w:ascii="宋体" w:hAnsi="宋体" w:eastAsia="宋体" w:cs="宋体"/>
          <w:color w:val="auto"/>
          <w:spacing w:val="0"/>
          <w:sz w:val="28"/>
          <w:szCs w:val="28"/>
          <w:highlight w:val="none"/>
        </w:rPr>
      </w:pPr>
      <w:r>
        <w:rPr>
          <w:rFonts w:hint="eastAsia" w:ascii="宋体" w:hAnsi="宋体" w:eastAsia="宋体" w:cs="宋体"/>
          <w:color w:val="auto"/>
          <w:spacing w:val="0"/>
          <w:sz w:val="28"/>
          <w:szCs w:val="28"/>
          <w:highlight w:val="none"/>
        </w:rPr>
        <w:t>(9)其他异常恶劣气候灾害。</w:t>
      </w:r>
    </w:p>
    <w:p w14:paraId="39757967">
      <w:pPr>
        <w:pStyle w:val="116"/>
        <w:pageBreakBefore w:val="0"/>
        <w:kinsoku/>
        <w:wordWrap/>
        <w:overflowPunct/>
        <w:topLinePunct w:val="0"/>
        <w:bidi w:val="0"/>
        <w:spacing w:beforeLines="0" w:afterLines="0" w:line="500" w:lineRule="exact"/>
        <w:ind w:left="0" w:right="0"/>
        <w:rPr>
          <w:rFonts w:hint="eastAsia" w:ascii="宋体" w:hAnsi="宋体" w:eastAsia="宋体" w:cs="宋体"/>
          <w:color w:val="auto"/>
          <w:spacing w:val="0"/>
          <w:sz w:val="28"/>
          <w:szCs w:val="28"/>
          <w:highlight w:val="none"/>
          <w:lang w:eastAsia="zh-CN" w:bidi="en-US"/>
        </w:rPr>
      </w:pPr>
      <w:r>
        <w:rPr>
          <w:rFonts w:hint="eastAsia" w:ascii="宋体" w:hAnsi="宋体" w:eastAsia="宋体" w:cs="宋体"/>
          <w:color w:val="auto"/>
          <w:spacing w:val="0"/>
          <w:sz w:val="28"/>
          <w:szCs w:val="28"/>
          <w:highlight w:val="none"/>
          <w:lang w:eastAsia="zh-CN" w:bidi="en-US"/>
        </w:rPr>
        <w:t>11.5承包人工期延误</w:t>
      </w:r>
      <w:bookmarkEnd w:id="294"/>
      <w:bookmarkEnd w:id="295"/>
      <w:bookmarkEnd w:id="296"/>
      <w:bookmarkEnd w:id="297"/>
      <w:bookmarkEnd w:id="298"/>
      <w:bookmarkEnd w:id="299"/>
      <w:bookmarkEnd w:id="300"/>
    </w:p>
    <w:p w14:paraId="5832C770">
      <w:pPr>
        <w:pageBreakBefore w:val="0"/>
        <w:kinsoku/>
        <w:wordWrap/>
        <w:overflowPunct/>
        <w:topLinePunct w:val="0"/>
        <w:bidi w:val="0"/>
        <w:spacing w:line="500" w:lineRule="exact"/>
        <w:ind w:left="0" w:right="0" w:firstLine="560" w:firstLineChars="200"/>
        <w:rPr>
          <w:rFonts w:hint="eastAsia" w:ascii="宋体" w:hAnsi="宋体" w:eastAsia="宋体" w:cs="宋体"/>
          <w:color w:val="auto"/>
          <w:spacing w:val="0"/>
          <w:sz w:val="28"/>
          <w:szCs w:val="28"/>
          <w:highlight w:val="none"/>
          <w:lang w:val="zh-CN"/>
        </w:rPr>
      </w:pPr>
      <w:bookmarkStart w:id="309" w:name="bookmark1733"/>
      <w:bookmarkStart w:id="310" w:name="bookmark1732"/>
      <w:bookmarkStart w:id="311" w:name="bookmark1734"/>
      <w:bookmarkStart w:id="312" w:name="_Toc2503"/>
      <w:bookmarkStart w:id="313" w:name="_Toc24812"/>
      <w:bookmarkStart w:id="314" w:name="_Toc6166"/>
      <w:bookmarkStart w:id="315" w:name="_Toc21309"/>
      <w:r>
        <w:rPr>
          <w:rFonts w:hint="eastAsia" w:ascii="宋体" w:hAnsi="宋体" w:eastAsia="宋体" w:cs="宋体"/>
          <w:color w:val="auto"/>
          <w:spacing w:val="0"/>
          <w:sz w:val="28"/>
          <w:szCs w:val="28"/>
          <w:highlight w:val="none"/>
          <w:lang w:val="zh-CN"/>
        </w:rPr>
        <w:t xml:space="preserve">(1)承包人如未能按要求的完工日期前完工，逾期完工违约金按 </w:t>
      </w:r>
      <w:r>
        <w:rPr>
          <w:rFonts w:hint="eastAsia" w:ascii="宋体" w:hAnsi="宋体" w:eastAsia="宋体" w:cs="宋体"/>
          <w:color w:val="auto"/>
          <w:spacing w:val="0"/>
          <w:sz w:val="28"/>
          <w:szCs w:val="28"/>
          <w:highlight w:val="none"/>
          <w:u w:val="single"/>
          <w:lang w:val="zh-CN"/>
        </w:rPr>
        <w:t>1000</w:t>
      </w:r>
      <w:r>
        <w:rPr>
          <w:rFonts w:hint="eastAsia" w:ascii="宋体" w:hAnsi="宋体" w:eastAsia="宋体" w:cs="宋体"/>
          <w:color w:val="auto"/>
          <w:spacing w:val="0"/>
          <w:sz w:val="28"/>
          <w:szCs w:val="28"/>
          <w:highlight w:val="none"/>
          <w:lang w:val="zh-CN"/>
        </w:rPr>
        <w:t>元/天计算。</w:t>
      </w:r>
    </w:p>
    <w:p w14:paraId="3C680F97">
      <w:pPr>
        <w:pageBreakBefore w:val="0"/>
        <w:kinsoku/>
        <w:wordWrap/>
        <w:overflowPunct/>
        <w:topLinePunct w:val="0"/>
        <w:bidi w:val="0"/>
        <w:spacing w:line="500" w:lineRule="exact"/>
        <w:ind w:left="0" w:right="0" w:firstLine="560" w:firstLineChars="200"/>
        <w:rPr>
          <w:rFonts w:hint="eastAsia" w:ascii="宋体" w:hAnsi="宋体" w:eastAsia="宋体" w:cs="宋体"/>
          <w:color w:val="auto"/>
          <w:spacing w:val="0"/>
          <w:sz w:val="28"/>
          <w:szCs w:val="28"/>
          <w:highlight w:val="none"/>
          <w:lang w:val="zh-CN"/>
        </w:rPr>
      </w:pPr>
      <w:r>
        <w:rPr>
          <w:rFonts w:hint="eastAsia" w:ascii="宋体" w:hAnsi="宋体" w:eastAsia="宋体" w:cs="宋体"/>
          <w:color w:val="auto"/>
          <w:spacing w:val="0"/>
          <w:sz w:val="28"/>
          <w:szCs w:val="28"/>
          <w:highlight w:val="none"/>
          <w:lang w:val="zh-CN"/>
        </w:rPr>
        <w:t>(2) 全部逾期完工违约金的总限额不超过合同总价的 2%，建设单位可从应向承包人支付的任何金额中扣除此项违约金或以其他方式收回此款，此违约金的支付并不能解除承包人应完成工程的责任或合同规定的其他责任。</w:t>
      </w:r>
    </w:p>
    <w:p w14:paraId="5F0ADE97">
      <w:pPr>
        <w:pageBreakBefore w:val="0"/>
        <w:kinsoku/>
        <w:wordWrap/>
        <w:overflowPunct/>
        <w:topLinePunct w:val="0"/>
        <w:bidi w:val="0"/>
        <w:spacing w:line="500" w:lineRule="exact"/>
        <w:ind w:left="0" w:right="0" w:firstLine="560" w:firstLineChars="200"/>
        <w:rPr>
          <w:rFonts w:hint="eastAsia" w:ascii="宋体" w:hAnsi="宋体" w:eastAsia="宋体" w:cs="宋体"/>
          <w:color w:val="auto"/>
          <w:spacing w:val="0"/>
          <w:sz w:val="28"/>
          <w:szCs w:val="28"/>
          <w:highlight w:val="none"/>
          <w:lang w:val="zh-CN"/>
        </w:rPr>
      </w:pPr>
      <w:r>
        <w:rPr>
          <w:rFonts w:hint="eastAsia" w:ascii="宋体" w:hAnsi="宋体" w:eastAsia="宋体" w:cs="宋体"/>
          <w:color w:val="auto"/>
          <w:spacing w:val="0"/>
          <w:sz w:val="28"/>
          <w:szCs w:val="28"/>
          <w:highlight w:val="none"/>
          <w:lang w:val="zh-CN"/>
        </w:rPr>
        <w:t>(3) 若因施工现场征地拆迁、重大设计变更等建设单位原因导致工期延误的，工期只能相应顺延，承包人应自行收集整理相关证明材料，但承包人不得就工期延误进行任何价款索赔。</w:t>
      </w:r>
    </w:p>
    <w:p w14:paraId="552C95DE">
      <w:pPr>
        <w:pStyle w:val="116"/>
        <w:pageBreakBefore w:val="0"/>
        <w:kinsoku/>
        <w:wordWrap/>
        <w:overflowPunct/>
        <w:topLinePunct w:val="0"/>
        <w:bidi w:val="0"/>
        <w:spacing w:beforeLines="0" w:afterLines="0" w:line="500" w:lineRule="exact"/>
        <w:ind w:left="0" w:right="0"/>
        <w:rPr>
          <w:rFonts w:hint="eastAsia" w:ascii="宋体" w:hAnsi="宋体" w:eastAsia="宋体" w:cs="宋体"/>
          <w:color w:val="auto"/>
          <w:spacing w:val="0"/>
          <w:sz w:val="28"/>
          <w:szCs w:val="28"/>
          <w:highlight w:val="none"/>
          <w:lang w:eastAsia="zh-CN" w:bidi="en-US"/>
        </w:rPr>
      </w:pPr>
      <w:r>
        <w:rPr>
          <w:rFonts w:hint="eastAsia" w:ascii="宋体" w:hAnsi="宋体" w:eastAsia="宋体" w:cs="宋体"/>
          <w:color w:val="auto"/>
          <w:spacing w:val="0"/>
          <w:sz w:val="28"/>
          <w:szCs w:val="28"/>
          <w:highlight w:val="none"/>
          <w:lang w:eastAsia="zh-CN" w:bidi="en-US"/>
        </w:rPr>
        <w:t>11.6工期提前</w:t>
      </w:r>
      <w:bookmarkEnd w:id="309"/>
      <w:bookmarkEnd w:id="310"/>
      <w:bookmarkEnd w:id="311"/>
      <w:bookmarkEnd w:id="312"/>
      <w:bookmarkEnd w:id="313"/>
      <w:bookmarkEnd w:id="314"/>
      <w:bookmarkEnd w:id="315"/>
    </w:p>
    <w:p w14:paraId="15348AF5">
      <w:pPr>
        <w:pStyle w:val="115"/>
        <w:pageBreakBefore w:val="0"/>
        <w:tabs>
          <w:tab w:val="left" w:pos="8218"/>
        </w:tabs>
        <w:kinsoku/>
        <w:wordWrap/>
        <w:overflowPunct/>
        <w:topLinePunct w:val="0"/>
        <w:bidi w:val="0"/>
        <w:spacing w:line="500" w:lineRule="exact"/>
        <w:ind w:left="0" w:right="0" w:firstLine="0"/>
        <w:jc w:val="both"/>
        <w:rPr>
          <w:rFonts w:hint="eastAsia" w:ascii="宋体" w:hAnsi="宋体" w:eastAsia="宋体" w:cs="宋体"/>
          <w:color w:val="auto"/>
          <w:spacing w:val="0"/>
          <w:sz w:val="28"/>
          <w:szCs w:val="28"/>
          <w:highlight w:val="none"/>
          <w:lang w:val="en-US" w:bidi="en-US"/>
        </w:rPr>
      </w:pPr>
      <w:r>
        <w:rPr>
          <w:rFonts w:hint="eastAsia" w:ascii="宋体" w:hAnsi="宋体" w:eastAsia="宋体" w:cs="宋体"/>
          <w:color w:val="auto"/>
          <w:spacing w:val="0"/>
          <w:sz w:val="28"/>
          <w:szCs w:val="28"/>
          <w:highlight w:val="none"/>
        </w:rPr>
        <w:t>　　工期提前的资金约定：</w:t>
      </w:r>
      <w:r>
        <w:rPr>
          <w:rFonts w:hint="eastAsia" w:ascii="宋体" w:hAnsi="宋体" w:eastAsia="宋体" w:cs="宋体"/>
          <w:color w:val="auto"/>
          <w:spacing w:val="0"/>
          <w:sz w:val="28"/>
          <w:szCs w:val="28"/>
          <w:highlight w:val="none"/>
          <w:u w:val="single"/>
        </w:rPr>
        <w:t>在保证工程质量的前提下，</w:t>
      </w:r>
      <w:r>
        <w:rPr>
          <w:rFonts w:hint="eastAsia" w:cs="宋体"/>
          <w:color w:val="auto"/>
          <w:spacing w:val="0"/>
          <w:sz w:val="28"/>
          <w:szCs w:val="28"/>
          <w:highlight w:val="none"/>
          <w:u w:val="single"/>
          <w:lang w:eastAsia="zh-CN"/>
        </w:rPr>
        <w:t>建设单位</w:t>
      </w:r>
      <w:r>
        <w:rPr>
          <w:rFonts w:hint="eastAsia" w:ascii="宋体" w:hAnsi="宋体" w:eastAsia="宋体" w:cs="宋体"/>
          <w:color w:val="auto"/>
          <w:spacing w:val="0"/>
          <w:sz w:val="28"/>
          <w:szCs w:val="28"/>
          <w:highlight w:val="none"/>
          <w:u w:val="single"/>
        </w:rPr>
        <w:t>鼓励承包人提前完工，但本合同工程无提前工期奖金</w:t>
      </w:r>
      <w:r>
        <w:rPr>
          <w:rFonts w:hint="eastAsia" w:ascii="宋体" w:hAnsi="宋体" w:eastAsia="宋体" w:cs="宋体"/>
          <w:color w:val="auto"/>
          <w:spacing w:val="0"/>
          <w:sz w:val="28"/>
          <w:szCs w:val="28"/>
          <w:highlight w:val="none"/>
        </w:rPr>
        <w:t xml:space="preserve"> </w:t>
      </w:r>
      <w:r>
        <w:rPr>
          <w:rFonts w:hint="eastAsia" w:ascii="宋体" w:hAnsi="宋体" w:eastAsia="宋体" w:cs="宋体"/>
          <w:color w:val="auto"/>
          <w:spacing w:val="0"/>
          <w:sz w:val="28"/>
          <w:szCs w:val="28"/>
          <w:highlight w:val="none"/>
          <w:lang w:val="en-US" w:bidi="en-US"/>
        </w:rPr>
        <w:t>。</w:t>
      </w:r>
    </w:p>
    <w:p w14:paraId="26738B01">
      <w:pPr>
        <w:pStyle w:val="116"/>
        <w:pageBreakBefore w:val="0"/>
        <w:kinsoku/>
        <w:wordWrap/>
        <w:overflowPunct/>
        <w:topLinePunct w:val="0"/>
        <w:bidi w:val="0"/>
        <w:spacing w:beforeLines="0" w:afterLines="0" w:line="500" w:lineRule="exact"/>
        <w:ind w:left="0" w:right="0"/>
        <w:rPr>
          <w:rFonts w:hint="eastAsia" w:ascii="宋体" w:hAnsi="宋体" w:eastAsia="宋体" w:cs="宋体"/>
          <w:color w:val="auto"/>
          <w:spacing w:val="0"/>
          <w:sz w:val="28"/>
          <w:szCs w:val="28"/>
          <w:highlight w:val="none"/>
          <w:lang w:eastAsia="zh-CN"/>
        </w:rPr>
      </w:pPr>
      <w:bookmarkStart w:id="316" w:name="bookmark1737"/>
      <w:bookmarkStart w:id="317" w:name="_Toc19949"/>
      <w:bookmarkStart w:id="318" w:name="_Toc23224"/>
      <w:bookmarkStart w:id="319" w:name="bookmark1736"/>
      <w:bookmarkStart w:id="320" w:name="_Toc24244"/>
      <w:bookmarkStart w:id="321" w:name="_Toc6849"/>
      <w:bookmarkStart w:id="322" w:name="bookmark1735"/>
      <w:bookmarkStart w:id="323" w:name="_Toc17748"/>
      <w:bookmarkStart w:id="324" w:name="_Toc27063"/>
      <w:bookmarkStart w:id="325" w:name="_Toc17722"/>
      <w:bookmarkStart w:id="326" w:name="_Toc29861"/>
      <w:bookmarkStart w:id="327" w:name="_Toc26844"/>
      <w:bookmarkStart w:id="328" w:name="_Toc6407"/>
      <w:bookmarkStart w:id="329" w:name="bookmark1753"/>
      <w:bookmarkStart w:id="330" w:name="bookmark1752"/>
      <w:bookmarkStart w:id="331" w:name="_Toc29233"/>
      <w:bookmarkStart w:id="332" w:name="_Toc2275"/>
      <w:bookmarkStart w:id="333" w:name="bookmark1754"/>
      <w:bookmarkStart w:id="334" w:name="_Toc28193"/>
      <w:bookmarkStart w:id="335" w:name="_Toc20650"/>
      <w:r>
        <w:rPr>
          <w:rFonts w:hint="eastAsia" w:ascii="宋体" w:hAnsi="宋体" w:eastAsia="宋体" w:cs="宋体"/>
          <w:color w:val="auto"/>
          <w:spacing w:val="0"/>
          <w:sz w:val="28"/>
          <w:szCs w:val="28"/>
          <w:highlight w:val="none"/>
          <w:lang w:eastAsia="zh-CN"/>
        </w:rPr>
        <w:t>12. 暂停施工</w:t>
      </w:r>
      <w:bookmarkEnd w:id="316"/>
      <w:bookmarkEnd w:id="317"/>
      <w:bookmarkEnd w:id="318"/>
      <w:bookmarkEnd w:id="319"/>
      <w:bookmarkEnd w:id="320"/>
      <w:bookmarkEnd w:id="321"/>
      <w:bookmarkEnd w:id="322"/>
      <w:bookmarkEnd w:id="323"/>
      <w:bookmarkEnd w:id="324"/>
      <w:bookmarkEnd w:id="325"/>
    </w:p>
    <w:p w14:paraId="0144E51B">
      <w:pPr>
        <w:pStyle w:val="116"/>
        <w:pageBreakBefore w:val="0"/>
        <w:kinsoku/>
        <w:wordWrap/>
        <w:overflowPunct/>
        <w:topLinePunct w:val="0"/>
        <w:bidi w:val="0"/>
        <w:spacing w:beforeLines="0" w:afterLines="0" w:line="500" w:lineRule="exact"/>
        <w:ind w:left="0" w:right="0"/>
        <w:rPr>
          <w:rFonts w:hint="eastAsia" w:ascii="宋体" w:hAnsi="宋体" w:eastAsia="宋体" w:cs="宋体"/>
          <w:color w:val="auto"/>
          <w:spacing w:val="0"/>
          <w:sz w:val="28"/>
          <w:szCs w:val="28"/>
          <w:highlight w:val="none"/>
          <w:lang w:eastAsia="zh-CN" w:bidi="en-US"/>
        </w:rPr>
      </w:pPr>
      <w:bookmarkStart w:id="336" w:name="_Toc3583"/>
      <w:bookmarkStart w:id="337" w:name="bookmark1738"/>
      <w:bookmarkStart w:id="338" w:name="bookmark1739"/>
      <w:bookmarkStart w:id="339" w:name="bookmark1740"/>
      <w:bookmarkStart w:id="340" w:name="_Toc28191"/>
      <w:bookmarkStart w:id="341" w:name="_Toc13017"/>
      <w:bookmarkStart w:id="342" w:name="_Toc7116"/>
      <w:r>
        <w:rPr>
          <w:rFonts w:hint="eastAsia" w:ascii="宋体" w:hAnsi="宋体" w:eastAsia="宋体" w:cs="宋体"/>
          <w:color w:val="auto"/>
          <w:spacing w:val="0"/>
          <w:sz w:val="28"/>
          <w:szCs w:val="28"/>
          <w:highlight w:val="none"/>
          <w:lang w:eastAsia="zh-CN" w:bidi="en-US"/>
        </w:rPr>
        <w:t>12.1承包人暂停施工的责任</w:t>
      </w:r>
      <w:bookmarkEnd w:id="336"/>
      <w:bookmarkEnd w:id="337"/>
      <w:bookmarkEnd w:id="338"/>
      <w:bookmarkEnd w:id="339"/>
      <w:bookmarkEnd w:id="340"/>
      <w:bookmarkEnd w:id="341"/>
      <w:bookmarkEnd w:id="342"/>
    </w:p>
    <w:p w14:paraId="5D6D3C86">
      <w:pPr>
        <w:pStyle w:val="47"/>
        <w:pageBreakBefore w:val="0"/>
        <w:kinsoku/>
        <w:wordWrap/>
        <w:overflowPunct/>
        <w:topLinePunct w:val="0"/>
        <w:bidi w:val="0"/>
        <w:spacing w:line="500" w:lineRule="exact"/>
        <w:ind w:left="0" w:right="0"/>
        <w:rPr>
          <w:rFonts w:hint="eastAsia" w:ascii="宋体" w:hAnsi="宋体" w:eastAsia="宋体" w:cs="宋体"/>
          <w:color w:val="auto"/>
          <w:spacing w:val="0"/>
          <w:sz w:val="28"/>
          <w:szCs w:val="28"/>
          <w:highlight w:val="none"/>
          <w:lang w:val="zh-CN" w:eastAsia="zh-CN"/>
        </w:rPr>
      </w:pPr>
      <w:bookmarkStart w:id="343" w:name="bookmark1741"/>
      <w:bookmarkEnd w:id="343"/>
      <w:r>
        <w:rPr>
          <w:rFonts w:hint="eastAsia" w:ascii="宋体" w:hAnsi="宋体" w:eastAsia="宋体" w:cs="宋体"/>
          <w:color w:val="auto"/>
          <w:spacing w:val="0"/>
          <w:sz w:val="28"/>
          <w:szCs w:val="28"/>
          <w:highlight w:val="none"/>
          <w:lang w:eastAsia="zh-CN"/>
        </w:rPr>
        <w:t>　　承包人承担暂停施工责任的其它情形：</w:t>
      </w:r>
      <w:r>
        <w:rPr>
          <w:rFonts w:hint="eastAsia" w:ascii="宋体" w:hAnsi="宋体" w:eastAsia="宋体" w:cs="宋体"/>
          <w:color w:val="auto"/>
          <w:spacing w:val="0"/>
          <w:sz w:val="28"/>
          <w:szCs w:val="28"/>
          <w:highlight w:val="none"/>
          <w:u w:val="single"/>
          <w:lang w:eastAsia="zh-CN"/>
        </w:rPr>
        <w:t>由于承包人资金、人员、材料、设备不能按时到位的由承包人承担停工责任，或由于承包人原因造成的质量事故及安全事故引起的暂停施工，</w:t>
      </w:r>
      <w:r>
        <w:rPr>
          <w:rFonts w:hint="eastAsia" w:ascii="宋体" w:hAnsi="宋体" w:cs="宋体"/>
          <w:color w:val="auto"/>
          <w:spacing w:val="0"/>
          <w:sz w:val="28"/>
          <w:szCs w:val="28"/>
          <w:highlight w:val="none"/>
          <w:u w:val="single"/>
          <w:lang w:eastAsia="zh-CN"/>
        </w:rPr>
        <w:t>建设单位</w:t>
      </w:r>
      <w:r>
        <w:rPr>
          <w:rFonts w:hint="eastAsia" w:ascii="宋体" w:hAnsi="宋体" w:eastAsia="宋体" w:cs="宋体"/>
          <w:color w:val="auto"/>
          <w:spacing w:val="0"/>
          <w:sz w:val="28"/>
          <w:szCs w:val="28"/>
          <w:highlight w:val="none"/>
          <w:u w:val="single"/>
          <w:lang w:eastAsia="zh-CN"/>
        </w:rPr>
        <w:t>不再补偿停工所造成的工程费用增加和工期延误</w:t>
      </w:r>
      <w:r>
        <w:rPr>
          <w:rFonts w:hint="eastAsia" w:ascii="宋体" w:hAnsi="宋体" w:eastAsia="宋体" w:cs="宋体"/>
          <w:color w:val="auto"/>
          <w:spacing w:val="0"/>
          <w:sz w:val="28"/>
          <w:szCs w:val="28"/>
          <w:highlight w:val="none"/>
          <w:lang w:eastAsia="zh-CN"/>
        </w:rPr>
        <w:t>。</w:t>
      </w:r>
    </w:p>
    <w:p w14:paraId="2CEBA806">
      <w:pPr>
        <w:pStyle w:val="116"/>
        <w:pageBreakBefore w:val="0"/>
        <w:kinsoku/>
        <w:wordWrap/>
        <w:overflowPunct/>
        <w:topLinePunct w:val="0"/>
        <w:bidi w:val="0"/>
        <w:spacing w:beforeLines="0" w:afterLines="0" w:line="500" w:lineRule="exact"/>
        <w:ind w:left="0" w:right="0"/>
        <w:rPr>
          <w:rFonts w:hint="eastAsia" w:ascii="宋体" w:hAnsi="宋体" w:eastAsia="宋体" w:cs="宋体"/>
          <w:color w:val="auto"/>
          <w:spacing w:val="0"/>
          <w:sz w:val="28"/>
          <w:szCs w:val="28"/>
          <w:highlight w:val="none"/>
          <w:lang w:eastAsia="zh-CN" w:bidi="en-US"/>
        </w:rPr>
      </w:pPr>
      <w:bookmarkStart w:id="344" w:name="_Toc32213"/>
      <w:bookmarkStart w:id="345" w:name="_Toc9024"/>
      <w:bookmarkStart w:id="346" w:name="_Toc14207"/>
      <w:bookmarkStart w:id="347" w:name="_Toc18473"/>
      <w:r>
        <w:rPr>
          <w:rFonts w:hint="eastAsia" w:ascii="宋体" w:hAnsi="宋体" w:eastAsia="宋体" w:cs="宋体"/>
          <w:color w:val="auto"/>
          <w:spacing w:val="0"/>
          <w:sz w:val="28"/>
          <w:szCs w:val="28"/>
          <w:highlight w:val="none"/>
          <w:lang w:eastAsia="zh-CN" w:bidi="en-US"/>
        </w:rPr>
        <w:t>12.2</w:t>
      </w:r>
      <w:r>
        <w:rPr>
          <w:rFonts w:hint="eastAsia" w:ascii="宋体" w:hAnsi="宋体" w:cs="宋体"/>
          <w:color w:val="auto"/>
          <w:spacing w:val="0"/>
          <w:sz w:val="28"/>
          <w:szCs w:val="28"/>
          <w:highlight w:val="none"/>
          <w:lang w:eastAsia="zh-CN" w:bidi="en-US"/>
        </w:rPr>
        <w:t>建设单位</w:t>
      </w:r>
      <w:r>
        <w:rPr>
          <w:rFonts w:hint="eastAsia" w:ascii="宋体" w:hAnsi="宋体" w:eastAsia="宋体" w:cs="宋体"/>
          <w:color w:val="auto"/>
          <w:spacing w:val="0"/>
          <w:sz w:val="28"/>
          <w:szCs w:val="28"/>
          <w:highlight w:val="none"/>
          <w:lang w:eastAsia="zh-CN" w:bidi="en-US"/>
        </w:rPr>
        <w:t>暂停施工的责任</w:t>
      </w:r>
      <w:bookmarkEnd w:id="344"/>
      <w:bookmarkEnd w:id="345"/>
      <w:bookmarkEnd w:id="346"/>
      <w:bookmarkEnd w:id="347"/>
    </w:p>
    <w:p w14:paraId="6142916B">
      <w:pPr>
        <w:pageBreakBefore w:val="0"/>
        <w:kinsoku/>
        <w:wordWrap/>
        <w:overflowPunct/>
        <w:topLinePunct w:val="0"/>
        <w:bidi w:val="0"/>
        <w:spacing w:line="500" w:lineRule="exact"/>
        <w:ind w:left="0" w:right="0"/>
        <w:rPr>
          <w:rFonts w:hint="eastAsia" w:ascii="宋体" w:hAnsi="宋体" w:eastAsia="宋体" w:cs="宋体"/>
          <w:color w:val="auto"/>
          <w:spacing w:val="0"/>
          <w:sz w:val="28"/>
          <w:szCs w:val="28"/>
          <w:highlight w:val="none"/>
        </w:rPr>
      </w:pPr>
      <w:r>
        <w:rPr>
          <w:rFonts w:hint="eastAsia" w:ascii="宋体" w:hAnsi="宋体" w:eastAsia="宋体" w:cs="宋体"/>
          <w:color w:val="auto"/>
          <w:spacing w:val="0"/>
          <w:sz w:val="28"/>
          <w:szCs w:val="28"/>
          <w:highlight w:val="none"/>
        </w:rPr>
        <w:t>　　因</w:t>
      </w:r>
      <w:r>
        <w:rPr>
          <w:rFonts w:hint="eastAsia" w:ascii="宋体" w:hAnsi="宋体" w:eastAsia="宋体" w:cs="宋体"/>
          <w:color w:val="auto"/>
          <w:spacing w:val="0"/>
          <w:sz w:val="28"/>
          <w:szCs w:val="28"/>
          <w:highlight w:val="none"/>
          <w:lang w:eastAsia="zh-CN"/>
        </w:rPr>
        <w:t>建设单位</w:t>
      </w:r>
      <w:r>
        <w:rPr>
          <w:rFonts w:hint="eastAsia" w:ascii="宋体" w:hAnsi="宋体" w:eastAsia="宋体" w:cs="宋体"/>
          <w:color w:val="auto"/>
          <w:spacing w:val="0"/>
          <w:sz w:val="28"/>
          <w:szCs w:val="28"/>
          <w:highlight w:val="none"/>
        </w:rPr>
        <w:t>原因造成的暂停施工，</w:t>
      </w:r>
      <w:r>
        <w:rPr>
          <w:rFonts w:hint="eastAsia" w:ascii="宋体" w:hAnsi="宋体" w:eastAsia="宋体" w:cs="宋体"/>
          <w:color w:val="auto"/>
          <w:spacing w:val="0"/>
          <w:sz w:val="28"/>
          <w:szCs w:val="28"/>
          <w:highlight w:val="none"/>
          <w:lang w:eastAsia="zh-CN"/>
        </w:rPr>
        <w:t>建设单位</w:t>
      </w:r>
      <w:r>
        <w:rPr>
          <w:rFonts w:hint="eastAsia" w:ascii="宋体" w:hAnsi="宋体" w:eastAsia="宋体" w:cs="宋体"/>
          <w:color w:val="auto"/>
          <w:spacing w:val="0"/>
          <w:sz w:val="28"/>
          <w:szCs w:val="28"/>
          <w:highlight w:val="none"/>
        </w:rPr>
        <w:t>对承包人给予工期补偿，不另行支付其它费用。</w:t>
      </w:r>
    </w:p>
    <w:p w14:paraId="0BA68CCF">
      <w:pPr>
        <w:pageBreakBefore w:val="0"/>
        <w:kinsoku/>
        <w:wordWrap/>
        <w:overflowPunct/>
        <w:topLinePunct w:val="0"/>
        <w:bidi w:val="0"/>
        <w:spacing w:line="500" w:lineRule="exact"/>
        <w:ind w:left="0" w:right="0"/>
        <w:rPr>
          <w:rFonts w:hint="eastAsia" w:ascii="宋体" w:hAnsi="宋体" w:eastAsia="宋体" w:cs="宋体"/>
          <w:color w:val="auto"/>
          <w:spacing w:val="0"/>
          <w:sz w:val="28"/>
          <w:szCs w:val="28"/>
          <w:highlight w:val="none"/>
        </w:rPr>
      </w:pPr>
      <w:r>
        <w:rPr>
          <w:rFonts w:hint="eastAsia" w:ascii="宋体" w:hAnsi="宋体" w:eastAsia="宋体" w:cs="宋体"/>
          <w:color w:val="auto"/>
          <w:spacing w:val="0"/>
          <w:sz w:val="28"/>
          <w:szCs w:val="28"/>
          <w:highlight w:val="none"/>
        </w:rPr>
        <w:t xml:space="preserve">　　(3) </w:t>
      </w:r>
      <w:r>
        <w:rPr>
          <w:rFonts w:hint="eastAsia" w:ascii="宋体" w:hAnsi="宋体" w:eastAsia="宋体" w:cs="宋体"/>
          <w:color w:val="auto"/>
          <w:spacing w:val="0"/>
          <w:sz w:val="28"/>
          <w:szCs w:val="28"/>
          <w:highlight w:val="none"/>
          <w:lang w:eastAsia="zh-CN"/>
        </w:rPr>
        <w:t>建设单位</w:t>
      </w:r>
      <w:r>
        <w:rPr>
          <w:rFonts w:hint="eastAsia" w:ascii="宋体" w:hAnsi="宋体" w:eastAsia="宋体" w:cs="宋体"/>
          <w:color w:val="auto"/>
          <w:spacing w:val="0"/>
          <w:sz w:val="28"/>
          <w:szCs w:val="28"/>
          <w:highlight w:val="none"/>
        </w:rPr>
        <w:t>承担暂停施工责任的其它情形：</w:t>
      </w:r>
      <w:r>
        <w:rPr>
          <w:rFonts w:hint="eastAsia" w:ascii="宋体" w:hAnsi="宋体" w:eastAsia="宋体" w:cs="宋体"/>
          <w:color w:val="auto"/>
          <w:spacing w:val="0"/>
          <w:sz w:val="28"/>
          <w:szCs w:val="28"/>
          <w:highlight w:val="none"/>
          <w:u w:val="single"/>
        </w:rPr>
        <w:t xml:space="preserve"> 由</w:t>
      </w:r>
      <w:r>
        <w:rPr>
          <w:rFonts w:hint="eastAsia" w:ascii="宋体" w:hAnsi="宋体" w:eastAsia="宋体" w:cs="宋体"/>
          <w:color w:val="auto"/>
          <w:spacing w:val="0"/>
          <w:sz w:val="28"/>
          <w:szCs w:val="28"/>
          <w:highlight w:val="none"/>
          <w:u w:val="single"/>
          <w:lang w:eastAsia="zh-CN"/>
        </w:rPr>
        <w:t>建设单位</w:t>
      </w:r>
      <w:r>
        <w:rPr>
          <w:rFonts w:hint="eastAsia" w:ascii="宋体" w:hAnsi="宋体" w:eastAsia="宋体" w:cs="宋体"/>
          <w:color w:val="auto"/>
          <w:spacing w:val="0"/>
          <w:sz w:val="28"/>
          <w:szCs w:val="28"/>
          <w:highlight w:val="none"/>
          <w:u w:val="single"/>
        </w:rPr>
        <w:t>和监理人根据有关规定明确</w:t>
      </w:r>
      <w:r>
        <w:rPr>
          <w:rFonts w:hint="eastAsia" w:ascii="宋体" w:hAnsi="宋体" w:eastAsia="宋体" w:cs="宋体"/>
          <w:color w:val="auto"/>
          <w:spacing w:val="0"/>
          <w:sz w:val="28"/>
          <w:szCs w:val="28"/>
          <w:highlight w:val="none"/>
        </w:rPr>
        <w:t>。</w:t>
      </w:r>
    </w:p>
    <w:p w14:paraId="3E5C20D7">
      <w:pPr>
        <w:pStyle w:val="116"/>
        <w:pageBreakBefore w:val="0"/>
        <w:kinsoku/>
        <w:wordWrap/>
        <w:overflowPunct/>
        <w:topLinePunct w:val="0"/>
        <w:bidi w:val="0"/>
        <w:spacing w:beforeLines="0" w:afterLines="0" w:line="500" w:lineRule="exact"/>
        <w:ind w:left="0" w:right="0"/>
        <w:rPr>
          <w:rFonts w:hint="eastAsia" w:ascii="宋体" w:hAnsi="宋体" w:eastAsia="宋体" w:cs="宋体"/>
          <w:color w:val="auto"/>
          <w:spacing w:val="0"/>
          <w:sz w:val="28"/>
          <w:szCs w:val="28"/>
          <w:highlight w:val="none"/>
          <w:lang w:eastAsia="zh-CN"/>
        </w:rPr>
      </w:pPr>
      <w:bookmarkStart w:id="348" w:name="bookmark1742"/>
      <w:bookmarkEnd w:id="348"/>
      <w:bookmarkStart w:id="349" w:name="_Toc18941"/>
      <w:bookmarkStart w:id="350" w:name="_Toc13616"/>
      <w:bookmarkStart w:id="351" w:name="_Toc16648"/>
      <w:bookmarkStart w:id="352" w:name="_Toc25875"/>
      <w:bookmarkStart w:id="353" w:name="_Toc26672"/>
      <w:bookmarkStart w:id="354" w:name="_Toc13018"/>
      <w:bookmarkStart w:id="355" w:name="bookmark1743"/>
      <w:bookmarkStart w:id="356" w:name="bookmark1745"/>
      <w:bookmarkStart w:id="357" w:name="_Toc4631"/>
      <w:bookmarkStart w:id="358" w:name="bookmark1744"/>
      <w:r>
        <w:rPr>
          <w:rFonts w:hint="eastAsia" w:ascii="宋体" w:hAnsi="宋体" w:eastAsia="宋体" w:cs="宋体"/>
          <w:color w:val="auto"/>
          <w:spacing w:val="0"/>
          <w:sz w:val="28"/>
          <w:szCs w:val="28"/>
          <w:highlight w:val="none"/>
          <w:lang w:eastAsia="zh-CN"/>
        </w:rPr>
        <w:t>13. 工程质量</w:t>
      </w:r>
      <w:bookmarkEnd w:id="349"/>
      <w:bookmarkEnd w:id="350"/>
      <w:bookmarkEnd w:id="351"/>
      <w:bookmarkEnd w:id="352"/>
      <w:bookmarkEnd w:id="353"/>
      <w:bookmarkEnd w:id="354"/>
      <w:bookmarkEnd w:id="355"/>
      <w:bookmarkEnd w:id="356"/>
      <w:bookmarkEnd w:id="357"/>
      <w:bookmarkEnd w:id="358"/>
    </w:p>
    <w:p w14:paraId="10BEED1D">
      <w:pPr>
        <w:pStyle w:val="116"/>
        <w:pageBreakBefore w:val="0"/>
        <w:kinsoku/>
        <w:wordWrap/>
        <w:overflowPunct/>
        <w:topLinePunct w:val="0"/>
        <w:bidi w:val="0"/>
        <w:spacing w:beforeLines="0" w:afterLines="0" w:line="500" w:lineRule="exact"/>
        <w:ind w:left="0" w:right="0"/>
        <w:rPr>
          <w:rFonts w:hint="eastAsia" w:ascii="宋体" w:hAnsi="宋体" w:eastAsia="宋体" w:cs="宋体"/>
          <w:color w:val="auto"/>
          <w:spacing w:val="0"/>
          <w:sz w:val="28"/>
          <w:szCs w:val="28"/>
          <w:highlight w:val="none"/>
          <w:lang w:eastAsia="zh-CN" w:bidi="en-US"/>
        </w:rPr>
      </w:pPr>
      <w:bookmarkStart w:id="359" w:name="_Toc27959"/>
      <w:bookmarkStart w:id="360" w:name="bookmark1748"/>
      <w:bookmarkStart w:id="361" w:name="bookmark1747"/>
      <w:bookmarkStart w:id="362" w:name="_Toc25427"/>
      <w:bookmarkStart w:id="363" w:name="_Toc2239"/>
      <w:bookmarkStart w:id="364" w:name="_Toc4842"/>
      <w:bookmarkStart w:id="365" w:name="bookmark1746"/>
      <w:r>
        <w:rPr>
          <w:rFonts w:hint="eastAsia" w:ascii="宋体" w:hAnsi="宋体" w:eastAsia="宋体" w:cs="宋体"/>
          <w:color w:val="auto"/>
          <w:spacing w:val="0"/>
          <w:sz w:val="28"/>
          <w:szCs w:val="28"/>
          <w:highlight w:val="none"/>
          <w:lang w:eastAsia="zh-CN" w:bidi="en-US"/>
        </w:rPr>
        <w:t>13.7质量评定</w:t>
      </w:r>
      <w:bookmarkEnd w:id="359"/>
      <w:bookmarkEnd w:id="360"/>
      <w:bookmarkEnd w:id="361"/>
      <w:bookmarkEnd w:id="362"/>
      <w:bookmarkEnd w:id="363"/>
      <w:bookmarkEnd w:id="364"/>
      <w:bookmarkEnd w:id="365"/>
    </w:p>
    <w:p w14:paraId="39157799">
      <w:pPr>
        <w:pStyle w:val="115"/>
        <w:pageBreakBefore w:val="0"/>
        <w:tabs>
          <w:tab w:val="left" w:pos="8228"/>
        </w:tabs>
        <w:kinsoku/>
        <w:wordWrap/>
        <w:overflowPunct/>
        <w:topLinePunct w:val="0"/>
        <w:bidi w:val="0"/>
        <w:spacing w:line="500" w:lineRule="exact"/>
        <w:ind w:left="0" w:right="0" w:firstLine="0"/>
        <w:jc w:val="both"/>
        <w:rPr>
          <w:rFonts w:hint="eastAsia" w:ascii="宋体" w:hAnsi="宋体" w:eastAsia="宋体" w:cs="宋体"/>
          <w:color w:val="auto"/>
          <w:spacing w:val="0"/>
          <w:sz w:val="28"/>
          <w:szCs w:val="28"/>
          <w:highlight w:val="none"/>
        </w:rPr>
      </w:pPr>
      <w:r>
        <w:rPr>
          <w:rFonts w:hint="eastAsia" w:ascii="宋体" w:hAnsi="宋体" w:eastAsia="宋体" w:cs="宋体"/>
          <w:color w:val="auto"/>
          <w:spacing w:val="0"/>
          <w:sz w:val="28"/>
          <w:szCs w:val="28"/>
          <w:highlight w:val="none"/>
          <w:lang w:val="en-US" w:bidi="en-US"/>
        </w:rPr>
        <w:t>　　13.7.4</w:t>
      </w:r>
      <w:r>
        <w:rPr>
          <w:rFonts w:hint="eastAsia" w:ascii="宋体" w:hAnsi="宋体" w:eastAsia="宋体" w:cs="宋体"/>
          <w:color w:val="auto"/>
          <w:spacing w:val="0"/>
          <w:sz w:val="28"/>
          <w:szCs w:val="28"/>
          <w:highlight w:val="none"/>
        </w:rPr>
        <w:t>重要隐蔽单元工程和关键部位单元工程质量评定的约定：</w:t>
      </w:r>
      <w:r>
        <w:rPr>
          <w:rFonts w:hint="eastAsia" w:ascii="宋体" w:hAnsi="宋体" w:eastAsia="宋体" w:cs="宋体"/>
          <w:color w:val="auto"/>
          <w:spacing w:val="0"/>
          <w:sz w:val="28"/>
          <w:szCs w:val="28"/>
          <w:highlight w:val="none"/>
          <w:u w:val="single"/>
        </w:rPr>
        <w:t>达到合格标准</w:t>
      </w:r>
      <w:r>
        <w:rPr>
          <w:rFonts w:hint="eastAsia" w:ascii="宋体" w:hAnsi="宋体" w:eastAsia="宋体" w:cs="宋体"/>
          <w:color w:val="auto"/>
          <w:spacing w:val="0"/>
          <w:sz w:val="28"/>
          <w:szCs w:val="28"/>
          <w:highlight w:val="none"/>
          <w:lang w:val="en-US" w:bidi="en-US"/>
        </w:rPr>
        <w:t>。</w:t>
      </w:r>
    </w:p>
    <w:p w14:paraId="2F04DC29">
      <w:pPr>
        <w:pStyle w:val="115"/>
        <w:pageBreakBefore w:val="0"/>
        <w:tabs>
          <w:tab w:val="left" w:pos="3751"/>
          <w:tab w:val="left" w:pos="4834"/>
          <w:tab w:val="left" w:pos="8225"/>
        </w:tabs>
        <w:kinsoku/>
        <w:wordWrap/>
        <w:overflowPunct/>
        <w:topLinePunct w:val="0"/>
        <w:bidi w:val="0"/>
        <w:spacing w:line="500" w:lineRule="exact"/>
        <w:ind w:left="0" w:right="0" w:firstLine="0"/>
        <w:jc w:val="both"/>
        <w:rPr>
          <w:rFonts w:hint="eastAsia" w:ascii="宋体" w:hAnsi="宋体" w:eastAsia="宋体" w:cs="宋体"/>
          <w:color w:val="auto"/>
          <w:spacing w:val="0"/>
          <w:sz w:val="28"/>
          <w:szCs w:val="28"/>
          <w:highlight w:val="none"/>
        </w:rPr>
      </w:pPr>
      <w:r>
        <w:rPr>
          <w:rFonts w:hint="eastAsia" w:ascii="宋体" w:hAnsi="宋体" w:eastAsia="宋体" w:cs="宋体"/>
          <w:color w:val="auto"/>
          <w:spacing w:val="0"/>
          <w:sz w:val="28"/>
          <w:szCs w:val="28"/>
          <w:highlight w:val="none"/>
          <w:lang w:val="en-US" w:bidi="en-US"/>
        </w:rPr>
        <w:t xml:space="preserve">　　13.7.7 </w:t>
      </w:r>
      <w:r>
        <w:rPr>
          <w:rFonts w:hint="eastAsia" w:ascii="宋体" w:hAnsi="宋体" w:eastAsia="宋体" w:cs="宋体"/>
          <w:color w:val="auto"/>
          <w:spacing w:val="0"/>
          <w:sz w:val="28"/>
          <w:szCs w:val="28"/>
          <w:highlight w:val="none"/>
        </w:rPr>
        <w:t>工程合格标准为：</w:t>
      </w:r>
      <w:r>
        <w:rPr>
          <w:rFonts w:hint="eastAsia" w:ascii="宋体" w:hAnsi="宋体" w:eastAsia="宋体" w:cs="宋体"/>
          <w:color w:val="auto"/>
          <w:spacing w:val="0"/>
          <w:sz w:val="28"/>
          <w:szCs w:val="28"/>
          <w:highlight w:val="none"/>
          <w:u w:val="single"/>
        </w:rPr>
        <w:t>执行《水利水电工程施工质量检验与评定规程》(SL176 —2007)</w:t>
      </w:r>
      <w:r>
        <w:rPr>
          <w:rFonts w:hint="eastAsia" w:ascii="宋体" w:hAnsi="宋体" w:eastAsia="宋体" w:cs="宋体"/>
          <w:color w:val="auto"/>
          <w:spacing w:val="0"/>
          <w:sz w:val="28"/>
          <w:szCs w:val="28"/>
          <w:highlight w:val="none"/>
        </w:rPr>
        <w:t>；优良标准为：</w:t>
      </w:r>
      <w:r>
        <w:rPr>
          <w:rFonts w:hint="eastAsia" w:ascii="宋体" w:hAnsi="宋体" w:eastAsia="宋体" w:cs="宋体"/>
          <w:color w:val="auto"/>
          <w:spacing w:val="0"/>
          <w:sz w:val="28"/>
          <w:szCs w:val="28"/>
          <w:highlight w:val="none"/>
          <w:u w:val="single"/>
        </w:rPr>
        <w:t>执行《水利水电工程施工质量检验与评定规程》(SL176 —2007)</w:t>
      </w:r>
      <w:r>
        <w:rPr>
          <w:rFonts w:hint="eastAsia" w:ascii="宋体" w:hAnsi="宋体" w:eastAsia="宋体" w:cs="宋体"/>
          <w:color w:val="auto"/>
          <w:spacing w:val="0"/>
          <w:sz w:val="28"/>
          <w:szCs w:val="28"/>
          <w:highlight w:val="none"/>
          <w:lang w:val="en-US" w:bidi="en-US"/>
        </w:rPr>
        <w:t>。</w:t>
      </w:r>
      <w:r>
        <w:rPr>
          <w:rFonts w:hint="eastAsia" w:ascii="宋体" w:hAnsi="宋体" w:eastAsia="宋体" w:cs="宋体"/>
          <w:color w:val="auto"/>
          <w:spacing w:val="0"/>
          <w:sz w:val="28"/>
          <w:szCs w:val="28"/>
          <w:highlight w:val="none"/>
        </w:rPr>
        <w:t>达到优良的奖金为：</w:t>
      </w:r>
      <w:r>
        <w:rPr>
          <w:rFonts w:hint="eastAsia" w:ascii="宋体" w:hAnsi="宋体" w:eastAsia="宋体" w:cs="宋体"/>
          <w:color w:val="auto"/>
          <w:spacing w:val="0"/>
          <w:sz w:val="28"/>
          <w:szCs w:val="28"/>
          <w:highlight w:val="none"/>
          <w:u w:val="single"/>
        </w:rPr>
        <w:t xml:space="preserve">不设定 </w:t>
      </w:r>
      <w:r>
        <w:rPr>
          <w:rFonts w:hint="eastAsia" w:ascii="宋体" w:hAnsi="宋体" w:eastAsia="宋体" w:cs="宋体"/>
          <w:color w:val="auto"/>
          <w:spacing w:val="0"/>
          <w:sz w:val="28"/>
          <w:szCs w:val="28"/>
          <w:highlight w:val="none"/>
          <w:lang w:val="en-US" w:bidi="en-US"/>
        </w:rPr>
        <w:t>。</w:t>
      </w:r>
    </w:p>
    <w:p w14:paraId="3E66BFB1">
      <w:pPr>
        <w:pStyle w:val="116"/>
        <w:pageBreakBefore w:val="0"/>
        <w:kinsoku/>
        <w:wordWrap/>
        <w:overflowPunct/>
        <w:topLinePunct w:val="0"/>
        <w:bidi w:val="0"/>
        <w:spacing w:beforeLines="0" w:afterLines="0" w:line="500" w:lineRule="exact"/>
        <w:ind w:left="0" w:right="0"/>
        <w:rPr>
          <w:rFonts w:hint="eastAsia" w:ascii="宋体" w:hAnsi="宋体" w:eastAsia="宋体" w:cs="宋体"/>
          <w:color w:val="auto"/>
          <w:spacing w:val="0"/>
          <w:sz w:val="28"/>
          <w:szCs w:val="28"/>
          <w:highlight w:val="none"/>
          <w:lang w:eastAsia="zh-CN" w:bidi="en-US"/>
        </w:rPr>
      </w:pPr>
      <w:bookmarkStart w:id="366" w:name="bookmark1749"/>
      <w:bookmarkStart w:id="367" w:name="bookmark1750"/>
      <w:bookmarkStart w:id="368" w:name="_Toc30372"/>
      <w:bookmarkStart w:id="369" w:name="_Toc28405"/>
      <w:bookmarkStart w:id="370" w:name="bookmark1751"/>
      <w:bookmarkStart w:id="371" w:name="_Toc1606"/>
      <w:bookmarkStart w:id="372" w:name="_Toc24923"/>
      <w:r>
        <w:rPr>
          <w:rFonts w:hint="eastAsia" w:ascii="宋体" w:hAnsi="宋体" w:eastAsia="宋体" w:cs="宋体"/>
          <w:color w:val="auto"/>
          <w:spacing w:val="0"/>
          <w:sz w:val="28"/>
          <w:szCs w:val="28"/>
          <w:highlight w:val="none"/>
          <w:lang w:eastAsia="zh-CN" w:bidi="en-US"/>
        </w:rPr>
        <w:t>13.8质量事故处理</w:t>
      </w:r>
      <w:bookmarkEnd w:id="366"/>
      <w:bookmarkEnd w:id="367"/>
      <w:bookmarkEnd w:id="368"/>
      <w:bookmarkEnd w:id="369"/>
      <w:bookmarkEnd w:id="370"/>
      <w:bookmarkEnd w:id="371"/>
      <w:bookmarkEnd w:id="372"/>
    </w:p>
    <w:p w14:paraId="2EB5DD04">
      <w:pPr>
        <w:pStyle w:val="115"/>
        <w:pageBreakBefore w:val="0"/>
        <w:tabs>
          <w:tab w:val="left" w:pos="4814"/>
        </w:tabs>
        <w:kinsoku/>
        <w:wordWrap/>
        <w:overflowPunct/>
        <w:topLinePunct w:val="0"/>
        <w:bidi w:val="0"/>
        <w:spacing w:line="500" w:lineRule="exact"/>
        <w:ind w:left="0" w:right="0" w:firstLine="0"/>
        <w:jc w:val="both"/>
        <w:rPr>
          <w:rFonts w:hint="eastAsia" w:ascii="宋体" w:hAnsi="宋体" w:eastAsia="宋体" w:cs="宋体"/>
          <w:color w:val="auto"/>
          <w:spacing w:val="0"/>
          <w:sz w:val="28"/>
          <w:szCs w:val="28"/>
          <w:highlight w:val="none"/>
        </w:rPr>
      </w:pPr>
      <w:r>
        <w:rPr>
          <w:rFonts w:hint="eastAsia" w:ascii="宋体" w:hAnsi="宋体" w:eastAsia="宋体" w:cs="宋体"/>
          <w:color w:val="auto"/>
          <w:spacing w:val="0"/>
          <w:sz w:val="28"/>
          <w:szCs w:val="28"/>
          <w:highlight w:val="none"/>
          <w:lang w:val="en-US" w:bidi="en-US"/>
        </w:rPr>
        <w:t>　　13.8.4</w:t>
      </w:r>
      <w:r>
        <w:rPr>
          <w:rFonts w:hint="eastAsia" w:ascii="宋体" w:hAnsi="宋体" w:eastAsia="宋体" w:cs="宋体"/>
          <w:color w:val="auto"/>
          <w:spacing w:val="0"/>
          <w:sz w:val="28"/>
          <w:szCs w:val="28"/>
          <w:highlight w:val="none"/>
        </w:rPr>
        <w:t>工程竣工验收时，</w:t>
      </w:r>
      <w:r>
        <w:rPr>
          <w:rFonts w:hint="eastAsia" w:ascii="宋体" w:hAnsi="宋体" w:eastAsia="宋体" w:cs="宋体"/>
          <w:color w:val="auto"/>
          <w:spacing w:val="0"/>
          <w:sz w:val="28"/>
          <w:szCs w:val="28"/>
          <w:highlight w:val="none"/>
          <w:u w:val="single"/>
        </w:rPr>
        <w:t>如有需要承包人</w:t>
      </w:r>
      <w:r>
        <w:rPr>
          <w:rFonts w:hint="eastAsia" w:ascii="宋体" w:hAnsi="宋体" w:eastAsia="宋体" w:cs="宋体"/>
          <w:color w:val="auto"/>
          <w:spacing w:val="0"/>
          <w:sz w:val="28"/>
          <w:szCs w:val="28"/>
          <w:highlight w:val="none"/>
        </w:rPr>
        <w:t>向竣工验收委员会汇报并提交历次质量缺陷处理的备案资料。</w:t>
      </w:r>
    </w:p>
    <w:p w14:paraId="4BD5D8F7">
      <w:pPr>
        <w:pStyle w:val="116"/>
        <w:pageBreakBefore w:val="0"/>
        <w:kinsoku/>
        <w:wordWrap/>
        <w:overflowPunct/>
        <w:topLinePunct w:val="0"/>
        <w:bidi w:val="0"/>
        <w:spacing w:beforeLines="0" w:afterLines="0" w:line="500" w:lineRule="exact"/>
        <w:ind w:left="0" w:right="0"/>
        <w:rPr>
          <w:rFonts w:hint="eastAsia" w:ascii="宋体" w:hAnsi="宋体" w:eastAsia="宋体" w:cs="宋体"/>
          <w:color w:val="auto"/>
          <w:spacing w:val="0"/>
          <w:sz w:val="28"/>
          <w:szCs w:val="28"/>
          <w:highlight w:val="none"/>
          <w:lang w:eastAsia="zh-CN"/>
        </w:rPr>
      </w:pPr>
      <w:r>
        <w:rPr>
          <w:rFonts w:hint="eastAsia" w:ascii="宋体" w:hAnsi="宋体" w:eastAsia="宋体" w:cs="宋体"/>
          <w:color w:val="auto"/>
          <w:spacing w:val="0"/>
          <w:sz w:val="28"/>
          <w:szCs w:val="28"/>
          <w:highlight w:val="none"/>
          <w:lang w:eastAsia="zh-CN"/>
        </w:rPr>
        <w:t>14 . 试验和检验</w:t>
      </w:r>
      <w:bookmarkEnd w:id="326"/>
      <w:bookmarkEnd w:id="327"/>
      <w:bookmarkEnd w:id="328"/>
      <w:bookmarkEnd w:id="329"/>
      <w:bookmarkEnd w:id="330"/>
      <w:bookmarkEnd w:id="331"/>
      <w:bookmarkEnd w:id="332"/>
      <w:bookmarkEnd w:id="333"/>
      <w:bookmarkEnd w:id="334"/>
      <w:bookmarkEnd w:id="335"/>
    </w:p>
    <w:p w14:paraId="600251AE">
      <w:pPr>
        <w:pStyle w:val="116"/>
        <w:pageBreakBefore w:val="0"/>
        <w:kinsoku/>
        <w:wordWrap/>
        <w:overflowPunct/>
        <w:topLinePunct w:val="0"/>
        <w:bidi w:val="0"/>
        <w:spacing w:beforeLines="0" w:afterLines="0" w:line="500" w:lineRule="exact"/>
        <w:ind w:left="0" w:right="0"/>
        <w:rPr>
          <w:rFonts w:hint="eastAsia" w:ascii="宋体" w:hAnsi="宋体" w:eastAsia="宋体" w:cs="宋体"/>
          <w:color w:val="auto"/>
          <w:spacing w:val="0"/>
          <w:sz w:val="28"/>
          <w:szCs w:val="28"/>
          <w:highlight w:val="none"/>
          <w:lang w:eastAsia="zh-CN" w:bidi="en-US"/>
        </w:rPr>
      </w:pPr>
      <w:bookmarkStart w:id="373" w:name="_Toc2292"/>
      <w:bookmarkStart w:id="374" w:name="bookmark1757"/>
      <w:bookmarkStart w:id="375" w:name="bookmark1756"/>
      <w:bookmarkStart w:id="376" w:name="bookmark1755"/>
      <w:bookmarkStart w:id="377" w:name="_Toc10272"/>
      <w:bookmarkStart w:id="378" w:name="_Toc17692"/>
      <w:bookmarkStart w:id="379" w:name="_Toc12766"/>
      <w:r>
        <w:rPr>
          <w:rFonts w:hint="eastAsia" w:ascii="宋体" w:hAnsi="宋体" w:eastAsia="宋体" w:cs="宋体"/>
          <w:color w:val="auto"/>
          <w:spacing w:val="0"/>
          <w:sz w:val="28"/>
          <w:szCs w:val="28"/>
          <w:highlight w:val="none"/>
          <w:lang w:eastAsia="zh-CN" w:bidi="en-US"/>
        </w:rPr>
        <w:t>14.1材料、工程设备和工程的试验和检验</w:t>
      </w:r>
      <w:bookmarkEnd w:id="373"/>
      <w:bookmarkEnd w:id="374"/>
      <w:bookmarkEnd w:id="375"/>
      <w:bookmarkEnd w:id="376"/>
      <w:bookmarkEnd w:id="377"/>
      <w:bookmarkEnd w:id="378"/>
      <w:bookmarkEnd w:id="379"/>
    </w:p>
    <w:p w14:paraId="44F1F88E">
      <w:pPr>
        <w:pStyle w:val="115"/>
        <w:pageBreakBefore w:val="0"/>
        <w:tabs>
          <w:tab w:val="left" w:pos="2071"/>
        </w:tabs>
        <w:kinsoku/>
        <w:wordWrap/>
        <w:overflowPunct/>
        <w:topLinePunct w:val="0"/>
        <w:bidi w:val="0"/>
        <w:spacing w:line="500" w:lineRule="exact"/>
        <w:ind w:left="0" w:right="0" w:firstLine="0"/>
        <w:jc w:val="both"/>
        <w:rPr>
          <w:rFonts w:hint="eastAsia" w:ascii="宋体" w:hAnsi="宋体" w:eastAsia="宋体" w:cs="宋体"/>
          <w:color w:val="auto"/>
          <w:spacing w:val="0"/>
          <w:sz w:val="28"/>
          <w:szCs w:val="28"/>
          <w:highlight w:val="none"/>
          <w:u w:val="single"/>
        </w:rPr>
      </w:pPr>
      <w:r>
        <w:rPr>
          <w:rFonts w:hint="eastAsia" w:ascii="宋体" w:hAnsi="宋体" w:eastAsia="宋体" w:cs="宋体"/>
          <w:color w:val="auto"/>
          <w:spacing w:val="0"/>
          <w:sz w:val="28"/>
          <w:szCs w:val="28"/>
          <w:highlight w:val="none"/>
          <w:lang w:val="en-US" w:bidi="en-US"/>
        </w:rPr>
        <w:t>　　14.1.5</w:t>
      </w:r>
      <w:r>
        <w:rPr>
          <w:rFonts w:hint="eastAsia" w:ascii="宋体" w:hAnsi="宋体" w:eastAsia="宋体" w:cs="宋体"/>
          <w:color w:val="auto"/>
          <w:spacing w:val="0"/>
          <w:sz w:val="28"/>
          <w:szCs w:val="28"/>
          <w:highlight w:val="none"/>
        </w:rPr>
        <w:t>水工金属结构、启闭机及机电产品进场后的交货检查和验收中，承包人负责</w:t>
      </w:r>
      <w:r>
        <w:rPr>
          <w:rFonts w:hint="eastAsia" w:ascii="宋体" w:hAnsi="宋体" w:eastAsia="宋体" w:cs="宋体"/>
          <w:color w:val="auto"/>
          <w:spacing w:val="0"/>
          <w:sz w:val="28"/>
          <w:szCs w:val="28"/>
          <w:highlight w:val="none"/>
          <w:u w:val="single"/>
        </w:rPr>
        <w:t>卸车及卸车后的验收、保管、转运、仓储管理，发生的费用由承包人承担；</w:t>
      </w:r>
      <w:r>
        <w:rPr>
          <w:rFonts w:hint="eastAsia" w:cs="宋体"/>
          <w:color w:val="auto"/>
          <w:spacing w:val="0"/>
          <w:sz w:val="28"/>
          <w:szCs w:val="28"/>
          <w:highlight w:val="none"/>
          <w:u w:val="single"/>
          <w:lang w:eastAsia="zh-CN"/>
        </w:rPr>
        <w:t>建设单位</w:t>
      </w:r>
      <w:r>
        <w:rPr>
          <w:rFonts w:hint="eastAsia" w:ascii="宋体" w:hAnsi="宋体" w:eastAsia="宋体" w:cs="宋体"/>
          <w:color w:val="auto"/>
          <w:spacing w:val="0"/>
          <w:sz w:val="28"/>
          <w:szCs w:val="28"/>
          <w:highlight w:val="none"/>
          <w:u w:val="single"/>
        </w:rPr>
        <w:t>提供的所有设备因承包人保管和管理不当造成损坏或者遗失的， 由承包人照价赔偿或从工程款中扣除相应款数</w:t>
      </w:r>
      <w:r>
        <w:rPr>
          <w:rFonts w:hint="eastAsia" w:ascii="宋体" w:hAnsi="宋体" w:eastAsia="宋体" w:cs="宋体"/>
          <w:color w:val="auto"/>
          <w:spacing w:val="0"/>
          <w:sz w:val="28"/>
          <w:szCs w:val="28"/>
          <w:highlight w:val="none"/>
          <w:u w:val="single"/>
          <w:lang w:val="en-US" w:bidi="en-US"/>
        </w:rPr>
        <w:t>。</w:t>
      </w:r>
      <w:r>
        <w:rPr>
          <w:rFonts w:hint="eastAsia" w:ascii="宋体" w:hAnsi="宋体" w:eastAsia="宋体" w:cs="宋体"/>
          <w:color w:val="auto"/>
          <w:spacing w:val="0"/>
          <w:sz w:val="28"/>
          <w:szCs w:val="28"/>
          <w:highlight w:val="none"/>
          <w:u w:val="single"/>
        </w:rPr>
        <w:t>承包人负责全部工作，并保证质量和进度。</w:t>
      </w:r>
    </w:p>
    <w:p w14:paraId="3B50F3D3">
      <w:pPr>
        <w:pStyle w:val="115"/>
        <w:pageBreakBefore w:val="0"/>
        <w:tabs>
          <w:tab w:val="left" w:pos="7525"/>
        </w:tabs>
        <w:kinsoku/>
        <w:wordWrap/>
        <w:overflowPunct/>
        <w:topLinePunct w:val="0"/>
        <w:bidi w:val="0"/>
        <w:spacing w:line="500" w:lineRule="exact"/>
        <w:ind w:left="0" w:right="0" w:firstLine="0"/>
        <w:jc w:val="both"/>
        <w:rPr>
          <w:rFonts w:hint="eastAsia" w:ascii="宋体" w:hAnsi="宋体" w:eastAsia="宋体" w:cs="宋体"/>
          <w:color w:val="auto"/>
          <w:spacing w:val="0"/>
          <w:sz w:val="28"/>
          <w:szCs w:val="28"/>
          <w:highlight w:val="none"/>
        </w:rPr>
      </w:pPr>
      <w:r>
        <w:rPr>
          <w:rFonts w:hint="eastAsia" w:ascii="宋体" w:hAnsi="宋体" w:eastAsia="宋体" w:cs="宋体"/>
          <w:color w:val="auto"/>
          <w:spacing w:val="0"/>
          <w:sz w:val="28"/>
          <w:szCs w:val="28"/>
          <w:highlight w:val="none"/>
          <w:lang w:val="en-US" w:bidi="en-US"/>
        </w:rPr>
        <w:t>　　14.1.6</w:t>
      </w:r>
      <w:r>
        <w:rPr>
          <w:rFonts w:hint="eastAsia" w:ascii="宋体" w:hAnsi="宋体" w:eastAsia="宋体" w:cs="宋体"/>
          <w:color w:val="auto"/>
          <w:spacing w:val="0"/>
          <w:sz w:val="28"/>
          <w:szCs w:val="28"/>
          <w:highlight w:val="none"/>
        </w:rPr>
        <w:t>本工程实行见证取样的试块、试件及有关材料：</w:t>
      </w:r>
      <w:r>
        <w:rPr>
          <w:rFonts w:hint="eastAsia" w:ascii="宋体" w:hAnsi="宋体" w:eastAsia="宋体" w:cs="宋体"/>
          <w:color w:val="auto"/>
          <w:spacing w:val="0"/>
          <w:sz w:val="28"/>
          <w:szCs w:val="28"/>
          <w:highlight w:val="none"/>
          <w:u w:val="single"/>
        </w:rPr>
        <w:t>砼试块、砂浆试块和土、水泥、砂、碎石、钢筋、砼等原材料及砂浆配合比、砼配合比、塑性砼配合比</w:t>
      </w:r>
      <w:r>
        <w:rPr>
          <w:rFonts w:hint="eastAsia" w:ascii="宋体" w:hAnsi="宋体" w:eastAsia="宋体" w:cs="宋体"/>
          <w:color w:val="auto"/>
          <w:spacing w:val="0"/>
          <w:sz w:val="28"/>
          <w:szCs w:val="28"/>
          <w:highlight w:val="none"/>
          <w:lang w:val="en-US" w:bidi="en-US"/>
        </w:rPr>
        <w:t>。</w:t>
      </w:r>
    </w:p>
    <w:p w14:paraId="407E1CB1">
      <w:pPr>
        <w:pStyle w:val="116"/>
        <w:pageBreakBefore w:val="0"/>
        <w:kinsoku/>
        <w:wordWrap w:val="0"/>
        <w:overflowPunct/>
        <w:topLinePunct w:val="0"/>
        <w:bidi w:val="0"/>
        <w:spacing w:beforeLines="0" w:afterLines="0" w:line="500" w:lineRule="exact"/>
        <w:ind w:left="0" w:right="0"/>
        <w:rPr>
          <w:rFonts w:hint="eastAsia" w:ascii="宋体" w:hAnsi="宋体" w:eastAsia="宋体" w:cs="宋体"/>
          <w:color w:val="auto"/>
          <w:spacing w:val="0"/>
          <w:sz w:val="28"/>
          <w:szCs w:val="28"/>
          <w:highlight w:val="none"/>
          <w:lang w:eastAsia="zh-CN"/>
        </w:rPr>
      </w:pPr>
      <w:bookmarkStart w:id="380" w:name="_Toc29563"/>
      <w:bookmarkStart w:id="381" w:name="_Toc4787"/>
      <w:bookmarkStart w:id="382" w:name="_Toc2879"/>
      <w:bookmarkStart w:id="383" w:name="_Toc5560"/>
      <w:bookmarkStart w:id="384" w:name="_Toc25565"/>
      <w:bookmarkStart w:id="385" w:name="_Toc217"/>
      <w:bookmarkStart w:id="386" w:name="_Toc22410"/>
      <w:bookmarkStart w:id="387" w:name="bookmark1760"/>
      <w:bookmarkStart w:id="388" w:name="bookmark1758"/>
      <w:bookmarkStart w:id="389" w:name="bookmark1759"/>
      <w:r>
        <w:rPr>
          <w:rFonts w:hint="eastAsia" w:ascii="宋体" w:hAnsi="宋体" w:eastAsia="宋体" w:cs="宋体"/>
          <w:color w:val="auto"/>
          <w:spacing w:val="0"/>
          <w:sz w:val="28"/>
          <w:szCs w:val="28"/>
          <w:highlight w:val="none"/>
          <w:lang w:eastAsia="zh-CN"/>
        </w:rPr>
        <w:t>15. 变更</w:t>
      </w:r>
      <w:bookmarkEnd w:id="380"/>
      <w:bookmarkEnd w:id="381"/>
      <w:bookmarkEnd w:id="382"/>
      <w:bookmarkEnd w:id="383"/>
      <w:bookmarkEnd w:id="384"/>
      <w:bookmarkEnd w:id="385"/>
      <w:bookmarkEnd w:id="386"/>
      <w:bookmarkEnd w:id="387"/>
    </w:p>
    <w:p w14:paraId="31DFE586">
      <w:pPr>
        <w:pStyle w:val="116"/>
        <w:pageBreakBefore w:val="0"/>
        <w:kinsoku/>
        <w:wordWrap w:val="0"/>
        <w:overflowPunct/>
        <w:topLinePunct w:val="0"/>
        <w:bidi w:val="0"/>
        <w:spacing w:beforeLines="0" w:afterLines="0" w:line="500" w:lineRule="exact"/>
        <w:ind w:left="0" w:right="0"/>
        <w:rPr>
          <w:rFonts w:hint="eastAsia" w:ascii="宋体" w:hAnsi="宋体" w:eastAsia="宋体" w:cs="宋体"/>
          <w:color w:val="auto"/>
          <w:spacing w:val="0"/>
          <w:sz w:val="28"/>
          <w:szCs w:val="28"/>
          <w:highlight w:val="none"/>
          <w:lang w:eastAsia="zh-CN" w:bidi="en-US"/>
        </w:rPr>
      </w:pPr>
      <w:bookmarkStart w:id="390" w:name="_Toc15637"/>
      <w:bookmarkStart w:id="391" w:name="_Toc21815"/>
      <w:bookmarkStart w:id="392" w:name="_Toc30777"/>
      <w:bookmarkStart w:id="393" w:name="_Toc11024"/>
      <w:bookmarkStart w:id="394" w:name="bookmark1761"/>
      <w:r>
        <w:rPr>
          <w:rFonts w:hint="eastAsia" w:ascii="宋体" w:hAnsi="宋体" w:eastAsia="宋体" w:cs="宋体"/>
          <w:color w:val="auto"/>
          <w:spacing w:val="0"/>
          <w:sz w:val="28"/>
          <w:szCs w:val="28"/>
          <w:highlight w:val="none"/>
          <w:lang w:eastAsia="zh-CN" w:bidi="en-US"/>
        </w:rPr>
        <w:t>15.1变更的范围和内容</w:t>
      </w:r>
      <w:bookmarkEnd w:id="388"/>
      <w:bookmarkEnd w:id="389"/>
      <w:bookmarkEnd w:id="390"/>
      <w:bookmarkEnd w:id="391"/>
      <w:bookmarkEnd w:id="392"/>
      <w:bookmarkEnd w:id="393"/>
      <w:bookmarkEnd w:id="394"/>
    </w:p>
    <w:p w14:paraId="706AB85E">
      <w:pPr>
        <w:pageBreakBefore w:val="0"/>
        <w:kinsoku/>
        <w:wordWrap w:val="0"/>
        <w:overflowPunct/>
        <w:topLinePunct w:val="0"/>
        <w:bidi w:val="0"/>
        <w:spacing w:line="500" w:lineRule="exact"/>
        <w:ind w:right="0"/>
        <w:rPr>
          <w:rFonts w:hint="eastAsia" w:ascii="宋体" w:hAnsi="宋体" w:eastAsia="宋体" w:cs="宋体"/>
          <w:color w:val="auto"/>
          <w:spacing w:val="0"/>
          <w:sz w:val="28"/>
          <w:szCs w:val="28"/>
          <w:highlight w:val="none"/>
        </w:rPr>
      </w:pPr>
      <w:bookmarkStart w:id="395" w:name="bookmark1762"/>
      <w:bookmarkEnd w:id="395"/>
      <w:bookmarkStart w:id="396" w:name="bookmark1764"/>
      <w:bookmarkStart w:id="397" w:name="bookmark1763"/>
      <w:bookmarkStart w:id="398" w:name="bookmark1765"/>
      <w:r>
        <w:rPr>
          <w:rFonts w:hint="eastAsia" w:ascii="宋体" w:hAnsi="宋体" w:eastAsia="宋体" w:cs="宋体"/>
          <w:b/>
          <w:bCs/>
          <w:color w:val="auto"/>
          <w:spacing w:val="0"/>
          <w:sz w:val="28"/>
          <w:szCs w:val="28"/>
          <w:highlight w:val="none"/>
        </w:rPr>
        <w:t>(6)增加或减少合同中关键项目的工程量超过其项目工程总量的</w:t>
      </w:r>
      <w:r>
        <w:rPr>
          <w:rFonts w:hint="eastAsia" w:ascii="宋体" w:hAnsi="宋体" w:eastAsia="宋体" w:cs="宋体"/>
          <w:b/>
          <w:bCs/>
          <w:color w:val="auto"/>
          <w:spacing w:val="0"/>
          <w:sz w:val="28"/>
          <w:szCs w:val="28"/>
          <w:highlight w:val="none"/>
          <w:u w:val="single"/>
        </w:rPr>
        <w:t>25％</w:t>
      </w:r>
      <w:r>
        <w:rPr>
          <w:rFonts w:hint="eastAsia" w:ascii="宋体" w:hAnsi="宋体" w:eastAsia="宋体" w:cs="宋体"/>
          <w:b/>
          <w:bCs/>
          <w:color w:val="auto"/>
          <w:spacing w:val="0"/>
          <w:sz w:val="28"/>
          <w:szCs w:val="28"/>
          <w:highlight w:val="none"/>
        </w:rPr>
        <w:t>，单价调整方式：</w:t>
      </w:r>
      <w:r>
        <w:rPr>
          <w:rFonts w:hint="eastAsia" w:ascii="宋体" w:hAnsi="宋体" w:eastAsia="宋体" w:cs="宋体"/>
          <w:b/>
          <w:bCs/>
          <w:color w:val="auto"/>
          <w:spacing w:val="0"/>
          <w:sz w:val="28"/>
          <w:szCs w:val="28"/>
          <w:highlight w:val="none"/>
          <w:u w:val="single"/>
        </w:rPr>
        <w:t xml:space="preserve"> 不作调整</w:t>
      </w:r>
      <w:r>
        <w:rPr>
          <w:rFonts w:hint="eastAsia" w:ascii="宋体" w:hAnsi="宋体" w:eastAsia="宋体" w:cs="宋体"/>
          <w:color w:val="auto"/>
          <w:spacing w:val="0"/>
          <w:sz w:val="28"/>
          <w:szCs w:val="28"/>
          <w:highlight w:val="none"/>
        </w:rPr>
        <w:t>。</w:t>
      </w:r>
    </w:p>
    <w:p w14:paraId="7312039B">
      <w:pPr>
        <w:pStyle w:val="116"/>
        <w:pageBreakBefore w:val="0"/>
        <w:kinsoku/>
        <w:wordWrap w:val="0"/>
        <w:overflowPunct/>
        <w:topLinePunct w:val="0"/>
        <w:bidi w:val="0"/>
        <w:spacing w:beforeLines="0" w:afterLines="0" w:line="500" w:lineRule="exact"/>
        <w:ind w:left="0" w:right="0"/>
        <w:rPr>
          <w:rFonts w:hint="eastAsia" w:ascii="宋体" w:hAnsi="宋体" w:eastAsia="宋体" w:cs="宋体"/>
          <w:color w:val="auto"/>
          <w:spacing w:val="0"/>
          <w:sz w:val="28"/>
          <w:szCs w:val="28"/>
          <w:highlight w:val="none"/>
          <w:lang w:eastAsia="zh-CN" w:bidi="en-US"/>
        </w:rPr>
      </w:pPr>
      <w:bookmarkStart w:id="399" w:name="_Toc6790"/>
      <w:bookmarkStart w:id="400" w:name="_Toc5634"/>
      <w:bookmarkStart w:id="401" w:name="_Toc23866"/>
      <w:bookmarkStart w:id="402" w:name="_Toc26781"/>
      <w:r>
        <w:rPr>
          <w:rFonts w:hint="eastAsia" w:ascii="宋体" w:hAnsi="宋体" w:eastAsia="宋体" w:cs="宋体"/>
          <w:color w:val="auto"/>
          <w:spacing w:val="0"/>
          <w:sz w:val="28"/>
          <w:szCs w:val="28"/>
          <w:highlight w:val="none"/>
          <w:lang w:eastAsia="zh-CN" w:bidi="en-US"/>
        </w:rPr>
        <w:t>15.4变更的估价原则</w:t>
      </w:r>
      <w:bookmarkEnd w:id="396"/>
      <w:bookmarkEnd w:id="397"/>
      <w:bookmarkEnd w:id="398"/>
      <w:bookmarkEnd w:id="399"/>
      <w:bookmarkEnd w:id="400"/>
      <w:bookmarkEnd w:id="401"/>
      <w:bookmarkEnd w:id="402"/>
    </w:p>
    <w:p w14:paraId="72443E9D">
      <w:pPr>
        <w:pStyle w:val="115"/>
        <w:pageBreakBefore w:val="0"/>
        <w:kinsoku/>
        <w:wordWrap w:val="0"/>
        <w:overflowPunct/>
        <w:topLinePunct w:val="0"/>
        <w:bidi w:val="0"/>
        <w:spacing w:line="500" w:lineRule="exact"/>
        <w:ind w:left="0" w:right="0" w:firstLine="0"/>
        <w:jc w:val="both"/>
        <w:rPr>
          <w:rFonts w:hint="eastAsia" w:ascii="宋体" w:hAnsi="宋体" w:eastAsia="宋体" w:cs="宋体"/>
          <w:color w:val="auto"/>
          <w:spacing w:val="0"/>
          <w:sz w:val="28"/>
          <w:szCs w:val="28"/>
          <w:highlight w:val="none"/>
        </w:rPr>
      </w:pPr>
      <w:r>
        <w:rPr>
          <w:rFonts w:hint="eastAsia" w:ascii="宋体" w:hAnsi="宋体" w:eastAsia="宋体" w:cs="宋体"/>
          <w:color w:val="auto"/>
          <w:spacing w:val="0"/>
          <w:sz w:val="28"/>
          <w:szCs w:val="28"/>
          <w:highlight w:val="none"/>
          <w:lang w:val="en-US" w:bidi="en-US"/>
        </w:rPr>
        <w:t>　　15.4.3</w:t>
      </w:r>
      <w:r>
        <w:rPr>
          <w:rFonts w:hint="eastAsia" w:ascii="宋体" w:hAnsi="宋体" w:eastAsia="宋体" w:cs="宋体"/>
          <w:color w:val="auto"/>
          <w:spacing w:val="0"/>
          <w:sz w:val="28"/>
          <w:szCs w:val="28"/>
          <w:highlight w:val="none"/>
        </w:rPr>
        <w:t>已标价工程量清单中无适用或类似子目的单价，按照以下原则确定：</w:t>
      </w:r>
    </w:p>
    <w:p w14:paraId="10FFEDD3">
      <w:pPr>
        <w:pStyle w:val="115"/>
        <w:pageBreakBefore w:val="0"/>
        <w:kinsoku/>
        <w:wordWrap w:val="0"/>
        <w:overflowPunct/>
        <w:topLinePunct w:val="0"/>
        <w:bidi w:val="0"/>
        <w:spacing w:line="500" w:lineRule="exact"/>
        <w:ind w:left="0" w:right="0" w:firstLine="440"/>
        <w:jc w:val="both"/>
        <w:rPr>
          <w:rFonts w:hint="eastAsia" w:ascii="宋体" w:hAnsi="宋体" w:eastAsia="宋体" w:cs="宋体"/>
          <w:color w:val="auto"/>
          <w:spacing w:val="0"/>
          <w:sz w:val="28"/>
          <w:szCs w:val="28"/>
          <w:highlight w:val="none"/>
        </w:rPr>
      </w:pPr>
      <w:r>
        <w:rPr>
          <w:rFonts w:hint="eastAsia" w:ascii="宋体" w:hAnsi="宋体" w:eastAsia="宋体" w:cs="宋体"/>
          <w:color w:val="auto"/>
          <w:spacing w:val="0"/>
          <w:sz w:val="28"/>
          <w:szCs w:val="28"/>
          <w:highlight w:val="none"/>
        </w:rPr>
        <w:t>①有定额可套的，套用编制控制价所选定额计算，并乘以中标价下浮系数(中标价下浮系数为中标价与控制价的比值)，其中材料价格有信息价的按当地同期信息价，无信息的由</w:t>
      </w:r>
      <w:r>
        <w:rPr>
          <w:rFonts w:hint="eastAsia" w:cs="宋体"/>
          <w:color w:val="auto"/>
          <w:spacing w:val="0"/>
          <w:sz w:val="28"/>
          <w:szCs w:val="28"/>
          <w:highlight w:val="none"/>
          <w:lang w:eastAsia="zh-CN"/>
        </w:rPr>
        <w:t>建设单位</w:t>
      </w:r>
      <w:r>
        <w:rPr>
          <w:rFonts w:hint="eastAsia" w:ascii="宋体" w:hAnsi="宋体" w:eastAsia="宋体" w:cs="宋体"/>
          <w:color w:val="auto"/>
          <w:spacing w:val="0"/>
          <w:sz w:val="28"/>
          <w:szCs w:val="28"/>
          <w:highlight w:val="none"/>
        </w:rPr>
        <w:t>、承包人、监理人市场询价确定。</w:t>
      </w:r>
    </w:p>
    <w:p w14:paraId="1E86C51B">
      <w:pPr>
        <w:pStyle w:val="115"/>
        <w:pageBreakBefore w:val="0"/>
        <w:kinsoku/>
        <w:wordWrap/>
        <w:overflowPunct/>
        <w:topLinePunct w:val="0"/>
        <w:bidi w:val="0"/>
        <w:spacing w:line="500" w:lineRule="exact"/>
        <w:ind w:left="0" w:right="0" w:firstLine="440"/>
        <w:jc w:val="both"/>
        <w:rPr>
          <w:rFonts w:hint="eastAsia" w:ascii="宋体" w:hAnsi="宋体" w:eastAsia="宋体" w:cs="宋体"/>
          <w:color w:val="auto"/>
          <w:spacing w:val="0"/>
          <w:sz w:val="28"/>
          <w:szCs w:val="28"/>
          <w:highlight w:val="none"/>
        </w:rPr>
      </w:pPr>
      <w:r>
        <w:rPr>
          <w:rFonts w:hint="eastAsia" w:ascii="宋体" w:hAnsi="宋体" w:eastAsia="宋体" w:cs="宋体"/>
          <w:color w:val="auto"/>
          <w:spacing w:val="0"/>
          <w:sz w:val="28"/>
          <w:szCs w:val="28"/>
          <w:highlight w:val="none"/>
        </w:rPr>
        <w:t>②无定额可套的，由</w:t>
      </w:r>
      <w:r>
        <w:rPr>
          <w:rFonts w:hint="eastAsia" w:cs="宋体"/>
          <w:color w:val="auto"/>
          <w:spacing w:val="0"/>
          <w:sz w:val="28"/>
          <w:szCs w:val="28"/>
          <w:highlight w:val="none"/>
          <w:lang w:eastAsia="zh-CN"/>
        </w:rPr>
        <w:t>建设单位</w:t>
      </w:r>
      <w:r>
        <w:rPr>
          <w:rFonts w:hint="eastAsia" w:ascii="宋体" w:hAnsi="宋体" w:eastAsia="宋体" w:cs="宋体"/>
          <w:color w:val="auto"/>
          <w:spacing w:val="0"/>
          <w:sz w:val="28"/>
          <w:szCs w:val="28"/>
          <w:highlight w:val="none"/>
        </w:rPr>
        <w:t>、承包人、监理人市场询价确定。</w:t>
      </w:r>
    </w:p>
    <w:p w14:paraId="75D128AC">
      <w:pPr>
        <w:pStyle w:val="116"/>
        <w:pageBreakBefore w:val="0"/>
        <w:kinsoku/>
        <w:wordWrap/>
        <w:overflowPunct/>
        <w:topLinePunct w:val="0"/>
        <w:bidi w:val="0"/>
        <w:spacing w:beforeLines="0" w:afterLines="0" w:line="500" w:lineRule="exact"/>
        <w:ind w:left="0" w:right="0"/>
        <w:rPr>
          <w:rFonts w:hint="eastAsia" w:ascii="宋体" w:hAnsi="宋体" w:eastAsia="宋体" w:cs="宋体"/>
          <w:color w:val="auto"/>
          <w:spacing w:val="0"/>
          <w:sz w:val="28"/>
          <w:szCs w:val="28"/>
          <w:highlight w:val="none"/>
          <w:lang w:eastAsia="zh-CN" w:bidi="en-US"/>
        </w:rPr>
      </w:pPr>
      <w:bookmarkStart w:id="403" w:name="_Toc12393"/>
      <w:bookmarkStart w:id="404" w:name="_Toc6395"/>
      <w:bookmarkStart w:id="405" w:name="bookmark1768"/>
      <w:bookmarkStart w:id="406" w:name="bookmark1766"/>
      <w:bookmarkStart w:id="407" w:name="_Toc17022"/>
      <w:bookmarkStart w:id="408" w:name="_Toc13873"/>
      <w:bookmarkStart w:id="409" w:name="bookmark1767"/>
      <w:bookmarkStart w:id="410" w:name="_Toc10687"/>
      <w:bookmarkStart w:id="411" w:name="bookmark1772"/>
      <w:bookmarkStart w:id="412" w:name="_Toc31535"/>
      <w:bookmarkStart w:id="413" w:name="_Toc28040"/>
      <w:bookmarkStart w:id="414" w:name="_Toc22881"/>
      <w:bookmarkStart w:id="415" w:name="bookmark1770"/>
      <w:bookmarkStart w:id="416" w:name="bookmark1771"/>
      <w:bookmarkStart w:id="417" w:name="_Toc24486"/>
      <w:bookmarkStart w:id="418" w:name="_Toc9647"/>
      <w:bookmarkStart w:id="419" w:name="_Toc13554"/>
      <w:r>
        <w:rPr>
          <w:rFonts w:hint="eastAsia" w:ascii="宋体" w:hAnsi="宋体" w:eastAsia="宋体" w:cs="宋体"/>
          <w:color w:val="auto"/>
          <w:spacing w:val="0"/>
          <w:sz w:val="28"/>
          <w:szCs w:val="28"/>
          <w:highlight w:val="none"/>
          <w:lang w:eastAsia="zh-CN" w:bidi="en-US"/>
        </w:rPr>
        <w:t>15.5承包人的合理化建议</w:t>
      </w:r>
      <w:bookmarkEnd w:id="403"/>
      <w:bookmarkEnd w:id="404"/>
      <w:bookmarkEnd w:id="405"/>
      <w:bookmarkEnd w:id="406"/>
      <w:bookmarkEnd w:id="407"/>
      <w:bookmarkEnd w:id="408"/>
      <w:bookmarkEnd w:id="409"/>
    </w:p>
    <w:p w14:paraId="24DBF49F">
      <w:pPr>
        <w:pStyle w:val="115"/>
        <w:pageBreakBefore w:val="0"/>
        <w:tabs>
          <w:tab w:val="left" w:pos="841"/>
          <w:tab w:val="left" w:pos="6665"/>
        </w:tabs>
        <w:kinsoku/>
        <w:wordWrap/>
        <w:overflowPunct/>
        <w:topLinePunct w:val="0"/>
        <w:bidi w:val="0"/>
        <w:spacing w:line="500" w:lineRule="exact"/>
        <w:ind w:left="0" w:right="0" w:firstLine="0"/>
        <w:rPr>
          <w:rFonts w:hint="eastAsia" w:ascii="宋体" w:hAnsi="宋体" w:eastAsia="宋体" w:cs="宋体"/>
          <w:color w:val="auto"/>
          <w:spacing w:val="0"/>
          <w:sz w:val="28"/>
          <w:szCs w:val="28"/>
          <w:highlight w:val="none"/>
        </w:rPr>
      </w:pPr>
      <w:bookmarkStart w:id="420" w:name="bookmark1769"/>
      <w:bookmarkEnd w:id="420"/>
      <w:r>
        <w:rPr>
          <w:rFonts w:hint="eastAsia" w:ascii="宋体" w:hAnsi="宋体" w:eastAsia="宋体" w:cs="宋体"/>
          <w:color w:val="auto"/>
          <w:spacing w:val="0"/>
          <w:sz w:val="28"/>
          <w:szCs w:val="28"/>
          <w:highlight w:val="none"/>
          <w:lang w:val="en-US" w:bidi="en-US"/>
        </w:rPr>
        <w:t xml:space="preserve">　　15.5. </w:t>
      </w:r>
      <w:r>
        <w:rPr>
          <w:rFonts w:hint="eastAsia" w:ascii="宋体" w:hAnsi="宋体" w:eastAsia="宋体" w:cs="宋体"/>
          <w:color w:val="auto"/>
          <w:spacing w:val="0"/>
          <w:sz w:val="28"/>
          <w:szCs w:val="28"/>
          <w:highlight w:val="none"/>
        </w:rPr>
        <w:t xml:space="preserve">2承包人实现合理化建议的奖励金额为： </w:t>
      </w:r>
      <w:r>
        <w:rPr>
          <w:rFonts w:hint="eastAsia" w:ascii="宋体" w:hAnsi="宋体" w:eastAsia="宋体" w:cs="宋体"/>
          <w:color w:val="auto"/>
          <w:spacing w:val="0"/>
          <w:sz w:val="28"/>
          <w:szCs w:val="28"/>
          <w:highlight w:val="none"/>
          <w:u w:val="single"/>
          <w:lang w:val="en-US"/>
        </w:rPr>
        <w:t>/</w:t>
      </w:r>
      <w:r>
        <w:rPr>
          <w:rFonts w:hint="eastAsia" w:ascii="宋体" w:hAnsi="宋体" w:eastAsia="宋体" w:cs="宋体"/>
          <w:color w:val="auto"/>
          <w:spacing w:val="0"/>
          <w:sz w:val="28"/>
          <w:szCs w:val="28"/>
          <w:highlight w:val="none"/>
          <w:lang w:val="en-US" w:bidi="en-US"/>
        </w:rPr>
        <w:t>。</w:t>
      </w:r>
    </w:p>
    <w:p w14:paraId="270DEF02">
      <w:pPr>
        <w:pStyle w:val="116"/>
        <w:pageBreakBefore w:val="0"/>
        <w:kinsoku/>
        <w:wordWrap/>
        <w:overflowPunct/>
        <w:topLinePunct w:val="0"/>
        <w:bidi w:val="0"/>
        <w:spacing w:beforeLines="0" w:afterLines="0" w:line="500" w:lineRule="exact"/>
        <w:ind w:left="0" w:right="0"/>
        <w:rPr>
          <w:rFonts w:hint="eastAsia" w:ascii="宋体" w:hAnsi="宋体" w:eastAsia="宋体" w:cs="宋体"/>
          <w:color w:val="auto"/>
          <w:spacing w:val="0"/>
          <w:sz w:val="28"/>
          <w:szCs w:val="28"/>
          <w:highlight w:val="none"/>
          <w:lang w:eastAsia="zh-CN"/>
        </w:rPr>
      </w:pPr>
      <w:r>
        <w:rPr>
          <w:rFonts w:hint="eastAsia" w:ascii="宋体" w:hAnsi="宋体" w:eastAsia="宋体" w:cs="宋体"/>
          <w:color w:val="auto"/>
          <w:spacing w:val="0"/>
          <w:sz w:val="28"/>
          <w:szCs w:val="28"/>
          <w:highlight w:val="none"/>
          <w:lang w:eastAsia="zh-CN"/>
        </w:rPr>
        <w:t>16 .价格调整</w:t>
      </w:r>
      <w:bookmarkEnd w:id="410"/>
      <w:bookmarkEnd w:id="411"/>
      <w:bookmarkEnd w:id="412"/>
      <w:bookmarkEnd w:id="413"/>
      <w:bookmarkEnd w:id="414"/>
      <w:bookmarkEnd w:id="415"/>
      <w:bookmarkEnd w:id="416"/>
      <w:bookmarkEnd w:id="417"/>
      <w:bookmarkEnd w:id="418"/>
      <w:bookmarkEnd w:id="419"/>
    </w:p>
    <w:p w14:paraId="46207A78">
      <w:pPr>
        <w:pStyle w:val="116"/>
        <w:pageBreakBefore w:val="0"/>
        <w:kinsoku/>
        <w:wordWrap/>
        <w:overflowPunct/>
        <w:topLinePunct w:val="0"/>
        <w:bidi w:val="0"/>
        <w:spacing w:beforeLines="0" w:afterLines="0" w:line="500" w:lineRule="exact"/>
        <w:ind w:left="0" w:right="0"/>
        <w:rPr>
          <w:rFonts w:hint="eastAsia" w:ascii="宋体" w:hAnsi="宋体" w:eastAsia="宋体" w:cs="宋体"/>
          <w:color w:val="auto"/>
          <w:spacing w:val="0"/>
          <w:sz w:val="28"/>
          <w:szCs w:val="28"/>
          <w:highlight w:val="none"/>
          <w:lang w:eastAsia="zh-CN" w:bidi="en-US"/>
        </w:rPr>
      </w:pPr>
      <w:bookmarkStart w:id="421" w:name="_Toc1904"/>
      <w:bookmarkStart w:id="422" w:name="_Toc23456"/>
      <w:bookmarkStart w:id="423" w:name="_Toc2115"/>
      <w:bookmarkStart w:id="424" w:name="_Toc30226"/>
      <w:bookmarkStart w:id="425" w:name="bookmark1774"/>
      <w:bookmarkStart w:id="426" w:name="bookmark1773"/>
      <w:bookmarkStart w:id="427" w:name="bookmark1775"/>
      <w:r>
        <w:rPr>
          <w:rFonts w:hint="eastAsia" w:ascii="宋体" w:hAnsi="宋体" w:eastAsia="宋体" w:cs="宋体"/>
          <w:color w:val="auto"/>
          <w:spacing w:val="0"/>
          <w:sz w:val="28"/>
          <w:szCs w:val="28"/>
          <w:highlight w:val="none"/>
          <w:lang w:eastAsia="zh-CN" w:bidi="en-US"/>
        </w:rPr>
        <w:t>16.1物价波动引起的价格调整</w:t>
      </w:r>
      <w:bookmarkEnd w:id="421"/>
      <w:bookmarkEnd w:id="422"/>
      <w:bookmarkEnd w:id="423"/>
      <w:bookmarkEnd w:id="424"/>
      <w:bookmarkEnd w:id="425"/>
      <w:bookmarkEnd w:id="426"/>
      <w:bookmarkEnd w:id="427"/>
    </w:p>
    <w:p w14:paraId="37234A91">
      <w:pPr>
        <w:pageBreakBefore w:val="0"/>
        <w:kinsoku/>
        <w:wordWrap/>
        <w:overflowPunct/>
        <w:topLinePunct w:val="0"/>
        <w:bidi w:val="0"/>
        <w:spacing w:line="500" w:lineRule="exact"/>
        <w:ind w:left="0" w:right="0" w:firstLine="480"/>
        <w:rPr>
          <w:rFonts w:hint="eastAsia" w:ascii="宋体" w:hAnsi="宋体" w:eastAsia="宋体" w:cs="宋体"/>
          <w:color w:val="auto"/>
          <w:spacing w:val="0"/>
          <w:sz w:val="28"/>
          <w:szCs w:val="28"/>
          <w:highlight w:val="none"/>
        </w:rPr>
      </w:pPr>
      <w:r>
        <w:rPr>
          <w:rFonts w:hint="eastAsia" w:ascii="宋体" w:hAnsi="宋体" w:eastAsia="宋体" w:cs="宋体"/>
          <w:color w:val="auto"/>
          <w:spacing w:val="0"/>
          <w:sz w:val="28"/>
          <w:szCs w:val="28"/>
          <w:highlight w:val="none"/>
        </w:rPr>
        <w:t>物价波动引起的价格调整方式：</w:t>
      </w:r>
      <w:r>
        <w:rPr>
          <w:rFonts w:hint="eastAsia" w:ascii="宋体" w:hAnsi="宋体" w:eastAsia="宋体" w:cs="宋体"/>
          <w:b/>
          <w:color w:val="auto"/>
          <w:spacing w:val="0"/>
          <w:sz w:val="28"/>
          <w:szCs w:val="28"/>
          <w:highlight w:val="none"/>
          <w:u w:val="single"/>
        </w:rPr>
        <w:t>本工程因物价波动引起的价格变化不作调整。</w:t>
      </w:r>
    </w:p>
    <w:p w14:paraId="30A3AB96">
      <w:pPr>
        <w:pStyle w:val="116"/>
        <w:pageBreakBefore w:val="0"/>
        <w:kinsoku/>
        <w:wordWrap/>
        <w:overflowPunct/>
        <w:topLinePunct w:val="0"/>
        <w:bidi w:val="0"/>
        <w:spacing w:beforeLines="0" w:afterLines="0" w:line="500" w:lineRule="exact"/>
        <w:ind w:left="0" w:right="0"/>
        <w:rPr>
          <w:rFonts w:hint="eastAsia" w:ascii="宋体" w:hAnsi="宋体" w:eastAsia="宋体" w:cs="宋体"/>
          <w:color w:val="auto"/>
          <w:spacing w:val="0"/>
          <w:sz w:val="28"/>
          <w:szCs w:val="28"/>
          <w:highlight w:val="none"/>
          <w:lang w:eastAsia="zh-CN"/>
        </w:rPr>
      </w:pPr>
      <w:bookmarkStart w:id="428" w:name="bookmark1776"/>
      <w:bookmarkEnd w:id="428"/>
      <w:bookmarkStart w:id="429" w:name="bookmark1779"/>
      <w:bookmarkEnd w:id="429"/>
      <w:bookmarkStart w:id="430" w:name="bookmark1777"/>
      <w:bookmarkStart w:id="431" w:name="_Toc24882"/>
      <w:bookmarkStart w:id="432" w:name="_Toc12454"/>
      <w:bookmarkStart w:id="433" w:name="_Toc4565"/>
      <w:bookmarkStart w:id="434" w:name="bookmark1780"/>
      <w:bookmarkStart w:id="435" w:name="_Toc13939"/>
      <w:bookmarkStart w:id="436" w:name="_Toc20772"/>
      <w:bookmarkStart w:id="437" w:name="_Toc20256"/>
      <w:bookmarkStart w:id="438" w:name="_Toc9933"/>
      <w:bookmarkStart w:id="439" w:name="bookmark1778"/>
      <w:r>
        <w:rPr>
          <w:rFonts w:hint="eastAsia" w:ascii="宋体" w:hAnsi="宋体" w:eastAsia="宋体" w:cs="宋体"/>
          <w:color w:val="auto"/>
          <w:spacing w:val="0"/>
          <w:sz w:val="28"/>
          <w:szCs w:val="28"/>
          <w:highlight w:val="none"/>
          <w:lang w:eastAsia="zh-CN"/>
        </w:rPr>
        <w:t>17. 计量与支付</w:t>
      </w:r>
      <w:bookmarkEnd w:id="430"/>
      <w:bookmarkEnd w:id="431"/>
      <w:bookmarkEnd w:id="432"/>
      <w:bookmarkEnd w:id="433"/>
      <w:bookmarkEnd w:id="434"/>
      <w:bookmarkEnd w:id="435"/>
      <w:bookmarkEnd w:id="436"/>
      <w:bookmarkEnd w:id="437"/>
      <w:bookmarkEnd w:id="438"/>
      <w:bookmarkEnd w:id="439"/>
    </w:p>
    <w:p w14:paraId="06394235">
      <w:pPr>
        <w:pStyle w:val="116"/>
        <w:pageBreakBefore w:val="0"/>
        <w:kinsoku/>
        <w:wordWrap/>
        <w:overflowPunct/>
        <w:topLinePunct w:val="0"/>
        <w:bidi w:val="0"/>
        <w:spacing w:beforeLines="0" w:afterLines="0" w:line="500" w:lineRule="exact"/>
        <w:ind w:left="0" w:right="0"/>
        <w:rPr>
          <w:rFonts w:hint="eastAsia" w:ascii="宋体" w:hAnsi="宋体" w:eastAsia="宋体" w:cs="宋体"/>
          <w:color w:val="auto"/>
          <w:spacing w:val="0"/>
          <w:sz w:val="28"/>
          <w:szCs w:val="28"/>
          <w:highlight w:val="none"/>
          <w:lang w:eastAsia="zh-CN" w:bidi="en-US"/>
        </w:rPr>
      </w:pPr>
      <w:bookmarkStart w:id="440" w:name="bookmark1783"/>
      <w:bookmarkStart w:id="441" w:name="_Toc32008"/>
      <w:bookmarkStart w:id="442" w:name="_Toc25228"/>
      <w:bookmarkStart w:id="443" w:name="bookmark1781"/>
      <w:bookmarkStart w:id="444" w:name="_Toc19352"/>
      <w:bookmarkStart w:id="445" w:name="_Toc11275"/>
      <w:bookmarkStart w:id="446" w:name="bookmark1782"/>
      <w:r>
        <w:rPr>
          <w:rFonts w:hint="eastAsia" w:ascii="宋体" w:hAnsi="宋体" w:eastAsia="宋体" w:cs="宋体"/>
          <w:color w:val="auto"/>
          <w:spacing w:val="0"/>
          <w:sz w:val="28"/>
          <w:szCs w:val="28"/>
          <w:highlight w:val="none"/>
          <w:lang w:eastAsia="zh-CN" w:bidi="en-US"/>
        </w:rPr>
        <w:t>17.2预付款</w:t>
      </w:r>
      <w:bookmarkEnd w:id="440"/>
      <w:bookmarkEnd w:id="441"/>
      <w:bookmarkEnd w:id="442"/>
      <w:bookmarkEnd w:id="443"/>
      <w:bookmarkEnd w:id="444"/>
      <w:bookmarkEnd w:id="445"/>
      <w:bookmarkEnd w:id="446"/>
    </w:p>
    <w:p w14:paraId="3B2DFB58">
      <w:pPr>
        <w:pStyle w:val="117"/>
        <w:pageBreakBefore w:val="0"/>
        <w:kinsoku/>
        <w:wordWrap/>
        <w:overflowPunct/>
        <w:topLinePunct w:val="0"/>
        <w:bidi w:val="0"/>
        <w:spacing w:after="0" w:line="500" w:lineRule="exact"/>
        <w:ind w:left="0" w:right="0" w:firstLine="0"/>
        <w:rPr>
          <w:rFonts w:hint="eastAsia" w:ascii="宋体" w:hAnsi="宋体" w:eastAsia="宋体" w:cs="宋体"/>
          <w:color w:val="auto"/>
          <w:spacing w:val="0"/>
          <w:sz w:val="28"/>
          <w:szCs w:val="28"/>
          <w:highlight w:val="none"/>
          <w:lang w:eastAsia="zh-CN"/>
        </w:rPr>
      </w:pPr>
      <w:r>
        <w:rPr>
          <w:rFonts w:hint="eastAsia" w:ascii="宋体" w:hAnsi="宋体" w:eastAsia="宋体" w:cs="宋体"/>
          <w:color w:val="auto"/>
          <w:spacing w:val="0"/>
          <w:sz w:val="28"/>
          <w:szCs w:val="28"/>
          <w:highlight w:val="none"/>
          <w:lang w:eastAsia="zh-CN"/>
        </w:rPr>
        <w:t>　　17.2.1</w:t>
      </w:r>
      <w:r>
        <w:rPr>
          <w:rFonts w:hint="eastAsia" w:ascii="宋体" w:hAnsi="宋体" w:eastAsia="宋体" w:cs="宋体"/>
          <w:color w:val="auto"/>
          <w:spacing w:val="0"/>
          <w:sz w:val="28"/>
          <w:szCs w:val="28"/>
          <w:highlight w:val="none"/>
          <w:lang w:val="zh-CN" w:eastAsia="zh-CN" w:bidi="zh-CN"/>
        </w:rPr>
        <w:t>预付款</w:t>
      </w:r>
    </w:p>
    <w:p w14:paraId="226D3A14">
      <w:pPr>
        <w:pageBreakBefore w:val="0"/>
        <w:kinsoku/>
        <w:wordWrap/>
        <w:overflowPunct/>
        <w:topLinePunct w:val="0"/>
        <w:bidi w:val="0"/>
        <w:spacing w:line="500" w:lineRule="exact"/>
        <w:ind w:left="0" w:right="0"/>
        <w:rPr>
          <w:rFonts w:hint="eastAsia" w:ascii="宋体" w:hAnsi="宋体" w:eastAsia="宋体" w:cs="宋体"/>
          <w:color w:val="auto"/>
          <w:spacing w:val="0"/>
          <w:sz w:val="28"/>
          <w:szCs w:val="28"/>
          <w:highlight w:val="none"/>
          <w:lang w:eastAsia="zh-CN"/>
        </w:rPr>
      </w:pPr>
      <w:bookmarkStart w:id="447" w:name="bookmark1784"/>
      <w:bookmarkEnd w:id="447"/>
      <w:r>
        <w:rPr>
          <w:rFonts w:hint="eastAsia" w:ascii="宋体" w:hAnsi="宋体" w:eastAsia="宋体" w:cs="宋体"/>
          <w:color w:val="auto"/>
          <w:spacing w:val="0"/>
          <w:sz w:val="28"/>
          <w:szCs w:val="28"/>
          <w:highlight w:val="none"/>
        </w:rPr>
        <w:t>　　(1) 工程预付款的总金额为签约合同价的30%，付款时间应在合同协议书签订后 14 天内，由承包人向</w:t>
      </w:r>
      <w:r>
        <w:rPr>
          <w:rFonts w:hint="eastAsia" w:ascii="宋体" w:hAnsi="宋体" w:eastAsia="宋体" w:cs="宋体"/>
          <w:color w:val="auto"/>
          <w:spacing w:val="0"/>
          <w:sz w:val="28"/>
          <w:szCs w:val="28"/>
          <w:highlight w:val="none"/>
          <w:lang w:eastAsia="zh-CN"/>
        </w:rPr>
        <w:t>建设单位</w:t>
      </w:r>
      <w:r>
        <w:rPr>
          <w:rFonts w:hint="eastAsia" w:ascii="宋体" w:hAnsi="宋体" w:eastAsia="宋体" w:cs="宋体"/>
          <w:color w:val="auto"/>
          <w:spacing w:val="0"/>
          <w:sz w:val="28"/>
          <w:szCs w:val="28"/>
          <w:highlight w:val="none"/>
        </w:rPr>
        <w:t>按规定提交了相应的担保手续，并经监理人出具付款证书报送</w:t>
      </w:r>
      <w:r>
        <w:rPr>
          <w:rFonts w:hint="eastAsia" w:ascii="宋体" w:hAnsi="宋体" w:eastAsia="宋体" w:cs="宋体"/>
          <w:color w:val="auto"/>
          <w:spacing w:val="0"/>
          <w:sz w:val="28"/>
          <w:szCs w:val="28"/>
          <w:highlight w:val="none"/>
          <w:lang w:eastAsia="zh-CN"/>
        </w:rPr>
        <w:t>建设单位</w:t>
      </w:r>
      <w:r>
        <w:rPr>
          <w:rFonts w:hint="eastAsia" w:ascii="宋体" w:hAnsi="宋体" w:eastAsia="宋体" w:cs="宋体"/>
          <w:color w:val="auto"/>
          <w:spacing w:val="0"/>
          <w:sz w:val="28"/>
          <w:szCs w:val="28"/>
          <w:highlight w:val="none"/>
        </w:rPr>
        <w:t>批准，由</w:t>
      </w:r>
      <w:r>
        <w:rPr>
          <w:rFonts w:hint="eastAsia" w:ascii="宋体" w:hAnsi="宋体" w:eastAsia="宋体" w:cs="宋体"/>
          <w:color w:val="auto"/>
          <w:spacing w:val="0"/>
          <w:sz w:val="28"/>
          <w:szCs w:val="28"/>
          <w:highlight w:val="none"/>
          <w:lang w:eastAsia="zh-CN"/>
        </w:rPr>
        <w:t>建设单位</w:t>
      </w:r>
      <w:r>
        <w:rPr>
          <w:rFonts w:hint="eastAsia" w:ascii="宋体" w:hAnsi="宋体" w:eastAsia="宋体" w:cs="宋体"/>
          <w:color w:val="auto"/>
          <w:spacing w:val="0"/>
          <w:sz w:val="28"/>
          <w:szCs w:val="28"/>
          <w:highlight w:val="none"/>
        </w:rPr>
        <w:t>报合浦县财政局审批通过后 14 天内国库集中支付</w:t>
      </w:r>
      <w:r>
        <w:rPr>
          <w:rFonts w:hint="eastAsia" w:ascii="宋体" w:hAnsi="宋体" w:eastAsia="宋体" w:cs="宋体"/>
          <w:color w:val="auto"/>
          <w:spacing w:val="0"/>
          <w:sz w:val="28"/>
          <w:szCs w:val="28"/>
          <w:highlight w:val="none"/>
          <w:lang w:eastAsia="zh-CN"/>
        </w:rPr>
        <w:t>。</w:t>
      </w:r>
    </w:p>
    <w:p w14:paraId="0FCBCC29">
      <w:pPr>
        <w:pStyle w:val="115"/>
        <w:pageBreakBefore w:val="0"/>
        <w:kinsoku/>
        <w:wordWrap/>
        <w:overflowPunct/>
        <w:topLinePunct w:val="0"/>
        <w:bidi w:val="0"/>
        <w:spacing w:line="500" w:lineRule="exact"/>
        <w:ind w:left="0" w:right="0" w:firstLine="0"/>
        <w:rPr>
          <w:rFonts w:hint="eastAsia" w:ascii="宋体" w:hAnsi="宋体" w:eastAsia="宋体" w:cs="宋体"/>
          <w:color w:val="auto"/>
          <w:spacing w:val="0"/>
          <w:sz w:val="28"/>
          <w:szCs w:val="28"/>
          <w:highlight w:val="none"/>
          <w:u w:val="single"/>
        </w:rPr>
      </w:pPr>
      <w:r>
        <w:rPr>
          <w:rFonts w:hint="eastAsia" w:ascii="宋体" w:hAnsi="宋体" w:eastAsia="宋体" w:cs="宋体"/>
          <w:color w:val="auto"/>
          <w:spacing w:val="0"/>
          <w:sz w:val="28"/>
          <w:szCs w:val="28"/>
          <w:highlight w:val="none"/>
        </w:rPr>
        <w:t>　　(2)工程材料预付款的额度和预付办法约定为：</w:t>
      </w:r>
      <w:r>
        <w:rPr>
          <w:rFonts w:hint="eastAsia" w:ascii="宋体" w:hAnsi="宋体" w:eastAsia="宋体" w:cs="宋体"/>
          <w:color w:val="auto"/>
          <w:spacing w:val="0"/>
          <w:sz w:val="28"/>
          <w:szCs w:val="28"/>
          <w:highlight w:val="none"/>
          <w:u w:val="single"/>
        </w:rPr>
        <w:t xml:space="preserve"> 本工程无材料预付款</w:t>
      </w:r>
    </w:p>
    <w:p w14:paraId="6FDE22A0">
      <w:pPr>
        <w:pStyle w:val="115"/>
        <w:pageBreakBefore w:val="0"/>
        <w:kinsoku/>
        <w:wordWrap/>
        <w:overflowPunct/>
        <w:topLinePunct w:val="0"/>
        <w:bidi w:val="0"/>
        <w:spacing w:line="500" w:lineRule="exact"/>
        <w:ind w:left="0" w:right="0" w:firstLine="0"/>
        <w:rPr>
          <w:rFonts w:hint="eastAsia" w:ascii="宋体" w:hAnsi="宋体" w:eastAsia="宋体" w:cs="宋体"/>
          <w:color w:val="auto"/>
          <w:spacing w:val="0"/>
          <w:sz w:val="28"/>
          <w:szCs w:val="28"/>
          <w:highlight w:val="none"/>
        </w:rPr>
      </w:pPr>
      <w:r>
        <w:rPr>
          <w:rFonts w:hint="eastAsia" w:ascii="宋体" w:hAnsi="宋体" w:eastAsia="宋体" w:cs="宋体"/>
          <w:color w:val="auto"/>
          <w:spacing w:val="0"/>
          <w:sz w:val="28"/>
          <w:szCs w:val="28"/>
          <w:highlight w:val="none"/>
          <w:lang w:val="en-US" w:bidi="en-US"/>
        </w:rPr>
        <w:t>　　17.2.2</w:t>
      </w:r>
      <w:r>
        <w:rPr>
          <w:rFonts w:hint="eastAsia" w:ascii="宋体" w:hAnsi="宋体" w:eastAsia="宋体" w:cs="宋体"/>
          <w:color w:val="auto"/>
          <w:spacing w:val="0"/>
          <w:sz w:val="28"/>
          <w:szCs w:val="28"/>
          <w:highlight w:val="none"/>
        </w:rPr>
        <w:t>预付款保函(担保)</w:t>
      </w:r>
    </w:p>
    <w:p w14:paraId="75D2307A">
      <w:pPr>
        <w:pStyle w:val="115"/>
        <w:pageBreakBefore w:val="0"/>
        <w:tabs>
          <w:tab w:val="left" w:pos="5657"/>
        </w:tabs>
        <w:kinsoku/>
        <w:wordWrap/>
        <w:overflowPunct/>
        <w:topLinePunct w:val="0"/>
        <w:bidi w:val="0"/>
        <w:spacing w:line="500" w:lineRule="exact"/>
        <w:ind w:left="0" w:right="0" w:firstLine="0"/>
        <w:rPr>
          <w:rFonts w:hint="eastAsia" w:ascii="宋体" w:hAnsi="宋体" w:eastAsia="宋体" w:cs="宋体"/>
          <w:color w:val="auto"/>
          <w:spacing w:val="0"/>
          <w:sz w:val="28"/>
          <w:szCs w:val="28"/>
          <w:highlight w:val="none"/>
        </w:rPr>
      </w:pPr>
      <w:r>
        <w:rPr>
          <w:rFonts w:hint="eastAsia" w:ascii="宋体" w:hAnsi="宋体" w:eastAsia="宋体" w:cs="宋体"/>
          <w:color w:val="auto"/>
          <w:spacing w:val="0"/>
          <w:sz w:val="28"/>
          <w:szCs w:val="28"/>
          <w:highlight w:val="none"/>
        </w:rPr>
        <w:t>　　(2)工程材料预付款的担保约定为：</w:t>
      </w:r>
      <w:r>
        <w:rPr>
          <w:rFonts w:hint="eastAsia" w:ascii="宋体" w:hAnsi="宋体" w:eastAsia="宋体" w:cs="宋体"/>
          <w:color w:val="auto"/>
          <w:spacing w:val="0"/>
          <w:sz w:val="28"/>
          <w:szCs w:val="28"/>
          <w:highlight w:val="none"/>
          <w:u w:val="single"/>
        </w:rPr>
        <w:t>无</w:t>
      </w:r>
      <w:r>
        <w:rPr>
          <w:rFonts w:hint="eastAsia" w:ascii="宋体" w:hAnsi="宋体" w:eastAsia="宋体" w:cs="宋体"/>
          <w:color w:val="auto"/>
          <w:spacing w:val="0"/>
          <w:sz w:val="28"/>
          <w:szCs w:val="28"/>
          <w:highlight w:val="none"/>
          <w:lang w:val="en-US" w:bidi="en-US"/>
        </w:rPr>
        <w:t>。</w:t>
      </w:r>
    </w:p>
    <w:p w14:paraId="23F569D0">
      <w:pPr>
        <w:pStyle w:val="115"/>
        <w:pageBreakBefore w:val="0"/>
        <w:kinsoku/>
        <w:wordWrap/>
        <w:overflowPunct/>
        <w:topLinePunct w:val="0"/>
        <w:bidi w:val="0"/>
        <w:spacing w:line="500" w:lineRule="exact"/>
        <w:ind w:left="0" w:right="0" w:firstLine="0"/>
        <w:rPr>
          <w:rFonts w:hint="eastAsia" w:ascii="宋体" w:hAnsi="宋体" w:eastAsia="宋体" w:cs="宋体"/>
          <w:color w:val="auto"/>
          <w:spacing w:val="0"/>
          <w:sz w:val="28"/>
          <w:szCs w:val="28"/>
          <w:highlight w:val="none"/>
        </w:rPr>
      </w:pPr>
      <w:r>
        <w:rPr>
          <w:rFonts w:hint="eastAsia" w:ascii="宋体" w:hAnsi="宋体" w:eastAsia="宋体" w:cs="宋体"/>
          <w:color w:val="auto"/>
          <w:spacing w:val="0"/>
          <w:sz w:val="28"/>
          <w:szCs w:val="28"/>
          <w:highlight w:val="none"/>
          <w:lang w:val="en-US" w:bidi="en-US"/>
        </w:rPr>
        <w:t>　　17.2.3</w:t>
      </w:r>
      <w:r>
        <w:rPr>
          <w:rFonts w:hint="eastAsia" w:ascii="宋体" w:hAnsi="宋体" w:eastAsia="宋体" w:cs="宋体"/>
          <w:color w:val="auto"/>
          <w:spacing w:val="0"/>
          <w:sz w:val="28"/>
          <w:szCs w:val="28"/>
          <w:highlight w:val="none"/>
        </w:rPr>
        <w:t>预付款的扣回与还清</w:t>
      </w:r>
    </w:p>
    <w:p w14:paraId="2E347024">
      <w:pPr>
        <w:pStyle w:val="115"/>
        <w:pageBreakBefore w:val="0"/>
        <w:kinsoku/>
        <w:wordWrap/>
        <w:overflowPunct/>
        <w:topLinePunct w:val="0"/>
        <w:bidi w:val="0"/>
        <w:spacing w:line="500" w:lineRule="exact"/>
        <w:ind w:left="0" w:right="0" w:firstLine="0"/>
        <w:rPr>
          <w:rFonts w:hint="eastAsia" w:ascii="宋体" w:hAnsi="宋体" w:eastAsia="宋体" w:cs="宋体"/>
          <w:color w:val="auto"/>
          <w:spacing w:val="0"/>
          <w:sz w:val="28"/>
          <w:szCs w:val="28"/>
          <w:highlight w:val="none"/>
        </w:rPr>
      </w:pPr>
      <w:r>
        <w:rPr>
          <w:rFonts w:hint="eastAsia" w:ascii="宋体" w:hAnsi="宋体" w:eastAsia="宋体" w:cs="宋体"/>
          <w:color w:val="auto"/>
          <w:spacing w:val="0"/>
          <w:sz w:val="28"/>
          <w:szCs w:val="28"/>
          <w:highlight w:val="none"/>
        </w:rPr>
        <w:t>　　完成工程量达到合同价的</w:t>
      </w:r>
      <w:r>
        <w:rPr>
          <w:rFonts w:hint="eastAsia" w:ascii="宋体" w:hAnsi="宋体" w:eastAsia="宋体" w:cs="宋体"/>
          <w:color w:val="auto"/>
          <w:spacing w:val="0"/>
          <w:sz w:val="28"/>
          <w:szCs w:val="28"/>
          <w:highlight w:val="none"/>
          <w:u w:val="single"/>
        </w:rPr>
        <w:t xml:space="preserve"> </w:t>
      </w:r>
      <w:r>
        <w:rPr>
          <w:rFonts w:hint="eastAsia" w:ascii="宋体" w:hAnsi="宋体" w:eastAsia="宋体" w:cs="宋体"/>
          <w:color w:val="auto"/>
          <w:spacing w:val="0"/>
          <w:sz w:val="28"/>
          <w:szCs w:val="28"/>
          <w:highlight w:val="none"/>
          <w:u w:val="single"/>
          <w:lang w:val="en-US"/>
        </w:rPr>
        <w:t>3</w:t>
      </w:r>
      <w:r>
        <w:rPr>
          <w:rFonts w:hint="eastAsia" w:ascii="宋体" w:hAnsi="宋体" w:eastAsia="宋体" w:cs="宋体"/>
          <w:color w:val="auto"/>
          <w:spacing w:val="0"/>
          <w:sz w:val="28"/>
          <w:szCs w:val="28"/>
          <w:highlight w:val="none"/>
          <w:u w:val="single"/>
        </w:rPr>
        <w:t xml:space="preserve">0%  </w:t>
      </w:r>
      <w:r>
        <w:rPr>
          <w:rFonts w:hint="eastAsia" w:ascii="宋体" w:hAnsi="宋体" w:eastAsia="宋体" w:cs="宋体"/>
          <w:color w:val="auto"/>
          <w:spacing w:val="0"/>
          <w:sz w:val="28"/>
          <w:szCs w:val="28"/>
          <w:highlight w:val="none"/>
        </w:rPr>
        <w:t>全额抵扣预付款。</w:t>
      </w:r>
    </w:p>
    <w:p w14:paraId="5AA7394A">
      <w:pPr>
        <w:pStyle w:val="115"/>
        <w:pageBreakBefore w:val="0"/>
        <w:tabs>
          <w:tab w:val="left" w:pos="6286"/>
        </w:tabs>
        <w:kinsoku/>
        <w:wordWrap/>
        <w:overflowPunct/>
        <w:topLinePunct w:val="0"/>
        <w:bidi w:val="0"/>
        <w:spacing w:line="500" w:lineRule="exact"/>
        <w:ind w:left="0" w:right="0" w:firstLine="0"/>
        <w:rPr>
          <w:rFonts w:hint="eastAsia" w:ascii="宋体" w:hAnsi="宋体" w:eastAsia="宋体" w:cs="宋体"/>
          <w:color w:val="auto"/>
          <w:spacing w:val="0"/>
          <w:sz w:val="28"/>
          <w:szCs w:val="28"/>
          <w:highlight w:val="none"/>
        </w:rPr>
      </w:pPr>
      <w:r>
        <w:rPr>
          <w:rFonts w:hint="eastAsia" w:ascii="宋体" w:hAnsi="宋体" w:eastAsia="宋体" w:cs="宋体"/>
          <w:color w:val="auto"/>
          <w:spacing w:val="0"/>
          <w:sz w:val="28"/>
          <w:szCs w:val="28"/>
          <w:highlight w:val="none"/>
        </w:rPr>
        <w:t>　　(2)工程材料预付款的扣回与还清约定为：</w:t>
      </w:r>
      <w:r>
        <w:rPr>
          <w:rFonts w:hint="eastAsia" w:ascii="宋体" w:hAnsi="宋体" w:eastAsia="宋体" w:cs="宋体"/>
          <w:color w:val="auto"/>
          <w:spacing w:val="0"/>
          <w:sz w:val="28"/>
          <w:szCs w:val="28"/>
          <w:highlight w:val="none"/>
          <w:u w:val="single"/>
        </w:rPr>
        <w:t>无</w:t>
      </w:r>
      <w:r>
        <w:rPr>
          <w:rFonts w:hint="eastAsia" w:ascii="宋体" w:hAnsi="宋体" w:eastAsia="宋体" w:cs="宋体"/>
          <w:color w:val="auto"/>
          <w:spacing w:val="0"/>
          <w:sz w:val="28"/>
          <w:szCs w:val="28"/>
          <w:highlight w:val="none"/>
          <w:lang w:val="en-US" w:bidi="en-US"/>
        </w:rPr>
        <w:t>。</w:t>
      </w:r>
    </w:p>
    <w:p w14:paraId="497CF41F">
      <w:pPr>
        <w:pStyle w:val="115"/>
        <w:pageBreakBefore w:val="0"/>
        <w:kinsoku/>
        <w:wordWrap/>
        <w:overflowPunct/>
        <w:topLinePunct w:val="0"/>
        <w:bidi w:val="0"/>
        <w:spacing w:line="500" w:lineRule="exact"/>
        <w:ind w:left="0" w:right="0" w:firstLine="0"/>
        <w:rPr>
          <w:rFonts w:hint="eastAsia" w:ascii="宋体" w:hAnsi="宋体" w:eastAsia="宋体" w:cs="宋体"/>
          <w:color w:val="auto"/>
          <w:spacing w:val="0"/>
          <w:sz w:val="28"/>
          <w:szCs w:val="28"/>
          <w:highlight w:val="none"/>
        </w:rPr>
      </w:pPr>
      <w:r>
        <w:rPr>
          <w:rFonts w:hint="eastAsia" w:ascii="宋体" w:hAnsi="宋体" w:eastAsia="宋体" w:cs="宋体"/>
          <w:color w:val="auto"/>
          <w:spacing w:val="0"/>
          <w:sz w:val="28"/>
          <w:szCs w:val="28"/>
          <w:highlight w:val="none"/>
          <w:lang w:val="en-US" w:bidi="en-US"/>
        </w:rPr>
        <w:t>　　17.3.2</w:t>
      </w:r>
      <w:r>
        <w:rPr>
          <w:rFonts w:hint="eastAsia" w:ascii="宋体" w:hAnsi="宋体" w:eastAsia="宋体" w:cs="宋体"/>
          <w:color w:val="auto"/>
          <w:spacing w:val="0"/>
          <w:sz w:val="28"/>
          <w:szCs w:val="28"/>
          <w:highlight w:val="none"/>
        </w:rPr>
        <w:t>进度付款申请单</w:t>
      </w:r>
    </w:p>
    <w:p w14:paraId="53765F58">
      <w:pPr>
        <w:pageBreakBefore w:val="0"/>
        <w:kinsoku/>
        <w:wordWrap/>
        <w:overflowPunct/>
        <w:topLinePunct w:val="0"/>
        <w:bidi w:val="0"/>
        <w:spacing w:line="500" w:lineRule="exact"/>
        <w:ind w:left="0" w:right="0"/>
        <w:rPr>
          <w:rFonts w:hint="eastAsia" w:ascii="宋体" w:hAnsi="宋体" w:eastAsia="宋体" w:cs="宋体"/>
          <w:color w:val="auto"/>
          <w:spacing w:val="0"/>
          <w:sz w:val="28"/>
          <w:szCs w:val="28"/>
          <w:highlight w:val="none"/>
        </w:rPr>
      </w:pPr>
      <w:r>
        <w:rPr>
          <w:rFonts w:hint="eastAsia" w:ascii="宋体" w:hAnsi="宋体" w:eastAsia="宋体" w:cs="宋体"/>
          <w:color w:val="auto"/>
          <w:spacing w:val="0"/>
          <w:sz w:val="28"/>
          <w:szCs w:val="28"/>
          <w:highlight w:val="none"/>
        </w:rPr>
        <w:t>承包人提交进度付款申请单的份数：</w:t>
      </w:r>
      <w:r>
        <w:rPr>
          <w:rFonts w:hint="eastAsia" w:ascii="宋体" w:hAnsi="宋体" w:eastAsia="宋体" w:cs="宋体"/>
          <w:color w:val="auto"/>
          <w:spacing w:val="0"/>
          <w:sz w:val="28"/>
          <w:szCs w:val="28"/>
          <w:highlight w:val="none"/>
          <w:u w:val="single"/>
        </w:rPr>
        <w:t xml:space="preserve"> 一式六份</w:t>
      </w:r>
      <w:r>
        <w:rPr>
          <w:rFonts w:hint="eastAsia" w:ascii="宋体" w:hAnsi="宋体" w:eastAsia="宋体" w:cs="宋体"/>
          <w:color w:val="auto"/>
          <w:spacing w:val="0"/>
          <w:sz w:val="28"/>
          <w:szCs w:val="28"/>
          <w:highlight w:val="none"/>
        </w:rPr>
        <w:t>。</w:t>
      </w:r>
    </w:p>
    <w:p w14:paraId="635BB917">
      <w:pPr>
        <w:pStyle w:val="115"/>
        <w:pageBreakBefore w:val="0"/>
        <w:tabs>
          <w:tab w:val="left" w:pos="4613"/>
          <w:tab w:val="left" w:pos="7978"/>
        </w:tabs>
        <w:kinsoku/>
        <w:wordWrap/>
        <w:overflowPunct/>
        <w:topLinePunct w:val="0"/>
        <w:bidi w:val="0"/>
        <w:spacing w:line="500" w:lineRule="exact"/>
        <w:ind w:left="0" w:right="0" w:firstLine="560" w:firstLineChars="200"/>
        <w:rPr>
          <w:rFonts w:hint="eastAsia" w:ascii="宋体" w:hAnsi="宋体" w:eastAsia="宋体" w:cs="宋体"/>
          <w:color w:val="auto"/>
          <w:spacing w:val="0"/>
          <w:sz w:val="28"/>
          <w:szCs w:val="28"/>
          <w:highlight w:val="none"/>
        </w:rPr>
      </w:pPr>
      <w:r>
        <w:rPr>
          <w:rFonts w:hint="eastAsia" w:ascii="宋体" w:hAnsi="宋体" w:eastAsia="宋体" w:cs="宋体"/>
          <w:color w:val="auto"/>
          <w:spacing w:val="0"/>
          <w:sz w:val="28"/>
          <w:szCs w:val="28"/>
          <w:highlight w:val="none"/>
          <w:lang w:val="en-US" w:bidi="en-US"/>
        </w:rPr>
        <w:t>17.3.3</w:t>
      </w:r>
      <w:r>
        <w:rPr>
          <w:rFonts w:hint="eastAsia" w:ascii="宋体" w:hAnsi="宋体" w:eastAsia="宋体" w:cs="宋体"/>
          <w:color w:val="auto"/>
          <w:spacing w:val="0"/>
          <w:sz w:val="28"/>
          <w:szCs w:val="28"/>
          <w:highlight w:val="none"/>
        </w:rPr>
        <w:t>进度付款证书和支付时间</w:t>
      </w:r>
    </w:p>
    <w:p w14:paraId="002AAA14">
      <w:pPr>
        <w:pageBreakBefore w:val="0"/>
        <w:kinsoku/>
        <w:wordWrap/>
        <w:overflowPunct/>
        <w:topLinePunct w:val="0"/>
        <w:bidi w:val="0"/>
        <w:spacing w:line="500" w:lineRule="exact"/>
        <w:ind w:left="0" w:right="0" w:firstLine="474"/>
        <w:rPr>
          <w:rFonts w:hint="eastAsia" w:ascii="宋体" w:hAnsi="宋体" w:eastAsia="宋体" w:cs="宋体"/>
          <w:color w:val="auto"/>
          <w:spacing w:val="0"/>
          <w:sz w:val="28"/>
          <w:szCs w:val="28"/>
          <w:highlight w:val="none"/>
        </w:rPr>
      </w:pPr>
      <w:r>
        <w:rPr>
          <w:rFonts w:hint="eastAsia" w:ascii="宋体" w:hAnsi="宋体" w:eastAsia="宋体" w:cs="宋体"/>
          <w:color w:val="auto"/>
          <w:spacing w:val="0"/>
          <w:sz w:val="28"/>
          <w:szCs w:val="28"/>
          <w:highlight w:val="none"/>
        </w:rPr>
        <w:t>(2)每期进度款经监理人核实后出具付款证书报送</w:t>
      </w:r>
      <w:r>
        <w:rPr>
          <w:rFonts w:hint="eastAsia" w:ascii="宋体" w:hAnsi="宋体" w:eastAsia="宋体" w:cs="宋体"/>
          <w:color w:val="auto"/>
          <w:spacing w:val="0"/>
          <w:sz w:val="28"/>
          <w:szCs w:val="28"/>
          <w:highlight w:val="none"/>
          <w:lang w:eastAsia="zh-CN"/>
        </w:rPr>
        <w:t>建设单位</w:t>
      </w:r>
      <w:r>
        <w:rPr>
          <w:rFonts w:hint="eastAsia" w:ascii="宋体" w:hAnsi="宋体" w:eastAsia="宋体" w:cs="宋体"/>
          <w:color w:val="auto"/>
          <w:spacing w:val="0"/>
          <w:sz w:val="28"/>
          <w:szCs w:val="28"/>
          <w:highlight w:val="none"/>
        </w:rPr>
        <w:t>批准，由</w:t>
      </w:r>
      <w:r>
        <w:rPr>
          <w:rFonts w:hint="eastAsia" w:ascii="宋体" w:hAnsi="宋体" w:eastAsia="宋体" w:cs="宋体"/>
          <w:color w:val="auto"/>
          <w:spacing w:val="0"/>
          <w:sz w:val="28"/>
          <w:szCs w:val="28"/>
          <w:highlight w:val="none"/>
          <w:lang w:eastAsia="zh-CN"/>
        </w:rPr>
        <w:t>建设单位</w:t>
      </w:r>
      <w:r>
        <w:rPr>
          <w:rFonts w:hint="eastAsia" w:ascii="宋体" w:hAnsi="宋体" w:eastAsia="宋体" w:cs="宋体"/>
          <w:color w:val="auto"/>
          <w:spacing w:val="0"/>
          <w:sz w:val="28"/>
          <w:szCs w:val="28"/>
          <w:highlight w:val="none"/>
        </w:rPr>
        <w:t>报合浦县财政局审 批通过后14天内国库集中支付。本款“专用合同条款的约定支付逾期付款违约金”为按中国人民银行规定的同期贷款最高利率计算的逾期付款金额的利息。</w:t>
      </w:r>
    </w:p>
    <w:p w14:paraId="3CFAC8EB">
      <w:pPr>
        <w:pStyle w:val="115"/>
        <w:pageBreakBefore w:val="0"/>
        <w:kinsoku/>
        <w:wordWrap/>
        <w:overflowPunct/>
        <w:topLinePunct w:val="0"/>
        <w:bidi w:val="0"/>
        <w:spacing w:line="500" w:lineRule="exact"/>
        <w:ind w:left="0" w:right="0" w:firstLine="0"/>
        <w:rPr>
          <w:rFonts w:hint="eastAsia" w:ascii="宋体" w:hAnsi="宋体" w:eastAsia="宋体" w:cs="宋体"/>
          <w:color w:val="auto"/>
          <w:spacing w:val="0"/>
          <w:sz w:val="28"/>
          <w:szCs w:val="28"/>
          <w:highlight w:val="none"/>
        </w:rPr>
      </w:pPr>
      <w:r>
        <w:rPr>
          <w:rFonts w:hint="eastAsia" w:ascii="宋体" w:hAnsi="宋体" w:eastAsia="宋体" w:cs="宋体"/>
          <w:color w:val="auto"/>
          <w:spacing w:val="0"/>
          <w:sz w:val="28"/>
          <w:szCs w:val="28"/>
          <w:highlight w:val="none"/>
          <w:lang w:val="en-US" w:bidi="en-US"/>
        </w:rPr>
        <w:t>　　17.3.5</w:t>
      </w:r>
      <w:r>
        <w:rPr>
          <w:rFonts w:hint="eastAsia" w:ascii="宋体" w:hAnsi="宋体" w:eastAsia="宋体" w:cs="宋体"/>
          <w:color w:val="auto"/>
          <w:spacing w:val="0"/>
          <w:sz w:val="28"/>
          <w:szCs w:val="28"/>
          <w:highlight w:val="none"/>
        </w:rPr>
        <w:t>工程进度付款的支付比例</w:t>
      </w:r>
    </w:p>
    <w:p w14:paraId="67A4E4B8">
      <w:pPr>
        <w:pageBreakBefore w:val="0"/>
        <w:tabs>
          <w:tab w:val="left" w:pos="130"/>
        </w:tabs>
        <w:kinsoku/>
        <w:wordWrap/>
        <w:overflowPunct/>
        <w:topLinePunct w:val="0"/>
        <w:bidi w:val="0"/>
        <w:spacing w:line="500" w:lineRule="exact"/>
        <w:ind w:left="0" w:right="0" w:firstLine="439"/>
        <w:rPr>
          <w:rFonts w:hint="eastAsia" w:ascii="宋体" w:hAnsi="宋体" w:eastAsia="宋体" w:cs="宋体"/>
          <w:color w:val="auto"/>
          <w:spacing w:val="0"/>
          <w:sz w:val="28"/>
          <w:szCs w:val="28"/>
          <w:highlight w:val="none"/>
        </w:rPr>
      </w:pPr>
      <w:bookmarkStart w:id="448" w:name="bookmark1792"/>
      <w:bookmarkStart w:id="449" w:name="bookmark1794"/>
      <w:bookmarkStart w:id="450" w:name="bookmark1793"/>
      <w:r>
        <w:rPr>
          <w:rFonts w:hint="eastAsia" w:ascii="宋体" w:hAnsi="宋体" w:eastAsia="宋体" w:cs="宋体"/>
          <w:color w:val="auto"/>
          <w:spacing w:val="0"/>
          <w:sz w:val="28"/>
          <w:szCs w:val="28"/>
          <w:highlight w:val="none"/>
        </w:rPr>
        <w:t>（1）完成工程量达到合同价的30%全额抵扣预付款，从完成工程量达到合同价的30%(签合同时明确)开始计算和支付工程进度款。从完成工程量达到合同价的30%开始，按每月完成工程量的90%支付工程进度款(每月工程进度款＝合同累计完成金额×90%-工程预付款总金额-累计已支付工程进度款)。工程完工验收合格及办理结算后支付至结算总价的95%，按政府制定的结算审计办法完成第三方结算审计后，工程款支付至审计结算总价的 97%。上述款项的支付时间为资金申请经合浦县财政局审批通过后 14 天内。</w:t>
      </w:r>
    </w:p>
    <w:p w14:paraId="3ADF462B">
      <w:pPr>
        <w:pageBreakBefore w:val="0"/>
        <w:tabs>
          <w:tab w:val="left" w:pos="130"/>
        </w:tabs>
        <w:kinsoku/>
        <w:wordWrap/>
        <w:overflowPunct/>
        <w:topLinePunct w:val="0"/>
        <w:bidi w:val="0"/>
        <w:spacing w:line="500" w:lineRule="exact"/>
        <w:ind w:left="0" w:right="0"/>
        <w:rPr>
          <w:rFonts w:hint="eastAsia" w:ascii="宋体" w:hAnsi="宋体" w:eastAsia="宋体" w:cs="宋体"/>
          <w:color w:val="auto"/>
          <w:spacing w:val="0"/>
          <w:sz w:val="28"/>
          <w:szCs w:val="28"/>
          <w:highlight w:val="none"/>
        </w:rPr>
      </w:pPr>
      <w:r>
        <w:rPr>
          <w:rFonts w:hint="eastAsia" w:ascii="宋体" w:hAnsi="宋体" w:eastAsia="宋体" w:cs="宋体"/>
          <w:color w:val="auto"/>
          <w:spacing w:val="0"/>
          <w:sz w:val="28"/>
          <w:szCs w:val="28"/>
          <w:highlight w:val="none"/>
        </w:rPr>
        <w:t>　　（2）本工程最终付款以规定的第三方审计结算总价为依据，工程未完成质保期验收且工程进度款支付超出审计结算总价97%的或工程完成质保期验收但工程进度款支付超出审计结算总价的，承包人必须在规定的第三方出具审计结果后20天内返还超出金额给</w:t>
      </w:r>
      <w:r>
        <w:rPr>
          <w:rFonts w:hint="eastAsia" w:ascii="宋体" w:hAnsi="宋体" w:eastAsia="宋体" w:cs="宋体"/>
          <w:color w:val="auto"/>
          <w:spacing w:val="0"/>
          <w:sz w:val="28"/>
          <w:szCs w:val="28"/>
          <w:highlight w:val="none"/>
          <w:lang w:eastAsia="zh-CN"/>
        </w:rPr>
        <w:t>建设单位</w:t>
      </w:r>
      <w:r>
        <w:rPr>
          <w:rFonts w:hint="eastAsia" w:ascii="宋体" w:hAnsi="宋体" w:eastAsia="宋体" w:cs="宋体"/>
          <w:color w:val="auto"/>
          <w:spacing w:val="0"/>
          <w:sz w:val="28"/>
          <w:szCs w:val="28"/>
          <w:highlight w:val="none"/>
        </w:rPr>
        <w:t>（返还方式由</w:t>
      </w:r>
      <w:r>
        <w:rPr>
          <w:rFonts w:hint="eastAsia" w:ascii="宋体" w:hAnsi="宋体" w:eastAsia="宋体" w:cs="宋体"/>
          <w:color w:val="auto"/>
          <w:spacing w:val="0"/>
          <w:sz w:val="28"/>
          <w:szCs w:val="28"/>
          <w:highlight w:val="none"/>
          <w:lang w:eastAsia="zh-CN"/>
        </w:rPr>
        <w:t>建设单位</w:t>
      </w:r>
      <w:r>
        <w:rPr>
          <w:rFonts w:hint="eastAsia" w:ascii="宋体" w:hAnsi="宋体" w:eastAsia="宋体" w:cs="宋体"/>
          <w:color w:val="auto"/>
          <w:spacing w:val="0"/>
          <w:sz w:val="28"/>
          <w:szCs w:val="28"/>
          <w:highlight w:val="none"/>
        </w:rPr>
        <w:t>指定）。逾期未返还的视为承包人违约，违约金按人民币壹仟元/天计算，同时承包人应承诺放弃在广西水利系统一年的投标资格，</w:t>
      </w:r>
      <w:r>
        <w:rPr>
          <w:rFonts w:hint="eastAsia" w:ascii="宋体" w:hAnsi="宋体" w:eastAsia="宋体" w:cs="宋体"/>
          <w:color w:val="auto"/>
          <w:spacing w:val="0"/>
          <w:sz w:val="28"/>
          <w:szCs w:val="28"/>
          <w:highlight w:val="none"/>
          <w:lang w:eastAsia="zh-CN"/>
        </w:rPr>
        <w:t>建设单位</w:t>
      </w:r>
      <w:r>
        <w:rPr>
          <w:rFonts w:hint="eastAsia" w:ascii="宋体" w:hAnsi="宋体" w:eastAsia="宋体" w:cs="宋体"/>
          <w:color w:val="auto"/>
          <w:spacing w:val="0"/>
          <w:sz w:val="28"/>
          <w:szCs w:val="28"/>
          <w:highlight w:val="none"/>
        </w:rPr>
        <w:t>有权向有关部门申报将承包人纳入不良记录或失信记录。</w:t>
      </w:r>
    </w:p>
    <w:p w14:paraId="72A4E0E6">
      <w:pPr>
        <w:pageBreakBefore w:val="0"/>
        <w:tabs>
          <w:tab w:val="left" w:pos="130"/>
        </w:tabs>
        <w:kinsoku/>
        <w:wordWrap/>
        <w:overflowPunct/>
        <w:topLinePunct w:val="0"/>
        <w:bidi w:val="0"/>
        <w:spacing w:line="500" w:lineRule="exact"/>
        <w:ind w:left="0" w:right="0"/>
        <w:rPr>
          <w:rFonts w:hint="eastAsia" w:ascii="宋体" w:hAnsi="宋体" w:eastAsia="宋体" w:cs="宋体"/>
          <w:color w:val="auto"/>
          <w:spacing w:val="0"/>
          <w:sz w:val="28"/>
          <w:szCs w:val="28"/>
          <w:highlight w:val="none"/>
        </w:rPr>
      </w:pPr>
      <w:r>
        <w:rPr>
          <w:rFonts w:hint="eastAsia" w:ascii="宋体" w:hAnsi="宋体" w:eastAsia="宋体" w:cs="宋体"/>
          <w:color w:val="auto"/>
          <w:spacing w:val="0"/>
          <w:sz w:val="28"/>
          <w:szCs w:val="28"/>
          <w:highlight w:val="none"/>
        </w:rPr>
        <w:t xml:space="preserve">　　17.3.6 </w:t>
      </w:r>
      <w:r>
        <w:rPr>
          <w:rFonts w:hint="eastAsia" w:ascii="宋体" w:hAnsi="宋体" w:eastAsia="宋体" w:cs="宋体"/>
          <w:color w:val="auto"/>
          <w:spacing w:val="0"/>
          <w:sz w:val="28"/>
          <w:szCs w:val="28"/>
          <w:highlight w:val="none"/>
          <w:lang w:eastAsia="zh-CN"/>
        </w:rPr>
        <w:t>建设单位</w:t>
      </w:r>
      <w:r>
        <w:rPr>
          <w:rFonts w:hint="eastAsia" w:ascii="宋体" w:hAnsi="宋体" w:eastAsia="宋体" w:cs="宋体"/>
          <w:color w:val="auto"/>
          <w:spacing w:val="0"/>
          <w:sz w:val="28"/>
          <w:szCs w:val="28"/>
          <w:highlight w:val="none"/>
        </w:rPr>
        <w:t>所有付款(含预付款) 均转入如下承包人单位基本账户及农民工工资专用账户(签订施工合同时标明，其中80%转入单位基本账户，20%属于农民工工资的部分需转入农民工工资专用账户) ，承包人单位基本账户及农民工工资专用账户发生改变时，承包人应书面通知(法定代表人签字并加盖单位公章)</w:t>
      </w:r>
      <w:r>
        <w:rPr>
          <w:rFonts w:hint="eastAsia" w:ascii="宋体" w:hAnsi="宋体" w:eastAsia="宋体" w:cs="宋体"/>
          <w:color w:val="auto"/>
          <w:spacing w:val="0"/>
          <w:sz w:val="28"/>
          <w:szCs w:val="28"/>
          <w:highlight w:val="none"/>
          <w:lang w:eastAsia="zh-CN"/>
        </w:rPr>
        <w:t>建设单位</w:t>
      </w:r>
      <w:r>
        <w:rPr>
          <w:rFonts w:hint="eastAsia" w:ascii="宋体" w:hAnsi="宋体" w:eastAsia="宋体" w:cs="宋体"/>
          <w:color w:val="auto"/>
          <w:spacing w:val="0"/>
          <w:sz w:val="28"/>
          <w:szCs w:val="28"/>
          <w:highlight w:val="none"/>
        </w:rPr>
        <w:t>。</w:t>
      </w:r>
    </w:p>
    <w:p w14:paraId="2B345A8B">
      <w:pPr>
        <w:pStyle w:val="116"/>
        <w:pageBreakBefore w:val="0"/>
        <w:kinsoku/>
        <w:wordWrap/>
        <w:overflowPunct/>
        <w:topLinePunct w:val="0"/>
        <w:bidi w:val="0"/>
        <w:spacing w:beforeLines="0" w:afterLines="0" w:line="500" w:lineRule="exact"/>
        <w:ind w:left="0" w:right="0"/>
        <w:rPr>
          <w:rFonts w:hint="eastAsia" w:ascii="宋体" w:hAnsi="宋体" w:eastAsia="宋体" w:cs="宋体"/>
          <w:color w:val="auto"/>
          <w:spacing w:val="0"/>
          <w:sz w:val="28"/>
          <w:szCs w:val="28"/>
          <w:highlight w:val="none"/>
          <w:lang w:eastAsia="zh-CN" w:bidi="en-US"/>
        </w:rPr>
      </w:pPr>
      <w:bookmarkStart w:id="451" w:name="_Toc17180"/>
      <w:bookmarkStart w:id="452" w:name="_Toc23414"/>
      <w:bookmarkStart w:id="453" w:name="_Toc15549"/>
      <w:bookmarkStart w:id="454" w:name="_Toc27868"/>
      <w:r>
        <w:rPr>
          <w:rFonts w:hint="eastAsia" w:ascii="宋体" w:hAnsi="宋体" w:eastAsia="宋体" w:cs="宋体"/>
          <w:color w:val="auto"/>
          <w:spacing w:val="0"/>
          <w:sz w:val="28"/>
          <w:szCs w:val="28"/>
          <w:highlight w:val="none"/>
          <w:lang w:eastAsia="zh-CN" w:bidi="en-US"/>
        </w:rPr>
        <w:t>17.4质量保证金</w:t>
      </w:r>
      <w:bookmarkEnd w:id="448"/>
      <w:bookmarkEnd w:id="449"/>
      <w:bookmarkEnd w:id="450"/>
      <w:bookmarkEnd w:id="451"/>
      <w:bookmarkEnd w:id="452"/>
      <w:bookmarkEnd w:id="453"/>
      <w:bookmarkEnd w:id="454"/>
    </w:p>
    <w:p w14:paraId="0D2A3537">
      <w:pPr>
        <w:pageBreakBefore w:val="0"/>
        <w:kinsoku/>
        <w:wordWrap/>
        <w:overflowPunct/>
        <w:topLinePunct w:val="0"/>
        <w:bidi w:val="0"/>
        <w:spacing w:line="500" w:lineRule="exact"/>
        <w:ind w:left="0" w:right="0"/>
        <w:rPr>
          <w:rFonts w:hint="eastAsia" w:ascii="宋体" w:hAnsi="宋体" w:eastAsia="宋体" w:cs="宋体"/>
          <w:color w:val="auto"/>
          <w:spacing w:val="0"/>
          <w:sz w:val="28"/>
          <w:szCs w:val="28"/>
          <w:highlight w:val="none"/>
        </w:rPr>
      </w:pPr>
      <w:bookmarkStart w:id="455" w:name="bookmark1795"/>
      <w:bookmarkStart w:id="456" w:name="bookmark1797"/>
      <w:bookmarkStart w:id="457" w:name="bookmark1796"/>
      <w:r>
        <w:rPr>
          <w:rFonts w:hint="eastAsia" w:ascii="宋体" w:hAnsi="宋体" w:eastAsia="宋体" w:cs="宋体"/>
          <w:color w:val="auto"/>
          <w:spacing w:val="0"/>
          <w:sz w:val="28"/>
          <w:szCs w:val="28"/>
          <w:highlight w:val="none"/>
        </w:rPr>
        <w:t>　　17.4.1 审计结算总价的 3%作为工程质量保证金，工程质量保修期满， 经</w:t>
      </w:r>
      <w:r>
        <w:rPr>
          <w:rFonts w:hint="eastAsia" w:ascii="宋体" w:hAnsi="宋体" w:eastAsia="宋体" w:cs="宋体"/>
          <w:color w:val="auto"/>
          <w:spacing w:val="0"/>
          <w:sz w:val="28"/>
          <w:szCs w:val="28"/>
          <w:highlight w:val="none"/>
          <w:lang w:eastAsia="zh-CN"/>
        </w:rPr>
        <w:t>建设单位</w:t>
      </w:r>
      <w:r>
        <w:rPr>
          <w:rFonts w:hint="eastAsia" w:ascii="宋体" w:hAnsi="宋体" w:eastAsia="宋体" w:cs="宋体"/>
          <w:color w:val="auto"/>
          <w:spacing w:val="0"/>
          <w:sz w:val="28"/>
          <w:szCs w:val="28"/>
          <w:highlight w:val="none"/>
        </w:rPr>
        <w:t>、承包人、监理人三方检查无质量缺陷责任后</w:t>
      </w:r>
      <w:r>
        <w:rPr>
          <w:rFonts w:hint="eastAsia" w:ascii="宋体" w:hAnsi="宋体" w:eastAsia="宋体" w:cs="宋体"/>
          <w:color w:val="auto"/>
          <w:spacing w:val="0"/>
          <w:sz w:val="28"/>
          <w:szCs w:val="28"/>
          <w:highlight w:val="none"/>
          <w:lang w:eastAsia="zh-CN"/>
        </w:rPr>
        <w:t>，</w:t>
      </w:r>
      <w:r>
        <w:rPr>
          <w:rFonts w:hint="eastAsia" w:ascii="宋体" w:hAnsi="宋体" w:eastAsia="宋体" w:cs="宋体"/>
          <w:color w:val="auto"/>
          <w:spacing w:val="0"/>
          <w:sz w:val="28"/>
          <w:szCs w:val="28"/>
          <w:highlight w:val="none"/>
        </w:rPr>
        <w:t>承包人提出质量保证金支付申请并经合浦县财政局审批通过后14天内付清。为提高财政资金使用效率，如承包人能提供工程质量保证金保函等担保手续，</w:t>
      </w:r>
      <w:r>
        <w:rPr>
          <w:rFonts w:hint="eastAsia" w:ascii="宋体" w:hAnsi="宋体" w:eastAsia="宋体" w:cs="宋体"/>
          <w:color w:val="auto"/>
          <w:spacing w:val="0"/>
          <w:sz w:val="28"/>
          <w:szCs w:val="28"/>
          <w:highlight w:val="none"/>
          <w:lang w:eastAsia="zh-CN"/>
        </w:rPr>
        <w:t>建设单位</w:t>
      </w:r>
      <w:r>
        <w:rPr>
          <w:rFonts w:hint="eastAsia" w:ascii="宋体" w:hAnsi="宋体" w:eastAsia="宋体" w:cs="宋体"/>
          <w:color w:val="auto"/>
          <w:spacing w:val="0"/>
          <w:sz w:val="28"/>
          <w:szCs w:val="28"/>
          <w:highlight w:val="none"/>
        </w:rPr>
        <w:t>可在收到对应担保手续后提前向承包支付工程质量保证金，质保期满后再按规定程序办理担保退还手续。</w:t>
      </w:r>
    </w:p>
    <w:bookmarkEnd w:id="455"/>
    <w:bookmarkEnd w:id="456"/>
    <w:bookmarkEnd w:id="457"/>
    <w:p w14:paraId="3527A56E">
      <w:pPr>
        <w:pStyle w:val="116"/>
        <w:pageBreakBefore w:val="0"/>
        <w:kinsoku/>
        <w:wordWrap/>
        <w:overflowPunct/>
        <w:topLinePunct w:val="0"/>
        <w:bidi w:val="0"/>
        <w:spacing w:beforeLines="0" w:afterLines="0" w:line="500" w:lineRule="exact"/>
        <w:ind w:left="0" w:right="0"/>
        <w:rPr>
          <w:rFonts w:hint="eastAsia" w:ascii="宋体" w:hAnsi="宋体" w:eastAsia="宋体" w:cs="宋体"/>
          <w:color w:val="auto"/>
          <w:spacing w:val="0"/>
          <w:sz w:val="28"/>
          <w:szCs w:val="28"/>
          <w:highlight w:val="none"/>
          <w:lang w:eastAsia="zh-CN" w:bidi="en-US"/>
        </w:rPr>
      </w:pPr>
      <w:bookmarkStart w:id="458" w:name="bookmark1808"/>
      <w:bookmarkEnd w:id="458"/>
      <w:bookmarkStart w:id="459" w:name="bookmark1801"/>
      <w:bookmarkEnd w:id="459"/>
      <w:bookmarkStart w:id="460" w:name="_Toc18845"/>
      <w:bookmarkStart w:id="461" w:name="_Toc15513"/>
      <w:bookmarkStart w:id="462" w:name="_Toc5610"/>
      <w:bookmarkStart w:id="463" w:name="_Toc30586"/>
      <w:bookmarkStart w:id="464" w:name="_Toc28459"/>
      <w:bookmarkStart w:id="465" w:name="bookmark1807"/>
      <w:bookmarkStart w:id="466" w:name="_Toc20660"/>
      <w:bookmarkStart w:id="467" w:name="_Toc797"/>
      <w:bookmarkStart w:id="468" w:name="_Toc14843"/>
      <w:bookmarkStart w:id="469" w:name="_Toc5698"/>
      <w:bookmarkStart w:id="470" w:name="bookmark1806"/>
      <w:bookmarkStart w:id="471" w:name="bookmark1809"/>
      <w:bookmarkStart w:id="472" w:name="_Toc21819"/>
      <w:bookmarkStart w:id="473" w:name="_Toc30479"/>
      <w:r>
        <w:rPr>
          <w:rFonts w:hint="eastAsia" w:ascii="宋体" w:hAnsi="宋体" w:eastAsia="宋体" w:cs="宋体"/>
          <w:color w:val="auto"/>
          <w:spacing w:val="0"/>
          <w:sz w:val="28"/>
          <w:szCs w:val="28"/>
          <w:highlight w:val="none"/>
          <w:lang w:eastAsia="zh-CN" w:bidi="en-US"/>
        </w:rPr>
        <w:t>17.5竣工（完工）结算</w:t>
      </w:r>
      <w:bookmarkEnd w:id="460"/>
      <w:bookmarkEnd w:id="461"/>
      <w:bookmarkEnd w:id="462"/>
      <w:bookmarkEnd w:id="463"/>
    </w:p>
    <w:p w14:paraId="41ACBC04">
      <w:pPr>
        <w:pStyle w:val="115"/>
        <w:pageBreakBefore w:val="0"/>
        <w:kinsoku/>
        <w:wordWrap/>
        <w:overflowPunct/>
        <w:topLinePunct w:val="0"/>
        <w:bidi w:val="0"/>
        <w:spacing w:line="500" w:lineRule="exact"/>
        <w:ind w:left="0" w:right="0" w:firstLine="0"/>
        <w:rPr>
          <w:rFonts w:hint="eastAsia" w:ascii="宋体" w:hAnsi="宋体" w:eastAsia="宋体" w:cs="宋体"/>
          <w:color w:val="auto"/>
          <w:spacing w:val="0"/>
          <w:sz w:val="28"/>
          <w:szCs w:val="28"/>
          <w:highlight w:val="none"/>
        </w:rPr>
      </w:pPr>
      <w:r>
        <w:rPr>
          <w:rFonts w:hint="eastAsia" w:ascii="宋体" w:hAnsi="宋体" w:eastAsia="宋体" w:cs="宋体"/>
          <w:color w:val="auto"/>
          <w:spacing w:val="0"/>
          <w:sz w:val="28"/>
          <w:szCs w:val="28"/>
          <w:highlight w:val="none"/>
          <w:lang w:val="en-US" w:bidi="en-US"/>
        </w:rPr>
        <w:t>　　17.5.1</w:t>
      </w:r>
      <w:r>
        <w:rPr>
          <w:rFonts w:hint="eastAsia" w:ascii="宋体" w:hAnsi="宋体" w:eastAsia="宋体" w:cs="宋体"/>
          <w:color w:val="auto"/>
          <w:spacing w:val="0"/>
          <w:sz w:val="28"/>
          <w:szCs w:val="28"/>
          <w:highlight w:val="none"/>
        </w:rPr>
        <w:t>竣工（完工）付款申请单</w:t>
      </w:r>
    </w:p>
    <w:p w14:paraId="769533E7">
      <w:pPr>
        <w:pStyle w:val="115"/>
        <w:pageBreakBefore w:val="0"/>
        <w:kinsoku/>
        <w:wordWrap/>
        <w:overflowPunct/>
        <w:topLinePunct w:val="0"/>
        <w:bidi w:val="0"/>
        <w:spacing w:line="500" w:lineRule="exact"/>
        <w:ind w:left="0" w:right="0" w:firstLine="0"/>
        <w:rPr>
          <w:rFonts w:hint="eastAsia" w:ascii="宋体" w:hAnsi="宋体" w:eastAsia="宋体" w:cs="宋体"/>
          <w:color w:val="auto"/>
          <w:spacing w:val="0"/>
          <w:sz w:val="28"/>
          <w:szCs w:val="28"/>
          <w:highlight w:val="none"/>
        </w:rPr>
      </w:pPr>
      <w:bookmarkStart w:id="474" w:name="bookmark1798"/>
      <w:r>
        <w:rPr>
          <w:rFonts w:hint="eastAsia" w:ascii="宋体" w:hAnsi="宋体" w:eastAsia="宋体" w:cs="宋体"/>
          <w:color w:val="auto"/>
          <w:spacing w:val="0"/>
          <w:sz w:val="28"/>
          <w:szCs w:val="28"/>
          <w:highlight w:val="none"/>
        </w:rPr>
        <w:t>　　（</w:t>
      </w:r>
      <w:bookmarkEnd w:id="474"/>
      <w:r>
        <w:rPr>
          <w:rFonts w:hint="eastAsia" w:ascii="宋体" w:hAnsi="宋体" w:eastAsia="宋体" w:cs="宋体"/>
          <w:color w:val="auto"/>
          <w:spacing w:val="0"/>
          <w:sz w:val="28"/>
          <w:szCs w:val="28"/>
          <w:highlight w:val="none"/>
        </w:rPr>
        <w:t>1）承包人应提交竣工付款申请单份数：</w:t>
      </w:r>
      <w:r>
        <w:rPr>
          <w:rFonts w:hint="eastAsia" w:ascii="宋体" w:hAnsi="宋体" w:eastAsia="宋体" w:cs="宋体"/>
          <w:color w:val="auto"/>
          <w:spacing w:val="0"/>
          <w:sz w:val="28"/>
          <w:szCs w:val="28"/>
          <w:highlight w:val="none"/>
          <w:u w:val="single"/>
        </w:rPr>
        <w:t>一式捌份</w:t>
      </w:r>
      <w:r>
        <w:rPr>
          <w:rFonts w:hint="eastAsia" w:ascii="宋体" w:hAnsi="宋体" w:eastAsia="宋体" w:cs="宋体"/>
          <w:color w:val="auto"/>
          <w:spacing w:val="0"/>
          <w:sz w:val="28"/>
          <w:szCs w:val="28"/>
          <w:highlight w:val="none"/>
        </w:rPr>
        <w:t>。</w:t>
      </w:r>
    </w:p>
    <w:p w14:paraId="5F426458">
      <w:pPr>
        <w:pStyle w:val="115"/>
        <w:pageBreakBefore w:val="0"/>
        <w:kinsoku/>
        <w:wordWrap/>
        <w:overflowPunct/>
        <w:topLinePunct w:val="0"/>
        <w:bidi w:val="0"/>
        <w:spacing w:line="500" w:lineRule="exact"/>
        <w:ind w:left="0" w:right="0" w:firstLine="0"/>
        <w:jc w:val="both"/>
        <w:rPr>
          <w:rFonts w:hint="eastAsia" w:ascii="宋体" w:hAnsi="宋体" w:eastAsia="宋体" w:cs="宋体"/>
          <w:color w:val="auto"/>
          <w:spacing w:val="0"/>
          <w:sz w:val="28"/>
          <w:szCs w:val="28"/>
          <w:highlight w:val="none"/>
        </w:rPr>
      </w:pPr>
      <w:r>
        <w:rPr>
          <w:rFonts w:hint="eastAsia" w:ascii="宋体" w:hAnsi="宋体" w:eastAsia="宋体" w:cs="宋体"/>
          <w:color w:val="auto"/>
          <w:spacing w:val="0"/>
          <w:sz w:val="28"/>
          <w:szCs w:val="28"/>
          <w:highlight w:val="none"/>
          <w:lang w:val="en-US" w:bidi="en-US"/>
        </w:rPr>
        <w:t>　　17.5.3</w:t>
      </w:r>
      <w:r>
        <w:rPr>
          <w:rFonts w:hint="eastAsia" w:ascii="宋体" w:hAnsi="宋体" w:eastAsia="宋体" w:cs="宋体"/>
          <w:color w:val="auto"/>
          <w:spacing w:val="0"/>
          <w:sz w:val="28"/>
          <w:szCs w:val="28"/>
          <w:highlight w:val="none"/>
        </w:rPr>
        <w:t>除按通用合同条款所说的内容外，增加以下内容：</w:t>
      </w:r>
      <w:r>
        <w:rPr>
          <w:rFonts w:hint="eastAsia" w:ascii="宋体" w:hAnsi="宋体" w:eastAsia="宋体" w:cs="宋体"/>
          <w:color w:val="auto"/>
          <w:spacing w:val="0"/>
          <w:sz w:val="28"/>
          <w:szCs w:val="28"/>
          <w:highlight w:val="none"/>
          <w:u w:val="single"/>
        </w:rPr>
        <w:t>最终结算以财政评审结果或审计部门审计结果为准</w:t>
      </w:r>
      <w:r>
        <w:rPr>
          <w:rFonts w:hint="eastAsia" w:ascii="宋体" w:hAnsi="宋体" w:eastAsia="宋体" w:cs="宋体"/>
          <w:color w:val="auto"/>
          <w:spacing w:val="0"/>
          <w:sz w:val="28"/>
          <w:szCs w:val="28"/>
          <w:highlight w:val="none"/>
        </w:rPr>
        <w:t>。</w:t>
      </w:r>
    </w:p>
    <w:p w14:paraId="69E98B59">
      <w:pPr>
        <w:pStyle w:val="115"/>
        <w:pageBreakBefore w:val="0"/>
        <w:kinsoku/>
        <w:wordWrap/>
        <w:overflowPunct/>
        <w:topLinePunct w:val="0"/>
        <w:bidi w:val="0"/>
        <w:spacing w:line="500" w:lineRule="exact"/>
        <w:ind w:left="0" w:right="0" w:firstLine="0"/>
        <w:jc w:val="both"/>
        <w:rPr>
          <w:rFonts w:hint="eastAsia" w:ascii="宋体" w:hAnsi="宋体" w:eastAsia="宋体" w:cs="宋体"/>
          <w:color w:val="auto"/>
          <w:spacing w:val="0"/>
          <w:sz w:val="28"/>
          <w:szCs w:val="28"/>
          <w:highlight w:val="none"/>
        </w:rPr>
      </w:pPr>
      <w:r>
        <w:rPr>
          <w:rFonts w:hint="eastAsia" w:ascii="宋体" w:hAnsi="宋体" w:eastAsia="宋体" w:cs="宋体"/>
          <w:color w:val="auto"/>
          <w:spacing w:val="0"/>
          <w:sz w:val="28"/>
          <w:szCs w:val="28"/>
          <w:highlight w:val="none"/>
          <w:lang w:val="en-US" w:bidi="en-US"/>
        </w:rPr>
        <w:t xml:space="preserve">　　17.5.4 </w:t>
      </w:r>
      <w:r>
        <w:rPr>
          <w:rFonts w:hint="eastAsia" w:ascii="宋体" w:hAnsi="宋体" w:eastAsia="宋体" w:cs="宋体"/>
          <w:color w:val="auto"/>
          <w:spacing w:val="0"/>
          <w:sz w:val="28"/>
          <w:szCs w:val="28"/>
          <w:highlight w:val="none"/>
        </w:rPr>
        <w:t>承包人应在工程完工后 60 天内提交竣工资料及结算资料。</w:t>
      </w:r>
    </w:p>
    <w:p w14:paraId="2D801D68">
      <w:pPr>
        <w:pStyle w:val="116"/>
        <w:pageBreakBefore w:val="0"/>
        <w:kinsoku/>
        <w:wordWrap/>
        <w:overflowPunct/>
        <w:topLinePunct w:val="0"/>
        <w:bidi w:val="0"/>
        <w:spacing w:beforeLines="0" w:afterLines="0" w:line="500" w:lineRule="exact"/>
        <w:ind w:left="0" w:right="0"/>
        <w:rPr>
          <w:rFonts w:hint="eastAsia" w:ascii="宋体" w:hAnsi="宋体" w:eastAsia="宋体" w:cs="宋体"/>
          <w:color w:val="auto"/>
          <w:spacing w:val="0"/>
          <w:sz w:val="28"/>
          <w:szCs w:val="28"/>
          <w:highlight w:val="none"/>
          <w:lang w:eastAsia="zh-CN" w:bidi="en-US"/>
        </w:rPr>
      </w:pPr>
      <w:bookmarkStart w:id="475" w:name="_Toc20909"/>
      <w:bookmarkStart w:id="476" w:name="_Toc10060"/>
      <w:bookmarkStart w:id="477" w:name="_Toc27389"/>
      <w:bookmarkStart w:id="478" w:name="bookmark1799"/>
      <w:bookmarkStart w:id="479" w:name="bookmark1800"/>
      <w:bookmarkStart w:id="480" w:name="bookmark1802"/>
      <w:bookmarkStart w:id="481" w:name="_Toc478"/>
      <w:r>
        <w:rPr>
          <w:rFonts w:hint="eastAsia" w:ascii="宋体" w:hAnsi="宋体" w:eastAsia="宋体" w:cs="宋体"/>
          <w:color w:val="auto"/>
          <w:spacing w:val="0"/>
          <w:sz w:val="28"/>
          <w:szCs w:val="28"/>
          <w:highlight w:val="none"/>
          <w:lang w:eastAsia="zh-CN" w:bidi="en-US"/>
        </w:rPr>
        <w:t>17.6最终结清</w:t>
      </w:r>
      <w:bookmarkEnd w:id="475"/>
      <w:bookmarkEnd w:id="476"/>
      <w:bookmarkEnd w:id="477"/>
      <w:bookmarkEnd w:id="478"/>
      <w:bookmarkEnd w:id="479"/>
      <w:bookmarkEnd w:id="480"/>
      <w:bookmarkEnd w:id="481"/>
    </w:p>
    <w:p w14:paraId="66E13350">
      <w:pPr>
        <w:pStyle w:val="115"/>
        <w:pageBreakBefore w:val="0"/>
        <w:kinsoku/>
        <w:wordWrap/>
        <w:overflowPunct/>
        <w:topLinePunct w:val="0"/>
        <w:bidi w:val="0"/>
        <w:spacing w:line="500" w:lineRule="exact"/>
        <w:ind w:left="0" w:right="0" w:firstLine="0"/>
        <w:rPr>
          <w:rFonts w:hint="eastAsia" w:ascii="宋体" w:hAnsi="宋体" w:eastAsia="宋体" w:cs="宋体"/>
          <w:color w:val="auto"/>
          <w:spacing w:val="0"/>
          <w:sz w:val="28"/>
          <w:szCs w:val="28"/>
          <w:highlight w:val="none"/>
        </w:rPr>
      </w:pPr>
      <w:r>
        <w:rPr>
          <w:rFonts w:hint="eastAsia" w:ascii="宋体" w:hAnsi="宋体" w:eastAsia="宋体" w:cs="宋体"/>
          <w:color w:val="auto"/>
          <w:spacing w:val="0"/>
          <w:sz w:val="28"/>
          <w:szCs w:val="28"/>
          <w:highlight w:val="none"/>
          <w:lang w:val="en-US" w:bidi="en-US"/>
        </w:rPr>
        <w:t>　　17.6.1</w:t>
      </w:r>
      <w:r>
        <w:rPr>
          <w:rFonts w:hint="eastAsia" w:ascii="宋体" w:hAnsi="宋体" w:eastAsia="宋体" w:cs="宋体"/>
          <w:color w:val="auto"/>
          <w:spacing w:val="0"/>
          <w:sz w:val="28"/>
          <w:szCs w:val="28"/>
          <w:highlight w:val="none"/>
        </w:rPr>
        <w:t>最终结清申请单</w:t>
      </w:r>
    </w:p>
    <w:p w14:paraId="77AF04A8">
      <w:pPr>
        <w:pStyle w:val="115"/>
        <w:pageBreakBefore w:val="0"/>
        <w:tabs>
          <w:tab w:val="left" w:pos="6077"/>
        </w:tabs>
        <w:kinsoku/>
        <w:wordWrap/>
        <w:overflowPunct/>
        <w:topLinePunct w:val="0"/>
        <w:bidi w:val="0"/>
        <w:spacing w:line="500" w:lineRule="exact"/>
        <w:ind w:left="0" w:right="0" w:firstLine="420"/>
        <w:rPr>
          <w:rFonts w:hint="eastAsia" w:ascii="宋体" w:hAnsi="宋体" w:eastAsia="宋体" w:cs="宋体"/>
          <w:color w:val="auto"/>
          <w:spacing w:val="0"/>
          <w:sz w:val="28"/>
          <w:szCs w:val="28"/>
          <w:highlight w:val="none"/>
        </w:rPr>
      </w:pPr>
      <w:r>
        <w:rPr>
          <w:rFonts w:hint="eastAsia" w:ascii="宋体" w:hAnsi="宋体" w:eastAsia="宋体" w:cs="宋体"/>
          <w:color w:val="auto"/>
          <w:spacing w:val="0"/>
          <w:sz w:val="28"/>
          <w:szCs w:val="28"/>
          <w:highlight w:val="none"/>
        </w:rPr>
        <w:t>（1）承包人应提交最终结清申请单份数：</w:t>
      </w:r>
      <w:r>
        <w:rPr>
          <w:rFonts w:hint="eastAsia" w:ascii="宋体" w:hAnsi="宋体" w:eastAsia="宋体" w:cs="宋体"/>
          <w:color w:val="auto"/>
          <w:spacing w:val="0"/>
          <w:sz w:val="28"/>
          <w:szCs w:val="28"/>
          <w:highlight w:val="none"/>
          <w:u w:val="single"/>
        </w:rPr>
        <w:t>一式捌份</w:t>
      </w:r>
      <w:r>
        <w:rPr>
          <w:rFonts w:hint="eastAsia" w:ascii="宋体" w:hAnsi="宋体" w:eastAsia="宋体" w:cs="宋体"/>
          <w:color w:val="auto"/>
          <w:spacing w:val="0"/>
          <w:sz w:val="28"/>
          <w:szCs w:val="28"/>
          <w:highlight w:val="none"/>
          <w:lang w:val="en-US" w:bidi="en-US"/>
        </w:rPr>
        <w:t>。</w:t>
      </w:r>
    </w:p>
    <w:p w14:paraId="649852F2">
      <w:pPr>
        <w:pStyle w:val="116"/>
        <w:pageBreakBefore w:val="0"/>
        <w:kinsoku/>
        <w:wordWrap/>
        <w:overflowPunct/>
        <w:topLinePunct w:val="0"/>
        <w:bidi w:val="0"/>
        <w:spacing w:beforeLines="0" w:afterLines="0" w:line="500" w:lineRule="exact"/>
        <w:ind w:left="0" w:right="0"/>
        <w:rPr>
          <w:rFonts w:hint="eastAsia" w:ascii="宋体" w:hAnsi="宋体" w:eastAsia="宋体" w:cs="宋体"/>
          <w:color w:val="auto"/>
          <w:spacing w:val="0"/>
          <w:sz w:val="28"/>
          <w:szCs w:val="28"/>
          <w:highlight w:val="none"/>
          <w:lang w:eastAsia="zh-CN" w:bidi="en-US"/>
        </w:rPr>
      </w:pPr>
      <w:bookmarkStart w:id="482" w:name="_Toc24290"/>
      <w:bookmarkStart w:id="483" w:name="bookmark1803"/>
      <w:bookmarkStart w:id="484" w:name="bookmark1805"/>
      <w:bookmarkStart w:id="485" w:name="_Toc19422"/>
      <w:bookmarkStart w:id="486" w:name="_Toc32170"/>
      <w:bookmarkStart w:id="487" w:name="_Toc108"/>
      <w:bookmarkStart w:id="488" w:name="bookmark1804"/>
      <w:r>
        <w:rPr>
          <w:rFonts w:hint="eastAsia" w:ascii="宋体" w:hAnsi="宋体" w:eastAsia="宋体" w:cs="宋体"/>
          <w:color w:val="auto"/>
          <w:spacing w:val="0"/>
          <w:sz w:val="28"/>
          <w:szCs w:val="28"/>
          <w:highlight w:val="none"/>
          <w:lang w:eastAsia="zh-CN" w:bidi="en-US"/>
        </w:rPr>
        <w:t>17.7竣工财务决算</w:t>
      </w:r>
      <w:bookmarkEnd w:id="482"/>
      <w:bookmarkEnd w:id="483"/>
      <w:bookmarkEnd w:id="484"/>
      <w:bookmarkEnd w:id="485"/>
      <w:bookmarkEnd w:id="486"/>
      <w:bookmarkEnd w:id="487"/>
      <w:bookmarkEnd w:id="488"/>
    </w:p>
    <w:p w14:paraId="729966BC">
      <w:pPr>
        <w:pStyle w:val="115"/>
        <w:pageBreakBefore w:val="0"/>
        <w:tabs>
          <w:tab w:val="left" w:pos="6264"/>
        </w:tabs>
        <w:kinsoku/>
        <w:wordWrap/>
        <w:overflowPunct/>
        <w:topLinePunct w:val="0"/>
        <w:bidi w:val="0"/>
        <w:spacing w:line="500" w:lineRule="exact"/>
        <w:ind w:left="0" w:right="0" w:firstLine="420"/>
        <w:rPr>
          <w:rFonts w:hint="eastAsia" w:ascii="宋体" w:hAnsi="宋体" w:eastAsia="宋体" w:cs="宋体"/>
          <w:color w:val="auto"/>
          <w:spacing w:val="0"/>
          <w:sz w:val="28"/>
          <w:szCs w:val="28"/>
          <w:highlight w:val="none"/>
        </w:rPr>
      </w:pPr>
      <w:r>
        <w:rPr>
          <w:rFonts w:hint="eastAsia" w:ascii="宋体" w:hAnsi="宋体" w:eastAsia="宋体" w:cs="宋体"/>
          <w:color w:val="auto"/>
          <w:spacing w:val="0"/>
          <w:sz w:val="28"/>
          <w:szCs w:val="28"/>
          <w:highlight w:val="none"/>
        </w:rPr>
        <w:t>承包人应为竣工财务决算编制提供的资料：</w:t>
      </w:r>
      <w:r>
        <w:rPr>
          <w:rFonts w:hint="eastAsia" w:ascii="宋体" w:hAnsi="宋体" w:eastAsia="宋体" w:cs="宋体"/>
          <w:color w:val="auto"/>
          <w:spacing w:val="0"/>
          <w:sz w:val="28"/>
          <w:szCs w:val="28"/>
          <w:highlight w:val="none"/>
          <w:u w:val="single"/>
        </w:rPr>
        <w:t>财务决算所需的一切资料</w:t>
      </w:r>
      <w:r>
        <w:rPr>
          <w:rFonts w:hint="eastAsia" w:ascii="宋体" w:hAnsi="宋体" w:eastAsia="宋体" w:cs="宋体"/>
          <w:color w:val="auto"/>
          <w:spacing w:val="0"/>
          <w:sz w:val="28"/>
          <w:szCs w:val="28"/>
          <w:highlight w:val="none"/>
          <w:lang w:val="en-US" w:bidi="en-US"/>
        </w:rPr>
        <w:t>。</w:t>
      </w:r>
    </w:p>
    <w:p w14:paraId="420F8A71">
      <w:pPr>
        <w:pStyle w:val="116"/>
        <w:pageBreakBefore w:val="0"/>
        <w:kinsoku/>
        <w:wordWrap/>
        <w:overflowPunct/>
        <w:topLinePunct w:val="0"/>
        <w:bidi w:val="0"/>
        <w:spacing w:beforeLines="0" w:afterLines="0" w:line="500" w:lineRule="exact"/>
        <w:ind w:left="0" w:right="0"/>
        <w:rPr>
          <w:rFonts w:hint="eastAsia" w:ascii="宋体" w:hAnsi="宋体" w:eastAsia="宋体" w:cs="宋体"/>
          <w:color w:val="auto"/>
          <w:spacing w:val="0"/>
          <w:sz w:val="28"/>
          <w:szCs w:val="28"/>
          <w:highlight w:val="none"/>
          <w:lang w:eastAsia="zh-CN"/>
        </w:rPr>
      </w:pPr>
      <w:r>
        <w:rPr>
          <w:rFonts w:hint="eastAsia" w:ascii="宋体" w:hAnsi="宋体" w:eastAsia="宋体" w:cs="宋体"/>
          <w:color w:val="auto"/>
          <w:spacing w:val="0"/>
          <w:sz w:val="28"/>
          <w:szCs w:val="28"/>
          <w:highlight w:val="none"/>
          <w:lang w:eastAsia="zh-CN"/>
        </w:rPr>
        <w:t>18. 竣工验收（验收）</w:t>
      </w:r>
      <w:bookmarkEnd w:id="464"/>
      <w:bookmarkEnd w:id="465"/>
      <w:bookmarkEnd w:id="466"/>
      <w:bookmarkEnd w:id="467"/>
      <w:bookmarkEnd w:id="468"/>
      <w:bookmarkEnd w:id="469"/>
      <w:bookmarkEnd w:id="470"/>
      <w:bookmarkEnd w:id="471"/>
      <w:bookmarkEnd w:id="472"/>
      <w:bookmarkEnd w:id="473"/>
    </w:p>
    <w:p w14:paraId="0E5AB6AC">
      <w:pPr>
        <w:pStyle w:val="116"/>
        <w:pageBreakBefore w:val="0"/>
        <w:kinsoku/>
        <w:wordWrap/>
        <w:overflowPunct/>
        <w:topLinePunct w:val="0"/>
        <w:bidi w:val="0"/>
        <w:spacing w:beforeLines="0" w:afterLines="0" w:line="500" w:lineRule="exact"/>
        <w:ind w:left="0" w:right="0"/>
        <w:rPr>
          <w:rFonts w:hint="eastAsia" w:ascii="宋体" w:hAnsi="宋体" w:eastAsia="宋体" w:cs="宋体"/>
          <w:color w:val="auto"/>
          <w:spacing w:val="0"/>
          <w:sz w:val="28"/>
          <w:szCs w:val="28"/>
          <w:highlight w:val="none"/>
          <w:lang w:eastAsia="zh-CN" w:bidi="en-US"/>
        </w:rPr>
      </w:pPr>
      <w:bookmarkStart w:id="489" w:name="_Toc13482"/>
      <w:bookmarkStart w:id="490" w:name="bookmark1812"/>
      <w:bookmarkStart w:id="491" w:name="_Toc22186"/>
      <w:bookmarkStart w:id="492" w:name="bookmark1811"/>
      <w:bookmarkStart w:id="493" w:name="_Toc81"/>
      <w:bookmarkStart w:id="494" w:name="_Toc8240"/>
      <w:bookmarkStart w:id="495" w:name="bookmark1810"/>
      <w:r>
        <w:rPr>
          <w:rFonts w:hint="eastAsia" w:ascii="宋体" w:hAnsi="宋体" w:eastAsia="宋体" w:cs="宋体"/>
          <w:color w:val="auto"/>
          <w:spacing w:val="0"/>
          <w:sz w:val="28"/>
          <w:szCs w:val="28"/>
          <w:highlight w:val="none"/>
          <w:lang w:eastAsia="zh-CN" w:bidi="en-US"/>
        </w:rPr>
        <w:t>18.1验收工作分类</w:t>
      </w:r>
      <w:bookmarkEnd w:id="489"/>
      <w:bookmarkEnd w:id="490"/>
      <w:bookmarkEnd w:id="491"/>
      <w:bookmarkEnd w:id="492"/>
      <w:bookmarkEnd w:id="493"/>
      <w:bookmarkEnd w:id="494"/>
      <w:bookmarkEnd w:id="495"/>
    </w:p>
    <w:p w14:paraId="668BB3BE">
      <w:pPr>
        <w:pStyle w:val="115"/>
        <w:pageBreakBefore w:val="0"/>
        <w:kinsoku/>
        <w:wordWrap/>
        <w:overflowPunct/>
        <w:topLinePunct w:val="0"/>
        <w:bidi w:val="0"/>
        <w:spacing w:line="500" w:lineRule="exact"/>
        <w:ind w:left="0" w:right="0" w:firstLine="0"/>
        <w:jc w:val="both"/>
        <w:rPr>
          <w:rFonts w:hint="eastAsia" w:ascii="宋体" w:hAnsi="宋体" w:eastAsia="宋体" w:cs="宋体"/>
          <w:color w:val="auto"/>
          <w:spacing w:val="0"/>
          <w:sz w:val="28"/>
          <w:szCs w:val="28"/>
          <w:highlight w:val="none"/>
        </w:rPr>
      </w:pPr>
      <w:r>
        <w:rPr>
          <w:rFonts w:hint="eastAsia" w:ascii="宋体" w:hAnsi="宋体" w:eastAsia="宋体" w:cs="宋体"/>
          <w:color w:val="auto"/>
          <w:spacing w:val="0"/>
          <w:sz w:val="28"/>
          <w:szCs w:val="28"/>
          <w:highlight w:val="none"/>
        </w:rPr>
        <w:t>　　根据《水利工程建设项目验收管理规定》（水利部令第30号）和《水利水电建设工程验收规程》</w:t>
      </w:r>
      <w:r>
        <w:rPr>
          <w:rFonts w:hint="eastAsia" w:ascii="宋体" w:hAnsi="宋体" w:eastAsia="宋体" w:cs="宋体"/>
          <w:color w:val="auto"/>
          <w:spacing w:val="0"/>
          <w:sz w:val="28"/>
          <w:szCs w:val="28"/>
          <w:highlight w:val="none"/>
          <w:lang w:val="en-US" w:bidi="en-US"/>
        </w:rPr>
        <w:t>（SL223）2008）</w:t>
      </w:r>
      <w:r>
        <w:rPr>
          <w:rFonts w:hint="eastAsia" w:ascii="宋体" w:hAnsi="宋体" w:eastAsia="宋体" w:cs="宋体"/>
          <w:color w:val="auto"/>
          <w:spacing w:val="0"/>
          <w:sz w:val="28"/>
          <w:szCs w:val="28"/>
          <w:highlight w:val="none"/>
        </w:rPr>
        <w:t>的相关规定执行。</w:t>
      </w:r>
    </w:p>
    <w:p w14:paraId="4CA46156">
      <w:pPr>
        <w:pStyle w:val="116"/>
        <w:pageBreakBefore w:val="0"/>
        <w:kinsoku/>
        <w:wordWrap/>
        <w:overflowPunct/>
        <w:topLinePunct w:val="0"/>
        <w:bidi w:val="0"/>
        <w:spacing w:beforeLines="0" w:afterLines="0" w:line="500" w:lineRule="exact"/>
        <w:ind w:left="0" w:right="0"/>
        <w:rPr>
          <w:rFonts w:hint="eastAsia" w:ascii="宋体" w:hAnsi="宋体" w:eastAsia="宋体" w:cs="宋体"/>
          <w:color w:val="auto"/>
          <w:spacing w:val="0"/>
          <w:sz w:val="28"/>
          <w:szCs w:val="28"/>
          <w:highlight w:val="none"/>
          <w:lang w:eastAsia="zh-CN" w:bidi="en-US"/>
        </w:rPr>
      </w:pPr>
      <w:bookmarkStart w:id="496" w:name="bookmark1813"/>
      <w:bookmarkStart w:id="497" w:name="_Toc24639"/>
      <w:bookmarkStart w:id="498" w:name="_Toc4719"/>
      <w:bookmarkStart w:id="499" w:name="_Toc26914"/>
      <w:bookmarkStart w:id="500" w:name="bookmark1814"/>
      <w:bookmarkStart w:id="501" w:name="bookmark1815"/>
      <w:bookmarkStart w:id="502" w:name="_Toc25695"/>
      <w:bookmarkStart w:id="503" w:name="bookmark1832"/>
      <w:bookmarkStart w:id="504" w:name="bookmark1834"/>
      <w:bookmarkStart w:id="505" w:name="_Toc17742"/>
      <w:bookmarkStart w:id="506" w:name="bookmark1831"/>
      <w:bookmarkStart w:id="507" w:name="_Toc26139"/>
      <w:bookmarkStart w:id="508" w:name="_Toc27504"/>
      <w:bookmarkStart w:id="509" w:name="_Toc13258"/>
      <w:bookmarkStart w:id="510" w:name="_Toc21054"/>
      <w:bookmarkStart w:id="511" w:name="_Toc31214"/>
      <w:bookmarkStart w:id="512" w:name="_Toc24047"/>
      <w:r>
        <w:rPr>
          <w:rFonts w:hint="eastAsia" w:ascii="宋体" w:hAnsi="宋体" w:eastAsia="宋体" w:cs="宋体"/>
          <w:color w:val="auto"/>
          <w:spacing w:val="0"/>
          <w:sz w:val="28"/>
          <w:szCs w:val="28"/>
          <w:highlight w:val="none"/>
          <w:lang w:eastAsia="zh-CN" w:bidi="en-US"/>
        </w:rPr>
        <w:t>18.2分部工程验收</w:t>
      </w:r>
      <w:bookmarkEnd w:id="496"/>
      <w:bookmarkEnd w:id="497"/>
      <w:bookmarkEnd w:id="498"/>
      <w:bookmarkEnd w:id="499"/>
      <w:bookmarkEnd w:id="500"/>
      <w:bookmarkEnd w:id="501"/>
      <w:bookmarkEnd w:id="502"/>
    </w:p>
    <w:p w14:paraId="391B0D44">
      <w:pPr>
        <w:pStyle w:val="115"/>
        <w:pageBreakBefore w:val="0"/>
        <w:tabs>
          <w:tab w:val="left" w:pos="7018"/>
        </w:tabs>
        <w:kinsoku/>
        <w:wordWrap/>
        <w:overflowPunct/>
        <w:topLinePunct w:val="0"/>
        <w:bidi w:val="0"/>
        <w:spacing w:line="500" w:lineRule="exact"/>
        <w:ind w:left="0" w:right="0" w:firstLine="0"/>
        <w:rPr>
          <w:rFonts w:hint="eastAsia" w:ascii="宋体" w:hAnsi="宋体" w:eastAsia="宋体" w:cs="宋体"/>
          <w:color w:val="auto"/>
          <w:spacing w:val="0"/>
          <w:sz w:val="28"/>
          <w:szCs w:val="28"/>
          <w:highlight w:val="none"/>
        </w:rPr>
      </w:pPr>
      <w:r>
        <w:rPr>
          <w:rFonts w:hint="eastAsia" w:ascii="宋体" w:hAnsi="宋体" w:eastAsia="宋体" w:cs="宋体"/>
          <w:color w:val="auto"/>
          <w:spacing w:val="0"/>
          <w:sz w:val="28"/>
          <w:szCs w:val="28"/>
          <w:highlight w:val="none"/>
          <w:lang w:val="en-US" w:bidi="en-US"/>
        </w:rPr>
        <w:t>　　18.2.</w:t>
      </w:r>
      <w:r>
        <w:rPr>
          <w:rFonts w:hint="eastAsia" w:ascii="宋体" w:hAnsi="宋体" w:eastAsia="宋体" w:cs="宋体"/>
          <w:color w:val="auto"/>
          <w:spacing w:val="0"/>
          <w:sz w:val="28"/>
          <w:szCs w:val="28"/>
          <w:highlight w:val="none"/>
        </w:rPr>
        <w:t>2本工程分部工程验收由监理主持。</w:t>
      </w:r>
    </w:p>
    <w:p w14:paraId="3EC16F9D">
      <w:pPr>
        <w:pStyle w:val="116"/>
        <w:pageBreakBefore w:val="0"/>
        <w:kinsoku/>
        <w:wordWrap/>
        <w:overflowPunct/>
        <w:topLinePunct w:val="0"/>
        <w:bidi w:val="0"/>
        <w:spacing w:beforeLines="0" w:afterLines="0" w:line="500" w:lineRule="exact"/>
        <w:ind w:left="0" w:right="0"/>
        <w:rPr>
          <w:rFonts w:hint="eastAsia" w:ascii="宋体" w:hAnsi="宋体" w:eastAsia="宋体" w:cs="宋体"/>
          <w:color w:val="auto"/>
          <w:spacing w:val="0"/>
          <w:sz w:val="28"/>
          <w:szCs w:val="28"/>
          <w:highlight w:val="none"/>
          <w:lang w:eastAsia="zh-CN" w:bidi="en-US"/>
        </w:rPr>
      </w:pPr>
      <w:bookmarkStart w:id="513" w:name="_Toc30981"/>
      <w:bookmarkStart w:id="514" w:name="_Toc6454"/>
      <w:bookmarkStart w:id="515" w:name="bookmark1818"/>
      <w:bookmarkStart w:id="516" w:name="_Toc1527"/>
      <w:bookmarkStart w:id="517" w:name="bookmark1817"/>
      <w:bookmarkStart w:id="518" w:name="bookmark1816"/>
      <w:bookmarkStart w:id="519" w:name="_Toc31874"/>
      <w:r>
        <w:rPr>
          <w:rFonts w:hint="eastAsia" w:ascii="宋体" w:hAnsi="宋体" w:eastAsia="宋体" w:cs="宋体"/>
          <w:color w:val="auto"/>
          <w:spacing w:val="0"/>
          <w:sz w:val="28"/>
          <w:szCs w:val="28"/>
          <w:highlight w:val="none"/>
          <w:lang w:eastAsia="zh-CN" w:bidi="en-US"/>
        </w:rPr>
        <w:t>18.3单位工程验收</w:t>
      </w:r>
      <w:bookmarkEnd w:id="513"/>
      <w:bookmarkEnd w:id="514"/>
      <w:bookmarkEnd w:id="515"/>
      <w:bookmarkEnd w:id="516"/>
      <w:bookmarkEnd w:id="517"/>
      <w:bookmarkEnd w:id="518"/>
      <w:bookmarkEnd w:id="519"/>
    </w:p>
    <w:p w14:paraId="539899C9">
      <w:pPr>
        <w:pStyle w:val="115"/>
        <w:pageBreakBefore w:val="0"/>
        <w:tabs>
          <w:tab w:val="left" w:pos="6036"/>
        </w:tabs>
        <w:kinsoku/>
        <w:wordWrap/>
        <w:overflowPunct/>
        <w:topLinePunct w:val="0"/>
        <w:bidi w:val="0"/>
        <w:spacing w:line="500" w:lineRule="exact"/>
        <w:ind w:left="0" w:right="0" w:firstLine="0"/>
        <w:rPr>
          <w:rFonts w:hint="eastAsia" w:ascii="宋体" w:hAnsi="宋体" w:eastAsia="宋体" w:cs="宋体"/>
          <w:color w:val="auto"/>
          <w:spacing w:val="0"/>
          <w:sz w:val="28"/>
          <w:szCs w:val="28"/>
          <w:highlight w:val="none"/>
        </w:rPr>
      </w:pPr>
      <w:r>
        <w:rPr>
          <w:rFonts w:hint="eastAsia" w:ascii="宋体" w:hAnsi="宋体" w:eastAsia="宋体" w:cs="宋体"/>
          <w:color w:val="auto"/>
          <w:spacing w:val="0"/>
          <w:sz w:val="28"/>
          <w:szCs w:val="28"/>
          <w:highlight w:val="none"/>
          <w:lang w:val="en-US" w:bidi="en-US"/>
        </w:rPr>
        <w:t>　　18.3.4</w:t>
      </w:r>
      <w:r>
        <w:rPr>
          <w:rFonts w:hint="eastAsia" w:ascii="宋体" w:hAnsi="宋体" w:eastAsia="宋体" w:cs="宋体"/>
          <w:color w:val="auto"/>
          <w:spacing w:val="0"/>
          <w:sz w:val="28"/>
          <w:szCs w:val="28"/>
          <w:highlight w:val="none"/>
        </w:rPr>
        <w:t>提前投入使用的单位工程包括：</w:t>
      </w:r>
      <w:r>
        <w:rPr>
          <w:rFonts w:hint="eastAsia" w:ascii="宋体" w:hAnsi="宋体" w:eastAsia="宋体" w:cs="宋体"/>
          <w:color w:val="auto"/>
          <w:spacing w:val="0"/>
          <w:sz w:val="28"/>
          <w:szCs w:val="28"/>
          <w:highlight w:val="none"/>
          <w:u w:val="single"/>
        </w:rPr>
        <w:t>另行商定</w:t>
      </w:r>
      <w:r>
        <w:rPr>
          <w:rFonts w:hint="eastAsia" w:ascii="宋体" w:hAnsi="宋体" w:eastAsia="宋体" w:cs="宋体"/>
          <w:color w:val="auto"/>
          <w:spacing w:val="0"/>
          <w:sz w:val="28"/>
          <w:szCs w:val="28"/>
          <w:highlight w:val="none"/>
          <w:lang w:val="en-US" w:bidi="en-US"/>
        </w:rPr>
        <w:t>。</w:t>
      </w:r>
    </w:p>
    <w:p w14:paraId="42825E2E">
      <w:pPr>
        <w:pStyle w:val="116"/>
        <w:pageBreakBefore w:val="0"/>
        <w:kinsoku/>
        <w:wordWrap/>
        <w:overflowPunct/>
        <w:topLinePunct w:val="0"/>
        <w:bidi w:val="0"/>
        <w:spacing w:beforeLines="0" w:afterLines="0" w:line="500" w:lineRule="exact"/>
        <w:ind w:left="0" w:right="0"/>
        <w:rPr>
          <w:rFonts w:hint="eastAsia" w:ascii="宋体" w:hAnsi="宋体" w:eastAsia="宋体" w:cs="宋体"/>
          <w:color w:val="auto"/>
          <w:spacing w:val="0"/>
          <w:sz w:val="28"/>
          <w:szCs w:val="28"/>
          <w:highlight w:val="none"/>
          <w:lang w:eastAsia="zh-CN" w:bidi="en-US"/>
        </w:rPr>
      </w:pPr>
      <w:bookmarkStart w:id="520" w:name="_Toc25822"/>
      <w:bookmarkStart w:id="521" w:name="bookmark1821"/>
      <w:bookmarkStart w:id="522" w:name="_Toc19256"/>
      <w:bookmarkStart w:id="523" w:name="bookmark1819"/>
      <w:bookmarkStart w:id="524" w:name="_Toc25983"/>
      <w:bookmarkStart w:id="525" w:name="bookmark1820"/>
      <w:bookmarkStart w:id="526" w:name="_Toc9426"/>
      <w:r>
        <w:rPr>
          <w:rFonts w:hint="eastAsia" w:ascii="宋体" w:hAnsi="宋体" w:eastAsia="宋体" w:cs="宋体"/>
          <w:color w:val="auto"/>
          <w:spacing w:val="0"/>
          <w:sz w:val="28"/>
          <w:szCs w:val="28"/>
          <w:highlight w:val="none"/>
          <w:lang w:eastAsia="zh-CN" w:bidi="en-US"/>
        </w:rPr>
        <w:t>18.5阶段验收</w:t>
      </w:r>
      <w:bookmarkEnd w:id="520"/>
      <w:bookmarkEnd w:id="521"/>
      <w:bookmarkEnd w:id="522"/>
      <w:bookmarkEnd w:id="523"/>
      <w:bookmarkEnd w:id="524"/>
      <w:bookmarkEnd w:id="525"/>
      <w:bookmarkEnd w:id="526"/>
    </w:p>
    <w:p w14:paraId="038B01ED">
      <w:pPr>
        <w:pStyle w:val="115"/>
        <w:pageBreakBefore w:val="0"/>
        <w:tabs>
          <w:tab w:val="left" w:pos="6036"/>
        </w:tabs>
        <w:kinsoku/>
        <w:wordWrap/>
        <w:overflowPunct/>
        <w:topLinePunct w:val="0"/>
        <w:bidi w:val="0"/>
        <w:spacing w:line="500" w:lineRule="exact"/>
        <w:ind w:left="0" w:right="0" w:firstLine="0"/>
        <w:rPr>
          <w:rFonts w:hint="eastAsia" w:ascii="宋体" w:hAnsi="宋体" w:eastAsia="宋体" w:cs="宋体"/>
          <w:color w:val="auto"/>
          <w:spacing w:val="0"/>
          <w:sz w:val="28"/>
          <w:szCs w:val="28"/>
          <w:highlight w:val="none"/>
        </w:rPr>
      </w:pPr>
      <w:r>
        <w:rPr>
          <w:rFonts w:hint="eastAsia" w:ascii="宋体" w:hAnsi="宋体" w:eastAsia="宋体" w:cs="宋体"/>
          <w:color w:val="auto"/>
          <w:spacing w:val="0"/>
          <w:sz w:val="28"/>
          <w:szCs w:val="28"/>
          <w:highlight w:val="none"/>
          <w:lang w:val="en-US" w:bidi="en-US"/>
        </w:rPr>
        <w:t>　　18.5.1</w:t>
      </w:r>
      <w:r>
        <w:rPr>
          <w:rFonts w:hint="eastAsia" w:ascii="宋体" w:hAnsi="宋体" w:eastAsia="宋体" w:cs="宋体"/>
          <w:color w:val="auto"/>
          <w:spacing w:val="0"/>
          <w:sz w:val="28"/>
          <w:szCs w:val="28"/>
          <w:highlight w:val="none"/>
        </w:rPr>
        <w:t>本合同工程阶段验收类别包括：</w:t>
      </w:r>
      <w:r>
        <w:rPr>
          <w:rFonts w:hint="eastAsia" w:ascii="宋体" w:hAnsi="宋体" w:eastAsia="宋体" w:cs="宋体"/>
          <w:color w:val="auto"/>
          <w:spacing w:val="0"/>
          <w:sz w:val="28"/>
          <w:szCs w:val="28"/>
          <w:highlight w:val="none"/>
          <w:u w:val="single"/>
        </w:rPr>
        <w:t>另行商定</w:t>
      </w:r>
      <w:r>
        <w:rPr>
          <w:rFonts w:hint="eastAsia" w:ascii="宋体" w:hAnsi="宋体" w:eastAsia="宋体" w:cs="宋体"/>
          <w:color w:val="auto"/>
          <w:spacing w:val="0"/>
          <w:sz w:val="28"/>
          <w:szCs w:val="28"/>
          <w:highlight w:val="none"/>
          <w:lang w:val="en-US" w:bidi="en-US"/>
        </w:rPr>
        <w:t>。</w:t>
      </w:r>
    </w:p>
    <w:p w14:paraId="5F43609B">
      <w:pPr>
        <w:pStyle w:val="116"/>
        <w:pageBreakBefore w:val="0"/>
        <w:kinsoku/>
        <w:wordWrap/>
        <w:overflowPunct/>
        <w:topLinePunct w:val="0"/>
        <w:bidi w:val="0"/>
        <w:spacing w:beforeLines="0" w:afterLines="0" w:line="500" w:lineRule="exact"/>
        <w:ind w:left="0" w:right="0"/>
        <w:rPr>
          <w:rFonts w:hint="eastAsia" w:ascii="宋体" w:hAnsi="宋体" w:eastAsia="宋体" w:cs="宋体"/>
          <w:color w:val="auto"/>
          <w:spacing w:val="0"/>
          <w:sz w:val="28"/>
          <w:szCs w:val="28"/>
          <w:highlight w:val="none"/>
          <w:lang w:eastAsia="zh-CN" w:bidi="en-US"/>
        </w:rPr>
      </w:pPr>
      <w:bookmarkStart w:id="527" w:name="_Toc4908"/>
      <w:bookmarkStart w:id="528" w:name="_Toc23508"/>
      <w:bookmarkStart w:id="529" w:name="bookmark1824"/>
      <w:bookmarkStart w:id="530" w:name="_Toc8081"/>
      <w:bookmarkStart w:id="531" w:name="_Toc18691"/>
      <w:bookmarkStart w:id="532" w:name="bookmark1823"/>
      <w:bookmarkStart w:id="533" w:name="bookmark1822"/>
      <w:r>
        <w:rPr>
          <w:rFonts w:hint="eastAsia" w:ascii="宋体" w:hAnsi="宋体" w:eastAsia="宋体" w:cs="宋体"/>
          <w:color w:val="auto"/>
          <w:spacing w:val="0"/>
          <w:sz w:val="28"/>
          <w:szCs w:val="28"/>
          <w:highlight w:val="none"/>
          <w:lang w:eastAsia="zh-CN" w:bidi="en-US"/>
        </w:rPr>
        <w:t>18.6专项验收</w:t>
      </w:r>
      <w:bookmarkEnd w:id="527"/>
      <w:bookmarkEnd w:id="528"/>
      <w:bookmarkEnd w:id="529"/>
      <w:bookmarkEnd w:id="530"/>
      <w:bookmarkEnd w:id="531"/>
      <w:bookmarkEnd w:id="532"/>
      <w:bookmarkEnd w:id="533"/>
    </w:p>
    <w:p w14:paraId="2943A3DD">
      <w:pPr>
        <w:pStyle w:val="115"/>
        <w:pageBreakBefore w:val="0"/>
        <w:tabs>
          <w:tab w:val="left" w:pos="6036"/>
        </w:tabs>
        <w:kinsoku/>
        <w:wordWrap/>
        <w:overflowPunct/>
        <w:topLinePunct w:val="0"/>
        <w:bidi w:val="0"/>
        <w:spacing w:line="500" w:lineRule="exact"/>
        <w:ind w:left="0" w:right="0" w:firstLine="0"/>
        <w:rPr>
          <w:rFonts w:hint="eastAsia" w:ascii="宋体" w:hAnsi="宋体" w:eastAsia="宋体" w:cs="宋体"/>
          <w:color w:val="auto"/>
          <w:spacing w:val="0"/>
          <w:sz w:val="28"/>
          <w:szCs w:val="28"/>
          <w:highlight w:val="none"/>
          <w:lang w:val="en-US" w:bidi="en-US"/>
        </w:rPr>
      </w:pPr>
      <w:r>
        <w:rPr>
          <w:rFonts w:hint="eastAsia" w:ascii="宋体" w:hAnsi="宋体" w:eastAsia="宋体" w:cs="宋体"/>
          <w:color w:val="auto"/>
          <w:spacing w:val="0"/>
          <w:sz w:val="28"/>
          <w:szCs w:val="28"/>
          <w:highlight w:val="none"/>
          <w:lang w:val="en-US" w:bidi="en-US"/>
        </w:rPr>
        <w:t>　　18.6.2</w:t>
      </w:r>
      <w:r>
        <w:rPr>
          <w:rFonts w:hint="eastAsia" w:ascii="宋体" w:hAnsi="宋体" w:eastAsia="宋体" w:cs="宋体"/>
          <w:color w:val="auto"/>
          <w:spacing w:val="0"/>
          <w:sz w:val="28"/>
          <w:szCs w:val="28"/>
          <w:highlight w:val="none"/>
        </w:rPr>
        <w:t>本合同工程专项验收类别包括：</w:t>
      </w:r>
      <w:r>
        <w:rPr>
          <w:rFonts w:hint="eastAsia" w:ascii="宋体" w:hAnsi="宋体" w:eastAsia="宋体" w:cs="宋体"/>
          <w:color w:val="auto"/>
          <w:spacing w:val="0"/>
          <w:sz w:val="28"/>
          <w:szCs w:val="28"/>
          <w:highlight w:val="none"/>
          <w:u w:val="single"/>
        </w:rPr>
        <w:t>另行商定</w:t>
      </w:r>
      <w:r>
        <w:rPr>
          <w:rFonts w:hint="eastAsia" w:ascii="宋体" w:hAnsi="宋体" w:eastAsia="宋体" w:cs="宋体"/>
          <w:color w:val="auto"/>
          <w:spacing w:val="0"/>
          <w:sz w:val="28"/>
          <w:szCs w:val="28"/>
          <w:highlight w:val="none"/>
          <w:lang w:val="en-US" w:bidi="en-US"/>
        </w:rPr>
        <w:t>。</w:t>
      </w:r>
    </w:p>
    <w:p w14:paraId="7CA01395">
      <w:pPr>
        <w:pStyle w:val="116"/>
        <w:pageBreakBefore w:val="0"/>
        <w:kinsoku/>
        <w:wordWrap/>
        <w:overflowPunct/>
        <w:topLinePunct w:val="0"/>
        <w:bidi w:val="0"/>
        <w:spacing w:beforeLines="0" w:afterLines="0" w:line="500" w:lineRule="exact"/>
        <w:ind w:left="0" w:right="0"/>
        <w:rPr>
          <w:rFonts w:hint="eastAsia" w:ascii="宋体" w:hAnsi="宋体" w:eastAsia="宋体" w:cs="宋体"/>
          <w:color w:val="auto"/>
          <w:spacing w:val="0"/>
          <w:sz w:val="28"/>
          <w:szCs w:val="28"/>
          <w:highlight w:val="none"/>
          <w:lang w:eastAsia="zh-CN"/>
        </w:rPr>
      </w:pPr>
      <w:bookmarkStart w:id="534" w:name="_Toc17547"/>
      <w:bookmarkStart w:id="535" w:name="_Toc24535"/>
      <w:bookmarkStart w:id="536" w:name="_Toc4680"/>
      <w:bookmarkStart w:id="537" w:name="_Toc13968"/>
      <w:r>
        <w:rPr>
          <w:rFonts w:hint="eastAsia" w:ascii="宋体" w:hAnsi="宋体" w:eastAsia="宋体" w:cs="宋体"/>
          <w:color w:val="auto"/>
          <w:spacing w:val="0"/>
          <w:sz w:val="28"/>
          <w:szCs w:val="28"/>
          <w:highlight w:val="none"/>
          <w:lang w:eastAsia="zh-CN" w:bidi="en-US"/>
        </w:rPr>
        <w:t>18.7 竣工验收</w:t>
      </w:r>
      <w:bookmarkEnd w:id="534"/>
      <w:bookmarkEnd w:id="535"/>
      <w:bookmarkEnd w:id="536"/>
      <w:bookmarkEnd w:id="537"/>
    </w:p>
    <w:p w14:paraId="3AFB6222">
      <w:pPr>
        <w:pageBreakBefore w:val="0"/>
        <w:kinsoku/>
        <w:wordWrap/>
        <w:overflowPunct/>
        <w:topLinePunct w:val="0"/>
        <w:bidi w:val="0"/>
        <w:spacing w:line="500" w:lineRule="exact"/>
        <w:ind w:left="0" w:right="0"/>
        <w:rPr>
          <w:rFonts w:hint="eastAsia" w:ascii="宋体" w:hAnsi="宋体" w:eastAsia="宋体" w:cs="宋体"/>
          <w:color w:val="auto"/>
          <w:spacing w:val="0"/>
          <w:sz w:val="28"/>
          <w:szCs w:val="28"/>
          <w:highlight w:val="none"/>
          <w:lang w:bidi="en-US"/>
        </w:rPr>
      </w:pPr>
      <w:r>
        <w:rPr>
          <w:rFonts w:hint="eastAsia" w:ascii="宋体" w:hAnsi="宋体" w:eastAsia="宋体" w:cs="宋体"/>
          <w:color w:val="auto"/>
          <w:spacing w:val="0"/>
          <w:sz w:val="28"/>
          <w:szCs w:val="28"/>
          <w:highlight w:val="none"/>
        </w:rPr>
        <w:t>　　18.7.3 本工程不需要竣工验收技术鉴定。</w:t>
      </w:r>
    </w:p>
    <w:p w14:paraId="57EEBBDE">
      <w:pPr>
        <w:pStyle w:val="116"/>
        <w:pageBreakBefore w:val="0"/>
        <w:kinsoku/>
        <w:wordWrap/>
        <w:overflowPunct/>
        <w:topLinePunct w:val="0"/>
        <w:bidi w:val="0"/>
        <w:spacing w:beforeLines="0" w:afterLines="0" w:line="500" w:lineRule="exact"/>
        <w:ind w:left="0" w:right="0"/>
        <w:rPr>
          <w:rFonts w:hint="eastAsia" w:ascii="宋体" w:hAnsi="宋体" w:eastAsia="宋体" w:cs="宋体"/>
          <w:color w:val="auto"/>
          <w:spacing w:val="0"/>
          <w:sz w:val="28"/>
          <w:szCs w:val="28"/>
          <w:highlight w:val="none"/>
          <w:lang w:eastAsia="zh-CN" w:bidi="en-US"/>
        </w:rPr>
      </w:pPr>
      <w:bookmarkStart w:id="538" w:name="bookmark1826"/>
      <w:bookmarkStart w:id="539" w:name="_Toc6953"/>
      <w:bookmarkStart w:id="540" w:name="_Toc14607"/>
      <w:bookmarkStart w:id="541" w:name="bookmark1827"/>
      <w:bookmarkStart w:id="542" w:name="bookmark1825"/>
      <w:bookmarkStart w:id="543" w:name="_Toc21374"/>
      <w:bookmarkStart w:id="544" w:name="_Toc29962"/>
      <w:r>
        <w:rPr>
          <w:rFonts w:hint="eastAsia" w:ascii="宋体" w:hAnsi="宋体" w:eastAsia="宋体" w:cs="宋体"/>
          <w:color w:val="auto"/>
          <w:spacing w:val="0"/>
          <w:sz w:val="28"/>
          <w:szCs w:val="28"/>
          <w:highlight w:val="none"/>
          <w:lang w:eastAsia="zh-CN" w:bidi="en-US"/>
        </w:rPr>
        <w:t>18.8施工期运行</w:t>
      </w:r>
      <w:bookmarkEnd w:id="538"/>
      <w:bookmarkEnd w:id="539"/>
      <w:bookmarkEnd w:id="540"/>
      <w:bookmarkEnd w:id="541"/>
      <w:bookmarkEnd w:id="542"/>
      <w:bookmarkEnd w:id="543"/>
      <w:bookmarkEnd w:id="544"/>
    </w:p>
    <w:p w14:paraId="20985B3B">
      <w:pPr>
        <w:pStyle w:val="115"/>
        <w:pageBreakBefore w:val="0"/>
        <w:tabs>
          <w:tab w:val="left" w:pos="7296"/>
        </w:tabs>
        <w:kinsoku/>
        <w:wordWrap/>
        <w:overflowPunct/>
        <w:topLinePunct w:val="0"/>
        <w:bidi w:val="0"/>
        <w:spacing w:line="500" w:lineRule="exact"/>
        <w:ind w:left="0" w:right="0" w:firstLine="0"/>
        <w:rPr>
          <w:rFonts w:hint="eastAsia" w:ascii="宋体" w:hAnsi="宋体" w:eastAsia="宋体" w:cs="宋体"/>
          <w:color w:val="auto"/>
          <w:spacing w:val="0"/>
          <w:sz w:val="28"/>
          <w:szCs w:val="28"/>
          <w:highlight w:val="none"/>
          <w:lang w:val="en-US" w:bidi="en-US"/>
        </w:rPr>
      </w:pPr>
      <w:r>
        <w:rPr>
          <w:rFonts w:hint="eastAsia" w:ascii="宋体" w:hAnsi="宋体" w:eastAsia="宋体" w:cs="宋体"/>
          <w:color w:val="auto"/>
          <w:spacing w:val="0"/>
          <w:sz w:val="28"/>
          <w:szCs w:val="28"/>
          <w:highlight w:val="none"/>
          <w:lang w:val="en-US" w:bidi="en-US"/>
        </w:rPr>
        <w:t>　　18.8.1</w:t>
      </w:r>
      <w:r>
        <w:rPr>
          <w:rFonts w:hint="eastAsia" w:ascii="宋体" w:hAnsi="宋体" w:eastAsia="宋体" w:cs="宋体"/>
          <w:color w:val="auto"/>
          <w:spacing w:val="0"/>
          <w:sz w:val="28"/>
          <w:szCs w:val="28"/>
          <w:highlight w:val="none"/>
        </w:rPr>
        <w:t>需要在施工期运行的单位工程或工程设备为：</w:t>
      </w:r>
      <w:r>
        <w:rPr>
          <w:rFonts w:hint="eastAsia" w:ascii="宋体" w:hAnsi="宋体" w:eastAsia="宋体" w:cs="宋体"/>
          <w:color w:val="auto"/>
          <w:spacing w:val="0"/>
          <w:sz w:val="28"/>
          <w:szCs w:val="28"/>
          <w:highlight w:val="none"/>
          <w:u w:val="single"/>
        </w:rPr>
        <w:t>另行商定</w:t>
      </w:r>
      <w:r>
        <w:rPr>
          <w:rFonts w:hint="eastAsia" w:ascii="宋体" w:hAnsi="宋体" w:eastAsia="宋体" w:cs="宋体"/>
          <w:color w:val="auto"/>
          <w:spacing w:val="0"/>
          <w:sz w:val="28"/>
          <w:szCs w:val="28"/>
          <w:highlight w:val="none"/>
          <w:lang w:val="en-US" w:bidi="en-US"/>
        </w:rPr>
        <w:t>。</w:t>
      </w:r>
    </w:p>
    <w:p w14:paraId="20032736">
      <w:pPr>
        <w:pStyle w:val="116"/>
        <w:pageBreakBefore w:val="0"/>
        <w:kinsoku/>
        <w:wordWrap/>
        <w:overflowPunct/>
        <w:topLinePunct w:val="0"/>
        <w:bidi w:val="0"/>
        <w:spacing w:beforeLines="0" w:afterLines="0" w:line="500" w:lineRule="exact"/>
        <w:ind w:left="0" w:right="0"/>
        <w:rPr>
          <w:rFonts w:hint="eastAsia" w:ascii="宋体" w:hAnsi="宋体" w:eastAsia="宋体" w:cs="宋体"/>
          <w:color w:val="auto"/>
          <w:spacing w:val="0"/>
          <w:sz w:val="28"/>
          <w:szCs w:val="28"/>
          <w:highlight w:val="none"/>
          <w:lang w:eastAsia="zh-CN" w:bidi="en-US"/>
        </w:rPr>
      </w:pPr>
      <w:bookmarkStart w:id="545" w:name="_Toc12310"/>
      <w:bookmarkStart w:id="546" w:name="_Toc32235"/>
      <w:bookmarkStart w:id="547" w:name="bookmark1830"/>
      <w:bookmarkStart w:id="548" w:name="bookmark1828"/>
      <w:bookmarkStart w:id="549" w:name="_Toc25324"/>
      <w:bookmarkStart w:id="550" w:name="_Toc993"/>
      <w:bookmarkStart w:id="551" w:name="bookmark1829"/>
      <w:r>
        <w:rPr>
          <w:rFonts w:hint="eastAsia" w:ascii="宋体" w:hAnsi="宋体" w:eastAsia="宋体" w:cs="宋体"/>
          <w:color w:val="auto"/>
          <w:spacing w:val="0"/>
          <w:sz w:val="28"/>
          <w:szCs w:val="28"/>
          <w:highlight w:val="none"/>
          <w:lang w:eastAsia="zh-CN" w:bidi="en-US"/>
        </w:rPr>
        <w:t>18.9试运行</w:t>
      </w:r>
      <w:bookmarkEnd w:id="545"/>
      <w:bookmarkEnd w:id="546"/>
      <w:bookmarkEnd w:id="547"/>
      <w:bookmarkEnd w:id="548"/>
      <w:bookmarkEnd w:id="549"/>
      <w:bookmarkEnd w:id="550"/>
      <w:bookmarkEnd w:id="551"/>
    </w:p>
    <w:p w14:paraId="370A9BC9">
      <w:pPr>
        <w:pStyle w:val="115"/>
        <w:pageBreakBefore w:val="0"/>
        <w:tabs>
          <w:tab w:val="left" w:pos="4570"/>
          <w:tab w:val="left" w:pos="7697"/>
        </w:tabs>
        <w:kinsoku/>
        <w:wordWrap/>
        <w:overflowPunct/>
        <w:topLinePunct w:val="0"/>
        <w:bidi w:val="0"/>
        <w:spacing w:line="500" w:lineRule="exact"/>
        <w:ind w:left="0" w:right="0" w:firstLine="0"/>
        <w:rPr>
          <w:rFonts w:hint="eastAsia" w:ascii="宋体" w:hAnsi="宋体" w:eastAsia="宋体" w:cs="宋体"/>
          <w:color w:val="auto"/>
          <w:spacing w:val="0"/>
          <w:sz w:val="28"/>
          <w:szCs w:val="28"/>
          <w:highlight w:val="none"/>
        </w:rPr>
      </w:pPr>
      <w:r>
        <w:rPr>
          <w:rFonts w:hint="eastAsia" w:ascii="宋体" w:hAnsi="宋体" w:eastAsia="宋体" w:cs="宋体"/>
          <w:color w:val="auto"/>
          <w:spacing w:val="0"/>
          <w:sz w:val="28"/>
          <w:szCs w:val="28"/>
          <w:highlight w:val="none"/>
          <w:lang w:val="en-US" w:bidi="en-US"/>
        </w:rPr>
        <w:t>　　18. 9.1</w:t>
      </w:r>
      <w:r>
        <w:rPr>
          <w:rFonts w:hint="eastAsia" w:ascii="宋体" w:hAnsi="宋体" w:eastAsia="宋体" w:cs="宋体"/>
          <w:color w:val="auto"/>
          <w:spacing w:val="0"/>
          <w:sz w:val="28"/>
          <w:szCs w:val="28"/>
          <w:highlight w:val="none"/>
        </w:rPr>
        <w:t>试运行的组织：</w:t>
      </w:r>
      <w:r>
        <w:rPr>
          <w:rFonts w:hint="eastAsia" w:ascii="宋体" w:hAnsi="宋体" w:eastAsia="宋体" w:cs="宋体"/>
          <w:color w:val="auto"/>
          <w:spacing w:val="0"/>
          <w:sz w:val="28"/>
          <w:szCs w:val="28"/>
          <w:highlight w:val="none"/>
          <w:u w:val="single"/>
          <w:lang w:val="en-US"/>
        </w:rPr>
        <w:t>/</w:t>
      </w:r>
      <w:r>
        <w:rPr>
          <w:rFonts w:hint="eastAsia" w:ascii="宋体" w:hAnsi="宋体" w:eastAsia="宋体" w:cs="宋体"/>
          <w:color w:val="auto"/>
          <w:spacing w:val="0"/>
          <w:sz w:val="28"/>
          <w:szCs w:val="28"/>
          <w:highlight w:val="none"/>
        </w:rPr>
        <w:t>；费用承担：</w:t>
      </w:r>
      <w:bookmarkStart w:id="552" w:name="bookmark1833"/>
      <w:bookmarkEnd w:id="552"/>
      <w:r>
        <w:rPr>
          <w:rFonts w:hint="eastAsia" w:ascii="宋体" w:hAnsi="宋体" w:eastAsia="宋体" w:cs="宋体"/>
          <w:color w:val="auto"/>
          <w:spacing w:val="0"/>
          <w:sz w:val="28"/>
          <w:szCs w:val="28"/>
          <w:highlight w:val="none"/>
          <w:u w:val="single"/>
          <w:lang w:val="en-US"/>
        </w:rPr>
        <w:t>/</w:t>
      </w:r>
      <w:r>
        <w:rPr>
          <w:rFonts w:hint="eastAsia" w:ascii="宋体" w:hAnsi="宋体" w:eastAsia="宋体" w:cs="宋体"/>
          <w:color w:val="auto"/>
          <w:spacing w:val="0"/>
          <w:sz w:val="28"/>
          <w:szCs w:val="28"/>
          <w:highlight w:val="none"/>
        </w:rPr>
        <w:t>。</w:t>
      </w:r>
    </w:p>
    <w:p w14:paraId="3AFB75F4">
      <w:pPr>
        <w:pStyle w:val="116"/>
        <w:pageBreakBefore w:val="0"/>
        <w:kinsoku/>
        <w:wordWrap/>
        <w:overflowPunct/>
        <w:topLinePunct w:val="0"/>
        <w:bidi w:val="0"/>
        <w:spacing w:beforeLines="0" w:afterLines="0" w:line="500" w:lineRule="exact"/>
        <w:ind w:left="0" w:right="0"/>
        <w:rPr>
          <w:rFonts w:hint="eastAsia" w:ascii="宋体" w:hAnsi="宋体" w:eastAsia="宋体" w:cs="宋体"/>
          <w:color w:val="auto"/>
          <w:spacing w:val="0"/>
          <w:sz w:val="28"/>
          <w:szCs w:val="28"/>
          <w:highlight w:val="none"/>
          <w:lang w:eastAsia="zh-CN"/>
        </w:rPr>
      </w:pPr>
      <w:r>
        <w:rPr>
          <w:rFonts w:hint="eastAsia" w:ascii="宋体" w:hAnsi="宋体" w:eastAsia="宋体" w:cs="宋体"/>
          <w:color w:val="auto"/>
          <w:spacing w:val="0"/>
          <w:sz w:val="28"/>
          <w:szCs w:val="28"/>
          <w:highlight w:val="none"/>
          <w:lang w:eastAsia="zh-CN"/>
        </w:rPr>
        <w:t>19. 缺陷责任与保修责任</w:t>
      </w:r>
      <w:bookmarkEnd w:id="503"/>
      <w:bookmarkEnd w:id="504"/>
      <w:bookmarkEnd w:id="505"/>
      <w:bookmarkEnd w:id="506"/>
      <w:bookmarkEnd w:id="507"/>
      <w:bookmarkEnd w:id="508"/>
      <w:bookmarkEnd w:id="509"/>
      <w:bookmarkEnd w:id="510"/>
      <w:bookmarkEnd w:id="511"/>
      <w:bookmarkEnd w:id="512"/>
    </w:p>
    <w:p w14:paraId="0611541F">
      <w:pPr>
        <w:pStyle w:val="116"/>
        <w:pageBreakBefore w:val="0"/>
        <w:kinsoku/>
        <w:wordWrap/>
        <w:overflowPunct/>
        <w:topLinePunct w:val="0"/>
        <w:bidi w:val="0"/>
        <w:spacing w:beforeLines="0" w:afterLines="0" w:line="500" w:lineRule="exact"/>
        <w:ind w:left="0" w:right="0"/>
        <w:rPr>
          <w:rFonts w:hint="eastAsia" w:ascii="宋体" w:hAnsi="宋体" w:eastAsia="宋体" w:cs="宋体"/>
          <w:color w:val="auto"/>
          <w:spacing w:val="0"/>
          <w:sz w:val="28"/>
          <w:szCs w:val="28"/>
          <w:highlight w:val="none"/>
          <w:lang w:eastAsia="zh-CN" w:bidi="en-US"/>
        </w:rPr>
      </w:pPr>
      <w:bookmarkStart w:id="553" w:name="_Toc22207"/>
      <w:bookmarkStart w:id="554" w:name="_Toc28369"/>
      <w:bookmarkStart w:id="555" w:name="_Toc27018"/>
      <w:bookmarkStart w:id="556" w:name="_Toc22862"/>
      <w:bookmarkStart w:id="557" w:name="bookmark1836"/>
      <w:bookmarkStart w:id="558" w:name="bookmark1835"/>
      <w:bookmarkStart w:id="559" w:name="bookmark1837"/>
      <w:r>
        <w:rPr>
          <w:rFonts w:hint="eastAsia" w:ascii="宋体" w:hAnsi="宋体" w:eastAsia="宋体" w:cs="宋体"/>
          <w:color w:val="auto"/>
          <w:spacing w:val="0"/>
          <w:sz w:val="28"/>
          <w:szCs w:val="28"/>
          <w:highlight w:val="none"/>
          <w:lang w:eastAsia="zh-CN" w:bidi="en-US"/>
        </w:rPr>
        <w:t>19.1缺陷责任期（工程质量保修期）的起算时间</w:t>
      </w:r>
      <w:bookmarkEnd w:id="553"/>
      <w:bookmarkEnd w:id="554"/>
      <w:bookmarkEnd w:id="555"/>
      <w:bookmarkEnd w:id="556"/>
      <w:bookmarkEnd w:id="557"/>
      <w:bookmarkEnd w:id="558"/>
      <w:bookmarkEnd w:id="559"/>
    </w:p>
    <w:p w14:paraId="4A41C4A5">
      <w:pPr>
        <w:pStyle w:val="115"/>
        <w:pageBreakBefore w:val="0"/>
        <w:kinsoku/>
        <w:wordWrap/>
        <w:overflowPunct/>
        <w:topLinePunct w:val="0"/>
        <w:bidi w:val="0"/>
        <w:spacing w:line="500" w:lineRule="exact"/>
        <w:ind w:left="0" w:right="0" w:firstLine="0"/>
        <w:jc w:val="both"/>
        <w:rPr>
          <w:rFonts w:hint="eastAsia" w:ascii="宋体" w:hAnsi="宋体" w:eastAsia="宋体" w:cs="宋体"/>
          <w:color w:val="auto"/>
          <w:spacing w:val="0"/>
          <w:sz w:val="28"/>
          <w:szCs w:val="28"/>
          <w:highlight w:val="none"/>
        </w:rPr>
      </w:pPr>
      <w:r>
        <w:rPr>
          <w:rFonts w:hint="eastAsia" w:ascii="宋体" w:hAnsi="宋体" w:eastAsia="宋体" w:cs="宋体"/>
          <w:color w:val="auto"/>
          <w:spacing w:val="0"/>
          <w:sz w:val="28"/>
          <w:szCs w:val="28"/>
          <w:highlight w:val="none"/>
        </w:rPr>
        <w:t>　　从合同工程完工验收合格后开始计算。</w:t>
      </w:r>
    </w:p>
    <w:p w14:paraId="5357BD90">
      <w:pPr>
        <w:pStyle w:val="116"/>
        <w:pageBreakBefore w:val="0"/>
        <w:kinsoku/>
        <w:wordWrap/>
        <w:overflowPunct/>
        <w:topLinePunct w:val="0"/>
        <w:bidi w:val="0"/>
        <w:spacing w:beforeLines="0" w:afterLines="0" w:line="500" w:lineRule="exact"/>
        <w:ind w:left="0" w:right="0"/>
        <w:rPr>
          <w:rFonts w:hint="eastAsia" w:ascii="宋体" w:hAnsi="宋体" w:eastAsia="宋体" w:cs="宋体"/>
          <w:color w:val="auto"/>
          <w:spacing w:val="0"/>
          <w:sz w:val="28"/>
          <w:szCs w:val="28"/>
          <w:highlight w:val="none"/>
          <w:lang w:eastAsia="zh-CN"/>
        </w:rPr>
      </w:pPr>
      <w:bookmarkStart w:id="560" w:name="bookmark1840"/>
      <w:bookmarkEnd w:id="560"/>
      <w:bookmarkStart w:id="561" w:name="_Toc27083"/>
      <w:bookmarkStart w:id="562" w:name="_Toc657"/>
      <w:bookmarkStart w:id="563" w:name="_Toc17664"/>
      <w:bookmarkStart w:id="564" w:name="_Toc25982"/>
      <w:bookmarkStart w:id="565" w:name="_Toc5968"/>
      <w:bookmarkStart w:id="566" w:name="_Toc3197"/>
      <w:bookmarkStart w:id="567" w:name="_Toc23002"/>
      <w:bookmarkStart w:id="568" w:name="_Toc14651"/>
      <w:bookmarkStart w:id="569" w:name="_Toc5944"/>
      <w:bookmarkStart w:id="570" w:name="_Toc615"/>
      <w:bookmarkStart w:id="571" w:name="bookmark1841"/>
      <w:bookmarkStart w:id="572" w:name="_Toc14645"/>
      <w:bookmarkStart w:id="573" w:name="bookmark1838"/>
      <w:bookmarkStart w:id="574" w:name="bookmark1839"/>
      <w:r>
        <w:rPr>
          <w:rFonts w:hint="eastAsia" w:ascii="宋体" w:hAnsi="宋体" w:eastAsia="宋体" w:cs="宋体"/>
          <w:color w:val="auto"/>
          <w:spacing w:val="0"/>
          <w:sz w:val="28"/>
          <w:szCs w:val="28"/>
          <w:highlight w:val="none"/>
          <w:lang w:eastAsia="zh-CN" w:bidi="en-US"/>
        </w:rPr>
        <w:t>19.7 保修责任</w:t>
      </w:r>
      <w:bookmarkEnd w:id="561"/>
      <w:bookmarkEnd w:id="562"/>
      <w:bookmarkEnd w:id="563"/>
      <w:bookmarkEnd w:id="564"/>
    </w:p>
    <w:p w14:paraId="49C60551">
      <w:pPr>
        <w:pageBreakBefore w:val="0"/>
        <w:kinsoku/>
        <w:wordWrap/>
        <w:overflowPunct/>
        <w:topLinePunct w:val="0"/>
        <w:bidi w:val="0"/>
        <w:spacing w:line="500" w:lineRule="exact"/>
        <w:ind w:left="0" w:right="0"/>
        <w:rPr>
          <w:rFonts w:hint="eastAsia" w:ascii="宋体" w:hAnsi="宋体" w:eastAsia="宋体" w:cs="宋体"/>
          <w:color w:val="auto"/>
          <w:spacing w:val="0"/>
          <w:sz w:val="28"/>
          <w:szCs w:val="28"/>
          <w:highlight w:val="none"/>
        </w:rPr>
      </w:pPr>
      <w:r>
        <w:rPr>
          <w:rFonts w:hint="eastAsia" w:ascii="宋体" w:hAnsi="宋体" w:eastAsia="宋体" w:cs="宋体"/>
          <w:color w:val="auto"/>
          <w:spacing w:val="0"/>
          <w:sz w:val="28"/>
          <w:szCs w:val="28"/>
          <w:highlight w:val="none"/>
        </w:rPr>
        <w:t>　　本合同工程的保修期为：</w:t>
      </w:r>
      <w:r>
        <w:rPr>
          <w:rFonts w:hint="eastAsia" w:ascii="宋体" w:hAnsi="宋体" w:eastAsia="宋体" w:cs="宋体"/>
          <w:color w:val="auto"/>
          <w:spacing w:val="0"/>
          <w:sz w:val="28"/>
          <w:szCs w:val="28"/>
          <w:highlight w:val="none"/>
          <w:u w:val="single"/>
        </w:rPr>
        <w:t>1年</w:t>
      </w:r>
      <w:r>
        <w:rPr>
          <w:rFonts w:hint="eastAsia" w:ascii="宋体" w:hAnsi="宋体" w:eastAsia="宋体" w:cs="宋体"/>
          <w:color w:val="auto"/>
          <w:spacing w:val="0"/>
          <w:sz w:val="28"/>
          <w:szCs w:val="28"/>
          <w:highlight w:val="none"/>
        </w:rPr>
        <w:t>。</w:t>
      </w:r>
    </w:p>
    <w:p w14:paraId="27AC493E">
      <w:pPr>
        <w:pageBreakBefore w:val="0"/>
        <w:kinsoku/>
        <w:wordWrap/>
        <w:overflowPunct/>
        <w:topLinePunct w:val="0"/>
        <w:bidi w:val="0"/>
        <w:spacing w:line="500" w:lineRule="exact"/>
        <w:ind w:left="0" w:right="0"/>
        <w:rPr>
          <w:rFonts w:hint="eastAsia" w:ascii="宋体" w:hAnsi="宋体" w:eastAsia="宋体" w:cs="宋体"/>
          <w:color w:val="auto"/>
          <w:spacing w:val="0"/>
          <w:sz w:val="28"/>
          <w:szCs w:val="28"/>
          <w:highlight w:val="none"/>
        </w:rPr>
      </w:pPr>
      <w:r>
        <w:rPr>
          <w:rFonts w:hint="eastAsia" w:ascii="宋体" w:hAnsi="宋体" w:eastAsia="宋体" w:cs="宋体"/>
          <w:color w:val="auto"/>
          <w:spacing w:val="0"/>
          <w:sz w:val="28"/>
          <w:szCs w:val="28"/>
          <w:highlight w:val="none"/>
        </w:rPr>
        <w:t>　　保修范围：</w:t>
      </w:r>
      <w:r>
        <w:rPr>
          <w:rFonts w:hint="eastAsia" w:ascii="宋体" w:hAnsi="宋体" w:eastAsia="宋体" w:cs="宋体"/>
          <w:color w:val="auto"/>
          <w:spacing w:val="0"/>
          <w:sz w:val="28"/>
          <w:szCs w:val="28"/>
          <w:highlight w:val="none"/>
          <w:u w:val="single"/>
        </w:rPr>
        <w:t>合同工程全部内容</w:t>
      </w:r>
      <w:r>
        <w:rPr>
          <w:rFonts w:hint="eastAsia" w:ascii="宋体" w:hAnsi="宋体" w:eastAsia="宋体" w:cs="宋体"/>
          <w:color w:val="auto"/>
          <w:spacing w:val="0"/>
          <w:sz w:val="28"/>
          <w:szCs w:val="28"/>
          <w:highlight w:val="none"/>
        </w:rPr>
        <w:t>。</w:t>
      </w:r>
    </w:p>
    <w:p w14:paraId="2EB72282">
      <w:pPr>
        <w:pageBreakBefore w:val="0"/>
        <w:kinsoku/>
        <w:wordWrap/>
        <w:overflowPunct/>
        <w:topLinePunct w:val="0"/>
        <w:bidi w:val="0"/>
        <w:spacing w:line="500" w:lineRule="exact"/>
        <w:ind w:left="0" w:right="0"/>
        <w:rPr>
          <w:rFonts w:hint="eastAsia" w:ascii="宋体" w:hAnsi="宋体" w:eastAsia="宋体" w:cs="宋体"/>
          <w:color w:val="auto"/>
          <w:spacing w:val="0"/>
          <w:sz w:val="28"/>
          <w:szCs w:val="28"/>
          <w:highlight w:val="none"/>
        </w:rPr>
      </w:pPr>
      <w:r>
        <w:rPr>
          <w:rFonts w:hint="eastAsia" w:ascii="宋体" w:hAnsi="宋体" w:eastAsia="宋体" w:cs="宋体"/>
          <w:color w:val="auto"/>
          <w:spacing w:val="0"/>
          <w:sz w:val="28"/>
          <w:szCs w:val="28"/>
          <w:highlight w:val="none"/>
        </w:rPr>
        <w:t>　　保修责任：</w:t>
      </w:r>
      <w:r>
        <w:rPr>
          <w:rFonts w:hint="eastAsia" w:ascii="宋体" w:hAnsi="宋体" w:eastAsia="宋体" w:cs="宋体"/>
          <w:color w:val="auto"/>
          <w:spacing w:val="0"/>
          <w:sz w:val="28"/>
          <w:szCs w:val="28"/>
          <w:highlight w:val="none"/>
          <w:u w:val="single"/>
        </w:rPr>
        <w:t>由承包人负责并承担相关的一切费用</w:t>
      </w:r>
      <w:r>
        <w:rPr>
          <w:rFonts w:hint="eastAsia" w:ascii="宋体" w:hAnsi="宋体" w:eastAsia="宋体" w:cs="宋体"/>
          <w:color w:val="auto"/>
          <w:spacing w:val="0"/>
          <w:sz w:val="28"/>
          <w:szCs w:val="28"/>
          <w:highlight w:val="none"/>
        </w:rPr>
        <w:t>。</w:t>
      </w:r>
    </w:p>
    <w:p w14:paraId="39FC4F21">
      <w:pPr>
        <w:pStyle w:val="116"/>
        <w:pageBreakBefore w:val="0"/>
        <w:kinsoku/>
        <w:wordWrap/>
        <w:overflowPunct/>
        <w:topLinePunct w:val="0"/>
        <w:bidi w:val="0"/>
        <w:spacing w:beforeLines="0" w:afterLines="0" w:line="500" w:lineRule="exact"/>
        <w:ind w:left="0" w:right="0"/>
        <w:rPr>
          <w:rFonts w:hint="eastAsia" w:ascii="宋体" w:hAnsi="宋体" w:eastAsia="宋体" w:cs="宋体"/>
          <w:color w:val="auto"/>
          <w:spacing w:val="0"/>
          <w:sz w:val="28"/>
          <w:szCs w:val="28"/>
          <w:highlight w:val="none"/>
          <w:lang w:eastAsia="zh-CN"/>
        </w:rPr>
      </w:pPr>
      <w:r>
        <w:rPr>
          <w:rFonts w:hint="eastAsia" w:ascii="宋体" w:hAnsi="宋体" w:eastAsia="宋体" w:cs="宋体"/>
          <w:color w:val="auto"/>
          <w:spacing w:val="0"/>
          <w:sz w:val="28"/>
          <w:szCs w:val="28"/>
          <w:highlight w:val="none"/>
          <w:lang w:eastAsia="zh-CN"/>
        </w:rPr>
        <w:t>20. 保险</w:t>
      </w:r>
      <w:bookmarkEnd w:id="565"/>
      <w:bookmarkEnd w:id="566"/>
      <w:bookmarkEnd w:id="567"/>
      <w:bookmarkEnd w:id="568"/>
      <w:bookmarkEnd w:id="569"/>
      <w:bookmarkEnd w:id="570"/>
      <w:bookmarkEnd w:id="571"/>
      <w:bookmarkEnd w:id="572"/>
    </w:p>
    <w:p w14:paraId="3A0B9B51">
      <w:pPr>
        <w:pStyle w:val="116"/>
        <w:pageBreakBefore w:val="0"/>
        <w:kinsoku/>
        <w:wordWrap/>
        <w:overflowPunct/>
        <w:topLinePunct w:val="0"/>
        <w:bidi w:val="0"/>
        <w:spacing w:beforeLines="0" w:afterLines="0" w:line="500" w:lineRule="exact"/>
        <w:ind w:left="0" w:right="0"/>
        <w:rPr>
          <w:rFonts w:hint="eastAsia" w:ascii="宋体" w:hAnsi="宋体" w:eastAsia="宋体" w:cs="宋体"/>
          <w:color w:val="auto"/>
          <w:spacing w:val="0"/>
          <w:sz w:val="28"/>
          <w:szCs w:val="28"/>
          <w:highlight w:val="none"/>
          <w:lang w:eastAsia="zh-CN" w:bidi="en-US"/>
        </w:rPr>
      </w:pPr>
      <w:bookmarkStart w:id="575" w:name="_Toc28963"/>
      <w:bookmarkStart w:id="576" w:name="_Toc19143"/>
      <w:bookmarkStart w:id="577" w:name="_Toc16249"/>
      <w:bookmarkStart w:id="578" w:name="_Toc4653"/>
      <w:bookmarkStart w:id="579" w:name="bookmark1842"/>
      <w:r>
        <w:rPr>
          <w:rFonts w:hint="eastAsia" w:ascii="宋体" w:hAnsi="宋体" w:eastAsia="宋体" w:cs="宋体"/>
          <w:color w:val="auto"/>
          <w:spacing w:val="0"/>
          <w:sz w:val="28"/>
          <w:szCs w:val="28"/>
          <w:highlight w:val="none"/>
          <w:lang w:eastAsia="zh-CN" w:bidi="en-US"/>
        </w:rPr>
        <w:t>20.1工程保险</w:t>
      </w:r>
      <w:bookmarkEnd w:id="573"/>
      <w:bookmarkEnd w:id="574"/>
      <w:bookmarkEnd w:id="575"/>
      <w:bookmarkEnd w:id="576"/>
      <w:bookmarkEnd w:id="577"/>
      <w:bookmarkEnd w:id="578"/>
      <w:bookmarkEnd w:id="579"/>
    </w:p>
    <w:p w14:paraId="211472BB">
      <w:pPr>
        <w:pageBreakBefore w:val="0"/>
        <w:kinsoku/>
        <w:wordWrap/>
        <w:overflowPunct/>
        <w:topLinePunct w:val="0"/>
        <w:bidi w:val="0"/>
        <w:spacing w:line="500" w:lineRule="exact"/>
        <w:ind w:left="0" w:right="0"/>
        <w:rPr>
          <w:rFonts w:hint="eastAsia" w:ascii="宋体" w:hAnsi="宋体" w:eastAsia="宋体" w:cs="宋体"/>
          <w:color w:val="auto"/>
          <w:spacing w:val="0"/>
          <w:sz w:val="28"/>
          <w:szCs w:val="28"/>
          <w:highlight w:val="none"/>
        </w:rPr>
      </w:pPr>
      <w:bookmarkStart w:id="580" w:name="bookmark1844"/>
      <w:bookmarkStart w:id="581" w:name="bookmark1843"/>
      <w:bookmarkStart w:id="582" w:name="bookmark1845"/>
      <w:r>
        <w:rPr>
          <w:rFonts w:hint="eastAsia" w:ascii="宋体" w:hAnsi="宋体" w:eastAsia="宋体" w:cs="宋体"/>
          <w:color w:val="auto"/>
          <w:spacing w:val="0"/>
          <w:kern w:val="0"/>
          <w:sz w:val="28"/>
          <w:szCs w:val="28"/>
          <w:highlight w:val="none"/>
          <w:lang w:val="zh-CN" w:bidi="zh-CN"/>
        </w:rPr>
        <w:t>　　承包人依照有关法律规定参加工伤保险、人身意外保险、第三者责任险等，并负责缴纳保险费。本合同签订之日起7个工作日内，承包人将购买保险的合同、发票等复印件交建设单位备案。</w:t>
      </w:r>
    </w:p>
    <w:bookmarkEnd w:id="580"/>
    <w:bookmarkEnd w:id="581"/>
    <w:bookmarkEnd w:id="582"/>
    <w:p w14:paraId="4DEEC618">
      <w:pPr>
        <w:pStyle w:val="116"/>
        <w:pageBreakBefore w:val="0"/>
        <w:kinsoku/>
        <w:wordWrap/>
        <w:overflowPunct/>
        <w:topLinePunct w:val="0"/>
        <w:bidi w:val="0"/>
        <w:spacing w:beforeLines="0" w:afterLines="0" w:line="500" w:lineRule="exact"/>
        <w:ind w:left="0" w:right="0"/>
        <w:rPr>
          <w:rFonts w:hint="eastAsia" w:ascii="宋体" w:hAnsi="宋体" w:eastAsia="宋体" w:cs="宋体"/>
          <w:color w:val="auto"/>
          <w:spacing w:val="0"/>
          <w:sz w:val="28"/>
          <w:szCs w:val="28"/>
          <w:highlight w:val="none"/>
          <w:lang w:eastAsia="zh-CN"/>
        </w:rPr>
      </w:pPr>
      <w:bookmarkStart w:id="583" w:name="bookmark1854"/>
      <w:bookmarkEnd w:id="583"/>
      <w:bookmarkStart w:id="584" w:name="_Toc31045"/>
      <w:bookmarkStart w:id="585" w:name="_Toc32459"/>
      <w:bookmarkStart w:id="586" w:name="_Toc28480"/>
      <w:bookmarkStart w:id="587" w:name="_Toc5988"/>
      <w:bookmarkStart w:id="588" w:name="bookmark1855"/>
      <w:bookmarkStart w:id="589" w:name="_Toc7430"/>
      <w:bookmarkStart w:id="590" w:name="_Toc13643"/>
      <w:bookmarkStart w:id="591" w:name="_Toc29868"/>
      <w:bookmarkStart w:id="592" w:name="bookmark1852"/>
      <w:bookmarkStart w:id="593" w:name="bookmark1853"/>
      <w:r>
        <w:rPr>
          <w:rFonts w:hint="eastAsia" w:ascii="宋体" w:hAnsi="宋体" w:eastAsia="宋体" w:cs="宋体"/>
          <w:color w:val="auto"/>
          <w:spacing w:val="0"/>
          <w:sz w:val="28"/>
          <w:szCs w:val="28"/>
          <w:highlight w:val="none"/>
          <w:lang w:eastAsia="zh-CN"/>
        </w:rPr>
        <w:t>21. 不可抗力</w:t>
      </w:r>
      <w:bookmarkEnd w:id="584"/>
      <w:bookmarkEnd w:id="585"/>
      <w:bookmarkEnd w:id="586"/>
      <w:bookmarkEnd w:id="587"/>
      <w:bookmarkEnd w:id="588"/>
      <w:bookmarkEnd w:id="589"/>
      <w:bookmarkEnd w:id="590"/>
      <w:bookmarkEnd w:id="591"/>
    </w:p>
    <w:p w14:paraId="5E49C1E4">
      <w:pPr>
        <w:pStyle w:val="116"/>
        <w:pageBreakBefore w:val="0"/>
        <w:kinsoku/>
        <w:wordWrap/>
        <w:overflowPunct/>
        <w:topLinePunct w:val="0"/>
        <w:bidi w:val="0"/>
        <w:spacing w:beforeLines="0" w:afterLines="0" w:line="500" w:lineRule="exact"/>
        <w:ind w:left="0" w:right="0"/>
        <w:rPr>
          <w:rFonts w:hint="eastAsia" w:ascii="宋体" w:hAnsi="宋体" w:eastAsia="宋体" w:cs="宋体"/>
          <w:color w:val="auto"/>
          <w:spacing w:val="0"/>
          <w:sz w:val="28"/>
          <w:szCs w:val="28"/>
          <w:highlight w:val="none"/>
          <w:lang w:eastAsia="zh-CN" w:bidi="en-US"/>
        </w:rPr>
      </w:pPr>
      <w:bookmarkStart w:id="594" w:name="bookmark1856"/>
      <w:bookmarkStart w:id="595" w:name="_Toc15353"/>
      <w:bookmarkStart w:id="596" w:name="_Toc29904"/>
      <w:bookmarkStart w:id="597" w:name="_Toc21384"/>
      <w:bookmarkStart w:id="598" w:name="_Toc6491"/>
      <w:r>
        <w:rPr>
          <w:rFonts w:hint="eastAsia" w:ascii="宋体" w:hAnsi="宋体" w:eastAsia="宋体" w:cs="宋体"/>
          <w:color w:val="auto"/>
          <w:spacing w:val="0"/>
          <w:sz w:val="28"/>
          <w:szCs w:val="28"/>
          <w:highlight w:val="none"/>
          <w:lang w:eastAsia="zh-CN" w:bidi="en-US"/>
        </w:rPr>
        <w:t>21.1不可抗力的确认</w:t>
      </w:r>
      <w:bookmarkEnd w:id="592"/>
      <w:bookmarkEnd w:id="593"/>
      <w:bookmarkEnd w:id="594"/>
      <w:bookmarkEnd w:id="595"/>
      <w:bookmarkEnd w:id="596"/>
      <w:bookmarkEnd w:id="597"/>
      <w:bookmarkEnd w:id="598"/>
    </w:p>
    <w:p w14:paraId="4FB3D364">
      <w:pPr>
        <w:pStyle w:val="115"/>
        <w:pageBreakBefore w:val="0"/>
        <w:kinsoku/>
        <w:wordWrap/>
        <w:overflowPunct/>
        <w:topLinePunct w:val="0"/>
        <w:bidi w:val="0"/>
        <w:spacing w:line="500" w:lineRule="exact"/>
        <w:ind w:left="0" w:right="0" w:firstLine="0"/>
        <w:jc w:val="both"/>
        <w:rPr>
          <w:rFonts w:hint="eastAsia" w:ascii="宋体" w:hAnsi="宋体" w:eastAsia="宋体" w:cs="宋体"/>
          <w:color w:val="auto"/>
          <w:spacing w:val="0"/>
          <w:sz w:val="28"/>
          <w:szCs w:val="28"/>
          <w:highlight w:val="none"/>
        </w:rPr>
      </w:pPr>
      <w:r>
        <w:rPr>
          <w:rFonts w:hint="eastAsia" w:ascii="宋体" w:hAnsi="宋体" w:eastAsia="宋体" w:cs="宋体"/>
          <w:color w:val="auto"/>
          <w:spacing w:val="0"/>
          <w:sz w:val="28"/>
          <w:szCs w:val="28"/>
          <w:highlight w:val="none"/>
          <w:lang w:val="en-US" w:bidi="en-US"/>
        </w:rPr>
        <w:t>　　21.1.1</w:t>
      </w:r>
      <w:r>
        <w:rPr>
          <w:rFonts w:hint="eastAsia" w:ascii="宋体" w:hAnsi="宋体" w:eastAsia="宋体" w:cs="宋体"/>
          <w:color w:val="auto"/>
          <w:spacing w:val="0"/>
          <w:sz w:val="28"/>
          <w:szCs w:val="28"/>
          <w:highlight w:val="none"/>
        </w:rPr>
        <w:t>不可抗力是指承包人和</w:t>
      </w:r>
      <w:r>
        <w:rPr>
          <w:rFonts w:hint="eastAsia" w:cs="宋体"/>
          <w:color w:val="auto"/>
          <w:spacing w:val="0"/>
          <w:sz w:val="28"/>
          <w:szCs w:val="28"/>
          <w:highlight w:val="none"/>
          <w:lang w:eastAsia="zh-CN"/>
        </w:rPr>
        <w:t>建设单位</w:t>
      </w:r>
      <w:r>
        <w:rPr>
          <w:rFonts w:hint="eastAsia" w:ascii="宋体" w:hAnsi="宋体" w:eastAsia="宋体" w:cs="宋体"/>
          <w:color w:val="auto"/>
          <w:spacing w:val="0"/>
          <w:sz w:val="28"/>
          <w:szCs w:val="28"/>
          <w:highlight w:val="none"/>
        </w:rPr>
        <w:t>在订立合同时不可预见，在工程施工过程中不可避免发生并不能克服的自然灾害和社会性突发事件，如地震、海啸、瘟疫、水灾、骚乱、暴动、战争和本合同专用合同条款第</w:t>
      </w:r>
      <w:r>
        <w:rPr>
          <w:rFonts w:hint="eastAsia" w:ascii="宋体" w:hAnsi="宋体" w:eastAsia="宋体" w:cs="宋体"/>
          <w:color w:val="auto"/>
          <w:spacing w:val="0"/>
          <w:sz w:val="28"/>
          <w:szCs w:val="28"/>
          <w:highlight w:val="none"/>
          <w:lang w:val="en-US" w:bidi="en-US"/>
        </w:rPr>
        <w:t xml:space="preserve">11. </w:t>
      </w:r>
      <w:r>
        <w:rPr>
          <w:rFonts w:hint="eastAsia" w:ascii="宋体" w:hAnsi="宋体" w:eastAsia="宋体" w:cs="宋体"/>
          <w:color w:val="auto"/>
          <w:spacing w:val="0"/>
          <w:sz w:val="28"/>
          <w:szCs w:val="28"/>
          <w:highlight w:val="none"/>
        </w:rPr>
        <w:t>4款的约定。</w:t>
      </w:r>
    </w:p>
    <w:p w14:paraId="7BAACFC0">
      <w:pPr>
        <w:pStyle w:val="116"/>
        <w:pageBreakBefore w:val="0"/>
        <w:kinsoku/>
        <w:wordWrap/>
        <w:overflowPunct/>
        <w:topLinePunct w:val="0"/>
        <w:bidi w:val="0"/>
        <w:spacing w:beforeLines="0" w:afterLines="0" w:line="500" w:lineRule="exact"/>
        <w:ind w:left="0" w:right="0"/>
        <w:rPr>
          <w:rFonts w:hint="eastAsia" w:ascii="宋体" w:hAnsi="宋体" w:eastAsia="宋体" w:cs="宋体"/>
          <w:color w:val="auto"/>
          <w:spacing w:val="0"/>
          <w:sz w:val="28"/>
          <w:szCs w:val="28"/>
          <w:highlight w:val="none"/>
          <w:lang w:eastAsia="zh-CN"/>
        </w:rPr>
      </w:pPr>
      <w:bookmarkStart w:id="599" w:name="_Toc17737"/>
      <w:bookmarkStart w:id="600" w:name="bookmark1859"/>
      <w:bookmarkStart w:id="601" w:name="bookmark1858"/>
      <w:bookmarkStart w:id="602" w:name="_Toc26939"/>
      <w:bookmarkStart w:id="603" w:name="_Toc2281"/>
      <w:bookmarkStart w:id="604" w:name="_Toc23719"/>
      <w:bookmarkStart w:id="605" w:name="_Toc31087"/>
      <w:bookmarkStart w:id="606" w:name="bookmark1857"/>
      <w:bookmarkStart w:id="607" w:name="_Toc27508"/>
      <w:bookmarkStart w:id="608" w:name="_Toc31361"/>
      <w:r>
        <w:rPr>
          <w:rFonts w:hint="eastAsia" w:ascii="宋体" w:hAnsi="宋体" w:eastAsia="宋体" w:cs="宋体"/>
          <w:color w:val="auto"/>
          <w:spacing w:val="0"/>
          <w:sz w:val="28"/>
          <w:szCs w:val="28"/>
          <w:highlight w:val="none"/>
          <w:lang w:eastAsia="zh-CN"/>
        </w:rPr>
        <w:t>24. 争议的解决</w:t>
      </w:r>
      <w:bookmarkEnd w:id="599"/>
      <w:bookmarkEnd w:id="600"/>
      <w:bookmarkEnd w:id="601"/>
      <w:bookmarkEnd w:id="602"/>
      <w:bookmarkEnd w:id="603"/>
      <w:bookmarkEnd w:id="604"/>
      <w:bookmarkEnd w:id="605"/>
      <w:bookmarkEnd w:id="606"/>
      <w:bookmarkEnd w:id="607"/>
      <w:bookmarkEnd w:id="608"/>
    </w:p>
    <w:p w14:paraId="4538AD64">
      <w:pPr>
        <w:pStyle w:val="116"/>
        <w:pageBreakBefore w:val="0"/>
        <w:kinsoku/>
        <w:wordWrap/>
        <w:overflowPunct/>
        <w:topLinePunct w:val="0"/>
        <w:bidi w:val="0"/>
        <w:spacing w:beforeLines="0" w:afterLines="0" w:line="500" w:lineRule="exact"/>
        <w:ind w:left="0" w:right="0"/>
        <w:rPr>
          <w:rFonts w:hint="eastAsia" w:ascii="宋体" w:hAnsi="宋体" w:eastAsia="宋体" w:cs="宋体"/>
          <w:color w:val="auto"/>
          <w:spacing w:val="0"/>
          <w:sz w:val="28"/>
          <w:szCs w:val="28"/>
          <w:highlight w:val="none"/>
          <w:lang w:eastAsia="zh-CN" w:bidi="en-US"/>
        </w:rPr>
      </w:pPr>
      <w:bookmarkStart w:id="609" w:name="_Toc11747"/>
      <w:bookmarkStart w:id="610" w:name="_Toc4697"/>
      <w:bookmarkStart w:id="611" w:name="_Toc21951"/>
      <w:bookmarkStart w:id="612" w:name="bookmark1860"/>
      <w:bookmarkStart w:id="613" w:name="bookmark1862"/>
      <w:bookmarkStart w:id="614" w:name="_Toc7055"/>
      <w:bookmarkStart w:id="615" w:name="bookmark1861"/>
      <w:r>
        <w:rPr>
          <w:rFonts w:hint="eastAsia" w:ascii="宋体" w:hAnsi="宋体" w:eastAsia="宋体" w:cs="宋体"/>
          <w:color w:val="auto"/>
          <w:spacing w:val="0"/>
          <w:sz w:val="28"/>
          <w:szCs w:val="28"/>
          <w:highlight w:val="none"/>
          <w:lang w:eastAsia="zh-CN" w:bidi="en-US"/>
        </w:rPr>
        <w:t>24.1争议的解决方式</w:t>
      </w:r>
      <w:bookmarkEnd w:id="609"/>
      <w:bookmarkEnd w:id="610"/>
      <w:bookmarkEnd w:id="611"/>
      <w:bookmarkEnd w:id="612"/>
      <w:bookmarkEnd w:id="613"/>
      <w:bookmarkEnd w:id="614"/>
      <w:bookmarkEnd w:id="615"/>
    </w:p>
    <w:p w14:paraId="3901DFE8">
      <w:pPr>
        <w:pageBreakBefore w:val="0"/>
        <w:kinsoku/>
        <w:wordWrap/>
        <w:overflowPunct/>
        <w:topLinePunct w:val="0"/>
        <w:bidi w:val="0"/>
        <w:spacing w:line="500" w:lineRule="exact"/>
        <w:ind w:left="0" w:right="0" w:firstLine="560" w:firstLineChars="200"/>
        <w:rPr>
          <w:rFonts w:hint="eastAsia" w:ascii="宋体" w:hAnsi="宋体" w:eastAsia="宋体" w:cs="宋体"/>
          <w:color w:val="auto"/>
          <w:spacing w:val="0"/>
          <w:sz w:val="28"/>
          <w:szCs w:val="28"/>
          <w:highlight w:val="none"/>
        </w:rPr>
      </w:pPr>
      <w:bookmarkStart w:id="616" w:name="bookmark1863"/>
      <w:bookmarkStart w:id="617" w:name="bookmark1865"/>
      <w:bookmarkStart w:id="618" w:name="bookmark1864"/>
      <w:bookmarkStart w:id="619" w:name="_Toc30466"/>
      <w:bookmarkStart w:id="620" w:name="_Toc26089"/>
      <w:bookmarkStart w:id="621" w:name="_Toc11294"/>
      <w:r>
        <w:rPr>
          <w:rFonts w:hint="eastAsia" w:ascii="宋体" w:hAnsi="宋体" w:eastAsia="宋体" w:cs="宋体"/>
          <w:color w:val="auto"/>
          <w:spacing w:val="0"/>
          <w:sz w:val="28"/>
          <w:szCs w:val="28"/>
          <w:highlight w:val="none"/>
        </w:rPr>
        <w:t>合同当事人友好协商解决不成、不原提请争议评审或不接受争议评审组意见的，约定的合同争议解决方式为：</w:t>
      </w:r>
      <w:r>
        <w:rPr>
          <w:rFonts w:hint="eastAsia" w:ascii="宋体" w:hAnsi="宋体" w:eastAsia="宋体" w:cs="宋体"/>
          <w:b/>
          <w:color w:val="auto"/>
          <w:spacing w:val="0"/>
          <w:sz w:val="28"/>
          <w:szCs w:val="28"/>
          <w:highlight w:val="none"/>
          <w:u w:val="single"/>
        </w:rPr>
        <w:t>向</w:t>
      </w:r>
      <w:r>
        <w:rPr>
          <w:rFonts w:hint="eastAsia" w:ascii="宋体" w:hAnsi="宋体" w:eastAsia="宋体" w:cs="宋体"/>
          <w:b/>
          <w:color w:val="auto"/>
          <w:spacing w:val="0"/>
          <w:sz w:val="28"/>
          <w:szCs w:val="28"/>
          <w:highlight w:val="none"/>
          <w:u w:val="single"/>
          <w:lang w:eastAsia="zh-CN"/>
        </w:rPr>
        <w:t>建设单位</w:t>
      </w:r>
      <w:r>
        <w:rPr>
          <w:rFonts w:hint="eastAsia" w:ascii="宋体" w:hAnsi="宋体" w:eastAsia="宋体" w:cs="宋体"/>
          <w:b/>
          <w:color w:val="auto"/>
          <w:spacing w:val="0"/>
          <w:sz w:val="28"/>
          <w:szCs w:val="28"/>
          <w:highlight w:val="none"/>
          <w:u w:val="single"/>
        </w:rPr>
        <w:t>所在地的人民法院诉讼。</w:t>
      </w:r>
    </w:p>
    <w:p w14:paraId="10B6E359">
      <w:pPr>
        <w:pStyle w:val="116"/>
        <w:pageBreakBefore w:val="0"/>
        <w:kinsoku/>
        <w:wordWrap/>
        <w:overflowPunct/>
        <w:topLinePunct w:val="0"/>
        <w:bidi w:val="0"/>
        <w:spacing w:beforeLines="0" w:afterLines="0" w:line="500" w:lineRule="exact"/>
        <w:ind w:left="0" w:right="0"/>
        <w:rPr>
          <w:rFonts w:hint="eastAsia" w:ascii="宋体" w:hAnsi="宋体" w:eastAsia="宋体" w:cs="宋体"/>
          <w:color w:val="auto"/>
          <w:spacing w:val="0"/>
          <w:sz w:val="28"/>
          <w:szCs w:val="28"/>
          <w:highlight w:val="none"/>
          <w:lang w:eastAsia="zh-CN"/>
        </w:rPr>
      </w:pPr>
      <w:bookmarkStart w:id="622" w:name="_Toc8753"/>
      <w:bookmarkStart w:id="623" w:name="_Toc22033"/>
      <w:bookmarkStart w:id="624" w:name="_Toc24361"/>
      <w:bookmarkStart w:id="625" w:name="_Toc31245"/>
      <w:r>
        <w:rPr>
          <w:rFonts w:hint="eastAsia" w:ascii="宋体" w:hAnsi="宋体" w:eastAsia="宋体" w:cs="宋体"/>
          <w:color w:val="auto"/>
          <w:spacing w:val="0"/>
          <w:sz w:val="28"/>
          <w:szCs w:val="28"/>
          <w:highlight w:val="none"/>
          <w:lang w:eastAsia="zh-CN"/>
        </w:rPr>
        <w:t>25. 附加条款</w:t>
      </w:r>
      <w:bookmarkEnd w:id="616"/>
      <w:bookmarkEnd w:id="617"/>
      <w:bookmarkEnd w:id="618"/>
      <w:bookmarkEnd w:id="619"/>
      <w:bookmarkEnd w:id="620"/>
      <w:bookmarkEnd w:id="621"/>
      <w:bookmarkEnd w:id="622"/>
      <w:bookmarkEnd w:id="623"/>
      <w:bookmarkEnd w:id="624"/>
      <w:bookmarkEnd w:id="625"/>
    </w:p>
    <w:p w14:paraId="7122F4D0">
      <w:pPr>
        <w:pStyle w:val="116"/>
        <w:pageBreakBefore w:val="0"/>
        <w:kinsoku/>
        <w:wordWrap/>
        <w:overflowPunct/>
        <w:topLinePunct w:val="0"/>
        <w:bidi w:val="0"/>
        <w:spacing w:beforeLines="0" w:afterLines="0" w:line="500" w:lineRule="exact"/>
        <w:ind w:left="0" w:right="0"/>
        <w:rPr>
          <w:rFonts w:hint="eastAsia" w:ascii="宋体" w:hAnsi="宋体" w:eastAsia="宋体" w:cs="宋体"/>
          <w:color w:val="auto"/>
          <w:spacing w:val="0"/>
          <w:sz w:val="28"/>
          <w:szCs w:val="28"/>
          <w:highlight w:val="none"/>
          <w:lang w:eastAsia="zh-CN" w:bidi="en-US"/>
        </w:rPr>
      </w:pPr>
      <w:bookmarkStart w:id="626" w:name="bookmark1866"/>
      <w:bookmarkStart w:id="627" w:name="_Toc20422"/>
      <w:bookmarkStart w:id="628" w:name="_Toc14215"/>
      <w:bookmarkStart w:id="629" w:name="_Toc19446"/>
      <w:bookmarkStart w:id="630" w:name="bookmark1868"/>
      <w:bookmarkStart w:id="631" w:name="_Toc18018"/>
      <w:bookmarkStart w:id="632" w:name="bookmark1867"/>
      <w:r>
        <w:rPr>
          <w:rFonts w:hint="eastAsia" w:ascii="宋体" w:hAnsi="宋体" w:eastAsia="宋体" w:cs="宋体"/>
          <w:color w:val="auto"/>
          <w:spacing w:val="0"/>
          <w:sz w:val="28"/>
          <w:szCs w:val="28"/>
          <w:highlight w:val="none"/>
          <w:lang w:eastAsia="zh-CN" w:bidi="en-US"/>
        </w:rPr>
        <w:t>25.1对承包人的要求</w:t>
      </w:r>
      <w:bookmarkEnd w:id="626"/>
      <w:bookmarkEnd w:id="627"/>
      <w:bookmarkEnd w:id="628"/>
      <w:bookmarkEnd w:id="629"/>
      <w:bookmarkEnd w:id="630"/>
      <w:bookmarkEnd w:id="631"/>
      <w:bookmarkEnd w:id="632"/>
    </w:p>
    <w:p w14:paraId="58845994">
      <w:pPr>
        <w:keepNext w:val="0"/>
        <w:keepLines w:val="0"/>
        <w:pageBreakBefore w:val="0"/>
        <w:widowControl/>
        <w:kinsoku/>
        <w:wordWrap/>
        <w:overflowPunct/>
        <w:topLinePunct w:val="0"/>
        <w:autoSpaceDE w:val="0"/>
        <w:autoSpaceDN w:val="0"/>
        <w:bidi w:val="0"/>
        <w:adjustRightInd w:val="0"/>
        <w:snapToGrid w:val="0"/>
        <w:spacing w:line="500" w:lineRule="exact"/>
        <w:ind w:left="0" w:right="0" w:firstLine="560" w:firstLineChars="200"/>
        <w:textAlignment w:val="baseline"/>
        <w:rPr>
          <w:rFonts w:hint="eastAsia" w:ascii="宋体" w:hAnsi="宋体" w:eastAsia="宋体" w:cs="宋体"/>
          <w:bCs/>
          <w:color w:val="auto"/>
          <w:spacing w:val="0"/>
          <w:kern w:val="0"/>
          <w:sz w:val="28"/>
          <w:szCs w:val="28"/>
          <w:highlight w:val="none"/>
        </w:rPr>
      </w:pPr>
      <w:bookmarkStart w:id="633" w:name="bookmark1869"/>
      <w:bookmarkEnd w:id="633"/>
      <w:r>
        <w:rPr>
          <w:rFonts w:hint="eastAsia" w:ascii="宋体" w:hAnsi="宋体" w:eastAsia="宋体" w:cs="宋体"/>
          <w:color w:val="auto"/>
          <w:spacing w:val="0"/>
          <w:kern w:val="0"/>
          <w:sz w:val="28"/>
          <w:szCs w:val="28"/>
          <w:highlight w:val="none"/>
        </w:rPr>
        <w:t>1、</w:t>
      </w:r>
      <w:r>
        <w:rPr>
          <w:rFonts w:hint="eastAsia" w:ascii="宋体" w:hAnsi="宋体" w:eastAsia="宋体" w:cs="宋体"/>
          <w:bCs/>
          <w:color w:val="auto"/>
          <w:spacing w:val="0"/>
          <w:kern w:val="0"/>
          <w:sz w:val="28"/>
          <w:szCs w:val="28"/>
          <w:highlight w:val="none"/>
        </w:rPr>
        <w:t>因承包人的原因造成施工进度计划拖后，承包人均应按</w:t>
      </w:r>
      <w:r>
        <w:rPr>
          <w:rFonts w:hint="eastAsia" w:ascii="宋体" w:hAnsi="宋体" w:eastAsia="宋体" w:cs="宋体"/>
          <w:bCs/>
          <w:color w:val="auto"/>
          <w:spacing w:val="0"/>
          <w:kern w:val="0"/>
          <w:sz w:val="28"/>
          <w:szCs w:val="28"/>
          <w:highlight w:val="none"/>
          <w:lang w:eastAsia="zh-CN"/>
        </w:rPr>
        <w:t>建设单位</w:t>
      </w:r>
      <w:r>
        <w:rPr>
          <w:rFonts w:hint="eastAsia" w:ascii="宋体" w:hAnsi="宋体" w:eastAsia="宋体" w:cs="宋体"/>
          <w:bCs/>
          <w:color w:val="auto"/>
          <w:spacing w:val="0"/>
          <w:kern w:val="0"/>
          <w:sz w:val="28"/>
          <w:szCs w:val="28"/>
          <w:highlight w:val="none"/>
        </w:rPr>
        <w:t>和监理人的指示，采取有效措施赶上进度。若施工进度仍然满足不了</w:t>
      </w:r>
      <w:r>
        <w:rPr>
          <w:rFonts w:hint="eastAsia" w:ascii="宋体" w:hAnsi="宋体" w:eastAsia="宋体" w:cs="宋体"/>
          <w:bCs/>
          <w:color w:val="auto"/>
          <w:spacing w:val="0"/>
          <w:kern w:val="0"/>
          <w:sz w:val="28"/>
          <w:szCs w:val="28"/>
          <w:highlight w:val="none"/>
          <w:lang w:eastAsia="zh-CN"/>
        </w:rPr>
        <w:t>建设单位</w:t>
      </w:r>
      <w:r>
        <w:rPr>
          <w:rFonts w:hint="eastAsia" w:ascii="宋体" w:hAnsi="宋体" w:eastAsia="宋体" w:cs="宋体"/>
          <w:bCs/>
          <w:color w:val="auto"/>
          <w:spacing w:val="0"/>
          <w:kern w:val="0"/>
          <w:sz w:val="28"/>
          <w:szCs w:val="28"/>
          <w:highlight w:val="none"/>
        </w:rPr>
        <w:t>的要求，视为承包人已经构成违约，</w:t>
      </w:r>
      <w:r>
        <w:rPr>
          <w:rFonts w:hint="eastAsia" w:ascii="宋体" w:hAnsi="宋体" w:eastAsia="宋体" w:cs="宋体"/>
          <w:bCs/>
          <w:color w:val="auto"/>
          <w:spacing w:val="0"/>
          <w:kern w:val="0"/>
          <w:sz w:val="28"/>
          <w:szCs w:val="28"/>
          <w:highlight w:val="none"/>
          <w:lang w:eastAsia="zh-CN"/>
        </w:rPr>
        <w:t>建设单位</w:t>
      </w:r>
      <w:r>
        <w:rPr>
          <w:rFonts w:hint="eastAsia" w:ascii="宋体" w:hAnsi="宋体" w:eastAsia="宋体" w:cs="宋体"/>
          <w:bCs/>
          <w:color w:val="auto"/>
          <w:spacing w:val="0"/>
          <w:kern w:val="0"/>
          <w:sz w:val="28"/>
          <w:szCs w:val="28"/>
          <w:highlight w:val="none"/>
        </w:rPr>
        <w:t>可通知承包人解除合同。</w:t>
      </w:r>
      <w:r>
        <w:rPr>
          <w:rFonts w:hint="eastAsia" w:ascii="宋体" w:hAnsi="宋体" w:eastAsia="宋体" w:cs="宋体"/>
          <w:bCs/>
          <w:color w:val="auto"/>
          <w:spacing w:val="0"/>
          <w:kern w:val="0"/>
          <w:sz w:val="28"/>
          <w:szCs w:val="28"/>
          <w:highlight w:val="none"/>
          <w:lang w:eastAsia="zh-CN"/>
        </w:rPr>
        <w:t>建设单位</w:t>
      </w:r>
      <w:r>
        <w:rPr>
          <w:rFonts w:hint="eastAsia" w:ascii="宋体" w:hAnsi="宋体" w:eastAsia="宋体" w:cs="宋体"/>
          <w:bCs/>
          <w:color w:val="auto"/>
          <w:spacing w:val="0"/>
          <w:kern w:val="0"/>
          <w:sz w:val="28"/>
          <w:szCs w:val="28"/>
          <w:highlight w:val="none"/>
        </w:rPr>
        <w:t>可在发出通知5天后派员进驻工地直接监管工程，使用承包人设备、临时工程和材料，另行组织人员或委托其他承包人施工，但</w:t>
      </w:r>
      <w:r>
        <w:rPr>
          <w:rFonts w:hint="eastAsia" w:ascii="宋体" w:hAnsi="宋体" w:eastAsia="宋体" w:cs="宋体"/>
          <w:bCs/>
          <w:color w:val="auto"/>
          <w:spacing w:val="0"/>
          <w:kern w:val="0"/>
          <w:sz w:val="28"/>
          <w:szCs w:val="28"/>
          <w:highlight w:val="none"/>
          <w:lang w:eastAsia="zh-CN"/>
        </w:rPr>
        <w:t>建设单位</w:t>
      </w:r>
      <w:r>
        <w:rPr>
          <w:rFonts w:hint="eastAsia" w:ascii="宋体" w:hAnsi="宋体" w:eastAsia="宋体" w:cs="宋体"/>
          <w:bCs/>
          <w:color w:val="auto"/>
          <w:spacing w:val="0"/>
          <w:kern w:val="0"/>
          <w:sz w:val="28"/>
          <w:szCs w:val="28"/>
          <w:highlight w:val="none"/>
        </w:rPr>
        <w:t>的这一行为不免除承包人按合同规定应负的责任。</w:t>
      </w:r>
    </w:p>
    <w:p w14:paraId="4949A737">
      <w:pPr>
        <w:keepNext w:val="0"/>
        <w:keepLines w:val="0"/>
        <w:pageBreakBefore w:val="0"/>
        <w:widowControl/>
        <w:kinsoku/>
        <w:wordWrap/>
        <w:overflowPunct/>
        <w:topLinePunct w:val="0"/>
        <w:autoSpaceDE w:val="0"/>
        <w:autoSpaceDN w:val="0"/>
        <w:bidi w:val="0"/>
        <w:adjustRightInd w:val="0"/>
        <w:snapToGrid w:val="0"/>
        <w:spacing w:line="500" w:lineRule="exact"/>
        <w:ind w:left="0" w:right="0" w:firstLine="560" w:firstLineChars="200"/>
        <w:textAlignment w:val="baseline"/>
        <w:rPr>
          <w:rFonts w:hint="eastAsia" w:ascii="宋体" w:hAnsi="宋体" w:eastAsia="宋体" w:cs="宋体"/>
          <w:bCs/>
          <w:color w:val="auto"/>
          <w:spacing w:val="0"/>
          <w:kern w:val="0"/>
          <w:sz w:val="28"/>
          <w:szCs w:val="28"/>
          <w:highlight w:val="none"/>
        </w:rPr>
      </w:pPr>
      <w:r>
        <w:rPr>
          <w:rFonts w:hint="eastAsia" w:ascii="宋体" w:hAnsi="宋体" w:eastAsia="宋体" w:cs="宋体"/>
          <w:color w:val="auto"/>
          <w:spacing w:val="0"/>
          <w:kern w:val="0"/>
          <w:sz w:val="28"/>
          <w:szCs w:val="28"/>
          <w:highlight w:val="none"/>
        </w:rPr>
        <w:t>2、</w:t>
      </w:r>
      <w:r>
        <w:rPr>
          <w:rFonts w:hint="eastAsia" w:ascii="宋体" w:hAnsi="宋体" w:eastAsia="宋体" w:cs="宋体"/>
          <w:bCs/>
          <w:color w:val="auto"/>
          <w:spacing w:val="0"/>
          <w:kern w:val="0"/>
          <w:sz w:val="28"/>
          <w:szCs w:val="28"/>
          <w:highlight w:val="none"/>
        </w:rPr>
        <w:t>遵守国务院《建设工程质量管理条例》，根据水利部、自治区和水利厅的有关质量管理规定，建立健全质量管理机构，结合工程实际制定完善的可操作性强的质量管理制度，施工质量等级达到合同约定等级。</w:t>
      </w:r>
    </w:p>
    <w:p w14:paraId="45EF932A">
      <w:pPr>
        <w:keepNext w:val="0"/>
        <w:keepLines w:val="0"/>
        <w:pageBreakBefore w:val="0"/>
        <w:widowControl/>
        <w:kinsoku/>
        <w:wordWrap/>
        <w:overflowPunct/>
        <w:topLinePunct w:val="0"/>
        <w:autoSpaceDE w:val="0"/>
        <w:autoSpaceDN w:val="0"/>
        <w:bidi w:val="0"/>
        <w:adjustRightInd w:val="0"/>
        <w:snapToGrid w:val="0"/>
        <w:spacing w:line="500" w:lineRule="exact"/>
        <w:ind w:left="0" w:right="0" w:firstLine="560" w:firstLineChars="200"/>
        <w:textAlignment w:val="baseline"/>
        <w:rPr>
          <w:rFonts w:hint="eastAsia" w:ascii="宋体" w:hAnsi="宋体" w:eastAsia="宋体" w:cs="宋体"/>
          <w:bCs/>
          <w:color w:val="auto"/>
          <w:spacing w:val="0"/>
          <w:kern w:val="0"/>
          <w:sz w:val="28"/>
          <w:szCs w:val="28"/>
          <w:highlight w:val="none"/>
        </w:rPr>
      </w:pPr>
      <w:r>
        <w:rPr>
          <w:rFonts w:hint="eastAsia" w:ascii="宋体" w:hAnsi="宋体" w:eastAsia="宋体" w:cs="宋体"/>
          <w:color w:val="auto"/>
          <w:spacing w:val="0"/>
          <w:kern w:val="0"/>
          <w:sz w:val="28"/>
          <w:szCs w:val="28"/>
          <w:highlight w:val="none"/>
        </w:rPr>
        <w:t>3</w:t>
      </w:r>
      <w:r>
        <w:rPr>
          <w:rFonts w:hint="eastAsia" w:ascii="宋体" w:hAnsi="宋体" w:eastAsia="宋体" w:cs="宋体"/>
          <w:bCs/>
          <w:color w:val="auto"/>
          <w:spacing w:val="0"/>
          <w:kern w:val="0"/>
          <w:sz w:val="28"/>
          <w:szCs w:val="28"/>
          <w:highlight w:val="none"/>
        </w:rPr>
        <w:t>、按《中华人民共和国生产安全法》、《建设工程安全生产管理条例》、自治区安全生产法规和水利水电工程施工安全操作规程的规定建立健全安全管理机构和安全管理制度，采取安全施工保障措施保障工程施工安全。</w:t>
      </w:r>
    </w:p>
    <w:p w14:paraId="632C9FA2">
      <w:pPr>
        <w:keepNext w:val="0"/>
        <w:keepLines w:val="0"/>
        <w:pageBreakBefore w:val="0"/>
        <w:widowControl/>
        <w:kinsoku/>
        <w:wordWrap/>
        <w:overflowPunct/>
        <w:topLinePunct w:val="0"/>
        <w:autoSpaceDE w:val="0"/>
        <w:autoSpaceDN w:val="0"/>
        <w:bidi w:val="0"/>
        <w:adjustRightInd w:val="0"/>
        <w:snapToGrid w:val="0"/>
        <w:spacing w:line="500" w:lineRule="exact"/>
        <w:ind w:left="0" w:right="0" w:firstLine="560" w:firstLineChars="200"/>
        <w:textAlignment w:val="baseline"/>
        <w:rPr>
          <w:rFonts w:hint="eastAsia" w:ascii="宋体" w:hAnsi="宋体" w:eastAsia="宋体" w:cs="宋体"/>
          <w:bCs/>
          <w:color w:val="auto"/>
          <w:spacing w:val="0"/>
          <w:kern w:val="0"/>
          <w:sz w:val="28"/>
          <w:szCs w:val="28"/>
          <w:highlight w:val="none"/>
        </w:rPr>
      </w:pPr>
      <w:r>
        <w:rPr>
          <w:rFonts w:hint="eastAsia" w:ascii="宋体" w:hAnsi="宋体" w:eastAsia="宋体" w:cs="宋体"/>
          <w:color w:val="auto"/>
          <w:spacing w:val="0"/>
          <w:kern w:val="0"/>
          <w:sz w:val="28"/>
          <w:szCs w:val="28"/>
          <w:highlight w:val="none"/>
        </w:rPr>
        <w:t>4、</w:t>
      </w:r>
      <w:r>
        <w:rPr>
          <w:rFonts w:hint="eastAsia" w:ascii="宋体" w:hAnsi="宋体" w:eastAsia="宋体" w:cs="宋体"/>
          <w:bCs/>
          <w:color w:val="auto"/>
          <w:spacing w:val="0"/>
          <w:kern w:val="0"/>
          <w:sz w:val="28"/>
          <w:szCs w:val="28"/>
          <w:highlight w:val="none"/>
        </w:rPr>
        <w:t>按有关施工规程规范及本招标文件技术条款进行组织施工并实施施工过程和移交前工程保护措施。</w:t>
      </w:r>
    </w:p>
    <w:p w14:paraId="09AD49BE">
      <w:pPr>
        <w:keepNext w:val="0"/>
        <w:keepLines w:val="0"/>
        <w:pageBreakBefore w:val="0"/>
        <w:widowControl/>
        <w:kinsoku/>
        <w:wordWrap/>
        <w:overflowPunct/>
        <w:topLinePunct w:val="0"/>
        <w:autoSpaceDE w:val="0"/>
        <w:autoSpaceDN w:val="0"/>
        <w:bidi w:val="0"/>
        <w:adjustRightInd w:val="0"/>
        <w:snapToGrid w:val="0"/>
        <w:spacing w:line="500" w:lineRule="exact"/>
        <w:ind w:left="0" w:right="0" w:firstLine="560" w:firstLineChars="200"/>
        <w:textAlignment w:val="baseline"/>
        <w:rPr>
          <w:rFonts w:hint="eastAsia" w:ascii="宋体" w:hAnsi="宋体" w:eastAsia="宋体" w:cs="宋体"/>
          <w:bCs/>
          <w:color w:val="auto"/>
          <w:spacing w:val="0"/>
          <w:kern w:val="0"/>
          <w:sz w:val="28"/>
          <w:szCs w:val="28"/>
          <w:highlight w:val="none"/>
        </w:rPr>
      </w:pPr>
      <w:r>
        <w:rPr>
          <w:rFonts w:hint="eastAsia" w:ascii="宋体" w:hAnsi="宋体" w:eastAsia="宋体" w:cs="宋体"/>
          <w:color w:val="auto"/>
          <w:spacing w:val="0"/>
          <w:kern w:val="0"/>
          <w:sz w:val="28"/>
          <w:szCs w:val="28"/>
          <w:highlight w:val="none"/>
        </w:rPr>
        <w:t>5、</w:t>
      </w:r>
      <w:r>
        <w:rPr>
          <w:rFonts w:hint="eastAsia" w:ascii="宋体" w:hAnsi="宋体" w:eastAsia="宋体" w:cs="宋体"/>
          <w:bCs/>
          <w:color w:val="auto"/>
          <w:spacing w:val="0"/>
          <w:kern w:val="0"/>
          <w:sz w:val="28"/>
          <w:szCs w:val="28"/>
          <w:highlight w:val="none"/>
        </w:rPr>
        <w:t>按水利部《水利系统文明建设工地评审管理办法》创建文明建设工地。</w:t>
      </w:r>
    </w:p>
    <w:p w14:paraId="3B92A711">
      <w:pPr>
        <w:keepNext w:val="0"/>
        <w:keepLines w:val="0"/>
        <w:pageBreakBefore w:val="0"/>
        <w:widowControl/>
        <w:kinsoku/>
        <w:wordWrap/>
        <w:overflowPunct/>
        <w:topLinePunct w:val="0"/>
        <w:autoSpaceDE w:val="0"/>
        <w:autoSpaceDN w:val="0"/>
        <w:bidi w:val="0"/>
        <w:adjustRightInd w:val="0"/>
        <w:snapToGrid w:val="0"/>
        <w:spacing w:line="500" w:lineRule="exact"/>
        <w:ind w:left="0" w:right="0" w:firstLine="560" w:firstLineChars="200"/>
        <w:textAlignment w:val="baseline"/>
        <w:rPr>
          <w:rFonts w:hint="eastAsia" w:ascii="宋体" w:hAnsi="宋体" w:eastAsia="宋体" w:cs="宋体"/>
          <w:bCs/>
          <w:color w:val="auto"/>
          <w:spacing w:val="0"/>
          <w:kern w:val="0"/>
          <w:sz w:val="28"/>
          <w:szCs w:val="28"/>
          <w:highlight w:val="none"/>
        </w:rPr>
      </w:pPr>
      <w:r>
        <w:rPr>
          <w:rFonts w:hint="eastAsia" w:ascii="宋体" w:hAnsi="宋体" w:eastAsia="宋体" w:cs="宋体"/>
          <w:color w:val="auto"/>
          <w:spacing w:val="0"/>
          <w:kern w:val="0"/>
          <w:sz w:val="28"/>
          <w:szCs w:val="28"/>
          <w:highlight w:val="none"/>
        </w:rPr>
        <w:t>6、</w:t>
      </w:r>
      <w:r>
        <w:rPr>
          <w:rFonts w:hint="eastAsia" w:ascii="宋体" w:hAnsi="宋体" w:eastAsia="宋体" w:cs="宋体"/>
          <w:bCs/>
          <w:color w:val="auto"/>
          <w:spacing w:val="0"/>
          <w:kern w:val="0"/>
          <w:sz w:val="28"/>
          <w:szCs w:val="28"/>
          <w:highlight w:val="none"/>
        </w:rPr>
        <w:t>承包人违约有以下情况之一者，</w:t>
      </w:r>
      <w:r>
        <w:rPr>
          <w:rFonts w:hint="eastAsia" w:ascii="宋体" w:hAnsi="宋体" w:eastAsia="宋体" w:cs="宋体"/>
          <w:bCs/>
          <w:color w:val="auto"/>
          <w:spacing w:val="0"/>
          <w:kern w:val="0"/>
          <w:sz w:val="28"/>
          <w:szCs w:val="28"/>
          <w:highlight w:val="none"/>
          <w:lang w:eastAsia="zh-CN"/>
        </w:rPr>
        <w:t>建设单位</w:t>
      </w:r>
      <w:r>
        <w:rPr>
          <w:rFonts w:hint="eastAsia" w:ascii="宋体" w:hAnsi="宋体" w:eastAsia="宋体" w:cs="宋体"/>
          <w:bCs/>
          <w:color w:val="auto"/>
          <w:spacing w:val="0"/>
          <w:kern w:val="0"/>
          <w:sz w:val="28"/>
          <w:szCs w:val="28"/>
          <w:highlight w:val="none"/>
        </w:rPr>
        <w:t>有权采取合同规定的以下措施处理，并视情节轻重处予违约金。</w:t>
      </w:r>
    </w:p>
    <w:p w14:paraId="2E048CE3">
      <w:pPr>
        <w:keepNext w:val="0"/>
        <w:keepLines w:val="0"/>
        <w:pageBreakBefore w:val="0"/>
        <w:widowControl/>
        <w:kinsoku/>
        <w:wordWrap/>
        <w:overflowPunct/>
        <w:topLinePunct w:val="0"/>
        <w:autoSpaceDE w:val="0"/>
        <w:autoSpaceDN w:val="0"/>
        <w:bidi w:val="0"/>
        <w:adjustRightInd w:val="0"/>
        <w:snapToGrid w:val="0"/>
        <w:spacing w:line="500" w:lineRule="exact"/>
        <w:ind w:left="0" w:right="0" w:firstLine="560" w:firstLineChars="200"/>
        <w:textAlignment w:val="baseline"/>
        <w:rPr>
          <w:rFonts w:hint="eastAsia" w:ascii="宋体" w:hAnsi="宋体" w:eastAsia="宋体" w:cs="宋体"/>
          <w:bCs/>
          <w:color w:val="auto"/>
          <w:spacing w:val="0"/>
          <w:kern w:val="0"/>
          <w:sz w:val="28"/>
          <w:szCs w:val="28"/>
          <w:highlight w:val="none"/>
        </w:rPr>
      </w:pPr>
      <w:r>
        <w:rPr>
          <w:rFonts w:hint="eastAsia" w:ascii="宋体" w:hAnsi="宋体" w:eastAsia="宋体" w:cs="宋体"/>
          <w:bCs/>
          <w:color w:val="auto"/>
          <w:spacing w:val="0"/>
          <w:kern w:val="0"/>
          <w:sz w:val="28"/>
          <w:szCs w:val="28"/>
          <w:highlight w:val="none"/>
        </w:rPr>
        <w:t>（1）未经</w:t>
      </w:r>
      <w:r>
        <w:rPr>
          <w:rFonts w:hint="eastAsia" w:ascii="宋体" w:hAnsi="宋体" w:eastAsia="宋体" w:cs="宋体"/>
          <w:bCs/>
          <w:color w:val="auto"/>
          <w:spacing w:val="0"/>
          <w:kern w:val="0"/>
          <w:sz w:val="28"/>
          <w:szCs w:val="28"/>
          <w:highlight w:val="none"/>
          <w:lang w:eastAsia="zh-CN"/>
        </w:rPr>
        <w:t>建设单位</w:t>
      </w:r>
      <w:r>
        <w:rPr>
          <w:rFonts w:hint="eastAsia" w:ascii="宋体" w:hAnsi="宋体" w:eastAsia="宋体" w:cs="宋体"/>
          <w:bCs/>
          <w:color w:val="auto"/>
          <w:spacing w:val="0"/>
          <w:kern w:val="0"/>
          <w:sz w:val="28"/>
          <w:szCs w:val="28"/>
          <w:highlight w:val="none"/>
        </w:rPr>
        <w:t>批准，施工期内承包人调走主要施工技术人员（包括建造师、专业工程师），经发现不及时调回的，违约金额为履约保证金金额的5%～20%（视情节严重而定）。</w:t>
      </w:r>
    </w:p>
    <w:p w14:paraId="5E137A5A">
      <w:pPr>
        <w:keepNext w:val="0"/>
        <w:keepLines w:val="0"/>
        <w:pageBreakBefore w:val="0"/>
        <w:widowControl/>
        <w:kinsoku/>
        <w:wordWrap/>
        <w:overflowPunct/>
        <w:topLinePunct w:val="0"/>
        <w:autoSpaceDE w:val="0"/>
        <w:autoSpaceDN w:val="0"/>
        <w:bidi w:val="0"/>
        <w:adjustRightInd w:val="0"/>
        <w:snapToGrid w:val="0"/>
        <w:spacing w:line="500" w:lineRule="exact"/>
        <w:ind w:left="0" w:right="0" w:firstLine="560" w:firstLineChars="200"/>
        <w:textAlignment w:val="baseline"/>
        <w:rPr>
          <w:rFonts w:hint="eastAsia" w:ascii="宋体" w:hAnsi="宋体" w:eastAsia="宋体" w:cs="宋体"/>
          <w:bCs/>
          <w:color w:val="auto"/>
          <w:spacing w:val="0"/>
          <w:kern w:val="0"/>
          <w:sz w:val="28"/>
          <w:szCs w:val="28"/>
          <w:highlight w:val="none"/>
        </w:rPr>
      </w:pPr>
      <w:r>
        <w:rPr>
          <w:rFonts w:hint="eastAsia" w:ascii="宋体" w:hAnsi="宋体" w:eastAsia="宋体" w:cs="宋体"/>
          <w:bCs/>
          <w:color w:val="auto"/>
          <w:spacing w:val="0"/>
          <w:kern w:val="0"/>
          <w:sz w:val="28"/>
          <w:szCs w:val="28"/>
          <w:highlight w:val="none"/>
        </w:rPr>
        <w:t>（2）未经</w:t>
      </w:r>
      <w:r>
        <w:rPr>
          <w:rFonts w:hint="eastAsia" w:ascii="宋体" w:hAnsi="宋体" w:eastAsia="宋体" w:cs="宋体"/>
          <w:bCs/>
          <w:color w:val="auto"/>
          <w:spacing w:val="0"/>
          <w:kern w:val="0"/>
          <w:sz w:val="28"/>
          <w:szCs w:val="28"/>
          <w:highlight w:val="none"/>
          <w:lang w:eastAsia="zh-CN"/>
        </w:rPr>
        <w:t>建设单位</w:t>
      </w:r>
      <w:r>
        <w:rPr>
          <w:rFonts w:hint="eastAsia" w:ascii="宋体" w:hAnsi="宋体" w:eastAsia="宋体" w:cs="宋体"/>
          <w:bCs/>
          <w:color w:val="auto"/>
          <w:spacing w:val="0"/>
          <w:kern w:val="0"/>
          <w:sz w:val="28"/>
          <w:szCs w:val="28"/>
          <w:highlight w:val="none"/>
        </w:rPr>
        <w:t>批准，施工期内自行调走主要施工机械，经发现不及时调回的，违约金额为履约保证金金额的5%～20%（视情节严重而定）。</w:t>
      </w:r>
    </w:p>
    <w:p w14:paraId="462C5E3B">
      <w:pPr>
        <w:keepNext w:val="0"/>
        <w:keepLines w:val="0"/>
        <w:pageBreakBefore w:val="0"/>
        <w:widowControl/>
        <w:kinsoku/>
        <w:wordWrap/>
        <w:overflowPunct/>
        <w:topLinePunct w:val="0"/>
        <w:autoSpaceDE w:val="0"/>
        <w:autoSpaceDN w:val="0"/>
        <w:bidi w:val="0"/>
        <w:adjustRightInd w:val="0"/>
        <w:snapToGrid w:val="0"/>
        <w:spacing w:line="500" w:lineRule="exact"/>
        <w:ind w:left="0" w:right="0" w:firstLine="560" w:firstLineChars="200"/>
        <w:textAlignment w:val="baseline"/>
        <w:rPr>
          <w:rFonts w:hint="eastAsia" w:ascii="宋体" w:hAnsi="宋体" w:eastAsia="宋体" w:cs="宋体"/>
          <w:bCs/>
          <w:color w:val="auto"/>
          <w:spacing w:val="0"/>
          <w:kern w:val="0"/>
          <w:sz w:val="28"/>
          <w:szCs w:val="28"/>
          <w:highlight w:val="none"/>
        </w:rPr>
      </w:pPr>
      <w:r>
        <w:rPr>
          <w:rFonts w:hint="eastAsia" w:ascii="宋体" w:hAnsi="宋体" w:eastAsia="宋体" w:cs="宋体"/>
          <w:bCs/>
          <w:color w:val="auto"/>
          <w:spacing w:val="0"/>
          <w:kern w:val="0"/>
          <w:sz w:val="28"/>
          <w:szCs w:val="28"/>
          <w:highlight w:val="none"/>
        </w:rPr>
        <w:t>（3）所有以上违约金额均在承包人的履约保证金（包括银行利息）及计量支付款内扣除，承包人履约保证金被扣除后，由</w:t>
      </w:r>
      <w:r>
        <w:rPr>
          <w:rFonts w:hint="eastAsia" w:ascii="宋体" w:hAnsi="宋体" w:eastAsia="宋体" w:cs="宋体"/>
          <w:bCs/>
          <w:color w:val="auto"/>
          <w:spacing w:val="0"/>
          <w:kern w:val="0"/>
          <w:sz w:val="28"/>
          <w:szCs w:val="28"/>
          <w:highlight w:val="none"/>
          <w:lang w:eastAsia="zh-CN"/>
        </w:rPr>
        <w:t>建设单位</w:t>
      </w:r>
      <w:r>
        <w:rPr>
          <w:rFonts w:hint="eastAsia" w:ascii="宋体" w:hAnsi="宋体" w:eastAsia="宋体" w:cs="宋体"/>
          <w:bCs/>
          <w:color w:val="auto"/>
          <w:spacing w:val="0"/>
          <w:kern w:val="0"/>
          <w:sz w:val="28"/>
          <w:szCs w:val="28"/>
          <w:highlight w:val="none"/>
        </w:rPr>
        <w:t>从最后一次计量支付时扣相应金额补足履约保证金。</w:t>
      </w:r>
    </w:p>
    <w:p w14:paraId="605BC0C1">
      <w:pPr>
        <w:keepNext w:val="0"/>
        <w:keepLines w:val="0"/>
        <w:pageBreakBefore w:val="0"/>
        <w:widowControl/>
        <w:kinsoku/>
        <w:wordWrap/>
        <w:overflowPunct/>
        <w:topLinePunct w:val="0"/>
        <w:autoSpaceDE w:val="0"/>
        <w:autoSpaceDN w:val="0"/>
        <w:bidi w:val="0"/>
        <w:adjustRightInd w:val="0"/>
        <w:snapToGrid w:val="0"/>
        <w:spacing w:line="500" w:lineRule="exact"/>
        <w:ind w:left="0" w:right="0" w:firstLine="560" w:firstLineChars="200"/>
        <w:textAlignment w:val="baseline"/>
        <w:rPr>
          <w:rFonts w:hint="eastAsia" w:ascii="宋体" w:hAnsi="宋体" w:eastAsia="宋体" w:cs="宋体"/>
          <w:bCs/>
          <w:color w:val="auto"/>
          <w:spacing w:val="0"/>
          <w:kern w:val="0"/>
          <w:sz w:val="28"/>
          <w:szCs w:val="28"/>
          <w:highlight w:val="none"/>
        </w:rPr>
      </w:pPr>
      <w:r>
        <w:rPr>
          <w:rFonts w:hint="eastAsia" w:ascii="宋体" w:hAnsi="宋体" w:eastAsia="宋体" w:cs="宋体"/>
          <w:bCs/>
          <w:color w:val="auto"/>
          <w:spacing w:val="0"/>
          <w:kern w:val="0"/>
          <w:sz w:val="28"/>
          <w:szCs w:val="28"/>
          <w:highlight w:val="none"/>
        </w:rPr>
        <w:t>（4）承包人的人员机械进场必须按照合同书附件或根据工程实际经调整后的人员和机械进场时间表进场，承包人不得任意拖延、调换或减少。主要机械的数量、型号和劳动力、材料的投入，应与合同相符，若</w:t>
      </w:r>
      <w:r>
        <w:rPr>
          <w:rFonts w:hint="eastAsia" w:ascii="宋体" w:hAnsi="宋体" w:eastAsia="宋体" w:cs="宋体"/>
          <w:bCs/>
          <w:color w:val="auto"/>
          <w:spacing w:val="0"/>
          <w:kern w:val="0"/>
          <w:sz w:val="28"/>
          <w:szCs w:val="28"/>
          <w:highlight w:val="none"/>
          <w:lang w:eastAsia="zh-CN"/>
        </w:rPr>
        <w:t>建设单位</w:t>
      </w:r>
      <w:r>
        <w:rPr>
          <w:rFonts w:hint="eastAsia" w:ascii="宋体" w:hAnsi="宋体" w:eastAsia="宋体" w:cs="宋体"/>
          <w:bCs/>
          <w:color w:val="auto"/>
          <w:spacing w:val="0"/>
          <w:kern w:val="0"/>
          <w:sz w:val="28"/>
          <w:szCs w:val="28"/>
          <w:highlight w:val="none"/>
        </w:rPr>
        <w:t>认为合同规定的进场机械、材料和劳动力不能满足施工进度要求，有权指令承包人增加机械、材料和劳动力投入，承包人不得拒绝。</w:t>
      </w:r>
    </w:p>
    <w:p w14:paraId="333A948A">
      <w:pPr>
        <w:keepNext w:val="0"/>
        <w:keepLines w:val="0"/>
        <w:pageBreakBefore w:val="0"/>
        <w:widowControl/>
        <w:kinsoku/>
        <w:wordWrap/>
        <w:overflowPunct/>
        <w:topLinePunct w:val="0"/>
        <w:autoSpaceDE w:val="0"/>
        <w:autoSpaceDN w:val="0"/>
        <w:bidi w:val="0"/>
        <w:adjustRightInd w:val="0"/>
        <w:snapToGrid w:val="0"/>
        <w:spacing w:line="500" w:lineRule="exact"/>
        <w:ind w:left="0" w:right="0" w:firstLine="560" w:firstLineChars="200"/>
        <w:textAlignment w:val="baseline"/>
        <w:rPr>
          <w:rFonts w:hint="eastAsia" w:ascii="宋体" w:hAnsi="宋体" w:eastAsia="宋体" w:cs="宋体"/>
          <w:bCs/>
          <w:color w:val="auto"/>
          <w:spacing w:val="0"/>
          <w:kern w:val="0"/>
          <w:sz w:val="28"/>
          <w:szCs w:val="28"/>
          <w:highlight w:val="none"/>
        </w:rPr>
      </w:pPr>
      <w:r>
        <w:rPr>
          <w:rFonts w:hint="eastAsia" w:ascii="宋体" w:hAnsi="宋体" w:eastAsia="宋体" w:cs="宋体"/>
          <w:bCs/>
          <w:color w:val="auto"/>
          <w:spacing w:val="0"/>
          <w:kern w:val="0"/>
          <w:sz w:val="28"/>
          <w:szCs w:val="28"/>
          <w:highlight w:val="none"/>
        </w:rPr>
        <w:t>（5）合同签订之日起15日内，承包人无法按合同规定进场全部人员和机械时，作为乙方违约，业主有权解除合同，没收其全部履约保证金，另行发包工程。</w:t>
      </w:r>
    </w:p>
    <w:p w14:paraId="3F874CF0">
      <w:pPr>
        <w:keepNext w:val="0"/>
        <w:keepLines w:val="0"/>
        <w:pageBreakBefore w:val="0"/>
        <w:widowControl/>
        <w:kinsoku/>
        <w:wordWrap/>
        <w:overflowPunct/>
        <w:topLinePunct w:val="0"/>
        <w:autoSpaceDE w:val="0"/>
        <w:autoSpaceDN w:val="0"/>
        <w:bidi w:val="0"/>
        <w:adjustRightInd w:val="0"/>
        <w:snapToGrid w:val="0"/>
        <w:spacing w:line="500" w:lineRule="exact"/>
        <w:ind w:left="0" w:right="0" w:firstLine="560" w:firstLineChars="200"/>
        <w:textAlignment w:val="baseline"/>
        <w:rPr>
          <w:rFonts w:hint="eastAsia" w:ascii="宋体" w:hAnsi="宋体" w:eastAsia="宋体" w:cs="宋体"/>
          <w:bCs/>
          <w:color w:val="auto"/>
          <w:spacing w:val="0"/>
          <w:kern w:val="0"/>
          <w:sz w:val="28"/>
          <w:szCs w:val="28"/>
          <w:highlight w:val="none"/>
        </w:rPr>
      </w:pPr>
      <w:r>
        <w:rPr>
          <w:rFonts w:hint="eastAsia" w:ascii="宋体" w:hAnsi="宋体" w:eastAsia="宋体" w:cs="宋体"/>
          <w:color w:val="auto"/>
          <w:spacing w:val="0"/>
          <w:kern w:val="0"/>
          <w:sz w:val="28"/>
          <w:szCs w:val="28"/>
          <w:highlight w:val="none"/>
        </w:rPr>
        <w:t>7、</w:t>
      </w:r>
      <w:r>
        <w:rPr>
          <w:rFonts w:hint="eastAsia" w:ascii="宋体" w:hAnsi="宋体" w:eastAsia="宋体" w:cs="宋体"/>
          <w:bCs/>
          <w:color w:val="auto"/>
          <w:spacing w:val="0"/>
          <w:kern w:val="0"/>
          <w:sz w:val="28"/>
          <w:szCs w:val="28"/>
          <w:highlight w:val="none"/>
        </w:rPr>
        <w:t>承包人生活设施及施工场地，应自费配备消防设备，防止火灾发生。</w:t>
      </w:r>
    </w:p>
    <w:p w14:paraId="6271BD2D">
      <w:pPr>
        <w:keepNext w:val="0"/>
        <w:keepLines w:val="0"/>
        <w:pageBreakBefore w:val="0"/>
        <w:widowControl/>
        <w:kinsoku/>
        <w:wordWrap/>
        <w:overflowPunct/>
        <w:topLinePunct w:val="0"/>
        <w:autoSpaceDE w:val="0"/>
        <w:autoSpaceDN w:val="0"/>
        <w:bidi w:val="0"/>
        <w:adjustRightInd w:val="0"/>
        <w:snapToGrid w:val="0"/>
        <w:spacing w:line="500" w:lineRule="exact"/>
        <w:ind w:left="0" w:right="0" w:firstLine="560" w:firstLineChars="200"/>
        <w:textAlignment w:val="baseline"/>
        <w:rPr>
          <w:rFonts w:hint="eastAsia" w:ascii="宋体" w:hAnsi="宋体" w:eastAsia="宋体" w:cs="宋体"/>
          <w:bCs/>
          <w:color w:val="auto"/>
          <w:spacing w:val="0"/>
          <w:kern w:val="0"/>
          <w:sz w:val="28"/>
          <w:szCs w:val="28"/>
          <w:highlight w:val="none"/>
        </w:rPr>
      </w:pPr>
      <w:r>
        <w:rPr>
          <w:rFonts w:hint="eastAsia" w:ascii="宋体" w:hAnsi="宋体" w:eastAsia="宋体" w:cs="宋体"/>
          <w:color w:val="auto"/>
          <w:spacing w:val="0"/>
          <w:kern w:val="0"/>
          <w:sz w:val="28"/>
          <w:szCs w:val="28"/>
          <w:highlight w:val="none"/>
        </w:rPr>
        <w:t>8、</w:t>
      </w:r>
      <w:r>
        <w:rPr>
          <w:rFonts w:hint="eastAsia" w:ascii="宋体" w:hAnsi="宋体" w:eastAsia="宋体" w:cs="宋体"/>
          <w:bCs/>
          <w:color w:val="auto"/>
          <w:spacing w:val="0"/>
          <w:kern w:val="0"/>
          <w:sz w:val="28"/>
          <w:szCs w:val="28"/>
          <w:highlight w:val="none"/>
        </w:rPr>
        <w:t>承包人使用的劳动力均应进行保险，否则不准安排工作，禁止使用童工。</w:t>
      </w:r>
    </w:p>
    <w:p w14:paraId="6B2F6CB0">
      <w:pPr>
        <w:keepNext w:val="0"/>
        <w:keepLines w:val="0"/>
        <w:pageBreakBefore w:val="0"/>
        <w:widowControl/>
        <w:kinsoku/>
        <w:wordWrap/>
        <w:overflowPunct/>
        <w:topLinePunct w:val="0"/>
        <w:autoSpaceDE w:val="0"/>
        <w:autoSpaceDN w:val="0"/>
        <w:bidi w:val="0"/>
        <w:adjustRightInd w:val="0"/>
        <w:snapToGrid w:val="0"/>
        <w:spacing w:line="500" w:lineRule="exact"/>
        <w:ind w:left="0" w:right="0" w:firstLine="560" w:firstLineChars="200"/>
        <w:textAlignment w:val="baseline"/>
        <w:rPr>
          <w:rFonts w:hint="eastAsia" w:ascii="宋体" w:hAnsi="宋体" w:eastAsia="宋体" w:cs="宋体"/>
          <w:bCs/>
          <w:color w:val="auto"/>
          <w:spacing w:val="0"/>
          <w:kern w:val="0"/>
          <w:sz w:val="28"/>
          <w:szCs w:val="28"/>
          <w:highlight w:val="none"/>
        </w:rPr>
      </w:pPr>
      <w:r>
        <w:rPr>
          <w:rFonts w:hint="eastAsia" w:ascii="宋体" w:hAnsi="宋体" w:eastAsia="宋体" w:cs="宋体"/>
          <w:color w:val="auto"/>
          <w:spacing w:val="0"/>
          <w:kern w:val="0"/>
          <w:sz w:val="28"/>
          <w:szCs w:val="28"/>
          <w:highlight w:val="none"/>
        </w:rPr>
        <w:t>9、</w:t>
      </w:r>
      <w:r>
        <w:rPr>
          <w:rFonts w:hint="eastAsia" w:ascii="宋体" w:hAnsi="宋体" w:eastAsia="宋体" w:cs="宋体"/>
          <w:bCs/>
          <w:color w:val="auto"/>
          <w:spacing w:val="0"/>
          <w:kern w:val="0"/>
          <w:sz w:val="28"/>
          <w:szCs w:val="28"/>
          <w:highlight w:val="none"/>
        </w:rPr>
        <w:t>凡竞标文件的合同条件、技术规范、设计图纸没有明显提及或明显遗漏或明显错误的，应以国内现行规范解释为依据，或以国内惯例解释处理。承包人发现后应及时向监理工程师报告，防止造成损失，并不利用以上文件的含糊、遗漏、错误或缺点索取利益。</w:t>
      </w:r>
    </w:p>
    <w:p w14:paraId="094FFFAD">
      <w:pPr>
        <w:keepNext w:val="0"/>
        <w:keepLines w:val="0"/>
        <w:pageBreakBefore w:val="0"/>
        <w:widowControl/>
        <w:kinsoku/>
        <w:wordWrap/>
        <w:overflowPunct/>
        <w:topLinePunct w:val="0"/>
        <w:autoSpaceDE w:val="0"/>
        <w:autoSpaceDN w:val="0"/>
        <w:bidi w:val="0"/>
        <w:adjustRightInd w:val="0"/>
        <w:snapToGrid w:val="0"/>
        <w:spacing w:line="500" w:lineRule="exact"/>
        <w:ind w:left="0" w:right="0" w:firstLine="560" w:firstLineChars="200"/>
        <w:textAlignment w:val="baseline"/>
        <w:rPr>
          <w:rFonts w:hint="eastAsia" w:ascii="宋体" w:hAnsi="宋体" w:eastAsia="宋体" w:cs="宋体"/>
          <w:bCs/>
          <w:color w:val="auto"/>
          <w:spacing w:val="0"/>
          <w:kern w:val="0"/>
          <w:sz w:val="28"/>
          <w:szCs w:val="28"/>
          <w:highlight w:val="none"/>
        </w:rPr>
      </w:pPr>
      <w:r>
        <w:rPr>
          <w:rFonts w:hint="eastAsia" w:ascii="宋体" w:hAnsi="宋体" w:eastAsia="宋体" w:cs="宋体"/>
          <w:bCs/>
          <w:color w:val="auto"/>
          <w:spacing w:val="0"/>
          <w:kern w:val="0"/>
          <w:sz w:val="28"/>
          <w:szCs w:val="28"/>
          <w:highlight w:val="none"/>
        </w:rPr>
        <w:t>10、承包人未能按时完成当月合同进度计划70%工程量的（非承包人原因除外），</w:t>
      </w:r>
      <w:r>
        <w:rPr>
          <w:rFonts w:hint="eastAsia" w:ascii="宋体" w:hAnsi="宋体" w:eastAsia="宋体" w:cs="宋体"/>
          <w:bCs/>
          <w:color w:val="auto"/>
          <w:spacing w:val="0"/>
          <w:kern w:val="0"/>
          <w:sz w:val="28"/>
          <w:szCs w:val="28"/>
          <w:highlight w:val="none"/>
          <w:lang w:eastAsia="zh-CN"/>
        </w:rPr>
        <w:t>建设单位</w:t>
      </w:r>
      <w:r>
        <w:rPr>
          <w:rFonts w:hint="eastAsia" w:ascii="宋体" w:hAnsi="宋体" w:eastAsia="宋体" w:cs="宋体"/>
          <w:bCs/>
          <w:color w:val="auto"/>
          <w:spacing w:val="0"/>
          <w:kern w:val="0"/>
          <w:sz w:val="28"/>
          <w:szCs w:val="28"/>
          <w:highlight w:val="none"/>
        </w:rPr>
        <w:t>有权自行组织施工，以不超过投标报价的2倍单价扣减承包人的进度款，支付自行组织施工完成的工程款。也有权终止本合同并清退承包人，承包人须在10天内离场，否则</w:t>
      </w:r>
      <w:r>
        <w:rPr>
          <w:rFonts w:hint="eastAsia" w:ascii="宋体" w:hAnsi="宋体" w:eastAsia="宋体" w:cs="宋体"/>
          <w:bCs/>
          <w:color w:val="auto"/>
          <w:spacing w:val="0"/>
          <w:kern w:val="0"/>
          <w:sz w:val="28"/>
          <w:szCs w:val="28"/>
          <w:highlight w:val="none"/>
          <w:lang w:eastAsia="zh-CN"/>
        </w:rPr>
        <w:t>建设单位</w:t>
      </w:r>
      <w:r>
        <w:rPr>
          <w:rFonts w:hint="eastAsia" w:ascii="宋体" w:hAnsi="宋体" w:eastAsia="宋体" w:cs="宋体"/>
          <w:bCs/>
          <w:color w:val="auto"/>
          <w:spacing w:val="0"/>
          <w:kern w:val="0"/>
          <w:sz w:val="28"/>
          <w:szCs w:val="28"/>
          <w:highlight w:val="none"/>
        </w:rPr>
        <w:t>将强行撤出所有施工设备，所造成的全部损失由承包人承担。</w:t>
      </w:r>
    </w:p>
    <w:p w14:paraId="7C13ED21">
      <w:pPr>
        <w:keepNext w:val="0"/>
        <w:keepLines w:val="0"/>
        <w:pageBreakBefore w:val="0"/>
        <w:widowControl/>
        <w:kinsoku/>
        <w:wordWrap/>
        <w:overflowPunct/>
        <w:topLinePunct w:val="0"/>
        <w:autoSpaceDE w:val="0"/>
        <w:autoSpaceDN w:val="0"/>
        <w:bidi w:val="0"/>
        <w:adjustRightInd w:val="0"/>
        <w:snapToGrid w:val="0"/>
        <w:spacing w:line="500" w:lineRule="exact"/>
        <w:ind w:left="0" w:right="0" w:firstLine="560" w:firstLineChars="200"/>
        <w:textAlignment w:val="baseline"/>
        <w:rPr>
          <w:rFonts w:hint="eastAsia" w:ascii="宋体" w:hAnsi="宋体" w:eastAsia="宋体" w:cs="宋体"/>
          <w:bCs/>
          <w:color w:val="auto"/>
          <w:spacing w:val="0"/>
          <w:kern w:val="0"/>
          <w:sz w:val="28"/>
          <w:szCs w:val="28"/>
          <w:highlight w:val="none"/>
        </w:rPr>
      </w:pPr>
      <w:r>
        <w:rPr>
          <w:rFonts w:hint="eastAsia" w:ascii="宋体" w:hAnsi="宋体" w:eastAsia="宋体" w:cs="宋体"/>
          <w:bCs/>
          <w:color w:val="auto"/>
          <w:spacing w:val="0"/>
          <w:kern w:val="0"/>
          <w:sz w:val="28"/>
          <w:szCs w:val="28"/>
          <w:highlight w:val="none"/>
        </w:rPr>
        <w:t>11、有关主管部门及</w:t>
      </w:r>
      <w:r>
        <w:rPr>
          <w:rFonts w:hint="eastAsia" w:ascii="宋体" w:hAnsi="宋体" w:eastAsia="宋体" w:cs="宋体"/>
          <w:bCs/>
          <w:color w:val="auto"/>
          <w:spacing w:val="0"/>
          <w:kern w:val="0"/>
          <w:sz w:val="28"/>
          <w:szCs w:val="28"/>
          <w:highlight w:val="none"/>
          <w:lang w:eastAsia="zh-CN"/>
        </w:rPr>
        <w:t>建设单位</w:t>
      </w:r>
      <w:r>
        <w:rPr>
          <w:rFonts w:hint="eastAsia" w:ascii="宋体" w:hAnsi="宋体" w:eastAsia="宋体" w:cs="宋体"/>
          <w:bCs/>
          <w:color w:val="auto"/>
          <w:spacing w:val="0"/>
          <w:kern w:val="0"/>
          <w:sz w:val="28"/>
          <w:szCs w:val="28"/>
          <w:highlight w:val="none"/>
        </w:rPr>
        <w:t>检查发现问题时，承包人应按要求整改。在规定时间内不进行整改或整改无效的，</w:t>
      </w:r>
      <w:r>
        <w:rPr>
          <w:rFonts w:hint="eastAsia" w:ascii="宋体" w:hAnsi="宋体" w:eastAsia="宋体" w:cs="宋体"/>
          <w:bCs/>
          <w:color w:val="auto"/>
          <w:spacing w:val="0"/>
          <w:kern w:val="0"/>
          <w:sz w:val="28"/>
          <w:szCs w:val="28"/>
          <w:highlight w:val="none"/>
          <w:lang w:eastAsia="zh-CN"/>
        </w:rPr>
        <w:t>建设单位</w:t>
      </w:r>
      <w:r>
        <w:rPr>
          <w:rFonts w:hint="eastAsia" w:ascii="宋体" w:hAnsi="宋体" w:eastAsia="宋体" w:cs="宋体"/>
          <w:bCs/>
          <w:color w:val="auto"/>
          <w:spacing w:val="0"/>
          <w:kern w:val="0"/>
          <w:sz w:val="28"/>
          <w:szCs w:val="28"/>
          <w:highlight w:val="none"/>
        </w:rPr>
        <w:t>有权终止本施工合同并清退承包人。承包人须在10天内离场，否则</w:t>
      </w:r>
      <w:r>
        <w:rPr>
          <w:rFonts w:hint="eastAsia" w:ascii="宋体" w:hAnsi="宋体" w:eastAsia="宋体" w:cs="宋体"/>
          <w:bCs/>
          <w:color w:val="auto"/>
          <w:spacing w:val="0"/>
          <w:kern w:val="0"/>
          <w:sz w:val="28"/>
          <w:szCs w:val="28"/>
          <w:highlight w:val="none"/>
          <w:lang w:eastAsia="zh-CN"/>
        </w:rPr>
        <w:t>建设单位</w:t>
      </w:r>
      <w:r>
        <w:rPr>
          <w:rFonts w:hint="eastAsia" w:ascii="宋体" w:hAnsi="宋体" w:eastAsia="宋体" w:cs="宋体"/>
          <w:bCs/>
          <w:color w:val="auto"/>
          <w:spacing w:val="0"/>
          <w:kern w:val="0"/>
          <w:sz w:val="28"/>
          <w:szCs w:val="28"/>
          <w:highlight w:val="none"/>
        </w:rPr>
        <w:t>将强行撤出所有施工设备，所造成的全部损失由承包人承担。</w:t>
      </w:r>
    </w:p>
    <w:p w14:paraId="1440517C">
      <w:pPr>
        <w:pStyle w:val="25"/>
        <w:keepNext w:val="0"/>
        <w:keepLines w:val="0"/>
        <w:pageBreakBefore w:val="0"/>
        <w:widowControl/>
        <w:kinsoku/>
        <w:wordWrap/>
        <w:overflowPunct/>
        <w:topLinePunct w:val="0"/>
        <w:autoSpaceDE w:val="0"/>
        <w:autoSpaceDN w:val="0"/>
        <w:bidi w:val="0"/>
        <w:adjustRightInd w:val="0"/>
        <w:snapToGrid w:val="0"/>
        <w:spacing w:after="0" w:line="500" w:lineRule="exact"/>
        <w:ind w:left="0" w:leftChars="0" w:right="0" w:firstLine="560" w:firstLineChars="200"/>
        <w:textAlignment w:val="baseline"/>
        <w:rPr>
          <w:rFonts w:hint="eastAsia" w:ascii="宋体" w:hAnsi="宋体" w:eastAsia="宋体" w:cs="宋体"/>
          <w:color w:val="auto"/>
          <w:spacing w:val="0"/>
          <w:sz w:val="28"/>
          <w:szCs w:val="28"/>
          <w:highlight w:val="none"/>
        </w:rPr>
      </w:pPr>
      <w:r>
        <w:rPr>
          <w:rFonts w:hint="eastAsia" w:ascii="宋体" w:hAnsi="宋体" w:eastAsia="宋体" w:cs="宋体"/>
          <w:bCs/>
          <w:color w:val="auto"/>
          <w:spacing w:val="0"/>
          <w:kern w:val="0"/>
          <w:sz w:val="28"/>
          <w:szCs w:val="28"/>
          <w:highlight w:val="none"/>
        </w:rPr>
        <w:t>12、</w:t>
      </w:r>
      <w:r>
        <w:rPr>
          <w:rFonts w:hint="eastAsia" w:ascii="宋体" w:hAnsi="宋体" w:eastAsia="宋体" w:cs="宋体"/>
          <w:color w:val="auto"/>
          <w:spacing w:val="0"/>
          <w:sz w:val="28"/>
          <w:szCs w:val="28"/>
          <w:highlight w:val="none"/>
        </w:rPr>
        <w:t>承诺若出现以下情况，愿意放弃在广西水利系统一年的投标资格：</w:t>
      </w:r>
    </w:p>
    <w:p w14:paraId="115CF4F4">
      <w:pPr>
        <w:pStyle w:val="25"/>
        <w:keepNext w:val="0"/>
        <w:keepLines w:val="0"/>
        <w:pageBreakBefore w:val="0"/>
        <w:widowControl/>
        <w:kinsoku/>
        <w:wordWrap/>
        <w:overflowPunct/>
        <w:topLinePunct w:val="0"/>
        <w:autoSpaceDE w:val="0"/>
        <w:autoSpaceDN w:val="0"/>
        <w:bidi w:val="0"/>
        <w:adjustRightInd w:val="0"/>
        <w:snapToGrid w:val="0"/>
        <w:spacing w:after="0" w:line="500" w:lineRule="exact"/>
        <w:ind w:left="0" w:leftChars="0" w:right="0" w:firstLine="560" w:firstLineChars="200"/>
        <w:textAlignment w:val="baseline"/>
        <w:rPr>
          <w:rFonts w:hint="eastAsia" w:ascii="宋体" w:hAnsi="宋体" w:eastAsia="宋体" w:cs="宋体"/>
          <w:color w:val="auto"/>
          <w:spacing w:val="0"/>
          <w:sz w:val="28"/>
          <w:szCs w:val="28"/>
          <w:highlight w:val="none"/>
        </w:rPr>
      </w:pPr>
      <w:r>
        <w:rPr>
          <w:rFonts w:hint="eastAsia" w:ascii="宋体" w:hAnsi="宋体" w:eastAsia="宋体" w:cs="宋体"/>
          <w:color w:val="auto"/>
          <w:spacing w:val="0"/>
          <w:sz w:val="28"/>
          <w:szCs w:val="28"/>
          <w:highlight w:val="none"/>
        </w:rPr>
        <w:t>A、在竞标文件中故意改变工程量的；</w:t>
      </w:r>
    </w:p>
    <w:p w14:paraId="64ED6861">
      <w:pPr>
        <w:pStyle w:val="25"/>
        <w:keepNext w:val="0"/>
        <w:keepLines w:val="0"/>
        <w:pageBreakBefore w:val="0"/>
        <w:widowControl/>
        <w:kinsoku/>
        <w:wordWrap/>
        <w:overflowPunct/>
        <w:topLinePunct w:val="0"/>
        <w:autoSpaceDE w:val="0"/>
        <w:autoSpaceDN w:val="0"/>
        <w:bidi w:val="0"/>
        <w:adjustRightInd w:val="0"/>
        <w:snapToGrid w:val="0"/>
        <w:spacing w:after="0" w:line="500" w:lineRule="exact"/>
        <w:ind w:left="0" w:leftChars="0" w:right="0" w:firstLine="560" w:firstLineChars="200"/>
        <w:textAlignment w:val="baseline"/>
        <w:rPr>
          <w:rFonts w:hint="eastAsia" w:ascii="宋体" w:hAnsi="宋体" w:eastAsia="宋体" w:cs="宋体"/>
          <w:color w:val="auto"/>
          <w:spacing w:val="0"/>
          <w:sz w:val="28"/>
          <w:szCs w:val="28"/>
          <w:highlight w:val="none"/>
        </w:rPr>
      </w:pPr>
      <w:r>
        <w:rPr>
          <w:rFonts w:hint="eastAsia" w:ascii="宋体" w:hAnsi="宋体" w:eastAsia="宋体" w:cs="宋体"/>
          <w:color w:val="auto"/>
          <w:spacing w:val="0"/>
          <w:sz w:val="28"/>
          <w:szCs w:val="28"/>
          <w:highlight w:val="none"/>
        </w:rPr>
        <w:t xml:space="preserve">B、两个投标人报价完全一致的； </w:t>
      </w:r>
    </w:p>
    <w:p w14:paraId="47B80D24">
      <w:pPr>
        <w:pStyle w:val="25"/>
        <w:keepNext w:val="0"/>
        <w:keepLines w:val="0"/>
        <w:pageBreakBefore w:val="0"/>
        <w:widowControl/>
        <w:kinsoku/>
        <w:wordWrap/>
        <w:overflowPunct/>
        <w:topLinePunct w:val="0"/>
        <w:autoSpaceDE w:val="0"/>
        <w:autoSpaceDN w:val="0"/>
        <w:bidi w:val="0"/>
        <w:adjustRightInd w:val="0"/>
        <w:snapToGrid w:val="0"/>
        <w:spacing w:after="0" w:line="500" w:lineRule="exact"/>
        <w:ind w:left="0" w:leftChars="0" w:right="0" w:firstLine="560" w:firstLineChars="200"/>
        <w:textAlignment w:val="baseline"/>
        <w:rPr>
          <w:rFonts w:hint="eastAsia" w:ascii="宋体" w:hAnsi="宋体" w:eastAsia="宋体" w:cs="宋体"/>
          <w:color w:val="auto"/>
          <w:spacing w:val="0"/>
          <w:sz w:val="28"/>
          <w:szCs w:val="28"/>
          <w:highlight w:val="none"/>
        </w:rPr>
      </w:pPr>
      <w:r>
        <w:rPr>
          <w:rFonts w:hint="eastAsia" w:ascii="宋体" w:hAnsi="宋体" w:eastAsia="宋体" w:cs="宋体"/>
          <w:color w:val="auto"/>
          <w:spacing w:val="0"/>
          <w:sz w:val="28"/>
          <w:szCs w:val="28"/>
          <w:highlight w:val="none"/>
        </w:rPr>
        <w:t>C、成交后无正当理由不能按合同工期完工的。</w:t>
      </w:r>
    </w:p>
    <w:p w14:paraId="2088A4DD">
      <w:pPr>
        <w:keepNext w:val="0"/>
        <w:keepLines w:val="0"/>
        <w:pageBreakBefore w:val="0"/>
        <w:widowControl/>
        <w:kinsoku/>
        <w:wordWrap/>
        <w:overflowPunct/>
        <w:topLinePunct w:val="0"/>
        <w:autoSpaceDE w:val="0"/>
        <w:autoSpaceDN w:val="0"/>
        <w:bidi w:val="0"/>
        <w:adjustRightInd w:val="0"/>
        <w:snapToGrid w:val="0"/>
        <w:spacing w:line="500" w:lineRule="exact"/>
        <w:ind w:left="0" w:right="0" w:firstLine="540" w:firstLineChars="193"/>
        <w:textAlignment w:val="baseline"/>
        <w:rPr>
          <w:rFonts w:hint="eastAsia" w:ascii="宋体" w:hAnsi="宋体" w:eastAsia="宋体" w:cs="宋体"/>
          <w:color w:val="auto"/>
          <w:spacing w:val="0"/>
          <w:kern w:val="0"/>
          <w:sz w:val="28"/>
          <w:szCs w:val="28"/>
          <w:highlight w:val="none"/>
        </w:rPr>
      </w:pPr>
      <w:r>
        <w:rPr>
          <w:rFonts w:hint="eastAsia" w:ascii="宋体" w:hAnsi="宋体" w:eastAsia="宋体" w:cs="宋体"/>
          <w:bCs/>
          <w:color w:val="auto"/>
          <w:spacing w:val="0"/>
          <w:kern w:val="0"/>
          <w:sz w:val="28"/>
          <w:szCs w:val="28"/>
          <w:highlight w:val="none"/>
        </w:rPr>
        <w:t>D、</w:t>
      </w:r>
      <w:r>
        <w:rPr>
          <w:rFonts w:hint="eastAsia" w:ascii="宋体" w:hAnsi="宋体" w:eastAsia="宋体" w:cs="宋体"/>
          <w:color w:val="auto"/>
          <w:spacing w:val="0"/>
          <w:kern w:val="0"/>
          <w:sz w:val="28"/>
          <w:szCs w:val="28"/>
          <w:highlight w:val="none"/>
        </w:rPr>
        <w:t>项目经理、技术负责人、质量检查员、安全员和主要机械设备不符合合同承诺的；</w:t>
      </w:r>
    </w:p>
    <w:p w14:paraId="4C0CD2F6">
      <w:pPr>
        <w:keepNext w:val="0"/>
        <w:keepLines w:val="0"/>
        <w:pageBreakBefore w:val="0"/>
        <w:widowControl/>
        <w:kinsoku/>
        <w:wordWrap/>
        <w:overflowPunct/>
        <w:topLinePunct w:val="0"/>
        <w:autoSpaceDE w:val="0"/>
        <w:autoSpaceDN w:val="0"/>
        <w:bidi w:val="0"/>
        <w:adjustRightInd w:val="0"/>
        <w:snapToGrid w:val="0"/>
        <w:spacing w:line="500" w:lineRule="exact"/>
        <w:ind w:left="0" w:right="0" w:firstLine="560" w:firstLineChars="200"/>
        <w:textAlignment w:val="baseline"/>
        <w:rPr>
          <w:rFonts w:hint="eastAsia" w:ascii="宋体" w:hAnsi="宋体" w:eastAsia="宋体" w:cs="宋体"/>
          <w:color w:val="auto"/>
          <w:spacing w:val="0"/>
          <w:kern w:val="0"/>
          <w:sz w:val="28"/>
          <w:szCs w:val="28"/>
          <w:highlight w:val="none"/>
        </w:rPr>
      </w:pPr>
      <w:r>
        <w:rPr>
          <w:rFonts w:hint="eastAsia" w:ascii="宋体" w:hAnsi="宋体" w:eastAsia="宋体" w:cs="宋体"/>
          <w:bCs/>
          <w:color w:val="auto"/>
          <w:spacing w:val="0"/>
          <w:kern w:val="0"/>
          <w:sz w:val="28"/>
          <w:szCs w:val="28"/>
          <w:highlight w:val="none"/>
        </w:rPr>
        <w:t>E、</w:t>
      </w:r>
      <w:r>
        <w:rPr>
          <w:rFonts w:hint="eastAsia" w:ascii="宋体" w:hAnsi="宋体" w:eastAsia="宋体" w:cs="宋体"/>
          <w:color w:val="auto"/>
          <w:spacing w:val="0"/>
          <w:kern w:val="0"/>
          <w:sz w:val="28"/>
          <w:szCs w:val="28"/>
          <w:highlight w:val="none"/>
        </w:rPr>
        <w:t>未履行规定手续，擅自变更项目部主要管理人员的；</w:t>
      </w:r>
    </w:p>
    <w:p w14:paraId="2DABD05A">
      <w:pPr>
        <w:keepNext w:val="0"/>
        <w:keepLines w:val="0"/>
        <w:pageBreakBefore w:val="0"/>
        <w:widowControl/>
        <w:kinsoku/>
        <w:wordWrap/>
        <w:overflowPunct/>
        <w:topLinePunct w:val="0"/>
        <w:autoSpaceDE w:val="0"/>
        <w:autoSpaceDN w:val="0"/>
        <w:bidi w:val="0"/>
        <w:adjustRightInd w:val="0"/>
        <w:snapToGrid w:val="0"/>
        <w:spacing w:line="500" w:lineRule="exact"/>
        <w:ind w:left="0" w:right="0" w:firstLine="540" w:firstLineChars="193"/>
        <w:textAlignment w:val="baseline"/>
        <w:rPr>
          <w:rFonts w:hint="eastAsia" w:ascii="宋体" w:hAnsi="宋体" w:eastAsia="宋体" w:cs="宋体"/>
          <w:color w:val="auto"/>
          <w:spacing w:val="0"/>
          <w:kern w:val="0"/>
          <w:sz w:val="28"/>
          <w:szCs w:val="28"/>
          <w:highlight w:val="none"/>
        </w:rPr>
      </w:pPr>
      <w:r>
        <w:rPr>
          <w:rFonts w:hint="eastAsia" w:ascii="宋体" w:hAnsi="宋体" w:eastAsia="宋体" w:cs="宋体"/>
          <w:color w:val="auto"/>
          <w:spacing w:val="0"/>
          <w:kern w:val="0"/>
          <w:sz w:val="28"/>
          <w:szCs w:val="28"/>
          <w:highlight w:val="none"/>
        </w:rPr>
        <w:t>F、项目经理无故脱岗，或离岗超过3天未报项目法人批准的，或不能正常履行岗位职责的；</w:t>
      </w:r>
    </w:p>
    <w:p w14:paraId="48312796">
      <w:pPr>
        <w:keepNext w:val="0"/>
        <w:keepLines w:val="0"/>
        <w:pageBreakBefore w:val="0"/>
        <w:widowControl/>
        <w:kinsoku/>
        <w:wordWrap/>
        <w:overflowPunct/>
        <w:topLinePunct w:val="0"/>
        <w:autoSpaceDE w:val="0"/>
        <w:autoSpaceDN w:val="0"/>
        <w:bidi w:val="0"/>
        <w:adjustRightInd w:val="0"/>
        <w:snapToGrid w:val="0"/>
        <w:spacing w:line="500" w:lineRule="exact"/>
        <w:ind w:left="0" w:right="0" w:firstLine="540" w:firstLineChars="193"/>
        <w:textAlignment w:val="baseline"/>
        <w:rPr>
          <w:rFonts w:hint="eastAsia" w:ascii="宋体" w:hAnsi="宋体" w:eastAsia="宋体" w:cs="宋体"/>
          <w:color w:val="auto"/>
          <w:spacing w:val="0"/>
          <w:kern w:val="0"/>
          <w:sz w:val="28"/>
          <w:szCs w:val="28"/>
          <w:highlight w:val="none"/>
        </w:rPr>
      </w:pPr>
      <w:r>
        <w:rPr>
          <w:rFonts w:hint="eastAsia" w:ascii="宋体" w:hAnsi="宋体" w:eastAsia="宋体" w:cs="宋体"/>
          <w:bCs/>
          <w:color w:val="auto"/>
          <w:spacing w:val="0"/>
          <w:kern w:val="0"/>
          <w:sz w:val="28"/>
          <w:szCs w:val="28"/>
          <w:highlight w:val="none"/>
        </w:rPr>
        <w:t>G、</w:t>
      </w:r>
      <w:r>
        <w:rPr>
          <w:rFonts w:hint="eastAsia" w:ascii="宋体" w:hAnsi="宋体" w:eastAsia="宋体" w:cs="宋体"/>
          <w:color w:val="auto"/>
          <w:spacing w:val="0"/>
          <w:kern w:val="0"/>
          <w:sz w:val="28"/>
          <w:szCs w:val="28"/>
          <w:highlight w:val="none"/>
        </w:rPr>
        <w:t>不按监理单位要求整改，导致不能及时消除安全事故隐患的；</w:t>
      </w:r>
    </w:p>
    <w:p w14:paraId="79B84E8F">
      <w:pPr>
        <w:keepNext w:val="0"/>
        <w:keepLines w:val="0"/>
        <w:pageBreakBefore w:val="0"/>
        <w:widowControl/>
        <w:kinsoku/>
        <w:wordWrap/>
        <w:overflowPunct/>
        <w:topLinePunct w:val="0"/>
        <w:autoSpaceDE w:val="0"/>
        <w:autoSpaceDN w:val="0"/>
        <w:bidi w:val="0"/>
        <w:adjustRightInd w:val="0"/>
        <w:snapToGrid w:val="0"/>
        <w:spacing w:line="500" w:lineRule="exact"/>
        <w:ind w:left="0" w:right="0" w:firstLine="560" w:firstLineChars="200"/>
        <w:textAlignment w:val="baseline"/>
        <w:rPr>
          <w:rFonts w:hint="eastAsia" w:ascii="宋体" w:hAnsi="宋体" w:eastAsia="宋体" w:cs="宋体"/>
          <w:bCs/>
          <w:color w:val="auto"/>
          <w:spacing w:val="0"/>
          <w:kern w:val="0"/>
          <w:sz w:val="28"/>
          <w:szCs w:val="28"/>
          <w:highlight w:val="none"/>
        </w:rPr>
      </w:pPr>
      <w:r>
        <w:rPr>
          <w:rFonts w:hint="eastAsia" w:ascii="宋体" w:hAnsi="宋体" w:eastAsia="宋体" w:cs="宋体"/>
          <w:bCs/>
          <w:color w:val="auto"/>
          <w:spacing w:val="0"/>
          <w:kern w:val="0"/>
          <w:sz w:val="28"/>
          <w:szCs w:val="28"/>
          <w:highlight w:val="none"/>
        </w:rPr>
        <w:t>L、</w:t>
      </w:r>
      <w:r>
        <w:rPr>
          <w:rFonts w:hint="eastAsia" w:ascii="宋体" w:hAnsi="宋体" w:eastAsia="宋体" w:cs="宋体"/>
          <w:color w:val="auto"/>
          <w:spacing w:val="0"/>
          <w:kern w:val="0"/>
          <w:sz w:val="28"/>
          <w:szCs w:val="28"/>
          <w:highlight w:val="none"/>
        </w:rPr>
        <w:t>重要隐蔽工程未经联检就擅自施工的。</w:t>
      </w:r>
    </w:p>
    <w:p w14:paraId="25E977C6">
      <w:pPr>
        <w:keepNext w:val="0"/>
        <w:keepLines w:val="0"/>
        <w:pageBreakBefore w:val="0"/>
        <w:widowControl/>
        <w:kinsoku/>
        <w:wordWrap/>
        <w:overflowPunct/>
        <w:topLinePunct w:val="0"/>
        <w:autoSpaceDE w:val="0"/>
        <w:autoSpaceDN w:val="0"/>
        <w:bidi w:val="0"/>
        <w:adjustRightInd w:val="0"/>
        <w:snapToGrid w:val="0"/>
        <w:spacing w:line="500" w:lineRule="exact"/>
        <w:ind w:left="0" w:right="0" w:firstLine="560" w:firstLineChars="200"/>
        <w:textAlignment w:val="baseline"/>
        <w:rPr>
          <w:rFonts w:hint="eastAsia" w:ascii="宋体" w:hAnsi="宋体" w:eastAsia="宋体" w:cs="宋体"/>
          <w:color w:val="auto"/>
          <w:spacing w:val="0"/>
          <w:sz w:val="28"/>
          <w:szCs w:val="28"/>
          <w:highlight w:val="none"/>
        </w:rPr>
      </w:pPr>
      <w:r>
        <w:rPr>
          <w:rFonts w:hint="eastAsia" w:ascii="宋体" w:hAnsi="宋体" w:eastAsia="宋体" w:cs="宋体"/>
          <w:color w:val="auto"/>
          <w:spacing w:val="0"/>
          <w:sz w:val="28"/>
          <w:szCs w:val="28"/>
          <w:highlight w:val="none"/>
        </w:rPr>
        <w:t>I、发生重大工程质量或重大安全责任事故的</w:t>
      </w:r>
    </w:p>
    <w:p w14:paraId="0152AD3D">
      <w:pPr>
        <w:keepNext w:val="0"/>
        <w:keepLines w:val="0"/>
        <w:pageBreakBefore w:val="0"/>
        <w:widowControl/>
        <w:kinsoku/>
        <w:wordWrap/>
        <w:overflowPunct/>
        <w:topLinePunct w:val="0"/>
        <w:autoSpaceDE w:val="0"/>
        <w:autoSpaceDN w:val="0"/>
        <w:bidi w:val="0"/>
        <w:adjustRightInd w:val="0"/>
        <w:snapToGrid w:val="0"/>
        <w:spacing w:line="500" w:lineRule="exact"/>
        <w:ind w:left="0" w:right="0" w:firstLine="560" w:firstLineChars="200"/>
        <w:textAlignment w:val="baseline"/>
        <w:rPr>
          <w:rFonts w:hint="eastAsia" w:ascii="宋体" w:hAnsi="宋体" w:eastAsia="宋体" w:cs="宋体"/>
          <w:bCs/>
          <w:color w:val="auto"/>
          <w:spacing w:val="0"/>
          <w:kern w:val="0"/>
          <w:sz w:val="28"/>
          <w:szCs w:val="28"/>
          <w:highlight w:val="none"/>
        </w:rPr>
      </w:pPr>
      <w:r>
        <w:rPr>
          <w:rFonts w:hint="eastAsia" w:ascii="宋体" w:hAnsi="宋体" w:eastAsia="宋体" w:cs="宋体"/>
          <w:bCs/>
          <w:color w:val="auto"/>
          <w:spacing w:val="0"/>
          <w:kern w:val="0"/>
          <w:sz w:val="28"/>
          <w:szCs w:val="28"/>
          <w:highlight w:val="none"/>
        </w:rPr>
        <w:t>13、承包人在签订施工合同时，项目经理、技术负责人必须出席签订合同地点，否则</w:t>
      </w:r>
      <w:r>
        <w:rPr>
          <w:rFonts w:hint="eastAsia" w:ascii="宋体" w:hAnsi="宋体" w:eastAsia="宋体" w:cs="宋体"/>
          <w:bCs/>
          <w:color w:val="auto"/>
          <w:spacing w:val="0"/>
          <w:kern w:val="0"/>
          <w:sz w:val="28"/>
          <w:szCs w:val="28"/>
          <w:highlight w:val="none"/>
          <w:lang w:eastAsia="zh-CN"/>
        </w:rPr>
        <w:t>建设单位</w:t>
      </w:r>
      <w:r>
        <w:rPr>
          <w:rFonts w:hint="eastAsia" w:ascii="宋体" w:hAnsi="宋体" w:eastAsia="宋体" w:cs="宋体"/>
          <w:bCs/>
          <w:color w:val="auto"/>
          <w:spacing w:val="0"/>
          <w:kern w:val="0"/>
          <w:sz w:val="28"/>
          <w:szCs w:val="28"/>
          <w:highlight w:val="none"/>
        </w:rPr>
        <w:t>有权取消承包人承包资格。</w:t>
      </w:r>
    </w:p>
    <w:p w14:paraId="629B0871">
      <w:pPr>
        <w:keepNext w:val="0"/>
        <w:keepLines w:val="0"/>
        <w:pageBreakBefore w:val="0"/>
        <w:widowControl/>
        <w:kinsoku/>
        <w:wordWrap/>
        <w:overflowPunct/>
        <w:topLinePunct w:val="0"/>
        <w:autoSpaceDE w:val="0"/>
        <w:autoSpaceDN w:val="0"/>
        <w:bidi w:val="0"/>
        <w:adjustRightInd w:val="0"/>
        <w:snapToGrid w:val="0"/>
        <w:spacing w:line="500" w:lineRule="exact"/>
        <w:ind w:left="0" w:right="0" w:firstLine="562" w:firstLineChars="200"/>
        <w:textAlignment w:val="baseline"/>
        <w:rPr>
          <w:rFonts w:hint="eastAsia" w:ascii="宋体" w:hAnsi="宋体" w:eastAsia="宋体" w:cs="宋体"/>
          <w:bCs/>
          <w:color w:val="auto"/>
          <w:spacing w:val="0"/>
          <w:kern w:val="0"/>
          <w:sz w:val="28"/>
          <w:szCs w:val="28"/>
          <w:highlight w:val="none"/>
        </w:rPr>
      </w:pPr>
      <w:r>
        <w:rPr>
          <w:rFonts w:hint="eastAsia" w:ascii="宋体" w:hAnsi="宋体" w:eastAsia="宋体" w:cs="宋体"/>
          <w:b/>
          <w:bCs/>
          <w:color w:val="auto"/>
          <w:spacing w:val="0"/>
          <w:kern w:val="0"/>
          <w:sz w:val="28"/>
          <w:szCs w:val="28"/>
          <w:highlight w:val="none"/>
        </w:rPr>
        <w:t>25.2</w:t>
      </w:r>
      <w:r>
        <w:rPr>
          <w:rFonts w:hint="eastAsia" w:ascii="宋体" w:hAnsi="宋体" w:eastAsia="宋体" w:cs="宋体"/>
          <w:bCs/>
          <w:color w:val="auto"/>
          <w:spacing w:val="0"/>
          <w:kern w:val="0"/>
          <w:sz w:val="28"/>
          <w:szCs w:val="28"/>
          <w:highlight w:val="none"/>
        </w:rPr>
        <w:t> </w:t>
      </w:r>
      <w:r>
        <w:rPr>
          <w:rFonts w:hint="eastAsia" w:ascii="宋体" w:hAnsi="宋体" w:eastAsia="宋体" w:cs="宋体"/>
          <w:bCs/>
          <w:color w:val="auto"/>
          <w:spacing w:val="0"/>
          <w:kern w:val="0"/>
          <w:sz w:val="28"/>
          <w:szCs w:val="28"/>
          <w:highlight w:val="none"/>
          <w:lang w:eastAsia="zh-CN"/>
        </w:rPr>
        <w:t>建设单位</w:t>
      </w:r>
      <w:r>
        <w:rPr>
          <w:rFonts w:hint="eastAsia" w:ascii="宋体" w:hAnsi="宋体" w:eastAsia="宋体" w:cs="宋体"/>
          <w:bCs/>
          <w:color w:val="auto"/>
          <w:spacing w:val="0"/>
          <w:kern w:val="0"/>
          <w:sz w:val="28"/>
          <w:szCs w:val="28"/>
          <w:highlight w:val="none"/>
        </w:rPr>
        <w:t>所有付款(含预付款)均转入如下承包人单位基本账户(签订施工合同时标明)，承包人单位基本账户发生改变时，承包人应书面通知（法定代表人签名并加盖单位公章）</w:t>
      </w:r>
      <w:r>
        <w:rPr>
          <w:rFonts w:hint="eastAsia" w:ascii="宋体" w:hAnsi="宋体" w:eastAsia="宋体" w:cs="宋体"/>
          <w:bCs/>
          <w:color w:val="auto"/>
          <w:spacing w:val="0"/>
          <w:kern w:val="0"/>
          <w:sz w:val="28"/>
          <w:szCs w:val="28"/>
          <w:highlight w:val="none"/>
          <w:lang w:eastAsia="zh-CN"/>
        </w:rPr>
        <w:t>建设单位</w:t>
      </w:r>
      <w:r>
        <w:rPr>
          <w:rFonts w:hint="eastAsia" w:ascii="宋体" w:hAnsi="宋体" w:eastAsia="宋体" w:cs="宋体"/>
          <w:bCs/>
          <w:color w:val="auto"/>
          <w:spacing w:val="0"/>
          <w:kern w:val="0"/>
          <w:sz w:val="28"/>
          <w:szCs w:val="28"/>
          <w:highlight w:val="none"/>
        </w:rPr>
        <w:t>。</w:t>
      </w:r>
    </w:p>
    <w:p w14:paraId="7F04E71C">
      <w:pPr>
        <w:keepNext w:val="0"/>
        <w:keepLines w:val="0"/>
        <w:pageBreakBefore w:val="0"/>
        <w:widowControl/>
        <w:kinsoku/>
        <w:wordWrap/>
        <w:overflowPunct/>
        <w:topLinePunct w:val="0"/>
        <w:autoSpaceDE w:val="0"/>
        <w:autoSpaceDN w:val="0"/>
        <w:bidi w:val="0"/>
        <w:adjustRightInd w:val="0"/>
        <w:snapToGrid w:val="0"/>
        <w:spacing w:line="500" w:lineRule="exact"/>
        <w:ind w:left="0" w:right="0" w:firstLine="562" w:firstLineChars="200"/>
        <w:textAlignment w:val="baseline"/>
        <w:rPr>
          <w:rFonts w:hint="eastAsia" w:ascii="宋体" w:hAnsi="宋体" w:eastAsia="宋体" w:cs="宋体"/>
          <w:bCs/>
          <w:color w:val="auto"/>
          <w:spacing w:val="0"/>
          <w:kern w:val="0"/>
          <w:sz w:val="28"/>
          <w:szCs w:val="28"/>
          <w:highlight w:val="none"/>
        </w:rPr>
      </w:pPr>
      <w:r>
        <w:rPr>
          <w:rFonts w:hint="eastAsia" w:ascii="宋体" w:hAnsi="宋体" w:eastAsia="宋体" w:cs="宋体"/>
          <w:b/>
          <w:bCs/>
          <w:color w:val="auto"/>
          <w:spacing w:val="0"/>
          <w:kern w:val="0"/>
          <w:sz w:val="28"/>
          <w:szCs w:val="28"/>
          <w:highlight w:val="none"/>
        </w:rPr>
        <w:t>25.3</w:t>
      </w:r>
      <w:r>
        <w:rPr>
          <w:rFonts w:hint="eastAsia" w:ascii="宋体" w:hAnsi="宋体" w:eastAsia="宋体" w:cs="宋体"/>
          <w:bCs/>
          <w:color w:val="auto"/>
          <w:spacing w:val="0"/>
          <w:kern w:val="0"/>
          <w:sz w:val="28"/>
          <w:szCs w:val="28"/>
          <w:highlight w:val="none"/>
        </w:rPr>
        <w:t>根据</w:t>
      </w:r>
      <w:r>
        <w:rPr>
          <w:rFonts w:hint="eastAsia" w:ascii="宋体" w:hAnsi="宋体" w:eastAsia="宋体" w:cs="宋体"/>
          <w:bCs/>
          <w:color w:val="auto"/>
          <w:spacing w:val="0"/>
          <w:kern w:val="0"/>
          <w:sz w:val="28"/>
          <w:szCs w:val="28"/>
          <w:highlight w:val="none"/>
          <w:lang w:eastAsia="zh-CN"/>
        </w:rPr>
        <w:t>建设单位</w:t>
      </w:r>
      <w:r>
        <w:rPr>
          <w:rFonts w:hint="eastAsia" w:ascii="宋体" w:hAnsi="宋体" w:eastAsia="宋体" w:cs="宋体"/>
          <w:bCs/>
          <w:color w:val="auto"/>
          <w:spacing w:val="0"/>
          <w:kern w:val="0"/>
          <w:sz w:val="28"/>
          <w:szCs w:val="28"/>
          <w:highlight w:val="none"/>
        </w:rPr>
        <w:t>相关部门的档案管理要求提供施工竣工和结算资料，其中竣工资料5份，结算资料3份，所有资料提供电子档1份。</w:t>
      </w:r>
    </w:p>
    <w:p w14:paraId="63CFA094">
      <w:pPr>
        <w:keepNext w:val="0"/>
        <w:keepLines w:val="0"/>
        <w:pageBreakBefore w:val="0"/>
        <w:widowControl/>
        <w:kinsoku/>
        <w:wordWrap/>
        <w:overflowPunct/>
        <w:topLinePunct w:val="0"/>
        <w:autoSpaceDE w:val="0"/>
        <w:autoSpaceDN w:val="0"/>
        <w:bidi w:val="0"/>
        <w:adjustRightInd w:val="0"/>
        <w:snapToGrid w:val="0"/>
        <w:spacing w:line="500" w:lineRule="exact"/>
        <w:ind w:left="0" w:right="0" w:firstLine="562" w:firstLineChars="200"/>
        <w:textAlignment w:val="baseline"/>
        <w:rPr>
          <w:rFonts w:hint="eastAsia" w:ascii="宋体" w:hAnsi="宋体" w:eastAsia="宋体" w:cs="宋体"/>
          <w:bCs/>
          <w:color w:val="auto"/>
          <w:spacing w:val="0"/>
          <w:kern w:val="0"/>
          <w:sz w:val="28"/>
          <w:szCs w:val="28"/>
          <w:highlight w:val="none"/>
        </w:rPr>
      </w:pPr>
      <w:r>
        <w:rPr>
          <w:rFonts w:hint="eastAsia" w:ascii="宋体" w:hAnsi="宋体" w:eastAsia="宋体" w:cs="宋体"/>
          <w:b/>
          <w:bCs/>
          <w:color w:val="auto"/>
          <w:spacing w:val="0"/>
          <w:kern w:val="0"/>
          <w:sz w:val="28"/>
          <w:szCs w:val="28"/>
          <w:highlight w:val="none"/>
        </w:rPr>
        <w:t>25.4</w:t>
      </w:r>
      <w:r>
        <w:rPr>
          <w:rFonts w:hint="eastAsia" w:ascii="宋体" w:hAnsi="宋体" w:eastAsia="宋体" w:cs="宋体"/>
          <w:bCs/>
          <w:color w:val="auto"/>
          <w:spacing w:val="0"/>
          <w:kern w:val="0"/>
          <w:sz w:val="28"/>
          <w:szCs w:val="28"/>
          <w:highlight w:val="none"/>
        </w:rPr>
        <w:t>承包方应在开工前提交所有工程报建报监资料，并按要求办理开工前相应手续，且所有施工签证等相关手续符合当地规范规定；工程过程中涉及的办证由承包方负责并承担相关费用，</w:t>
      </w:r>
      <w:r>
        <w:rPr>
          <w:rFonts w:hint="eastAsia" w:ascii="宋体" w:hAnsi="宋体" w:eastAsia="宋体" w:cs="宋体"/>
          <w:bCs/>
          <w:color w:val="auto"/>
          <w:spacing w:val="0"/>
          <w:kern w:val="0"/>
          <w:sz w:val="28"/>
          <w:szCs w:val="28"/>
          <w:highlight w:val="none"/>
          <w:lang w:eastAsia="zh-CN"/>
        </w:rPr>
        <w:t>建设单位</w:t>
      </w:r>
      <w:r>
        <w:rPr>
          <w:rFonts w:hint="eastAsia" w:ascii="宋体" w:hAnsi="宋体" w:eastAsia="宋体" w:cs="宋体"/>
          <w:bCs/>
          <w:color w:val="auto"/>
          <w:spacing w:val="0"/>
          <w:kern w:val="0"/>
          <w:sz w:val="28"/>
          <w:szCs w:val="28"/>
          <w:highlight w:val="none"/>
        </w:rPr>
        <w:t>协助承包人办理。</w:t>
      </w:r>
    </w:p>
    <w:p w14:paraId="70A61BE2">
      <w:pPr>
        <w:keepNext w:val="0"/>
        <w:keepLines w:val="0"/>
        <w:pageBreakBefore w:val="0"/>
        <w:widowControl/>
        <w:kinsoku/>
        <w:wordWrap/>
        <w:overflowPunct/>
        <w:topLinePunct w:val="0"/>
        <w:autoSpaceDE w:val="0"/>
        <w:autoSpaceDN w:val="0"/>
        <w:bidi w:val="0"/>
        <w:adjustRightInd w:val="0"/>
        <w:snapToGrid w:val="0"/>
        <w:spacing w:line="500" w:lineRule="exact"/>
        <w:ind w:left="0" w:right="0" w:firstLine="562" w:firstLineChars="200"/>
        <w:textAlignment w:val="baseline"/>
        <w:rPr>
          <w:rFonts w:hint="eastAsia" w:ascii="宋体" w:hAnsi="宋体" w:eastAsia="宋体" w:cs="宋体"/>
          <w:bCs/>
          <w:color w:val="auto"/>
          <w:spacing w:val="0"/>
          <w:kern w:val="0"/>
          <w:sz w:val="28"/>
          <w:szCs w:val="28"/>
          <w:highlight w:val="none"/>
        </w:rPr>
      </w:pPr>
      <w:r>
        <w:rPr>
          <w:rFonts w:hint="eastAsia" w:ascii="宋体" w:hAnsi="宋体" w:eastAsia="宋体" w:cs="宋体"/>
          <w:b/>
          <w:bCs/>
          <w:color w:val="auto"/>
          <w:spacing w:val="0"/>
          <w:kern w:val="0"/>
          <w:sz w:val="28"/>
          <w:szCs w:val="28"/>
          <w:highlight w:val="none"/>
        </w:rPr>
        <w:t>25.5</w:t>
      </w:r>
      <w:r>
        <w:rPr>
          <w:rFonts w:hint="eastAsia" w:ascii="宋体" w:hAnsi="宋体" w:eastAsia="宋体" w:cs="宋体"/>
          <w:bCs/>
          <w:color w:val="auto"/>
          <w:spacing w:val="0"/>
          <w:kern w:val="0"/>
          <w:sz w:val="28"/>
          <w:szCs w:val="28"/>
          <w:highlight w:val="none"/>
        </w:rPr>
        <w:t>承包人须按时参加本工程水土保持和环境保护工程验收，提交本工程工作报告和施工管理报告。</w:t>
      </w:r>
    </w:p>
    <w:p w14:paraId="0C729727">
      <w:pPr>
        <w:keepNext w:val="0"/>
        <w:keepLines w:val="0"/>
        <w:pageBreakBefore w:val="0"/>
        <w:widowControl/>
        <w:kinsoku/>
        <w:wordWrap/>
        <w:overflowPunct/>
        <w:topLinePunct w:val="0"/>
        <w:autoSpaceDE w:val="0"/>
        <w:autoSpaceDN w:val="0"/>
        <w:bidi w:val="0"/>
        <w:adjustRightInd w:val="0"/>
        <w:snapToGrid w:val="0"/>
        <w:spacing w:line="500" w:lineRule="exact"/>
        <w:ind w:left="0" w:right="0" w:firstLine="562" w:firstLineChars="200"/>
        <w:textAlignment w:val="baseline"/>
        <w:rPr>
          <w:rFonts w:hint="eastAsia" w:ascii="宋体" w:hAnsi="宋体" w:eastAsia="宋体" w:cs="宋体"/>
          <w:bCs/>
          <w:color w:val="auto"/>
          <w:spacing w:val="0"/>
          <w:kern w:val="0"/>
          <w:sz w:val="28"/>
          <w:szCs w:val="28"/>
          <w:highlight w:val="none"/>
        </w:rPr>
      </w:pPr>
      <w:r>
        <w:rPr>
          <w:rFonts w:hint="eastAsia" w:ascii="宋体" w:hAnsi="宋体" w:eastAsia="宋体" w:cs="宋体"/>
          <w:b/>
          <w:bCs/>
          <w:color w:val="auto"/>
          <w:spacing w:val="0"/>
          <w:kern w:val="0"/>
          <w:sz w:val="28"/>
          <w:szCs w:val="28"/>
          <w:highlight w:val="none"/>
        </w:rPr>
        <w:t>25.6</w:t>
      </w:r>
      <w:r>
        <w:rPr>
          <w:rFonts w:hint="eastAsia" w:ascii="宋体" w:hAnsi="宋体" w:eastAsia="宋体" w:cs="宋体"/>
          <w:bCs/>
          <w:color w:val="auto"/>
          <w:spacing w:val="0"/>
          <w:kern w:val="0"/>
          <w:sz w:val="28"/>
          <w:szCs w:val="28"/>
          <w:highlight w:val="none"/>
        </w:rPr>
        <w:t>工程建设中承包人采购的建筑装修材料需向</w:t>
      </w:r>
      <w:r>
        <w:rPr>
          <w:rFonts w:hint="eastAsia" w:ascii="宋体" w:hAnsi="宋体" w:eastAsia="宋体" w:cs="宋体"/>
          <w:bCs/>
          <w:color w:val="auto"/>
          <w:spacing w:val="0"/>
          <w:kern w:val="0"/>
          <w:sz w:val="28"/>
          <w:szCs w:val="28"/>
          <w:highlight w:val="none"/>
          <w:lang w:eastAsia="zh-CN"/>
        </w:rPr>
        <w:t>建设单位</w:t>
      </w:r>
      <w:r>
        <w:rPr>
          <w:rFonts w:hint="eastAsia" w:ascii="宋体" w:hAnsi="宋体" w:eastAsia="宋体" w:cs="宋体"/>
          <w:bCs/>
          <w:color w:val="auto"/>
          <w:spacing w:val="0"/>
          <w:kern w:val="0"/>
          <w:sz w:val="28"/>
          <w:szCs w:val="28"/>
          <w:highlight w:val="none"/>
        </w:rPr>
        <w:t>提供采购品牌、型号及样品等参数，经</w:t>
      </w:r>
      <w:r>
        <w:rPr>
          <w:rFonts w:hint="eastAsia" w:ascii="宋体" w:hAnsi="宋体" w:eastAsia="宋体" w:cs="宋体"/>
          <w:bCs/>
          <w:color w:val="auto"/>
          <w:spacing w:val="0"/>
          <w:kern w:val="0"/>
          <w:sz w:val="28"/>
          <w:szCs w:val="28"/>
          <w:highlight w:val="none"/>
          <w:lang w:eastAsia="zh-CN"/>
        </w:rPr>
        <w:t>建设单位</w:t>
      </w:r>
      <w:r>
        <w:rPr>
          <w:rFonts w:hint="eastAsia" w:ascii="宋体" w:hAnsi="宋体" w:eastAsia="宋体" w:cs="宋体"/>
          <w:bCs/>
          <w:color w:val="auto"/>
          <w:spacing w:val="0"/>
          <w:kern w:val="0"/>
          <w:sz w:val="28"/>
          <w:szCs w:val="28"/>
          <w:highlight w:val="none"/>
        </w:rPr>
        <w:t>同意后才可采购，结算费用按投标单价结算。</w:t>
      </w:r>
    </w:p>
    <w:p w14:paraId="7D57953C">
      <w:pPr>
        <w:keepNext w:val="0"/>
        <w:keepLines w:val="0"/>
        <w:pageBreakBefore w:val="0"/>
        <w:widowControl/>
        <w:kinsoku/>
        <w:wordWrap/>
        <w:overflowPunct/>
        <w:topLinePunct w:val="0"/>
        <w:autoSpaceDE w:val="0"/>
        <w:autoSpaceDN w:val="0"/>
        <w:bidi w:val="0"/>
        <w:adjustRightInd w:val="0"/>
        <w:snapToGrid w:val="0"/>
        <w:spacing w:line="500" w:lineRule="exact"/>
        <w:ind w:left="0" w:right="0" w:firstLine="562" w:firstLineChars="200"/>
        <w:textAlignment w:val="baseline"/>
        <w:rPr>
          <w:rFonts w:hint="eastAsia" w:ascii="宋体" w:hAnsi="宋体" w:eastAsia="宋体" w:cs="宋体"/>
          <w:bCs/>
          <w:color w:val="auto"/>
          <w:spacing w:val="0"/>
          <w:kern w:val="0"/>
          <w:sz w:val="28"/>
          <w:szCs w:val="28"/>
          <w:highlight w:val="none"/>
        </w:rPr>
      </w:pPr>
      <w:r>
        <w:rPr>
          <w:rFonts w:hint="eastAsia" w:ascii="宋体" w:hAnsi="宋体" w:eastAsia="宋体" w:cs="宋体"/>
          <w:b/>
          <w:bCs/>
          <w:color w:val="auto"/>
          <w:spacing w:val="0"/>
          <w:kern w:val="0"/>
          <w:sz w:val="28"/>
          <w:szCs w:val="28"/>
          <w:highlight w:val="none"/>
        </w:rPr>
        <w:t>25.7</w:t>
      </w:r>
      <w:r>
        <w:rPr>
          <w:rFonts w:hint="eastAsia" w:ascii="宋体" w:hAnsi="宋体" w:eastAsia="宋体" w:cs="宋体"/>
          <w:bCs/>
          <w:color w:val="auto"/>
          <w:spacing w:val="0"/>
          <w:kern w:val="0"/>
          <w:sz w:val="28"/>
          <w:szCs w:val="28"/>
          <w:highlight w:val="none"/>
        </w:rPr>
        <w:t>履约保证金退还时间为工程完工验收合格且工程结算资料通过财政或审计部门审核后30天内。</w:t>
      </w:r>
    </w:p>
    <w:p w14:paraId="7D414A3D">
      <w:pPr>
        <w:keepNext w:val="0"/>
        <w:keepLines w:val="0"/>
        <w:pageBreakBefore w:val="0"/>
        <w:widowControl/>
        <w:kinsoku/>
        <w:wordWrap/>
        <w:overflowPunct/>
        <w:topLinePunct w:val="0"/>
        <w:autoSpaceDE w:val="0"/>
        <w:autoSpaceDN w:val="0"/>
        <w:bidi w:val="0"/>
        <w:adjustRightInd w:val="0"/>
        <w:snapToGrid w:val="0"/>
        <w:spacing w:line="500" w:lineRule="exact"/>
        <w:ind w:left="0" w:right="0" w:firstLine="562" w:firstLineChars="200"/>
        <w:textAlignment w:val="baseline"/>
        <w:rPr>
          <w:rFonts w:hint="eastAsia" w:ascii="宋体" w:hAnsi="宋体" w:eastAsia="宋体" w:cs="宋体"/>
          <w:bCs/>
          <w:color w:val="auto"/>
          <w:spacing w:val="0"/>
          <w:kern w:val="0"/>
          <w:sz w:val="28"/>
          <w:szCs w:val="28"/>
          <w:highlight w:val="none"/>
        </w:rPr>
      </w:pPr>
      <w:r>
        <w:rPr>
          <w:rFonts w:hint="eastAsia" w:ascii="宋体" w:hAnsi="宋体" w:eastAsia="宋体" w:cs="宋体"/>
          <w:b/>
          <w:bCs/>
          <w:color w:val="auto"/>
          <w:spacing w:val="0"/>
          <w:kern w:val="0"/>
          <w:sz w:val="28"/>
          <w:szCs w:val="28"/>
          <w:highlight w:val="none"/>
        </w:rPr>
        <w:t>25.8</w:t>
      </w:r>
      <w:r>
        <w:rPr>
          <w:rFonts w:hint="eastAsia" w:ascii="宋体" w:hAnsi="宋体" w:eastAsia="宋体" w:cs="宋体"/>
          <w:bCs/>
          <w:color w:val="auto"/>
          <w:spacing w:val="0"/>
          <w:kern w:val="0"/>
          <w:sz w:val="28"/>
          <w:szCs w:val="28"/>
          <w:highlight w:val="none"/>
        </w:rPr>
        <w:t>本工程取（弃）土运距费用包含办证费、加盖费、取土费、弃土费、处置费等一切相关费用，综合单价包干使用不作调整。</w:t>
      </w:r>
    </w:p>
    <w:p w14:paraId="799C2A3A">
      <w:pPr>
        <w:keepNext w:val="0"/>
        <w:keepLines w:val="0"/>
        <w:pageBreakBefore w:val="0"/>
        <w:widowControl/>
        <w:kinsoku/>
        <w:wordWrap/>
        <w:overflowPunct/>
        <w:topLinePunct w:val="0"/>
        <w:autoSpaceDE w:val="0"/>
        <w:autoSpaceDN w:val="0"/>
        <w:bidi w:val="0"/>
        <w:adjustRightInd w:val="0"/>
        <w:snapToGrid w:val="0"/>
        <w:spacing w:line="500" w:lineRule="exact"/>
        <w:ind w:left="0" w:right="0" w:firstLine="562" w:firstLineChars="200"/>
        <w:textAlignment w:val="baseline"/>
        <w:rPr>
          <w:rFonts w:hint="eastAsia" w:ascii="宋体" w:hAnsi="宋体" w:eastAsia="宋体" w:cs="宋体"/>
          <w:bCs/>
          <w:color w:val="auto"/>
          <w:spacing w:val="0"/>
          <w:kern w:val="0"/>
          <w:sz w:val="28"/>
          <w:szCs w:val="28"/>
          <w:highlight w:val="none"/>
        </w:rPr>
      </w:pPr>
      <w:r>
        <w:rPr>
          <w:rFonts w:hint="eastAsia" w:ascii="宋体" w:hAnsi="宋体" w:eastAsia="宋体" w:cs="宋体"/>
          <w:b/>
          <w:bCs/>
          <w:color w:val="auto"/>
          <w:spacing w:val="0"/>
          <w:kern w:val="0"/>
          <w:sz w:val="28"/>
          <w:szCs w:val="28"/>
          <w:highlight w:val="none"/>
        </w:rPr>
        <w:t>25.9</w:t>
      </w:r>
      <w:r>
        <w:rPr>
          <w:rFonts w:hint="eastAsia" w:ascii="宋体" w:hAnsi="宋体" w:eastAsia="宋体" w:cs="宋体"/>
          <w:bCs/>
          <w:color w:val="auto"/>
          <w:spacing w:val="0"/>
          <w:kern w:val="0"/>
          <w:sz w:val="28"/>
          <w:szCs w:val="28"/>
          <w:highlight w:val="none"/>
        </w:rPr>
        <w:t>本工程土方开挖已综合考虑施工条件，如承包人施工过程额外增加人工开挖比例，增加的费用由承包人负责，</w:t>
      </w:r>
      <w:r>
        <w:rPr>
          <w:rFonts w:hint="eastAsia" w:ascii="宋体" w:hAnsi="宋体" w:eastAsia="宋体" w:cs="宋体"/>
          <w:bCs/>
          <w:color w:val="auto"/>
          <w:spacing w:val="0"/>
          <w:kern w:val="0"/>
          <w:sz w:val="28"/>
          <w:szCs w:val="28"/>
          <w:highlight w:val="none"/>
          <w:lang w:eastAsia="zh-CN"/>
        </w:rPr>
        <w:t>建设单位</w:t>
      </w:r>
      <w:r>
        <w:rPr>
          <w:rFonts w:hint="eastAsia" w:ascii="宋体" w:hAnsi="宋体" w:eastAsia="宋体" w:cs="宋体"/>
          <w:bCs/>
          <w:color w:val="auto"/>
          <w:spacing w:val="0"/>
          <w:kern w:val="0"/>
          <w:sz w:val="28"/>
          <w:szCs w:val="28"/>
          <w:highlight w:val="none"/>
        </w:rPr>
        <w:t>不再另行支付。</w:t>
      </w:r>
    </w:p>
    <w:p w14:paraId="6F87CAD3">
      <w:pPr>
        <w:keepNext w:val="0"/>
        <w:keepLines w:val="0"/>
        <w:pageBreakBefore w:val="0"/>
        <w:widowControl/>
        <w:kinsoku/>
        <w:wordWrap/>
        <w:overflowPunct/>
        <w:topLinePunct w:val="0"/>
        <w:autoSpaceDE w:val="0"/>
        <w:autoSpaceDN w:val="0"/>
        <w:bidi w:val="0"/>
        <w:adjustRightInd w:val="0"/>
        <w:snapToGrid w:val="0"/>
        <w:spacing w:line="500" w:lineRule="exact"/>
        <w:ind w:left="0" w:right="0" w:firstLine="562" w:firstLineChars="200"/>
        <w:textAlignment w:val="baseline"/>
        <w:rPr>
          <w:rFonts w:hint="eastAsia" w:ascii="宋体" w:hAnsi="宋体" w:eastAsia="宋体" w:cs="宋体"/>
          <w:bCs/>
          <w:color w:val="auto"/>
          <w:spacing w:val="0"/>
          <w:kern w:val="0"/>
          <w:sz w:val="28"/>
          <w:szCs w:val="28"/>
          <w:highlight w:val="none"/>
        </w:rPr>
      </w:pPr>
      <w:r>
        <w:rPr>
          <w:rFonts w:hint="eastAsia" w:ascii="宋体" w:hAnsi="宋体" w:eastAsia="宋体" w:cs="宋体"/>
          <w:b/>
          <w:bCs/>
          <w:color w:val="auto"/>
          <w:spacing w:val="0"/>
          <w:kern w:val="0"/>
          <w:sz w:val="28"/>
          <w:szCs w:val="28"/>
          <w:highlight w:val="none"/>
        </w:rPr>
        <w:t>25.10</w:t>
      </w:r>
      <w:r>
        <w:rPr>
          <w:rFonts w:hint="eastAsia" w:ascii="宋体" w:hAnsi="宋体" w:eastAsia="宋体" w:cs="宋体"/>
          <w:bCs/>
          <w:color w:val="auto"/>
          <w:spacing w:val="0"/>
          <w:kern w:val="0"/>
          <w:sz w:val="28"/>
          <w:szCs w:val="28"/>
          <w:highlight w:val="none"/>
        </w:rPr>
        <w:t>本工程进场及场内道路维修按项计，总价包干不作调整。</w:t>
      </w:r>
    </w:p>
    <w:p w14:paraId="29A31804">
      <w:pPr>
        <w:keepNext w:val="0"/>
        <w:keepLines w:val="0"/>
        <w:pageBreakBefore w:val="0"/>
        <w:widowControl/>
        <w:kinsoku/>
        <w:wordWrap/>
        <w:overflowPunct/>
        <w:topLinePunct w:val="0"/>
        <w:autoSpaceDE w:val="0"/>
        <w:autoSpaceDN w:val="0"/>
        <w:bidi w:val="0"/>
        <w:adjustRightInd w:val="0"/>
        <w:snapToGrid w:val="0"/>
        <w:spacing w:line="500" w:lineRule="exact"/>
        <w:ind w:left="0" w:right="0" w:firstLine="562" w:firstLineChars="200"/>
        <w:textAlignment w:val="baseline"/>
        <w:rPr>
          <w:rFonts w:hint="eastAsia" w:ascii="宋体" w:hAnsi="宋体" w:eastAsia="宋体" w:cs="宋体"/>
          <w:bCs/>
          <w:color w:val="auto"/>
          <w:spacing w:val="0"/>
          <w:kern w:val="0"/>
          <w:sz w:val="28"/>
          <w:szCs w:val="28"/>
          <w:highlight w:val="none"/>
        </w:rPr>
      </w:pPr>
      <w:r>
        <w:rPr>
          <w:rFonts w:hint="eastAsia" w:ascii="宋体" w:hAnsi="宋体" w:eastAsia="宋体" w:cs="宋体"/>
          <w:b/>
          <w:bCs/>
          <w:color w:val="auto"/>
          <w:spacing w:val="0"/>
          <w:kern w:val="0"/>
          <w:sz w:val="28"/>
          <w:szCs w:val="28"/>
          <w:highlight w:val="none"/>
        </w:rPr>
        <w:t>25.11</w:t>
      </w:r>
      <w:r>
        <w:rPr>
          <w:rFonts w:hint="eastAsia" w:ascii="宋体" w:hAnsi="宋体" w:eastAsia="宋体" w:cs="宋体"/>
          <w:bCs/>
          <w:color w:val="auto"/>
          <w:spacing w:val="0"/>
          <w:kern w:val="0"/>
          <w:sz w:val="28"/>
          <w:szCs w:val="28"/>
          <w:highlight w:val="none"/>
        </w:rPr>
        <w:t>本工程专用条款中所指的招标期《北海市建设工程造价信息》为招标控制价采用的《北海市建设工程造价信息》发布信息价。</w:t>
      </w:r>
    </w:p>
    <w:p w14:paraId="534767E3">
      <w:pPr>
        <w:autoSpaceDE w:val="0"/>
        <w:autoSpaceDN w:val="0"/>
        <w:adjustRightInd w:val="0"/>
        <w:snapToGrid w:val="0"/>
        <w:spacing w:line="300" w:lineRule="auto"/>
        <w:rPr>
          <w:rFonts w:ascii="仿宋_GB2312" w:hAnsi="宋体" w:eastAsia="仿宋_GB2312"/>
          <w:b/>
          <w:color w:val="auto"/>
          <w:kern w:val="0"/>
          <w:sz w:val="44"/>
          <w:szCs w:val="44"/>
          <w:highlight w:val="none"/>
        </w:rPr>
      </w:pPr>
      <w:r>
        <w:rPr>
          <w:rFonts w:hint="eastAsia" w:ascii="宋体" w:hAnsi="宋体" w:eastAsia="宋体" w:cs="宋体"/>
          <w:b/>
          <w:bCs/>
          <w:color w:val="auto"/>
          <w:spacing w:val="0"/>
          <w:kern w:val="0"/>
          <w:sz w:val="28"/>
          <w:szCs w:val="28"/>
          <w:highlight w:val="none"/>
        </w:rPr>
        <w:t xml:space="preserve">25.12 </w:t>
      </w:r>
      <w:r>
        <w:rPr>
          <w:rFonts w:hint="eastAsia" w:ascii="宋体" w:hAnsi="宋体" w:eastAsia="宋体" w:cs="宋体"/>
          <w:bCs/>
          <w:color w:val="auto"/>
          <w:spacing w:val="0"/>
          <w:kern w:val="0"/>
          <w:sz w:val="28"/>
          <w:szCs w:val="28"/>
          <w:highlight w:val="none"/>
        </w:rPr>
        <w:t>本工程招标代理服务费，完工或竣工验收结算审计所发生的正常费用，已包含在投标报价的单价与总价中，由承包人承担。</w:t>
      </w:r>
    </w:p>
    <w:p w14:paraId="534767E4">
      <w:pPr>
        <w:autoSpaceDE w:val="0"/>
        <w:autoSpaceDN w:val="0"/>
        <w:adjustRightInd w:val="0"/>
        <w:snapToGrid w:val="0"/>
        <w:spacing w:line="300" w:lineRule="auto"/>
        <w:rPr>
          <w:rFonts w:ascii="仿宋_GB2312" w:hAnsi="宋体" w:eastAsia="仿宋_GB2312"/>
          <w:b/>
          <w:color w:val="auto"/>
          <w:kern w:val="0"/>
          <w:sz w:val="44"/>
          <w:szCs w:val="44"/>
          <w:highlight w:val="none"/>
        </w:rPr>
      </w:pPr>
    </w:p>
    <w:p w14:paraId="534767E5">
      <w:pPr>
        <w:autoSpaceDE w:val="0"/>
        <w:autoSpaceDN w:val="0"/>
        <w:adjustRightInd w:val="0"/>
        <w:snapToGrid w:val="0"/>
        <w:spacing w:line="300" w:lineRule="auto"/>
        <w:rPr>
          <w:rFonts w:ascii="仿宋_GB2312" w:hAnsi="宋体" w:eastAsia="仿宋_GB2312"/>
          <w:b/>
          <w:color w:val="auto"/>
          <w:kern w:val="0"/>
          <w:sz w:val="44"/>
          <w:szCs w:val="44"/>
          <w:highlight w:val="none"/>
        </w:rPr>
      </w:pPr>
    </w:p>
    <w:p w14:paraId="534767E6">
      <w:pPr>
        <w:autoSpaceDE w:val="0"/>
        <w:autoSpaceDN w:val="0"/>
        <w:adjustRightInd w:val="0"/>
        <w:snapToGrid w:val="0"/>
        <w:spacing w:line="300" w:lineRule="auto"/>
        <w:rPr>
          <w:rFonts w:ascii="仿宋_GB2312" w:hAnsi="宋体" w:eastAsia="仿宋_GB2312"/>
          <w:b/>
          <w:color w:val="auto"/>
          <w:kern w:val="0"/>
          <w:sz w:val="44"/>
          <w:szCs w:val="44"/>
          <w:highlight w:val="none"/>
        </w:rPr>
      </w:pPr>
    </w:p>
    <w:p w14:paraId="534767E7">
      <w:pPr>
        <w:autoSpaceDE w:val="0"/>
        <w:autoSpaceDN w:val="0"/>
        <w:adjustRightInd w:val="0"/>
        <w:snapToGrid w:val="0"/>
        <w:spacing w:line="300" w:lineRule="auto"/>
        <w:ind w:firstLine="3264" w:firstLineChars="739"/>
        <w:rPr>
          <w:rFonts w:ascii="仿宋_GB2312" w:hAnsi="宋体" w:eastAsia="仿宋_GB2312"/>
          <w:b/>
          <w:color w:val="auto"/>
          <w:kern w:val="0"/>
          <w:sz w:val="44"/>
          <w:szCs w:val="44"/>
          <w:highlight w:val="none"/>
        </w:rPr>
      </w:pPr>
    </w:p>
    <w:p w14:paraId="534767E8">
      <w:pPr>
        <w:autoSpaceDE w:val="0"/>
        <w:autoSpaceDN w:val="0"/>
        <w:adjustRightInd w:val="0"/>
        <w:snapToGrid w:val="0"/>
        <w:spacing w:line="300" w:lineRule="auto"/>
        <w:ind w:firstLine="3264" w:firstLineChars="739"/>
        <w:outlineLvl w:val="0"/>
        <w:rPr>
          <w:rFonts w:ascii="宋体" w:hAnsi="宋体"/>
          <w:b/>
          <w:color w:val="auto"/>
          <w:kern w:val="0"/>
          <w:sz w:val="44"/>
          <w:szCs w:val="44"/>
          <w:highlight w:val="none"/>
        </w:rPr>
      </w:pPr>
      <w:bookmarkStart w:id="634" w:name="_Toc3994508"/>
      <w:bookmarkStart w:id="635" w:name="_Toc176861412"/>
      <w:bookmarkStart w:id="636" w:name="_Toc29416"/>
      <w:r>
        <w:rPr>
          <w:rFonts w:hint="eastAsia" w:ascii="宋体" w:hAnsi="宋体"/>
          <w:b/>
          <w:color w:val="auto"/>
          <w:kern w:val="0"/>
          <w:sz w:val="44"/>
          <w:szCs w:val="44"/>
          <w:highlight w:val="none"/>
        </w:rPr>
        <w:t>第七章  评定标准</w:t>
      </w:r>
      <w:bookmarkEnd w:id="634"/>
      <w:bookmarkEnd w:id="635"/>
      <w:bookmarkEnd w:id="636"/>
    </w:p>
    <w:p w14:paraId="534767E9">
      <w:pPr>
        <w:pStyle w:val="23"/>
        <w:spacing w:line="440" w:lineRule="exact"/>
        <w:rPr>
          <w:rFonts w:ascii="黑体" w:hAnsi="宋体" w:eastAsia="黑体"/>
          <w:b/>
          <w:color w:val="auto"/>
          <w:kern w:val="0"/>
          <w:sz w:val="32"/>
          <w:szCs w:val="32"/>
          <w:highlight w:val="none"/>
        </w:rPr>
      </w:pPr>
    </w:p>
    <w:p w14:paraId="534767EA">
      <w:pPr>
        <w:pStyle w:val="23"/>
        <w:spacing w:line="440" w:lineRule="exact"/>
        <w:rPr>
          <w:rFonts w:ascii="黑体" w:hAnsi="宋体" w:eastAsia="黑体"/>
          <w:b/>
          <w:color w:val="auto"/>
          <w:kern w:val="0"/>
          <w:sz w:val="32"/>
          <w:szCs w:val="32"/>
          <w:highlight w:val="none"/>
        </w:rPr>
      </w:pPr>
    </w:p>
    <w:p w14:paraId="534767EB">
      <w:pPr>
        <w:pStyle w:val="23"/>
        <w:spacing w:line="440" w:lineRule="exact"/>
        <w:rPr>
          <w:rFonts w:ascii="黑体" w:hAnsi="宋体" w:eastAsia="黑体"/>
          <w:b/>
          <w:color w:val="auto"/>
          <w:kern w:val="0"/>
          <w:sz w:val="32"/>
          <w:szCs w:val="32"/>
          <w:highlight w:val="none"/>
        </w:rPr>
      </w:pPr>
    </w:p>
    <w:p w14:paraId="534767EC">
      <w:pPr>
        <w:pStyle w:val="23"/>
        <w:spacing w:line="440" w:lineRule="exact"/>
        <w:rPr>
          <w:rFonts w:ascii="黑体" w:hAnsi="宋体" w:eastAsia="黑体"/>
          <w:b/>
          <w:color w:val="auto"/>
          <w:kern w:val="0"/>
          <w:sz w:val="32"/>
          <w:szCs w:val="32"/>
          <w:highlight w:val="none"/>
        </w:rPr>
      </w:pPr>
    </w:p>
    <w:p w14:paraId="534767ED">
      <w:pPr>
        <w:pStyle w:val="23"/>
        <w:spacing w:line="440" w:lineRule="exact"/>
        <w:rPr>
          <w:rFonts w:ascii="黑体" w:hAnsi="宋体" w:eastAsia="黑体"/>
          <w:b/>
          <w:color w:val="auto"/>
          <w:kern w:val="0"/>
          <w:sz w:val="32"/>
          <w:szCs w:val="32"/>
          <w:highlight w:val="none"/>
        </w:rPr>
      </w:pPr>
    </w:p>
    <w:p w14:paraId="534767EE">
      <w:pPr>
        <w:pStyle w:val="23"/>
        <w:spacing w:line="440" w:lineRule="exact"/>
        <w:rPr>
          <w:rFonts w:ascii="黑体" w:hAnsi="宋体" w:eastAsia="黑体"/>
          <w:b/>
          <w:color w:val="auto"/>
          <w:kern w:val="0"/>
          <w:sz w:val="32"/>
          <w:szCs w:val="32"/>
          <w:highlight w:val="none"/>
        </w:rPr>
      </w:pPr>
    </w:p>
    <w:p w14:paraId="534767EF">
      <w:pPr>
        <w:pStyle w:val="23"/>
        <w:spacing w:line="440" w:lineRule="exact"/>
        <w:rPr>
          <w:rFonts w:ascii="黑体" w:hAnsi="宋体" w:eastAsia="黑体"/>
          <w:b/>
          <w:color w:val="auto"/>
          <w:kern w:val="0"/>
          <w:sz w:val="32"/>
          <w:szCs w:val="32"/>
          <w:highlight w:val="none"/>
        </w:rPr>
      </w:pPr>
    </w:p>
    <w:p w14:paraId="534767F0">
      <w:pPr>
        <w:pStyle w:val="23"/>
        <w:spacing w:line="440" w:lineRule="exact"/>
        <w:rPr>
          <w:rFonts w:ascii="黑体" w:hAnsi="宋体" w:eastAsia="黑体"/>
          <w:b/>
          <w:color w:val="auto"/>
          <w:kern w:val="0"/>
          <w:sz w:val="32"/>
          <w:szCs w:val="32"/>
          <w:highlight w:val="none"/>
        </w:rPr>
      </w:pPr>
    </w:p>
    <w:p w14:paraId="534767F1">
      <w:pPr>
        <w:pStyle w:val="23"/>
        <w:spacing w:line="440" w:lineRule="exact"/>
        <w:rPr>
          <w:rFonts w:ascii="黑体" w:hAnsi="宋体" w:eastAsia="黑体"/>
          <w:b/>
          <w:color w:val="auto"/>
          <w:kern w:val="0"/>
          <w:sz w:val="32"/>
          <w:szCs w:val="32"/>
          <w:highlight w:val="none"/>
        </w:rPr>
      </w:pPr>
    </w:p>
    <w:p w14:paraId="534767F2">
      <w:pPr>
        <w:pStyle w:val="23"/>
        <w:spacing w:line="440" w:lineRule="exact"/>
        <w:rPr>
          <w:rFonts w:ascii="黑体" w:hAnsi="宋体" w:eastAsia="黑体"/>
          <w:b/>
          <w:color w:val="auto"/>
          <w:kern w:val="0"/>
          <w:sz w:val="32"/>
          <w:szCs w:val="32"/>
          <w:highlight w:val="none"/>
        </w:rPr>
      </w:pPr>
    </w:p>
    <w:p w14:paraId="534767F3">
      <w:pPr>
        <w:pStyle w:val="23"/>
        <w:spacing w:line="440" w:lineRule="exact"/>
        <w:rPr>
          <w:rFonts w:ascii="黑体" w:hAnsi="宋体" w:eastAsia="黑体"/>
          <w:b/>
          <w:color w:val="auto"/>
          <w:kern w:val="0"/>
          <w:sz w:val="32"/>
          <w:szCs w:val="32"/>
          <w:highlight w:val="none"/>
        </w:rPr>
      </w:pPr>
    </w:p>
    <w:p w14:paraId="534767F4">
      <w:pPr>
        <w:pStyle w:val="23"/>
        <w:spacing w:line="440" w:lineRule="exact"/>
        <w:rPr>
          <w:rFonts w:ascii="黑体" w:hAnsi="宋体" w:eastAsia="黑体"/>
          <w:b/>
          <w:color w:val="auto"/>
          <w:kern w:val="0"/>
          <w:sz w:val="32"/>
          <w:szCs w:val="32"/>
          <w:highlight w:val="none"/>
        </w:rPr>
      </w:pPr>
    </w:p>
    <w:p w14:paraId="534767F5">
      <w:pPr>
        <w:pStyle w:val="23"/>
        <w:spacing w:line="440" w:lineRule="exact"/>
        <w:rPr>
          <w:rFonts w:ascii="黑体" w:hAnsi="宋体" w:eastAsia="黑体"/>
          <w:b/>
          <w:color w:val="auto"/>
          <w:kern w:val="0"/>
          <w:sz w:val="32"/>
          <w:szCs w:val="32"/>
          <w:highlight w:val="none"/>
        </w:rPr>
      </w:pPr>
    </w:p>
    <w:p w14:paraId="534767F6">
      <w:pPr>
        <w:pStyle w:val="23"/>
        <w:spacing w:line="440" w:lineRule="exact"/>
        <w:jc w:val="center"/>
        <w:rPr>
          <w:rFonts w:hAnsi="宋体"/>
          <w:color w:val="auto"/>
          <w:sz w:val="30"/>
          <w:szCs w:val="30"/>
          <w:highlight w:val="none"/>
        </w:rPr>
      </w:pPr>
      <w:r>
        <w:rPr>
          <w:rFonts w:ascii="仿宋_GB2312" w:hAnsi="宋体" w:eastAsia="仿宋_GB2312"/>
          <w:b/>
          <w:color w:val="auto"/>
          <w:kern w:val="0"/>
          <w:sz w:val="32"/>
          <w:szCs w:val="32"/>
          <w:highlight w:val="none"/>
        </w:rPr>
        <w:br w:type="page"/>
      </w:r>
      <w:r>
        <w:rPr>
          <w:rFonts w:hint="eastAsia" w:hAnsi="宋体"/>
          <w:b/>
          <w:color w:val="auto"/>
          <w:kern w:val="0"/>
          <w:sz w:val="30"/>
          <w:szCs w:val="30"/>
          <w:highlight w:val="none"/>
        </w:rPr>
        <w:t>评定标准</w:t>
      </w:r>
    </w:p>
    <w:p w14:paraId="534767F7">
      <w:pPr>
        <w:pStyle w:val="23"/>
        <w:numPr>
          <w:ilvl w:val="0"/>
          <w:numId w:val="7"/>
        </w:numPr>
        <w:adjustRightInd w:val="0"/>
        <w:spacing w:line="360" w:lineRule="auto"/>
        <w:ind w:firstLine="482" w:firstLineChars="200"/>
        <w:contextualSpacing/>
        <w:rPr>
          <w:rFonts w:hAnsi="宋体"/>
          <w:b/>
          <w:bCs/>
          <w:color w:val="auto"/>
          <w:sz w:val="24"/>
          <w:szCs w:val="24"/>
          <w:highlight w:val="none"/>
        </w:rPr>
      </w:pPr>
      <w:r>
        <w:rPr>
          <w:rFonts w:hAnsi="宋体"/>
          <w:b/>
          <w:bCs/>
          <w:color w:val="auto"/>
          <w:sz w:val="24"/>
          <w:szCs w:val="24"/>
          <w:highlight w:val="none"/>
        </w:rPr>
        <w:t>评标原则</w:t>
      </w:r>
    </w:p>
    <w:p w14:paraId="534767F8">
      <w:pPr>
        <w:pStyle w:val="23"/>
        <w:adjustRightInd w:val="0"/>
        <w:spacing w:line="360" w:lineRule="auto"/>
        <w:ind w:firstLine="480" w:firstLineChars="200"/>
        <w:contextualSpacing/>
        <w:rPr>
          <w:rFonts w:hAnsi="宋体" w:cs="宋体"/>
          <w:color w:val="auto"/>
          <w:sz w:val="24"/>
          <w:szCs w:val="24"/>
          <w:highlight w:val="none"/>
        </w:rPr>
      </w:pPr>
      <w:r>
        <w:rPr>
          <w:rFonts w:hint="eastAsia" w:hAnsi="宋体" w:cs="宋体"/>
          <w:color w:val="auto"/>
          <w:sz w:val="24"/>
          <w:szCs w:val="24"/>
          <w:highlight w:val="none"/>
        </w:rPr>
        <w:t>(一)磋商小组组成：本磋商采购项目的磋商小组由采购人代表、技术和经济等方面的专家共3人以上单数组成。其中，专家磋商小组成员不得少于成员总数的三分之二。</w:t>
      </w:r>
    </w:p>
    <w:p w14:paraId="534767F9">
      <w:pPr>
        <w:pStyle w:val="23"/>
        <w:adjustRightInd w:val="0"/>
        <w:spacing w:line="360" w:lineRule="auto"/>
        <w:ind w:firstLine="480" w:firstLineChars="200"/>
        <w:contextualSpacing/>
        <w:rPr>
          <w:rFonts w:hAnsi="宋体" w:cs="宋体"/>
          <w:color w:val="auto"/>
          <w:sz w:val="24"/>
          <w:szCs w:val="24"/>
          <w:highlight w:val="none"/>
        </w:rPr>
      </w:pPr>
      <w:r>
        <w:rPr>
          <w:rFonts w:hint="eastAsia" w:hAnsi="宋体" w:cs="宋体"/>
          <w:color w:val="auto"/>
          <w:sz w:val="24"/>
          <w:szCs w:val="24"/>
          <w:highlight w:val="none"/>
        </w:rPr>
        <w:t>(二)评审依据：磋商小组成员将以采购文件为评审依据，对供应商的最终报价、</w:t>
      </w:r>
      <w:r>
        <w:rPr>
          <w:rFonts w:hint="eastAsia" w:hAnsi="宋体" w:cs="宋体"/>
          <w:color w:val="auto"/>
          <w:sz w:val="24"/>
          <w:highlight w:val="none"/>
        </w:rPr>
        <w:t>项目管理机构</w:t>
      </w:r>
      <w:r>
        <w:rPr>
          <w:rFonts w:hint="eastAsia" w:hAnsi="宋体" w:cs="宋体"/>
          <w:color w:val="auto"/>
          <w:sz w:val="24"/>
          <w:szCs w:val="24"/>
          <w:highlight w:val="none"/>
        </w:rPr>
        <w:t>、</w:t>
      </w:r>
      <w:r>
        <w:rPr>
          <w:rFonts w:hint="eastAsia" w:hAnsi="宋体" w:cs="宋体"/>
          <w:color w:val="auto"/>
          <w:sz w:val="24"/>
          <w:highlight w:val="none"/>
        </w:rPr>
        <w:t>施工组织设计</w:t>
      </w:r>
      <w:r>
        <w:rPr>
          <w:rFonts w:hint="eastAsia" w:hAnsi="宋体" w:cs="宋体"/>
          <w:color w:val="auto"/>
          <w:sz w:val="24"/>
          <w:szCs w:val="24"/>
          <w:highlight w:val="none"/>
        </w:rPr>
        <w:t>等方面内容按百分制打分。</w:t>
      </w:r>
    </w:p>
    <w:p w14:paraId="534767FA">
      <w:pPr>
        <w:pStyle w:val="23"/>
        <w:adjustRightInd w:val="0"/>
        <w:spacing w:line="360" w:lineRule="auto"/>
        <w:ind w:firstLine="480" w:firstLineChars="200"/>
        <w:contextualSpacing/>
        <w:rPr>
          <w:rFonts w:hAnsi="宋体" w:cs="宋体"/>
          <w:color w:val="auto"/>
          <w:sz w:val="24"/>
          <w:szCs w:val="24"/>
          <w:highlight w:val="none"/>
        </w:rPr>
      </w:pPr>
      <w:r>
        <w:rPr>
          <w:rFonts w:hint="eastAsia" w:hAnsi="宋体" w:cs="宋体"/>
          <w:color w:val="auto"/>
          <w:sz w:val="24"/>
          <w:szCs w:val="24"/>
          <w:highlight w:val="none"/>
        </w:rPr>
        <w:t>(三)评审方式：以封闭方式进行。</w:t>
      </w:r>
    </w:p>
    <w:p w14:paraId="534767FB">
      <w:pPr>
        <w:autoSpaceDE w:val="0"/>
        <w:autoSpaceDN w:val="0"/>
        <w:adjustRightInd w:val="0"/>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(四)按《政府采购促进中小企业发展管理办法》(财库〔2020〕46号)的规定，</w:t>
      </w:r>
      <w:r>
        <w:rPr>
          <w:rFonts w:hint="eastAsia" w:ascii="宋体" w:hAnsi="宋体" w:cs="宋体"/>
          <w:color w:val="auto"/>
          <w:sz w:val="24"/>
          <w:highlight w:val="none"/>
        </w:rPr>
        <w:t>对于未预留份额专门面向中小企业采购的政府采购工程项目，以及预留份额政府采购工程项目中的非预留部分标项，对小型和微型企业的最后报价给予5%的扣除，用扣除后的价格参与评审。接受大中型企业与小微企业组成联合体或者允许大中型企业向一家或者多家小微企业分包的政府采购项目，对于联合协议或者分包意向协议约定小微企业的合同份额占到合同总金额30%以上的，对联合体或者大中型企业的最后报价给予</w:t>
      </w:r>
      <w:r>
        <w:rPr>
          <w:rFonts w:ascii="宋体" w:hAnsi="宋体" w:cs="宋体"/>
          <w:color w:val="auto"/>
          <w:sz w:val="24"/>
          <w:highlight w:val="none"/>
        </w:rPr>
        <w:t>2%</w:t>
      </w:r>
      <w:r>
        <w:rPr>
          <w:rFonts w:hint="eastAsia" w:ascii="宋体" w:hAnsi="宋体" w:cs="宋体"/>
          <w:color w:val="auto"/>
          <w:sz w:val="24"/>
          <w:highlight w:val="none"/>
        </w:rPr>
        <w:t>的扣除，用扣除后的价格参加评审。中小企业参加政府采购活动，应当出具《中小企业声明函》，否则不得享受相关中小企业扶持政策。</w:t>
      </w:r>
    </w:p>
    <w:p w14:paraId="534767FC">
      <w:pPr>
        <w:autoSpaceDE w:val="0"/>
        <w:autoSpaceDN w:val="0"/>
        <w:adjustRightInd w:val="0"/>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(五)磋商供应商按《关于政府采购支持监狱企业发展有关问题的通知》(财库〔2014〕68 号)认定为监狱企业的，在政府采购活动中，监狱企业视同小型、微型企业。监狱企业以提供由省级以上监狱管理局、戒毒管理局(含新疆生产建设兵团)出具的属于监狱企业的证明文件为准。</w:t>
      </w:r>
    </w:p>
    <w:p w14:paraId="534767FD">
      <w:pPr>
        <w:autoSpaceDE w:val="0"/>
        <w:autoSpaceDN w:val="0"/>
        <w:adjustRightInd w:val="0"/>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六)磋商供应商按《关于促进残疾人就业政府采购政策的通知》(财库〔2017〕141号)认定为残疾人福利性单位的，在政府采购活动中，残疾人福利性单位视同小型、微型企业。残疾人福利性单位参加政府采购活动时，应当提供该通知规定的《残疾人福利性单位声明函》，并对声明的真实性负责。</w:t>
      </w:r>
    </w:p>
    <w:p w14:paraId="534767FE">
      <w:pPr>
        <w:spacing w:line="360" w:lineRule="auto"/>
        <w:ind w:firstLine="480" w:firstLineChars="200"/>
        <w:rPr>
          <w:rFonts w:ascii="宋体" w:hAnsi="宋体" w:cs="Courier New"/>
          <w:bCs/>
          <w:color w:val="auto"/>
          <w:sz w:val="24"/>
          <w:highlight w:val="none"/>
        </w:rPr>
      </w:pPr>
      <w:r>
        <w:rPr>
          <w:rFonts w:hint="eastAsia" w:ascii="宋体" w:hAnsi="宋体" w:cs="宋体"/>
          <w:color w:val="auto"/>
          <w:kern w:val="0"/>
          <w:sz w:val="24"/>
          <w:highlight w:val="none"/>
        </w:rPr>
        <w:t>(七)未享受优惠政策的供应商的磋商最终报价即为评审价。</w:t>
      </w:r>
    </w:p>
    <w:p w14:paraId="534767FF">
      <w:pPr>
        <w:spacing w:line="360" w:lineRule="auto"/>
        <w:ind w:firstLine="472" w:firstLineChars="196"/>
        <w:rPr>
          <w:rFonts w:ascii="宋体" w:hAnsi="宋体" w:cs="Courier New"/>
          <w:b/>
          <w:color w:val="auto"/>
          <w:sz w:val="24"/>
          <w:highlight w:val="none"/>
        </w:rPr>
      </w:pPr>
      <w:r>
        <w:rPr>
          <w:rFonts w:hint="eastAsia" w:ascii="宋体" w:hAnsi="宋体" w:cs="Courier New"/>
          <w:b/>
          <w:color w:val="auto"/>
          <w:sz w:val="24"/>
          <w:highlight w:val="none"/>
        </w:rPr>
        <w:t>二、评标方法</w:t>
      </w:r>
    </w:p>
    <w:tbl>
      <w:tblPr>
        <w:tblStyle w:val="38"/>
        <w:tblW w:w="95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0"/>
        <w:gridCol w:w="1031"/>
        <w:gridCol w:w="912"/>
        <w:gridCol w:w="1039"/>
        <w:gridCol w:w="5774"/>
      </w:tblGrid>
      <w:tr w14:paraId="2DD54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80" w:type="dxa"/>
            <w:shd w:val="clear" w:color="auto" w:fill="E6E6E6"/>
            <w:vAlign w:val="center"/>
          </w:tcPr>
          <w:p w14:paraId="6542D140">
            <w:pPr>
              <w:spacing w:line="360" w:lineRule="auto"/>
              <w:jc w:val="center"/>
              <w:rPr>
                <w:rFonts w:ascii="宋体"/>
                <w:color w:val="auto"/>
                <w:sz w:val="24"/>
                <w:highlight w:val="none"/>
              </w:rPr>
            </w:pPr>
            <w:r>
              <w:rPr>
                <w:rFonts w:hint="eastAsia" w:ascii="宋体" w:hAnsi="宋体" w:cs="宋体"/>
                <w:color w:val="auto"/>
                <w:sz w:val="24"/>
                <w:highlight w:val="none"/>
              </w:rPr>
              <w:t>条款号</w:t>
            </w:r>
          </w:p>
        </w:tc>
        <w:tc>
          <w:tcPr>
            <w:tcW w:w="2982" w:type="dxa"/>
            <w:gridSpan w:val="3"/>
            <w:shd w:val="clear" w:color="auto" w:fill="E6E6E6"/>
            <w:vAlign w:val="center"/>
          </w:tcPr>
          <w:p w14:paraId="5EED0D76">
            <w:pPr>
              <w:spacing w:line="360" w:lineRule="auto"/>
              <w:jc w:val="center"/>
              <w:rPr>
                <w:rFonts w:ascii="宋体"/>
                <w:color w:val="auto"/>
                <w:sz w:val="24"/>
                <w:highlight w:val="none"/>
              </w:rPr>
            </w:pPr>
            <w:r>
              <w:rPr>
                <w:rFonts w:hint="eastAsia" w:ascii="宋体" w:hAnsi="宋体" w:cs="宋体"/>
                <w:color w:val="auto"/>
                <w:sz w:val="24"/>
                <w:highlight w:val="none"/>
              </w:rPr>
              <w:t>评审因素</w:t>
            </w:r>
          </w:p>
        </w:tc>
        <w:tc>
          <w:tcPr>
            <w:tcW w:w="5774" w:type="dxa"/>
            <w:shd w:val="clear" w:color="auto" w:fill="E6E6E6"/>
            <w:vAlign w:val="center"/>
          </w:tcPr>
          <w:p w14:paraId="56A75B3C">
            <w:pPr>
              <w:spacing w:line="360" w:lineRule="auto"/>
              <w:jc w:val="center"/>
              <w:rPr>
                <w:rFonts w:ascii="宋体"/>
                <w:color w:val="auto"/>
                <w:sz w:val="24"/>
                <w:highlight w:val="none"/>
              </w:rPr>
            </w:pPr>
            <w:r>
              <w:rPr>
                <w:rFonts w:hint="eastAsia" w:ascii="宋体" w:hAnsi="宋体" w:cs="宋体"/>
                <w:color w:val="auto"/>
                <w:sz w:val="24"/>
                <w:highlight w:val="none"/>
              </w:rPr>
              <w:t>评审标准</w:t>
            </w:r>
          </w:p>
        </w:tc>
      </w:tr>
      <w:tr w14:paraId="3B590C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5" w:hRule="atLeast"/>
          <w:jc w:val="center"/>
        </w:trPr>
        <w:tc>
          <w:tcPr>
            <w:tcW w:w="780" w:type="dxa"/>
            <w:vMerge w:val="restart"/>
            <w:vAlign w:val="center"/>
          </w:tcPr>
          <w:p w14:paraId="302BEE37">
            <w:pPr>
              <w:spacing w:line="360" w:lineRule="auto"/>
              <w:jc w:val="center"/>
              <w:rPr>
                <w:rFonts w:ascii="宋体"/>
                <w:color w:val="auto"/>
                <w:sz w:val="24"/>
                <w:highlight w:val="none"/>
              </w:rPr>
            </w:pPr>
          </w:p>
          <w:p w14:paraId="200F2BF8">
            <w:pPr>
              <w:spacing w:line="360" w:lineRule="auto"/>
              <w:jc w:val="center"/>
              <w:rPr>
                <w:rFonts w:ascii="宋体"/>
                <w:color w:val="auto"/>
                <w:sz w:val="24"/>
                <w:highlight w:val="none"/>
              </w:rPr>
            </w:pPr>
          </w:p>
          <w:p w14:paraId="31CE0ACD">
            <w:pPr>
              <w:spacing w:line="360" w:lineRule="auto"/>
              <w:jc w:val="center"/>
              <w:rPr>
                <w:rFonts w:ascii="宋体"/>
                <w:color w:val="auto"/>
                <w:sz w:val="24"/>
                <w:highlight w:val="none"/>
              </w:rPr>
            </w:pPr>
          </w:p>
          <w:p w14:paraId="64C212B8">
            <w:pPr>
              <w:spacing w:line="360" w:lineRule="auto"/>
              <w:jc w:val="center"/>
              <w:rPr>
                <w:rFonts w:ascii="宋体"/>
                <w:color w:val="auto"/>
                <w:sz w:val="24"/>
                <w:highlight w:val="none"/>
              </w:rPr>
            </w:pPr>
          </w:p>
          <w:p w14:paraId="765E84A4">
            <w:pPr>
              <w:spacing w:line="360" w:lineRule="auto"/>
              <w:jc w:val="center"/>
              <w:rPr>
                <w:rFonts w:ascii="宋体"/>
                <w:color w:val="auto"/>
                <w:sz w:val="24"/>
                <w:highlight w:val="none"/>
              </w:rPr>
            </w:pPr>
          </w:p>
          <w:p w14:paraId="48F45FD6">
            <w:pPr>
              <w:spacing w:line="360" w:lineRule="auto"/>
              <w:jc w:val="center"/>
              <w:rPr>
                <w:rFonts w:ascii="宋体"/>
                <w:color w:val="auto"/>
                <w:sz w:val="24"/>
                <w:highlight w:val="none"/>
              </w:rPr>
            </w:pPr>
          </w:p>
          <w:p w14:paraId="154198D8">
            <w:pPr>
              <w:spacing w:line="360" w:lineRule="auto"/>
              <w:jc w:val="center"/>
              <w:rPr>
                <w:rFonts w:ascii="宋体"/>
                <w:color w:val="auto"/>
                <w:sz w:val="24"/>
                <w:highlight w:val="none"/>
              </w:rPr>
            </w:pPr>
          </w:p>
          <w:p w14:paraId="7945DC81">
            <w:pPr>
              <w:spacing w:line="360" w:lineRule="auto"/>
              <w:jc w:val="center"/>
              <w:rPr>
                <w:rFonts w:ascii="宋体"/>
                <w:color w:val="auto"/>
                <w:sz w:val="24"/>
                <w:highlight w:val="none"/>
              </w:rPr>
            </w:pPr>
          </w:p>
          <w:p w14:paraId="0BCE458F">
            <w:pPr>
              <w:spacing w:line="360" w:lineRule="auto"/>
              <w:jc w:val="center"/>
              <w:rPr>
                <w:rFonts w:ascii="宋体"/>
                <w:color w:val="auto"/>
                <w:sz w:val="24"/>
                <w:highlight w:val="none"/>
              </w:rPr>
            </w:pPr>
          </w:p>
          <w:p w14:paraId="7C42DBAF">
            <w:pPr>
              <w:spacing w:line="360" w:lineRule="auto"/>
              <w:jc w:val="center"/>
              <w:rPr>
                <w:rFonts w:ascii="宋体"/>
                <w:color w:val="auto"/>
                <w:sz w:val="24"/>
                <w:highlight w:val="none"/>
              </w:rPr>
            </w:pPr>
          </w:p>
          <w:p w14:paraId="00C31DDF">
            <w:pPr>
              <w:spacing w:line="360" w:lineRule="auto"/>
              <w:jc w:val="center"/>
              <w:rPr>
                <w:rFonts w:ascii="宋体"/>
                <w:color w:val="auto"/>
                <w:sz w:val="24"/>
                <w:highlight w:val="none"/>
              </w:rPr>
            </w:pPr>
            <w:r>
              <w:rPr>
                <w:rFonts w:ascii="宋体" w:hAnsi="宋体"/>
                <w:color w:val="auto"/>
                <w:sz w:val="24"/>
                <w:highlight w:val="none"/>
              </w:rPr>
              <w:t>1</w:t>
            </w:r>
          </w:p>
        </w:tc>
        <w:tc>
          <w:tcPr>
            <w:tcW w:w="1031" w:type="dxa"/>
            <w:vMerge w:val="restart"/>
            <w:vAlign w:val="center"/>
          </w:tcPr>
          <w:p w14:paraId="66471CC1">
            <w:pPr>
              <w:spacing w:line="360" w:lineRule="auto"/>
              <w:jc w:val="center"/>
              <w:rPr>
                <w:rFonts w:ascii="宋体"/>
                <w:color w:val="auto"/>
                <w:sz w:val="24"/>
                <w:highlight w:val="none"/>
              </w:rPr>
            </w:pPr>
          </w:p>
          <w:p w14:paraId="2A700E42">
            <w:pPr>
              <w:spacing w:line="360" w:lineRule="auto"/>
              <w:jc w:val="center"/>
              <w:rPr>
                <w:rFonts w:ascii="宋体"/>
                <w:color w:val="auto"/>
                <w:sz w:val="24"/>
                <w:highlight w:val="none"/>
              </w:rPr>
            </w:pPr>
          </w:p>
          <w:p w14:paraId="4A93FDAE">
            <w:pPr>
              <w:spacing w:line="360" w:lineRule="auto"/>
              <w:jc w:val="center"/>
              <w:rPr>
                <w:rFonts w:ascii="宋体"/>
                <w:color w:val="auto"/>
                <w:sz w:val="24"/>
                <w:highlight w:val="none"/>
              </w:rPr>
            </w:pPr>
          </w:p>
          <w:p w14:paraId="71BF8A68">
            <w:pPr>
              <w:spacing w:line="360" w:lineRule="auto"/>
              <w:jc w:val="center"/>
              <w:rPr>
                <w:rFonts w:ascii="宋体"/>
                <w:color w:val="auto"/>
                <w:sz w:val="24"/>
                <w:highlight w:val="none"/>
              </w:rPr>
            </w:pPr>
          </w:p>
          <w:p w14:paraId="2AEE1F72">
            <w:pPr>
              <w:spacing w:line="360" w:lineRule="auto"/>
              <w:jc w:val="center"/>
              <w:rPr>
                <w:rFonts w:ascii="宋体"/>
                <w:color w:val="auto"/>
                <w:sz w:val="24"/>
                <w:highlight w:val="none"/>
              </w:rPr>
            </w:pPr>
          </w:p>
          <w:p w14:paraId="6929FE0D">
            <w:pPr>
              <w:spacing w:line="360" w:lineRule="auto"/>
              <w:jc w:val="center"/>
              <w:rPr>
                <w:rFonts w:ascii="宋体"/>
                <w:color w:val="auto"/>
                <w:sz w:val="24"/>
                <w:highlight w:val="none"/>
              </w:rPr>
            </w:pPr>
          </w:p>
          <w:p w14:paraId="3F72C7C5">
            <w:pPr>
              <w:spacing w:line="360" w:lineRule="auto"/>
              <w:jc w:val="center"/>
              <w:rPr>
                <w:rFonts w:ascii="宋体"/>
                <w:color w:val="auto"/>
                <w:sz w:val="24"/>
                <w:highlight w:val="none"/>
              </w:rPr>
            </w:pPr>
            <w:r>
              <w:rPr>
                <w:rFonts w:hint="eastAsia" w:ascii="宋体" w:hAnsi="宋体"/>
                <w:color w:val="auto"/>
                <w:sz w:val="24"/>
                <w:highlight w:val="none"/>
              </w:rPr>
              <w:t>技术分</w:t>
            </w:r>
          </w:p>
          <w:p w14:paraId="48B12AA8">
            <w:pPr>
              <w:spacing w:line="360" w:lineRule="auto"/>
              <w:jc w:val="center"/>
              <w:rPr>
                <w:rFonts w:ascii="宋体"/>
                <w:color w:val="auto"/>
                <w:sz w:val="24"/>
                <w:highlight w:val="none"/>
              </w:rPr>
            </w:pPr>
          </w:p>
          <w:p w14:paraId="2316775B">
            <w:pPr>
              <w:spacing w:line="360" w:lineRule="auto"/>
              <w:jc w:val="center"/>
              <w:rPr>
                <w:rFonts w:ascii="宋体"/>
                <w:color w:val="auto"/>
                <w:sz w:val="24"/>
                <w:highlight w:val="none"/>
              </w:rPr>
            </w:pPr>
            <w:r>
              <w:rPr>
                <w:rFonts w:hint="eastAsia" w:ascii="宋体" w:hAnsi="宋体" w:cs="宋体"/>
                <w:b/>
                <w:color w:val="auto"/>
                <w:szCs w:val="21"/>
                <w:highlight w:val="none"/>
              </w:rPr>
              <w:t>由磋商小组成员根据供应商提供技术部分内容独立评审、打分</w:t>
            </w:r>
          </w:p>
        </w:tc>
        <w:tc>
          <w:tcPr>
            <w:tcW w:w="912" w:type="dxa"/>
            <w:vMerge w:val="restart"/>
            <w:vAlign w:val="center"/>
          </w:tcPr>
          <w:p w14:paraId="5DDC0545">
            <w:pPr>
              <w:spacing w:line="360" w:lineRule="auto"/>
              <w:jc w:val="center"/>
              <w:rPr>
                <w:rFonts w:ascii="宋体" w:cs="宋体"/>
                <w:color w:val="auto"/>
                <w:sz w:val="24"/>
                <w:highlight w:val="none"/>
              </w:rPr>
            </w:pPr>
          </w:p>
          <w:p w14:paraId="1EF43167">
            <w:pPr>
              <w:spacing w:line="360" w:lineRule="auto"/>
              <w:jc w:val="center"/>
              <w:rPr>
                <w:rFonts w:ascii="宋体" w:cs="宋体"/>
                <w:color w:val="auto"/>
                <w:sz w:val="24"/>
                <w:highlight w:val="none"/>
              </w:rPr>
            </w:pPr>
          </w:p>
          <w:p w14:paraId="5DC9CA5D">
            <w:pPr>
              <w:spacing w:line="360" w:lineRule="auto"/>
              <w:jc w:val="center"/>
              <w:rPr>
                <w:rFonts w:ascii="宋体" w:cs="宋体"/>
                <w:color w:val="auto"/>
                <w:sz w:val="24"/>
                <w:highlight w:val="none"/>
              </w:rPr>
            </w:pPr>
          </w:p>
          <w:p w14:paraId="11985089">
            <w:pPr>
              <w:spacing w:line="360" w:lineRule="auto"/>
              <w:jc w:val="center"/>
              <w:rPr>
                <w:rFonts w:ascii="宋体" w:cs="宋体"/>
                <w:color w:val="auto"/>
                <w:sz w:val="24"/>
                <w:highlight w:val="none"/>
              </w:rPr>
            </w:pPr>
          </w:p>
          <w:p w14:paraId="436E30E8">
            <w:pPr>
              <w:spacing w:line="360" w:lineRule="auto"/>
              <w:jc w:val="center"/>
              <w:rPr>
                <w:rFonts w:ascii="宋体" w:cs="宋体"/>
                <w:color w:val="auto"/>
                <w:sz w:val="24"/>
                <w:highlight w:val="none"/>
              </w:rPr>
            </w:pPr>
          </w:p>
          <w:p w14:paraId="58986278">
            <w:pPr>
              <w:spacing w:line="360" w:lineRule="auto"/>
              <w:jc w:val="center"/>
              <w:rPr>
                <w:rFonts w:ascii="宋体" w:cs="宋体"/>
                <w:color w:val="auto"/>
                <w:sz w:val="24"/>
                <w:highlight w:val="none"/>
              </w:rPr>
            </w:pPr>
          </w:p>
          <w:p w14:paraId="0E7DFA0C">
            <w:pPr>
              <w:spacing w:line="360" w:lineRule="auto"/>
              <w:jc w:val="center"/>
              <w:rPr>
                <w:rFonts w:ascii="宋体" w:cs="宋体"/>
                <w:color w:val="auto"/>
                <w:sz w:val="24"/>
                <w:highlight w:val="none"/>
              </w:rPr>
            </w:pPr>
          </w:p>
          <w:p w14:paraId="2D971D25">
            <w:pPr>
              <w:spacing w:line="360" w:lineRule="auto"/>
              <w:jc w:val="center"/>
              <w:rPr>
                <w:rFonts w:ascii="宋体" w:cs="宋体"/>
                <w:color w:val="auto"/>
                <w:sz w:val="24"/>
                <w:highlight w:val="none"/>
              </w:rPr>
            </w:pPr>
          </w:p>
          <w:p w14:paraId="4DE41506">
            <w:pPr>
              <w:spacing w:line="360" w:lineRule="auto"/>
              <w:jc w:val="center"/>
              <w:rPr>
                <w:rFonts w:hint="eastAsia" w:ascii="宋体" w:eastAsia="宋体"/>
                <w:color w:val="auto"/>
                <w:sz w:val="24"/>
                <w:highlight w:val="none"/>
                <w:lang w:eastAsia="zh-CN"/>
              </w:rPr>
            </w:pPr>
            <w:r>
              <w:rPr>
                <w:rFonts w:hint="eastAsia" w:ascii="宋体" w:hAnsi="宋体" w:cs="宋体"/>
                <w:color w:val="auto"/>
                <w:sz w:val="24"/>
                <w:highlight w:val="none"/>
              </w:rPr>
              <w:t>施工组织设计</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58分</w:t>
            </w:r>
            <w:r>
              <w:rPr>
                <w:rFonts w:hint="eastAsia" w:ascii="宋体" w:hAnsi="宋体" w:cs="宋体"/>
                <w:color w:val="auto"/>
                <w:sz w:val="24"/>
                <w:highlight w:val="none"/>
                <w:lang w:eastAsia="zh-CN"/>
              </w:rPr>
              <w:t>）</w:t>
            </w:r>
          </w:p>
        </w:tc>
        <w:tc>
          <w:tcPr>
            <w:tcW w:w="1039" w:type="dxa"/>
            <w:vAlign w:val="center"/>
          </w:tcPr>
          <w:p w14:paraId="33545E0B">
            <w:pPr>
              <w:spacing w:line="360" w:lineRule="auto"/>
              <w:rPr>
                <w:rFonts w:ascii="宋体" w:cs="宋体"/>
                <w:color w:val="auto"/>
                <w:kern w:val="0"/>
                <w:sz w:val="24"/>
                <w:highlight w:val="none"/>
              </w:rPr>
            </w:pPr>
          </w:p>
          <w:p w14:paraId="680D7B7E">
            <w:pPr>
              <w:spacing w:line="360" w:lineRule="auto"/>
              <w:rPr>
                <w:rFonts w:ascii="宋体" w:cs="宋体"/>
                <w:color w:val="auto"/>
                <w:kern w:val="0"/>
                <w:sz w:val="24"/>
                <w:highlight w:val="none"/>
              </w:rPr>
            </w:pPr>
          </w:p>
          <w:p w14:paraId="166AF523">
            <w:pPr>
              <w:spacing w:line="360" w:lineRule="auto"/>
              <w:rPr>
                <w:rFonts w:ascii="宋体" w:cs="宋体"/>
                <w:color w:val="auto"/>
                <w:kern w:val="0"/>
                <w:sz w:val="24"/>
                <w:highlight w:val="none"/>
              </w:rPr>
            </w:pPr>
          </w:p>
          <w:p w14:paraId="0C91B068">
            <w:pPr>
              <w:spacing w:line="360" w:lineRule="auto"/>
              <w:rPr>
                <w:rFonts w:ascii="宋体"/>
                <w:color w:val="auto"/>
                <w:kern w:val="0"/>
                <w:sz w:val="24"/>
                <w:highlight w:val="none"/>
              </w:rPr>
            </w:pPr>
            <w:r>
              <w:rPr>
                <w:rFonts w:hint="eastAsia" w:ascii="宋体" w:hAnsi="宋体" w:cs="宋体"/>
                <w:color w:val="auto"/>
                <w:kern w:val="0"/>
                <w:sz w:val="24"/>
                <w:highlight w:val="none"/>
              </w:rPr>
              <w:t>主要施工方法</w:t>
            </w:r>
          </w:p>
          <w:p w14:paraId="10A47BF4">
            <w:pPr>
              <w:spacing w:line="360" w:lineRule="auto"/>
              <w:rPr>
                <w:rFonts w:ascii="宋体"/>
                <w:color w:val="auto"/>
                <w:sz w:val="24"/>
                <w:highlight w:val="none"/>
              </w:rPr>
            </w:pPr>
            <w:r>
              <w:rPr>
                <w:rFonts w:hint="eastAsia" w:ascii="宋体" w:hAnsi="宋体" w:cs="宋体"/>
                <w:color w:val="auto"/>
                <w:kern w:val="0"/>
                <w:sz w:val="24"/>
                <w:highlight w:val="none"/>
              </w:rPr>
              <w:t>（</w:t>
            </w:r>
            <w:r>
              <w:rPr>
                <w:rFonts w:ascii="宋体" w:hAnsi="宋体" w:cs="宋体"/>
                <w:color w:val="auto"/>
                <w:kern w:val="0"/>
                <w:sz w:val="24"/>
                <w:highlight w:val="none"/>
              </w:rPr>
              <w:t>9</w:t>
            </w:r>
            <w:r>
              <w:rPr>
                <w:rFonts w:hint="eastAsia" w:ascii="宋体" w:hAnsi="宋体" w:cs="宋体"/>
                <w:color w:val="auto"/>
                <w:kern w:val="0"/>
                <w:sz w:val="24"/>
                <w:highlight w:val="none"/>
              </w:rPr>
              <w:t>分）</w:t>
            </w:r>
          </w:p>
        </w:tc>
        <w:tc>
          <w:tcPr>
            <w:tcW w:w="5774" w:type="dxa"/>
            <w:vAlign w:val="center"/>
          </w:tcPr>
          <w:p w14:paraId="304D0675">
            <w:pPr>
              <w:widowControl/>
              <w:spacing w:line="360" w:lineRule="auto"/>
              <w:rPr>
                <w:rFonts w:ascii="宋体"/>
                <w:color w:val="auto"/>
                <w:sz w:val="24"/>
                <w:highlight w:val="none"/>
              </w:rPr>
            </w:pPr>
            <w:r>
              <w:rPr>
                <w:rFonts w:hint="eastAsia" w:ascii="宋体" w:hAnsi="宋体"/>
                <w:b/>
                <w:bCs/>
                <w:color w:val="auto"/>
                <w:sz w:val="24"/>
                <w:highlight w:val="none"/>
                <w:lang w:val="en-US" w:eastAsia="zh-CN"/>
              </w:rPr>
              <w:t>优</w:t>
            </w:r>
            <w:r>
              <w:rPr>
                <w:rFonts w:hint="eastAsia" w:ascii="宋体" w:hAnsi="宋体"/>
                <w:b/>
                <w:bCs/>
                <w:color w:val="auto"/>
                <w:sz w:val="24"/>
                <w:highlight w:val="none"/>
              </w:rPr>
              <w:t>（</w:t>
            </w:r>
            <w:r>
              <w:rPr>
                <w:rFonts w:ascii="宋体" w:hAnsi="宋体"/>
                <w:b/>
                <w:bCs/>
                <w:color w:val="auto"/>
                <w:sz w:val="24"/>
                <w:highlight w:val="none"/>
              </w:rPr>
              <w:t>9</w:t>
            </w:r>
            <w:r>
              <w:rPr>
                <w:rFonts w:hint="eastAsia" w:ascii="宋体" w:hAnsi="宋体"/>
                <w:b/>
                <w:bCs/>
                <w:color w:val="auto"/>
                <w:sz w:val="24"/>
                <w:highlight w:val="none"/>
              </w:rPr>
              <w:t>分）：</w:t>
            </w:r>
            <w:r>
              <w:rPr>
                <w:rFonts w:hint="eastAsia" w:ascii="宋体" w:hAnsi="宋体"/>
                <w:color w:val="auto"/>
                <w:sz w:val="24"/>
                <w:highlight w:val="none"/>
              </w:rPr>
              <w:t>各主要分部施工方法符合项目实际，有详尽的施工技术方案，工艺先进、方法科学合理、可行，能指导具体施工并确保安全；</w:t>
            </w:r>
            <w:r>
              <w:rPr>
                <w:rFonts w:ascii="宋体" w:hAnsi="宋体"/>
                <w:color w:val="auto"/>
                <w:sz w:val="24"/>
                <w:highlight w:val="none"/>
              </w:rPr>
              <w:t xml:space="preserve"> </w:t>
            </w:r>
          </w:p>
          <w:p w14:paraId="31F70319">
            <w:pPr>
              <w:widowControl/>
              <w:spacing w:line="360" w:lineRule="auto"/>
              <w:rPr>
                <w:rFonts w:ascii="宋体"/>
                <w:color w:val="auto"/>
                <w:sz w:val="24"/>
                <w:highlight w:val="none"/>
              </w:rPr>
            </w:pPr>
            <w:r>
              <w:rPr>
                <w:rFonts w:hint="eastAsia" w:ascii="宋体" w:hAnsi="宋体" w:eastAsia="宋体"/>
                <w:b/>
                <w:bCs/>
                <w:color w:val="auto"/>
                <w:sz w:val="24"/>
                <w:highlight w:val="none"/>
                <w:lang w:val="en-US" w:eastAsia="zh-CN"/>
              </w:rPr>
              <w:t>良（6分）：</w:t>
            </w:r>
            <w:r>
              <w:rPr>
                <w:rFonts w:hint="eastAsia" w:ascii="宋体" w:hAnsi="宋体"/>
                <w:color w:val="auto"/>
                <w:sz w:val="24"/>
                <w:highlight w:val="none"/>
              </w:rPr>
              <w:t>各主要分部施工方法符合项目实际，有详尽的施工技术方案，工艺、方法可行，能指导具体施工并确保安全；</w:t>
            </w:r>
            <w:r>
              <w:rPr>
                <w:rFonts w:ascii="宋体" w:hAnsi="宋体"/>
                <w:color w:val="auto"/>
                <w:sz w:val="24"/>
                <w:highlight w:val="none"/>
              </w:rPr>
              <w:t xml:space="preserve"> </w:t>
            </w:r>
          </w:p>
          <w:p w14:paraId="724EDA0C">
            <w:pPr>
              <w:widowControl/>
              <w:spacing w:line="360" w:lineRule="auto"/>
              <w:rPr>
                <w:rFonts w:ascii="宋体"/>
                <w:color w:val="auto"/>
                <w:sz w:val="24"/>
                <w:highlight w:val="none"/>
              </w:rPr>
            </w:pPr>
            <w:r>
              <w:rPr>
                <w:rFonts w:hint="eastAsia" w:ascii="宋体" w:hAnsi="宋体" w:eastAsia="宋体"/>
                <w:b/>
                <w:bCs/>
                <w:color w:val="auto"/>
                <w:sz w:val="24"/>
                <w:highlight w:val="none"/>
                <w:lang w:val="en-US" w:eastAsia="zh-CN"/>
              </w:rPr>
              <w:t>中（3分）：</w:t>
            </w:r>
            <w:r>
              <w:rPr>
                <w:rFonts w:hint="eastAsia" w:ascii="宋体" w:hAnsi="宋体"/>
                <w:color w:val="auto"/>
                <w:sz w:val="24"/>
                <w:highlight w:val="none"/>
              </w:rPr>
              <w:t>各主要分部施工方法基本符合项目实际，须有施工技术方案，工艺、方法可行，基本能指导具体施工并确保安全；</w:t>
            </w:r>
          </w:p>
          <w:p w14:paraId="56F06440">
            <w:pPr>
              <w:widowControl/>
              <w:spacing w:line="360" w:lineRule="auto"/>
              <w:rPr>
                <w:rFonts w:ascii="宋体"/>
                <w:color w:val="auto"/>
                <w:sz w:val="24"/>
                <w:highlight w:val="none"/>
              </w:rPr>
            </w:pPr>
            <w:r>
              <w:rPr>
                <w:rFonts w:hint="eastAsia" w:ascii="宋体" w:hAnsi="宋体" w:eastAsia="宋体"/>
                <w:b/>
                <w:bCs/>
                <w:color w:val="auto"/>
                <w:sz w:val="24"/>
                <w:highlight w:val="none"/>
                <w:lang w:val="en-US" w:eastAsia="zh-CN"/>
              </w:rPr>
              <w:t>差（0分）：</w:t>
            </w:r>
            <w:r>
              <w:rPr>
                <w:rFonts w:hint="eastAsia" w:ascii="宋体" w:hAnsi="宋体"/>
                <w:color w:val="auto"/>
                <w:sz w:val="24"/>
                <w:highlight w:val="none"/>
              </w:rPr>
              <w:t>各主要分部施工方法不符合项目实际，无详尽的施工技术方案，不能指导具体施工并确保安全；</w:t>
            </w:r>
          </w:p>
        </w:tc>
      </w:tr>
      <w:tr w14:paraId="588CD6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780" w:type="dxa"/>
            <w:vMerge w:val="continue"/>
            <w:vAlign w:val="center"/>
          </w:tcPr>
          <w:p w14:paraId="1074D945">
            <w:pPr>
              <w:spacing w:line="360" w:lineRule="auto"/>
              <w:jc w:val="center"/>
              <w:rPr>
                <w:rFonts w:ascii="宋体"/>
                <w:color w:val="auto"/>
                <w:sz w:val="24"/>
                <w:highlight w:val="none"/>
              </w:rPr>
            </w:pPr>
          </w:p>
        </w:tc>
        <w:tc>
          <w:tcPr>
            <w:tcW w:w="1031" w:type="dxa"/>
            <w:vMerge w:val="continue"/>
            <w:vAlign w:val="center"/>
          </w:tcPr>
          <w:p w14:paraId="1508DBD2">
            <w:pPr>
              <w:spacing w:line="360" w:lineRule="auto"/>
              <w:jc w:val="center"/>
              <w:rPr>
                <w:rFonts w:ascii="宋体"/>
                <w:color w:val="auto"/>
                <w:sz w:val="24"/>
                <w:highlight w:val="none"/>
              </w:rPr>
            </w:pPr>
          </w:p>
        </w:tc>
        <w:tc>
          <w:tcPr>
            <w:tcW w:w="912" w:type="dxa"/>
            <w:vMerge w:val="continue"/>
            <w:vAlign w:val="center"/>
          </w:tcPr>
          <w:p w14:paraId="60E31271">
            <w:pPr>
              <w:spacing w:line="360" w:lineRule="auto"/>
              <w:jc w:val="center"/>
              <w:rPr>
                <w:rFonts w:ascii="宋体"/>
                <w:color w:val="auto"/>
                <w:sz w:val="24"/>
                <w:highlight w:val="none"/>
              </w:rPr>
            </w:pPr>
          </w:p>
        </w:tc>
        <w:tc>
          <w:tcPr>
            <w:tcW w:w="1039" w:type="dxa"/>
            <w:vAlign w:val="center"/>
          </w:tcPr>
          <w:p w14:paraId="40788E1B">
            <w:pPr>
              <w:widowControl/>
              <w:spacing w:line="360" w:lineRule="auto"/>
              <w:rPr>
                <w:rFonts w:ascii="宋体" w:cs="宋体"/>
                <w:color w:val="auto"/>
                <w:kern w:val="0"/>
                <w:sz w:val="24"/>
                <w:highlight w:val="none"/>
              </w:rPr>
            </w:pPr>
            <w:r>
              <w:rPr>
                <w:rFonts w:hint="eastAsia" w:ascii="宋体" w:hAnsi="宋体" w:cs="宋体"/>
                <w:color w:val="auto"/>
                <w:kern w:val="0"/>
                <w:sz w:val="24"/>
                <w:highlight w:val="none"/>
              </w:rPr>
              <w:t>拟投入的主要物资计划（</w:t>
            </w:r>
            <w:r>
              <w:rPr>
                <w:rFonts w:ascii="宋体" w:hAnsi="宋体" w:cs="宋体"/>
                <w:color w:val="auto"/>
                <w:kern w:val="0"/>
                <w:sz w:val="24"/>
                <w:highlight w:val="none"/>
              </w:rPr>
              <w:t>6</w:t>
            </w:r>
            <w:r>
              <w:rPr>
                <w:rFonts w:hint="eastAsia" w:ascii="宋体" w:hAnsi="宋体" w:cs="宋体"/>
                <w:color w:val="auto"/>
                <w:kern w:val="0"/>
                <w:sz w:val="24"/>
                <w:highlight w:val="none"/>
              </w:rPr>
              <w:t>分）</w:t>
            </w:r>
          </w:p>
        </w:tc>
        <w:tc>
          <w:tcPr>
            <w:tcW w:w="5774" w:type="dxa"/>
            <w:vAlign w:val="center"/>
          </w:tcPr>
          <w:p w14:paraId="0A884FC2">
            <w:pPr>
              <w:widowControl/>
              <w:spacing w:line="360" w:lineRule="auto"/>
              <w:rPr>
                <w:rFonts w:ascii="宋体"/>
                <w:color w:val="auto"/>
                <w:sz w:val="24"/>
                <w:highlight w:val="none"/>
              </w:rPr>
            </w:pPr>
            <w:r>
              <w:rPr>
                <w:rFonts w:hint="eastAsia" w:ascii="宋体" w:hAnsi="宋体"/>
                <w:b/>
                <w:bCs/>
                <w:color w:val="auto"/>
                <w:sz w:val="24"/>
                <w:highlight w:val="none"/>
                <w:lang w:eastAsia="zh-CN"/>
              </w:rPr>
              <w:t>优</w:t>
            </w:r>
            <w:r>
              <w:rPr>
                <w:rFonts w:hint="eastAsia" w:ascii="宋体" w:hAnsi="宋体"/>
                <w:b/>
                <w:bCs/>
                <w:color w:val="auto"/>
                <w:sz w:val="24"/>
                <w:highlight w:val="none"/>
              </w:rPr>
              <w:t>（</w:t>
            </w:r>
            <w:r>
              <w:rPr>
                <w:rFonts w:ascii="宋体" w:hAnsi="宋体"/>
                <w:b/>
                <w:bCs/>
                <w:color w:val="auto"/>
                <w:sz w:val="24"/>
                <w:highlight w:val="none"/>
              </w:rPr>
              <w:t>6</w:t>
            </w:r>
            <w:r>
              <w:rPr>
                <w:rFonts w:hint="eastAsia" w:ascii="宋体" w:hAnsi="宋体"/>
                <w:b/>
                <w:bCs/>
                <w:color w:val="auto"/>
                <w:sz w:val="24"/>
                <w:highlight w:val="none"/>
              </w:rPr>
              <w:t>分）：</w:t>
            </w:r>
            <w:r>
              <w:rPr>
                <w:rFonts w:hint="eastAsia" w:ascii="宋体" w:hAnsi="宋体"/>
                <w:color w:val="auto"/>
                <w:sz w:val="24"/>
                <w:highlight w:val="none"/>
              </w:rPr>
              <w:t>投入的施工材料有详细的组织计划且计划周密，数量、选型配置、进场时间安排合理，满足施工需要；</w:t>
            </w:r>
            <w:r>
              <w:rPr>
                <w:rFonts w:ascii="宋体" w:hAnsi="宋体"/>
                <w:color w:val="auto"/>
                <w:sz w:val="24"/>
                <w:highlight w:val="none"/>
              </w:rPr>
              <w:t xml:space="preserve"> </w:t>
            </w:r>
          </w:p>
          <w:p w14:paraId="3F0AD1AE">
            <w:pPr>
              <w:widowControl/>
              <w:spacing w:line="360" w:lineRule="auto"/>
              <w:rPr>
                <w:rFonts w:ascii="宋体"/>
                <w:color w:val="auto"/>
                <w:sz w:val="24"/>
                <w:highlight w:val="none"/>
              </w:rPr>
            </w:pPr>
            <w:r>
              <w:rPr>
                <w:rFonts w:hint="eastAsia" w:ascii="宋体" w:hAnsi="宋体"/>
                <w:b/>
                <w:bCs/>
                <w:color w:val="auto"/>
                <w:sz w:val="24"/>
                <w:highlight w:val="none"/>
                <w:lang w:eastAsia="zh-CN"/>
              </w:rPr>
              <w:t>良</w:t>
            </w:r>
            <w:r>
              <w:rPr>
                <w:rFonts w:hint="eastAsia" w:ascii="宋体" w:hAnsi="宋体"/>
                <w:b/>
                <w:bCs/>
                <w:color w:val="auto"/>
                <w:sz w:val="24"/>
                <w:highlight w:val="none"/>
              </w:rPr>
              <w:t>（</w:t>
            </w:r>
            <w:r>
              <w:rPr>
                <w:rFonts w:ascii="宋体" w:hAnsi="宋体"/>
                <w:b/>
                <w:bCs/>
                <w:color w:val="auto"/>
                <w:sz w:val="24"/>
                <w:highlight w:val="none"/>
              </w:rPr>
              <w:t>4</w:t>
            </w:r>
            <w:r>
              <w:rPr>
                <w:rFonts w:hint="eastAsia" w:ascii="宋体" w:hAnsi="宋体"/>
                <w:b/>
                <w:bCs/>
                <w:color w:val="auto"/>
                <w:sz w:val="24"/>
                <w:highlight w:val="none"/>
              </w:rPr>
              <w:t>分）：</w:t>
            </w:r>
            <w:r>
              <w:rPr>
                <w:rFonts w:hint="eastAsia" w:ascii="宋体" w:hAnsi="宋体"/>
                <w:color w:val="auto"/>
                <w:sz w:val="24"/>
                <w:highlight w:val="none"/>
              </w:rPr>
              <w:t>投入的施工材料有详细的组织计划且计划周密，投入计划与进度计划对应，调配投入计划合理、准确，较好满足施工需要。</w:t>
            </w:r>
            <w:r>
              <w:rPr>
                <w:rFonts w:ascii="宋体" w:hAnsi="宋体"/>
                <w:color w:val="auto"/>
                <w:sz w:val="24"/>
                <w:highlight w:val="none"/>
              </w:rPr>
              <w:t xml:space="preserve"> </w:t>
            </w:r>
          </w:p>
          <w:p w14:paraId="717E7617">
            <w:pPr>
              <w:widowControl/>
              <w:spacing w:line="360" w:lineRule="auto"/>
              <w:rPr>
                <w:rFonts w:ascii="宋体"/>
                <w:color w:val="auto"/>
                <w:sz w:val="24"/>
                <w:highlight w:val="none"/>
              </w:rPr>
            </w:pPr>
            <w:r>
              <w:rPr>
                <w:rFonts w:hint="eastAsia" w:ascii="宋体" w:hAnsi="宋体" w:eastAsia="宋体"/>
                <w:b/>
                <w:bCs/>
                <w:color w:val="auto"/>
                <w:sz w:val="24"/>
                <w:highlight w:val="none"/>
                <w:lang w:eastAsia="zh-CN"/>
              </w:rPr>
              <w:t>中（2分）：</w:t>
            </w:r>
            <w:r>
              <w:rPr>
                <w:rFonts w:hint="eastAsia" w:ascii="宋体" w:hAnsi="宋体"/>
                <w:color w:val="auto"/>
                <w:sz w:val="24"/>
                <w:highlight w:val="none"/>
              </w:rPr>
              <w:t>投入的施工材料有详细的组织计划，投入计划与进度计划对应，调配投入计划基本合理、准确，基本满足施工需要。</w:t>
            </w:r>
          </w:p>
          <w:p w14:paraId="0106912A">
            <w:pPr>
              <w:widowControl/>
              <w:spacing w:line="360" w:lineRule="auto"/>
              <w:rPr>
                <w:rFonts w:ascii="宋体"/>
                <w:color w:val="auto"/>
                <w:sz w:val="24"/>
                <w:highlight w:val="none"/>
              </w:rPr>
            </w:pPr>
            <w:r>
              <w:rPr>
                <w:rFonts w:hint="eastAsia" w:ascii="宋体" w:hAnsi="宋体" w:eastAsia="宋体"/>
                <w:b/>
                <w:bCs/>
                <w:color w:val="auto"/>
                <w:sz w:val="24"/>
                <w:highlight w:val="none"/>
                <w:lang w:eastAsia="zh-CN"/>
              </w:rPr>
              <w:t>差（0分）：</w:t>
            </w:r>
            <w:r>
              <w:rPr>
                <w:rFonts w:hint="eastAsia" w:ascii="宋体" w:hAnsi="宋体"/>
                <w:color w:val="auto"/>
                <w:sz w:val="24"/>
                <w:highlight w:val="none"/>
              </w:rPr>
              <w:t>投入的施工材料无详细组织计划，数量、选型配置、进场时间安排不合理，不能满足施工需要</w:t>
            </w:r>
            <w:r>
              <w:rPr>
                <w:rFonts w:hint="eastAsia" w:ascii="宋体" w:hAnsi="宋体"/>
                <w:b/>
                <w:bCs/>
                <w:color w:val="auto"/>
                <w:sz w:val="24"/>
                <w:highlight w:val="none"/>
              </w:rPr>
              <w:t>或未提供拟投入的主要物资计划。</w:t>
            </w:r>
          </w:p>
        </w:tc>
      </w:tr>
      <w:tr w14:paraId="0C0FA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780" w:type="dxa"/>
            <w:vMerge w:val="continue"/>
            <w:vAlign w:val="center"/>
          </w:tcPr>
          <w:p w14:paraId="4AF1FFC8">
            <w:pPr>
              <w:spacing w:line="360" w:lineRule="auto"/>
              <w:jc w:val="center"/>
              <w:rPr>
                <w:rFonts w:ascii="宋体"/>
                <w:color w:val="auto"/>
                <w:sz w:val="24"/>
                <w:highlight w:val="none"/>
              </w:rPr>
            </w:pPr>
          </w:p>
        </w:tc>
        <w:tc>
          <w:tcPr>
            <w:tcW w:w="1031" w:type="dxa"/>
            <w:vMerge w:val="continue"/>
            <w:vAlign w:val="center"/>
          </w:tcPr>
          <w:p w14:paraId="0D90A4A3">
            <w:pPr>
              <w:spacing w:line="360" w:lineRule="auto"/>
              <w:jc w:val="center"/>
              <w:rPr>
                <w:rFonts w:ascii="宋体"/>
                <w:color w:val="auto"/>
                <w:sz w:val="24"/>
                <w:highlight w:val="none"/>
              </w:rPr>
            </w:pPr>
          </w:p>
        </w:tc>
        <w:tc>
          <w:tcPr>
            <w:tcW w:w="912" w:type="dxa"/>
            <w:vMerge w:val="continue"/>
            <w:vAlign w:val="center"/>
          </w:tcPr>
          <w:p w14:paraId="32A41ADB">
            <w:pPr>
              <w:spacing w:line="360" w:lineRule="auto"/>
              <w:jc w:val="center"/>
              <w:rPr>
                <w:rFonts w:ascii="宋体"/>
                <w:color w:val="auto"/>
                <w:sz w:val="24"/>
                <w:highlight w:val="none"/>
              </w:rPr>
            </w:pPr>
          </w:p>
        </w:tc>
        <w:tc>
          <w:tcPr>
            <w:tcW w:w="1039" w:type="dxa"/>
            <w:vAlign w:val="center"/>
          </w:tcPr>
          <w:p w14:paraId="42B1D0A6">
            <w:pPr>
              <w:widowControl/>
              <w:spacing w:line="360" w:lineRule="auto"/>
              <w:rPr>
                <w:rFonts w:ascii="宋体"/>
                <w:color w:val="auto"/>
                <w:sz w:val="24"/>
                <w:highlight w:val="none"/>
              </w:rPr>
            </w:pPr>
            <w:r>
              <w:rPr>
                <w:rFonts w:hint="eastAsia" w:ascii="宋体" w:hAnsi="宋体" w:cs="宋体"/>
                <w:color w:val="auto"/>
                <w:kern w:val="0"/>
                <w:sz w:val="24"/>
                <w:highlight w:val="none"/>
              </w:rPr>
              <w:t>劳动力安排计划（</w:t>
            </w:r>
            <w:r>
              <w:rPr>
                <w:rFonts w:ascii="宋体" w:hAnsi="宋体"/>
                <w:color w:val="auto"/>
                <w:kern w:val="0"/>
                <w:sz w:val="24"/>
                <w:highlight w:val="none"/>
              </w:rPr>
              <w:t>6</w:t>
            </w:r>
            <w:r>
              <w:rPr>
                <w:rFonts w:hint="eastAsia" w:ascii="宋体" w:hAnsi="宋体" w:cs="宋体"/>
                <w:color w:val="auto"/>
                <w:kern w:val="0"/>
                <w:sz w:val="24"/>
                <w:highlight w:val="none"/>
              </w:rPr>
              <w:t>分）</w:t>
            </w:r>
          </w:p>
        </w:tc>
        <w:tc>
          <w:tcPr>
            <w:tcW w:w="5774" w:type="dxa"/>
            <w:vAlign w:val="center"/>
          </w:tcPr>
          <w:p w14:paraId="5E7E212F">
            <w:pPr>
              <w:widowControl/>
              <w:spacing w:line="360" w:lineRule="auto"/>
              <w:rPr>
                <w:rFonts w:ascii="宋体"/>
                <w:color w:val="auto"/>
                <w:sz w:val="24"/>
                <w:highlight w:val="none"/>
              </w:rPr>
            </w:pPr>
            <w:r>
              <w:rPr>
                <w:rFonts w:hint="eastAsia" w:ascii="宋体" w:hAnsi="宋体" w:eastAsia="宋体"/>
                <w:b/>
                <w:bCs/>
                <w:color w:val="auto"/>
                <w:sz w:val="24"/>
                <w:highlight w:val="none"/>
                <w:lang w:eastAsia="zh-CN"/>
              </w:rPr>
              <w:t>优（6分）：</w:t>
            </w:r>
            <w:r>
              <w:rPr>
                <w:rFonts w:hint="eastAsia" w:ascii="宋体" w:hAnsi="宋体"/>
                <w:color w:val="auto"/>
                <w:sz w:val="24"/>
                <w:highlight w:val="none"/>
              </w:rPr>
              <w:t>各主要施工工序有详细周密的劳动力安排计划，有各工种劳动力安排计划，劳动力投入合理，完全满足施工需要。</w:t>
            </w:r>
            <w:r>
              <w:rPr>
                <w:rFonts w:ascii="宋体" w:hAnsi="宋体"/>
                <w:color w:val="auto"/>
                <w:sz w:val="24"/>
                <w:highlight w:val="none"/>
              </w:rPr>
              <w:t xml:space="preserve"> </w:t>
            </w:r>
          </w:p>
          <w:p w14:paraId="24FADF30">
            <w:pPr>
              <w:widowControl/>
              <w:spacing w:line="360" w:lineRule="auto"/>
              <w:rPr>
                <w:rFonts w:ascii="宋体"/>
                <w:color w:val="auto"/>
                <w:sz w:val="24"/>
                <w:highlight w:val="none"/>
              </w:rPr>
            </w:pPr>
            <w:r>
              <w:rPr>
                <w:rFonts w:hint="eastAsia" w:ascii="宋体" w:hAnsi="宋体" w:eastAsia="宋体"/>
                <w:b/>
                <w:bCs/>
                <w:color w:val="auto"/>
                <w:sz w:val="24"/>
                <w:highlight w:val="none"/>
                <w:lang w:eastAsia="zh-CN"/>
              </w:rPr>
              <w:t>良（4分）：</w:t>
            </w:r>
            <w:r>
              <w:rPr>
                <w:rFonts w:hint="eastAsia" w:ascii="宋体" w:hAnsi="宋体"/>
                <w:color w:val="auto"/>
                <w:sz w:val="24"/>
                <w:highlight w:val="none"/>
              </w:rPr>
              <w:t>各主要施工工序有劳动力安排计划，有各工种劳动力安排计划，劳动力投入合理，满足施工需要。</w:t>
            </w:r>
            <w:r>
              <w:rPr>
                <w:rFonts w:ascii="宋体" w:hAnsi="宋体"/>
                <w:color w:val="auto"/>
                <w:sz w:val="24"/>
                <w:highlight w:val="none"/>
              </w:rPr>
              <w:t xml:space="preserve"> </w:t>
            </w:r>
          </w:p>
          <w:p w14:paraId="575C7CA7">
            <w:pPr>
              <w:widowControl/>
              <w:spacing w:line="360" w:lineRule="auto"/>
              <w:rPr>
                <w:rFonts w:ascii="宋体"/>
                <w:color w:val="auto"/>
                <w:sz w:val="24"/>
                <w:highlight w:val="none"/>
              </w:rPr>
            </w:pPr>
            <w:r>
              <w:rPr>
                <w:rFonts w:hint="eastAsia" w:ascii="宋体" w:hAnsi="宋体" w:eastAsia="宋体"/>
                <w:b/>
                <w:bCs/>
                <w:color w:val="auto"/>
                <w:sz w:val="24"/>
                <w:highlight w:val="none"/>
                <w:lang w:eastAsia="zh-CN"/>
              </w:rPr>
              <w:t>中（2分）：</w:t>
            </w:r>
            <w:r>
              <w:rPr>
                <w:rFonts w:hint="eastAsia" w:ascii="宋体" w:hAnsi="宋体"/>
                <w:color w:val="auto"/>
                <w:sz w:val="24"/>
                <w:highlight w:val="none"/>
              </w:rPr>
              <w:t>各主要施工工序有劳动力安排计划，有各工种劳动力安排计划，劳动力投入</w:t>
            </w:r>
            <w:r>
              <w:rPr>
                <w:rFonts w:hint="eastAsia" w:ascii="宋体" w:hAnsi="宋体"/>
                <w:color w:val="auto"/>
                <w:sz w:val="24"/>
                <w:highlight w:val="none"/>
              </w:rPr>
              <w:t>基本能满足施工需要。</w:t>
            </w:r>
            <w:r>
              <w:rPr>
                <w:rFonts w:ascii="宋体" w:hAnsi="宋体"/>
                <w:color w:val="auto"/>
                <w:sz w:val="24"/>
                <w:highlight w:val="none"/>
              </w:rPr>
              <w:t xml:space="preserve"> </w:t>
            </w:r>
          </w:p>
          <w:p w14:paraId="2734CFE2">
            <w:pPr>
              <w:widowControl/>
              <w:spacing w:line="360" w:lineRule="auto"/>
              <w:rPr>
                <w:rFonts w:ascii="宋体"/>
                <w:color w:val="auto"/>
                <w:sz w:val="24"/>
                <w:highlight w:val="none"/>
              </w:rPr>
            </w:pPr>
            <w:r>
              <w:rPr>
                <w:rFonts w:hint="eastAsia" w:ascii="宋体" w:hAnsi="宋体" w:eastAsia="宋体"/>
                <w:b/>
                <w:bCs/>
                <w:color w:val="auto"/>
                <w:sz w:val="24"/>
                <w:highlight w:val="none"/>
                <w:lang w:eastAsia="zh-CN"/>
              </w:rPr>
              <w:t>差（0分）：</w:t>
            </w:r>
            <w:r>
              <w:rPr>
                <w:rFonts w:hint="eastAsia" w:ascii="宋体" w:hAnsi="宋体"/>
                <w:color w:val="auto"/>
                <w:sz w:val="24"/>
                <w:highlight w:val="none"/>
              </w:rPr>
              <w:t>各主要施工工序劳动力安排计划不全，无各工种劳动力安排计划或计划不全，劳动力投入不合理，不能满足施工需要</w:t>
            </w:r>
            <w:r>
              <w:rPr>
                <w:rFonts w:hint="eastAsia" w:ascii="宋体" w:hAnsi="宋体"/>
                <w:b/>
                <w:bCs/>
                <w:color w:val="auto"/>
                <w:sz w:val="24"/>
                <w:highlight w:val="none"/>
              </w:rPr>
              <w:t>或未提供劳动力安排计划。</w:t>
            </w:r>
          </w:p>
        </w:tc>
      </w:tr>
      <w:tr w14:paraId="372912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jc w:val="center"/>
        </w:trPr>
        <w:tc>
          <w:tcPr>
            <w:tcW w:w="780" w:type="dxa"/>
            <w:vMerge w:val="continue"/>
            <w:vAlign w:val="center"/>
          </w:tcPr>
          <w:p w14:paraId="62747E1B">
            <w:pPr>
              <w:spacing w:line="360" w:lineRule="auto"/>
              <w:jc w:val="center"/>
              <w:rPr>
                <w:rFonts w:ascii="宋体"/>
                <w:color w:val="auto"/>
                <w:sz w:val="24"/>
                <w:highlight w:val="none"/>
              </w:rPr>
            </w:pPr>
          </w:p>
        </w:tc>
        <w:tc>
          <w:tcPr>
            <w:tcW w:w="1031" w:type="dxa"/>
            <w:vMerge w:val="continue"/>
            <w:vAlign w:val="center"/>
          </w:tcPr>
          <w:p w14:paraId="40ECEA8D">
            <w:pPr>
              <w:spacing w:line="360" w:lineRule="auto"/>
              <w:jc w:val="center"/>
              <w:rPr>
                <w:rFonts w:ascii="宋体"/>
                <w:color w:val="auto"/>
                <w:sz w:val="24"/>
                <w:highlight w:val="none"/>
              </w:rPr>
            </w:pPr>
          </w:p>
        </w:tc>
        <w:tc>
          <w:tcPr>
            <w:tcW w:w="912" w:type="dxa"/>
            <w:vMerge w:val="continue"/>
            <w:vAlign w:val="center"/>
          </w:tcPr>
          <w:p w14:paraId="546B1619">
            <w:pPr>
              <w:spacing w:line="360" w:lineRule="auto"/>
              <w:jc w:val="center"/>
              <w:rPr>
                <w:rFonts w:ascii="宋体"/>
                <w:color w:val="auto"/>
                <w:sz w:val="24"/>
                <w:highlight w:val="none"/>
              </w:rPr>
            </w:pPr>
          </w:p>
        </w:tc>
        <w:tc>
          <w:tcPr>
            <w:tcW w:w="1039" w:type="dxa"/>
            <w:vAlign w:val="center"/>
          </w:tcPr>
          <w:p w14:paraId="359B8B49">
            <w:pPr>
              <w:widowControl/>
              <w:spacing w:line="360" w:lineRule="auto"/>
              <w:rPr>
                <w:rFonts w:ascii="宋体" w:cs="宋体"/>
                <w:color w:val="auto"/>
                <w:kern w:val="0"/>
                <w:sz w:val="24"/>
                <w:highlight w:val="none"/>
              </w:rPr>
            </w:pPr>
          </w:p>
          <w:p w14:paraId="1BB04B44">
            <w:pPr>
              <w:widowControl/>
              <w:spacing w:line="360" w:lineRule="auto"/>
              <w:rPr>
                <w:rFonts w:ascii="宋体" w:cs="宋体"/>
                <w:color w:val="auto"/>
                <w:kern w:val="0"/>
                <w:sz w:val="24"/>
                <w:highlight w:val="none"/>
              </w:rPr>
            </w:pPr>
          </w:p>
          <w:p w14:paraId="65052871">
            <w:pPr>
              <w:widowControl/>
              <w:spacing w:line="360" w:lineRule="auto"/>
              <w:rPr>
                <w:rFonts w:ascii="宋体"/>
                <w:color w:val="auto"/>
                <w:sz w:val="24"/>
                <w:highlight w:val="none"/>
              </w:rPr>
            </w:pPr>
            <w:r>
              <w:rPr>
                <w:rFonts w:hint="eastAsia" w:ascii="宋体" w:hAnsi="宋体" w:cs="宋体"/>
                <w:color w:val="auto"/>
                <w:kern w:val="0"/>
                <w:sz w:val="24"/>
                <w:highlight w:val="none"/>
              </w:rPr>
              <w:t>确保工程质量的技术组织措施</w:t>
            </w:r>
            <w:r>
              <w:rPr>
                <w:rFonts w:ascii="宋体" w:hAnsi="宋体" w:cs="宋体"/>
                <w:color w:val="auto"/>
                <w:kern w:val="0"/>
                <w:sz w:val="24"/>
                <w:highlight w:val="none"/>
              </w:rPr>
              <w:t>(9</w:t>
            </w:r>
            <w:r>
              <w:rPr>
                <w:rFonts w:hint="eastAsia" w:ascii="宋体" w:hAnsi="宋体" w:cs="宋体"/>
                <w:color w:val="auto"/>
                <w:kern w:val="0"/>
                <w:sz w:val="24"/>
                <w:highlight w:val="none"/>
              </w:rPr>
              <w:t>分）</w:t>
            </w:r>
          </w:p>
        </w:tc>
        <w:tc>
          <w:tcPr>
            <w:tcW w:w="5774" w:type="dxa"/>
            <w:vAlign w:val="center"/>
          </w:tcPr>
          <w:p w14:paraId="315E679B">
            <w:pPr>
              <w:widowControl/>
              <w:spacing w:line="360" w:lineRule="auto"/>
              <w:rPr>
                <w:rFonts w:ascii="宋体"/>
                <w:color w:val="auto"/>
                <w:sz w:val="24"/>
                <w:highlight w:val="none"/>
              </w:rPr>
            </w:pPr>
            <w:r>
              <w:rPr>
                <w:rFonts w:hint="eastAsia" w:ascii="宋体" w:hAnsi="宋体" w:eastAsia="宋体"/>
                <w:b/>
                <w:bCs/>
                <w:color w:val="auto"/>
                <w:sz w:val="24"/>
                <w:highlight w:val="none"/>
                <w:lang w:eastAsia="zh-CN"/>
              </w:rPr>
              <w:t>优（</w:t>
            </w:r>
            <w:r>
              <w:rPr>
                <w:rFonts w:hint="eastAsia" w:ascii="宋体" w:hAnsi="宋体"/>
                <w:b/>
                <w:bCs/>
                <w:color w:val="auto"/>
                <w:sz w:val="24"/>
                <w:highlight w:val="none"/>
                <w:lang w:val="en-US" w:eastAsia="zh-CN"/>
              </w:rPr>
              <w:t>9</w:t>
            </w:r>
            <w:r>
              <w:rPr>
                <w:rFonts w:hint="eastAsia" w:ascii="宋体" w:hAnsi="宋体" w:eastAsia="宋体"/>
                <w:b/>
                <w:bCs/>
                <w:color w:val="auto"/>
                <w:sz w:val="24"/>
                <w:highlight w:val="none"/>
                <w:lang w:eastAsia="zh-CN"/>
              </w:rPr>
              <w:t>分）：</w:t>
            </w:r>
            <w:r>
              <w:rPr>
                <w:rFonts w:hint="eastAsia" w:ascii="宋体" w:hAnsi="宋体"/>
                <w:color w:val="auto"/>
                <w:sz w:val="24"/>
                <w:highlight w:val="none"/>
              </w:rPr>
              <w:t>有专门的质量技术管理班子和制度，且人员配备合理，制度健全。主要工序质量技术保证措施和手段科学合理，自控体系完整，能有效保证技术质量，达到承诺的质量标准。</w:t>
            </w:r>
            <w:r>
              <w:rPr>
                <w:rFonts w:ascii="宋体" w:hAnsi="宋体"/>
                <w:color w:val="auto"/>
                <w:sz w:val="24"/>
                <w:highlight w:val="none"/>
              </w:rPr>
              <w:t xml:space="preserve"> </w:t>
            </w:r>
          </w:p>
          <w:p w14:paraId="0D8485CE">
            <w:pPr>
              <w:widowControl/>
              <w:spacing w:line="360" w:lineRule="auto"/>
              <w:rPr>
                <w:rFonts w:ascii="宋体"/>
                <w:color w:val="auto"/>
                <w:sz w:val="24"/>
                <w:highlight w:val="none"/>
              </w:rPr>
            </w:pPr>
            <w:r>
              <w:rPr>
                <w:rFonts w:hint="eastAsia" w:ascii="宋体" w:hAnsi="宋体" w:eastAsia="宋体"/>
                <w:b/>
                <w:bCs/>
                <w:color w:val="auto"/>
                <w:sz w:val="24"/>
                <w:highlight w:val="none"/>
                <w:lang w:eastAsia="zh-CN"/>
              </w:rPr>
              <w:t>良（</w:t>
            </w:r>
            <w:r>
              <w:rPr>
                <w:rFonts w:hint="eastAsia" w:ascii="宋体" w:hAnsi="宋体"/>
                <w:b/>
                <w:bCs/>
                <w:color w:val="auto"/>
                <w:sz w:val="24"/>
                <w:highlight w:val="none"/>
                <w:lang w:val="en-US" w:eastAsia="zh-CN"/>
              </w:rPr>
              <w:t>6</w:t>
            </w:r>
            <w:r>
              <w:rPr>
                <w:rFonts w:hint="eastAsia" w:ascii="宋体" w:hAnsi="宋体" w:eastAsia="宋体"/>
                <w:b/>
                <w:bCs/>
                <w:color w:val="auto"/>
                <w:sz w:val="24"/>
                <w:highlight w:val="none"/>
                <w:lang w:eastAsia="zh-CN"/>
              </w:rPr>
              <w:t>分）：</w:t>
            </w:r>
            <w:r>
              <w:rPr>
                <w:rFonts w:hint="eastAsia" w:ascii="宋体" w:hAnsi="宋体"/>
                <w:color w:val="auto"/>
                <w:sz w:val="24"/>
                <w:highlight w:val="none"/>
              </w:rPr>
              <w:t>有专门的质量技术管理班子和制度，且人员配备合理，制度健全。主要工序的质量技术保证措施和手段</w:t>
            </w:r>
            <w:r>
              <w:rPr>
                <w:rFonts w:hint="eastAsia" w:ascii="宋体" w:hAnsi="宋体"/>
                <w:color w:val="auto"/>
                <w:sz w:val="24"/>
                <w:highlight w:val="none"/>
                <w:lang w:val="en-US" w:eastAsia="zh-CN"/>
              </w:rPr>
              <w:t>较为合理</w:t>
            </w:r>
            <w:r>
              <w:rPr>
                <w:rFonts w:hint="eastAsia" w:ascii="宋体" w:hAnsi="宋体"/>
                <w:color w:val="auto"/>
                <w:sz w:val="24"/>
                <w:highlight w:val="none"/>
              </w:rPr>
              <w:t>，有自控体系，能有效保证技术质量，达到承诺的质量标准。</w:t>
            </w:r>
            <w:r>
              <w:rPr>
                <w:rFonts w:ascii="宋体" w:hAnsi="宋体"/>
                <w:color w:val="auto"/>
                <w:sz w:val="24"/>
                <w:highlight w:val="none"/>
              </w:rPr>
              <w:t xml:space="preserve"> </w:t>
            </w:r>
          </w:p>
          <w:p w14:paraId="70B10628">
            <w:pPr>
              <w:widowControl/>
              <w:spacing w:line="360" w:lineRule="auto"/>
              <w:rPr>
                <w:rFonts w:ascii="宋体"/>
                <w:color w:val="auto"/>
                <w:sz w:val="24"/>
                <w:highlight w:val="none"/>
              </w:rPr>
            </w:pPr>
            <w:r>
              <w:rPr>
                <w:rFonts w:hint="eastAsia" w:ascii="宋体" w:hAnsi="宋体" w:eastAsia="宋体"/>
                <w:b/>
                <w:bCs/>
                <w:color w:val="auto"/>
                <w:sz w:val="24"/>
                <w:highlight w:val="none"/>
                <w:lang w:eastAsia="zh-CN"/>
              </w:rPr>
              <w:t>中（</w:t>
            </w:r>
            <w:r>
              <w:rPr>
                <w:rFonts w:hint="eastAsia" w:ascii="宋体" w:hAnsi="宋体"/>
                <w:b/>
                <w:bCs/>
                <w:color w:val="auto"/>
                <w:sz w:val="24"/>
                <w:highlight w:val="none"/>
                <w:lang w:val="en-US" w:eastAsia="zh-CN"/>
              </w:rPr>
              <w:t>3</w:t>
            </w:r>
            <w:r>
              <w:rPr>
                <w:rFonts w:hint="eastAsia" w:ascii="宋体" w:hAnsi="宋体" w:eastAsia="宋体"/>
                <w:b/>
                <w:bCs/>
                <w:color w:val="auto"/>
                <w:sz w:val="24"/>
                <w:highlight w:val="none"/>
                <w:lang w:eastAsia="zh-CN"/>
              </w:rPr>
              <w:t>分）：</w:t>
            </w:r>
            <w:r>
              <w:rPr>
                <w:rFonts w:hint="eastAsia" w:ascii="宋体" w:hAnsi="宋体"/>
                <w:color w:val="auto"/>
                <w:sz w:val="24"/>
                <w:highlight w:val="none"/>
              </w:rPr>
              <w:t>有专门的质量技术管理班子和制度，且人员配备基本合理，主要工序的质量技术保证措施和手段，基本保证技术质量，基本达到承诺的质量标准。</w:t>
            </w:r>
          </w:p>
          <w:p w14:paraId="09CC9E46">
            <w:pPr>
              <w:widowControl/>
              <w:spacing w:line="360" w:lineRule="auto"/>
              <w:rPr>
                <w:rFonts w:ascii="宋体"/>
                <w:color w:val="auto"/>
                <w:sz w:val="24"/>
                <w:highlight w:val="none"/>
              </w:rPr>
            </w:pPr>
            <w:r>
              <w:rPr>
                <w:rFonts w:hint="eastAsia" w:ascii="宋体" w:hAnsi="宋体" w:eastAsia="宋体"/>
                <w:b/>
                <w:bCs/>
                <w:color w:val="auto"/>
                <w:sz w:val="24"/>
                <w:highlight w:val="none"/>
                <w:lang w:eastAsia="zh-CN"/>
              </w:rPr>
              <w:t>差（0分）：</w:t>
            </w:r>
            <w:r>
              <w:rPr>
                <w:rFonts w:hint="eastAsia" w:ascii="宋体" w:hAnsi="宋体"/>
                <w:color w:val="auto"/>
                <w:sz w:val="24"/>
                <w:highlight w:val="none"/>
              </w:rPr>
              <w:t>有专门的质量技术管理班子和制度，人员配备不合理，制度不健全。主要工序无质量技术保证措施和手段，自控体系不完整，不能有效保证技术质量，达不到承诺的质量标准或</w:t>
            </w:r>
            <w:r>
              <w:rPr>
                <w:rFonts w:hint="eastAsia" w:ascii="宋体" w:hAnsi="宋体"/>
                <w:b/>
                <w:bCs/>
                <w:color w:val="auto"/>
                <w:sz w:val="24"/>
                <w:highlight w:val="none"/>
              </w:rPr>
              <w:t>未提供</w:t>
            </w:r>
            <w:r>
              <w:rPr>
                <w:rFonts w:hint="eastAsia" w:ascii="宋体" w:hAnsi="宋体" w:cs="宋体"/>
                <w:b/>
                <w:bCs/>
                <w:color w:val="auto"/>
                <w:kern w:val="0"/>
                <w:sz w:val="24"/>
                <w:highlight w:val="none"/>
              </w:rPr>
              <w:t>确保工程质量的技术组织措施</w:t>
            </w:r>
            <w:r>
              <w:rPr>
                <w:rFonts w:hint="eastAsia" w:ascii="宋体" w:hAnsi="宋体"/>
                <w:color w:val="auto"/>
                <w:sz w:val="24"/>
                <w:highlight w:val="none"/>
              </w:rPr>
              <w:t>。</w:t>
            </w:r>
          </w:p>
        </w:tc>
      </w:tr>
      <w:tr w14:paraId="2F00F7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780" w:type="dxa"/>
            <w:vMerge w:val="continue"/>
            <w:vAlign w:val="center"/>
          </w:tcPr>
          <w:p w14:paraId="07315903">
            <w:pPr>
              <w:spacing w:line="360" w:lineRule="auto"/>
              <w:jc w:val="center"/>
              <w:rPr>
                <w:rFonts w:ascii="宋体"/>
                <w:color w:val="auto"/>
                <w:sz w:val="24"/>
                <w:highlight w:val="none"/>
              </w:rPr>
            </w:pPr>
          </w:p>
        </w:tc>
        <w:tc>
          <w:tcPr>
            <w:tcW w:w="1031" w:type="dxa"/>
            <w:vMerge w:val="continue"/>
            <w:vAlign w:val="center"/>
          </w:tcPr>
          <w:p w14:paraId="284AA13C">
            <w:pPr>
              <w:spacing w:line="360" w:lineRule="auto"/>
              <w:jc w:val="center"/>
              <w:rPr>
                <w:rFonts w:ascii="宋体"/>
                <w:color w:val="auto"/>
                <w:sz w:val="24"/>
                <w:highlight w:val="none"/>
              </w:rPr>
            </w:pPr>
          </w:p>
        </w:tc>
        <w:tc>
          <w:tcPr>
            <w:tcW w:w="912" w:type="dxa"/>
            <w:vMerge w:val="continue"/>
            <w:vAlign w:val="center"/>
          </w:tcPr>
          <w:p w14:paraId="776ABB1D">
            <w:pPr>
              <w:spacing w:line="360" w:lineRule="auto"/>
              <w:jc w:val="center"/>
              <w:rPr>
                <w:rFonts w:ascii="宋体"/>
                <w:color w:val="auto"/>
                <w:sz w:val="24"/>
                <w:highlight w:val="none"/>
              </w:rPr>
            </w:pPr>
          </w:p>
        </w:tc>
        <w:tc>
          <w:tcPr>
            <w:tcW w:w="1039" w:type="dxa"/>
            <w:vAlign w:val="center"/>
          </w:tcPr>
          <w:p w14:paraId="06EFBCD7">
            <w:pPr>
              <w:widowControl/>
              <w:spacing w:line="360" w:lineRule="auto"/>
              <w:rPr>
                <w:rFonts w:ascii="宋体"/>
                <w:color w:val="auto"/>
                <w:kern w:val="0"/>
                <w:sz w:val="24"/>
                <w:highlight w:val="none"/>
              </w:rPr>
            </w:pPr>
            <w:bookmarkStart w:id="637" w:name="OLE_LINK9"/>
            <w:r>
              <w:rPr>
                <w:rFonts w:hint="eastAsia" w:ascii="宋体" w:hAnsi="宋体" w:cs="宋体"/>
                <w:color w:val="auto"/>
                <w:kern w:val="0"/>
                <w:sz w:val="24"/>
                <w:highlight w:val="none"/>
              </w:rPr>
              <w:t>确保安全生产的技术组织措施</w:t>
            </w:r>
            <w:bookmarkEnd w:id="637"/>
            <w:r>
              <w:rPr>
                <w:rFonts w:hint="eastAsia" w:ascii="宋体" w:hAnsi="宋体" w:cs="宋体"/>
                <w:color w:val="auto"/>
                <w:kern w:val="0"/>
                <w:sz w:val="24"/>
                <w:highlight w:val="none"/>
              </w:rPr>
              <w:t>（</w:t>
            </w:r>
            <w:r>
              <w:rPr>
                <w:rFonts w:hint="eastAsia" w:ascii="宋体" w:hAnsi="宋体" w:cs="宋体"/>
                <w:color w:val="auto"/>
                <w:kern w:val="0"/>
                <w:sz w:val="24"/>
                <w:highlight w:val="none"/>
                <w:lang w:val="en-US" w:eastAsia="zh-CN"/>
              </w:rPr>
              <w:t>6</w:t>
            </w:r>
            <w:r>
              <w:rPr>
                <w:rFonts w:hint="eastAsia" w:ascii="宋体" w:hAnsi="宋体" w:cs="宋体"/>
                <w:color w:val="auto"/>
                <w:kern w:val="0"/>
                <w:sz w:val="24"/>
                <w:highlight w:val="none"/>
              </w:rPr>
              <w:t>分）</w:t>
            </w:r>
          </w:p>
          <w:p w14:paraId="4AC4EB51">
            <w:pPr>
              <w:widowControl/>
              <w:spacing w:line="360" w:lineRule="auto"/>
              <w:rPr>
                <w:rFonts w:ascii="宋体"/>
                <w:color w:val="auto"/>
                <w:sz w:val="24"/>
                <w:highlight w:val="none"/>
              </w:rPr>
            </w:pPr>
          </w:p>
        </w:tc>
        <w:tc>
          <w:tcPr>
            <w:tcW w:w="5774" w:type="dxa"/>
            <w:vAlign w:val="center"/>
          </w:tcPr>
          <w:p w14:paraId="29DD0DCC">
            <w:pPr>
              <w:widowControl/>
              <w:spacing w:line="360" w:lineRule="auto"/>
              <w:rPr>
                <w:rFonts w:ascii="宋体"/>
                <w:color w:val="auto"/>
                <w:sz w:val="24"/>
                <w:highlight w:val="none"/>
              </w:rPr>
            </w:pPr>
            <w:r>
              <w:rPr>
                <w:rFonts w:hint="eastAsia" w:ascii="宋体" w:hAnsi="宋体" w:eastAsia="宋体"/>
                <w:b/>
                <w:bCs/>
                <w:color w:val="auto"/>
                <w:sz w:val="24"/>
                <w:highlight w:val="none"/>
                <w:lang w:eastAsia="zh-CN"/>
              </w:rPr>
              <w:t>优（</w:t>
            </w:r>
            <w:r>
              <w:rPr>
                <w:rFonts w:hint="eastAsia" w:ascii="宋体" w:hAnsi="宋体"/>
                <w:b/>
                <w:bCs/>
                <w:color w:val="auto"/>
                <w:sz w:val="24"/>
                <w:highlight w:val="none"/>
                <w:lang w:val="en-US" w:eastAsia="zh-CN"/>
              </w:rPr>
              <w:t>6</w:t>
            </w:r>
            <w:r>
              <w:rPr>
                <w:rFonts w:hint="eastAsia" w:ascii="宋体" w:hAnsi="宋体" w:eastAsia="宋体"/>
                <w:b/>
                <w:bCs/>
                <w:color w:val="auto"/>
                <w:sz w:val="24"/>
                <w:highlight w:val="none"/>
                <w:lang w:eastAsia="zh-CN"/>
              </w:rPr>
              <w:t>分）：</w:t>
            </w:r>
            <w:r>
              <w:rPr>
                <w:rFonts w:hint="eastAsia" w:ascii="宋体" w:hAnsi="宋体"/>
                <w:color w:val="auto"/>
                <w:sz w:val="24"/>
                <w:highlight w:val="none"/>
              </w:rPr>
              <w:t>有专门的安全管理人员和制度，且人员配备合理，制度健全，各道工序安全技术措施针对性强，确保工程质量的技术组织措施符合实际且满足有关安全技术标准要求。现场防火、应急救援、社会治安安全措施得力。</w:t>
            </w:r>
            <w:r>
              <w:rPr>
                <w:rFonts w:ascii="宋体" w:hAnsi="宋体"/>
                <w:color w:val="auto"/>
                <w:sz w:val="24"/>
                <w:highlight w:val="none"/>
              </w:rPr>
              <w:t xml:space="preserve"> </w:t>
            </w:r>
          </w:p>
          <w:p w14:paraId="56934642">
            <w:pPr>
              <w:widowControl/>
              <w:spacing w:line="360" w:lineRule="auto"/>
              <w:rPr>
                <w:rFonts w:ascii="宋体"/>
                <w:color w:val="auto"/>
                <w:sz w:val="24"/>
                <w:highlight w:val="none"/>
              </w:rPr>
            </w:pPr>
            <w:r>
              <w:rPr>
                <w:rFonts w:hint="eastAsia" w:ascii="宋体" w:hAnsi="宋体" w:eastAsia="宋体"/>
                <w:b/>
                <w:bCs/>
                <w:color w:val="auto"/>
                <w:sz w:val="24"/>
                <w:highlight w:val="none"/>
                <w:lang w:eastAsia="zh-CN"/>
              </w:rPr>
              <w:t>良（</w:t>
            </w:r>
            <w:r>
              <w:rPr>
                <w:rFonts w:hint="eastAsia" w:ascii="宋体" w:hAnsi="宋体"/>
                <w:b/>
                <w:bCs/>
                <w:color w:val="auto"/>
                <w:sz w:val="24"/>
                <w:highlight w:val="none"/>
                <w:lang w:val="en-US" w:eastAsia="zh-CN"/>
              </w:rPr>
              <w:t>4</w:t>
            </w:r>
            <w:r>
              <w:rPr>
                <w:rFonts w:hint="eastAsia" w:ascii="宋体" w:hAnsi="宋体" w:eastAsia="宋体"/>
                <w:b/>
                <w:bCs/>
                <w:color w:val="auto"/>
                <w:sz w:val="24"/>
                <w:highlight w:val="none"/>
                <w:lang w:eastAsia="zh-CN"/>
              </w:rPr>
              <w:t>分）：</w:t>
            </w:r>
            <w:r>
              <w:rPr>
                <w:rFonts w:hint="eastAsia" w:ascii="宋体" w:hAnsi="宋体"/>
                <w:color w:val="auto"/>
                <w:sz w:val="24"/>
                <w:highlight w:val="none"/>
              </w:rPr>
              <w:t>有专门的安全管理人员和制度，人员配备合理，制度健全，各道工序安全技术措施有针对性，基本满足有关安全技术标准要求。现场防火、应急救援、社会治安安全措施合理。</w:t>
            </w:r>
            <w:r>
              <w:rPr>
                <w:rFonts w:ascii="宋体" w:hAnsi="宋体"/>
                <w:color w:val="auto"/>
                <w:sz w:val="24"/>
                <w:highlight w:val="none"/>
              </w:rPr>
              <w:t xml:space="preserve"> </w:t>
            </w:r>
          </w:p>
          <w:p w14:paraId="4A062526">
            <w:pPr>
              <w:widowControl/>
              <w:spacing w:line="360" w:lineRule="auto"/>
              <w:rPr>
                <w:rFonts w:ascii="宋体"/>
                <w:color w:val="auto"/>
                <w:sz w:val="24"/>
                <w:highlight w:val="none"/>
              </w:rPr>
            </w:pPr>
            <w:r>
              <w:rPr>
                <w:rFonts w:hint="eastAsia" w:ascii="宋体" w:hAnsi="宋体" w:eastAsia="宋体"/>
                <w:b/>
                <w:bCs/>
                <w:color w:val="auto"/>
                <w:sz w:val="24"/>
                <w:highlight w:val="none"/>
                <w:lang w:eastAsia="zh-CN"/>
              </w:rPr>
              <w:t>中（</w:t>
            </w:r>
            <w:r>
              <w:rPr>
                <w:rFonts w:hint="eastAsia" w:ascii="宋体" w:hAnsi="宋体"/>
                <w:b/>
                <w:bCs/>
                <w:color w:val="auto"/>
                <w:sz w:val="24"/>
                <w:highlight w:val="none"/>
                <w:lang w:val="en-US" w:eastAsia="zh-CN"/>
              </w:rPr>
              <w:t>2</w:t>
            </w:r>
            <w:r>
              <w:rPr>
                <w:rFonts w:hint="eastAsia" w:ascii="宋体" w:hAnsi="宋体" w:eastAsia="宋体"/>
                <w:b/>
                <w:bCs/>
                <w:color w:val="auto"/>
                <w:sz w:val="24"/>
                <w:highlight w:val="none"/>
                <w:lang w:eastAsia="zh-CN"/>
              </w:rPr>
              <w:t>分）：</w:t>
            </w:r>
            <w:r>
              <w:rPr>
                <w:rFonts w:hint="eastAsia" w:ascii="宋体" w:hAnsi="宋体"/>
                <w:color w:val="auto"/>
                <w:sz w:val="24"/>
                <w:highlight w:val="none"/>
              </w:rPr>
              <w:t>有专门的安全管理人员和制度，管理人员配备合理，制度健全，各道工序安全技术措施针对性不强，基本满足有关安全技术标准要求。现场防火、应急救援、社会治安安全措施合理。</w:t>
            </w:r>
            <w:r>
              <w:rPr>
                <w:rFonts w:ascii="宋体" w:hAnsi="宋体"/>
                <w:color w:val="auto"/>
                <w:sz w:val="24"/>
                <w:highlight w:val="none"/>
              </w:rPr>
              <w:t xml:space="preserve"> </w:t>
            </w:r>
          </w:p>
          <w:p w14:paraId="00EA2366">
            <w:pPr>
              <w:widowControl/>
              <w:spacing w:line="360" w:lineRule="auto"/>
              <w:rPr>
                <w:rFonts w:ascii="宋体"/>
                <w:color w:val="auto"/>
                <w:sz w:val="24"/>
                <w:highlight w:val="none"/>
              </w:rPr>
            </w:pPr>
            <w:r>
              <w:rPr>
                <w:rFonts w:hint="eastAsia" w:ascii="宋体" w:hAnsi="宋体" w:eastAsia="宋体"/>
                <w:b/>
                <w:bCs/>
                <w:color w:val="auto"/>
                <w:sz w:val="24"/>
                <w:highlight w:val="none"/>
                <w:lang w:eastAsia="zh-CN"/>
              </w:rPr>
              <w:t>差（0分）：</w:t>
            </w:r>
            <w:r>
              <w:rPr>
                <w:rFonts w:hint="eastAsia" w:ascii="宋体" w:hAnsi="宋体"/>
                <w:color w:val="auto"/>
                <w:sz w:val="24"/>
                <w:highlight w:val="none"/>
              </w:rPr>
              <w:t>有专门的安全管理人员和制度，人员配备不合理，制度不健全，各道工序安全技术措施针无对性，不满足有关安全技术标准要求。现场防火、应急救援、社会治安安全措施不得力</w:t>
            </w:r>
            <w:r>
              <w:rPr>
                <w:rFonts w:hint="eastAsia" w:ascii="宋体" w:hAnsi="宋体"/>
                <w:b/>
                <w:bCs/>
                <w:color w:val="auto"/>
                <w:sz w:val="24"/>
                <w:highlight w:val="none"/>
              </w:rPr>
              <w:t>或未提供</w:t>
            </w:r>
            <w:r>
              <w:rPr>
                <w:rFonts w:hint="eastAsia" w:ascii="宋体" w:hAnsi="宋体" w:cs="宋体"/>
                <w:b/>
                <w:bCs/>
                <w:color w:val="auto"/>
                <w:kern w:val="0"/>
                <w:sz w:val="24"/>
                <w:highlight w:val="none"/>
              </w:rPr>
              <w:t>确保安全生产的技术组织措施</w:t>
            </w:r>
            <w:r>
              <w:rPr>
                <w:rFonts w:hint="eastAsia" w:ascii="宋体" w:hAnsi="宋体"/>
                <w:color w:val="auto"/>
                <w:sz w:val="24"/>
                <w:highlight w:val="none"/>
              </w:rPr>
              <w:t>。</w:t>
            </w:r>
          </w:p>
        </w:tc>
      </w:tr>
      <w:tr w14:paraId="56BD00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780" w:type="dxa"/>
            <w:vMerge w:val="continue"/>
            <w:vAlign w:val="center"/>
          </w:tcPr>
          <w:p w14:paraId="6A9A6669">
            <w:pPr>
              <w:spacing w:line="360" w:lineRule="auto"/>
              <w:jc w:val="center"/>
              <w:rPr>
                <w:rFonts w:ascii="宋体"/>
                <w:color w:val="auto"/>
                <w:sz w:val="24"/>
                <w:highlight w:val="none"/>
              </w:rPr>
            </w:pPr>
          </w:p>
        </w:tc>
        <w:tc>
          <w:tcPr>
            <w:tcW w:w="1031" w:type="dxa"/>
            <w:vMerge w:val="continue"/>
            <w:vAlign w:val="center"/>
          </w:tcPr>
          <w:p w14:paraId="5987AA79">
            <w:pPr>
              <w:spacing w:line="360" w:lineRule="auto"/>
              <w:jc w:val="center"/>
              <w:rPr>
                <w:rFonts w:ascii="宋体"/>
                <w:color w:val="auto"/>
                <w:sz w:val="24"/>
                <w:highlight w:val="none"/>
              </w:rPr>
            </w:pPr>
          </w:p>
        </w:tc>
        <w:tc>
          <w:tcPr>
            <w:tcW w:w="912" w:type="dxa"/>
            <w:vMerge w:val="continue"/>
            <w:vAlign w:val="center"/>
          </w:tcPr>
          <w:p w14:paraId="54069ADE">
            <w:pPr>
              <w:spacing w:line="360" w:lineRule="auto"/>
              <w:jc w:val="center"/>
              <w:rPr>
                <w:rFonts w:ascii="宋体"/>
                <w:color w:val="auto"/>
                <w:sz w:val="24"/>
                <w:highlight w:val="none"/>
              </w:rPr>
            </w:pPr>
          </w:p>
        </w:tc>
        <w:tc>
          <w:tcPr>
            <w:tcW w:w="1039" w:type="dxa"/>
            <w:vAlign w:val="center"/>
          </w:tcPr>
          <w:p w14:paraId="19D8601D">
            <w:pPr>
              <w:widowControl/>
              <w:spacing w:line="360" w:lineRule="auto"/>
              <w:rPr>
                <w:rFonts w:ascii="宋体"/>
                <w:color w:val="auto"/>
                <w:sz w:val="24"/>
                <w:highlight w:val="none"/>
              </w:rPr>
            </w:pPr>
            <w:r>
              <w:rPr>
                <w:rFonts w:hint="eastAsia" w:ascii="宋体" w:hAnsi="宋体" w:cs="宋体"/>
                <w:color w:val="auto"/>
                <w:kern w:val="0"/>
                <w:sz w:val="24"/>
                <w:highlight w:val="none"/>
              </w:rPr>
              <w:t>确保工期的技术组织措施（</w:t>
            </w:r>
            <w:r>
              <w:rPr>
                <w:rFonts w:ascii="宋体" w:hAnsi="宋体" w:cs="宋体"/>
                <w:color w:val="auto"/>
                <w:kern w:val="0"/>
                <w:sz w:val="24"/>
                <w:highlight w:val="none"/>
              </w:rPr>
              <w:t>6</w:t>
            </w:r>
            <w:r>
              <w:rPr>
                <w:rFonts w:hint="eastAsia" w:ascii="宋体" w:hAnsi="宋体" w:cs="宋体"/>
                <w:color w:val="auto"/>
                <w:kern w:val="0"/>
                <w:sz w:val="24"/>
                <w:highlight w:val="none"/>
              </w:rPr>
              <w:t>分）</w:t>
            </w:r>
          </w:p>
        </w:tc>
        <w:tc>
          <w:tcPr>
            <w:tcW w:w="5774" w:type="dxa"/>
            <w:vAlign w:val="center"/>
          </w:tcPr>
          <w:p w14:paraId="060EA16B">
            <w:pPr>
              <w:widowControl/>
              <w:spacing w:line="360" w:lineRule="auto"/>
              <w:rPr>
                <w:rFonts w:ascii="宋体"/>
                <w:color w:val="auto"/>
                <w:sz w:val="24"/>
                <w:highlight w:val="none"/>
              </w:rPr>
            </w:pPr>
            <w:r>
              <w:rPr>
                <w:rFonts w:hint="eastAsia" w:ascii="宋体" w:hAnsi="宋体" w:eastAsia="宋体"/>
                <w:b/>
                <w:bCs/>
                <w:color w:val="auto"/>
                <w:sz w:val="24"/>
                <w:highlight w:val="none"/>
                <w:lang w:eastAsia="zh-CN"/>
              </w:rPr>
              <w:t>优（6分）：</w:t>
            </w:r>
            <w:r>
              <w:rPr>
                <w:rFonts w:hint="eastAsia" w:ascii="宋体" w:hAnsi="宋体"/>
                <w:color w:val="auto"/>
                <w:sz w:val="24"/>
                <w:highlight w:val="none"/>
              </w:rPr>
              <w:t>技术组织措施的方法或方案完善有效、更优化、切实可行的作出深入分析，完整周全，主要内容的编制思路明晰，利于项目实际。</w:t>
            </w:r>
            <w:r>
              <w:rPr>
                <w:rFonts w:ascii="宋体" w:hAnsi="宋体"/>
                <w:color w:val="auto"/>
                <w:sz w:val="24"/>
                <w:highlight w:val="none"/>
              </w:rPr>
              <w:t xml:space="preserve"> </w:t>
            </w:r>
          </w:p>
          <w:p w14:paraId="03EAA013">
            <w:pPr>
              <w:widowControl/>
              <w:spacing w:line="360" w:lineRule="auto"/>
              <w:rPr>
                <w:rFonts w:ascii="宋体"/>
                <w:color w:val="auto"/>
                <w:sz w:val="24"/>
                <w:highlight w:val="none"/>
              </w:rPr>
            </w:pPr>
            <w:r>
              <w:rPr>
                <w:rFonts w:hint="eastAsia" w:ascii="宋体" w:hAnsi="宋体" w:eastAsia="宋体"/>
                <w:b/>
                <w:bCs/>
                <w:color w:val="auto"/>
                <w:sz w:val="24"/>
                <w:highlight w:val="none"/>
                <w:lang w:eastAsia="zh-CN"/>
              </w:rPr>
              <w:t>良（4分）：</w:t>
            </w:r>
            <w:r>
              <w:rPr>
                <w:rFonts w:hint="eastAsia" w:ascii="宋体" w:hAnsi="宋体"/>
                <w:color w:val="auto"/>
                <w:sz w:val="24"/>
                <w:highlight w:val="none"/>
              </w:rPr>
              <w:t>技术组织措施的方法或方案完善有效、更优化、切实可行的作出深入分析，完整较周全，主要内容的编制思路明晰，符合项目实际。</w:t>
            </w:r>
            <w:r>
              <w:rPr>
                <w:rFonts w:ascii="宋体" w:hAnsi="宋体"/>
                <w:color w:val="auto"/>
                <w:sz w:val="24"/>
                <w:highlight w:val="none"/>
              </w:rPr>
              <w:t xml:space="preserve"> </w:t>
            </w:r>
          </w:p>
          <w:p w14:paraId="417DA488">
            <w:pPr>
              <w:widowControl/>
              <w:spacing w:line="360" w:lineRule="auto"/>
              <w:rPr>
                <w:rFonts w:ascii="宋体"/>
                <w:color w:val="auto"/>
                <w:sz w:val="24"/>
                <w:highlight w:val="none"/>
              </w:rPr>
            </w:pPr>
            <w:r>
              <w:rPr>
                <w:rFonts w:hint="eastAsia" w:ascii="宋体" w:hAnsi="宋体" w:eastAsia="宋体"/>
                <w:b/>
                <w:bCs/>
                <w:color w:val="auto"/>
                <w:sz w:val="24"/>
                <w:highlight w:val="none"/>
                <w:lang w:eastAsia="zh-CN"/>
              </w:rPr>
              <w:t>中（2分）：</w:t>
            </w:r>
            <w:r>
              <w:rPr>
                <w:rFonts w:hint="eastAsia" w:ascii="宋体" w:hAnsi="宋体"/>
                <w:color w:val="auto"/>
                <w:sz w:val="24"/>
                <w:highlight w:val="none"/>
              </w:rPr>
              <w:t>技术组织措施的方法或方案完善有效、更优化、切实可行的作出深入分析，较完整较周全，主要内容的编制思路合理，符合项目实际。</w:t>
            </w:r>
            <w:r>
              <w:rPr>
                <w:rFonts w:ascii="宋体" w:hAnsi="宋体"/>
                <w:color w:val="auto"/>
                <w:sz w:val="24"/>
                <w:highlight w:val="none"/>
              </w:rPr>
              <w:t xml:space="preserve"> </w:t>
            </w:r>
          </w:p>
          <w:p w14:paraId="2B9C53CF">
            <w:pPr>
              <w:widowControl/>
              <w:spacing w:line="360" w:lineRule="auto"/>
              <w:rPr>
                <w:rFonts w:ascii="宋体"/>
                <w:color w:val="auto"/>
                <w:sz w:val="24"/>
                <w:highlight w:val="none"/>
              </w:rPr>
            </w:pPr>
            <w:r>
              <w:rPr>
                <w:rFonts w:hint="eastAsia" w:ascii="宋体" w:hAnsi="宋体" w:eastAsia="宋体"/>
                <w:b/>
                <w:bCs/>
                <w:color w:val="auto"/>
                <w:sz w:val="24"/>
                <w:highlight w:val="none"/>
                <w:lang w:eastAsia="zh-CN"/>
              </w:rPr>
              <w:t>差（0分）：</w:t>
            </w:r>
            <w:r>
              <w:rPr>
                <w:rFonts w:hint="eastAsia" w:ascii="宋体" w:hAnsi="宋体"/>
                <w:color w:val="auto"/>
                <w:sz w:val="24"/>
                <w:highlight w:val="none"/>
              </w:rPr>
              <w:t>技术组织措施的方法或方案不完善，主要内容的编制思路不合理，不符合项目实际</w:t>
            </w:r>
            <w:r>
              <w:rPr>
                <w:rFonts w:hint="eastAsia" w:ascii="宋体" w:hAnsi="宋体"/>
                <w:b/>
                <w:bCs/>
                <w:color w:val="auto"/>
                <w:sz w:val="24"/>
                <w:highlight w:val="none"/>
              </w:rPr>
              <w:t>或未提供</w:t>
            </w:r>
            <w:r>
              <w:rPr>
                <w:rFonts w:hint="eastAsia" w:ascii="宋体" w:hAnsi="宋体" w:cs="宋体"/>
                <w:b/>
                <w:bCs/>
                <w:color w:val="auto"/>
                <w:kern w:val="0"/>
                <w:sz w:val="24"/>
                <w:highlight w:val="none"/>
              </w:rPr>
              <w:t>确保工期的技术组织措施</w:t>
            </w:r>
            <w:r>
              <w:rPr>
                <w:rFonts w:hint="eastAsia" w:ascii="宋体" w:hAnsi="宋体"/>
                <w:color w:val="auto"/>
                <w:sz w:val="24"/>
                <w:highlight w:val="none"/>
              </w:rPr>
              <w:t>。</w:t>
            </w:r>
          </w:p>
        </w:tc>
      </w:tr>
      <w:tr w14:paraId="377C69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jc w:val="center"/>
        </w:trPr>
        <w:tc>
          <w:tcPr>
            <w:tcW w:w="780" w:type="dxa"/>
            <w:vMerge w:val="continue"/>
            <w:vAlign w:val="center"/>
          </w:tcPr>
          <w:p w14:paraId="05E675E6">
            <w:pPr>
              <w:spacing w:line="360" w:lineRule="auto"/>
              <w:jc w:val="center"/>
              <w:rPr>
                <w:rFonts w:ascii="宋体"/>
                <w:color w:val="auto"/>
                <w:sz w:val="24"/>
                <w:highlight w:val="none"/>
              </w:rPr>
            </w:pPr>
          </w:p>
        </w:tc>
        <w:tc>
          <w:tcPr>
            <w:tcW w:w="1031" w:type="dxa"/>
            <w:vMerge w:val="continue"/>
            <w:vAlign w:val="center"/>
          </w:tcPr>
          <w:p w14:paraId="462AC4EF">
            <w:pPr>
              <w:spacing w:line="360" w:lineRule="auto"/>
              <w:jc w:val="center"/>
              <w:rPr>
                <w:rFonts w:ascii="宋体"/>
                <w:color w:val="auto"/>
                <w:sz w:val="24"/>
                <w:highlight w:val="none"/>
              </w:rPr>
            </w:pPr>
          </w:p>
        </w:tc>
        <w:tc>
          <w:tcPr>
            <w:tcW w:w="912" w:type="dxa"/>
            <w:vMerge w:val="continue"/>
            <w:vAlign w:val="center"/>
          </w:tcPr>
          <w:p w14:paraId="3B40FCCA">
            <w:pPr>
              <w:spacing w:line="360" w:lineRule="auto"/>
              <w:jc w:val="center"/>
              <w:rPr>
                <w:rFonts w:ascii="宋体"/>
                <w:color w:val="auto"/>
                <w:sz w:val="24"/>
                <w:highlight w:val="none"/>
              </w:rPr>
            </w:pPr>
          </w:p>
        </w:tc>
        <w:tc>
          <w:tcPr>
            <w:tcW w:w="1039" w:type="dxa"/>
            <w:vAlign w:val="center"/>
          </w:tcPr>
          <w:p w14:paraId="4C54A499">
            <w:pPr>
              <w:widowControl/>
              <w:spacing w:line="360" w:lineRule="auto"/>
              <w:rPr>
                <w:rFonts w:ascii="宋体" w:cs="宋体"/>
                <w:color w:val="auto"/>
                <w:kern w:val="0"/>
                <w:sz w:val="24"/>
                <w:highlight w:val="none"/>
              </w:rPr>
            </w:pPr>
          </w:p>
          <w:p w14:paraId="06DA5958">
            <w:pPr>
              <w:widowControl/>
              <w:spacing w:line="360" w:lineRule="auto"/>
              <w:rPr>
                <w:rFonts w:ascii="宋体"/>
                <w:color w:val="auto"/>
                <w:sz w:val="24"/>
                <w:highlight w:val="none"/>
              </w:rPr>
            </w:pPr>
            <w:r>
              <w:rPr>
                <w:rFonts w:hint="eastAsia" w:ascii="宋体" w:hAnsi="宋体" w:cs="宋体"/>
                <w:color w:val="auto"/>
                <w:kern w:val="0"/>
                <w:sz w:val="24"/>
                <w:highlight w:val="none"/>
              </w:rPr>
              <w:t>确保文明施工的技术组织措施（</w:t>
            </w:r>
            <w:r>
              <w:rPr>
                <w:rFonts w:ascii="宋体" w:hAnsi="宋体"/>
                <w:color w:val="auto"/>
                <w:kern w:val="0"/>
                <w:sz w:val="24"/>
                <w:highlight w:val="none"/>
              </w:rPr>
              <w:t>6</w:t>
            </w:r>
            <w:r>
              <w:rPr>
                <w:rFonts w:hint="eastAsia" w:ascii="宋体" w:hAnsi="宋体" w:cs="宋体"/>
                <w:color w:val="auto"/>
                <w:kern w:val="0"/>
                <w:sz w:val="24"/>
                <w:highlight w:val="none"/>
              </w:rPr>
              <w:t>分）</w:t>
            </w:r>
          </w:p>
        </w:tc>
        <w:tc>
          <w:tcPr>
            <w:tcW w:w="5774" w:type="dxa"/>
            <w:vAlign w:val="center"/>
          </w:tcPr>
          <w:p w14:paraId="788F84B9">
            <w:pPr>
              <w:widowControl/>
              <w:spacing w:line="360" w:lineRule="auto"/>
              <w:rPr>
                <w:rFonts w:ascii="宋体"/>
                <w:color w:val="auto"/>
                <w:sz w:val="24"/>
                <w:highlight w:val="none"/>
              </w:rPr>
            </w:pPr>
            <w:r>
              <w:rPr>
                <w:rFonts w:hint="eastAsia" w:ascii="宋体" w:hAnsi="宋体" w:eastAsia="宋体"/>
                <w:b/>
                <w:bCs/>
                <w:color w:val="auto"/>
                <w:sz w:val="24"/>
                <w:highlight w:val="none"/>
                <w:lang w:eastAsia="zh-CN"/>
              </w:rPr>
              <w:t>优（6分）：</w:t>
            </w:r>
            <w:r>
              <w:rPr>
                <w:rFonts w:hint="eastAsia" w:ascii="宋体" w:hAnsi="宋体"/>
                <w:color w:val="auto"/>
                <w:sz w:val="24"/>
                <w:highlight w:val="none"/>
              </w:rPr>
              <w:t>针对本工程项目特点，有现场文明施工、环境保护措施，且措施内容达到合格标准并符合要求。各项措施周全、具体、有效。有具体实现现场文明施工目标的承诺。</w:t>
            </w:r>
            <w:r>
              <w:rPr>
                <w:rFonts w:ascii="宋体" w:hAnsi="宋体"/>
                <w:color w:val="auto"/>
                <w:sz w:val="24"/>
                <w:highlight w:val="none"/>
              </w:rPr>
              <w:t xml:space="preserve"> </w:t>
            </w:r>
          </w:p>
          <w:p w14:paraId="08707AFE">
            <w:pPr>
              <w:widowControl/>
              <w:spacing w:line="360" w:lineRule="auto"/>
              <w:rPr>
                <w:rFonts w:ascii="宋体"/>
                <w:color w:val="auto"/>
                <w:sz w:val="24"/>
                <w:highlight w:val="none"/>
              </w:rPr>
            </w:pPr>
            <w:r>
              <w:rPr>
                <w:rFonts w:hint="eastAsia" w:ascii="宋体" w:hAnsi="宋体" w:eastAsia="宋体"/>
                <w:b/>
                <w:bCs/>
                <w:color w:val="auto"/>
                <w:sz w:val="24"/>
                <w:highlight w:val="none"/>
                <w:lang w:eastAsia="zh-CN"/>
              </w:rPr>
              <w:t>良（4分）：</w:t>
            </w:r>
            <w:r>
              <w:rPr>
                <w:rFonts w:hint="eastAsia" w:ascii="宋体" w:hAnsi="宋体"/>
                <w:color w:val="auto"/>
                <w:sz w:val="24"/>
                <w:highlight w:val="none"/>
              </w:rPr>
              <w:t>针对本工程项目特点，有现场文明施工、环境保护措施，且措施内容达到合格标准并符合要求。各项措施基本全面、有效。有具体实现现场文明施工目标的承诺。</w:t>
            </w:r>
            <w:r>
              <w:rPr>
                <w:rFonts w:ascii="宋体" w:hAnsi="宋体"/>
                <w:color w:val="auto"/>
                <w:sz w:val="24"/>
                <w:highlight w:val="none"/>
              </w:rPr>
              <w:t xml:space="preserve"> </w:t>
            </w:r>
          </w:p>
          <w:p w14:paraId="73AA881A">
            <w:pPr>
              <w:widowControl/>
              <w:spacing w:line="360" w:lineRule="auto"/>
              <w:rPr>
                <w:rFonts w:ascii="宋体"/>
                <w:color w:val="auto"/>
                <w:sz w:val="24"/>
                <w:highlight w:val="none"/>
              </w:rPr>
            </w:pPr>
            <w:r>
              <w:rPr>
                <w:rFonts w:hint="eastAsia" w:ascii="宋体" w:hAnsi="宋体" w:eastAsia="宋体"/>
                <w:b/>
                <w:bCs/>
                <w:color w:val="auto"/>
                <w:sz w:val="24"/>
                <w:highlight w:val="none"/>
                <w:lang w:eastAsia="zh-CN"/>
              </w:rPr>
              <w:t>中（2分）：</w:t>
            </w:r>
            <w:r>
              <w:rPr>
                <w:rFonts w:hint="eastAsia" w:ascii="宋体" w:hAnsi="宋体"/>
                <w:color w:val="auto"/>
                <w:sz w:val="24"/>
                <w:highlight w:val="none"/>
              </w:rPr>
              <w:t>针对本工程项目特点，有现场文明施工、环境保护措施，且措施内容基本达到合格标准并基本符合要求。各项措施基本可行。有具体实现现场文明施工目标的承诺。</w:t>
            </w:r>
            <w:r>
              <w:rPr>
                <w:rFonts w:ascii="宋体" w:hAnsi="宋体"/>
                <w:color w:val="auto"/>
                <w:sz w:val="24"/>
                <w:highlight w:val="none"/>
              </w:rPr>
              <w:t xml:space="preserve"> </w:t>
            </w:r>
          </w:p>
          <w:p w14:paraId="028549F2">
            <w:pPr>
              <w:widowControl/>
              <w:spacing w:line="360" w:lineRule="auto"/>
              <w:rPr>
                <w:rFonts w:ascii="宋体"/>
                <w:color w:val="auto"/>
                <w:sz w:val="24"/>
                <w:highlight w:val="none"/>
              </w:rPr>
            </w:pPr>
            <w:r>
              <w:rPr>
                <w:rFonts w:hint="eastAsia" w:ascii="宋体" w:hAnsi="宋体" w:eastAsia="宋体"/>
                <w:b/>
                <w:bCs/>
                <w:color w:val="auto"/>
                <w:sz w:val="24"/>
                <w:highlight w:val="none"/>
                <w:lang w:eastAsia="zh-CN"/>
              </w:rPr>
              <w:t>差（0分）：</w:t>
            </w:r>
            <w:r>
              <w:rPr>
                <w:rFonts w:hint="eastAsia" w:ascii="宋体" w:hAnsi="宋体"/>
                <w:color w:val="auto"/>
                <w:sz w:val="24"/>
                <w:highlight w:val="none"/>
              </w:rPr>
              <w:t>针对本工程项目特点，有现场文明施工、环境保护措施，但措施内容没有达到合格标准并不符合要求。各项措施不合理。没有具体实现现场文明施工目标的承诺</w:t>
            </w:r>
            <w:r>
              <w:rPr>
                <w:rFonts w:hint="eastAsia" w:ascii="宋体" w:hAnsi="宋体"/>
                <w:b/>
                <w:bCs/>
                <w:color w:val="auto"/>
                <w:sz w:val="24"/>
                <w:highlight w:val="none"/>
              </w:rPr>
              <w:t>或未提供</w:t>
            </w:r>
            <w:r>
              <w:rPr>
                <w:rFonts w:hint="eastAsia" w:ascii="宋体" w:hAnsi="宋体" w:cs="宋体"/>
                <w:b/>
                <w:bCs/>
                <w:color w:val="auto"/>
                <w:kern w:val="0"/>
                <w:sz w:val="24"/>
                <w:highlight w:val="none"/>
              </w:rPr>
              <w:t>确保文明施工的技术组织措施</w:t>
            </w:r>
            <w:r>
              <w:rPr>
                <w:rFonts w:hint="eastAsia" w:ascii="宋体" w:hAnsi="宋体"/>
                <w:color w:val="auto"/>
                <w:sz w:val="24"/>
                <w:highlight w:val="none"/>
              </w:rPr>
              <w:t>。</w:t>
            </w:r>
          </w:p>
        </w:tc>
      </w:tr>
      <w:tr w14:paraId="55429E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jc w:val="center"/>
        </w:trPr>
        <w:tc>
          <w:tcPr>
            <w:tcW w:w="780" w:type="dxa"/>
            <w:vMerge w:val="continue"/>
            <w:vAlign w:val="center"/>
          </w:tcPr>
          <w:p w14:paraId="60258B36">
            <w:pPr>
              <w:spacing w:line="360" w:lineRule="auto"/>
              <w:jc w:val="center"/>
              <w:rPr>
                <w:rFonts w:ascii="宋体"/>
                <w:color w:val="auto"/>
                <w:sz w:val="24"/>
                <w:highlight w:val="none"/>
              </w:rPr>
            </w:pPr>
          </w:p>
        </w:tc>
        <w:tc>
          <w:tcPr>
            <w:tcW w:w="1031" w:type="dxa"/>
            <w:vMerge w:val="continue"/>
            <w:vAlign w:val="center"/>
          </w:tcPr>
          <w:p w14:paraId="30AA4BB6">
            <w:pPr>
              <w:spacing w:line="360" w:lineRule="auto"/>
              <w:jc w:val="center"/>
              <w:rPr>
                <w:rFonts w:ascii="宋体"/>
                <w:color w:val="auto"/>
                <w:sz w:val="24"/>
                <w:highlight w:val="none"/>
              </w:rPr>
            </w:pPr>
          </w:p>
        </w:tc>
        <w:tc>
          <w:tcPr>
            <w:tcW w:w="912" w:type="dxa"/>
            <w:vMerge w:val="continue"/>
            <w:vAlign w:val="center"/>
          </w:tcPr>
          <w:p w14:paraId="6311C5F9">
            <w:pPr>
              <w:spacing w:line="360" w:lineRule="auto"/>
              <w:jc w:val="center"/>
              <w:rPr>
                <w:rFonts w:ascii="宋体"/>
                <w:color w:val="auto"/>
                <w:sz w:val="24"/>
                <w:highlight w:val="none"/>
              </w:rPr>
            </w:pPr>
          </w:p>
        </w:tc>
        <w:tc>
          <w:tcPr>
            <w:tcW w:w="1039" w:type="dxa"/>
            <w:vAlign w:val="center"/>
          </w:tcPr>
          <w:p w14:paraId="5C4DB4B5">
            <w:pPr>
              <w:widowControl/>
              <w:spacing w:line="360" w:lineRule="auto"/>
              <w:rPr>
                <w:rFonts w:ascii="宋体"/>
                <w:color w:val="auto"/>
                <w:sz w:val="24"/>
                <w:highlight w:val="none"/>
              </w:rPr>
            </w:pPr>
            <w:r>
              <w:rPr>
                <w:rFonts w:hint="eastAsia" w:ascii="宋体" w:hAnsi="宋体" w:cs="宋体"/>
                <w:color w:val="auto"/>
                <w:kern w:val="0"/>
                <w:sz w:val="24"/>
                <w:highlight w:val="none"/>
              </w:rPr>
              <w:t>工程施工的重点和难点及保证措施（</w:t>
            </w:r>
            <w:r>
              <w:rPr>
                <w:rFonts w:hint="eastAsia" w:ascii="宋体" w:hAnsi="宋体" w:cs="宋体"/>
                <w:color w:val="auto"/>
                <w:kern w:val="0"/>
                <w:sz w:val="24"/>
                <w:highlight w:val="none"/>
                <w:lang w:val="en-US" w:eastAsia="zh-CN"/>
              </w:rPr>
              <w:t>6</w:t>
            </w:r>
            <w:r>
              <w:rPr>
                <w:rFonts w:hint="eastAsia" w:ascii="宋体" w:hAnsi="宋体" w:cs="宋体"/>
                <w:color w:val="auto"/>
                <w:kern w:val="0"/>
                <w:sz w:val="24"/>
                <w:highlight w:val="none"/>
              </w:rPr>
              <w:t>分）</w:t>
            </w:r>
          </w:p>
        </w:tc>
        <w:tc>
          <w:tcPr>
            <w:tcW w:w="5774" w:type="dxa"/>
            <w:vAlign w:val="center"/>
          </w:tcPr>
          <w:p w14:paraId="6484FC1D">
            <w:pPr>
              <w:widowControl/>
              <w:spacing w:line="360" w:lineRule="auto"/>
              <w:rPr>
                <w:rFonts w:ascii="宋体"/>
                <w:color w:val="auto"/>
                <w:sz w:val="24"/>
                <w:highlight w:val="none"/>
              </w:rPr>
            </w:pPr>
            <w:r>
              <w:rPr>
                <w:rFonts w:hint="eastAsia" w:ascii="宋体" w:hAnsi="宋体" w:eastAsia="宋体"/>
                <w:b/>
                <w:bCs/>
                <w:color w:val="auto"/>
                <w:sz w:val="24"/>
                <w:highlight w:val="none"/>
                <w:lang w:eastAsia="zh-CN"/>
              </w:rPr>
              <w:t>优（</w:t>
            </w:r>
            <w:r>
              <w:rPr>
                <w:rFonts w:hint="eastAsia" w:ascii="宋体" w:hAnsi="宋体"/>
                <w:b/>
                <w:bCs/>
                <w:color w:val="auto"/>
                <w:sz w:val="24"/>
                <w:highlight w:val="none"/>
                <w:lang w:val="en-US" w:eastAsia="zh-CN"/>
              </w:rPr>
              <w:t>6</w:t>
            </w:r>
            <w:r>
              <w:rPr>
                <w:rFonts w:hint="eastAsia" w:ascii="宋体" w:hAnsi="宋体" w:eastAsia="宋体"/>
                <w:b/>
                <w:bCs/>
                <w:color w:val="auto"/>
                <w:sz w:val="24"/>
                <w:highlight w:val="none"/>
                <w:lang w:eastAsia="zh-CN"/>
              </w:rPr>
              <w:t>分）：</w:t>
            </w:r>
            <w:r>
              <w:rPr>
                <w:rFonts w:hint="eastAsia" w:ascii="宋体" w:hAnsi="宋体"/>
                <w:color w:val="auto"/>
                <w:sz w:val="24"/>
                <w:highlight w:val="none"/>
              </w:rPr>
              <w:t>针对本工程的特点，阐述本工程的重点和难点，解决重点和难点问题的方法科学合理。</w:t>
            </w:r>
            <w:r>
              <w:rPr>
                <w:rFonts w:ascii="宋体" w:hAnsi="宋体"/>
                <w:color w:val="auto"/>
                <w:sz w:val="24"/>
                <w:highlight w:val="none"/>
              </w:rPr>
              <w:t xml:space="preserve"> </w:t>
            </w:r>
          </w:p>
          <w:p w14:paraId="04C39EB5">
            <w:pPr>
              <w:widowControl/>
              <w:spacing w:line="360" w:lineRule="auto"/>
              <w:rPr>
                <w:rFonts w:ascii="宋体"/>
                <w:color w:val="auto"/>
                <w:sz w:val="24"/>
                <w:highlight w:val="none"/>
              </w:rPr>
            </w:pPr>
            <w:r>
              <w:rPr>
                <w:rFonts w:hint="eastAsia" w:ascii="宋体" w:hAnsi="宋体" w:eastAsia="宋体"/>
                <w:b/>
                <w:bCs/>
                <w:color w:val="auto"/>
                <w:sz w:val="24"/>
                <w:highlight w:val="none"/>
                <w:lang w:eastAsia="zh-CN"/>
              </w:rPr>
              <w:t>良（</w:t>
            </w:r>
            <w:r>
              <w:rPr>
                <w:rFonts w:hint="eastAsia" w:ascii="宋体" w:hAnsi="宋体"/>
                <w:b/>
                <w:bCs/>
                <w:color w:val="auto"/>
                <w:sz w:val="24"/>
                <w:highlight w:val="none"/>
                <w:lang w:val="en-US" w:eastAsia="zh-CN"/>
              </w:rPr>
              <w:t>4</w:t>
            </w:r>
            <w:r>
              <w:rPr>
                <w:rFonts w:hint="eastAsia" w:ascii="宋体" w:hAnsi="宋体" w:eastAsia="宋体"/>
                <w:b/>
                <w:bCs/>
                <w:color w:val="auto"/>
                <w:sz w:val="24"/>
                <w:highlight w:val="none"/>
                <w:lang w:eastAsia="zh-CN"/>
              </w:rPr>
              <w:t>分）：</w:t>
            </w:r>
            <w:r>
              <w:rPr>
                <w:rFonts w:hint="eastAsia" w:ascii="宋体" w:hAnsi="宋体"/>
                <w:color w:val="auto"/>
                <w:sz w:val="24"/>
                <w:highlight w:val="none"/>
              </w:rPr>
              <w:t>针对本工程的特点，阐述本工程的重点和难点，解决重点和难点问题的方法合理。</w:t>
            </w:r>
            <w:r>
              <w:rPr>
                <w:rFonts w:ascii="宋体" w:hAnsi="宋体"/>
                <w:color w:val="auto"/>
                <w:sz w:val="24"/>
                <w:highlight w:val="none"/>
              </w:rPr>
              <w:t xml:space="preserve"> </w:t>
            </w:r>
          </w:p>
          <w:p w14:paraId="06CDA862">
            <w:pPr>
              <w:widowControl/>
              <w:spacing w:line="360" w:lineRule="auto"/>
              <w:rPr>
                <w:rFonts w:ascii="宋体"/>
                <w:color w:val="auto"/>
                <w:sz w:val="24"/>
                <w:highlight w:val="none"/>
              </w:rPr>
            </w:pPr>
            <w:r>
              <w:rPr>
                <w:rFonts w:hint="eastAsia" w:ascii="宋体" w:hAnsi="宋体" w:eastAsia="宋体"/>
                <w:b/>
                <w:bCs/>
                <w:color w:val="auto"/>
                <w:sz w:val="24"/>
                <w:highlight w:val="none"/>
                <w:lang w:eastAsia="zh-CN"/>
              </w:rPr>
              <w:t>中（</w:t>
            </w:r>
            <w:r>
              <w:rPr>
                <w:rFonts w:hint="eastAsia" w:ascii="宋体" w:hAnsi="宋体"/>
                <w:b/>
                <w:bCs/>
                <w:color w:val="auto"/>
                <w:sz w:val="24"/>
                <w:highlight w:val="none"/>
                <w:lang w:val="en-US" w:eastAsia="zh-CN"/>
              </w:rPr>
              <w:t>2</w:t>
            </w:r>
            <w:r>
              <w:rPr>
                <w:rFonts w:hint="eastAsia" w:ascii="宋体" w:hAnsi="宋体" w:eastAsia="宋体"/>
                <w:b/>
                <w:bCs/>
                <w:color w:val="auto"/>
                <w:sz w:val="24"/>
                <w:highlight w:val="none"/>
                <w:lang w:eastAsia="zh-CN"/>
              </w:rPr>
              <w:t>分）：</w:t>
            </w:r>
            <w:r>
              <w:rPr>
                <w:rFonts w:hint="eastAsia" w:ascii="宋体" w:hAnsi="宋体"/>
                <w:color w:val="auto"/>
                <w:sz w:val="24"/>
                <w:highlight w:val="none"/>
              </w:rPr>
              <w:t>针对本工程的特点，阐述本工程的重点和难点，解决重点和难点问题的方法基本合理。</w:t>
            </w:r>
            <w:r>
              <w:rPr>
                <w:rFonts w:ascii="宋体" w:hAnsi="宋体"/>
                <w:color w:val="auto"/>
                <w:sz w:val="24"/>
                <w:highlight w:val="none"/>
              </w:rPr>
              <w:t xml:space="preserve"> </w:t>
            </w:r>
          </w:p>
          <w:p w14:paraId="5D8B758F">
            <w:pPr>
              <w:widowControl/>
              <w:spacing w:line="360" w:lineRule="auto"/>
              <w:rPr>
                <w:rFonts w:ascii="宋体"/>
                <w:color w:val="auto"/>
                <w:sz w:val="24"/>
                <w:highlight w:val="none"/>
              </w:rPr>
            </w:pPr>
            <w:r>
              <w:rPr>
                <w:rFonts w:hint="eastAsia" w:ascii="宋体" w:hAnsi="宋体" w:eastAsia="宋体"/>
                <w:b/>
                <w:bCs/>
                <w:color w:val="auto"/>
                <w:sz w:val="24"/>
                <w:highlight w:val="none"/>
                <w:lang w:eastAsia="zh-CN"/>
              </w:rPr>
              <w:t>差（0分）：</w:t>
            </w:r>
            <w:r>
              <w:rPr>
                <w:rFonts w:hint="eastAsia" w:ascii="宋体" w:hAnsi="宋体"/>
                <w:color w:val="auto"/>
                <w:sz w:val="24"/>
                <w:highlight w:val="none"/>
              </w:rPr>
              <w:t>针对本工程的特点，阐述本工程的重点和难点，解决重点和难点问题的方法不合理</w:t>
            </w:r>
            <w:r>
              <w:rPr>
                <w:rFonts w:hint="eastAsia" w:ascii="宋体" w:hAnsi="宋体"/>
                <w:b/>
                <w:bCs/>
                <w:color w:val="auto"/>
                <w:sz w:val="24"/>
                <w:highlight w:val="none"/>
              </w:rPr>
              <w:t>或未提供</w:t>
            </w:r>
            <w:r>
              <w:rPr>
                <w:rFonts w:hint="eastAsia" w:ascii="宋体" w:hAnsi="宋体" w:cs="宋体"/>
                <w:b/>
                <w:bCs/>
                <w:color w:val="auto"/>
                <w:kern w:val="0"/>
                <w:sz w:val="24"/>
                <w:highlight w:val="none"/>
              </w:rPr>
              <w:t>工程施工的重点和难点及保证措施</w:t>
            </w:r>
            <w:r>
              <w:rPr>
                <w:rFonts w:hint="eastAsia" w:ascii="宋体" w:hAnsi="宋体"/>
                <w:b/>
                <w:bCs/>
                <w:color w:val="auto"/>
                <w:sz w:val="24"/>
                <w:highlight w:val="none"/>
              </w:rPr>
              <w:t>。</w:t>
            </w:r>
          </w:p>
        </w:tc>
      </w:tr>
      <w:tr w14:paraId="55FAE0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jc w:val="center"/>
        </w:trPr>
        <w:tc>
          <w:tcPr>
            <w:tcW w:w="780" w:type="dxa"/>
            <w:vMerge w:val="continue"/>
            <w:vAlign w:val="center"/>
          </w:tcPr>
          <w:p w14:paraId="2E944097">
            <w:pPr>
              <w:spacing w:line="360" w:lineRule="auto"/>
              <w:jc w:val="center"/>
              <w:rPr>
                <w:rFonts w:ascii="宋体"/>
                <w:color w:val="auto"/>
                <w:sz w:val="24"/>
                <w:highlight w:val="none"/>
              </w:rPr>
            </w:pPr>
          </w:p>
        </w:tc>
        <w:tc>
          <w:tcPr>
            <w:tcW w:w="1031" w:type="dxa"/>
            <w:vMerge w:val="continue"/>
            <w:vAlign w:val="center"/>
          </w:tcPr>
          <w:p w14:paraId="6AEE1F15">
            <w:pPr>
              <w:spacing w:line="360" w:lineRule="auto"/>
              <w:jc w:val="center"/>
              <w:rPr>
                <w:rFonts w:ascii="宋体"/>
                <w:color w:val="auto"/>
                <w:sz w:val="24"/>
                <w:highlight w:val="none"/>
              </w:rPr>
            </w:pPr>
          </w:p>
        </w:tc>
        <w:tc>
          <w:tcPr>
            <w:tcW w:w="912" w:type="dxa"/>
            <w:vMerge w:val="continue"/>
            <w:vAlign w:val="center"/>
          </w:tcPr>
          <w:p w14:paraId="669E8E26">
            <w:pPr>
              <w:spacing w:line="360" w:lineRule="auto"/>
              <w:jc w:val="center"/>
              <w:rPr>
                <w:rFonts w:ascii="宋体"/>
                <w:color w:val="auto"/>
                <w:sz w:val="24"/>
                <w:highlight w:val="none"/>
              </w:rPr>
            </w:pPr>
          </w:p>
        </w:tc>
        <w:tc>
          <w:tcPr>
            <w:tcW w:w="1039" w:type="dxa"/>
            <w:vAlign w:val="center"/>
          </w:tcPr>
          <w:p w14:paraId="3C6DB4EF">
            <w:pPr>
              <w:widowControl/>
              <w:spacing w:line="360" w:lineRule="auto"/>
              <w:rPr>
                <w:rFonts w:ascii="宋体"/>
                <w:color w:val="auto"/>
                <w:sz w:val="24"/>
                <w:highlight w:val="none"/>
              </w:rPr>
            </w:pPr>
            <w:r>
              <w:rPr>
                <w:rFonts w:hint="eastAsia" w:ascii="宋体" w:hAnsi="宋体" w:cs="宋体"/>
                <w:color w:val="auto"/>
                <w:kern w:val="0"/>
                <w:sz w:val="24"/>
                <w:highlight w:val="none"/>
              </w:rPr>
              <w:t>施工总平面布置图（</w:t>
            </w:r>
            <w:r>
              <w:rPr>
                <w:rFonts w:hint="eastAsia" w:ascii="宋体" w:hAnsi="宋体" w:cs="宋体"/>
                <w:color w:val="auto"/>
                <w:kern w:val="0"/>
                <w:sz w:val="24"/>
                <w:highlight w:val="none"/>
                <w:lang w:val="en-US" w:eastAsia="zh-CN"/>
              </w:rPr>
              <w:t>4</w:t>
            </w:r>
            <w:r>
              <w:rPr>
                <w:rFonts w:hint="eastAsia" w:ascii="宋体" w:hAnsi="宋体" w:cs="宋体"/>
                <w:color w:val="auto"/>
                <w:kern w:val="0"/>
                <w:sz w:val="24"/>
                <w:highlight w:val="none"/>
              </w:rPr>
              <w:t>分）</w:t>
            </w:r>
          </w:p>
        </w:tc>
        <w:tc>
          <w:tcPr>
            <w:tcW w:w="5774" w:type="dxa"/>
            <w:vAlign w:val="center"/>
          </w:tcPr>
          <w:p w14:paraId="57F1E1B8">
            <w:pPr>
              <w:widowControl/>
              <w:spacing w:line="360" w:lineRule="auto"/>
              <w:rPr>
                <w:rFonts w:ascii="宋体" w:hAnsi="宋体"/>
                <w:color w:val="auto"/>
                <w:sz w:val="24"/>
                <w:highlight w:val="none"/>
              </w:rPr>
            </w:pPr>
            <w:r>
              <w:rPr>
                <w:rFonts w:hint="eastAsia" w:ascii="宋体" w:hAnsi="宋体" w:eastAsia="宋体"/>
                <w:b/>
                <w:bCs/>
                <w:color w:val="auto"/>
                <w:sz w:val="24"/>
                <w:highlight w:val="none"/>
                <w:lang w:eastAsia="zh-CN"/>
              </w:rPr>
              <w:t>优（</w:t>
            </w:r>
            <w:r>
              <w:rPr>
                <w:rFonts w:hint="eastAsia" w:ascii="宋体" w:hAnsi="宋体"/>
                <w:b/>
                <w:bCs/>
                <w:color w:val="auto"/>
                <w:sz w:val="24"/>
                <w:highlight w:val="none"/>
                <w:lang w:val="en-US" w:eastAsia="zh-CN"/>
              </w:rPr>
              <w:t>4</w:t>
            </w:r>
            <w:r>
              <w:rPr>
                <w:rFonts w:hint="eastAsia" w:ascii="宋体" w:hAnsi="宋体" w:eastAsia="宋体"/>
                <w:b/>
                <w:bCs/>
                <w:color w:val="auto"/>
                <w:sz w:val="24"/>
                <w:highlight w:val="none"/>
                <w:lang w:eastAsia="zh-CN"/>
              </w:rPr>
              <w:t>分）：</w:t>
            </w:r>
            <w:r>
              <w:rPr>
                <w:rFonts w:hint="eastAsia" w:ascii="宋体" w:hAnsi="宋体"/>
                <w:color w:val="auto"/>
                <w:sz w:val="24"/>
                <w:highlight w:val="none"/>
              </w:rPr>
              <w:t>总体布置有针对性、合理，很好满足施工需要，符合安全、文明生产要求。</w:t>
            </w:r>
            <w:r>
              <w:rPr>
                <w:rFonts w:ascii="宋体" w:hAnsi="宋体"/>
                <w:color w:val="auto"/>
                <w:sz w:val="24"/>
                <w:highlight w:val="none"/>
              </w:rPr>
              <w:t xml:space="preserve"> </w:t>
            </w:r>
          </w:p>
          <w:p w14:paraId="1B598B15">
            <w:pPr>
              <w:widowControl/>
              <w:spacing w:line="360" w:lineRule="auto"/>
              <w:rPr>
                <w:rFonts w:ascii="宋体" w:hAnsi="宋体"/>
                <w:color w:val="auto"/>
                <w:sz w:val="24"/>
                <w:highlight w:val="none"/>
              </w:rPr>
            </w:pPr>
            <w:r>
              <w:rPr>
                <w:rFonts w:hint="eastAsia" w:ascii="宋体" w:hAnsi="宋体" w:eastAsia="宋体"/>
                <w:b/>
                <w:bCs/>
                <w:color w:val="auto"/>
                <w:sz w:val="24"/>
                <w:highlight w:val="none"/>
                <w:lang w:eastAsia="zh-CN"/>
              </w:rPr>
              <w:t>良（</w:t>
            </w:r>
            <w:r>
              <w:rPr>
                <w:rFonts w:hint="eastAsia" w:ascii="宋体" w:hAnsi="宋体"/>
                <w:b/>
                <w:bCs/>
                <w:color w:val="auto"/>
                <w:sz w:val="24"/>
                <w:highlight w:val="none"/>
                <w:lang w:val="en-US" w:eastAsia="zh-CN"/>
              </w:rPr>
              <w:t>2</w:t>
            </w:r>
            <w:r>
              <w:rPr>
                <w:rFonts w:hint="eastAsia" w:ascii="宋体" w:hAnsi="宋体" w:eastAsia="宋体"/>
                <w:b/>
                <w:bCs/>
                <w:color w:val="auto"/>
                <w:sz w:val="24"/>
                <w:highlight w:val="none"/>
                <w:lang w:eastAsia="zh-CN"/>
              </w:rPr>
              <w:t>分）：</w:t>
            </w:r>
            <w:r>
              <w:rPr>
                <w:rFonts w:hint="eastAsia" w:ascii="宋体" w:hAnsi="宋体"/>
                <w:color w:val="auto"/>
                <w:sz w:val="24"/>
                <w:highlight w:val="none"/>
              </w:rPr>
              <w:t>总体布置合理，能满足施工需要，符合安全、文明生产要求。</w:t>
            </w:r>
            <w:r>
              <w:rPr>
                <w:rFonts w:ascii="宋体" w:hAnsi="宋体"/>
                <w:color w:val="auto"/>
                <w:sz w:val="24"/>
                <w:highlight w:val="none"/>
              </w:rPr>
              <w:t xml:space="preserve"> </w:t>
            </w:r>
          </w:p>
          <w:p w14:paraId="594A75D0">
            <w:pPr>
              <w:widowControl/>
              <w:spacing w:line="360" w:lineRule="auto"/>
              <w:rPr>
                <w:rFonts w:ascii="宋体" w:hAnsi="宋体"/>
                <w:color w:val="auto"/>
                <w:sz w:val="24"/>
                <w:highlight w:val="none"/>
              </w:rPr>
            </w:pPr>
            <w:r>
              <w:rPr>
                <w:rFonts w:hint="eastAsia" w:ascii="宋体" w:hAnsi="宋体" w:eastAsia="宋体"/>
                <w:b/>
                <w:bCs/>
                <w:color w:val="auto"/>
                <w:sz w:val="24"/>
                <w:highlight w:val="none"/>
                <w:lang w:eastAsia="zh-CN"/>
              </w:rPr>
              <w:t>中（1分）：</w:t>
            </w:r>
            <w:r>
              <w:rPr>
                <w:rFonts w:hint="eastAsia" w:ascii="宋体" w:hAnsi="宋体"/>
                <w:color w:val="auto"/>
                <w:sz w:val="24"/>
                <w:highlight w:val="none"/>
              </w:rPr>
              <w:t>总体布置能满足施工需要，基本符合安全、文明生产要求。</w:t>
            </w:r>
            <w:r>
              <w:rPr>
                <w:rFonts w:ascii="宋体" w:hAnsi="宋体"/>
                <w:color w:val="auto"/>
                <w:sz w:val="24"/>
                <w:highlight w:val="none"/>
              </w:rPr>
              <w:t xml:space="preserve"> </w:t>
            </w:r>
          </w:p>
          <w:p w14:paraId="4E4AFF2F">
            <w:pPr>
              <w:widowControl/>
              <w:spacing w:line="360" w:lineRule="auto"/>
              <w:rPr>
                <w:rFonts w:ascii="宋体"/>
                <w:color w:val="auto"/>
                <w:sz w:val="24"/>
                <w:highlight w:val="none"/>
              </w:rPr>
            </w:pPr>
            <w:r>
              <w:rPr>
                <w:rFonts w:hint="eastAsia" w:ascii="宋体" w:hAnsi="宋体" w:eastAsia="宋体"/>
                <w:b/>
                <w:bCs/>
                <w:color w:val="auto"/>
                <w:sz w:val="24"/>
                <w:highlight w:val="none"/>
                <w:lang w:eastAsia="zh-CN"/>
              </w:rPr>
              <w:t>差（0分）：</w:t>
            </w:r>
            <w:r>
              <w:rPr>
                <w:rFonts w:hint="eastAsia" w:ascii="宋体" w:hAnsi="宋体"/>
                <w:color w:val="auto"/>
                <w:sz w:val="24"/>
                <w:highlight w:val="none"/>
              </w:rPr>
              <w:t>总体布置不合理，不符合安全、文明生产要求</w:t>
            </w:r>
            <w:r>
              <w:rPr>
                <w:rFonts w:hint="eastAsia" w:ascii="宋体" w:hAnsi="宋体"/>
                <w:b/>
                <w:bCs/>
                <w:color w:val="auto"/>
                <w:sz w:val="24"/>
                <w:highlight w:val="none"/>
              </w:rPr>
              <w:t>或未提供</w:t>
            </w:r>
            <w:r>
              <w:rPr>
                <w:rFonts w:hint="eastAsia" w:ascii="宋体" w:hAnsi="宋体" w:cs="宋体"/>
                <w:b/>
                <w:bCs/>
                <w:color w:val="auto"/>
                <w:kern w:val="0"/>
                <w:sz w:val="24"/>
                <w:highlight w:val="none"/>
              </w:rPr>
              <w:t>施工总平面布置图</w:t>
            </w:r>
            <w:r>
              <w:rPr>
                <w:rFonts w:hint="eastAsia" w:ascii="宋体" w:hAnsi="宋体"/>
                <w:color w:val="auto"/>
                <w:sz w:val="24"/>
                <w:highlight w:val="none"/>
              </w:rPr>
              <w:t>。</w:t>
            </w:r>
          </w:p>
        </w:tc>
      </w:tr>
      <w:tr w14:paraId="0DF615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780" w:type="dxa"/>
            <w:vAlign w:val="center"/>
          </w:tcPr>
          <w:p w14:paraId="363E1710">
            <w:pPr>
              <w:spacing w:line="360" w:lineRule="auto"/>
              <w:jc w:val="center"/>
              <w:rPr>
                <w:rFonts w:ascii="宋体"/>
                <w:color w:val="auto"/>
                <w:sz w:val="24"/>
                <w:highlight w:val="none"/>
              </w:rPr>
            </w:pPr>
            <w:r>
              <w:rPr>
                <w:rFonts w:ascii="宋体" w:hAnsi="宋体"/>
                <w:color w:val="auto"/>
                <w:sz w:val="24"/>
                <w:highlight w:val="none"/>
              </w:rPr>
              <w:t>2</w:t>
            </w:r>
          </w:p>
        </w:tc>
        <w:tc>
          <w:tcPr>
            <w:tcW w:w="1031" w:type="dxa"/>
            <w:vAlign w:val="center"/>
          </w:tcPr>
          <w:p w14:paraId="46F5EC3E">
            <w:pPr>
              <w:spacing w:line="360" w:lineRule="auto"/>
              <w:jc w:val="center"/>
              <w:rPr>
                <w:rFonts w:ascii="宋体"/>
                <w:color w:val="auto"/>
                <w:sz w:val="24"/>
                <w:highlight w:val="none"/>
              </w:rPr>
            </w:pPr>
            <w:r>
              <w:rPr>
                <w:rFonts w:hint="eastAsia" w:ascii="宋体" w:hAnsi="宋体" w:cs="宋体"/>
                <w:color w:val="auto"/>
                <w:sz w:val="24"/>
                <w:highlight w:val="none"/>
              </w:rPr>
              <w:t>报价分</w:t>
            </w:r>
          </w:p>
          <w:p w14:paraId="79CCB4F6">
            <w:pPr>
              <w:spacing w:line="360" w:lineRule="auto"/>
              <w:jc w:val="center"/>
              <w:rPr>
                <w:rFonts w:ascii="宋体"/>
                <w:color w:val="auto"/>
                <w:sz w:val="24"/>
                <w:highlight w:val="none"/>
              </w:rPr>
            </w:pPr>
            <w:r>
              <w:rPr>
                <w:rFonts w:ascii="宋体" w:hAnsi="宋体"/>
                <w:color w:val="auto"/>
                <w:sz w:val="24"/>
                <w:highlight w:val="none"/>
              </w:rPr>
              <w:t>(3</w:t>
            </w:r>
            <w:r>
              <w:rPr>
                <w:rFonts w:ascii="宋体"/>
                <w:color w:val="auto"/>
                <w:sz w:val="24"/>
                <w:highlight w:val="none"/>
              </w:rPr>
              <w:t>0</w:t>
            </w:r>
            <w:r>
              <w:rPr>
                <w:rFonts w:hint="eastAsia" w:ascii="宋体" w:hAnsi="宋体"/>
                <w:color w:val="auto"/>
                <w:sz w:val="24"/>
                <w:highlight w:val="none"/>
              </w:rPr>
              <w:t>分</w:t>
            </w:r>
            <w:r>
              <w:rPr>
                <w:rFonts w:ascii="宋体" w:hAnsi="宋体"/>
                <w:color w:val="auto"/>
                <w:sz w:val="24"/>
                <w:highlight w:val="none"/>
              </w:rPr>
              <w:t>)</w:t>
            </w:r>
          </w:p>
        </w:tc>
        <w:tc>
          <w:tcPr>
            <w:tcW w:w="7725" w:type="dxa"/>
            <w:gridSpan w:val="3"/>
            <w:vAlign w:val="center"/>
          </w:tcPr>
          <w:p w14:paraId="45FC03DC">
            <w:pPr>
              <w:spacing w:line="360" w:lineRule="auto"/>
              <w:rPr>
                <w:rFonts w:ascii="宋体"/>
                <w:color w:val="auto"/>
                <w:sz w:val="24"/>
                <w:highlight w:val="none"/>
              </w:rPr>
            </w:pPr>
            <w:r>
              <w:rPr>
                <w:rFonts w:hint="eastAsia" w:ascii="宋体" w:hAnsi="宋体"/>
                <w:color w:val="auto"/>
                <w:sz w:val="24"/>
                <w:highlight w:val="none"/>
              </w:rPr>
              <w:t>价格分：</w:t>
            </w:r>
            <w:r>
              <w:rPr>
                <w:rFonts w:ascii="宋体" w:hAnsi="宋体"/>
                <w:color w:val="auto"/>
                <w:sz w:val="24"/>
                <w:highlight w:val="none"/>
              </w:rPr>
              <w:t>3</w:t>
            </w:r>
            <w:r>
              <w:rPr>
                <w:rFonts w:ascii="宋体"/>
                <w:color w:val="auto"/>
                <w:sz w:val="24"/>
                <w:highlight w:val="none"/>
              </w:rPr>
              <w:t>0</w:t>
            </w:r>
            <w:r>
              <w:rPr>
                <w:rFonts w:hint="eastAsia" w:ascii="宋体" w:hAnsi="宋体"/>
                <w:color w:val="auto"/>
                <w:sz w:val="24"/>
                <w:highlight w:val="none"/>
              </w:rPr>
              <w:t>分</w:t>
            </w:r>
          </w:p>
          <w:p w14:paraId="200614A6">
            <w:pPr>
              <w:spacing w:line="360" w:lineRule="auto"/>
              <w:ind w:firstLine="480" w:firstLineChars="200"/>
              <w:rPr>
                <w:rFonts w:ascii="宋体"/>
                <w:color w:val="auto"/>
                <w:sz w:val="24"/>
                <w:highlight w:val="none"/>
              </w:rPr>
            </w:pPr>
            <w:r>
              <w:rPr>
                <w:rFonts w:hint="eastAsia" w:ascii="宋体" w:hAnsi="宋体"/>
                <w:color w:val="auto"/>
                <w:sz w:val="24"/>
                <w:highlight w:val="none"/>
              </w:rPr>
              <w:t>有效磋商报价的最低价作为评标基准价，其最低报价为满分；按［某磋商报价得分</w:t>
            </w:r>
            <w:r>
              <w:rPr>
                <w:rFonts w:ascii="宋体" w:hAnsi="宋体"/>
                <w:color w:val="auto"/>
                <w:sz w:val="24"/>
                <w:highlight w:val="none"/>
              </w:rPr>
              <w:t>=</w:t>
            </w:r>
            <w:r>
              <w:rPr>
                <w:rFonts w:hint="eastAsia" w:ascii="宋体" w:hAnsi="宋体"/>
                <w:color w:val="auto"/>
                <w:sz w:val="24"/>
                <w:highlight w:val="none"/>
              </w:rPr>
              <w:t>（磋商基准价</w:t>
            </w:r>
            <w:r>
              <w:rPr>
                <w:rFonts w:ascii="宋体" w:hAnsi="宋体"/>
                <w:color w:val="auto"/>
                <w:sz w:val="24"/>
                <w:highlight w:val="none"/>
              </w:rPr>
              <w:t>/</w:t>
            </w:r>
            <w:r>
              <w:rPr>
                <w:rFonts w:hint="eastAsia" w:ascii="宋体" w:hAnsi="宋体"/>
                <w:color w:val="auto"/>
                <w:sz w:val="24"/>
                <w:highlight w:val="none"/>
              </w:rPr>
              <w:t>磋商报价）</w:t>
            </w:r>
            <w:r>
              <w:rPr>
                <w:rFonts w:ascii="宋体" w:hAnsi="宋体"/>
                <w:color w:val="auto"/>
                <w:sz w:val="24"/>
                <w:highlight w:val="none"/>
              </w:rPr>
              <w:t>*3</w:t>
            </w:r>
            <w:r>
              <w:rPr>
                <w:rFonts w:ascii="宋体"/>
                <w:color w:val="auto"/>
                <w:sz w:val="24"/>
                <w:highlight w:val="none"/>
              </w:rPr>
              <w:t>0</w:t>
            </w:r>
            <w:r>
              <w:rPr>
                <w:rFonts w:hint="eastAsia" w:ascii="宋体" w:hAnsi="宋体"/>
                <w:color w:val="auto"/>
                <w:sz w:val="24"/>
                <w:highlight w:val="none"/>
              </w:rPr>
              <w:t>］的计算公式计算。</w:t>
            </w:r>
          </w:p>
          <w:p w14:paraId="6E3B4F20">
            <w:pPr>
              <w:spacing w:line="360" w:lineRule="auto"/>
              <w:ind w:firstLine="480" w:firstLineChars="200"/>
              <w:rPr>
                <w:rFonts w:ascii="宋体"/>
                <w:color w:val="auto"/>
                <w:sz w:val="24"/>
                <w:highlight w:val="none"/>
              </w:rPr>
            </w:pPr>
            <w:r>
              <w:rPr>
                <w:rFonts w:hint="eastAsia" w:ascii="宋体" w:hAnsi="宋体"/>
                <w:color w:val="auto"/>
                <w:sz w:val="24"/>
                <w:highlight w:val="none"/>
              </w:rPr>
              <w:t>评审过程中，不得去掉报价中的最高报价和最低报价。</w:t>
            </w:r>
          </w:p>
          <w:p w14:paraId="016574B5">
            <w:pPr>
              <w:spacing w:line="360" w:lineRule="auto"/>
              <w:ind w:firstLine="480" w:firstLineChars="200"/>
              <w:rPr>
                <w:rFonts w:ascii="宋体" w:cs="宋体"/>
                <w:bCs/>
                <w:color w:val="auto"/>
                <w:sz w:val="24"/>
                <w:highlight w:val="none"/>
              </w:rPr>
            </w:pPr>
            <w:r>
              <w:rPr>
                <w:rFonts w:hint="eastAsia" w:ascii="宋体" w:hAnsi="宋体" w:cs="宋体"/>
                <w:bCs/>
                <w:color w:val="auto"/>
                <w:sz w:val="24"/>
                <w:highlight w:val="none"/>
              </w:rPr>
              <w:t>（</w:t>
            </w:r>
            <w:r>
              <w:rPr>
                <w:rFonts w:ascii="宋体" w:hAnsi="宋体" w:cs="宋体"/>
                <w:bCs/>
                <w:color w:val="auto"/>
                <w:sz w:val="24"/>
                <w:highlight w:val="none"/>
              </w:rPr>
              <w:t>1</w:t>
            </w:r>
            <w:r>
              <w:rPr>
                <w:rFonts w:hint="eastAsia" w:ascii="宋体" w:hAnsi="宋体" w:cs="宋体"/>
                <w:bCs/>
                <w:color w:val="auto"/>
                <w:sz w:val="24"/>
                <w:highlight w:val="none"/>
              </w:rPr>
              <w:t>）本项目为专门面向中小企业采购的项目，按照《政府采购促进中小企业发展管理办法》（财库〔</w:t>
            </w:r>
            <w:r>
              <w:rPr>
                <w:rFonts w:ascii="宋体" w:hAnsi="宋体" w:cs="宋体"/>
                <w:bCs/>
                <w:color w:val="auto"/>
                <w:sz w:val="24"/>
                <w:highlight w:val="none"/>
              </w:rPr>
              <w:t>2020</w:t>
            </w:r>
            <w:r>
              <w:rPr>
                <w:rFonts w:hint="eastAsia" w:ascii="宋体" w:hAnsi="宋体" w:cs="宋体"/>
                <w:bCs/>
                <w:color w:val="auto"/>
                <w:sz w:val="24"/>
                <w:highlight w:val="none"/>
              </w:rPr>
              <w:t>〕</w:t>
            </w:r>
            <w:r>
              <w:rPr>
                <w:rFonts w:ascii="宋体" w:hAnsi="宋体" w:cs="宋体"/>
                <w:bCs/>
                <w:color w:val="auto"/>
                <w:sz w:val="24"/>
                <w:highlight w:val="none"/>
              </w:rPr>
              <w:t xml:space="preserve">46 </w:t>
            </w:r>
            <w:r>
              <w:rPr>
                <w:rFonts w:hint="eastAsia" w:ascii="宋体" w:hAnsi="宋体" w:cs="宋体"/>
                <w:bCs/>
                <w:color w:val="auto"/>
                <w:sz w:val="24"/>
                <w:highlight w:val="none"/>
              </w:rPr>
              <w:t>号）的规定，对供应商的磋商报价不再执行价格评审优惠的扶持政策。</w:t>
            </w:r>
          </w:p>
          <w:p w14:paraId="03783736">
            <w:pPr>
              <w:spacing w:line="360" w:lineRule="auto"/>
              <w:ind w:firstLine="480" w:firstLineChars="200"/>
              <w:rPr>
                <w:rFonts w:ascii="宋体" w:cs="宋体"/>
                <w:bCs/>
                <w:color w:val="auto"/>
                <w:sz w:val="24"/>
                <w:highlight w:val="none"/>
              </w:rPr>
            </w:pPr>
            <w:r>
              <w:rPr>
                <w:rFonts w:hint="eastAsia" w:ascii="宋体" w:hAnsi="宋体" w:cs="宋体"/>
                <w:bCs/>
                <w:color w:val="auto"/>
                <w:sz w:val="24"/>
                <w:highlight w:val="none"/>
              </w:rPr>
              <w:t>（</w:t>
            </w:r>
            <w:r>
              <w:rPr>
                <w:rFonts w:ascii="宋体" w:hAnsi="宋体" w:cs="宋体"/>
                <w:bCs/>
                <w:color w:val="auto"/>
                <w:sz w:val="24"/>
                <w:highlight w:val="none"/>
              </w:rPr>
              <w:t>2</w:t>
            </w:r>
            <w:r>
              <w:rPr>
                <w:rFonts w:hint="eastAsia" w:ascii="宋体" w:hAnsi="宋体" w:cs="宋体"/>
                <w:bCs/>
                <w:color w:val="auto"/>
                <w:sz w:val="24"/>
                <w:highlight w:val="none"/>
              </w:rPr>
              <w:t>）磋商供应商提供企业按《关于政府采购支持监狱企业发展有关问题的通知》</w:t>
            </w:r>
            <w:r>
              <w:rPr>
                <w:rFonts w:ascii="宋体" w:hAnsi="宋体" w:cs="宋体"/>
                <w:bCs/>
                <w:color w:val="auto"/>
                <w:sz w:val="24"/>
                <w:highlight w:val="none"/>
              </w:rPr>
              <w:t>(</w:t>
            </w:r>
            <w:r>
              <w:rPr>
                <w:rFonts w:hint="eastAsia" w:ascii="宋体" w:hAnsi="宋体" w:cs="宋体"/>
                <w:bCs/>
                <w:color w:val="auto"/>
                <w:sz w:val="24"/>
                <w:highlight w:val="none"/>
              </w:rPr>
              <w:t>财库〔</w:t>
            </w:r>
            <w:r>
              <w:rPr>
                <w:rFonts w:ascii="宋体" w:hAnsi="宋体" w:cs="宋体"/>
                <w:bCs/>
                <w:color w:val="auto"/>
                <w:sz w:val="24"/>
                <w:highlight w:val="none"/>
              </w:rPr>
              <w:t>2014</w:t>
            </w:r>
            <w:r>
              <w:rPr>
                <w:rFonts w:hint="eastAsia" w:ascii="宋体" w:hAnsi="宋体" w:cs="宋体"/>
                <w:bCs/>
                <w:color w:val="auto"/>
                <w:sz w:val="24"/>
                <w:highlight w:val="none"/>
              </w:rPr>
              <w:t>〕</w:t>
            </w:r>
            <w:r>
              <w:rPr>
                <w:rFonts w:ascii="宋体" w:hAnsi="宋体" w:cs="宋体"/>
                <w:bCs/>
                <w:color w:val="auto"/>
                <w:sz w:val="24"/>
                <w:highlight w:val="none"/>
              </w:rPr>
              <w:t xml:space="preserve">68 </w:t>
            </w:r>
            <w:r>
              <w:rPr>
                <w:rFonts w:hint="eastAsia" w:ascii="宋体" w:hAnsi="宋体" w:cs="宋体"/>
                <w:bCs/>
                <w:color w:val="auto"/>
                <w:sz w:val="24"/>
                <w:highlight w:val="none"/>
              </w:rPr>
              <w:t>号</w:t>
            </w:r>
            <w:r>
              <w:rPr>
                <w:rFonts w:ascii="宋体" w:hAnsi="宋体" w:cs="宋体"/>
                <w:bCs/>
                <w:color w:val="auto"/>
                <w:sz w:val="24"/>
                <w:highlight w:val="none"/>
              </w:rPr>
              <w:t>)</w:t>
            </w:r>
            <w:r>
              <w:rPr>
                <w:rFonts w:hint="eastAsia" w:ascii="宋体" w:hAnsi="宋体" w:cs="宋体"/>
                <w:bCs/>
                <w:color w:val="auto"/>
                <w:sz w:val="24"/>
                <w:highlight w:val="none"/>
              </w:rPr>
              <w:t>认定为监狱企业的，在政府采购活动中，监狱企业视同小型、微型企业。监狱企业以提供由省级以上监狱管理局、戒毒管理局</w:t>
            </w:r>
            <w:r>
              <w:rPr>
                <w:rFonts w:ascii="宋体" w:hAnsi="宋体" w:cs="宋体"/>
                <w:bCs/>
                <w:color w:val="auto"/>
                <w:sz w:val="24"/>
                <w:highlight w:val="none"/>
              </w:rPr>
              <w:t>(</w:t>
            </w:r>
            <w:r>
              <w:rPr>
                <w:rFonts w:hint="eastAsia" w:ascii="宋体" w:hAnsi="宋体" w:cs="宋体"/>
                <w:bCs/>
                <w:color w:val="auto"/>
                <w:sz w:val="24"/>
                <w:highlight w:val="none"/>
              </w:rPr>
              <w:t>含新疆生产建设兵团</w:t>
            </w:r>
            <w:r>
              <w:rPr>
                <w:rFonts w:ascii="宋体" w:hAnsi="宋体" w:cs="宋体"/>
                <w:bCs/>
                <w:color w:val="auto"/>
                <w:sz w:val="24"/>
                <w:highlight w:val="none"/>
              </w:rPr>
              <w:t>)</w:t>
            </w:r>
            <w:r>
              <w:rPr>
                <w:rFonts w:hint="eastAsia" w:ascii="宋体" w:hAnsi="宋体" w:cs="宋体"/>
                <w:bCs/>
                <w:color w:val="auto"/>
                <w:sz w:val="24"/>
                <w:highlight w:val="none"/>
              </w:rPr>
              <w:t>出具的属于监狱企业的证明文件为准。</w:t>
            </w:r>
          </w:p>
          <w:p w14:paraId="12520AB6">
            <w:pPr>
              <w:spacing w:line="360" w:lineRule="auto"/>
              <w:ind w:firstLine="480" w:firstLineChars="200"/>
              <w:rPr>
                <w:rFonts w:ascii="宋体"/>
                <w:color w:val="auto"/>
                <w:sz w:val="24"/>
                <w:highlight w:val="none"/>
              </w:rPr>
            </w:pPr>
            <w:r>
              <w:rPr>
                <w:rFonts w:hint="eastAsia" w:ascii="宋体" w:hAnsi="宋体" w:cs="宋体"/>
                <w:bCs/>
                <w:color w:val="auto"/>
                <w:sz w:val="24"/>
                <w:highlight w:val="none"/>
              </w:rPr>
              <w:t>（</w:t>
            </w:r>
            <w:r>
              <w:rPr>
                <w:rFonts w:ascii="宋体" w:hAnsi="宋体" w:cs="宋体"/>
                <w:bCs/>
                <w:color w:val="auto"/>
                <w:sz w:val="24"/>
                <w:highlight w:val="none"/>
              </w:rPr>
              <w:t>3</w:t>
            </w:r>
            <w:r>
              <w:rPr>
                <w:rFonts w:hint="eastAsia" w:ascii="宋体" w:hAnsi="宋体" w:cs="宋体"/>
                <w:bCs/>
                <w:color w:val="auto"/>
                <w:sz w:val="24"/>
                <w:highlight w:val="none"/>
              </w:rPr>
              <w:t>）磋商供应商提供企业按《关于促进残疾人就业政府采购政策的通知》</w:t>
            </w:r>
            <w:r>
              <w:rPr>
                <w:rFonts w:ascii="宋体" w:hAnsi="宋体" w:cs="宋体"/>
                <w:bCs/>
                <w:color w:val="auto"/>
                <w:sz w:val="24"/>
                <w:highlight w:val="none"/>
              </w:rPr>
              <w:t>(</w:t>
            </w:r>
            <w:r>
              <w:rPr>
                <w:rFonts w:hint="eastAsia" w:ascii="宋体" w:hAnsi="宋体" w:cs="宋体"/>
                <w:bCs/>
                <w:color w:val="auto"/>
                <w:sz w:val="24"/>
                <w:highlight w:val="none"/>
              </w:rPr>
              <w:t>财库〔</w:t>
            </w:r>
            <w:r>
              <w:rPr>
                <w:rFonts w:ascii="宋体" w:hAnsi="宋体" w:cs="宋体"/>
                <w:bCs/>
                <w:color w:val="auto"/>
                <w:sz w:val="24"/>
                <w:highlight w:val="none"/>
              </w:rPr>
              <w:t>2017</w:t>
            </w:r>
            <w:r>
              <w:rPr>
                <w:rFonts w:hint="eastAsia" w:ascii="宋体" w:hAnsi="宋体" w:cs="宋体"/>
                <w:bCs/>
                <w:color w:val="auto"/>
                <w:sz w:val="24"/>
                <w:highlight w:val="none"/>
              </w:rPr>
              <w:t>〕</w:t>
            </w:r>
            <w:r>
              <w:rPr>
                <w:rFonts w:ascii="宋体" w:hAnsi="宋体" w:cs="宋体"/>
                <w:bCs/>
                <w:color w:val="auto"/>
                <w:sz w:val="24"/>
                <w:highlight w:val="none"/>
              </w:rPr>
              <w:t>141</w:t>
            </w:r>
            <w:r>
              <w:rPr>
                <w:rFonts w:hint="eastAsia" w:ascii="宋体" w:hAnsi="宋体" w:cs="宋体"/>
                <w:bCs/>
                <w:color w:val="auto"/>
                <w:sz w:val="24"/>
                <w:highlight w:val="none"/>
              </w:rPr>
              <w:t>号</w:t>
            </w:r>
            <w:r>
              <w:rPr>
                <w:rFonts w:ascii="宋体" w:hAnsi="宋体" w:cs="宋体"/>
                <w:bCs/>
                <w:color w:val="auto"/>
                <w:sz w:val="24"/>
                <w:highlight w:val="none"/>
              </w:rPr>
              <w:t>)</w:t>
            </w:r>
            <w:r>
              <w:rPr>
                <w:rFonts w:hint="eastAsia" w:ascii="宋体" w:hAnsi="宋体" w:cs="宋体"/>
                <w:bCs/>
                <w:color w:val="auto"/>
                <w:sz w:val="24"/>
                <w:highlight w:val="none"/>
              </w:rPr>
              <w:t>认定为残疾人福利性单位的，在政府采购活动中，残疾人福利性单位视同小型、微型企业。残疾人福利性单位参加政府采购活动时，应当提供该通知规定的《残疾人福利性单位声明函》，并对声明的真实性负责。</w:t>
            </w:r>
          </w:p>
        </w:tc>
      </w:tr>
      <w:tr w14:paraId="223317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jc w:val="center"/>
        </w:trPr>
        <w:tc>
          <w:tcPr>
            <w:tcW w:w="780" w:type="dxa"/>
            <w:vAlign w:val="center"/>
          </w:tcPr>
          <w:p w14:paraId="650A4885">
            <w:pPr>
              <w:spacing w:line="360" w:lineRule="auto"/>
              <w:jc w:val="center"/>
              <w:rPr>
                <w:rFonts w:ascii="宋体"/>
                <w:color w:val="auto"/>
                <w:sz w:val="24"/>
                <w:highlight w:val="none"/>
              </w:rPr>
            </w:pPr>
            <w:r>
              <w:rPr>
                <w:rFonts w:ascii="宋体" w:hAnsi="宋体"/>
                <w:color w:val="auto"/>
                <w:sz w:val="24"/>
                <w:highlight w:val="none"/>
              </w:rPr>
              <w:t>3</w:t>
            </w:r>
          </w:p>
        </w:tc>
        <w:tc>
          <w:tcPr>
            <w:tcW w:w="1031" w:type="dxa"/>
            <w:vAlign w:val="center"/>
          </w:tcPr>
          <w:p w14:paraId="5F90FD21">
            <w:pPr>
              <w:spacing w:line="360" w:lineRule="auto"/>
              <w:jc w:val="center"/>
              <w:rPr>
                <w:rFonts w:ascii="宋体" w:cs="宋体"/>
                <w:color w:val="auto"/>
                <w:sz w:val="24"/>
                <w:highlight w:val="none"/>
              </w:rPr>
            </w:pPr>
            <w:r>
              <w:rPr>
                <w:rFonts w:hint="eastAsia" w:ascii="宋体" w:hAnsi="宋体" w:cs="宋体"/>
                <w:color w:val="auto"/>
                <w:sz w:val="24"/>
                <w:highlight w:val="none"/>
              </w:rPr>
              <w:t>商务分</w:t>
            </w:r>
          </w:p>
          <w:p w14:paraId="663594FE">
            <w:pPr>
              <w:spacing w:line="360" w:lineRule="auto"/>
              <w:jc w:val="center"/>
              <w:rPr>
                <w:rFonts w:ascii="宋体"/>
                <w:color w:val="auto"/>
                <w:sz w:val="24"/>
                <w:highlight w:val="none"/>
              </w:rPr>
            </w:pPr>
            <w:r>
              <w:rPr>
                <w:rFonts w:ascii="宋体" w:hAnsi="宋体" w:cs="宋体"/>
                <w:color w:val="auto"/>
                <w:sz w:val="24"/>
                <w:highlight w:val="none"/>
              </w:rPr>
              <w:t>(</w:t>
            </w:r>
            <w:r>
              <w:rPr>
                <w:rFonts w:hint="eastAsia" w:ascii="宋体" w:hAnsi="宋体" w:cs="宋体"/>
                <w:color w:val="auto"/>
                <w:sz w:val="24"/>
                <w:highlight w:val="none"/>
                <w:lang w:val="en-US" w:eastAsia="zh-CN"/>
              </w:rPr>
              <w:t>12</w:t>
            </w:r>
            <w:r>
              <w:rPr>
                <w:rFonts w:hint="eastAsia" w:ascii="宋体" w:hAnsi="宋体" w:cs="宋体"/>
                <w:color w:val="auto"/>
                <w:sz w:val="24"/>
                <w:highlight w:val="none"/>
              </w:rPr>
              <w:t>分</w:t>
            </w:r>
            <w:r>
              <w:rPr>
                <w:rFonts w:ascii="宋体" w:hAnsi="宋体" w:cs="宋体"/>
                <w:color w:val="auto"/>
                <w:sz w:val="24"/>
                <w:highlight w:val="none"/>
              </w:rPr>
              <w:t>)</w:t>
            </w:r>
          </w:p>
        </w:tc>
        <w:tc>
          <w:tcPr>
            <w:tcW w:w="7725" w:type="dxa"/>
            <w:gridSpan w:val="3"/>
            <w:vAlign w:val="center"/>
          </w:tcPr>
          <w:p w14:paraId="301092E7">
            <w:pPr>
              <w:spacing w:line="360" w:lineRule="auto"/>
              <w:rPr>
                <w:rFonts w:ascii="宋体"/>
                <w:b/>
                <w:color w:val="auto"/>
                <w:sz w:val="24"/>
                <w:highlight w:val="none"/>
              </w:rPr>
            </w:pPr>
            <w:r>
              <w:rPr>
                <w:rFonts w:hint="eastAsia" w:ascii="宋体" w:hAnsi="宋体"/>
                <w:b/>
                <w:color w:val="auto"/>
                <w:kern w:val="0"/>
                <w:szCs w:val="18"/>
                <w:highlight w:val="none"/>
                <w:lang w:val="en-US" w:eastAsia="zh-CN"/>
              </w:rPr>
              <w:t>1.</w:t>
            </w:r>
            <w:r>
              <w:rPr>
                <w:rFonts w:hint="eastAsia" w:ascii="宋体" w:hAnsi="宋体"/>
                <w:b/>
                <w:color w:val="auto"/>
                <w:sz w:val="24"/>
                <w:highlight w:val="none"/>
              </w:rPr>
              <w:t>业绩分（满分</w:t>
            </w:r>
            <w:r>
              <w:rPr>
                <w:rFonts w:hint="eastAsia" w:ascii="宋体" w:hAnsi="宋体"/>
                <w:b/>
                <w:color w:val="auto"/>
                <w:sz w:val="24"/>
                <w:highlight w:val="none"/>
                <w:lang w:val="en-US" w:eastAsia="zh-CN"/>
              </w:rPr>
              <w:t>5</w:t>
            </w:r>
            <w:r>
              <w:rPr>
                <w:rFonts w:hint="eastAsia" w:ascii="宋体" w:hAnsi="宋体"/>
                <w:b/>
                <w:color w:val="auto"/>
                <w:sz w:val="24"/>
                <w:highlight w:val="none"/>
              </w:rPr>
              <w:t>分）</w:t>
            </w:r>
          </w:p>
          <w:p w14:paraId="19732AA8">
            <w:pPr>
              <w:widowControl/>
              <w:spacing w:line="360" w:lineRule="auto"/>
              <w:ind w:firstLine="480" w:firstLineChars="200"/>
              <w:jc w:val="left"/>
              <w:rPr>
                <w:rFonts w:hint="eastAsia" w:ascii="宋体" w:hAnsi="宋体"/>
                <w:color w:val="auto"/>
                <w:sz w:val="24"/>
                <w:highlight w:val="none"/>
              </w:rPr>
            </w:pPr>
            <w:r>
              <w:rPr>
                <w:rFonts w:hint="eastAsia" w:ascii="宋体" w:hAnsi="宋体"/>
                <w:color w:val="auto"/>
                <w:sz w:val="24"/>
                <w:highlight w:val="none"/>
              </w:rPr>
              <w:t>2022 年 1 月 1 日至提交响应文件截止日供应商承接过</w:t>
            </w:r>
            <w:r>
              <w:rPr>
                <w:rFonts w:hint="eastAsia" w:ascii="宋体" w:hAnsi="宋体"/>
                <w:color w:val="auto"/>
                <w:sz w:val="24"/>
                <w:highlight w:val="none"/>
                <w:lang w:val="en-US" w:eastAsia="zh-CN"/>
              </w:rPr>
              <w:t>类似</w:t>
            </w:r>
            <w:r>
              <w:rPr>
                <w:rFonts w:hint="eastAsia" w:ascii="宋体" w:hAnsi="宋体"/>
                <w:color w:val="auto"/>
                <w:sz w:val="24"/>
                <w:highlight w:val="none"/>
              </w:rPr>
              <w:t>项目业绩，每提供 1 份符合要求的业绩得 1 分，满分 5 分。</w:t>
            </w:r>
          </w:p>
          <w:p w14:paraId="051B101A">
            <w:pPr>
              <w:widowControl/>
              <w:spacing w:line="360" w:lineRule="auto"/>
              <w:ind w:firstLine="480" w:firstLineChars="200"/>
              <w:jc w:val="left"/>
              <w:rPr>
                <w:rFonts w:hint="eastAsia" w:ascii="宋体" w:hAnsi="宋体"/>
                <w:color w:val="auto"/>
                <w:sz w:val="24"/>
                <w:highlight w:val="none"/>
              </w:rPr>
            </w:pPr>
            <w:r>
              <w:rPr>
                <w:rFonts w:hint="eastAsia" w:ascii="宋体" w:hAnsi="宋体"/>
                <w:color w:val="auto"/>
                <w:sz w:val="24"/>
                <w:highlight w:val="none"/>
              </w:rPr>
              <w:t>(注：类似工程</w:t>
            </w:r>
            <w:r>
              <w:rPr>
                <w:rFonts w:hint="eastAsia" w:ascii="宋体" w:hAnsi="宋体"/>
                <w:color w:val="auto"/>
                <w:sz w:val="24"/>
                <w:highlight w:val="none"/>
                <w:lang w:val="en-US" w:eastAsia="zh-CN"/>
              </w:rPr>
              <w:t>是指水利水电工程项目，</w:t>
            </w:r>
            <w:r>
              <w:rPr>
                <w:rFonts w:hint="eastAsia" w:ascii="宋体" w:hAnsi="宋体"/>
                <w:color w:val="auto"/>
                <w:sz w:val="24"/>
                <w:highlight w:val="none"/>
              </w:rPr>
              <w:t>项目业绩须提供中标(成交)通知书或合同等证明材料，日期以中标(成交)通知书或合同签订时间为准，复印件加盖供应商公章)。</w:t>
            </w:r>
          </w:p>
          <w:p w14:paraId="2B2EFC15">
            <w:pPr>
              <w:widowControl/>
              <w:spacing w:line="360" w:lineRule="auto"/>
              <w:jc w:val="left"/>
              <w:rPr>
                <w:rFonts w:hint="default" w:ascii="宋体" w:hAnsi="宋体"/>
                <w:b/>
                <w:bCs/>
                <w:color w:val="auto"/>
                <w:sz w:val="24"/>
                <w:highlight w:val="none"/>
                <w:lang w:val="en-US" w:eastAsia="zh-CN"/>
              </w:rPr>
            </w:pPr>
            <w:r>
              <w:rPr>
                <w:rFonts w:hint="eastAsia" w:ascii="宋体" w:hAnsi="宋体"/>
                <w:b/>
                <w:bCs/>
                <w:color w:val="auto"/>
                <w:sz w:val="24"/>
                <w:highlight w:val="none"/>
                <w:lang w:val="en-US" w:eastAsia="zh-CN"/>
              </w:rPr>
              <w:t>2.项目经理任职资格与业绩等（4分）</w:t>
            </w:r>
          </w:p>
          <w:p w14:paraId="6F357872">
            <w:pPr>
              <w:widowControl/>
              <w:spacing w:line="360" w:lineRule="auto"/>
              <w:ind w:firstLine="480" w:firstLineChars="200"/>
              <w:jc w:val="left"/>
              <w:rPr>
                <w:rFonts w:hint="eastAsia" w:ascii="宋体" w:hAnsi="宋体"/>
                <w:color w:val="auto"/>
                <w:sz w:val="24"/>
                <w:highlight w:val="none"/>
              </w:rPr>
            </w:pPr>
            <w:r>
              <w:rPr>
                <w:rFonts w:hint="eastAsia" w:ascii="宋体" w:hAnsi="宋体"/>
                <w:color w:val="auto"/>
                <w:sz w:val="24"/>
                <w:highlight w:val="none"/>
              </w:rPr>
              <w:t>拟派任项目经理（或注册建造师）必须与资格审查合格通过的项目经理（或注册建造师）在名称、专业、资格等方面一致。</w:t>
            </w:r>
          </w:p>
          <w:p w14:paraId="44F76ABB">
            <w:pPr>
              <w:widowControl/>
              <w:spacing w:line="360" w:lineRule="auto"/>
              <w:ind w:firstLine="480" w:firstLineChars="200"/>
              <w:jc w:val="left"/>
              <w:rPr>
                <w:rFonts w:hint="eastAsia" w:ascii="宋体" w:hAnsi="宋体"/>
                <w:color w:val="auto"/>
                <w:sz w:val="24"/>
                <w:highlight w:val="none"/>
              </w:rPr>
            </w:pPr>
            <w:r>
              <w:rPr>
                <w:rFonts w:hint="eastAsia" w:ascii="宋体" w:hAnsi="宋体"/>
                <w:color w:val="auto"/>
                <w:sz w:val="24"/>
                <w:highlight w:val="none"/>
                <w:lang w:val="en-US" w:eastAsia="zh-CN"/>
              </w:rPr>
              <w:t>（1）</w:t>
            </w:r>
            <w:r>
              <w:rPr>
                <w:rFonts w:hint="eastAsia" w:ascii="宋体" w:hAnsi="宋体"/>
                <w:color w:val="auto"/>
                <w:sz w:val="24"/>
                <w:highlight w:val="none"/>
              </w:rPr>
              <w:t>项目经理</w:t>
            </w:r>
            <w:r>
              <w:rPr>
                <w:rFonts w:hint="eastAsia" w:ascii="宋体" w:hAnsi="宋体"/>
                <w:color w:val="auto"/>
                <w:sz w:val="24"/>
                <w:highlight w:val="none"/>
                <w:lang w:val="en-US" w:eastAsia="zh-CN"/>
              </w:rPr>
              <w:t>职称</w:t>
            </w:r>
            <w:r>
              <w:rPr>
                <w:rFonts w:hint="eastAsia" w:ascii="宋体" w:hAnsi="宋体"/>
                <w:color w:val="auto"/>
                <w:sz w:val="24"/>
                <w:highlight w:val="none"/>
              </w:rPr>
              <w:t>：具备水利水电工程</w:t>
            </w:r>
            <w:r>
              <w:rPr>
                <w:rFonts w:hint="eastAsia" w:ascii="宋体" w:hAnsi="宋体"/>
                <w:color w:val="auto"/>
                <w:sz w:val="24"/>
                <w:highlight w:val="none"/>
                <w:lang w:val="en-US" w:eastAsia="zh-CN"/>
              </w:rPr>
              <w:t>中级职称的得1分，</w:t>
            </w:r>
            <w:r>
              <w:rPr>
                <w:rFonts w:hint="eastAsia" w:ascii="宋体" w:hAnsi="宋体"/>
                <w:color w:val="auto"/>
                <w:sz w:val="24"/>
                <w:highlight w:val="none"/>
              </w:rPr>
              <w:t>具备水利水电工程</w:t>
            </w:r>
            <w:r>
              <w:rPr>
                <w:rFonts w:hint="eastAsia" w:ascii="宋体" w:hAnsi="宋体"/>
                <w:color w:val="auto"/>
                <w:sz w:val="24"/>
                <w:highlight w:val="none"/>
                <w:lang w:val="en-US" w:eastAsia="zh-CN"/>
              </w:rPr>
              <w:t>副高级及以上职称的</w:t>
            </w:r>
            <w:r>
              <w:rPr>
                <w:rFonts w:hint="eastAsia" w:ascii="宋体" w:hAnsi="宋体"/>
                <w:color w:val="auto"/>
                <w:sz w:val="24"/>
                <w:highlight w:val="none"/>
              </w:rPr>
              <w:t>得</w:t>
            </w:r>
            <w:r>
              <w:rPr>
                <w:rFonts w:hint="eastAsia" w:ascii="宋体" w:hAnsi="宋体"/>
                <w:color w:val="auto"/>
                <w:sz w:val="24"/>
                <w:highlight w:val="none"/>
                <w:lang w:val="en-US" w:eastAsia="zh-CN"/>
              </w:rPr>
              <w:t>2</w:t>
            </w:r>
            <w:r>
              <w:rPr>
                <w:rFonts w:hint="eastAsia" w:ascii="宋体" w:hAnsi="宋体"/>
                <w:color w:val="auto"/>
                <w:sz w:val="24"/>
                <w:highlight w:val="none"/>
              </w:rPr>
              <w:t>分；</w:t>
            </w:r>
          </w:p>
          <w:p w14:paraId="7FD0FE2C">
            <w:pPr>
              <w:widowControl/>
              <w:spacing w:line="360" w:lineRule="auto"/>
              <w:ind w:firstLine="480" w:firstLineChars="200"/>
              <w:jc w:val="left"/>
              <w:rPr>
                <w:rFonts w:hint="default" w:ascii="宋体" w:hAnsi="宋体" w:eastAsia="宋体"/>
                <w:color w:val="auto"/>
                <w:sz w:val="24"/>
                <w:highlight w:val="none"/>
                <w:lang w:val="en-US" w:eastAsia="zh-CN"/>
              </w:rPr>
            </w:pPr>
            <w:r>
              <w:rPr>
                <w:rFonts w:hint="eastAsia" w:ascii="宋体" w:hAnsi="宋体"/>
                <w:color w:val="auto"/>
                <w:sz w:val="24"/>
                <w:highlight w:val="none"/>
                <w:lang w:val="en-US" w:eastAsia="zh-CN"/>
              </w:rPr>
              <w:t>（2）项目经理业绩：项目经理具有类似项目业绩的，每具备一个得1分，满分2分。</w:t>
            </w:r>
          </w:p>
          <w:p w14:paraId="71191F18">
            <w:pPr>
              <w:widowControl/>
              <w:spacing w:line="360" w:lineRule="auto"/>
              <w:ind w:firstLine="480" w:firstLineChars="200"/>
              <w:jc w:val="left"/>
              <w:rPr>
                <w:rFonts w:hint="eastAsia" w:ascii="宋体" w:hAnsi="宋体"/>
                <w:b/>
                <w:bCs/>
                <w:color w:val="auto"/>
                <w:sz w:val="24"/>
                <w:highlight w:val="none"/>
                <w:lang w:val="en-US" w:eastAsia="zh-CN"/>
              </w:rPr>
            </w:pPr>
            <w:r>
              <w:rPr>
                <w:rFonts w:hint="eastAsia" w:ascii="宋体" w:hAnsi="宋体"/>
                <w:color w:val="auto"/>
                <w:sz w:val="24"/>
                <w:highlight w:val="none"/>
              </w:rPr>
              <w:t>(注：类似工程</w:t>
            </w:r>
            <w:r>
              <w:rPr>
                <w:rFonts w:hint="eastAsia" w:ascii="宋体" w:hAnsi="宋体"/>
                <w:color w:val="auto"/>
                <w:sz w:val="24"/>
                <w:highlight w:val="none"/>
                <w:lang w:val="en-US" w:eastAsia="zh-CN"/>
              </w:rPr>
              <w:t>是指水利水电工程项目，</w:t>
            </w:r>
            <w:r>
              <w:rPr>
                <w:rFonts w:hint="eastAsia" w:ascii="宋体" w:hAnsi="宋体"/>
                <w:color w:val="auto"/>
                <w:sz w:val="24"/>
                <w:highlight w:val="none"/>
              </w:rPr>
              <w:t>项目业绩须提供中标(成交)通知书或合同等证明材料，日期以中标(成交)通知书或合同签订时间为准，复印件加盖供应商公章</w:t>
            </w:r>
            <w:r>
              <w:rPr>
                <w:rFonts w:hint="eastAsia" w:ascii="宋体" w:hAnsi="宋体"/>
                <w:color w:val="auto"/>
                <w:sz w:val="24"/>
                <w:highlight w:val="none"/>
                <w:lang w:eastAsia="zh-CN"/>
              </w:rPr>
              <w:t>，</w:t>
            </w:r>
            <w:r>
              <w:rPr>
                <w:rFonts w:hint="eastAsia" w:ascii="宋体" w:hAnsi="宋体"/>
                <w:b/>
                <w:bCs/>
                <w:color w:val="auto"/>
                <w:sz w:val="24"/>
                <w:highlight w:val="none"/>
                <w:lang w:val="en-US" w:eastAsia="zh-CN"/>
              </w:rPr>
              <w:t>项目经理业绩与公司业绩重复的，不重复得分</w:t>
            </w:r>
            <w:r>
              <w:rPr>
                <w:rFonts w:hint="eastAsia" w:ascii="宋体" w:hAnsi="宋体"/>
                <w:color w:val="auto"/>
                <w:sz w:val="24"/>
                <w:highlight w:val="none"/>
              </w:rPr>
              <w:t>)。</w:t>
            </w:r>
          </w:p>
          <w:p w14:paraId="4167AE4E">
            <w:pPr>
              <w:widowControl/>
              <w:spacing w:line="360" w:lineRule="auto"/>
              <w:jc w:val="left"/>
              <w:rPr>
                <w:rFonts w:ascii="宋体"/>
                <w:b/>
                <w:bCs/>
                <w:color w:val="auto"/>
                <w:sz w:val="24"/>
                <w:highlight w:val="none"/>
              </w:rPr>
            </w:pPr>
            <w:r>
              <w:rPr>
                <w:rFonts w:hint="eastAsia" w:ascii="宋体" w:hAnsi="宋体"/>
                <w:b/>
                <w:bCs/>
                <w:color w:val="auto"/>
                <w:sz w:val="24"/>
                <w:highlight w:val="none"/>
                <w:lang w:val="en-US" w:eastAsia="zh-CN"/>
              </w:rPr>
              <w:t>3.</w:t>
            </w:r>
            <w:r>
              <w:rPr>
                <w:rFonts w:hint="eastAsia" w:ascii="宋体" w:hAnsi="宋体"/>
                <w:b/>
                <w:bCs/>
                <w:color w:val="auto"/>
                <w:sz w:val="24"/>
                <w:highlight w:val="none"/>
              </w:rPr>
              <w:t>团队人员分（满分</w:t>
            </w:r>
            <w:r>
              <w:rPr>
                <w:rFonts w:hint="eastAsia" w:ascii="宋体" w:hAnsi="宋体"/>
                <w:b/>
                <w:bCs/>
                <w:color w:val="auto"/>
                <w:sz w:val="24"/>
                <w:highlight w:val="none"/>
                <w:lang w:val="en-US" w:eastAsia="zh-CN"/>
              </w:rPr>
              <w:t>3</w:t>
            </w:r>
            <w:r>
              <w:rPr>
                <w:rFonts w:hint="eastAsia" w:ascii="宋体" w:hAnsi="宋体"/>
                <w:b/>
                <w:bCs/>
                <w:color w:val="auto"/>
                <w:sz w:val="24"/>
                <w:highlight w:val="none"/>
              </w:rPr>
              <w:t>分）</w:t>
            </w:r>
          </w:p>
          <w:p w14:paraId="2B0ED5C1">
            <w:pPr>
              <w:widowControl/>
              <w:spacing w:line="360" w:lineRule="auto"/>
              <w:ind w:firstLine="480" w:firstLineChars="200"/>
              <w:jc w:val="left"/>
              <w:rPr>
                <w:rFonts w:hint="eastAsia" w:ascii="宋体" w:hAnsi="宋体"/>
                <w:color w:val="auto"/>
                <w:sz w:val="24"/>
                <w:highlight w:val="none"/>
              </w:rPr>
            </w:pPr>
            <w:r>
              <w:rPr>
                <w:rFonts w:hint="eastAsia" w:ascii="宋体" w:hAnsi="宋体"/>
                <w:color w:val="auto"/>
                <w:sz w:val="24"/>
                <w:highlight w:val="none"/>
              </w:rPr>
              <w:t>人员齐备、专业配套，具备相关岗位证书，拟派驻本项目的技术负责人应具有中级及以上职称证件，安全员、施工员、质量员、材料员、资料员应具有相应岗位资格证书，且拟投入的项目管理人员符合国家及广西壮族自治区的规定</w:t>
            </w:r>
            <w:r>
              <w:rPr>
                <w:rFonts w:hint="eastAsia" w:ascii="宋体" w:hAnsi="宋体"/>
                <w:color w:val="auto"/>
                <w:sz w:val="24"/>
                <w:highlight w:val="none"/>
                <w:lang w:eastAsia="zh-CN"/>
              </w:rPr>
              <w:t>，</w:t>
            </w:r>
            <w:r>
              <w:rPr>
                <w:rFonts w:hint="eastAsia" w:ascii="宋体" w:hAnsi="宋体"/>
                <w:color w:val="auto"/>
                <w:sz w:val="24"/>
                <w:highlight w:val="none"/>
              </w:rPr>
              <w:t>按以下标准计分：</w:t>
            </w:r>
          </w:p>
          <w:p w14:paraId="42E50F86">
            <w:pPr>
              <w:widowControl/>
              <w:spacing w:line="360" w:lineRule="auto"/>
              <w:ind w:firstLine="480" w:firstLineChars="200"/>
              <w:jc w:val="left"/>
              <w:rPr>
                <w:rFonts w:ascii="宋体"/>
                <w:color w:val="auto"/>
                <w:sz w:val="24"/>
                <w:highlight w:val="none"/>
              </w:rPr>
            </w:pPr>
            <w:r>
              <w:rPr>
                <w:rFonts w:hint="eastAsia" w:ascii="宋体" w:hAnsi="宋体"/>
                <w:color w:val="auto"/>
                <w:sz w:val="24"/>
                <w:highlight w:val="none"/>
                <w:lang w:val="en-US" w:eastAsia="zh-CN"/>
              </w:rPr>
              <w:t>（1）</w:t>
            </w:r>
            <w:r>
              <w:rPr>
                <w:rFonts w:hint="eastAsia" w:ascii="宋体" w:hAnsi="宋体"/>
                <w:color w:val="auto"/>
                <w:sz w:val="24"/>
                <w:highlight w:val="none"/>
              </w:rPr>
              <w:t>拟投入本工程的安全员、施工员、质量员、材料员、资料员具有初级职称的，每人得0.5分，中级及以上职称的每人得1分，满分</w:t>
            </w:r>
            <w:r>
              <w:rPr>
                <w:rFonts w:hint="eastAsia" w:ascii="宋体" w:hAnsi="宋体"/>
                <w:color w:val="auto"/>
                <w:sz w:val="24"/>
                <w:highlight w:val="none"/>
                <w:lang w:val="en-US" w:eastAsia="zh-CN"/>
              </w:rPr>
              <w:t>3</w:t>
            </w:r>
            <w:r>
              <w:rPr>
                <w:rFonts w:hint="eastAsia" w:ascii="宋体" w:hAnsi="宋体"/>
                <w:color w:val="auto"/>
                <w:sz w:val="24"/>
                <w:highlight w:val="none"/>
              </w:rPr>
              <w:t>分。</w:t>
            </w:r>
          </w:p>
        </w:tc>
      </w:tr>
      <w:tr w14:paraId="6D8126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8" w:hRule="atLeast"/>
          <w:jc w:val="center"/>
        </w:trPr>
        <w:tc>
          <w:tcPr>
            <w:tcW w:w="1811" w:type="dxa"/>
            <w:gridSpan w:val="2"/>
            <w:vAlign w:val="center"/>
          </w:tcPr>
          <w:p w14:paraId="3541072E">
            <w:pPr>
              <w:spacing w:line="360" w:lineRule="auto"/>
              <w:jc w:val="center"/>
              <w:rPr>
                <w:rFonts w:ascii="宋体" w:cs="宋体"/>
                <w:color w:val="auto"/>
                <w:sz w:val="24"/>
                <w:highlight w:val="none"/>
              </w:rPr>
            </w:pPr>
            <w:r>
              <w:rPr>
                <w:rFonts w:hint="eastAsia" w:ascii="宋体" w:hAnsi="宋体" w:cs="宋体"/>
                <w:color w:val="auto"/>
                <w:sz w:val="24"/>
                <w:highlight w:val="none"/>
              </w:rPr>
              <w:t>磋商供应商汇总得分</w:t>
            </w:r>
          </w:p>
          <w:p w14:paraId="4DE1F3EC">
            <w:pPr>
              <w:spacing w:line="360" w:lineRule="auto"/>
              <w:jc w:val="center"/>
              <w:rPr>
                <w:rFonts w:ascii="宋体"/>
                <w:color w:val="auto"/>
                <w:sz w:val="24"/>
                <w:highlight w:val="none"/>
              </w:rPr>
            </w:pPr>
            <w:r>
              <w:rPr>
                <w:rFonts w:hint="eastAsia" w:ascii="宋体" w:hAnsi="宋体" w:cs="宋体"/>
                <w:color w:val="auto"/>
                <w:sz w:val="24"/>
                <w:highlight w:val="none"/>
              </w:rPr>
              <w:t>（满分</w:t>
            </w:r>
            <w:r>
              <w:rPr>
                <w:rFonts w:ascii="宋体" w:hAnsi="宋体" w:cs="宋体"/>
                <w:color w:val="auto"/>
                <w:sz w:val="24"/>
                <w:highlight w:val="none"/>
              </w:rPr>
              <w:t>100</w:t>
            </w:r>
            <w:r>
              <w:rPr>
                <w:rFonts w:hint="eastAsia" w:ascii="宋体" w:hAnsi="宋体" w:cs="宋体"/>
                <w:color w:val="auto"/>
                <w:sz w:val="24"/>
                <w:highlight w:val="none"/>
              </w:rPr>
              <w:t>分）</w:t>
            </w:r>
          </w:p>
        </w:tc>
        <w:tc>
          <w:tcPr>
            <w:tcW w:w="7725" w:type="dxa"/>
            <w:gridSpan w:val="3"/>
            <w:vAlign w:val="center"/>
          </w:tcPr>
          <w:p w14:paraId="198F52CF">
            <w:pPr>
              <w:spacing w:line="360" w:lineRule="auto"/>
              <w:jc w:val="center"/>
              <w:rPr>
                <w:rFonts w:ascii="宋体"/>
                <w:color w:val="auto"/>
                <w:sz w:val="24"/>
                <w:highlight w:val="none"/>
              </w:rPr>
            </w:pPr>
            <w:r>
              <w:rPr>
                <w:rFonts w:hint="eastAsia" w:ascii="宋体" w:hAnsi="宋体" w:cs="宋体"/>
                <w:color w:val="auto"/>
                <w:sz w:val="24"/>
                <w:highlight w:val="none"/>
              </w:rPr>
              <w:t>磋商供应商汇总得分</w:t>
            </w:r>
            <w:r>
              <w:rPr>
                <w:rFonts w:ascii="宋体" w:hAnsi="宋体"/>
                <w:color w:val="auto"/>
                <w:sz w:val="24"/>
                <w:highlight w:val="none"/>
              </w:rPr>
              <w:t>=</w:t>
            </w:r>
            <w:r>
              <w:rPr>
                <w:rFonts w:ascii="宋体" w:hAnsi="宋体" w:cs="宋体"/>
                <w:color w:val="auto"/>
                <w:sz w:val="24"/>
                <w:highlight w:val="none"/>
              </w:rPr>
              <w:t xml:space="preserve"> </w:t>
            </w:r>
            <w:r>
              <w:rPr>
                <w:rFonts w:hint="eastAsia" w:ascii="宋体" w:hAnsi="宋体" w:cs="宋体"/>
                <w:color w:val="auto"/>
                <w:sz w:val="24"/>
                <w:highlight w:val="none"/>
              </w:rPr>
              <w:t>技术分</w:t>
            </w:r>
            <w:r>
              <w:rPr>
                <w:rFonts w:ascii="宋体" w:hAnsi="宋体" w:cs="宋体"/>
                <w:color w:val="auto"/>
                <w:sz w:val="24"/>
                <w:highlight w:val="none"/>
              </w:rPr>
              <w:t xml:space="preserve"> </w:t>
            </w:r>
            <w:r>
              <w:rPr>
                <w:rFonts w:ascii="宋体" w:hAnsi="宋体"/>
                <w:color w:val="auto"/>
                <w:sz w:val="24"/>
                <w:highlight w:val="none"/>
              </w:rPr>
              <w:t>+</w:t>
            </w:r>
            <w:r>
              <w:rPr>
                <w:rFonts w:hint="eastAsia" w:ascii="宋体" w:hAnsi="宋体" w:cs="宋体"/>
                <w:color w:val="auto"/>
                <w:sz w:val="24"/>
                <w:highlight w:val="none"/>
              </w:rPr>
              <w:t>商务分</w:t>
            </w:r>
            <w:r>
              <w:rPr>
                <w:rFonts w:ascii="宋体" w:hAnsi="宋体" w:cs="宋体"/>
                <w:color w:val="auto"/>
                <w:sz w:val="24"/>
                <w:highlight w:val="none"/>
              </w:rPr>
              <w:t xml:space="preserve"> +</w:t>
            </w:r>
            <w:r>
              <w:rPr>
                <w:rFonts w:hint="eastAsia" w:ascii="宋体" w:hAnsi="宋体" w:cs="宋体"/>
                <w:color w:val="auto"/>
                <w:sz w:val="24"/>
                <w:highlight w:val="none"/>
              </w:rPr>
              <w:t>报价分</w:t>
            </w:r>
          </w:p>
        </w:tc>
      </w:tr>
      <w:tr w14:paraId="41DE35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 w:hRule="atLeast"/>
          <w:jc w:val="center"/>
        </w:trPr>
        <w:tc>
          <w:tcPr>
            <w:tcW w:w="9536" w:type="dxa"/>
            <w:gridSpan w:val="5"/>
            <w:vAlign w:val="center"/>
          </w:tcPr>
          <w:p w14:paraId="2133D431">
            <w:pPr>
              <w:spacing w:line="360" w:lineRule="auto"/>
              <w:rPr>
                <w:rFonts w:ascii="宋体"/>
                <w:color w:val="auto"/>
                <w:sz w:val="24"/>
                <w:highlight w:val="none"/>
              </w:rPr>
            </w:pPr>
            <w:r>
              <w:rPr>
                <w:rFonts w:hint="eastAsia" w:ascii="宋体" w:hAnsi="宋体"/>
                <w:color w:val="auto"/>
                <w:sz w:val="24"/>
                <w:highlight w:val="none"/>
              </w:rPr>
              <w:t>评标方法的设定要求：</w:t>
            </w:r>
          </w:p>
          <w:p w14:paraId="600C5684">
            <w:pPr>
              <w:spacing w:line="360" w:lineRule="auto"/>
              <w:ind w:firstLine="480" w:firstLineChars="200"/>
              <w:rPr>
                <w:rFonts w:ascii="宋体"/>
                <w:color w:val="auto"/>
                <w:sz w:val="24"/>
                <w:highlight w:val="none"/>
              </w:rPr>
            </w:pPr>
            <w:r>
              <w:rPr>
                <w:rFonts w:ascii="宋体" w:hAnsi="宋体"/>
                <w:color w:val="auto"/>
                <w:sz w:val="24"/>
                <w:highlight w:val="none"/>
              </w:rPr>
              <w:t>1.</w:t>
            </w:r>
            <w:r>
              <w:rPr>
                <w:rFonts w:hint="eastAsia" w:ascii="宋体" w:hAnsi="宋体"/>
                <w:color w:val="auto"/>
                <w:sz w:val="24"/>
                <w:highlight w:val="none"/>
              </w:rPr>
              <w:t>采购人应当建立公平竞争审查机制，制定评标方法，应当进行公平竞争审查，促进市场公平竞争，优化营商环境，建设全国统一大市场。制定的评标方法不得设置限制公平竞争的评审因素。</w:t>
            </w:r>
          </w:p>
          <w:p w14:paraId="7EC63001">
            <w:pPr>
              <w:spacing w:line="360" w:lineRule="auto"/>
              <w:ind w:firstLine="480" w:firstLineChars="200"/>
              <w:rPr>
                <w:rFonts w:ascii="宋体"/>
                <w:color w:val="auto"/>
                <w:sz w:val="24"/>
                <w:highlight w:val="none"/>
              </w:rPr>
            </w:pPr>
            <w:r>
              <w:rPr>
                <w:rFonts w:ascii="宋体" w:hAnsi="宋体"/>
                <w:color w:val="auto"/>
                <w:sz w:val="24"/>
                <w:highlight w:val="none"/>
              </w:rPr>
              <w:t>2.</w:t>
            </w:r>
            <w:r>
              <w:rPr>
                <w:rFonts w:hint="eastAsia" w:ascii="宋体" w:hAnsi="宋体"/>
                <w:color w:val="auto"/>
                <w:sz w:val="24"/>
                <w:highlight w:val="none"/>
              </w:rPr>
              <w:t>评审因素应当按照采购需求和与实现项目目标相关的其他因素确定。采购需求客观、明确的采购项目，采购需求中客观但不可量化的指标应当作为实质性要求，不得作为评分项；参与评分的指标应当是采购需求中的量化指标，评分项应当按照量化指标的等次，设置对应的不同分值。不能完全确定客观指标，需由供应商提供设计方案、解决方案或者组织方案的采购项目，可以结合需求调查的情况，尽可能明确不同技术路线、组织形式及相关指标的重要性和优先级，设定客观、量化的评审因素、分值和权重。价格因素应当按照相关规定确定分值和权重。</w:t>
            </w:r>
          </w:p>
          <w:p w14:paraId="3FBC63BA">
            <w:pPr>
              <w:spacing w:line="360" w:lineRule="auto"/>
              <w:ind w:firstLine="480" w:firstLineChars="200"/>
              <w:rPr>
                <w:rFonts w:ascii="宋体"/>
                <w:color w:val="auto"/>
                <w:sz w:val="24"/>
                <w:highlight w:val="none"/>
              </w:rPr>
            </w:pPr>
            <w:r>
              <w:rPr>
                <w:rFonts w:ascii="宋体" w:hAnsi="宋体"/>
                <w:color w:val="auto"/>
                <w:sz w:val="24"/>
                <w:highlight w:val="none"/>
              </w:rPr>
              <w:t>3.</w:t>
            </w:r>
            <w:r>
              <w:rPr>
                <w:rFonts w:hint="eastAsia" w:ascii="宋体" w:hAnsi="宋体"/>
                <w:color w:val="auto"/>
                <w:sz w:val="24"/>
                <w:highlight w:val="none"/>
              </w:rPr>
              <w:t>需由供应商提供设计方案、解决方案或者组织方案，且供应商经验和能力对履约有直接影响的，如订购、设计等采购项目，可以在评审因素中适当考虑供应商的履约能力要求，并合理设置分值和权重。需由供应商提供设计方案、解决方案或者组织方案，采购人认为有必要考虑全生命周期成本的，可以明确使用年限，要求供应商报出安装调试费用、使用期间能源管理、废弃处置等全生命周期成本，作为评审时考虑的因素。</w:t>
            </w:r>
          </w:p>
          <w:p w14:paraId="4DE73DAC">
            <w:pPr>
              <w:spacing w:line="360" w:lineRule="auto"/>
              <w:ind w:firstLine="480" w:firstLineChars="200"/>
              <w:rPr>
                <w:rFonts w:ascii="宋体"/>
                <w:color w:val="auto"/>
                <w:sz w:val="24"/>
                <w:highlight w:val="none"/>
              </w:rPr>
            </w:pPr>
            <w:r>
              <w:rPr>
                <w:rFonts w:ascii="宋体" w:hAnsi="宋体"/>
                <w:color w:val="auto"/>
                <w:sz w:val="24"/>
                <w:highlight w:val="none"/>
              </w:rPr>
              <w:t>4.</w:t>
            </w:r>
            <w:r>
              <w:rPr>
                <w:rFonts w:hint="eastAsia" w:ascii="宋体" w:hAnsi="宋体"/>
                <w:color w:val="auto"/>
                <w:sz w:val="24"/>
                <w:highlight w:val="none"/>
              </w:rPr>
              <w:t>评审因素不得设置《北海市政府采购负面清单》所禁止的条款。</w:t>
            </w:r>
          </w:p>
          <w:p w14:paraId="18B85C07">
            <w:pPr>
              <w:spacing w:line="360" w:lineRule="auto"/>
              <w:ind w:firstLine="480" w:firstLineChars="200"/>
              <w:rPr>
                <w:rFonts w:ascii="宋体"/>
                <w:color w:val="auto"/>
                <w:sz w:val="24"/>
                <w:highlight w:val="none"/>
              </w:rPr>
            </w:pPr>
            <w:r>
              <w:rPr>
                <w:rFonts w:ascii="宋体" w:hAnsi="宋体"/>
                <w:color w:val="auto"/>
                <w:sz w:val="24"/>
                <w:highlight w:val="none"/>
              </w:rPr>
              <w:t>5.</w:t>
            </w:r>
            <w:r>
              <w:rPr>
                <w:rFonts w:hint="eastAsia" w:ascii="宋体" w:hAnsi="宋体"/>
                <w:color w:val="auto"/>
                <w:sz w:val="24"/>
                <w:highlight w:val="none"/>
              </w:rPr>
              <w:t>评审因素的设定应当与磋商供应商所提供货物、服务或工程的质量相关，包括磋商报价、技术或者服务水平、履约能力、售后服务等。资格条件不得作为评审因素。评审因素应当在磋商文件中规定。不得将磋商供应商的注册资本、资产总额、营业收入、从业人员、利润、纳税额等规模条件作为评审因素。</w:t>
            </w:r>
          </w:p>
          <w:p w14:paraId="1C0D9636">
            <w:pPr>
              <w:spacing w:line="360" w:lineRule="auto"/>
              <w:ind w:firstLine="480" w:firstLineChars="200"/>
              <w:rPr>
                <w:rFonts w:ascii="宋体" w:cs="宋体"/>
                <w:color w:val="auto"/>
                <w:sz w:val="24"/>
                <w:highlight w:val="none"/>
              </w:rPr>
            </w:pPr>
            <w:r>
              <w:rPr>
                <w:rFonts w:ascii="宋体" w:hAnsi="宋体"/>
                <w:color w:val="auto"/>
                <w:sz w:val="24"/>
                <w:highlight w:val="none"/>
              </w:rPr>
              <w:t>6.</w:t>
            </w:r>
            <w:r>
              <w:rPr>
                <w:rFonts w:hint="eastAsia" w:ascii="宋体" w:hAnsi="宋体"/>
                <w:color w:val="auto"/>
                <w:sz w:val="24"/>
                <w:highlight w:val="none"/>
              </w:rPr>
              <w:t>评审因素要严格落实以下政府采购政策：（</w:t>
            </w:r>
            <w:r>
              <w:rPr>
                <w:rFonts w:ascii="宋体" w:hAnsi="宋体"/>
                <w:color w:val="auto"/>
                <w:sz w:val="24"/>
                <w:highlight w:val="none"/>
              </w:rPr>
              <w:t>1</w:t>
            </w:r>
            <w:r>
              <w:rPr>
                <w:rFonts w:hint="eastAsia" w:ascii="宋体" w:hAnsi="宋体"/>
                <w:color w:val="auto"/>
                <w:sz w:val="24"/>
                <w:highlight w:val="none"/>
              </w:rPr>
              <w:t>）支持采用本国产品：政府采购应当采购本国产品，确需采购进口产品的，实行审核管理。优先采购向我国企业转让技术、与我国企业签订消化吸收再创新方案的供应商的进口产品。（</w:t>
            </w:r>
            <w:r>
              <w:rPr>
                <w:rFonts w:ascii="宋体" w:hAnsi="宋体"/>
                <w:color w:val="auto"/>
                <w:sz w:val="24"/>
                <w:highlight w:val="none"/>
              </w:rPr>
              <w:t>2</w:t>
            </w:r>
            <w:r>
              <w:rPr>
                <w:rFonts w:hint="eastAsia" w:ascii="宋体" w:hAnsi="宋体"/>
                <w:color w:val="auto"/>
                <w:sz w:val="24"/>
                <w:highlight w:val="none"/>
              </w:rPr>
              <w:t>）支持绿色发展：落实强制采购节能产品、鼓励节能政策；鼓励环保政策；推广使用绿色包装；采购绿色建材等。（</w:t>
            </w:r>
            <w:r>
              <w:rPr>
                <w:rFonts w:ascii="宋体" w:hAnsi="宋体"/>
                <w:color w:val="auto"/>
                <w:sz w:val="24"/>
                <w:highlight w:val="none"/>
              </w:rPr>
              <w:t>3</w:t>
            </w:r>
            <w:r>
              <w:rPr>
                <w:rFonts w:hint="eastAsia" w:ascii="宋体" w:hAnsi="宋体"/>
                <w:color w:val="auto"/>
                <w:sz w:val="24"/>
                <w:highlight w:val="none"/>
              </w:rPr>
              <w:t>）支持中小企业发展：采购限额标准以上，</w:t>
            </w:r>
            <w:r>
              <w:rPr>
                <w:rFonts w:ascii="宋体" w:hAnsi="宋体"/>
                <w:color w:val="auto"/>
                <w:sz w:val="24"/>
                <w:highlight w:val="none"/>
              </w:rPr>
              <w:t xml:space="preserve">200 </w:t>
            </w:r>
            <w:r>
              <w:rPr>
                <w:rFonts w:hint="eastAsia" w:ascii="宋体" w:hAnsi="宋体"/>
                <w:color w:val="auto"/>
                <w:sz w:val="24"/>
                <w:highlight w:val="none"/>
              </w:rPr>
              <w:t>万元以下的货物和服务采购项目、</w:t>
            </w:r>
            <w:r>
              <w:rPr>
                <w:rFonts w:ascii="宋体" w:hAnsi="宋体"/>
                <w:color w:val="auto"/>
                <w:sz w:val="24"/>
                <w:highlight w:val="none"/>
              </w:rPr>
              <w:t>400</w:t>
            </w:r>
            <w:r>
              <w:rPr>
                <w:rFonts w:hint="eastAsia" w:ascii="宋体" w:hAnsi="宋体"/>
                <w:color w:val="auto"/>
                <w:sz w:val="24"/>
                <w:highlight w:val="none"/>
              </w:rPr>
              <w:t>万元以下的工程采购项目，适宜由中小企业提供的，采购人应当专门面向中小企业采购。超过</w:t>
            </w:r>
            <w:r>
              <w:rPr>
                <w:rFonts w:ascii="宋体" w:hAnsi="宋体"/>
                <w:color w:val="auto"/>
                <w:sz w:val="24"/>
                <w:highlight w:val="none"/>
              </w:rPr>
              <w:t xml:space="preserve"> 200</w:t>
            </w:r>
            <w:r>
              <w:rPr>
                <w:rFonts w:hint="eastAsia" w:ascii="宋体" w:hAnsi="宋体"/>
                <w:color w:val="auto"/>
                <w:sz w:val="24"/>
                <w:highlight w:val="none"/>
              </w:rPr>
              <w:t>万元的货物和服务采购项目、超过</w:t>
            </w:r>
            <w:r>
              <w:rPr>
                <w:rFonts w:ascii="宋体" w:hAnsi="宋体"/>
                <w:color w:val="auto"/>
                <w:sz w:val="24"/>
                <w:highlight w:val="none"/>
              </w:rPr>
              <w:t xml:space="preserve">400 </w:t>
            </w:r>
            <w:r>
              <w:rPr>
                <w:rFonts w:hint="eastAsia" w:ascii="宋体" w:hAnsi="宋体"/>
                <w:color w:val="auto"/>
                <w:sz w:val="24"/>
                <w:highlight w:val="none"/>
              </w:rPr>
              <w:t>万元的工程采购项目中适宜由中小企业提供的，预留该部分采购项目预算总额的</w:t>
            </w:r>
            <w:r>
              <w:rPr>
                <w:rFonts w:ascii="宋体" w:hAnsi="宋体"/>
                <w:color w:val="auto"/>
                <w:sz w:val="24"/>
                <w:highlight w:val="none"/>
              </w:rPr>
              <w:t xml:space="preserve"> 30%</w:t>
            </w:r>
            <w:r>
              <w:rPr>
                <w:rFonts w:hint="eastAsia" w:ascii="宋体" w:hAnsi="宋体"/>
                <w:color w:val="auto"/>
                <w:sz w:val="24"/>
                <w:highlight w:val="none"/>
              </w:rPr>
              <w:t>以上专门面向中小企业采购，其中预留给小微企业的比例不低于</w:t>
            </w:r>
            <w:r>
              <w:rPr>
                <w:rFonts w:ascii="宋体" w:hAnsi="宋体"/>
                <w:color w:val="auto"/>
                <w:sz w:val="24"/>
                <w:highlight w:val="none"/>
              </w:rPr>
              <w:t>60%</w:t>
            </w:r>
            <w:r>
              <w:rPr>
                <w:rFonts w:hint="eastAsia" w:ascii="宋体" w:hAnsi="宋体"/>
                <w:color w:val="auto"/>
                <w:sz w:val="24"/>
                <w:highlight w:val="none"/>
              </w:rPr>
              <w:t>。对于未预留份额专门面向中小企业采购的政府采购项目，以及预留份额政府采购项目中的非预留部分标项，对小型和微型企业的磋商报价给予</w:t>
            </w:r>
            <w:r>
              <w:rPr>
                <w:rFonts w:ascii="宋体" w:hAnsi="宋体"/>
                <w:color w:val="auto"/>
                <w:sz w:val="24"/>
                <w:highlight w:val="none"/>
              </w:rPr>
              <w:t>5%</w:t>
            </w:r>
            <w:r>
              <w:rPr>
                <w:rFonts w:hint="eastAsia" w:ascii="宋体" w:hAnsi="宋体"/>
                <w:color w:val="auto"/>
                <w:sz w:val="24"/>
                <w:highlight w:val="none"/>
              </w:rPr>
              <w:t>的扣除，用扣除后的价格参与评审。（</w:t>
            </w:r>
            <w:r>
              <w:rPr>
                <w:rFonts w:ascii="宋体" w:hAnsi="宋体"/>
                <w:color w:val="auto"/>
                <w:sz w:val="24"/>
                <w:highlight w:val="none"/>
              </w:rPr>
              <w:t>4</w:t>
            </w:r>
            <w:r>
              <w:rPr>
                <w:rFonts w:hint="eastAsia" w:ascii="宋体" w:hAnsi="宋体"/>
                <w:color w:val="auto"/>
                <w:sz w:val="24"/>
                <w:highlight w:val="none"/>
              </w:rPr>
              <w:t>）支持监狱企业、残疾人福利性单位发展：监狱企业、残疾人福利性单位视同小型和微型企业。（</w:t>
            </w:r>
            <w:r>
              <w:rPr>
                <w:rFonts w:ascii="宋体" w:hAnsi="宋体"/>
                <w:color w:val="auto"/>
                <w:sz w:val="24"/>
                <w:highlight w:val="none"/>
              </w:rPr>
              <w:t>5</w:t>
            </w:r>
            <w:r>
              <w:rPr>
                <w:rFonts w:hint="eastAsia" w:ascii="宋体" w:hAnsi="宋体"/>
                <w:color w:val="auto"/>
                <w:sz w:val="24"/>
                <w:highlight w:val="none"/>
              </w:rPr>
              <w:t>）支持创新发展：优先采购被认定为首台套产品和“制造精品”的自主创新产品。（</w:t>
            </w:r>
            <w:r>
              <w:rPr>
                <w:rFonts w:ascii="宋体" w:hAnsi="宋体"/>
                <w:color w:val="auto"/>
                <w:sz w:val="24"/>
                <w:highlight w:val="none"/>
              </w:rPr>
              <w:t>6</w:t>
            </w:r>
            <w:r>
              <w:rPr>
                <w:rFonts w:hint="eastAsia" w:ascii="宋体" w:hAnsi="宋体"/>
                <w:color w:val="auto"/>
                <w:sz w:val="24"/>
                <w:highlight w:val="none"/>
              </w:rPr>
              <w:t>）平等对待内外资企业和符合条件的破产重整企业。</w:t>
            </w:r>
          </w:p>
        </w:tc>
      </w:tr>
    </w:tbl>
    <w:p w14:paraId="11AFD988">
      <w:pPr>
        <w:spacing w:line="360" w:lineRule="auto"/>
        <w:rPr>
          <w:rFonts w:hint="eastAsia" w:ascii="宋体" w:hAnsi="宋体"/>
          <w:b/>
          <w:bCs/>
          <w:color w:val="auto"/>
          <w:sz w:val="24"/>
          <w:highlight w:val="none"/>
        </w:rPr>
      </w:pPr>
    </w:p>
    <w:p w14:paraId="53476889">
      <w:pPr>
        <w:spacing w:line="360" w:lineRule="auto"/>
        <w:ind w:firstLine="482" w:firstLineChars="200"/>
        <w:rPr>
          <w:rFonts w:ascii="宋体" w:hAnsi="宋体"/>
          <w:b/>
          <w:bCs/>
          <w:color w:val="auto"/>
          <w:sz w:val="24"/>
          <w:highlight w:val="none"/>
        </w:rPr>
      </w:pPr>
      <w:r>
        <w:rPr>
          <w:rFonts w:hint="eastAsia" w:ascii="宋体" w:hAnsi="宋体"/>
          <w:b/>
          <w:bCs/>
          <w:color w:val="auto"/>
          <w:sz w:val="24"/>
          <w:highlight w:val="none"/>
        </w:rPr>
        <w:t>三、推荐成交候选供应商原则</w:t>
      </w:r>
    </w:p>
    <w:p w14:paraId="5347688A">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根据《财政部关于政府采购竞争性磋商采购方式管理暂行办法有关问题的补充通知》财库[2015]124号文件的规定，采购过程中符合要求的供应商只有2家的，竞争性磋商采购活动可以继续进行。</w:t>
      </w:r>
    </w:p>
    <w:p w14:paraId="5347688B">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磋商小组将根据得分由高到低排列次序（得分相同时，以磋商报价由低到高顺序排列；得分相同且磋商报价相同的，按技术指标优劣顺序排列）并推荐三名成交候选供应商。采购单位应当确定磋商小组推荐排名第一的成交候选人为成交人。排名第一的成交候选人放弃成交、因不可抗力提出不能履行合同，或者磋商文件规定应当提交履约保证金而在规定的期限内未能提交的，采购单位可以确定排名第二的成交候选人为成交人。排名第二的成交候选人因前款规定的同样原因不能签订合同的，采购单位可以确定排名第三的成交候选人为成交人。</w:t>
      </w:r>
    </w:p>
    <w:p w14:paraId="5347688C">
      <w:pPr>
        <w:pStyle w:val="23"/>
        <w:adjustRightInd w:val="0"/>
        <w:spacing w:line="360" w:lineRule="auto"/>
        <w:ind w:firstLine="482" w:firstLineChars="200"/>
        <w:rPr>
          <w:rFonts w:hAnsi="宋体"/>
          <w:b/>
          <w:bCs/>
          <w:color w:val="auto"/>
          <w:sz w:val="24"/>
          <w:szCs w:val="24"/>
          <w:highlight w:val="none"/>
        </w:rPr>
      </w:pPr>
      <w:r>
        <w:rPr>
          <w:rFonts w:hint="eastAsia" w:hAnsi="宋体"/>
          <w:b/>
          <w:bCs/>
          <w:color w:val="auto"/>
          <w:sz w:val="24"/>
          <w:szCs w:val="24"/>
          <w:highlight w:val="none"/>
        </w:rPr>
        <w:t>四、</w:t>
      </w:r>
      <w:r>
        <w:rPr>
          <w:rFonts w:hAnsi="宋体"/>
          <w:b/>
          <w:bCs/>
          <w:color w:val="auto"/>
          <w:sz w:val="24"/>
          <w:szCs w:val="24"/>
          <w:highlight w:val="none"/>
        </w:rPr>
        <w:t>成交标准：</w:t>
      </w:r>
    </w:p>
    <w:p w14:paraId="5347688D">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根据《财政部关于政府采购竞争性磋商采购方式管理暂行办法有关问题的补充通知》财库[2015]124号文件的规定，采购过程中符合要求的供应商只有2家的，竞争性磋商采购活动可以继续进行。</w:t>
      </w:r>
    </w:p>
    <w:p w14:paraId="5347688E">
      <w:pPr>
        <w:pStyle w:val="86"/>
        <w:widowControl/>
        <w:ind w:firstLine="480"/>
        <w:rPr>
          <w:rFonts w:hint="eastAsia" w:ascii="宋体" w:hAnsi="宋体"/>
          <w:color w:val="auto"/>
          <w:sz w:val="24"/>
          <w:highlight w:val="none"/>
        </w:rPr>
      </w:pPr>
      <w:r>
        <w:rPr>
          <w:rFonts w:hint="eastAsia" w:ascii="宋体" w:hAnsi="宋体"/>
          <w:color w:val="auto"/>
          <w:sz w:val="24"/>
          <w:highlight w:val="none"/>
        </w:rPr>
        <w:t>磋商小组将根据得分由高到低排列次序（得分相同时，以磋商报价由低到高顺序排列；得分相同且磋商报价相同的，按技术指标优劣顺序排列）并推荐三名成交候选供应商。采购单位应当确定磋商小组推荐排名第一的成交候选人为成交人。排名第一的成交候选人放弃成交、因不可抗力提出不能履行合同，或者磋商文件规定应当提交履约保证金而在规定的期限内未能提交的，采购单位可以确定排名第二的成交候选人为成交人。排名第二的成交候选人因前款规定的同样原因不能签订合同的，采购单位可以确定排名第三的成交候选人为成交人。</w:t>
      </w:r>
    </w:p>
    <w:p w14:paraId="102C7F43">
      <w:pPr>
        <w:pStyle w:val="86"/>
        <w:widowControl/>
        <w:ind w:firstLine="480"/>
        <w:rPr>
          <w:rFonts w:hint="eastAsia" w:ascii="宋体" w:hAnsi="宋体"/>
          <w:color w:val="auto"/>
          <w:sz w:val="24"/>
          <w:highlight w:val="none"/>
        </w:rPr>
      </w:pPr>
    </w:p>
    <w:bookmarkEnd w:id="638"/>
    <w:sectPr>
      <w:headerReference r:id="rId12" w:type="default"/>
      <w:footerReference r:id="rId13" w:type="default"/>
      <w:pgSz w:w="11906" w:h="16838"/>
      <w:pgMar w:top="1247" w:right="1247" w:bottom="1247" w:left="1247" w:header="851" w:footer="992" w:gutter="0"/>
      <w:pgNumType w:fmt="decimal"/>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楷体">
    <w:altName w:val="宋体"/>
    <w:panose1 w:val="02010600040101010101"/>
    <w:charset w:val="86"/>
    <w:family w:val="auto"/>
    <w:pitch w:val="default"/>
    <w:sig w:usb0="00000000" w:usb1="00000000" w:usb2="00000000" w:usb3="00000000" w:csb0="0004009F" w:csb1="DFD70000"/>
  </w:font>
  <w:font w:name="Tahoma">
    <w:panose1 w:val="020B0604030504040204"/>
    <w:charset w:val="00"/>
    <w:family w:val="swiss"/>
    <w:pitch w:val="default"/>
    <w:sig w:usb0="E1002EFF" w:usb1="C000605B" w:usb2="00000029" w:usb3="00000000" w:csb0="200101FF" w:csb1="20280000"/>
  </w:font>
  <w:font w:name="Book Antiqua">
    <w:altName w:val="Segoe Print"/>
    <w:panose1 w:val="02040602050305030304"/>
    <w:charset w:val="00"/>
    <w:family w:val="roman"/>
    <w:pitch w:val="default"/>
    <w:sig w:usb0="00000000" w:usb1="00000000" w:usb2="00000000" w:usb3="00000000" w:csb0="2000009F" w:csb1="DFD70000"/>
  </w:font>
  <w:font w:name="Segoe Print">
    <w:panose1 w:val="02000600000000000000"/>
    <w:charset w:val="00"/>
    <w:family w:val="auto"/>
    <w:pitch w:val="default"/>
    <w:sig w:usb0="0000028F" w:usb1="00000000" w:usb2="00000000" w:usb3="00000000" w:csb0="2000009F" w:csb1="47010000"/>
  </w:font>
  <w:font w:name="MS Mincho">
    <w:panose1 w:val="02020609040205080304"/>
    <w:charset w:val="80"/>
    <w:family w:val="modern"/>
    <w:pitch w:val="default"/>
    <w:sig w:usb0="E00002FF" w:usb1="6AC7FDFB" w:usb2="00000012" w:usb3="00000000" w:csb0="4002009F" w:csb1="DFD70000"/>
  </w:font>
  <w:font w:name="方正小标宋简体">
    <w:altName w:val="黑体"/>
    <w:panose1 w:val="03000509000000000000"/>
    <w:charset w:val="86"/>
    <w:family w:val="script"/>
    <w:pitch w:val="default"/>
    <w:sig w:usb0="00000000" w:usb1="00000000" w:usb2="00000000" w:usb3="00000000" w:csb0="00040000" w:csb1="00000000"/>
  </w:font>
  <w:font w:name="方正宋黑简体">
    <w:altName w:val="宋体"/>
    <w:panose1 w:val="00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711D83">
    <w:pPr>
      <w:pStyle w:val="27"/>
      <w:tabs>
        <w:tab w:val="clear" w:pos="4153"/>
      </w:tabs>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476896">
    <w:pPr>
      <w:pStyle w:val="27"/>
      <w:jc w:val="center"/>
      <w:rPr>
        <w:rFonts w:ascii="仿宋_GB2312" w:eastAsia="仿宋_GB2312"/>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5CAA2BE">
                          <w:pPr>
                            <w:pStyle w:val="2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05CAA2BE">
                    <w:pPr>
                      <w:pStyle w:val="27"/>
                    </w:pPr>
                    <w:r>
                      <w:fldChar w:fldCharType="begin"/>
                    </w:r>
                    <w:r>
                      <w:instrText xml:space="preserve"> PAGE  \* MERGEFORMAT </w:instrText>
                    </w:r>
                    <w:r>
                      <w:fldChar w:fldCharType="separate"/>
                    </w:r>
                    <w:r>
                      <w:t>1</w:t>
                    </w:r>
                    <w:r>
                      <w:fldChar w:fldCharType="end"/>
                    </w:r>
                  </w:p>
                </w:txbxContent>
              </v:textbox>
            </v:shape>
          </w:pict>
        </mc:Fallback>
      </mc:AlternateContent>
    </w:r>
  </w:p>
  <w:p w14:paraId="53476897">
    <w:pPr>
      <w:pStyle w:val="2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476898">
    <w:pPr>
      <w:pStyle w:val="27"/>
      <w:jc w:val="center"/>
      <w:rPr>
        <w:rFonts w:ascii="仿宋_GB2312" w:eastAsia="仿宋_GB2312"/>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9166C19">
                          <w:pPr>
                            <w:pStyle w:val="27"/>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29166C19">
                    <w:pPr>
                      <w:pStyle w:val="27"/>
                    </w:pPr>
                    <w:r>
                      <w:fldChar w:fldCharType="begin"/>
                    </w:r>
                    <w:r>
                      <w:instrText xml:space="preserve"> PAGE  \* MERGEFORMAT </w:instrText>
                    </w:r>
                    <w:r>
                      <w:fldChar w:fldCharType="separate"/>
                    </w:r>
                    <w:r>
                      <w:t>2</w:t>
                    </w:r>
                    <w:r>
                      <w:fldChar w:fldCharType="end"/>
                    </w:r>
                  </w:p>
                </w:txbxContent>
              </v:textbox>
            </v:shape>
          </w:pict>
        </mc:Fallback>
      </mc:AlternateContent>
    </w:r>
  </w:p>
  <w:p w14:paraId="53476899">
    <w:pPr>
      <w:pStyle w:val="2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A3A2EF">
    <w:pPr>
      <w:pStyle w:val="27"/>
      <w:jc w:val="center"/>
      <w:rPr>
        <w:rFonts w:ascii="仿宋_GB2312" w:eastAsia="仿宋_GB2312"/>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8D1E6CD">
                          <w:pPr>
                            <w:pStyle w:val="27"/>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68D1E6CD">
                    <w:pPr>
                      <w:pStyle w:val="27"/>
                    </w:pPr>
                    <w:r>
                      <w:fldChar w:fldCharType="begin"/>
                    </w:r>
                    <w:r>
                      <w:instrText xml:space="preserve"> PAGE  \* MERGEFORMAT </w:instrText>
                    </w:r>
                    <w:r>
                      <w:fldChar w:fldCharType="separate"/>
                    </w:r>
                    <w:r>
                      <w:t>2</w:t>
                    </w:r>
                    <w:r>
                      <w:fldChar w:fldCharType="end"/>
                    </w:r>
                  </w:p>
                </w:txbxContent>
              </v:textbox>
            </v:shape>
          </w:pict>
        </mc:Fallback>
      </mc:AlternateContent>
    </w:r>
  </w:p>
  <w:p w14:paraId="791744F2">
    <w:pPr>
      <w:pStyle w:val="27"/>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016685">
    <w:pPr>
      <w:pStyle w:val="27"/>
      <w:tabs>
        <w:tab w:val="clear" w:pos="4153"/>
      </w:tabs>
      <w:jc w:val="cente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09EA122">
                          <w:pPr>
                            <w:pStyle w:val="2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109EA122">
                    <w:pPr>
                      <w:pStyle w:val="2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293BB5">
    <w:pPr>
      <w:pStyle w:val="27"/>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8A18E59">
                          <w:pPr>
                            <w:pStyle w:val="27"/>
                          </w:pPr>
                          <w:r>
                            <w:fldChar w:fldCharType="begin"/>
                          </w:r>
                          <w:r>
                            <w:instrText xml:space="preserve"> PAGE  \* MERGEFORMAT </w:instrText>
                          </w:r>
                          <w:r>
                            <w:fldChar w:fldCharType="separate"/>
                          </w:r>
                          <w:r>
                            <w:t>55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38A18E59">
                    <w:pPr>
                      <w:pStyle w:val="27"/>
                    </w:pPr>
                    <w:r>
                      <w:fldChar w:fldCharType="begin"/>
                    </w:r>
                    <w:r>
                      <w:instrText xml:space="preserve"> PAGE  \* MERGEFORMAT </w:instrText>
                    </w:r>
                    <w:r>
                      <w:fldChar w:fldCharType="separate"/>
                    </w:r>
                    <w:r>
                      <w:t>55</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B41550">
    <w:pPr>
      <w:pStyle w:val="27"/>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00E983A">
                          <w:pPr>
                            <w:pStyle w:val="2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200E983A">
                    <w:pPr>
                      <w:pStyle w:val="2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47689F">
    <w:pPr>
      <w:pStyle w:val="27"/>
      <w:jc w:val="center"/>
      <w:rPr>
        <w:rFonts w:ascii="仿宋_GB2312" w:eastAsia="仿宋_GB2312"/>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C88AB31">
                          <w:pPr>
                            <w:pStyle w:val="27"/>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4C88AB31">
                    <w:pPr>
                      <w:pStyle w:val="27"/>
                    </w:pPr>
                    <w:r>
                      <w:fldChar w:fldCharType="begin"/>
                    </w:r>
                    <w:r>
                      <w:instrText xml:space="preserve"> PAGE  \* MERGEFORMAT </w:instrText>
                    </w:r>
                    <w:r>
                      <w:fldChar w:fldCharType="separate"/>
                    </w:r>
                    <w:r>
                      <w:t>4</w:t>
                    </w:r>
                    <w:r>
                      <w:fldChar w:fldCharType="end"/>
                    </w:r>
                  </w:p>
                </w:txbxContent>
              </v:textbox>
            </v:shape>
          </w:pict>
        </mc:Fallback>
      </mc:AlternateContent>
    </w:r>
  </w:p>
  <w:p w14:paraId="534768A0">
    <w:pPr>
      <w:pStyle w:val="2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E96E87">
    <w:pPr>
      <w:jc w:val="right"/>
      <w:rPr>
        <w:lang w:eastAsia="zh-C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476893"/>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47689D">
    <w:pPr>
      <w:pStyle w:val="2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53CE976"/>
    <w:multiLevelType w:val="singleLevel"/>
    <w:tmpl w:val="F53CE976"/>
    <w:lvl w:ilvl="0" w:tentative="0">
      <w:start w:val="1"/>
      <w:numFmt w:val="chineseCounting"/>
      <w:suff w:val="nothing"/>
      <w:lvlText w:val="%1、"/>
      <w:lvlJc w:val="left"/>
      <w:rPr>
        <w:rFonts w:hint="eastAsia"/>
      </w:rPr>
    </w:lvl>
  </w:abstractNum>
  <w:abstractNum w:abstractNumId="1">
    <w:nsid w:val="00003F82"/>
    <w:multiLevelType w:val="multilevel"/>
    <w:tmpl w:val="00003F82"/>
    <w:lvl w:ilvl="0" w:tentative="0">
      <w:start w:val="1"/>
      <w:numFmt w:val="decimal"/>
      <w:pStyle w:val="21"/>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pStyle w:val="9"/>
      <w:lvlText w:val="%5)"/>
      <w:lvlJc w:val="left"/>
      <w:pPr>
        <w:tabs>
          <w:tab w:val="left" w:pos="2100"/>
        </w:tabs>
        <w:ind w:left="2100" w:hanging="420"/>
      </w:pPr>
    </w:lvl>
    <w:lvl w:ilvl="5" w:tentative="0">
      <w:start w:val="1"/>
      <w:numFmt w:val="lowerRoman"/>
      <w:pStyle w:val="11"/>
      <w:lvlText w:val="%6."/>
      <w:lvlJc w:val="right"/>
      <w:pPr>
        <w:tabs>
          <w:tab w:val="left" w:pos="2520"/>
        </w:tabs>
        <w:ind w:left="2520" w:hanging="420"/>
      </w:pPr>
    </w:lvl>
    <w:lvl w:ilvl="6" w:tentative="0">
      <w:start w:val="1"/>
      <w:numFmt w:val="decimal"/>
      <w:pStyle w:val="12"/>
      <w:lvlText w:val="%7."/>
      <w:lvlJc w:val="left"/>
      <w:pPr>
        <w:tabs>
          <w:tab w:val="left" w:pos="2940"/>
        </w:tabs>
        <w:ind w:left="2940" w:hanging="420"/>
      </w:pPr>
    </w:lvl>
    <w:lvl w:ilvl="7" w:tentative="0">
      <w:start w:val="1"/>
      <w:numFmt w:val="lowerLetter"/>
      <w:pStyle w:val="13"/>
      <w:lvlText w:val="%8)"/>
      <w:lvlJc w:val="left"/>
      <w:pPr>
        <w:tabs>
          <w:tab w:val="left" w:pos="3360"/>
        </w:tabs>
        <w:ind w:left="3360" w:hanging="420"/>
      </w:pPr>
    </w:lvl>
    <w:lvl w:ilvl="8" w:tentative="0">
      <w:start w:val="1"/>
      <w:numFmt w:val="lowerRoman"/>
      <w:pStyle w:val="14"/>
      <w:lvlText w:val="%9."/>
      <w:lvlJc w:val="right"/>
      <w:pPr>
        <w:tabs>
          <w:tab w:val="left" w:pos="3780"/>
        </w:tabs>
        <w:ind w:left="3780" w:hanging="420"/>
      </w:pPr>
    </w:lvl>
  </w:abstractNum>
  <w:abstractNum w:abstractNumId="2">
    <w:nsid w:val="476F2858"/>
    <w:multiLevelType w:val="multilevel"/>
    <w:tmpl w:val="476F2858"/>
    <w:lvl w:ilvl="0" w:tentative="0">
      <w:start w:val="1"/>
      <w:numFmt w:val="japaneseCounting"/>
      <w:lvlText w:val="%1、"/>
      <w:lvlJc w:val="left"/>
      <w:pPr>
        <w:tabs>
          <w:tab w:val="left" w:pos="720"/>
        </w:tabs>
        <w:ind w:left="720" w:hanging="720"/>
      </w:pPr>
      <w:rPr>
        <w:rFonts w:ascii="Times New Roman" w:hAnsi="Times New Roman" w:eastAsia="Times New Roman" w:cs="Times New Roman"/>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4D844C20"/>
    <w:multiLevelType w:val="singleLevel"/>
    <w:tmpl w:val="4D844C20"/>
    <w:lvl w:ilvl="0" w:tentative="0">
      <w:start w:val="10"/>
      <w:numFmt w:val="chineseCounting"/>
      <w:suff w:val="nothing"/>
      <w:lvlText w:val="%1、"/>
      <w:lvlJc w:val="left"/>
      <w:rPr>
        <w:rFonts w:hint="eastAsia"/>
      </w:rPr>
    </w:lvl>
  </w:abstractNum>
  <w:abstractNum w:abstractNumId="4">
    <w:nsid w:val="4F7D1618"/>
    <w:multiLevelType w:val="singleLevel"/>
    <w:tmpl w:val="4F7D1618"/>
    <w:lvl w:ilvl="0" w:tentative="0">
      <w:start w:val="6"/>
      <w:numFmt w:val="decimal"/>
      <w:suff w:val="nothing"/>
      <w:lvlText w:val="（%1）"/>
      <w:lvlJc w:val="left"/>
    </w:lvl>
  </w:abstractNum>
  <w:abstractNum w:abstractNumId="5">
    <w:nsid w:val="5DF9E985"/>
    <w:multiLevelType w:val="singleLevel"/>
    <w:tmpl w:val="5DF9E985"/>
    <w:lvl w:ilvl="0" w:tentative="0">
      <w:start w:val="1"/>
      <w:numFmt w:val="chineseCounting"/>
      <w:suff w:val="nothing"/>
      <w:lvlText w:val="%1、"/>
      <w:lvlJc w:val="left"/>
      <w:rPr>
        <w:rFonts w:hint="eastAsia"/>
      </w:rPr>
    </w:lvl>
  </w:abstractNum>
  <w:abstractNum w:abstractNumId="6">
    <w:nsid w:val="7763323E"/>
    <w:multiLevelType w:val="singleLevel"/>
    <w:tmpl w:val="7763323E"/>
    <w:lvl w:ilvl="0" w:tentative="0">
      <w:start w:val="1"/>
      <w:numFmt w:val="decimal"/>
      <w:lvlText w:val="(%1)"/>
      <w:lvlJc w:val="left"/>
      <w:rPr>
        <w:rFonts w:hint="default" w:ascii="Times New Roman" w:hAnsi="Times New Roman" w:eastAsia="Times New Roman" w:cs="Times New Roman"/>
        <w:b w:val="0"/>
        <w:bCs w:val="0"/>
        <w:i w:val="0"/>
        <w:iCs w:val="0"/>
        <w:smallCaps w:val="0"/>
        <w:strike w:val="0"/>
        <w:color w:val="000000"/>
        <w:spacing w:val="0"/>
        <w:w w:val="100"/>
        <w:position w:val="0"/>
        <w:sz w:val="28"/>
        <w:szCs w:val="28"/>
        <w:u w:val="none"/>
        <w:shd w:val="clear" w:color="auto" w:fill="auto"/>
        <w:lang w:val="zh-CN" w:eastAsia="zh-CN" w:bidi="zh-CN"/>
      </w:rPr>
    </w:lvl>
  </w:abstractNum>
  <w:num w:numId="1">
    <w:abstractNumId w:val="1"/>
  </w:num>
  <w:num w:numId="2">
    <w:abstractNumId w:val="4"/>
  </w:num>
  <w:num w:numId="3">
    <w:abstractNumId w:val="3"/>
  </w:num>
  <w:num w:numId="4">
    <w:abstractNumId w:val="2"/>
  </w:num>
  <w:num w:numId="5">
    <w:abstractNumId w:val="0"/>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JiYjdmYTVhNWFiMjE1Y2E1NDNlZTdhNDMzMjk2M2EifQ=="/>
  </w:docVars>
  <w:rsids>
    <w:rsidRoot w:val="00172A27"/>
    <w:rsid w:val="000001E7"/>
    <w:rsid w:val="00000366"/>
    <w:rsid w:val="0000048D"/>
    <w:rsid w:val="00000716"/>
    <w:rsid w:val="00000A97"/>
    <w:rsid w:val="00000FE5"/>
    <w:rsid w:val="000010F5"/>
    <w:rsid w:val="000013BB"/>
    <w:rsid w:val="0000160B"/>
    <w:rsid w:val="0000181F"/>
    <w:rsid w:val="00002027"/>
    <w:rsid w:val="000026A8"/>
    <w:rsid w:val="0000279E"/>
    <w:rsid w:val="000027A3"/>
    <w:rsid w:val="00002A66"/>
    <w:rsid w:val="00002D43"/>
    <w:rsid w:val="00002DD8"/>
    <w:rsid w:val="00003301"/>
    <w:rsid w:val="000033B4"/>
    <w:rsid w:val="00003461"/>
    <w:rsid w:val="00003C25"/>
    <w:rsid w:val="00003DEE"/>
    <w:rsid w:val="0000402D"/>
    <w:rsid w:val="000043B1"/>
    <w:rsid w:val="00004632"/>
    <w:rsid w:val="0000477D"/>
    <w:rsid w:val="00004A06"/>
    <w:rsid w:val="000052CE"/>
    <w:rsid w:val="00005C76"/>
    <w:rsid w:val="00005E2B"/>
    <w:rsid w:val="00006003"/>
    <w:rsid w:val="000060BC"/>
    <w:rsid w:val="0000620D"/>
    <w:rsid w:val="0000726F"/>
    <w:rsid w:val="000075CD"/>
    <w:rsid w:val="00007683"/>
    <w:rsid w:val="00007872"/>
    <w:rsid w:val="00007A85"/>
    <w:rsid w:val="00007EEE"/>
    <w:rsid w:val="000103E1"/>
    <w:rsid w:val="00010544"/>
    <w:rsid w:val="000106AE"/>
    <w:rsid w:val="00010EB8"/>
    <w:rsid w:val="000121F1"/>
    <w:rsid w:val="00013234"/>
    <w:rsid w:val="0001385B"/>
    <w:rsid w:val="00013BF2"/>
    <w:rsid w:val="00014856"/>
    <w:rsid w:val="00014E8A"/>
    <w:rsid w:val="00015746"/>
    <w:rsid w:val="000159D8"/>
    <w:rsid w:val="00015BFC"/>
    <w:rsid w:val="00015C9A"/>
    <w:rsid w:val="00015CE7"/>
    <w:rsid w:val="000160FF"/>
    <w:rsid w:val="0001703D"/>
    <w:rsid w:val="0002028E"/>
    <w:rsid w:val="0002048F"/>
    <w:rsid w:val="0002053F"/>
    <w:rsid w:val="00020E60"/>
    <w:rsid w:val="00021435"/>
    <w:rsid w:val="00021947"/>
    <w:rsid w:val="00022B83"/>
    <w:rsid w:val="00022BE4"/>
    <w:rsid w:val="00023457"/>
    <w:rsid w:val="00023894"/>
    <w:rsid w:val="00023A16"/>
    <w:rsid w:val="000240E5"/>
    <w:rsid w:val="00024161"/>
    <w:rsid w:val="000243D1"/>
    <w:rsid w:val="000245C3"/>
    <w:rsid w:val="00024AB6"/>
    <w:rsid w:val="00024ACD"/>
    <w:rsid w:val="000251AD"/>
    <w:rsid w:val="000253C6"/>
    <w:rsid w:val="00025792"/>
    <w:rsid w:val="000257F2"/>
    <w:rsid w:val="00025934"/>
    <w:rsid w:val="00025979"/>
    <w:rsid w:val="00025A10"/>
    <w:rsid w:val="00025AF3"/>
    <w:rsid w:val="000267AE"/>
    <w:rsid w:val="00026875"/>
    <w:rsid w:val="000268F6"/>
    <w:rsid w:val="00026927"/>
    <w:rsid w:val="00026992"/>
    <w:rsid w:val="00026F49"/>
    <w:rsid w:val="00027C91"/>
    <w:rsid w:val="000301FB"/>
    <w:rsid w:val="00030269"/>
    <w:rsid w:val="000303F4"/>
    <w:rsid w:val="00030A2C"/>
    <w:rsid w:val="00030D49"/>
    <w:rsid w:val="000310B4"/>
    <w:rsid w:val="00031624"/>
    <w:rsid w:val="00031694"/>
    <w:rsid w:val="000317B4"/>
    <w:rsid w:val="00031FD2"/>
    <w:rsid w:val="000328F5"/>
    <w:rsid w:val="00032E7C"/>
    <w:rsid w:val="00032EA5"/>
    <w:rsid w:val="0003315B"/>
    <w:rsid w:val="00034049"/>
    <w:rsid w:val="000341A1"/>
    <w:rsid w:val="000349A8"/>
    <w:rsid w:val="000354FA"/>
    <w:rsid w:val="0003597C"/>
    <w:rsid w:val="00035A87"/>
    <w:rsid w:val="00035C07"/>
    <w:rsid w:val="00035FE3"/>
    <w:rsid w:val="00036189"/>
    <w:rsid w:val="00036707"/>
    <w:rsid w:val="00036D2F"/>
    <w:rsid w:val="00036D4A"/>
    <w:rsid w:val="0003702E"/>
    <w:rsid w:val="000370F3"/>
    <w:rsid w:val="000371E3"/>
    <w:rsid w:val="00037C85"/>
    <w:rsid w:val="00037EF7"/>
    <w:rsid w:val="000401B0"/>
    <w:rsid w:val="000403CC"/>
    <w:rsid w:val="0004127F"/>
    <w:rsid w:val="00041AB2"/>
    <w:rsid w:val="00041FE8"/>
    <w:rsid w:val="00042C85"/>
    <w:rsid w:val="00042FDE"/>
    <w:rsid w:val="000438B4"/>
    <w:rsid w:val="00043F42"/>
    <w:rsid w:val="000443B7"/>
    <w:rsid w:val="000446BD"/>
    <w:rsid w:val="00044BE6"/>
    <w:rsid w:val="00044FE9"/>
    <w:rsid w:val="000454C8"/>
    <w:rsid w:val="0004642E"/>
    <w:rsid w:val="00046963"/>
    <w:rsid w:val="00046DA6"/>
    <w:rsid w:val="00047604"/>
    <w:rsid w:val="000476DA"/>
    <w:rsid w:val="0005020A"/>
    <w:rsid w:val="000502A1"/>
    <w:rsid w:val="000509E1"/>
    <w:rsid w:val="00050F5A"/>
    <w:rsid w:val="00051025"/>
    <w:rsid w:val="000515BE"/>
    <w:rsid w:val="00051873"/>
    <w:rsid w:val="00051875"/>
    <w:rsid w:val="00051BF8"/>
    <w:rsid w:val="0005282C"/>
    <w:rsid w:val="00052993"/>
    <w:rsid w:val="00052E8B"/>
    <w:rsid w:val="0005301D"/>
    <w:rsid w:val="00053057"/>
    <w:rsid w:val="00053225"/>
    <w:rsid w:val="000533DF"/>
    <w:rsid w:val="00053519"/>
    <w:rsid w:val="00053947"/>
    <w:rsid w:val="00053C58"/>
    <w:rsid w:val="00054F12"/>
    <w:rsid w:val="0005528E"/>
    <w:rsid w:val="00055508"/>
    <w:rsid w:val="00056055"/>
    <w:rsid w:val="00056178"/>
    <w:rsid w:val="000565D0"/>
    <w:rsid w:val="00056641"/>
    <w:rsid w:val="00056B26"/>
    <w:rsid w:val="00056DD2"/>
    <w:rsid w:val="00057386"/>
    <w:rsid w:val="0005754F"/>
    <w:rsid w:val="00057690"/>
    <w:rsid w:val="0005780E"/>
    <w:rsid w:val="00057E84"/>
    <w:rsid w:val="000605FA"/>
    <w:rsid w:val="00060609"/>
    <w:rsid w:val="000608DA"/>
    <w:rsid w:val="00060DA4"/>
    <w:rsid w:val="00061482"/>
    <w:rsid w:val="00061489"/>
    <w:rsid w:val="00061B13"/>
    <w:rsid w:val="00061D96"/>
    <w:rsid w:val="00061D9D"/>
    <w:rsid w:val="0006240E"/>
    <w:rsid w:val="000625B1"/>
    <w:rsid w:val="00062874"/>
    <w:rsid w:val="00063349"/>
    <w:rsid w:val="000637F9"/>
    <w:rsid w:val="000638D4"/>
    <w:rsid w:val="000639E2"/>
    <w:rsid w:val="00063F74"/>
    <w:rsid w:val="0006479D"/>
    <w:rsid w:val="000648FB"/>
    <w:rsid w:val="00064FF9"/>
    <w:rsid w:val="00065247"/>
    <w:rsid w:val="00065383"/>
    <w:rsid w:val="000657DF"/>
    <w:rsid w:val="00065905"/>
    <w:rsid w:val="00066418"/>
    <w:rsid w:val="000665EC"/>
    <w:rsid w:val="000666F4"/>
    <w:rsid w:val="00066C48"/>
    <w:rsid w:val="00066D1C"/>
    <w:rsid w:val="00066FBA"/>
    <w:rsid w:val="00066FD9"/>
    <w:rsid w:val="000675B3"/>
    <w:rsid w:val="000678DC"/>
    <w:rsid w:val="00067F85"/>
    <w:rsid w:val="00070133"/>
    <w:rsid w:val="00070214"/>
    <w:rsid w:val="00070953"/>
    <w:rsid w:val="00070BF0"/>
    <w:rsid w:val="00070EC9"/>
    <w:rsid w:val="000712AE"/>
    <w:rsid w:val="000716D3"/>
    <w:rsid w:val="00071709"/>
    <w:rsid w:val="00071863"/>
    <w:rsid w:val="00072525"/>
    <w:rsid w:val="00072539"/>
    <w:rsid w:val="0007287D"/>
    <w:rsid w:val="00072B56"/>
    <w:rsid w:val="00072BED"/>
    <w:rsid w:val="00073509"/>
    <w:rsid w:val="000738C8"/>
    <w:rsid w:val="000739F4"/>
    <w:rsid w:val="00073AD4"/>
    <w:rsid w:val="00074470"/>
    <w:rsid w:val="0007467E"/>
    <w:rsid w:val="000746C2"/>
    <w:rsid w:val="00074988"/>
    <w:rsid w:val="0007510E"/>
    <w:rsid w:val="00075493"/>
    <w:rsid w:val="000764E3"/>
    <w:rsid w:val="00076629"/>
    <w:rsid w:val="000768BD"/>
    <w:rsid w:val="00076A3C"/>
    <w:rsid w:val="00076D10"/>
    <w:rsid w:val="00076F10"/>
    <w:rsid w:val="00077067"/>
    <w:rsid w:val="0007744D"/>
    <w:rsid w:val="00077793"/>
    <w:rsid w:val="00077888"/>
    <w:rsid w:val="00080194"/>
    <w:rsid w:val="00080517"/>
    <w:rsid w:val="0008099D"/>
    <w:rsid w:val="00080AF6"/>
    <w:rsid w:val="0008199B"/>
    <w:rsid w:val="00081D56"/>
    <w:rsid w:val="00081EE3"/>
    <w:rsid w:val="00081F53"/>
    <w:rsid w:val="0008237B"/>
    <w:rsid w:val="0008291C"/>
    <w:rsid w:val="00082B45"/>
    <w:rsid w:val="000830AC"/>
    <w:rsid w:val="000830C5"/>
    <w:rsid w:val="000830E5"/>
    <w:rsid w:val="00083EF5"/>
    <w:rsid w:val="00084569"/>
    <w:rsid w:val="0008458D"/>
    <w:rsid w:val="00085826"/>
    <w:rsid w:val="00085A3E"/>
    <w:rsid w:val="00085BB4"/>
    <w:rsid w:val="00085DA3"/>
    <w:rsid w:val="00085DF6"/>
    <w:rsid w:val="00085E3B"/>
    <w:rsid w:val="00085E44"/>
    <w:rsid w:val="00086890"/>
    <w:rsid w:val="00086A86"/>
    <w:rsid w:val="00086C6B"/>
    <w:rsid w:val="00086F28"/>
    <w:rsid w:val="00087061"/>
    <w:rsid w:val="00087117"/>
    <w:rsid w:val="0008734E"/>
    <w:rsid w:val="00087A84"/>
    <w:rsid w:val="000908E8"/>
    <w:rsid w:val="000908F5"/>
    <w:rsid w:val="00090A73"/>
    <w:rsid w:val="00090CB4"/>
    <w:rsid w:val="00090D1E"/>
    <w:rsid w:val="00090E81"/>
    <w:rsid w:val="0009114B"/>
    <w:rsid w:val="0009140A"/>
    <w:rsid w:val="00091B32"/>
    <w:rsid w:val="00091D0B"/>
    <w:rsid w:val="00091F18"/>
    <w:rsid w:val="00092065"/>
    <w:rsid w:val="000926BC"/>
    <w:rsid w:val="0009299B"/>
    <w:rsid w:val="00092F29"/>
    <w:rsid w:val="000930CC"/>
    <w:rsid w:val="0009319D"/>
    <w:rsid w:val="0009362D"/>
    <w:rsid w:val="000937AE"/>
    <w:rsid w:val="00093DEB"/>
    <w:rsid w:val="00093E2D"/>
    <w:rsid w:val="00093F68"/>
    <w:rsid w:val="0009404A"/>
    <w:rsid w:val="000940BD"/>
    <w:rsid w:val="00094731"/>
    <w:rsid w:val="00094C16"/>
    <w:rsid w:val="00095AC7"/>
    <w:rsid w:val="00095C3B"/>
    <w:rsid w:val="00095D49"/>
    <w:rsid w:val="000960CD"/>
    <w:rsid w:val="00096306"/>
    <w:rsid w:val="000965CA"/>
    <w:rsid w:val="000967D6"/>
    <w:rsid w:val="00096B21"/>
    <w:rsid w:val="00096DD4"/>
    <w:rsid w:val="00096F38"/>
    <w:rsid w:val="00097105"/>
    <w:rsid w:val="00097277"/>
    <w:rsid w:val="00097A0F"/>
    <w:rsid w:val="00097A78"/>
    <w:rsid w:val="00097ACA"/>
    <w:rsid w:val="00097B61"/>
    <w:rsid w:val="00097E7D"/>
    <w:rsid w:val="000A0224"/>
    <w:rsid w:val="000A02BC"/>
    <w:rsid w:val="000A04C1"/>
    <w:rsid w:val="000A0726"/>
    <w:rsid w:val="000A0AA4"/>
    <w:rsid w:val="000A0B6E"/>
    <w:rsid w:val="000A0C21"/>
    <w:rsid w:val="000A0FF0"/>
    <w:rsid w:val="000A15A5"/>
    <w:rsid w:val="000A170A"/>
    <w:rsid w:val="000A1A01"/>
    <w:rsid w:val="000A2108"/>
    <w:rsid w:val="000A24C2"/>
    <w:rsid w:val="000A24E9"/>
    <w:rsid w:val="000A2762"/>
    <w:rsid w:val="000A2C07"/>
    <w:rsid w:val="000A3234"/>
    <w:rsid w:val="000A4076"/>
    <w:rsid w:val="000A4710"/>
    <w:rsid w:val="000A49C2"/>
    <w:rsid w:val="000A555C"/>
    <w:rsid w:val="000A5AC3"/>
    <w:rsid w:val="000A5E6B"/>
    <w:rsid w:val="000A6539"/>
    <w:rsid w:val="000A7792"/>
    <w:rsid w:val="000B04F9"/>
    <w:rsid w:val="000B0591"/>
    <w:rsid w:val="000B0964"/>
    <w:rsid w:val="000B0D1F"/>
    <w:rsid w:val="000B11E4"/>
    <w:rsid w:val="000B15DE"/>
    <w:rsid w:val="000B196D"/>
    <w:rsid w:val="000B1A5F"/>
    <w:rsid w:val="000B1DDB"/>
    <w:rsid w:val="000B2278"/>
    <w:rsid w:val="000B26F8"/>
    <w:rsid w:val="000B3AF9"/>
    <w:rsid w:val="000B3CDE"/>
    <w:rsid w:val="000B43AC"/>
    <w:rsid w:val="000B5538"/>
    <w:rsid w:val="000B5B5A"/>
    <w:rsid w:val="000B5DE3"/>
    <w:rsid w:val="000B5F3E"/>
    <w:rsid w:val="000B6175"/>
    <w:rsid w:val="000B6858"/>
    <w:rsid w:val="000B69DE"/>
    <w:rsid w:val="000B6A2C"/>
    <w:rsid w:val="000B763B"/>
    <w:rsid w:val="000B78B2"/>
    <w:rsid w:val="000B79A9"/>
    <w:rsid w:val="000B7F0F"/>
    <w:rsid w:val="000C019B"/>
    <w:rsid w:val="000C022F"/>
    <w:rsid w:val="000C09E5"/>
    <w:rsid w:val="000C0BB2"/>
    <w:rsid w:val="000C0D87"/>
    <w:rsid w:val="000C0E98"/>
    <w:rsid w:val="000C1181"/>
    <w:rsid w:val="000C19AE"/>
    <w:rsid w:val="000C19B4"/>
    <w:rsid w:val="000C1A4E"/>
    <w:rsid w:val="000C1FA9"/>
    <w:rsid w:val="000C2158"/>
    <w:rsid w:val="000C21E8"/>
    <w:rsid w:val="000C285C"/>
    <w:rsid w:val="000C2F46"/>
    <w:rsid w:val="000C3373"/>
    <w:rsid w:val="000C3478"/>
    <w:rsid w:val="000C3EA7"/>
    <w:rsid w:val="000C4083"/>
    <w:rsid w:val="000C4455"/>
    <w:rsid w:val="000C4561"/>
    <w:rsid w:val="000C4739"/>
    <w:rsid w:val="000C4D91"/>
    <w:rsid w:val="000C51D4"/>
    <w:rsid w:val="000C5C42"/>
    <w:rsid w:val="000C6906"/>
    <w:rsid w:val="000C6B3E"/>
    <w:rsid w:val="000C6B70"/>
    <w:rsid w:val="000C7B5B"/>
    <w:rsid w:val="000C7B87"/>
    <w:rsid w:val="000D026D"/>
    <w:rsid w:val="000D05B5"/>
    <w:rsid w:val="000D07A7"/>
    <w:rsid w:val="000D08B3"/>
    <w:rsid w:val="000D0ADC"/>
    <w:rsid w:val="000D0C2C"/>
    <w:rsid w:val="000D0CE0"/>
    <w:rsid w:val="000D158F"/>
    <w:rsid w:val="000D1631"/>
    <w:rsid w:val="000D1CEA"/>
    <w:rsid w:val="000D1FEF"/>
    <w:rsid w:val="000D2385"/>
    <w:rsid w:val="000D277B"/>
    <w:rsid w:val="000D2B57"/>
    <w:rsid w:val="000D2C64"/>
    <w:rsid w:val="000D2F62"/>
    <w:rsid w:val="000D30D3"/>
    <w:rsid w:val="000D35A7"/>
    <w:rsid w:val="000D35E0"/>
    <w:rsid w:val="000D36D3"/>
    <w:rsid w:val="000D43F5"/>
    <w:rsid w:val="000D4524"/>
    <w:rsid w:val="000D4E47"/>
    <w:rsid w:val="000D4FF3"/>
    <w:rsid w:val="000D50F9"/>
    <w:rsid w:val="000D52E9"/>
    <w:rsid w:val="000D61EE"/>
    <w:rsid w:val="000D6610"/>
    <w:rsid w:val="000D6891"/>
    <w:rsid w:val="000D6AE7"/>
    <w:rsid w:val="000D6C67"/>
    <w:rsid w:val="000D6ED6"/>
    <w:rsid w:val="000D74E3"/>
    <w:rsid w:val="000D7ECE"/>
    <w:rsid w:val="000E0408"/>
    <w:rsid w:val="000E0746"/>
    <w:rsid w:val="000E0D4C"/>
    <w:rsid w:val="000E11E2"/>
    <w:rsid w:val="000E124B"/>
    <w:rsid w:val="000E138A"/>
    <w:rsid w:val="000E14C3"/>
    <w:rsid w:val="000E1DE2"/>
    <w:rsid w:val="000E20BB"/>
    <w:rsid w:val="000E20E3"/>
    <w:rsid w:val="000E21F1"/>
    <w:rsid w:val="000E22EF"/>
    <w:rsid w:val="000E2A43"/>
    <w:rsid w:val="000E2F71"/>
    <w:rsid w:val="000E3248"/>
    <w:rsid w:val="000E3B54"/>
    <w:rsid w:val="000E3F9F"/>
    <w:rsid w:val="000E3FC4"/>
    <w:rsid w:val="000E4161"/>
    <w:rsid w:val="000E4182"/>
    <w:rsid w:val="000E454A"/>
    <w:rsid w:val="000E4600"/>
    <w:rsid w:val="000E4F0B"/>
    <w:rsid w:val="000E50B2"/>
    <w:rsid w:val="000E5165"/>
    <w:rsid w:val="000E5630"/>
    <w:rsid w:val="000E582F"/>
    <w:rsid w:val="000E5BE6"/>
    <w:rsid w:val="000E5C71"/>
    <w:rsid w:val="000E607D"/>
    <w:rsid w:val="000E61C3"/>
    <w:rsid w:val="000E6529"/>
    <w:rsid w:val="000E6E28"/>
    <w:rsid w:val="000E7CAD"/>
    <w:rsid w:val="000F01CC"/>
    <w:rsid w:val="000F03A0"/>
    <w:rsid w:val="000F0599"/>
    <w:rsid w:val="000F0980"/>
    <w:rsid w:val="000F1440"/>
    <w:rsid w:val="000F174D"/>
    <w:rsid w:val="000F1B49"/>
    <w:rsid w:val="000F21E3"/>
    <w:rsid w:val="000F26EA"/>
    <w:rsid w:val="000F2743"/>
    <w:rsid w:val="000F2773"/>
    <w:rsid w:val="000F28AF"/>
    <w:rsid w:val="000F2A54"/>
    <w:rsid w:val="000F2DB6"/>
    <w:rsid w:val="000F2DD9"/>
    <w:rsid w:val="000F2F7A"/>
    <w:rsid w:val="000F3689"/>
    <w:rsid w:val="000F40FC"/>
    <w:rsid w:val="000F4668"/>
    <w:rsid w:val="000F4927"/>
    <w:rsid w:val="000F495B"/>
    <w:rsid w:val="000F4B54"/>
    <w:rsid w:val="000F55DE"/>
    <w:rsid w:val="000F5F38"/>
    <w:rsid w:val="000F65CA"/>
    <w:rsid w:val="000F664B"/>
    <w:rsid w:val="000F6765"/>
    <w:rsid w:val="000F698F"/>
    <w:rsid w:val="000F6C79"/>
    <w:rsid w:val="000F7842"/>
    <w:rsid w:val="000F7927"/>
    <w:rsid w:val="001000D3"/>
    <w:rsid w:val="0010019B"/>
    <w:rsid w:val="001002FB"/>
    <w:rsid w:val="0010031E"/>
    <w:rsid w:val="001008CC"/>
    <w:rsid w:val="001009A7"/>
    <w:rsid w:val="001009B8"/>
    <w:rsid w:val="001011B4"/>
    <w:rsid w:val="00101354"/>
    <w:rsid w:val="001015EB"/>
    <w:rsid w:val="00101757"/>
    <w:rsid w:val="00101758"/>
    <w:rsid w:val="001017C0"/>
    <w:rsid w:val="00101E6C"/>
    <w:rsid w:val="0010217A"/>
    <w:rsid w:val="001022AD"/>
    <w:rsid w:val="0010231C"/>
    <w:rsid w:val="0010247F"/>
    <w:rsid w:val="00102C42"/>
    <w:rsid w:val="00102C4A"/>
    <w:rsid w:val="00102E5D"/>
    <w:rsid w:val="00103293"/>
    <w:rsid w:val="0010335E"/>
    <w:rsid w:val="0010395B"/>
    <w:rsid w:val="00103AB2"/>
    <w:rsid w:val="00103C10"/>
    <w:rsid w:val="00103EE5"/>
    <w:rsid w:val="00103F6D"/>
    <w:rsid w:val="001042A5"/>
    <w:rsid w:val="00104573"/>
    <w:rsid w:val="00104906"/>
    <w:rsid w:val="001049F6"/>
    <w:rsid w:val="00104D25"/>
    <w:rsid w:val="00104E39"/>
    <w:rsid w:val="001057FD"/>
    <w:rsid w:val="00105B97"/>
    <w:rsid w:val="00105D98"/>
    <w:rsid w:val="00105F98"/>
    <w:rsid w:val="00106D0B"/>
    <w:rsid w:val="0010712D"/>
    <w:rsid w:val="001075AA"/>
    <w:rsid w:val="00107A38"/>
    <w:rsid w:val="00107E04"/>
    <w:rsid w:val="001102AA"/>
    <w:rsid w:val="00110556"/>
    <w:rsid w:val="00110A94"/>
    <w:rsid w:val="00110D5A"/>
    <w:rsid w:val="0011108B"/>
    <w:rsid w:val="00112010"/>
    <w:rsid w:val="00112E13"/>
    <w:rsid w:val="00113101"/>
    <w:rsid w:val="00113DDA"/>
    <w:rsid w:val="001145AE"/>
    <w:rsid w:val="00114632"/>
    <w:rsid w:val="00114812"/>
    <w:rsid w:val="00115EBD"/>
    <w:rsid w:val="0011643A"/>
    <w:rsid w:val="0012067C"/>
    <w:rsid w:val="00120B52"/>
    <w:rsid w:val="001211FC"/>
    <w:rsid w:val="001212CE"/>
    <w:rsid w:val="001215E7"/>
    <w:rsid w:val="00121AD3"/>
    <w:rsid w:val="00121DCE"/>
    <w:rsid w:val="0012224E"/>
    <w:rsid w:val="001230C7"/>
    <w:rsid w:val="001235A0"/>
    <w:rsid w:val="00123733"/>
    <w:rsid w:val="00123871"/>
    <w:rsid w:val="0012389A"/>
    <w:rsid w:val="001238F8"/>
    <w:rsid w:val="00123910"/>
    <w:rsid w:val="00123CA5"/>
    <w:rsid w:val="00123DA5"/>
    <w:rsid w:val="00124508"/>
    <w:rsid w:val="001248CE"/>
    <w:rsid w:val="00124A76"/>
    <w:rsid w:val="00124EA0"/>
    <w:rsid w:val="00125155"/>
    <w:rsid w:val="00125613"/>
    <w:rsid w:val="00125742"/>
    <w:rsid w:val="001257BC"/>
    <w:rsid w:val="00125D14"/>
    <w:rsid w:val="00125E17"/>
    <w:rsid w:val="0012631D"/>
    <w:rsid w:val="001264DD"/>
    <w:rsid w:val="00126799"/>
    <w:rsid w:val="00126DA3"/>
    <w:rsid w:val="00130020"/>
    <w:rsid w:val="00131893"/>
    <w:rsid w:val="001318A4"/>
    <w:rsid w:val="001319AD"/>
    <w:rsid w:val="001326D6"/>
    <w:rsid w:val="0013299B"/>
    <w:rsid w:val="00132EA0"/>
    <w:rsid w:val="001337A8"/>
    <w:rsid w:val="00133CE4"/>
    <w:rsid w:val="00134207"/>
    <w:rsid w:val="00134265"/>
    <w:rsid w:val="0013446A"/>
    <w:rsid w:val="00134D71"/>
    <w:rsid w:val="0013634C"/>
    <w:rsid w:val="001364E7"/>
    <w:rsid w:val="00136522"/>
    <w:rsid w:val="00136F32"/>
    <w:rsid w:val="001373F4"/>
    <w:rsid w:val="00137922"/>
    <w:rsid w:val="00137ABA"/>
    <w:rsid w:val="00137C07"/>
    <w:rsid w:val="0014059C"/>
    <w:rsid w:val="00140ADD"/>
    <w:rsid w:val="00141225"/>
    <w:rsid w:val="00141721"/>
    <w:rsid w:val="00141F7B"/>
    <w:rsid w:val="0014209C"/>
    <w:rsid w:val="0014220D"/>
    <w:rsid w:val="001433B7"/>
    <w:rsid w:val="00143681"/>
    <w:rsid w:val="00143ED2"/>
    <w:rsid w:val="001440F1"/>
    <w:rsid w:val="0014414C"/>
    <w:rsid w:val="0014490D"/>
    <w:rsid w:val="00144AA3"/>
    <w:rsid w:val="00144E27"/>
    <w:rsid w:val="00145334"/>
    <w:rsid w:val="001453EA"/>
    <w:rsid w:val="0014545B"/>
    <w:rsid w:val="00145BB1"/>
    <w:rsid w:val="00146777"/>
    <w:rsid w:val="00146811"/>
    <w:rsid w:val="00146AB4"/>
    <w:rsid w:val="0014708A"/>
    <w:rsid w:val="001471F7"/>
    <w:rsid w:val="00147490"/>
    <w:rsid w:val="00150218"/>
    <w:rsid w:val="001509EB"/>
    <w:rsid w:val="001510D1"/>
    <w:rsid w:val="001510EE"/>
    <w:rsid w:val="00151589"/>
    <w:rsid w:val="00151786"/>
    <w:rsid w:val="001519CE"/>
    <w:rsid w:val="00151F80"/>
    <w:rsid w:val="001523B4"/>
    <w:rsid w:val="00152778"/>
    <w:rsid w:val="001527B8"/>
    <w:rsid w:val="001527D7"/>
    <w:rsid w:val="00152C02"/>
    <w:rsid w:val="00153DBF"/>
    <w:rsid w:val="00154260"/>
    <w:rsid w:val="00154C93"/>
    <w:rsid w:val="00154DA7"/>
    <w:rsid w:val="00154EBC"/>
    <w:rsid w:val="0015549A"/>
    <w:rsid w:val="00155BEF"/>
    <w:rsid w:val="00155E39"/>
    <w:rsid w:val="00156C99"/>
    <w:rsid w:val="00156DAB"/>
    <w:rsid w:val="001572CC"/>
    <w:rsid w:val="00157E05"/>
    <w:rsid w:val="0016028E"/>
    <w:rsid w:val="001604B4"/>
    <w:rsid w:val="001615E0"/>
    <w:rsid w:val="00161CB3"/>
    <w:rsid w:val="00162689"/>
    <w:rsid w:val="00162955"/>
    <w:rsid w:val="00162A34"/>
    <w:rsid w:val="00162C68"/>
    <w:rsid w:val="00163048"/>
    <w:rsid w:val="00163161"/>
    <w:rsid w:val="00163430"/>
    <w:rsid w:val="001635F9"/>
    <w:rsid w:val="00163795"/>
    <w:rsid w:val="00163A92"/>
    <w:rsid w:val="00164A30"/>
    <w:rsid w:val="00164C0A"/>
    <w:rsid w:val="00165378"/>
    <w:rsid w:val="00166168"/>
    <w:rsid w:val="00166196"/>
    <w:rsid w:val="0016676B"/>
    <w:rsid w:val="001674B1"/>
    <w:rsid w:val="00167AA5"/>
    <w:rsid w:val="00167F10"/>
    <w:rsid w:val="0017003D"/>
    <w:rsid w:val="00170337"/>
    <w:rsid w:val="00170A24"/>
    <w:rsid w:val="00170FB5"/>
    <w:rsid w:val="00171713"/>
    <w:rsid w:val="00171B95"/>
    <w:rsid w:val="00171C15"/>
    <w:rsid w:val="00171FB8"/>
    <w:rsid w:val="00172212"/>
    <w:rsid w:val="0017248D"/>
    <w:rsid w:val="00172726"/>
    <w:rsid w:val="00172A27"/>
    <w:rsid w:val="001730DD"/>
    <w:rsid w:val="00173154"/>
    <w:rsid w:val="00173A6A"/>
    <w:rsid w:val="00173A94"/>
    <w:rsid w:val="00173CC0"/>
    <w:rsid w:val="0017415E"/>
    <w:rsid w:val="001742B5"/>
    <w:rsid w:val="00174A8B"/>
    <w:rsid w:val="00174C64"/>
    <w:rsid w:val="00174CC3"/>
    <w:rsid w:val="001752C8"/>
    <w:rsid w:val="001758F8"/>
    <w:rsid w:val="00175F4C"/>
    <w:rsid w:val="0017634A"/>
    <w:rsid w:val="001764BD"/>
    <w:rsid w:val="00176A73"/>
    <w:rsid w:val="00176FD0"/>
    <w:rsid w:val="00177738"/>
    <w:rsid w:val="001804B7"/>
    <w:rsid w:val="00180808"/>
    <w:rsid w:val="0018107A"/>
    <w:rsid w:val="00181822"/>
    <w:rsid w:val="00181A4A"/>
    <w:rsid w:val="00181B8E"/>
    <w:rsid w:val="00182640"/>
    <w:rsid w:val="00182982"/>
    <w:rsid w:val="00182BBD"/>
    <w:rsid w:val="00182CD2"/>
    <w:rsid w:val="00182F4F"/>
    <w:rsid w:val="00182FC7"/>
    <w:rsid w:val="001830B4"/>
    <w:rsid w:val="00183288"/>
    <w:rsid w:val="00183588"/>
    <w:rsid w:val="00183925"/>
    <w:rsid w:val="001839D3"/>
    <w:rsid w:val="00184282"/>
    <w:rsid w:val="001844AB"/>
    <w:rsid w:val="00184B06"/>
    <w:rsid w:val="001852E1"/>
    <w:rsid w:val="00185760"/>
    <w:rsid w:val="00185B61"/>
    <w:rsid w:val="00185DC6"/>
    <w:rsid w:val="00185F2E"/>
    <w:rsid w:val="0018665C"/>
    <w:rsid w:val="001868FA"/>
    <w:rsid w:val="00186987"/>
    <w:rsid w:val="001869B4"/>
    <w:rsid w:val="00186B06"/>
    <w:rsid w:val="00186F2B"/>
    <w:rsid w:val="00187C59"/>
    <w:rsid w:val="00187DCD"/>
    <w:rsid w:val="0019095C"/>
    <w:rsid w:val="00191012"/>
    <w:rsid w:val="00191849"/>
    <w:rsid w:val="001919AB"/>
    <w:rsid w:val="001926A1"/>
    <w:rsid w:val="001926DB"/>
    <w:rsid w:val="001929F3"/>
    <w:rsid w:val="00192E37"/>
    <w:rsid w:val="001930D0"/>
    <w:rsid w:val="00193339"/>
    <w:rsid w:val="0019344B"/>
    <w:rsid w:val="00193A98"/>
    <w:rsid w:val="00193ACE"/>
    <w:rsid w:val="00194309"/>
    <w:rsid w:val="00194399"/>
    <w:rsid w:val="00194497"/>
    <w:rsid w:val="001945FA"/>
    <w:rsid w:val="00194CEE"/>
    <w:rsid w:val="00195064"/>
    <w:rsid w:val="00195CAF"/>
    <w:rsid w:val="00195E05"/>
    <w:rsid w:val="00196043"/>
    <w:rsid w:val="0019608F"/>
    <w:rsid w:val="00196A25"/>
    <w:rsid w:val="0019740F"/>
    <w:rsid w:val="00197614"/>
    <w:rsid w:val="00197905"/>
    <w:rsid w:val="00197A74"/>
    <w:rsid w:val="00197E59"/>
    <w:rsid w:val="00197EE5"/>
    <w:rsid w:val="001A02FB"/>
    <w:rsid w:val="001A0865"/>
    <w:rsid w:val="001A08CE"/>
    <w:rsid w:val="001A090E"/>
    <w:rsid w:val="001A0BDD"/>
    <w:rsid w:val="001A1192"/>
    <w:rsid w:val="001A1655"/>
    <w:rsid w:val="001A18F8"/>
    <w:rsid w:val="001A1C5C"/>
    <w:rsid w:val="001A2017"/>
    <w:rsid w:val="001A2246"/>
    <w:rsid w:val="001A2A66"/>
    <w:rsid w:val="001A3083"/>
    <w:rsid w:val="001A3486"/>
    <w:rsid w:val="001A3DD7"/>
    <w:rsid w:val="001A3EC8"/>
    <w:rsid w:val="001A4294"/>
    <w:rsid w:val="001A440B"/>
    <w:rsid w:val="001A49A2"/>
    <w:rsid w:val="001A4D6E"/>
    <w:rsid w:val="001A4F45"/>
    <w:rsid w:val="001A5682"/>
    <w:rsid w:val="001A5765"/>
    <w:rsid w:val="001A595A"/>
    <w:rsid w:val="001A5C3E"/>
    <w:rsid w:val="001A5DEA"/>
    <w:rsid w:val="001A5F9E"/>
    <w:rsid w:val="001A617A"/>
    <w:rsid w:val="001A6233"/>
    <w:rsid w:val="001A6A14"/>
    <w:rsid w:val="001A73B5"/>
    <w:rsid w:val="001A76EF"/>
    <w:rsid w:val="001A790B"/>
    <w:rsid w:val="001A7A2D"/>
    <w:rsid w:val="001A7B8F"/>
    <w:rsid w:val="001B080F"/>
    <w:rsid w:val="001B1096"/>
    <w:rsid w:val="001B1458"/>
    <w:rsid w:val="001B145C"/>
    <w:rsid w:val="001B16A2"/>
    <w:rsid w:val="001B1732"/>
    <w:rsid w:val="001B1CD2"/>
    <w:rsid w:val="001B2C6A"/>
    <w:rsid w:val="001B3B89"/>
    <w:rsid w:val="001B4283"/>
    <w:rsid w:val="001B4A4F"/>
    <w:rsid w:val="001B4B1D"/>
    <w:rsid w:val="001B4BCC"/>
    <w:rsid w:val="001B4D55"/>
    <w:rsid w:val="001B5B48"/>
    <w:rsid w:val="001B5D49"/>
    <w:rsid w:val="001B5D93"/>
    <w:rsid w:val="001B5E64"/>
    <w:rsid w:val="001B5F81"/>
    <w:rsid w:val="001B5FD7"/>
    <w:rsid w:val="001B652F"/>
    <w:rsid w:val="001B6F32"/>
    <w:rsid w:val="001C00F2"/>
    <w:rsid w:val="001C0186"/>
    <w:rsid w:val="001C0C1B"/>
    <w:rsid w:val="001C114E"/>
    <w:rsid w:val="001C1981"/>
    <w:rsid w:val="001C19A8"/>
    <w:rsid w:val="001C1D66"/>
    <w:rsid w:val="001C1DBF"/>
    <w:rsid w:val="001C203B"/>
    <w:rsid w:val="001C2342"/>
    <w:rsid w:val="001C2851"/>
    <w:rsid w:val="001C294A"/>
    <w:rsid w:val="001C2A82"/>
    <w:rsid w:val="001C32D4"/>
    <w:rsid w:val="001C3305"/>
    <w:rsid w:val="001C3451"/>
    <w:rsid w:val="001C3CCF"/>
    <w:rsid w:val="001C4F09"/>
    <w:rsid w:val="001C58BE"/>
    <w:rsid w:val="001C58C9"/>
    <w:rsid w:val="001C5C12"/>
    <w:rsid w:val="001C5FC5"/>
    <w:rsid w:val="001C6936"/>
    <w:rsid w:val="001C6FAE"/>
    <w:rsid w:val="001C7CF3"/>
    <w:rsid w:val="001C7EE9"/>
    <w:rsid w:val="001C7F27"/>
    <w:rsid w:val="001D0D67"/>
    <w:rsid w:val="001D126E"/>
    <w:rsid w:val="001D14E2"/>
    <w:rsid w:val="001D18E5"/>
    <w:rsid w:val="001D1965"/>
    <w:rsid w:val="001D19EC"/>
    <w:rsid w:val="001D1E61"/>
    <w:rsid w:val="001D2055"/>
    <w:rsid w:val="001D2365"/>
    <w:rsid w:val="001D2837"/>
    <w:rsid w:val="001D3221"/>
    <w:rsid w:val="001D3315"/>
    <w:rsid w:val="001D434C"/>
    <w:rsid w:val="001D43D7"/>
    <w:rsid w:val="001D4409"/>
    <w:rsid w:val="001D4ADD"/>
    <w:rsid w:val="001D4D5D"/>
    <w:rsid w:val="001D4FDB"/>
    <w:rsid w:val="001D5D2C"/>
    <w:rsid w:val="001D5E55"/>
    <w:rsid w:val="001D5F05"/>
    <w:rsid w:val="001D6124"/>
    <w:rsid w:val="001D6444"/>
    <w:rsid w:val="001D65F1"/>
    <w:rsid w:val="001D6CEF"/>
    <w:rsid w:val="001D6D36"/>
    <w:rsid w:val="001D708C"/>
    <w:rsid w:val="001D7146"/>
    <w:rsid w:val="001D7954"/>
    <w:rsid w:val="001D7A13"/>
    <w:rsid w:val="001D7EFE"/>
    <w:rsid w:val="001E10B4"/>
    <w:rsid w:val="001E1140"/>
    <w:rsid w:val="001E1884"/>
    <w:rsid w:val="001E26E8"/>
    <w:rsid w:val="001E2FE6"/>
    <w:rsid w:val="001E3479"/>
    <w:rsid w:val="001E3BD5"/>
    <w:rsid w:val="001E3E65"/>
    <w:rsid w:val="001E4887"/>
    <w:rsid w:val="001E4A29"/>
    <w:rsid w:val="001E4FCA"/>
    <w:rsid w:val="001E5932"/>
    <w:rsid w:val="001E5B73"/>
    <w:rsid w:val="001E64E4"/>
    <w:rsid w:val="001E67EA"/>
    <w:rsid w:val="001E6905"/>
    <w:rsid w:val="001E6F56"/>
    <w:rsid w:val="001E78AA"/>
    <w:rsid w:val="001F0080"/>
    <w:rsid w:val="001F04FF"/>
    <w:rsid w:val="001F05F9"/>
    <w:rsid w:val="001F09C4"/>
    <w:rsid w:val="001F0D9A"/>
    <w:rsid w:val="001F124C"/>
    <w:rsid w:val="001F2A99"/>
    <w:rsid w:val="001F2B54"/>
    <w:rsid w:val="001F30EB"/>
    <w:rsid w:val="001F316D"/>
    <w:rsid w:val="001F32B2"/>
    <w:rsid w:val="001F3701"/>
    <w:rsid w:val="001F3DAE"/>
    <w:rsid w:val="001F4286"/>
    <w:rsid w:val="001F4695"/>
    <w:rsid w:val="001F4779"/>
    <w:rsid w:val="001F4F01"/>
    <w:rsid w:val="001F556E"/>
    <w:rsid w:val="001F5B99"/>
    <w:rsid w:val="001F60A1"/>
    <w:rsid w:val="001F6190"/>
    <w:rsid w:val="001F66B7"/>
    <w:rsid w:val="001F67F4"/>
    <w:rsid w:val="001F6894"/>
    <w:rsid w:val="001F6927"/>
    <w:rsid w:val="001F7113"/>
    <w:rsid w:val="001F7274"/>
    <w:rsid w:val="001F7C3F"/>
    <w:rsid w:val="001F7DCE"/>
    <w:rsid w:val="00200103"/>
    <w:rsid w:val="00200DCD"/>
    <w:rsid w:val="002017D7"/>
    <w:rsid w:val="00201B8C"/>
    <w:rsid w:val="00202489"/>
    <w:rsid w:val="002025CA"/>
    <w:rsid w:val="00202898"/>
    <w:rsid w:val="0020396D"/>
    <w:rsid w:val="00203A07"/>
    <w:rsid w:val="00203F79"/>
    <w:rsid w:val="00204133"/>
    <w:rsid w:val="0020434F"/>
    <w:rsid w:val="002043A9"/>
    <w:rsid w:val="00204EBB"/>
    <w:rsid w:val="00204FF5"/>
    <w:rsid w:val="00205338"/>
    <w:rsid w:val="00205CC8"/>
    <w:rsid w:val="002070A1"/>
    <w:rsid w:val="002072F7"/>
    <w:rsid w:val="002073DA"/>
    <w:rsid w:val="002077A0"/>
    <w:rsid w:val="00207A83"/>
    <w:rsid w:val="00207DBE"/>
    <w:rsid w:val="00210477"/>
    <w:rsid w:val="00210B7D"/>
    <w:rsid w:val="0021162F"/>
    <w:rsid w:val="00211969"/>
    <w:rsid w:val="00211B24"/>
    <w:rsid w:val="002120CA"/>
    <w:rsid w:val="002121A4"/>
    <w:rsid w:val="00212C64"/>
    <w:rsid w:val="00212D31"/>
    <w:rsid w:val="002134D4"/>
    <w:rsid w:val="002135AC"/>
    <w:rsid w:val="002139F8"/>
    <w:rsid w:val="00214A5D"/>
    <w:rsid w:val="00215193"/>
    <w:rsid w:val="002152CB"/>
    <w:rsid w:val="00215C58"/>
    <w:rsid w:val="00215D65"/>
    <w:rsid w:val="00215DF0"/>
    <w:rsid w:val="00215F4D"/>
    <w:rsid w:val="00216376"/>
    <w:rsid w:val="00216C88"/>
    <w:rsid w:val="00216D2E"/>
    <w:rsid w:val="00216EF0"/>
    <w:rsid w:val="0021762C"/>
    <w:rsid w:val="00217E65"/>
    <w:rsid w:val="0022081A"/>
    <w:rsid w:val="00221D09"/>
    <w:rsid w:val="00221E8B"/>
    <w:rsid w:val="00221F12"/>
    <w:rsid w:val="002224E1"/>
    <w:rsid w:val="0022256E"/>
    <w:rsid w:val="00222A15"/>
    <w:rsid w:val="00222D68"/>
    <w:rsid w:val="00223430"/>
    <w:rsid w:val="002235F9"/>
    <w:rsid w:val="0022378A"/>
    <w:rsid w:val="00223D37"/>
    <w:rsid w:val="00223E0B"/>
    <w:rsid w:val="0022414A"/>
    <w:rsid w:val="002241C8"/>
    <w:rsid w:val="0022420C"/>
    <w:rsid w:val="00224A3C"/>
    <w:rsid w:val="00224C05"/>
    <w:rsid w:val="00224C6E"/>
    <w:rsid w:val="00224C85"/>
    <w:rsid w:val="00224DA3"/>
    <w:rsid w:val="00224EB4"/>
    <w:rsid w:val="0022571B"/>
    <w:rsid w:val="00225DDD"/>
    <w:rsid w:val="00225ECC"/>
    <w:rsid w:val="00225F7F"/>
    <w:rsid w:val="00226942"/>
    <w:rsid w:val="00226DDF"/>
    <w:rsid w:val="00226FCB"/>
    <w:rsid w:val="002272D4"/>
    <w:rsid w:val="002272F4"/>
    <w:rsid w:val="00227D01"/>
    <w:rsid w:val="00230294"/>
    <w:rsid w:val="002302F9"/>
    <w:rsid w:val="00230602"/>
    <w:rsid w:val="0023180B"/>
    <w:rsid w:val="0023198F"/>
    <w:rsid w:val="002320AD"/>
    <w:rsid w:val="002320BF"/>
    <w:rsid w:val="00232190"/>
    <w:rsid w:val="00233437"/>
    <w:rsid w:val="00233D32"/>
    <w:rsid w:val="0023419F"/>
    <w:rsid w:val="002346A9"/>
    <w:rsid w:val="00234961"/>
    <w:rsid w:val="00234CAB"/>
    <w:rsid w:val="00234CCD"/>
    <w:rsid w:val="00234D51"/>
    <w:rsid w:val="0023514C"/>
    <w:rsid w:val="0023528F"/>
    <w:rsid w:val="002359D6"/>
    <w:rsid w:val="00235BF2"/>
    <w:rsid w:val="00235F64"/>
    <w:rsid w:val="002363CB"/>
    <w:rsid w:val="002365EA"/>
    <w:rsid w:val="00236C44"/>
    <w:rsid w:val="00236EC2"/>
    <w:rsid w:val="00236EC9"/>
    <w:rsid w:val="00236F9A"/>
    <w:rsid w:val="00237357"/>
    <w:rsid w:val="0023739F"/>
    <w:rsid w:val="00237663"/>
    <w:rsid w:val="0024023F"/>
    <w:rsid w:val="002405EF"/>
    <w:rsid w:val="002409AD"/>
    <w:rsid w:val="00240BD4"/>
    <w:rsid w:val="0024180B"/>
    <w:rsid w:val="00241990"/>
    <w:rsid w:val="00241A1C"/>
    <w:rsid w:val="00241A8F"/>
    <w:rsid w:val="00241B97"/>
    <w:rsid w:val="00241EFC"/>
    <w:rsid w:val="00243008"/>
    <w:rsid w:val="00243A69"/>
    <w:rsid w:val="00244260"/>
    <w:rsid w:val="0024453E"/>
    <w:rsid w:val="0024465B"/>
    <w:rsid w:val="002449C8"/>
    <w:rsid w:val="002449CF"/>
    <w:rsid w:val="00244C8A"/>
    <w:rsid w:val="002452A6"/>
    <w:rsid w:val="002456CF"/>
    <w:rsid w:val="002457DE"/>
    <w:rsid w:val="0024596F"/>
    <w:rsid w:val="002459A5"/>
    <w:rsid w:val="00245FA9"/>
    <w:rsid w:val="002465D7"/>
    <w:rsid w:val="002468E6"/>
    <w:rsid w:val="00246906"/>
    <w:rsid w:val="00246F2F"/>
    <w:rsid w:val="00246FEB"/>
    <w:rsid w:val="0024707A"/>
    <w:rsid w:val="002470C7"/>
    <w:rsid w:val="002474E2"/>
    <w:rsid w:val="0024772C"/>
    <w:rsid w:val="0024788C"/>
    <w:rsid w:val="00247FA7"/>
    <w:rsid w:val="00250177"/>
    <w:rsid w:val="00250397"/>
    <w:rsid w:val="002507C6"/>
    <w:rsid w:val="00250D34"/>
    <w:rsid w:val="002511F1"/>
    <w:rsid w:val="002514C2"/>
    <w:rsid w:val="00251AB8"/>
    <w:rsid w:val="002520FF"/>
    <w:rsid w:val="002521D4"/>
    <w:rsid w:val="00252288"/>
    <w:rsid w:val="002524F8"/>
    <w:rsid w:val="00252632"/>
    <w:rsid w:val="00252BBD"/>
    <w:rsid w:val="002531D5"/>
    <w:rsid w:val="002532A9"/>
    <w:rsid w:val="002532FF"/>
    <w:rsid w:val="00253371"/>
    <w:rsid w:val="002536DE"/>
    <w:rsid w:val="002537F7"/>
    <w:rsid w:val="0025428D"/>
    <w:rsid w:val="002547D7"/>
    <w:rsid w:val="002552D8"/>
    <w:rsid w:val="0025532F"/>
    <w:rsid w:val="002553B6"/>
    <w:rsid w:val="0025578E"/>
    <w:rsid w:val="002559BB"/>
    <w:rsid w:val="00256597"/>
    <w:rsid w:val="0025666D"/>
    <w:rsid w:val="0025681A"/>
    <w:rsid w:val="00256908"/>
    <w:rsid w:val="00256EE0"/>
    <w:rsid w:val="0025779F"/>
    <w:rsid w:val="00257805"/>
    <w:rsid w:val="002578F3"/>
    <w:rsid w:val="0026007A"/>
    <w:rsid w:val="00260278"/>
    <w:rsid w:val="00260A38"/>
    <w:rsid w:val="00260DC2"/>
    <w:rsid w:val="00260E29"/>
    <w:rsid w:val="002611EA"/>
    <w:rsid w:val="0026178F"/>
    <w:rsid w:val="00261D59"/>
    <w:rsid w:val="00261DB1"/>
    <w:rsid w:val="00261EE6"/>
    <w:rsid w:val="00262015"/>
    <w:rsid w:val="002625A4"/>
    <w:rsid w:val="00262815"/>
    <w:rsid w:val="00262A9F"/>
    <w:rsid w:val="00262C1C"/>
    <w:rsid w:val="00262FAA"/>
    <w:rsid w:val="00262FED"/>
    <w:rsid w:val="002631F9"/>
    <w:rsid w:val="0026346A"/>
    <w:rsid w:val="0026353F"/>
    <w:rsid w:val="00263832"/>
    <w:rsid w:val="00263AE3"/>
    <w:rsid w:val="00263EDF"/>
    <w:rsid w:val="00264FB8"/>
    <w:rsid w:val="00265295"/>
    <w:rsid w:val="0026541D"/>
    <w:rsid w:val="0026678F"/>
    <w:rsid w:val="0026682E"/>
    <w:rsid w:val="0026688E"/>
    <w:rsid w:val="00266B65"/>
    <w:rsid w:val="00266B96"/>
    <w:rsid w:val="00266CE6"/>
    <w:rsid w:val="00267345"/>
    <w:rsid w:val="002679D8"/>
    <w:rsid w:val="00270638"/>
    <w:rsid w:val="002707D5"/>
    <w:rsid w:val="00270AB8"/>
    <w:rsid w:val="0027122A"/>
    <w:rsid w:val="00271386"/>
    <w:rsid w:val="00271861"/>
    <w:rsid w:val="00271AC0"/>
    <w:rsid w:val="00272AD9"/>
    <w:rsid w:val="00272C03"/>
    <w:rsid w:val="00273221"/>
    <w:rsid w:val="0027329A"/>
    <w:rsid w:val="00273613"/>
    <w:rsid w:val="002739F2"/>
    <w:rsid w:val="00273B96"/>
    <w:rsid w:val="00273BD1"/>
    <w:rsid w:val="00273C81"/>
    <w:rsid w:val="002742E6"/>
    <w:rsid w:val="0027510C"/>
    <w:rsid w:val="0027555D"/>
    <w:rsid w:val="00275F97"/>
    <w:rsid w:val="0027668B"/>
    <w:rsid w:val="002766F1"/>
    <w:rsid w:val="00276B6B"/>
    <w:rsid w:val="00276F30"/>
    <w:rsid w:val="00276FDD"/>
    <w:rsid w:val="00277054"/>
    <w:rsid w:val="0027723D"/>
    <w:rsid w:val="002772C2"/>
    <w:rsid w:val="00277331"/>
    <w:rsid w:val="00277C97"/>
    <w:rsid w:val="00277F45"/>
    <w:rsid w:val="00280670"/>
    <w:rsid w:val="00280C26"/>
    <w:rsid w:val="00280C70"/>
    <w:rsid w:val="00280C9A"/>
    <w:rsid w:val="00281303"/>
    <w:rsid w:val="00282008"/>
    <w:rsid w:val="002826CD"/>
    <w:rsid w:val="00282946"/>
    <w:rsid w:val="00282BA7"/>
    <w:rsid w:val="0028326D"/>
    <w:rsid w:val="0028335D"/>
    <w:rsid w:val="00283816"/>
    <w:rsid w:val="00283C52"/>
    <w:rsid w:val="00283FF7"/>
    <w:rsid w:val="00284407"/>
    <w:rsid w:val="00284744"/>
    <w:rsid w:val="00284C5D"/>
    <w:rsid w:val="00284E0B"/>
    <w:rsid w:val="00284FB9"/>
    <w:rsid w:val="002851CE"/>
    <w:rsid w:val="002853A3"/>
    <w:rsid w:val="00285437"/>
    <w:rsid w:val="00285600"/>
    <w:rsid w:val="00285D23"/>
    <w:rsid w:val="002865DA"/>
    <w:rsid w:val="00286814"/>
    <w:rsid w:val="00286DB4"/>
    <w:rsid w:val="0028710A"/>
    <w:rsid w:val="0028718F"/>
    <w:rsid w:val="002900B8"/>
    <w:rsid w:val="00290127"/>
    <w:rsid w:val="002906DB"/>
    <w:rsid w:val="00290D63"/>
    <w:rsid w:val="002916C2"/>
    <w:rsid w:val="0029191D"/>
    <w:rsid w:val="002919DF"/>
    <w:rsid w:val="0029200F"/>
    <w:rsid w:val="002926C7"/>
    <w:rsid w:val="00292C53"/>
    <w:rsid w:val="00292D66"/>
    <w:rsid w:val="00292EEE"/>
    <w:rsid w:val="0029314A"/>
    <w:rsid w:val="002931F5"/>
    <w:rsid w:val="00293247"/>
    <w:rsid w:val="002939F5"/>
    <w:rsid w:val="002943B7"/>
    <w:rsid w:val="00294A28"/>
    <w:rsid w:val="0029539B"/>
    <w:rsid w:val="002954E4"/>
    <w:rsid w:val="002956EC"/>
    <w:rsid w:val="00296340"/>
    <w:rsid w:val="00296378"/>
    <w:rsid w:val="002965EB"/>
    <w:rsid w:val="00296958"/>
    <w:rsid w:val="00296BD3"/>
    <w:rsid w:val="00296E8C"/>
    <w:rsid w:val="00297586"/>
    <w:rsid w:val="00297A0F"/>
    <w:rsid w:val="00297A8B"/>
    <w:rsid w:val="00297A8D"/>
    <w:rsid w:val="00297B8F"/>
    <w:rsid w:val="002A18CA"/>
    <w:rsid w:val="002A193F"/>
    <w:rsid w:val="002A1FC0"/>
    <w:rsid w:val="002A298F"/>
    <w:rsid w:val="002A29AB"/>
    <w:rsid w:val="002A29C1"/>
    <w:rsid w:val="002A38A2"/>
    <w:rsid w:val="002A3EAF"/>
    <w:rsid w:val="002A4180"/>
    <w:rsid w:val="002A4215"/>
    <w:rsid w:val="002A4458"/>
    <w:rsid w:val="002A473C"/>
    <w:rsid w:val="002A4914"/>
    <w:rsid w:val="002A4B58"/>
    <w:rsid w:val="002A508B"/>
    <w:rsid w:val="002A5111"/>
    <w:rsid w:val="002A52F1"/>
    <w:rsid w:val="002A54D4"/>
    <w:rsid w:val="002A5CCF"/>
    <w:rsid w:val="002A611C"/>
    <w:rsid w:val="002A6C4B"/>
    <w:rsid w:val="002A6E8D"/>
    <w:rsid w:val="002A6F04"/>
    <w:rsid w:val="002A7029"/>
    <w:rsid w:val="002A730A"/>
    <w:rsid w:val="002B0837"/>
    <w:rsid w:val="002B0BA4"/>
    <w:rsid w:val="002B0BBB"/>
    <w:rsid w:val="002B0F45"/>
    <w:rsid w:val="002B1204"/>
    <w:rsid w:val="002B145E"/>
    <w:rsid w:val="002B154F"/>
    <w:rsid w:val="002B1567"/>
    <w:rsid w:val="002B1BCB"/>
    <w:rsid w:val="002B1E34"/>
    <w:rsid w:val="002B24FC"/>
    <w:rsid w:val="002B268B"/>
    <w:rsid w:val="002B2873"/>
    <w:rsid w:val="002B2AF6"/>
    <w:rsid w:val="002B2CAF"/>
    <w:rsid w:val="002B2E2A"/>
    <w:rsid w:val="002B2F5B"/>
    <w:rsid w:val="002B30CC"/>
    <w:rsid w:val="002B32C4"/>
    <w:rsid w:val="002B3686"/>
    <w:rsid w:val="002B36CE"/>
    <w:rsid w:val="002B3751"/>
    <w:rsid w:val="002B3959"/>
    <w:rsid w:val="002B408A"/>
    <w:rsid w:val="002B4661"/>
    <w:rsid w:val="002B4C53"/>
    <w:rsid w:val="002B4CE0"/>
    <w:rsid w:val="002B4D33"/>
    <w:rsid w:val="002B4E0C"/>
    <w:rsid w:val="002B4E1B"/>
    <w:rsid w:val="002B5168"/>
    <w:rsid w:val="002B581C"/>
    <w:rsid w:val="002B5A10"/>
    <w:rsid w:val="002B5ACB"/>
    <w:rsid w:val="002B5CA4"/>
    <w:rsid w:val="002B60AC"/>
    <w:rsid w:val="002B623D"/>
    <w:rsid w:val="002B64D8"/>
    <w:rsid w:val="002B67C3"/>
    <w:rsid w:val="002B6995"/>
    <w:rsid w:val="002B6A48"/>
    <w:rsid w:val="002B6A50"/>
    <w:rsid w:val="002B733B"/>
    <w:rsid w:val="002B766E"/>
    <w:rsid w:val="002B7C9F"/>
    <w:rsid w:val="002C0289"/>
    <w:rsid w:val="002C0320"/>
    <w:rsid w:val="002C046A"/>
    <w:rsid w:val="002C0487"/>
    <w:rsid w:val="002C0EE6"/>
    <w:rsid w:val="002C0FA5"/>
    <w:rsid w:val="002C1053"/>
    <w:rsid w:val="002C163C"/>
    <w:rsid w:val="002C22BA"/>
    <w:rsid w:val="002C23EC"/>
    <w:rsid w:val="002C255C"/>
    <w:rsid w:val="002C2BBB"/>
    <w:rsid w:val="002C30E3"/>
    <w:rsid w:val="002C325E"/>
    <w:rsid w:val="002C34DA"/>
    <w:rsid w:val="002C38CA"/>
    <w:rsid w:val="002C3C77"/>
    <w:rsid w:val="002C3D37"/>
    <w:rsid w:val="002C3E9F"/>
    <w:rsid w:val="002C42B3"/>
    <w:rsid w:val="002C4410"/>
    <w:rsid w:val="002C488A"/>
    <w:rsid w:val="002C4CBC"/>
    <w:rsid w:val="002C4F83"/>
    <w:rsid w:val="002C5654"/>
    <w:rsid w:val="002C5924"/>
    <w:rsid w:val="002C5952"/>
    <w:rsid w:val="002C5C94"/>
    <w:rsid w:val="002C5DC1"/>
    <w:rsid w:val="002C6200"/>
    <w:rsid w:val="002C6327"/>
    <w:rsid w:val="002C63A9"/>
    <w:rsid w:val="002C6864"/>
    <w:rsid w:val="002C6D31"/>
    <w:rsid w:val="002C6F4A"/>
    <w:rsid w:val="002C7271"/>
    <w:rsid w:val="002C76B0"/>
    <w:rsid w:val="002C7A99"/>
    <w:rsid w:val="002C7B0B"/>
    <w:rsid w:val="002C7B3E"/>
    <w:rsid w:val="002C7B9D"/>
    <w:rsid w:val="002C7C74"/>
    <w:rsid w:val="002D01C5"/>
    <w:rsid w:val="002D04B5"/>
    <w:rsid w:val="002D1026"/>
    <w:rsid w:val="002D1201"/>
    <w:rsid w:val="002D1C26"/>
    <w:rsid w:val="002D2070"/>
    <w:rsid w:val="002D209C"/>
    <w:rsid w:val="002D2541"/>
    <w:rsid w:val="002D2582"/>
    <w:rsid w:val="002D2B58"/>
    <w:rsid w:val="002D2C09"/>
    <w:rsid w:val="002D2F24"/>
    <w:rsid w:val="002D347F"/>
    <w:rsid w:val="002D3B87"/>
    <w:rsid w:val="002D492C"/>
    <w:rsid w:val="002D4FAC"/>
    <w:rsid w:val="002D504B"/>
    <w:rsid w:val="002D5173"/>
    <w:rsid w:val="002D5372"/>
    <w:rsid w:val="002D596C"/>
    <w:rsid w:val="002D6164"/>
    <w:rsid w:val="002D61FD"/>
    <w:rsid w:val="002D66F6"/>
    <w:rsid w:val="002D6DDA"/>
    <w:rsid w:val="002D747A"/>
    <w:rsid w:val="002D76FC"/>
    <w:rsid w:val="002D7DDD"/>
    <w:rsid w:val="002D7EBC"/>
    <w:rsid w:val="002E10A7"/>
    <w:rsid w:val="002E11F8"/>
    <w:rsid w:val="002E131E"/>
    <w:rsid w:val="002E1623"/>
    <w:rsid w:val="002E179F"/>
    <w:rsid w:val="002E1FEF"/>
    <w:rsid w:val="002E24F8"/>
    <w:rsid w:val="002E2614"/>
    <w:rsid w:val="002E2F9C"/>
    <w:rsid w:val="002E34AA"/>
    <w:rsid w:val="002E3974"/>
    <w:rsid w:val="002E3DBB"/>
    <w:rsid w:val="002E4029"/>
    <w:rsid w:val="002E4935"/>
    <w:rsid w:val="002E4F9A"/>
    <w:rsid w:val="002E51AD"/>
    <w:rsid w:val="002E6166"/>
    <w:rsid w:val="002E67A0"/>
    <w:rsid w:val="002E6B05"/>
    <w:rsid w:val="002E6D4B"/>
    <w:rsid w:val="002E6EB5"/>
    <w:rsid w:val="002E6ED5"/>
    <w:rsid w:val="002E6F9C"/>
    <w:rsid w:val="002E7122"/>
    <w:rsid w:val="002E7A29"/>
    <w:rsid w:val="002E7A5F"/>
    <w:rsid w:val="002F04BB"/>
    <w:rsid w:val="002F091C"/>
    <w:rsid w:val="002F0B3C"/>
    <w:rsid w:val="002F0C47"/>
    <w:rsid w:val="002F237B"/>
    <w:rsid w:val="002F26FE"/>
    <w:rsid w:val="002F2B24"/>
    <w:rsid w:val="002F2F61"/>
    <w:rsid w:val="002F3652"/>
    <w:rsid w:val="002F3976"/>
    <w:rsid w:val="002F408C"/>
    <w:rsid w:val="002F4AAD"/>
    <w:rsid w:val="002F4C82"/>
    <w:rsid w:val="002F4ED5"/>
    <w:rsid w:val="002F4FF6"/>
    <w:rsid w:val="002F5508"/>
    <w:rsid w:val="002F563E"/>
    <w:rsid w:val="002F582D"/>
    <w:rsid w:val="002F5ADE"/>
    <w:rsid w:val="002F5AE7"/>
    <w:rsid w:val="002F6472"/>
    <w:rsid w:val="002F6A81"/>
    <w:rsid w:val="002F6C4C"/>
    <w:rsid w:val="002F6D62"/>
    <w:rsid w:val="002F6E83"/>
    <w:rsid w:val="002F7122"/>
    <w:rsid w:val="002F74F6"/>
    <w:rsid w:val="002F79AC"/>
    <w:rsid w:val="002F7A53"/>
    <w:rsid w:val="002F7C4B"/>
    <w:rsid w:val="002F7EE4"/>
    <w:rsid w:val="00300EB0"/>
    <w:rsid w:val="003012F0"/>
    <w:rsid w:val="00301407"/>
    <w:rsid w:val="00301450"/>
    <w:rsid w:val="00301725"/>
    <w:rsid w:val="0030176D"/>
    <w:rsid w:val="00301829"/>
    <w:rsid w:val="0030186D"/>
    <w:rsid w:val="00301E6E"/>
    <w:rsid w:val="003022AE"/>
    <w:rsid w:val="00302BED"/>
    <w:rsid w:val="00302E1E"/>
    <w:rsid w:val="00302FEB"/>
    <w:rsid w:val="00303C54"/>
    <w:rsid w:val="003040D3"/>
    <w:rsid w:val="00304362"/>
    <w:rsid w:val="003048B2"/>
    <w:rsid w:val="00304C82"/>
    <w:rsid w:val="00305006"/>
    <w:rsid w:val="003050B5"/>
    <w:rsid w:val="0030563F"/>
    <w:rsid w:val="0030569F"/>
    <w:rsid w:val="003056DF"/>
    <w:rsid w:val="0030579C"/>
    <w:rsid w:val="003057DB"/>
    <w:rsid w:val="0030592C"/>
    <w:rsid w:val="00305B47"/>
    <w:rsid w:val="00305DA6"/>
    <w:rsid w:val="00305E73"/>
    <w:rsid w:val="00306234"/>
    <w:rsid w:val="0030625C"/>
    <w:rsid w:val="0030641E"/>
    <w:rsid w:val="003066E5"/>
    <w:rsid w:val="00306BDE"/>
    <w:rsid w:val="00306F18"/>
    <w:rsid w:val="00306F74"/>
    <w:rsid w:val="003071FC"/>
    <w:rsid w:val="00307331"/>
    <w:rsid w:val="00307B8C"/>
    <w:rsid w:val="00307E23"/>
    <w:rsid w:val="00310570"/>
    <w:rsid w:val="0031059B"/>
    <w:rsid w:val="003113F1"/>
    <w:rsid w:val="00311845"/>
    <w:rsid w:val="00311B79"/>
    <w:rsid w:val="00311E6C"/>
    <w:rsid w:val="00312484"/>
    <w:rsid w:val="003125A4"/>
    <w:rsid w:val="00312BAA"/>
    <w:rsid w:val="00312D22"/>
    <w:rsid w:val="00313133"/>
    <w:rsid w:val="003133D0"/>
    <w:rsid w:val="00313559"/>
    <w:rsid w:val="00313DD5"/>
    <w:rsid w:val="00313E66"/>
    <w:rsid w:val="00313F95"/>
    <w:rsid w:val="003142C0"/>
    <w:rsid w:val="003145EC"/>
    <w:rsid w:val="003147EF"/>
    <w:rsid w:val="00314B74"/>
    <w:rsid w:val="00314BDD"/>
    <w:rsid w:val="00314DE8"/>
    <w:rsid w:val="00314E0D"/>
    <w:rsid w:val="0031583B"/>
    <w:rsid w:val="003158F3"/>
    <w:rsid w:val="00315A20"/>
    <w:rsid w:val="00315EC8"/>
    <w:rsid w:val="003163A3"/>
    <w:rsid w:val="003166FC"/>
    <w:rsid w:val="003168EC"/>
    <w:rsid w:val="00316AA1"/>
    <w:rsid w:val="00316AC0"/>
    <w:rsid w:val="00316CCE"/>
    <w:rsid w:val="0031719D"/>
    <w:rsid w:val="00320483"/>
    <w:rsid w:val="003209CB"/>
    <w:rsid w:val="00320DA6"/>
    <w:rsid w:val="00320DFD"/>
    <w:rsid w:val="00320F58"/>
    <w:rsid w:val="0032130F"/>
    <w:rsid w:val="00321C2C"/>
    <w:rsid w:val="003228AA"/>
    <w:rsid w:val="0032349B"/>
    <w:rsid w:val="003236FD"/>
    <w:rsid w:val="00323892"/>
    <w:rsid w:val="00324012"/>
    <w:rsid w:val="003240A7"/>
    <w:rsid w:val="0032423D"/>
    <w:rsid w:val="00324A05"/>
    <w:rsid w:val="003255C5"/>
    <w:rsid w:val="003265FC"/>
    <w:rsid w:val="00326EDE"/>
    <w:rsid w:val="00327163"/>
    <w:rsid w:val="00327199"/>
    <w:rsid w:val="00327255"/>
    <w:rsid w:val="0032725E"/>
    <w:rsid w:val="00330071"/>
    <w:rsid w:val="00330466"/>
    <w:rsid w:val="0033053E"/>
    <w:rsid w:val="00330691"/>
    <w:rsid w:val="003306C9"/>
    <w:rsid w:val="0033087F"/>
    <w:rsid w:val="00330992"/>
    <w:rsid w:val="00330DA6"/>
    <w:rsid w:val="00331240"/>
    <w:rsid w:val="00331DEE"/>
    <w:rsid w:val="00331DFF"/>
    <w:rsid w:val="00332C53"/>
    <w:rsid w:val="003336AC"/>
    <w:rsid w:val="00333959"/>
    <w:rsid w:val="00333988"/>
    <w:rsid w:val="00333E50"/>
    <w:rsid w:val="003344D1"/>
    <w:rsid w:val="00334F9B"/>
    <w:rsid w:val="00335B12"/>
    <w:rsid w:val="00335F9E"/>
    <w:rsid w:val="00336079"/>
    <w:rsid w:val="003366C3"/>
    <w:rsid w:val="00336DA8"/>
    <w:rsid w:val="00336F7B"/>
    <w:rsid w:val="003371DD"/>
    <w:rsid w:val="00337621"/>
    <w:rsid w:val="00337764"/>
    <w:rsid w:val="00340054"/>
    <w:rsid w:val="00340701"/>
    <w:rsid w:val="00340AFD"/>
    <w:rsid w:val="003415DF"/>
    <w:rsid w:val="0034185C"/>
    <w:rsid w:val="00341DF8"/>
    <w:rsid w:val="003422A3"/>
    <w:rsid w:val="003422F3"/>
    <w:rsid w:val="003423F3"/>
    <w:rsid w:val="003428FF"/>
    <w:rsid w:val="00342922"/>
    <w:rsid w:val="00342ECF"/>
    <w:rsid w:val="003430AB"/>
    <w:rsid w:val="00343AB8"/>
    <w:rsid w:val="00344064"/>
    <w:rsid w:val="003445DE"/>
    <w:rsid w:val="00344B8D"/>
    <w:rsid w:val="00344BD2"/>
    <w:rsid w:val="003453DE"/>
    <w:rsid w:val="00345814"/>
    <w:rsid w:val="003459EC"/>
    <w:rsid w:val="00345D4F"/>
    <w:rsid w:val="00346225"/>
    <w:rsid w:val="003475DD"/>
    <w:rsid w:val="003479AE"/>
    <w:rsid w:val="00347DE2"/>
    <w:rsid w:val="00350099"/>
    <w:rsid w:val="00350C61"/>
    <w:rsid w:val="0035117C"/>
    <w:rsid w:val="00351464"/>
    <w:rsid w:val="00351B60"/>
    <w:rsid w:val="00351CF0"/>
    <w:rsid w:val="00352169"/>
    <w:rsid w:val="00352467"/>
    <w:rsid w:val="00352825"/>
    <w:rsid w:val="0035297E"/>
    <w:rsid w:val="003529F3"/>
    <w:rsid w:val="00352B27"/>
    <w:rsid w:val="00352BA4"/>
    <w:rsid w:val="0035302E"/>
    <w:rsid w:val="0035342D"/>
    <w:rsid w:val="00353A94"/>
    <w:rsid w:val="00353BA7"/>
    <w:rsid w:val="00353F51"/>
    <w:rsid w:val="00354302"/>
    <w:rsid w:val="003544E8"/>
    <w:rsid w:val="003547DA"/>
    <w:rsid w:val="00354E15"/>
    <w:rsid w:val="00354E8F"/>
    <w:rsid w:val="0035527F"/>
    <w:rsid w:val="00355972"/>
    <w:rsid w:val="00355F0D"/>
    <w:rsid w:val="003562F6"/>
    <w:rsid w:val="003564E3"/>
    <w:rsid w:val="00356B77"/>
    <w:rsid w:val="00356DAA"/>
    <w:rsid w:val="00356FB9"/>
    <w:rsid w:val="003577FD"/>
    <w:rsid w:val="00357C6C"/>
    <w:rsid w:val="00360162"/>
    <w:rsid w:val="00360BC8"/>
    <w:rsid w:val="00360E93"/>
    <w:rsid w:val="00361052"/>
    <w:rsid w:val="00361403"/>
    <w:rsid w:val="00361DCA"/>
    <w:rsid w:val="00362200"/>
    <w:rsid w:val="003622C4"/>
    <w:rsid w:val="0036262A"/>
    <w:rsid w:val="003626A2"/>
    <w:rsid w:val="00362C62"/>
    <w:rsid w:val="00363174"/>
    <w:rsid w:val="003633C3"/>
    <w:rsid w:val="0036371A"/>
    <w:rsid w:val="0036397E"/>
    <w:rsid w:val="00363CDA"/>
    <w:rsid w:val="00364505"/>
    <w:rsid w:val="00364743"/>
    <w:rsid w:val="003650E8"/>
    <w:rsid w:val="003657A6"/>
    <w:rsid w:val="00366037"/>
    <w:rsid w:val="0036636A"/>
    <w:rsid w:val="003665E0"/>
    <w:rsid w:val="00366682"/>
    <w:rsid w:val="00366C48"/>
    <w:rsid w:val="00367178"/>
    <w:rsid w:val="00367984"/>
    <w:rsid w:val="00367AE4"/>
    <w:rsid w:val="00367BE4"/>
    <w:rsid w:val="00367C30"/>
    <w:rsid w:val="00370456"/>
    <w:rsid w:val="00370605"/>
    <w:rsid w:val="00370FCD"/>
    <w:rsid w:val="00370FD9"/>
    <w:rsid w:val="003711CD"/>
    <w:rsid w:val="003713EB"/>
    <w:rsid w:val="00371676"/>
    <w:rsid w:val="0037182D"/>
    <w:rsid w:val="00371F93"/>
    <w:rsid w:val="00371FDC"/>
    <w:rsid w:val="0037204A"/>
    <w:rsid w:val="003728A8"/>
    <w:rsid w:val="003728A9"/>
    <w:rsid w:val="003729BA"/>
    <w:rsid w:val="00373663"/>
    <w:rsid w:val="00373724"/>
    <w:rsid w:val="003739A4"/>
    <w:rsid w:val="00373A99"/>
    <w:rsid w:val="0037425A"/>
    <w:rsid w:val="00374755"/>
    <w:rsid w:val="00374988"/>
    <w:rsid w:val="00374C04"/>
    <w:rsid w:val="00375D98"/>
    <w:rsid w:val="00375F4B"/>
    <w:rsid w:val="00376586"/>
    <w:rsid w:val="00376774"/>
    <w:rsid w:val="00376B3C"/>
    <w:rsid w:val="003775B2"/>
    <w:rsid w:val="00377BBB"/>
    <w:rsid w:val="00377EA7"/>
    <w:rsid w:val="00380142"/>
    <w:rsid w:val="0038021C"/>
    <w:rsid w:val="003809DB"/>
    <w:rsid w:val="003811E8"/>
    <w:rsid w:val="003816F5"/>
    <w:rsid w:val="00381B61"/>
    <w:rsid w:val="00381FEA"/>
    <w:rsid w:val="00382116"/>
    <w:rsid w:val="00382B46"/>
    <w:rsid w:val="00382CC0"/>
    <w:rsid w:val="00382EBA"/>
    <w:rsid w:val="003833E7"/>
    <w:rsid w:val="00383567"/>
    <w:rsid w:val="003838AD"/>
    <w:rsid w:val="00383BB7"/>
    <w:rsid w:val="00384628"/>
    <w:rsid w:val="003848A6"/>
    <w:rsid w:val="00384ED1"/>
    <w:rsid w:val="003851C4"/>
    <w:rsid w:val="00385462"/>
    <w:rsid w:val="00385884"/>
    <w:rsid w:val="00385A20"/>
    <w:rsid w:val="003860D3"/>
    <w:rsid w:val="003860E4"/>
    <w:rsid w:val="00386428"/>
    <w:rsid w:val="003865E9"/>
    <w:rsid w:val="003866DF"/>
    <w:rsid w:val="00386877"/>
    <w:rsid w:val="00386DF0"/>
    <w:rsid w:val="0038795D"/>
    <w:rsid w:val="00387FAB"/>
    <w:rsid w:val="00387FB9"/>
    <w:rsid w:val="0039042F"/>
    <w:rsid w:val="00390749"/>
    <w:rsid w:val="00390BDF"/>
    <w:rsid w:val="003913B5"/>
    <w:rsid w:val="00392186"/>
    <w:rsid w:val="003922C1"/>
    <w:rsid w:val="003922E5"/>
    <w:rsid w:val="00392436"/>
    <w:rsid w:val="00392E73"/>
    <w:rsid w:val="0039352B"/>
    <w:rsid w:val="00393580"/>
    <w:rsid w:val="003941C0"/>
    <w:rsid w:val="00394548"/>
    <w:rsid w:val="00394561"/>
    <w:rsid w:val="00394CDC"/>
    <w:rsid w:val="00394EBB"/>
    <w:rsid w:val="003951F9"/>
    <w:rsid w:val="0039554A"/>
    <w:rsid w:val="00395687"/>
    <w:rsid w:val="00395881"/>
    <w:rsid w:val="003960AA"/>
    <w:rsid w:val="00396147"/>
    <w:rsid w:val="00396755"/>
    <w:rsid w:val="003967D2"/>
    <w:rsid w:val="00396A60"/>
    <w:rsid w:val="00396AE1"/>
    <w:rsid w:val="00396E57"/>
    <w:rsid w:val="00396E94"/>
    <w:rsid w:val="0039707A"/>
    <w:rsid w:val="003A00DC"/>
    <w:rsid w:val="003A0B2E"/>
    <w:rsid w:val="003A0C1B"/>
    <w:rsid w:val="003A10B9"/>
    <w:rsid w:val="003A14C6"/>
    <w:rsid w:val="003A17C0"/>
    <w:rsid w:val="003A1E39"/>
    <w:rsid w:val="003A1ED4"/>
    <w:rsid w:val="003A23F1"/>
    <w:rsid w:val="003A2410"/>
    <w:rsid w:val="003A258C"/>
    <w:rsid w:val="003A260E"/>
    <w:rsid w:val="003A2EB4"/>
    <w:rsid w:val="003A38A6"/>
    <w:rsid w:val="003A3905"/>
    <w:rsid w:val="003A3B7F"/>
    <w:rsid w:val="003A3CA7"/>
    <w:rsid w:val="003A3E19"/>
    <w:rsid w:val="003A3F47"/>
    <w:rsid w:val="003A4D28"/>
    <w:rsid w:val="003A4E7D"/>
    <w:rsid w:val="003A501B"/>
    <w:rsid w:val="003A5DC5"/>
    <w:rsid w:val="003A63E4"/>
    <w:rsid w:val="003A65A0"/>
    <w:rsid w:val="003A6804"/>
    <w:rsid w:val="003A6B3E"/>
    <w:rsid w:val="003A6E4E"/>
    <w:rsid w:val="003A72DA"/>
    <w:rsid w:val="003A72ED"/>
    <w:rsid w:val="003A7B72"/>
    <w:rsid w:val="003A7CEF"/>
    <w:rsid w:val="003B0715"/>
    <w:rsid w:val="003B0BF3"/>
    <w:rsid w:val="003B0CE7"/>
    <w:rsid w:val="003B15AE"/>
    <w:rsid w:val="003B192E"/>
    <w:rsid w:val="003B1DCE"/>
    <w:rsid w:val="003B2BEA"/>
    <w:rsid w:val="003B30C1"/>
    <w:rsid w:val="003B3277"/>
    <w:rsid w:val="003B4A15"/>
    <w:rsid w:val="003B4F34"/>
    <w:rsid w:val="003B4F3D"/>
    <w:rsid w:val="003B51B9"/>
    <w:rsid w:val="003B55EE"/>
    <w:rsid w:val="003B5801"/>
    <w:rsid w:val="003B5BED"/>
    <w:rsid w:val="003B5CF7"/>
    <w:rsid w:val="003B60E6"/>
    <w:rsid w:val="003B6666"/>
    <w:rsid w:val="003B6BB8"/>
    <w:rsid w:val="003B6CD9"/>
    <w:rsid w:val="003B6F42"/>
    <w:rsid w:val="003B74DD"/>
    <w:rsid w:val="003B7617"/>
    <w:rsid w:val="003B7814"/>
    <w:rsid w:val="003C11F3"/>
    <w:rsid w:val="003C12BC"/>
    <w:rsid w:val="003C163F"/>
    <w:rsid w:val="003C1754"/>
    <w:rsid w:val="003C1CA9"/>
    <w:rsid w:val="003C1DE5"/>
    <w:rsid w:val="003C2A1D"/>
    <w:rsid w:val="003C2B62"/>
    <w:rsid w:val="003C2CF5"/>
    <w:rsid w:val="003C2F4A"/>
    <w:rsid w:val="003C2FE5"/>
    <w:rsid w:val="003C3B51"/>
    <w:rsid w:val="003C3DDA"/>
    <w:rsid w:val="003C4071"/>
    <w:rsid w:val="003C4097"/>
    <w:rsid w:val="003C473D"/>
    <w:rsid w:val="003C48E5"/>
    <w:rsid w:val="003C49C0"/>
    <w:rsid w:val="003C4C6A"/>
    <w:rsid w:val="003C4EE7"/>
    <w:rsid w:val="003C5262"/>
    <w:rsid w:val="003C5466"/>
    <w:rsid w:val="003C54AA"/>
    <w:rsid w:val="003C562D"/>
    <w:rsid w:val="003C5C13"/>
    <w:rsid w:val="003C60DF"/>
    <w:rsid w:val="003C620A"/>
    <w:rsid w:val="003C68BA"/>
    <w:rsid w:val="003C68CB"/>
    <w:rsid w:val="003C69EA"/>
    <w:rsid w:val="003C6F47"/>
    <w:rsid w:val="003C7282"/>
    <w:rsid w:val="003C7AC9"/>
    <w:rsid w:val="003D0178"/>
    <w:rsid w:val="003D017C"/>
    <w:rsid w:val="003D04E2"/>
    <w:rsid w:val="003D05C4"/>
    <w:rsid w:val="003D0A0F"/>
    <w:rsid w:val="003D11C9"/>
    <w:rsid w:val="003D13BC"/>
    <w:rsid w:val="003D2A9B"/>
    <w:rsid w:val="003D2CE7"/>
    <w:rsid w:val="003D3788"/>
    <w:rsid w:val="003D3A26"/>
    <w:rsid w:val="003D3B0D"/>
    <w:rsid w:val="003D3EC9"/>
    <w:rsid w:val="003D4521"/>
    <w:rsid w:val="003D56C2"/>
    <w:rsid w:val="003D5A08"/>
    <w:rsid w:val="003D5B2E"/>
    <w:rsid w:val="003D5BEF"/>
    <w:rsid w:val="003D625F"/>
    <w:rsid w:val="003D6351"/>
    <w:rsid w:val="003D65E4"/>
    <w:rsid w:val="003D67F2"/>
    <w:rsid w:val="003D6BA9"/>
    <w:rsid w:val="003D6DE8"/>
    <w:rsid w:val="003D7459"/>
    <w:rsid w:val="003D7724"/>
    <w:rsid w:val="003D773E"/>
    <w:rsid w:val="003D7811"/>
    <w:rsid w:val="003D79BC"/>
    <w:rsid w:val="003D7B46"/>
    <w:rsid w:val="003D7E00"/>
    <w:rsid w:val="003E006C"/>
    <w:rsid w:val="003E055F"/>
    <w:rsid w:val="003E0887"/>
    <w:rsid w:val="003E1C22"/>
    <w:rsid w:val="003E1E4A"/>
    <w:rsid w:val="003E20E7"/>
    <w:rsid w:val="003E21E3"/>
    <w:rsid w:val="003E21F2"/>
    <w:rsid w:val="003E2775"/>
    <w:rsid w:val="003E32AC"/>
    <w:rsid w:val="003E33F0"/>
    <w:rsid w:val="003E3C3B"/>
    <w:rsid w:val="003E40FF"/>
    <w:rsid w:val="003E4AED"/>
    <w:rsid w:val="003E4F5A"/>
    <w:rsid w:val="003E51AA"/>
    <w:rsid w:val="003E5A5A"/>
    <w:rsid w:val="003E61C9"/>
    <w:rsid w:val="003E69D7"/>
    <w:rsid w:val="003F01E7"/>
    <w:rsid w:val="003F02D4"/>
    <w:rsid w:val="003F0B42"/>
    <w:rsid w:val="003F0C43"/>
    <w:rsid w:val="003F0EB5"/>
    <w:rsid w:val="003F1399"/>
    <w:rsid w:val="003F1BCE"/>
    <w:rsid w:val="003F1D26"/>
    <w:rsid w:val="003F1DFB"/>
    <w:rsid w:val="003F2104"/>
    <w:rsid w:val="003F21A2"/>
    <w:rsid w:val="003F23A7"/>
    <w:rsid w:val="003F34B6"/>
    <w:rsid w:val="003F381C"/>
    <w:rsid w:val="003F3B11"/>
    <w:rsid w:val="003F41D2"/>
    <w:rsid w:val="003F434D"/>
    <w:rsid w:val="003F439E"/>
    <w:rsid w:val="003F440C"/>
    <w:rsid w:val="003F4489"/>
    <w:rsid w:val="003F4B03"/>
    <w:rsid w:val="003F4DF2"/>
    <w:rsid w:val="003F541B"/>
    <w:rsid w:val="003F549F"/>
    <w:rsid w:val="003F588A"/>
    <w:rsid w:val="003F5891"/>
    <w:rsid w:val="003F5C0F"/>
    <w:rsid w:val="003F60B6"/>
    <w:rsid w:val="003F688A"/>
    <w:rsid w:val="003F70EA"/>
    <w:rsid w:val="003F7166"/>
    <w:rsid w:val="003F742F"/>
    <w:rsid w:val="003F7567"/>
    <w:rsid w:val="003F7838"/>
    <w:rsid w:val="003F7934"/>
    <w:rsid w:val="003F7A10"/>
    <w:rsid w:val="003F7B76"/>
    <w:rsid w:val="003F7BB2"/>
    <w:rsid w:val="003F7CD2"/>
    <w:rsid w:val="00400701"/>
    <w:rsid w:val="00401157"/>
    <w:rsid w:val="0040122F"/>
    <w:rsid w:val="004013FB"/>
    <w:rsid w:val="0040162C"/>
    <w:rsid w:val="00401697"/>
    <w:rsid w:val="00401BB1"/>
    <w:rsid w:val="00401DB8"/>
    <w:rsid w:val="00402066"/>
    <w:rsid w:val="0040222D"/>
    <w:rsid w:val="004022CC"/>
    <w:rsid w:val="004027A4"/>
    <w:rsid w:val="0040290E"/>
    <w:rsid w:val="00402F75"/>
    <w:rsid w:val="004036F3"/>
    <w:rsid w:val="00404229"/>
    <w:rsid w:val="004045C1"/>
    <w:rsid w:val="0040534B"/>
    <w:rsid w:val="004054F0"/>
    <w:rsid w:val="0040570B"/>
    <w:rsid w:val="00405890"/>
    <w:rsid w:val="00405B70"/>
    <w:rsid w:val="004060BE"/>
    <w:rsid w:val="0040670B"/>
    <w:rsid w:val="004076BD"/>
    <w:rsid w:val="004077C8"/>
    <w:rsid w:val="00407B9F"/>
    <w:rsid w:val="00407D23"/>
    <w:rsid w:val="0041017D"/>
    <w:rsid w:val="0041024D"/>
    <w:rsid w:val="00410E23"/>
    <w:rsid w:val="00410F8F"/>
    <w:rsid w:val="00411206"/>
    <w:rsid w:val="004113FF"/>
    <w:rsid w:val="00412065"/>
    <w:rsid w:val="00412318"/>
    <w:rsid w:val="00412498"/>
    <w:rsid w:val="00412843"/>
    <w:rsid w:val="0041292E"/>
    <w:rsid w:val="00412996"/>
    <w:rsid w:val="004131F4"/>
    <w:rsid w:val="004133B2"/>
    <w:rsid w:val="00413695"/>
    <w:rsid w:val="00413FB6"/>
    <w:rsid w:val="00414101"/>
    <w:rsid w:val="0041466E"/>
    <w:rsid w:val="004146E7"/>
    <w:rsid w:val="00414929"/>
    <w:rsid w:val="00415110"/>
    <w:rsid w:val="00415CE3"/>
    <w:rsid w:val="0041632B"/>
    <w:rsid w:val="00416765"/>
    <w:rsid w:val="004168DE"/>
    <w:rsid w:val="0041697A"/>
    <w:rsid w:val="00416A64"/>
    <w:rsid w:val="00416AB7"/>
    <w:rsid w:val="00416D35"/>
    <w:rsid w:val="00417057"/>
    <w:rsid w:val="0041740D"/>
    <w:rsid w:val="0041758E"/>
    <w:rsid w:val="00417728"/>
    <w:rsid w:val="00417E61"/>
    <w:rsid w:val="00420050"/>
    <w:rsid w:val="004204FF"/>
    <w:rsid w:val="004205F5"/>
    <w:rsid w:val="00420D81"/>
    <w:rsid w:val="004210FF"/>
    <w:rsid w:val="00421505"/>
    <w:rsid w:val="00421954"/>
    <w:rsid w:val="004219FD"/>
    <w:rsid w:val="00421A9B"/>
    <w:rsid w:val="00421BD5"/>
    <w:rsid w:val="00421D8E"/>
    <w:rsid w:val="0042210E"/>
    <w:rsid w:val="004222AC"/>
    <w:rsid w:val="00422727"/>
    <w:rsid w:val="004227F3"/>
    <w:rsid w:val="00423766"/>
    <w:rsid w:val="004237A5"/>
    <w:rsid w:val="0042387B"/>
    <w:rsid w:val="00423BE3"/>
    <w:rsid w:val="00423D4A"/>
    <w:rsid w:val="004248B4"/>
    <w:rsid w:val="00424961"/>
    <w:rsid w:val="00424B41"/>
    <w:rsid w:val="0042506F"/>
    <w:rsid w:val="00425276"/>
    <w:rsid w:val="004256CA"/>
    <w:rsid w:val="00425735"/>
    <w:rsid w:val="00425774"/>
    <w:rsid w:val="00425BD0"/>
    <w:rsid w:val="00425EEC"/>
    <w:rsid w:val="00426121"/>
    <w:rsid w:val="00426809"/>
    <w:rsid w:val="004269E0"/>
    <w:rsid w:val="004277E5"/>
    <w:rsid w:val="00427E15"/>
    <w:rsid w:val="00430110"/>
    <w:rsid w:val="0043091C"/>
    <w:rsid w:val="00430B77"/>
    <w:rsid w:val="00430CB8"/>
    <w:rsid w:val="0043105E"/>
    <w:rsid w:val="004317F0"/>
    <w:rsid w:val="004321E1"/>
    <w:rsid w:val="004325DF"/>
    <w:rsid w:val="004326DD"/>
    <w:rsid w:val="00432A18"/>
    <w:rsid w:val="00433025"/>
    <w:rsid w:val="004332FE"/>
    <w:rsid w:val="00433F4A"/>
    <w:rsid w:val="00434485"/>
    <w:rsid w:val="00434B85"/>
    <w:rsid w:val="00434CD8"/>
    <w:rsid w:val="00435168"/>
    <w:rsid w:val="004355FE"/>
    <w:rsid w:val="004356A3"/>
    <w:rsid w:val="00435AB3"/>
    <w:rsid w:val="00435B28"/>
    <w:rsid w:val="00436379"/>
    <w:rsid w:val="00436D15"/>
    <w:rsid w:val="00437234"/>
    <w:rsid w:val="00437559"/>
    <w:rsid w:val="004377C6"/>
    <w:rsid w:val="00437AE3"/>
    <w:rsid w:val="0044026F"/>
    <w:rsid w:val="004409DC"/>
    <w:rsid w:val="00440A3C"/>
    <w:rsid w:val="00440B9F"/>
    <w:rsid w:val="0044107D"/>
    <w:rsid w:val="00441A4B"/>
    <w:rsid w:val="00441A4C"/>
    <w:rsid w:val="00441FB4"/>
    <w:rsid w:val="004423E5"/>
    <w:rsid w:val="00442CC6"/>
    <w:rsid w:val="00442D69"/>
    <w:rsid w:val="00442D8C"/>
    <w:rsid w:val="00443442"/>
    <w:rsid w:val="00443B1D"/>
    <w:rsid w:val="00444666"/>
    <w:rsid w:val="004448F7"/>
    <w:rsid w:val="00444A13"/>
    <w:rsid w:val="00444D0C"/>
    <w:rsid w:val="00444DA2"/>
    <w:rsid w:val="0044503D"/>
    <w:rsid w:val="00445069"/>
    <w:rsid w:val="004450F1"/>
    <w:rsid w:val="00445DA7"/>
    <w:rsid w:val="00445EF6"/>
    <w:rsid w:val="00445FBC"/>
    <w:rsid w:val="0044611E"/>
    <w:rsid w:val="00446530"/>
    <w:rsid w:val="004469A8"/>
    <w:rsid w:val="00446C28"/>
    <w:rsid w:val="00447266"/>
    <w:rsid w:val="00447429"/>
    <w:rsid w:val="00450002"/>
    <w:rsid w:val="004502FF"/>
    <w:rsid w:val="00450808"/>
    <w:rsid w:val="004509C5"/>
    <w:rsid w:val="00451274"/>
    <w:rsid w:val="004519B4"/>
    <w:rsid w:val="00451E80"/>
    <w:rsid w:val="00451F00"/>
    <w:rsid w:val="0045207F"/>
    <w:rsid w:val="0045241F"/>
    <w:rsid w:val="004525E1"/>
    <w:rsid w:val="0045274D"/>
    <w:rsid w:val="00452832"/>
    <w:rsid w:val="00452A91"/>
    <w:rsid w:val="00452B46"/>
    <w:rsid w:val="00452F0E"/>
    <w:rsid w:val="004535A9"/>
    <w:rsid w:val="004538F4"/>
    <w:rsid w:val="00453985"/>
    <w:rsid w:val="00453D49"/>
    <w:rsid w:val="00454485"/>
    <w:rsid w:val="00454A48"/>
    <w:rsid w:val="00454A7A"/>
    <w:rsid w:val="00454EED"/>
    <w:rsid w:val="00455D0D"/>
    <w:rsid w:val="004563CF"/>
    <w:rsid w:val="00456953"/>
    <w:rsid w:val="00456D28"/>
    <w:rsid w:val="00457B77"/>
    <w:rsid w:val="004600D5"/>
    <w:rsid w:val="0046046D"/>
    <w:rsid w:val="004604D7"/>
    <w:rsid w:val="004605E0"/>
    <w:rsid w:val="00460950"/>
    <w:rsid w:val="004609EC"/>
    <w:rsid w:val="00460E38"/>
    <w:rsid w:val="004613B8"/>
    <w:rsid w:val="0046167A"/>
    <w:rsid w:val="00462065"/>
    <w:rsid w:val="00462242"/>
    <w:rsid w:val="00463286"/>
    <w:rsid w:val="00463429"/>
    <w:rsid w:val="00463C1B"/>
    <w:rsid w:val="00463D64"/>
    <w:rsid w:val="00463F19"/>
    <w:rsid w:val="004641AB"/>
    <w:rsid w:val="00464470"/>
    <w:rsid w:val="004646CA"/>
    <w:rsid w:val="00464CED"/>
    <w:rsid w:val="004651E3"/>
    <w:rsid w:val="00465599"/>
    <w:rsid w:val="004656E2"/>
    <w:rsid w:val="00465EF4"/>
    <w:rsid w:val="0046620A"/>
    <w:rsid w:val="004662C5"/>
    <w:rsid w:val="00466333"/>
    <w:rsid w:val="00466341"/>
    <w:rsid w:val="00466E0A"/>
    <w:rsid w:val="00466E10"/>
    <w:rsid w:val="00467255"/>
    <w:rsid w:val="00467428"/>
    <w:rsid w:val="00467679"/>
    <w:rsid w:val="0046790B"/>
    <w:rsid w:val="00467FAF"/>
    <w:rsid w:val="0047000B"/>
    <w:rsid w:val="0047010B"/>
    <w:rsid w:val="004705F9"/>
    <w:rsid w:val="00470781"/>
    <w:rsid w:val="00470C15"/>
    <w:rsid w:val="00470F5F"/>
    <w:rsid w:val="00471BBF"/>
    <w:rsid w:val="004722A6"/>
    <w:rsid w:val="004722B5"/>
    <w:rsid w:val="0047266B"/>
    <w:rsid w:val="00472F2D"/>
    <w:rsid w:val="00473041"/>
    <w:rsid w:val="004731F1"/>
    <w:rsid w:val="004738D8"/>
    <w:rsid w:val="00473CB8"/>
    <w:rsid w:val="00474567"/>
    <w:rsid w:val="00474817"/>
    <w:rsid w:val="00474827"/>
    <w:rsid w:val="00474AA6"/>
    <w:rsid w:val="00474DD1"/>
    <w:rsid w:val="00474F21"/>
    <w:rsid w:val="00475353"/>
    <w:rsid w:val="0047558F"/>
    <w:rsid w:val="004758B7"/>
    <w:rsid w:val="00475D1C"/>
    <w:rsid w:val="00475E7C"/>
    <w:rsid w:val="00475F00"/>
    <w:rsid w:val="00476382"/>
    <w:rsid w:val="00476ABD"/>
    <w:rsid w:val="0047737A"/>
    <w:rsid w:val="00477D76"/>
    <w:rsid w:val="00477E95"/>
    <w:rsid w:val="00477F0B"/>
    <w:rsid w:val="00480266"/>
    <w:rsid w:val="0048099E"/>
    <w:rsid w:val="00480AA6"/>
    <w:rsid w:val="00480AD7"/>
    <w:rsid w:val="00481A3E"/>
    <w:rsid w:val="00481C16"/>
    <w:rsid w:val="00481D3F"/>
    <w:rsid w:val="00481DD9"/>
    <w:rsid w:val="0048261F"/>
    <w:rsid w:val="00482BBE"/>
    <w:rsid w:val="00482CFF"/>
    <w:rsid w:val="00482DF7"/>
    <w:rsid w:val="0048328C"/>
    <w:rsid w:val="004836C4"/>
    <w:rsid w:val="00483CE6"/>
    <w:rsid w:val="004840BE"/>
    <w:rsid w:val="00484320"/>
    <w:rsid w:val="004848D8"/>
    <w:rsid w:val="00484D62"/>
    <w:rsid w:val="0048534D"/>
    <w:rsid w:val="00485BC4"/>
    <w:rsid w:val="00485F6B"/>
    <w:rsid w:val="004860DA"/>
    <w:rsid w:val="00486128"/>
    <w:rsid w:val="004862D0"/>
    <w:rsid w:val="00486838"/>
    <w:rsid w:val="00486E67"/>
    <w:rsid w:val="0048715E"/>
    <w:rsid w:val="00490123"/>
    <w:rsid w:val="00490886"/>
    <w:rsid w:val="00490C8C"/>
    <w:rsid w:val="004912D5"/>
    <w:rsid w:val="0049136C"/>
    <w:rsid w:val="00491850"/>
    <w:rsid w:val="00491AF6"/>
    <w:rsid w:val="00491FB3"/>
    <w:rsid w:val="00492280"/>
    <w:rsid w:val="00492BD6"/>
    <w:rsid w:val="00494013"/>
    <w:rsid w:val="004940D3"/>
    <w:rsid w:val="004949A3"/>
    <w:rsid w:val="00494CB0"/>
    <w:rsid w:val="00495639"/>
    <w:rsid w:val="0049577E"/>
    <w:rsid w:val="00495965"/>
    <w:rsid w:val="00495C1B"/>
    <w:rsid w:val="00495DCE"/>
    <w:rsid w:val="00496042"/>
    <w:rsid w:val="00496C81"/>
    <w:rsid w:val="00496F2F"/>
    <w:rsid w:val="00497372"/>
    <w:rsid w:val="00497459"/>
    <w:rsid w:val="00497580"/>
    <w:rsid w:val="00497769"/>
    <w:rsid w:val="004A1098"/>
    <w:rsid w:val="004A10B8"/>
    <w:rsid w:val="004A1365"/>
    <w:rsid w:val="004A1506"/>
    <w:rsid w:val="004A23DC"/>
    <w:rsid w:val="004A25B0"/>
    <w:rsid w:val="004A28A0"/>
    <w:rsid w:val="004A2995"/>
    <w:rsid w:val="004A2C5E"/>
    <w:rsid w:val="004A2DFD"/>
    <w:rsid w:val="004A3708"/>
    <w:rsid w:val="004A3B3B"/>
    <w:rsid w:val="004A44A2"/>
    <w:rsid w:val="004A50B6"/>
    <w:rsid w:val="004A55EF"/>
    <w:rsid w:val="004A564D"/>
    <w:rsid w:val="004A5668"/>
    <w:rsid w:val="004A5770"/>
    <w:rsid w:val="004A5890"/>
    <w:rsid w:val="004A5AC6"/>
    <w:rsid w:val="004A5BD5"/>
    <w:rsid w:val="004A5EBA"/>
    <w:rsid w:val="004A604D"/>
    <w:rsid w:val="004A6130"/>
    <w:rsid w:val="004A67CB"/>
    <w:rsid w:val="004A6A6B"/>
    <w:rsid w:val="004A6BCC"/>
    <w:rsid w:val="004A6F1F"/>
    <w:rsid w:val="004A706A"/>
    <w:rsid w:val="004A70F1"/>
    <w:rsid w:val="004A7FB2"/>
    <w:rsid w:val="004B039B"/>
    <w:rsid w:val="004B04EE"/>
    <w:rsid w:val="004B061D"/>
    <w:rsid w:val="004B090C"/>
    <w:rsid w:val="004B0D3B"/>
    <w:rsid w:val="004B1FC4"/>
    <w:rsid w:val="004B2129"/>
    <w:rsid w:val="004B218B"/>
    <w:rsid w:val="004B28C5"/>
    <w:rsid w:val="004B2914"/>
    <w:rsid w:val="004B29D0"/>
    <w:rsid w:val="004B2D32"/>
    <w:rsid w:val="004B3734"/>
    <w:rsid w:val="004B3A7D"/>
    <w:rsid w:val="004B3A88"/>
    <w:rsid w:val="004B3EA3"/>
    <w:rsid w:val="004B40F5"/>
    <w:rsid w:val="004B46D3"/>
    <w:rsid w:val="004B4A0E"/>
    <w:rsid w:val="004B4A25"/>
    <w:rsid w:val="004B4CE8"/>
    <w:rsid w:val="004B50B2"/>
    <w:rsid w:val="004B5246"/>
    <w:rsid w:val="004B6472"/>
    <w:rsid w:val="004B6A7A"/>
    <w:rsid w:val="004B7429"/>
    <w:rsid w:val="004B7611"/>
    <w:rsid w:val="004B7F3A"/>
    <w:rsid w:val="004C034E"/>
    <w:rsid w:val="004C037A"/>
    <w:rsid w:val="004C044E"/>
    <w:rsid w:val="004C098E"/>
    <w:rsid w:val="004C0B43"/>
    <w:rsid w:val="004C0E0B"/>
    <w:rsid w:val="004C0E4E"/>
    <w:rsid w:val="004C1191"/>
    <w:rsid w:val="004C14AF"/>
    <w:rsid w:val="004C1885"/>
    <w:rsid w:val="004C1B0A"/>
    <w:rsid w:val="004C1D09"/>
    <w:rsid w:val="004C1E79"/>
    <w:rsid w:val="004C20D5"/>
    <w:rsid w:val="004C2143"/>
    <w:rsid w:val="004C2431"/>
    <w:rsid w:val="004C2D60"/>
    <w:rsid w:val="004C2D69"/>
    <w:rsid w:val="004C3882"/>
    <w:rsid w:val="004C3C3B"/>
    <w:rsid w:val="004C490E"/>
    <w:rsid w:val="004C49B0"/>
    <w:rsid w:val="004C516C"/>
    <w:rsid w:val="004C537A"/>
    <w:rsid w:val="004C5AFD"/>
    <w:rsid w:val="004C5C8F"/>
    <w:rsid w:val="004C5EB6"/>
    <w:rsid w:val="004C64AA"/>
    <w:rsid w:val="004C658C"/>
    <w:rsid w:val="004C68C9"/>
    <w:rsid w:val="004C6E19"/>
    <w:rsid w:val="004C6EBE"/>
    <w:rsid w:val="004C72F7"/>
    <w:rsid w:val="004C7443"/>
    <w:rsid w:val="004C7614"/>
    <w:rsid w:val="004C77A1"/>
    <w:rsid w:val="004C7830"/>
    <w:rsid w:val="004C7E75"/>
    <w:rsid w:val="004D0726"/>
    <w:rsid w:val="004D0EF8"/>
    <w:rsid w:val="004D11FA"/>
    <w:rsid w:val="004D1417"/>
    <w:rsid w:val="004D1573"/>
    <w:rsid w:val="004D1E41"/>
    <w:rsid w:val="004D29D3"/>
    <w:rsid w:val="004D2C34"/>
    <w:rsid w:val="004D3880"/>
    <w:rsid w:val="004D3986"/>
    <w:rsid w:val="004D3B6E"/>
    <w:rsid w:val="004D44B3"/>
    <w:rsid w:val="004D45F5"/>
    <w:rsid w:val="004D492D"/>
    <w:rsid w:val="004D4969"/>
    <w:rsid w:val="004D563F"/>
    <w:rsid w:val="004D590B"/>
    <w:rsid w:val="004D5988"/>
    <w:rsid w:val="004D63F1"/>
    <w:rsid w:val="004D646C"/>
    <w:rsid w:val="004E0447"/>
    <w:rsid w:val="004E0ACA"/>
    <w:rsid w:val="004E0EE2"/>
    <w:rsid w:val="004E14A7"/>
    <w:rsid w:val="004E1AB5"/>
    <w:rsid w:val="004E1C08"/>
    <w:rsid w:val="004E258C"/>
    <w:rsid w:val="004E2B43"/>
    <w:rsid w:val="004E2C6D"/>
    <w:rsid w:val="004E2C83"/>
    <w:rsid w:val="004E2DAA"/>
    <w:rsid w:val="004E2F9F"/>
    <w:rsid w:val="004E32A0"/>
    <w:rsid w:val="004E32C8"/>
    <w:rsid w:val="004E341D"/>
    <w:rsid w:val="004E3756"/>
    <w:rsid w:val="004E3949"/>
    <w:rsid w:val="004E39A9"/>
    <w:rsid w:val="004E42CB"/>
    <w:rsid w:val="004E434D"/>
    <w:rsid w:val="004E4602"/>
    <w:rsid w:val="004E4896"/>
    <w:rsid w:val="004E52D5"/>
    <w:rsid w:val="004E56CC"/>
    <w:rsid w:val="004E58A4"/>
    <w:rsid w:val="004E6085"/>
    <w:rsid w:val="004E640F"/>
    <w:rsid w:val="004E657B"/>
    <w:rsid w:val="004E6620"/>
    <w:rsid w:val="004E6757"/>
    <w:rsid w:val="004E67F1"/>
    <w:rsid w:val="004E67FD"/>
    <w:rsid w:val="004E71D4"/>
    <w:rsid w:val="004E71F9"/>
    <w:rsid w:val="004F0258"/>
    <w:rsid w:val="004F057D"/>
    <w:rsid w:val="004F05DC"/>
    <w:rsid w:val="004F0C89"/>
    <w:rsid w:val="004F0D1A"/>
    <w:rsid w:val="004F0F3A"/>
    <w:rsid w:val="004F1147"/>
    <w:rsid w:val="004F1807"/>
    <w:rsid w:val="004F1C6C"/>
    <w:rsid w:val="004F22F8"/>
    <w:rsid w:val="004F23FA"/>
    <w:rsid w:val="004F2E08"/>
    <w:rsid w:val="004F38A0"/>
    <w:rsid w:val="004F3B96"/>
    <w:rsid w:val="004F3E5B"/>
    <w:rsid w:val="004F47FC"/>
    <w:rsid w:val="004F4922"/>
    <w:rsid w:val="004F4F41"/>
    <w:rsid w:val="004F502E"/>
    <w:rsid w:val="004F5414"/>
    <w:rsid w:val="004F6840"/>
    <w:rsid w:val="004F687F"/>
    <w:rsid w:val="004F6962"/>
    <w:rsid w:val="004F69F6"/>
    <w:rsid w:val="004F6C1F"/>
    <w:rsid w:val="004F6C83"/>
    <w:rsid w:val="004F6D52"/>
    <w:rsid w:val="004F7583"/>
    <w:rsid w:val="004F75D9"/>
    <w:rsid w:val="004F7E52"/>
    <w:rsid w:val="005008B4"/>
    <w:rsid w:val="005009A9"/>
    <w:rsid w:val="005010E9"/>
    <w:rsid w:val="00501FFD"/>
    <w:rsid w:val="00502ACD"/>
    <w:rsid w:val="00502AFA"/>
    <w:rsid w:val="005034E5"/>
    <w:rsid w:val="00503B94"/>
    <w:rsid w:val="00503FCF"/>
    <w:rsid w:val="00504A48"/>
    <w:rsid w:val="00504FC7"/>
    <w:rsid w:val="00505C8C"/>
    <w:rsid w:val="00506147"/>
    <w:rsid w:val="00506274"/>
    <w:rsid w:val="00506677"/>
    <w:rsid w:val="00506968"/>
    <w:rsid w:val="00506B41"/>
    <w:rsid w:val="00506CF8"/>
    <w:rsid w:val="00506D53"/>
    <w:rsid w:val="00506F3C"/>
    <w:rsid w:val="005075C3"/>
    <w:rsid w:val="005079ED"/>
    <w:rsid w:val="00507BE8"/>
    <w:rsid w:val="00507C26"/>
    <w:rsid w:val="00507E61"/>
    <w:rsid w:val="005100FA"/>
    <w:rsid w:val="005104A9"/>
    <w:rsid w:val="005104EC"/>
    <w:rsid w:val="0051056D"/>
    <w:rsid w:val="00510673"/>
    <w:rsid w:val="00511264"/>
    <w:rsid w:val="0051132B"/>
    <w:rsid w:val="00511457"/>
    <w:rsid w:val="0051184B"/>
    <w:rsid w:val="00511B39"/>
    <w:rsid w:val="00511F77"/>
    <w:rsid w:val="00512270"/>
    <w:rsid w:val="00512478"/>
    <w:rsid w:val="005126C2"/>
    <w:rsid w:val="005129EB"/>
    <w:rsid w:val="005129EF"/>
    <w:rsid w:val="0051339A"/>
    <w:rsid w:val="005138B5"/>
    <w:rsid w:val="00513953"/>
    <w:rsid w:val="00513C86"/>
    <w:rsid w:val="00513C98"/>
    <w:rsid w:val="00513D8A"/>
    <w:rsid w:val="00514194"/>
    <w:rsid w:val="005147E8"/>
    <w:rsid w:val="0051486E"/>
    <w:rsid w:val="00514AE9"/>
    <w:rsid w:val="00514AF7"/>
    <w:rsid w:val="005158BD"/>
    <w:rsid w:val="00515D71"/>
    <w:rsid w:val="00515E2C"/>
    <w:rsid w:val="0051635E"/>
    <w:rsid w:val="005165EE"/>
    <w:rsid w:val="005167E4"/>
    <w:rsid w:val="00516C66"/>
    <w:rsid w:val="00516C9A"/>
    <w:rsid w:val="00516F35"/>
    <w:rsid w:val="00517404"/>
    <w:rsid w:val="00517415"/>
    <w:rsid w:val="005177D3"/>
    <w:rsid w:val="00517A2D"/>
    <w:rsid w:val="00517D21"/>
    <w:rsid w:val="005203E3"/>
    <w:rsid w:val="0052056D"/>
    <w:rsid w:val="005209A3"/>
    <w:rsid w:val="00521B60"/>
    <w:rsid w:val="00522A52"/>
    <w:rsid w:val="005231A2"/>
    <w:rsid w:val="005234DD"/>
    <w:rsid w:val="005236F2"/>
    <w:rsid w:val="00523DD9"/>
    <w:rsid w:val="00523E1F"/>
    <w:rsid w:val="00524147"/>
    <w:rsid w:val="005244A7"/>
    <w:rsid w:val="005244DF"/>
    <w:rsid w:val="00524862"/>
    <w:rsid w:val="0052510A"/>
    <w:rsid w:val="0052693D"/>
    <w:rsid w:val="00527256"/>
    <w:rsid w:val="00527574"/>
    <w:rsid w:val="00527BDF"/>
    <w:rsid w:val="00527D7A"/>
    <w:rsid w:val="005302F4"/>
    <w:rsid w:val="00530550"/>
    <w:rsid w:val="005307BF"/>
    <w:rsid w:val="00530EA0"/>
    <w:rsid w:val="00530F8B"/>
    <w:rsid w:val="00531A23"/>
    <w:rsid w:val="00531AA5"/>
    <w:rsid w:val="00531B3D"/>
    <w:rsid w:val="00531C55"/>
    <w:rsid w:val="00531DEF"/>
    <w:rsid w:val="005323B8"/>
    <w:rsid w:val="00532B6D"/>
    <w:rsid w:val="00532F0E"/>
    <w:rsid w:val="005335A0"/>
    <w:rsid w:val="0053369B"/>
    <w:rsid w:val="00533BDC"/>
    <w:rsid w:val="00533E2D"/>
    <w:rsid w:val="00533EAE"/>
    <w:rsid w:val="005345D0"/>
    <w:rsid w:val="00534B36"/>
    <w:rsid w:val="00535368"/>
    <w:rsid w:val="00535588"/>
    <w:rsid w:val="005355A4"/>
    <w:rsid w:val="005355A9"/>
    <w:rsid w:val="00535632"/>
    <w:rsid w:val="00535862"/>
    <w:rsid w:val="0053675C"/>
    <w:rsid w:val="005367A9"/>
    <w:rsid w:val="00536A24"/>
    <w:rsid w:val="00536B4E"/>
    <w:rsid w:val="005370D8"/>
    <w:rsid w:val="0053778F"/>
    <w:rsid w:val="0053792C"/>
    <w:rsid w:val="00537A07"/>
    <w:rsid w:val="00537A17"/>
    <w:rsid w:val="00537B22"/>
    <w:rsid w:val="005405FF"/>
    <w:rsid w:val="0054070C"/>
    <w:rsid w:val="00540886"/>
    <w:rsid w:val="00540F02"/>
    <w:rsid w:val="0054115D"/>
    <w:rsid w:val="005411DB"/>
    <w:rsid w:val="0054139D"/>
    <w:rsid w:val="005413C8"/>
    <w:rsid w:val="005414AE"/>
    <w:rsid w:val="005415D5"/>
    <w:rsid w:val="005416AA"/>
    <w:rsid w:val="005419EF"/>
    <w:rsid w:val="00542270"/>
    <w:rsid w:val="0054276D"/>
    <w:rsid w:val="00542A01"/>
    <w:rsid w:val="005435F5"/>
    <w:rsid w:val="00543ADE"/>
    <w:rsid w:val="00543D89"/>
    <w:rsid w:val="00543F44"/>
    <w:rsid w:val="00544A34"/>
    <w:rsid w:val="005450CB"/>
    <w:rsid w:val="00545704"/>
    <w:rsid w:val="005457D4"/>
    <w:rsid w:val="00546850"/>
    <w:rsid w:val="00546B68"/>
    <w:rsid w:val="00547509"/>
    <w:rsid w:val="005475A5"/>
    <w:rsid w:val="005475D3"/>
    <w:rsid w:val="00547675"/>
    <w:rsid w:val="005477F5"/>
    <w:rsid w:val="005478AA"/>
    <w:rsid w:val="00547A0B"/>
    <w:rsid w:val="00547B58"/>
    <w:rsid w:val="00547F80"/>
    <w:rsid w:val="00550478"/>
    <w:rsid w:val="005504CB"/>
    <w:rsid w:val="00550970"/>
    <w:rsid w:val="00550F7B"/>
    <w:rsid w:val="00551639"/>
    <w:rsid w:val="00551D05"/>
    <w:rsid w:val="00552177"/>
    <w:rsid w:val="005521A2"/>
    <w:rsid w:val="00552266"/>
    <w:rsid w:val="0055267B"/>
    <w:rsid w:val="0055274D"/>
    <w:rsid w:val="0055279C"/>
    <w:rsid w:val="00552AFC"/>
    <w:rsid w:val="00552B49"/>
    <w:rsid w:val="00552E15"/>
    <w:rsid w:val="00552EBE"/>
    <w:rsid w:val="00553EDC"/>
    <w:rsid w:val="00554063"/>
    <w:rsid w:val="00554085"/>
    <w:rsid w:val="00554775"/>
    <w:rsid w:val="00554B0A"/>
    <w:rsid w:val="00554E88"/>
    <w:rsid w:val="005551D8"/>
    <w:rsid w:val="005557D3"/>
    <w:rsid w:val="00555B40"/>
    <w:rsid w:val="00556F7E"/>
    <w:rsid w:val="00557524"/>
    <w:rsid w:val="00557585"/>
    <w:rsid w:val="0055796B"/>
    <w:rsid w:val="00557DFD"/>
    <w:rsid w:val="0056004A"/>
    <w:rsid w:val="00560272"/>
    <w:rsid w:val="005609D4"/>
    <w:rsid w:val="00560AEA"/>
    <w:rsid w:val="00561514"/>
    <w:rsid w:val="00561519"/>
    <w:rsid w:val="00561618"/>
    <w:rsid w:val="00561B3B"/>
    <w:rsid w:val="00561BA2"/>
    <w:rsid w:val="00562955"/>
    <w:rsid w:val="005629E5"/>
    <w:rsid w:val="00562B93"/>
    <w:rsid w:val="00562E31"/>
    <w:rsid w:val="0056337E"/>
    <w:rsid w:val="00563687"/>
    <w:rsid w:val="00563AA7"/>
    <w:rsid w:val="0056434F"/>
    <w:rsid w:val="00564970"/>
    <w:rsid w:val="00565906"/>
    <w:rsid w:val="00565BA4"/>
    <w:rsid w:val="00565C27"/>
    <w:rsid w:val="00565DF8"/>
    <w:rsid w:val="0056635C"/>
    <w:rsid w:val="005668E0"/>
    <w:rsid w:val="00566B11"/>
    <w:rsid w:val="00566D25"/>
    <w:rsid w:val="00567126"/>
    <w:rsid w:val="005675B0"/>
    <w:rsid w:val="00567D39"/>
    <w:rsid w:val="00567FC9"/>
    <w:rsid w:val="00570140"/>
    <w:rsid w:val="005701A7"/>
    <w:rsid w:val="0057121A"/>
    <w:rsid w:val="005714FE"/>
    <w:rsid w:val="0057153A"/>
    <w:rsid w:val="005719E7"/>
    <w:rsid w:val="00571B87"/>
    <w:rsid w:val="00571CAD"/>
    <w:rsid w:val="005723FE"/>
    <w:rsid w:val="00572654"/>
    <w:rsid w:val="0057306C"/>
    <w:rsid w:val="0057319C"/>
    <w:rsid w:val="00573326"/>
    <w:rsid w:val="005735CF"/>
    <w:rsid w:val="00573A3C"/>
    <w:rsid w:val="005741DF"/>
    <w:rsid w:val="0057457F"/>
    <w:rsid w:val="00574BB8"/>
    <w:rsid w:val="00575016"/>
    <w:rsid w:val="0057529C"/>
    <w:rsid w:val="005752E1"/>
    <w:rsid w:val="005753FD"/>
    <w:rsid w:val="00575414"/>
    <w:rsid w:val="0057603D"/>
    <w:rsid w:val="00576927"/>
    <w:rsid w:val="0057695F"/>
    <w:rsid w:val="00576EBE"/>
    <w:rsid w:val="00577419"/>
    <w:rsid w:val="00577C2B"/>
    <w:rsid w:val="00577EEF"/>
    <w:rsid w:val="00580752"/>
    <w:rsid w:val="0058113D"/>
    <w:rsid w:val="00581544"/>
    <w:rsid w:val="00581A37"/>
    <w:rsid w:val="00581B08"/>
    <w:rsid w:val="00581BFE"/>
    <w:rsid w:val="005821BC"/>
    <w:rsid w:val="005821CD"/>
    <w:rsid w:val="005828AA"/>
    <w:rsid w:val="00582B16"/>
    <w:rsid w:val="00583AD7"/>
    <w:rsid w:val="00584011"/>
    <w:rsid w:val="00584CFB"/>
    <w:rsid w:val="00584D29"/>
    <w:rsid w:val="00585027"/>
    <w:rsid w:val="00585086"/>
    <w:rsid w:val="0058554F"/>
    <w:rsid w:val="00585A16"/>
    <w:rsid w:val="00585A24"/>
    <w:rsid w:val="005863F5"/>
    <w:rsid w:val="005866BE"/>
    <w:rsid w:val="00586F87"/>
    <w:rsid w:val="005870CE"/>
    <w:rsid w:val="005875E8"/>
    <w:rsid w:val="00587892"/>
    <w:rsid w:val="005901C6"/>
    <w:rsid w:val="005903B8"/>
    <w:rsid w:val="00590B62"/>
    <w:rsid w:val="00590D08"/>
    <w:rsid w:val="00590FCE"/>
    <w:rsid w:val="005912D8"/>
    <w:rsid w:val="00591382"/>
    <w:rsid w:val="00591789"/>
    <w:rsid w:val="005919BF"/>
    <w:rsid w:val="00591B89"/>
    <w:rsid w:val="00591FC4"/>
    <w:rsid w:val="00592430"/>
    <w:rsid w:val="005924E7"/>
    <w:rsid w:val="00592ACA"/>
    <w:rsid w:val="00592DA2"/>
    <w:rsid w:val="00592E79"/>
    <w:rsid w:val="00592EEF"/>
    <w:rsid w:val="0059375D"/>
    <w:rsid w:val="00594204"/>
    <w:rsid w:val="00594383"/>
    <w:rsid w:val="005944CA"/>
    <w:rsid w:val="00594904"/>
    <w:rsid w:val="00597181"/>
    <w:rsid w:val="00597A75"/>
    <w:rsid w:val="00597C51"/>
    <w:rsid w:val="00597D50"/>
    <w:rsid w:val="00597EE3"/>
    <w:rsid w:val="005A0035"/>
    <w:rsid w:val="005A00E2"/>
    <w:rsid w:val="005A025C"/>
    <w:rsid w:val="005A033A"/>
    <w:rsid w:val="005A064D"/>
    <w:rsid w:val="005A06B9"/>
    <w:rsid w:val="005A06E2"/>
    <w:rsid w:val="005A1075"/>
    <w:rsid w:val="005A1666"/>
    <w:rsid w:val="005A1C5B"/>
    <w:rsid w:val="005A1C74"/>
    <w:rsid w:val="005A2B71"/>
    <w:rsid w:val="005A3536"/>
    <w:rsid w:val="005A35F5"/>
    <w:rsid w:val="005A3ED0"/>
    <w:rsid w:val="005A3F85"/>
    <w:rsid w:val="005A435D"/>
    <w:rsid w:val="005A4579"/>
    <w:rsid w:val="005A539E"/>
    <w:rsid w:val="005A5999"/>
    <w:rsid w:val="005A5C15"/>
    <w:rsid w:val="005A5ED1"/>
    <w:rsid w:val="005A6286"/>
    <w:rsid w:val="005A6311"/>
    <w:rsid w:val="005A6346"/>
    <w:rsid w:val="005A655E"/>
    <w:rsid w:val="005A666E"/>
    <w:rsid w:val="005A694D"/>
    <w:rsid w:val="005A6D2F"/>
    <w:rsid w:val="005A73EE"/>
    <w:rsid w:val="005A7997"/>
    <w:rsid w:val="005B082B"/>
    <w:rsid w:val="005B09F5"/>
    <w:rsid w:val="005B17DD"/>
    <w:rsid w:val="005B17E8"/>
    <w:rsid w:val="005B1DD4"/>
    <w:rsid w:val="005B1E97"/>
    <w:rsid w:val="005B21DD"/>
    <w:rsid w:val="005B21FB"/>
    <w:rsid w:val="005B22E1"/>
    <w:rsid w:val="005B2589"/>
    <w:rsid w:val="005B28F5"/>
    <w:rsid w:val="005B29DA"/>
    <w:rsid w:val="005B30B2"/>
    <w:rsid w:val="005B30FC"/>
    <w:rsid w:val="005B343F"/>
    <w:rsid w:val="005B3962"/>
    <w:rsid w:val="005B3B5A"/>
    <w:rsid w:val="005B3B76"/>
    <w:rsid w:val="005B4329"/>
    <w:rsid w:val="005B4430"/>
    <w:rsid w:val="005B47BE"/>
    <w:rsid w:val="005B507F"/>
    <w:rsid w:val="005B5626"/>
    <w:rsid w:val="005B5A17"/>
    <w:rsid w:val="005B5BAC"/>
    <w:rsid w:val="005B5F94"/>
    <w:rsid w:val="005B5FE9"/>
    <w:rsid w:val="005B6056"/>
    <w:rsid w:val="005B63FE"/>
    <w:rsid w:val="005B699A"/>
    <w:rsid w:val="005B6E4B"/>
    <w:rsid w:val="005B72C9"/>
    <w:rsid w:val="005C0014"/>
    <w:rsid w:val="005C0424"/>
    <w:rsid w:val="005C0A90"/>
    <w:rsid w:val="005C0AFC"/>
    <w:rsid w:val="005C0C3B"/>
    <w:rsid w:val="005C0D75"/>
    <w:rsid w:val="005C15EB"/>
    <w:rsid w:val="005C164F"/>
    <w:rsid w:val="005C1AB2"/>
    <w:rsid w:val="005C1EF2"/>
    <w:rsid w:val="005C2234"/>
    <w:rsid w:val="005C2338"/>
    <w:rsid w:val="005C2676"/>
    <w:rsid w:val="005C296C"/>
    <w:rsid w:val="005C29FA"/>
    <w:rsid w:val="005C319D"/>
    <w:rsid w:val="005C31BC"/>
    <w:rsid w:val="005C371D"/>
    <w:rsid w:val="005C3F8A"/>
    <w:rsid w:val="005C413D"/>
    <w:rsid w:val="005C4156"/>
    <w:rsid w:val="005C417C"/>
    <w:rsid w:val="005C47FE"/>
    <w:rsid w:val="005C4CB0"/>
    <w:rsid w:val="005C4CF7"/>
    <w:rsid w:val="005C4EB4"/>
    <w:rsid w:val="005C4F32"/>
    <w:rsid w:val="005C4F9E"/>
    <w:rsid w:val="005C4FEC"/>
    <w:rsid w:val="005C50DE"/>
    <w:rsid w:val="005C512A"/>
    <w:rsid w:val="005C5669"/>
    <w:rsid w:val="005C57C6"/>
    <w:rsid w:val="005C59AA"/>
    <w:rsid w:val="005C5BB2"/>
    <w:rsid w:val="005C5E90"/>
    <w:rsid w:val="005C60E9"/>
    <w:rsid w:val="005C6473"/>
    <w:rsid w:val="005C6584"/>
    <w:rsid w:val="005C6713"/>
    <w:rsid w:val="005C6ABB"/>
    <w:rsid w:val="005C6AD7"/>
    <w:rsid w:val="005C6CCE"/>
    <w:rsid w:val="005C6DC0"/>
    <w:rsid w:val="005C71CC"/>
    <w:rsid w:val="005C78DD"/>
    <w:rsid w:val="005C7AC4"/>
    <w:rsid w:val="005C7B9A"/>
    <w:rsid w:val="005C7F6D"/>
    <w:rsid w:val="005D0197"/>
    <w:rsid w:val="005D04C8"/>
    <w:rsid w:val="005D08D8"/>
    <w:rsid w:val="005D115D"/>
    <w:rsid w:val="005D1179"/>
    <w:rsid w:val="005D12EB"/>
    <w:rsid w:val="005D1490"/>
    <w:rsid w:val="005D16E4"/>
    <w:rsid w:val="005D1B42"/>
    <w:rsid w:val="005D1D57"/>
    <w:rsid w:val="005D1DC7"/>
    <w:rsid w:val="005D221B"/>
    <w:rsid w:val="005D2875"/>
    <w:rsid w:val="005D2A41"/>
    <w:rsid w:val="005D30BA"/>
    <w:rsid w:val="005D349A"/>
    <w:rsid w:val="005D3986"/>
    <w:rsid w:val="005D40ED"/>
    <w:rsid w:val="005D42A8"/>
    <w:rsid w:val="005D5019"/>
    <w:rsid w:val="005D50F4"/>
    <w:rsid w:val="005D51DB"/>
    <w:rsid w:val="005D5327"/>
    <w:rsid w:val="005D53F6"/>
    <w:rsid w:val="005D58FD"/>
    <w:rsid w:val="005D5D94"/>
    <w:rsid w:val="005D6D00"/>
    <w:rsid w:val="005D6F4B"/>
    <w:rsid w:val="005D79C1"/>
    <w:rsid w:val="005D7C40"/>
    <w:rsid w:val="005E00BD"/>
    <w:rsid w:val="005E0147"/>
    <w:rsid w:val="005E0FC4"/>
    <w:rsid w:val="005E1EF3"/>
    <w:rsid w:val="005E21C1"/>
    <w:rsid w:val="005E26B3"/>
    <w:rsid w:val="005E27AA"/>
    <w:rsid w:val="005E288A"/>
    <w:rsid w:val="005E30A7"/>
    <w:rsid w:val="005E3739"/>
    <w:rsid w:val="005E3DA4"/>
    <w:rsid w:val="005E3DA6"/>
    <w:rsid w:val="005E3DB6"/>
    <w:rsid w:val="005E40E0"/>
    <w:rsid w:val="005E41BE"/>
    <w:rsid w:val="005E41C0"/>
    <w:rsid w:val="005E50D7"/>
    <w:rsid w:val="005E5426"/>
    <w:rsid w:val="005E555D"/>
    <w:rsid w:val="005E5DC4"/>
    <w:rsid w:val="005E65AC"/>
    <w:rsid w:val="005E6827"/>
    <w:rsid w:val="005E7188"/>
    <w:rsid w:val="005E7408"/>
    <w:rsid w:val="005E754D"/>
    <w:rsid w:val="005E7593"/>
    <w:rsid w:val="005E787B"/>
    <w:rsid w:val="005E7C73"/>
    <w:rsid w:val="005F0503"/>
    <w:rsid w:val="005F072C"/>
    <w:rsid w:val="005F0D0E"/>
    <w:rsid w:val="005F0DF7"/>
    <w:rsid w:val="005F149F"/>
    <w:rsid w:val="005F15B0"/>
    <w:rsid w:val="005F1879"/>
    <w:rsid w:val="005F1B5A"/>
    <w:rsid w:val="005F2089"/>
    <w:rsid w:val="005F22A7"/>
    <w:rsid w:val="005F25D7"/>
    <w:rsid w:val="005F2CBF"/>
    <w:rsid w:val="005F3012"/>
    <w:rsid w:val="005F3439"/>
    <w:rsid w:val="005F3E3A"/>
    <w:rsid w:val="005F3E51"/>
    <w:rsid w:val="005F4261"/>
    <w:rsid w:val="005F442F"/>
    <w:rsid w:val="005F4784"/>
    <w:rsid w:val="005F56AE"/>
    <w:rsid w:val="005F5F8F"/>
    <w:rsid w:val="005F77A6"/>
    <w:rsid w:val="005F781A"/>
    <w:rsid w:val="005F7CC5"/>
    <w:rsid w:val="006002D8"/>
    <w:rsid w:val="00600335"/>
    <w:rsid w:val="006003BA"/>
    <w:rsid w:val="00600A0C"/>
    <w:rsid w:val="00600B25"/>
    <w:rsid w:val="00600CB5"/>
    <w:rsid w:val="00600FAC"/>
    <w:rsid w:val="00601010"/>
    <w:rsid w:val="006011CF"/>
    <w:rsid w:val="006018F8"/>
    <w:rsid w:val="00601C2A"/>
    <w:rsid w:val="0060216E"/>
    <w:rsid w:val="00602E43"/>
    <w:rsid w:val="006034CA"/>
    <w:rsid w:val="00603749"/>
    <w:rsid w:val="00603C82"/>
    <w:rsid w:val="00604B22"/>
    <w:rsid w:val="00604B43"/>
    <w:rsid w:val="00604DEB"/>
    <w:rsid w:val="00605496"/>
    <w:rsid w:val="006058EC"/>
    <w:rsid w:val="0060625E"/>
    <w:rsid w:val="00606D58"/>
    <w:rsid w:val="00606D5C"/>
    <w:rsid w:val="00606DDA"/>
    <w:rsid w:val="00606FF4"/>
    <w:rsid w:val="006074E3"/>
    <w:rsid w:val="00607B49"/>
    <w:rsid w:val="0061026B"/>
    <w:rsid w:val="00610803"/>
    <w:rsid w:val="00610A1B"/>
    <w:rsid w:val="00611304"/>
    <w:rsid w:val="00611406"/>
    <w:rsid w:val="006115FD"/>
    <w:rsid w:val="0061219C"/>
    <w:rsid w:val="00612344"/>
    <w:rsid w:val="006123DF"/>
    <w:rsid w:val="00612AD8"/>
    <w:rsid w:val="00612C03"/>
    <w:rsid w:val="00612EA1"/>
    <w:rsid w:val="006130C1"/>
    <w:rsid w:val="006138D2"/>
    <w:rsid w:val="00613F66"/>
    <w:rsid w:val="00614183"/>
    <w:rsid w:val="006142C0"/>
    <w:rsid w:val="006147DC"/>
    <w:rsid w:val="006148C7"/>
    <w:rsid w:val="00614A20"/>
    <w:rsid w:val="006155E6"/>
    <w:rsid w:val="00615909"/>
    <w:rsid w:val="00615B68"/>
    <w:rsid w:val="00615DF7"/>
    <w:rsid w:val="0061673A"/>
    <w:rsid w:val="00616B1A"/>
    <w:rsid w:val="0061717F"/>
    <w:rsid w:val="0061725A"/>
    <w:rsid w:val="00617773"/>
    <w:rsid w:val="006178A4"/>
    <w:rsid w:val="006179A3"/>
    <w:rsid w:val="00617B79"/>
    <w:rsid w:val="00620746"/>
    <w:rsid w:val="00620BC8"/>
    <w:rsid w:val="00620DCD"/>
    <w:rsid w:val="00620EFE"/>
    <w:rsid w:val="0062102A"/>
    <w:rsid w:val="0062105C"/>
    <w:rsid w:val="00621410"/>
    <w:rsid w:val="00621FDB"/>
    <w:rsid w:val="0062265B"/>
    <w:rsid w:val="00622936"/>
    <w:rsid w:val="00622D66"/>
    <w:rsid w:val="00622FED"/>
    <w:rsid w:val="006237ED"/>
    <w:rsid w:val="0062385A"/>
    <w:rsid w:val="006238FB"/>
    <w:rsid w:val="00623CFD"/>
    <w:rsid w:val="0062411A"/>
    <w:rsid w:val="006243A5"/>
    <w:rsid w:val="00624915"/>
    <w:rsid w:val="00624D88"/>
    <w:rsid w:val="00624FCA"/>
    <w:rsid w:val="0062542B"/>
    <w:rsid w:val="00625DAA"/>
    <w:rsid w:val="00625E48"/>
    <w:rsid w:val="00626818"/>
    <w:rsid w:val="006271AA"/>
    <w:rsid w:val="006271CB"/>
    <w:rsid w:val="00627271"/>
    <w:rsid w:val="00627424"/>
    <w:rsid w:val="006278AF"/>
    <w:rsid w:val="0062790C"/>
    <w:rsid w:val="00627EBA"/>
    <w:rsid w:val="00630141"/>
    <w:rsid w:val="0063034D"/>
    <w:rsid w:val="0063038B"/>
    <w:rsid w:val="00630767"/>
    <w:rsid w:val="00630825"/>
    <w:rsid w:val="006309C9"/>
    <w:rsid w:val="00630A01"/>
    <w:rsid w:val="0063113E"/>
    <w:rsid w:val="0063175E"/>
    <w:rsid w:val="0063187B"/>
    <w:rsid w:val="0063197A"/>
    <w:rsid w:val="00632415"/>
    <w:rsid w:val="00632663"/>
    <w:rsid w:val="0063271C"/>
    <w:rsid w:val="00632CBF"/>
    <w:rsid w:val="00632D5B"/>
    <w:rsid w:val="00633471"/>
    <w:rsid w:val="00634494"/>
    <w:rsid w:val="006347E6"/>
    <w:rsid w:val="0063515C"/>
    <w:rsid w:val="0063526E"/>
    <w:rsid w:val="006355AB"/>
    <w:rsid w:val="00635642"/>
    <w:rsid w:val="00635BB0"/>
    <w:rsid w:val="00635BC1"/>
    <w:rsid w:val="00635D2D"/>
    <w:rsid w:val="00635FD1"/>
    <w:rsid w:val="006361DD"/>
    <w:rsid w:val="006363A4"/>
    <w:rsid w:val="00636C69"/>
    <w:rsid w:val="006371ED"/>
    <w:rsid w:val="00637640"/>
    <w:rsid w:val="00637E70"/>
    <w:rsid w:val="006405D7"/>
    <w:rsid w:val="006410C3"/>
    <w:rsid w:val="006411AE"/>
    <w:rsid w:val="006416C6"/>
    <w:rsid w:val="00641A94"/>
    <w:rsid w:val="00641DCC"/>
    <w:rsid w:val="00641E35"/>
    <w:rsid w:val="0064228D"/>
    <w:rsid w:val="00642939"/>
    <w:rsid w:val="00642A4E"/>
    <w:rsid w:val="00642F0E"/>
    <w:rsid w:val="006430AC"/>
    <w:rsid w:val="0064373E"/>
    <w:rsid w:val="00643815"/>
    <w:rsid w:val="006439C0"/>
    <w:rsid w:val="00643E33"/>
    <w:rsid w:val="0064453D"/>
    <w:rsid w:val="00644DDE"/>
    <w:rsid w:val="00644FD3"/>
    <w:rsid w:val="00645453"/>
    <w:rsid w:val="00645A33"/>
    <w:rsid w:val="00645ECD"/>
    <w:rsid w:val="00645F33"/>
    <w:rsid w:val="00646792"/>
    <w:rsid w:val="00646946"/>
    <w:rsid w:val="006469BE"/>
    <w:rsid w:val="00646E33"/>
    <w:rsid w:val="00646E66"/>
    <w:rsid w:val="006473A7"/>
    <w:rsid w:val="0064789A"/>
    <w:rsid w:val="0064798E"/>
    <w:rsid w:val="00647B47"/>
    <w:rsid w:val="00647C0B"/>
    <w:rsid w:val="00647D02"/>
    <w:rsid w:val="006503A9"/>
    <w:rsid w:val="006504A8"/>
    <w:rsid w:val="00650514"/>
    <w:rsid w:val="006506F5"/>
    <w:rsid w:val="00650705"/>
    <w:rsid w:val="00650C48"/>
    <w:rsid w:val="00650E27"/>
    <w:rsid w:val="00651063"/>
    <w:rsid w:val="006518EF"/>
    <w:rsid w:val="00651D17"/>
    <w:rsid w:val="00652529"/>
    <w:rsid w:val="006525B9"/>
    <w:rsid w:val="006526A5"/>
    <w:rsid w:val="00652859"/>
    <w:rsid w:val="00652A2F"/>
    <w:rsid w:val="00652E00"/>
    <w:rsid w:val="00653A58"/>
    <w:rsid w:val="00653B56"/>
    <w:rsid w:val="00653E41"/>
    <w:rsid w:val="00653EC0"/>
    <w:rsid w:val="00654F5A"/>
    <w:rsid w:val="00655292"/>
    <w:rsid w:val="0065534F"/>
    <w:rsid w:val="00655C02"/>
    <w:rsid w:val="00655C06"/>
    <w:rsid w:val="00656287"/>
    <w:rsid w:val="00656393"/>
    <w:rsid w:val="006565C7"/>
    <w:rsid w:val="00657212"/>
    <w:rsid w:val="00657303"/>
    <w:rsid w:val="00657931"/>
    <w:rsid w:val="006579A6"/>
    <w:rsid w:val="0066055C"/>
    <w:rsid w:val="006613C8"/>
    <w:rsid w:val="00661415"/>
    <w:rsid w:val="006618E2"/>
    <w:rsid w:val="006619E4"/>
    <w:rsid w:val="00661E5C"/>
    <w:rsid w:val="006623C8"/>
    <w:rsid w:val="00662552"/>
    <w:rsid w:val="006626CC"/>
    <w:rsid w:val="006627AD"/>
    <w:rsid w:val="00662B0F"/>
    <w:rsid w:val="00663CD6"/>
    <w:rsid w:val="00663DBB"/>
    <w:rsid w:val="006641DB"/>
    <w:rsid w:val="00664D82"/>
    <w:rsid w:val="00664FAA"/>
    <w:rsid w:val="006656BD"/>
    <w:rsid w:val="00666472"/>
    <w:rsid w:val="006664F3"/>
    <w:rsid w:val="00666573"/>
    <w:rsid w:val="00666E74"/>
    <w:rsid w:val="00667571"/>
    <w:rsid w:val="0067033F"/>
    <w:rsid w:val="0067064E"/>
    <w:rsid w:val="0067109F"/>
    <w:rsid w:val="0067140F"/>
    <w:rsid w:val="00671498"/>
    <w:rsid w:val="00672649"/>
    <w:rsid w:val="00672BD6"/>
    <w:rsid w:val="00672CDF"/>
    <w:rsid w:val="00672F0E"/>
    <w:rsid w:val="0067314A"/>
    <w:rsid w:val="00673873"/>
    <w:rsid w:val="00673B23"/>
    <w:rsid w:val="0067419B"/>
    <w:rsid w:val="0067429D"/>
    <w:rsid w:val="0067458B"/>
    <w:rsid w:val="00674A88"/>
    <w:rsid w:val="00674D44"/>
    <w:rsid w:val="00675718"/>
    <w:rsid w:val="0067594C"/>
    <w:rsid w:val="00675C57"/>
    <w:rsid w:val="006762ED"/>
    <w:rsid w:val="0067630C"/>
    <w:rsid w:val="006765A5"/>
    <w:rsid w:val="00676B40"/>
    <w:rsid w:val="00676BDD"/>
    <w:rsid w:val="00676FE8"/>
    <w:rsid w:val="006770BF"/>
    <w:rsid w:val="006771C5"/>
    <w:rsid w:val="00677550"/>
    <w:rsid w:val="00677DDD"/>
    <w:rsid w:val="006806F0"/>
    <w:rsid w:val="00680BA5"/>
    <w:rsid w:val="00680F0D"/>
    <w:rsid w:val="006815DF"/>
    <w:rsid w:val="00681768"/>
    <w:rsid w:val="006818FE"/>
    <w:rsid w:val="00681B67"/>
    <w:rsid w:val="00682368"/>
    <w:rsid w:val="006835E7"/>
    <w:rsid w:val="0068388B"/>
    <w:rsid w:val="00683B1B"/>
    <w:rsid w:val="00683CFF"/>
    <w:rsid w:val="00683F03"/>
    <w:rsid w:val="00683FF5"/>
    <w:rsid w:val="00683FFB"/>
    <w:rsid w:val="00684ADC"/>
    <w:rsid w:val="0068548E"/>
    <w:rsid w:val="00685556"/>
    <w:rsid w:val="006855C4"/>
    <w:rsid w:val="00685D63"/>
    <w:rsid w:val="00686054"/>
    <w:rsid w:val="006865A3"/>
    <w:rsid w:val="006869EF"/>
    <w:rsid w:val="00686CDD"/>
    <w:rsid w:val="00686FD4"/>
    <w:rsid w:val="00687204"/>
    <w:rsid w:val="0068740F"/>
    <w:rsid w:val="006876A0"/>
    <w:rsid w:val="00687E8A"/>
    <w:rsid w:val="00687EEF"/>
    <w:rsid w:val="006901BC"/>
    <w:rsid w:val="00690CBB"/>
    <w:rsid w:val="00690F01"/>
    <w:rsid w:val="00691812"/>
    <w:rsid w:val="00691EA1"/>
    <w:rsid w:val="006923D4"/>
    <w:rsid w:val="006929C6"/>
    <w:rsid w:val="00692C22"/>
    <w:rsid w:val="00693104"/>
    <w:rsid w:val="00693130"/>
    <w:rsid w:val="00693613"/>
    <w:rsid w:val="00693634"/>
    <w:rsid w:val="0069495A"/>
    <w:rsid w:val="006954D3"/>
    <w:rsid w:val="00695653"/>
    <w:rsid w:val="00695C3B"/>
    <w:rsid w:val="00695DE0"/>
    <w:rsid w:val="00696061"/>
    <w:rsid w:val="00696413"/>
    <w:rsid w:val="006967E4"/>
    <w:rsid w:val="00696AF6"/>
    <w:rsid w:val="00697403"/>
    <w:rsid w:val="00697D76"/>
    <w:rsid w:val="006A0040"/>
    <w:rsid w:val="006A00BE"/>
    <w:rsid w:val="006A0312"/>
    <w:rsid w:val="006A099C"/>
    <w:rsid w:val="006A0CE4"/>
    <w:rsid w:val="006A0E1F"/>
    <w:rsid w:val="006A0EDB"/>
    <w:rsid w:val="006A0F32"/>
    <w:rsid w:val="006A10DE"/>
    <w:rsid w:val="006A12FD"/>
    <w:rsid w:val="006A1737"/>
    <w:rsid w:val="006A1B0A"/>
    <w:rsid w:val="006A1C83"/>
    <w:rsid w:val="006A294C"/>
    <w:rsid w:val="006A2977"/>
    <w:rsid w:val="006A2B3F"/>
    <w:rsid w:val="006A3740"/>
    <w:rsid w:val="006A37E7"/>
    <w:rsid w:val="006A40DE"/>
    <w:rsid w:val="006A482D"/>
    <w:rsid w:val="006A4AE8"/>
    <w:rsid w:val="006A4EA7"/>
    <w:rsid w:val="006A4FFF"/>
    <w:rsid w:val="006A516F"/>
    <w:rsid w:val="006A5E45"/>
    <w:rsid w:val="006A633E"/>
    <w:rsid w:val="006A6448"/>
    <w:rsid w:val="006A654A"/>
    <w:rsid w:val="006A6B81"/>
    <w:rsid w:val="006A6DB4"/>
    <w:rsid w:val="006A6DF0"/>
    <w:rsid w:val="006A7087"/>
    <w:rsid w:val="006A7251"/>
    <w:rsid w:val="006A72F1"/>
    <w:rsid w:val="006A737E"/>
    <w:rsid w:val="006A742C"/>
    <w:rsid w:val="006A76DA"/>
    <w:rsid w:val="006A7754"/>
    <w:rsid w:val="006A7AC5"/>
    <w:rsid w:val="006B02B7"/>
    <w:rsid w:val="006B078C"/>
    <w:rsid w:val="006B0CD3"/>
    <w:rsid w:val="006B108E"/>
    <w:rsid w:val="006B111C"/>
    <w:rsid w:val="006B124D"/>
    <w:rsid w:val="006B1480"/>
    <w:rsid w:val="006B17E1"/>
    <w:rsid w:val="006B19C0"/>
    <w:rsid w:val="006B1B6F"/>
    <w:rsid w:val="006B2719"/>
    <w:rsid w:val="006B29F7"/>
    <w:rsid w:val="006B3752"/>
    <w:rsid w:val="006B41C3"/>
    <w:rsid w:val="006B4326"/>
    <w:rsid w:val="006B4C44"/>
    <w:rsid w:val="006B4FDA"/>
    <w:rsid w:val="006B53A2"/>
    <w:rsid w:val="006B55F0"/>
    <w:rsid w:val="006B5D00"/>
    <w:rsid w:val="006B6087"/>
    <w:rsid w:val="006B66A4"/>
    <w:rsid w:val="006B6995"/>
    <w:rsid w:val="006B6A26"/>
    <w:rsid w:val="006B6D6E"/>
    <w:rsid w:val="006B71C5"/>
    <w:rsid w:val="006B7263"/>
    <w:rsid w:val="006B72BD"/>
    <w:rsid w:val="006C054B"/>
    <w:rsid w:val="006C05ED"/>
    <w:rsid w:val="006C07E9"/>
    <w:rsid w:val="006C120C"/>
    <w:rsid w:val="006C1258"/>
    <w:rsid w:val="006C146B"/>
    <w:rsid w:val="006C274B"/>
    <w:rsid w:val="006C295B"/>
    <w:rsid w:val="006C2960"/>
    <w:rsid w:val="006C2C32"/>
    <w:rsid w:val="006C2D06"/>
    <w:rsid w:val="006C2EFB"/>
    <w:rsid w:val="006C38D5"/>
    <w:rsid w:val="006C3A9E"/>
    <w:rsid w:val="006C3C0B"/>
    <w:rsid w:val="006C3D9A"/>
    <w:rsid w:val="006C3F5E"/>
    <w:rsid w:val="006C3FF6"/>
    <w:rsid w:val="006C415A"/>
    <w:rsid w:val="006C487C"/>
    <w:rsid w:val="006C48F3"/>
    <w:rsid w:val="006C4961"/>
    <w:rsid w:val="006C4CE9"/>
    <w:rsid w:val="006C4D81"/>
    <w:rsid w:val="006C52D7"/>
    <w:rsid w:val="006C552A"/>
    <w:rsid w:val="006C6516"/>
    <w:rsid w:val="006C65D7"/>
    <w:rsid w:val="006C667C"/>
    <w:rsid w:val="006C6687"/>
    <w:rsid w:val="006C694A"/>
    <w:rsid w:val="006C69D9"/>
    <w:rsid w:val="006C6EBB"/>
    <w:rsid w:val="006C6F82"/>
    <w:rsid w:val="006C7172"/>
    <w:rsid w:val="006C74A5"/>
    <w:rsid w:val="006D0767"/>
    <w:rsid w:val="006D0856"/>
    <w:rsid w:val="006D0F63"/>
    <w:rsid w:val="006D10A8"/>
    <w:rsid w:val="006D1219"/>
    <w:rsid w:val="006D1384"/>
    <w:rsid w:val="006D14B3"/>
    <w:rsid w:val="006D1557"/>
    <w:rsid w:val="006D160B"/>
    <w:rsid w:val="006D19CF"/>
    <w:rsid w:val="006D22B4"/>
    <w:rsid w:val="006D2E91"/>
    <w:rsid w:val="006D3086"/>
    <w:rsid w:val="006D31FA"/>
    <w:rsid w:val="006D3233"/>
    <w:rsid w:val="006D3B1D"/>
    <w:rsid w:val="006D3BFE"/>
    <w:rsid w:val="006D3DD1"/>
    <w:rsid w:val="006D4D50"/>
    <w:rsid w:val="006D54B2"/>
    <w:rsid w:val="006D5839"/>
    <w:rsid w:val="006D5941"/>
    <w:rsid w:val="006D5B73"/>
    <w:rsid w:val="006D5F59"/>
    <w:rsid w:val="006D6937"/>
    <w:rsid w:val="006D69A5"/>
    <w:rsid w:val="006D6AF1"/>
    <w:rsid w:val="006D6CAD"/>
    <w:rsid w:val="006D70CB"/>
    <w:rsid w:val="006D77B2"/>
    <w:rsid w:val="006D7C18"/>
    <w:rsid w:val="006E0049"/>
    <w:rsid w:val="006E0165"/>
    <w:rsid w:val="006E12EB"/>
    <w:rsid w:val="006E1F0E"/>
    <w:rsid w:val="006E1F85"/>
    <w:rsid w:val="006E25A0"/>
    <w:rsid w:val="006E3398"/>
    <w:rsid w:val="006E36C2"/>
    <w:rsid w:val="006E37B3"/>
    <w:rsid w:val="006E3D54"/>
    <w:rsid w:val="006E3DD6"/>
    <w:rsid w:val="006E4970"/>
    <w:rsid w:val="006E49EC"/>
    <w:rsid w:val="006E4D41"/>
    <w:rsid w:val="006E522C"/>
    <w:rsid w:val="006E5589"/>
    <w:rsid w:val="006E5D02"/>
    <w:rsid w:val="006E5DE4"/>
    <w:rsid w:val="006E65BD"/>
    <w:rsid w:val="006E692D"/>
    <w:rsid w:val="006E7038"/>
    <w:rsid w:val="006E72D6"/>
    <w:rsid w:val="006E782C"/>
    <w:rsid w:val="006E7961"/>
    <w:rsid w:val="006E7CE1"/>
    <w:rsid w:val="006E7DEB"/>
    <w:rsid w:val="006F052A"/>
    <w:rsid w:val="006F0655"/>
    <w:rsid w:val="006F0E09"/>
    <w:rsid w:val="006F1128"/>
    <w:rsid w:val="006F15B8"/>
    <w:rsid w:val="006F2464"/>
    <w:rsid w:val="006F27A4"/>
    <w:rsid w:val="006F3184"/>
    <w:rsid w:val="006F3D7A"/>
    <w:rsid w:val="006F4856"/>
    <w:rsid w:val="006F4958"/>
    <w:rsid w:val="006F5337"/>
    <w:rsid w:val="006F5746"/>
    <w:rsid w:val="006F5E2D"/>
    <w:rsid w:val="006F66AE"/>
    <w:rsid w:val="006F6919"/>
    <w:rsid w:val="006F6985"/>
    <w:rsid w:val="006F69ED"/>
    <w:rsid w:val="006F730B"/>
    <w:rsid w:val="006F7649"/>
    <w:rsid w:val="00700135"/>
    <w:rsid w:val="007002A7"/>
    <w:rsid w:val="007005B6"/>
    <w:rsid w:val="00700A09"/>
    <w:rsid w:val="00700F5E"/>
    <w:rsid w:val="00701050"/>
    <w:rsid w:val="00701FFC"/>
    <w:rsid w:val="00702203"/>
    <w:rsid w:val="0070220A"/>
    <w:rsid w:val="007028D7"/>
    <w:rsid w:val="00702F23"/>
    <w:rsid w:val="00703800"/>
    <w:rsid w:val="007044F6"/>
    <w:rsid w:val="00704A96"/>
    <w:rsid w:val="00704C1A"/>
    <w:rsid w:val="007050E6"/>
    <w:rsid w:val="00705E38"/>
    <w:rsid w:val="007061C5"/>
    <w:rsid w:val="007061DF"/>
    <w:rsid w:val="0070620B"/>
    <w:rsid w:val="0070644B"/>
    <w:rsid w:val="00706A36"/>
    <w:rsid w:val="00706AFB"/>
    <w:rsid w:val="00706B39"/>
    <w:rsid w:val="00707249"/>
    <w:rsid w:val="007075A5"/>
    <w:rsid w:val="007076D2"/>
    <w:rsid w:val="007078C9"/>
    <w:rsid w:val="007104D3"/>
    <w:rsid w:val="007106CA"/>
    <w:rsid w:val="007106D5"/>
    <w:rsid w:val="00710D8C"/>
    <w:rsid w:val="0071134F"/>
    <w:rsid w:val="00711851"/>
    <w:rsid w:val="00712040"/>
    <w:rsid w:val="007121EE"/>
    <w:rsid w:val="007126A0"/>
    <w:rsid w:val="0071305A"/>
    <w:rsid w:val="007135BA"/>
    <w:rsid w:val="00713D30"/>
    <w:rsid w:val="00714A00"/>
    <w:rsid w:val="00714C6B"/>
    <w:rsid w:val="0071501A"/>
    <w:rsid w:val="00715597"/>
    <w:rsid w:val="007164D9"/>
    <w:rsid w:val="007165B6"/>
    <w:rsid w:val="0071692A"/>
    <w:rsid w:val="00716B67"/>
    <w:rsid w:val="00716C40"/>
    <w:rsid w:val="00716DCF"/>
    <w:rsid w:val="00717250"/>
    <w:rsid w:val="007173ED"/>
    <w:rsid w:val="00717A3E"/>
    <w:rsid w:val="00717C82"/>
    <w:rsid w:val="0072010A"/>
    <w:rsid w:val="00720292"/>
    <w:rsid w:val="007204D6"/>
    <w:rsid w:val="0072084F"/>
    <w:rsid w:val="00720EC9"/>
    <w:rsid w:val="007211FC"/>
    <w:rsid w:val="0072142C"/>
    <w:rsid w:val="00721A50"/>
    <w:rsid w:val="00722080"/>
    <w:rsid w:val="00722505"/>
    <w:rsid w:val="00722577"/>
    <w:rsid w:val="007225D5"/>
    <w:rsid w:val="007225D6"/>
    <w:rsid w:val="00722618"/>
    <w:rsid w:val="00722C94"/>
    <w:rsid w:val="00723023"/>
    <w:rsid w:val="00723819"/>
    <w:rsid w:val="00723B45"/>
    <w:rsid w:val="00723E1F"/>
    <w:rsid w:val="00723F6B"/>
    <w:rsid w:val="00724669"/>
    <w:rsid w:val="007247D3"/>
    <w:rsid w:val="00724A88"/>
    <w:rsid w:val="00724CA1"/>
    <w:rsid w:val="00724CE4"/>
    <w:rsid w:val="00724E6C"/>
    <w:rsid w:val="0072525F"/>
    <w:rsid w:val="0072526F"/>
    <w:rsid w:val="007253BB"/>
    <w:rsid w:val="00725722"/>
    <w:rsid w:val="00725864"/>
    <w:rsid w:val="00725B1A"/>
    <w:rsid w:val="00725C35"/>
    <w:rsid w:val="007269A6"/>
    <w:rsid w:val="007270D2"/>
    <w:rsid w:val="007271E2"/>
    <w:rsid w:val="00727729"/>
    <w:rsid w:val="00727A97"/>
    <w:rsid w:val="00727BC8"/>
    <w:rsid w:val="00727DC5"/>
    <w:rsid w:val="00727ED8"/>
    <w:rsid w:val="007303EF"/>
    <w:rsid w:val="00730693"/>
    <w:rsid w:val="00730D80"/>
    <w:rsid w:val="0073154E"/>
    <w:rsid w:val="00731AAB"/>
    <w:rsid w:val="0073233E"/>
    <w:rsid w:val="0073294A"/>
    <w:rsid w:val="00732952"/>
    <w:rsid w:val="00732961"/>
    <w:rsid w:val="00732F00"/>
    <w:rsid w:val="00733102"/>
    <w:rsid w:val="00733200"/>
    <w:rsid w:val="007333C5"/>
    <w:rsid w:val="007336C4"/>
    <w:rsid w:val="007336DC"/>
    <w:rsid w:val="00734005"/>
    <w:rsid w:val="007340C4"/>
    <w:rsid w:val="007344FC"/>
    <w:rsid w:val="0073489B"/>
    <w:rsid w:val="007349EA"/>
    <w:rsid w:val="00734F94"/>
    <w:rsid w:val="007350E8"/>
    <w:rsid w:val="007354DF"/>
    <w:rsid w:val="00735929"/>
    <w:rsid w:val="00735962"/>
    <w:rsid w:val="0073648E"/>
    <w:rsid w:val="00736884"/>
    <w:rsid w:val="00736F2C"/>
    <w:rsid w:val="00736F7D"/>
    <w:rsid w:val="0073703A"/>
    <w:rsid w:val="0073719C"/>
    <w:rsid w:val="00737C43"/>
    <w:rsid w:val="007406CE"/>
    <w:rsid w:val="00740CA0"/>
    <w:rsid w:val="00741003"/>
    <w:rsid w:val="007410EF"/>
    <w:rsid w:val="007414C7"/>
    <w:rsid w:val="00742059"/>
    <w:rsid w:val="00742274"/>
    <w:rsid w:val="00742E7D"/>
    <w:rsid w:val="00742F9D"/>
    <w:rsid w:val="0074301E"/>
    <w:rsid w:val="00743764"/>
    <w:rsid w:val="007439CB"/>
    <w:rsid w:val="00743D8C"/>
    <w:rsid w:val="00743DE5"/>
    <w:rsid w:val="00743F00"/>
    <w:rsid w:val="00743F6E"/>
    <w:rsid w:val="0074438D"/>
    <w:rsid w:val="00744E38"/>
    <w:rsid w:val="00745019"/>
    <w:rsid w:val="00745094"/>
    <w:rsid w:val="00745233"/>
    <w:rsid w:val="00745528"/>
    <w:rsid w:val="007457FA"/>
    <w:rsid w:val="00745B11"/>
    <w:rsid w:val="00745BC4"/>
    <w:rsid w:val="00745BD7"/>
    <w:rsid w:val="007460FB"/>
    <w:rsid w:val="0074642E"/>
    <w:rsid w:val="00746A07"/>
    <w:rsid w:val="00746FB0"/>
    <w:rsid w:val="007475F5"/>
    <w:rsid w:val="007478CE"/>
    <w:rsid w:val="00747D46"/>
    <w:rsid w:val="00747FBA"/>
    <w:rsid w:val="00750284"/>
    <w:rsid w:val="00750AE9"/>
    <w:rsid w:val="007511BC"/>
    <w:rsid w:val="0075132D"/>
    <w:rsid w:val="0075141D"/>
    <w:rsid w:val="007519BB"/>
    <w:rsid w:val="0075211A"/>
    <w:rsid w:val="00752799"/>
    <w:rsid w:val="00752940"/>
    <w:rsid w:val="00752A33"/>
    <w:rsid w:val="00753128"/>
    <w:rsid w:val="007533D7"/>
    <w:rsid w:val="007534A2"/>
    <w:rsid w:val="007534AA"/>
    <w:rsid w:val="007534F0"/>
    <w:rsid w:val="00754597"/>
    <w:rsid w:val="00754AE4"/>
    <w:rsid w:val="00755450"/>
    <w:rsid w:val="00755726"/>
    <w:rsid w:val="0075580D"/>
    <w:rsid w:val="00755B29"/>
    <w:rsid w:val="007560D0"/>
    <w:rsid w:val="00756107"/>
    <w:rsid w:val="00756191"/>
    <w:rsid w:val="00756195"/>
    <w:rsid w:val="00756251"/>
    <w:rsid w:val="00757B40"/>
    <w:rsid w:val="00757C47"/>
    <w:rsid w:val="00757EB3"/>
    <w:rsid w:val="00757EFF"/>
    <w:rsid w:val="00760589"/>
    <w:rsid w:val="00760884"/>
    <w:rsid w:val="00760EAE"/>
    <w:rsid w:val="007611A3"/>
    <w:rsid w:val="0076133A"/>
    <w:rsid w:val="00761B8E"/>
    <w:rsid w:val="00761CDF"/>
    <w:rsid w:val="00762431"/>
    <w:rsid w:val="007627DB"/>
    <w:rsid w:val="0076285E"/>
    <w:rsid w:val="00762931"/>
    <w:rsid w:val="00762AD5"/>
    <w:rsid w:val="00763369"/>
    <w:rsid w:val="00763390"/>
    <w:rsid w:val="00763455"/>
    <w:rsid w:val="00763462"/>
    <w:rsid w:val="00763CBB"/>
    <w:rsid w:val="007643E3"/>
    <w:rsid w:val="00764784"/>
    <w:rsid w:val="007648E4"/>
    <w:rsid w:val="007651F5"/>
    <w:rsid w:val="0076569A"/>
    <w:rsid w:val="00765B15"/>
    <w:rsid w:val="00765BFA"/>
    <w:rsid w:val="00765E06"/>
    <w:rsid w:val="00765EAC"/>
    <w:rsid w:val="00765F2F"/>
    <w:rsid w:val="00765F65"/>
    <w:rsid w:val="00766054"/>
    <w:rsid w:val="00766937"/>
    <w:rsid w:val="00766DF1"/>
    <w:rsid w:val="0076748C"/>
    <w:rsid w:val="00767991"/>
    <w:rsid w:val="00770387"/>
    <w:rsid w:val="007705A0"/>
    <w:rsid w:val="00770A1A"/>
    <w:rsid w:val="00771177"/>
    <w:rsid w:val="007716F5"/>
    <w:rsid w:val="00771CA3"/>
    <w:rsid w:val="0077243B"/>
    <w:rsid w:val="00772459"/>
    <w:rsid w:val="00772751"/>
    <w:rsid w:val="00772B15"/>
    <w:rsid w:val="007730F5"/>
    <w:rsid w:val="0077325B"/>
    <w:rsid w:val="0077346C"/>
    <w:rsid w:val="00773ED4"/>
    <w:rsid w:val="00774648"/>
    <w:rsid w:val="007746C6"/>
    <w:rsid w:val="0077557E"/>
    <w:rsid w:val="0077559F"/>
    <w:rsid w:val="00775795"/>
    <w:rsid w:val="007758B5"/>
    <w:rsid w:val="0077701D"/>
    <w:rsid w:val="00777211"/>
    <w:rsid w:val="0077795C"/>
    <w:rsid w:val="00777A43"/>
    <w:rsid w:val="00777CCE"/>
    <w:rsid w:val="00777DF6"/>
    <w:rsid w:val="0078074A"/>
    <w:rsid w:val="00780A92"/>
    <w:rsid w:val="0078151C"/>
    <w:rsid w:val="00781584"/>
    <w:rsid w:val="0078210E"/>
    <w:rsid w:val="0078223E"/>
    <w:rsid w:val="0078228C"/>
    <w:rsid w:val="007825C7"/>
    <w:rsid w:val="007827EA"/>
    <w:rsid w:val="0078282B"/>
    <w:rsid w:val="00782927"/>
    <w:rsid w:val="00782C8B"/>
    <w:rsid w:val="007834B3"/>
    <w:rsid w:val="00783A91"/>
    <w:rsid w:val="007841EE"/>
    <w:rsid w:val="007844AD"/>
    <w:rsid w:val="007846D2"/>
    <w:rsid w:val="00784BE1"/>
    <w:rsid w:val="00785749"/>
    <w:rsid w:val="007859B0"/>
    <w:rsid w:val="00785B9F"/>
    <w:rsid w:val="00785D60"/>
    <w:rsid w:val="00785FE9"/>
    <w:rsid w:val="007863A2"/>
    <w:rsid w:val="0078667C"/>
    <w:rsid w:val="00786DE5"/>
    <w:rsid w:val="00787310"/>
    <w:rsid w:val="00787425"/>
    <w:rsid w:val="00787518"/>
    <w:rsid w:val="007875FC"/>
    <w:rsid w:val="00787883"/>
    <w:rsid w:val="00787A8B"/>
    <w:rsid w:val="00787F63"/>
    <w:rsid w:val="007905F9"/>
    <w:rsid w:val="00790CAC"/>
    <w:rsid w:val="00790E2F"/>
    <w:rsid w:val="007910F2"/>
    <w:rsid w:val="007918EB"/>
    <w:rsid w:val="00791E29"/>
    <w:rsid w:val="0079268E"/>
    <w:rsid w:val="007928B4"/>
    <w:rsid w:val="00792BB0"/>
    <w:rsid w:val="00792E10"/>
    <w:rsid w:val="007933D8"/>
    <w:rsid w:val="0079368F"/>
    <w:rsid w:val="007937EB"/>
    <w:rsid w:val="00793C77"/>
    <w:rsid w:val="00793EAD"/>
    <w:rsid w:val="007943C7"/>
    <w:rsid w:val="0079477A"/>
    <w:rsid w:val="00794ABA"/>
    <w:rsid w:val="00794C1B"/>
    <w:rsid w:val="0079571C"/>
    <w:rsid w:val="007959FE"/>
    <w:rsid w:val="00795E9F"/>
    <w:rsid w:val="007962AD"/>
    <w:rsid w:val="00796364"/>
    <w:rsid w:val="00796805"/>
    <w:rsid w:val="00796DA4"/>
    <w:rsid w:val="00796F0C"/>
    <w:rsid w:val="007978C9"/>
    <w:rsid w:val="007978FE"/>
    <w:rsid w:val="00797923"/>
    <w:rsid w:val="00797C43"/>
    <w:rsid w:val="007A08F1"/>
    <w:rsid w:val="007A0B81"/>
    <w:rsid w:val="007A0CE7"/>
    <w:rsid w:val="007A12A4"/>
    <w:rsid w:val="007A22C4"/>
    <w:rsid w:val="007A2435"/>
    <w:rsid w:val="007A2AC2"/>
    <w:rsid w:val="007A2BD4"/>
    <w:rsid w:val="007A2FB7"/>
    <w:rsid w:val="007A37EA"/>
    <w:rsid w:val="007A391A"/>
    <w:rsid w:val="007A3E90"/>
    <w:rsid w:val="007A3FC3"/>
    <w:rsid w:val="007A4C68"/>
    <w:rsid w:val="007A50AC"/>
    <w:rsid w:val="007A5224"/>
    <w:rsid w:val="007A533E"/>
    <w:rsid w:val="007A5533"/>
    <w:rsid w:val="007A5CB5"/>
    <w:rsid w:val="007A6318"/>
    <w:rsid w:val="007A6421"/>
    <w:rsid w:val="007A72F3"/>
    <w:rsid w:val="007A7897"/>
    <w:rsid w:val="007A79D6"/>
    <w:rsid w:val="007A7BB9"/>
    <w:rsid w:val="007A7F81"/>
    <w:rsid w:val="007A7F84"/>
    <w:rsid w:val="007A7FB1"/>
    <w:rsid w:val="007A7FD9"/>
    <w:rsid w:val="007B03FB"/>
    <w:rsid w:val="007B07DB"/>
    <w:rsid w:val="007B0CF0"/>
    <w:rsid w:val="007B1CD2"/>
    <w:rsid w:val="007B1D35"/>
    <w:rsid w:val="007B244A"/>
    <w:rsid w:val="007B339A"/>
    <w:rsid w:val="007B3C62"/>
    <w:rsid w:val="007B42B9"/>
    <w:rsid w:val="007B43DE"/>
    <w:rsid w:val="007B46D8"/>
    <w:rsid w:val="007B52B5"/>
    <w:rsid w:val="007B52C0"/>
    <w:rsid w:val="007B5E8D"/>
    <w:rsid w:val="007B5FAD"/>
    <w:rsid w:val="007B7011"/>
    <w:rsid w:val="007B71D0"/>
    <w:rsid w:val="007B71F5"/>
    <w:rsid w:val="007B74A8"/>
    <w:rsid w:val="007B76FC"/>
    <w:rsid w:val="007B7852"/>
    <w:rsid w:val="007C015B"/>
    <w:rsid w:val="007C016B"/>
    <w:rsid w:val="007C026A"/>
    <w:rsid w:val="007C0306"/>
    <w:rsid w:val="007C0434"/>
    <w:rsid w:val="007C0D69"/>
    <w:rsid w:val="007C0DC1"/>
    <w:rsid w:val="007C17FD"/>
    <w:rsid w:val="007C18FD"/>
    <w:rsid w:val="007C2003"/>
    <w:rsid w:val="007C2836"/>
    <w:rsid w:val="007C2950"/>
    <w:rsid w:val="007C2C40"/>
    <w:rsid w:val="007C2F11"/>
    <w:rsid w:val="007C3779"/>
    <w:rsid w:val="007C3A5A"/>
    <w:rsid w:val="007C3A87"/>
    <w:rsid w:val="007C43C5"/>
    <w:rsid w:val="007C448E"/>
    <w:rsid w:val="007C46F0"/>
    <w:rsid w:val="007C49C5"/>
    <w:rsid w:val="007C4F6D"/>
    <w:rsid w:val="007C57DC"/>
    <w:rsid w:val="007C5905"/>
    <w:rsid w:val="007C5E36"/>
    <w:rsid w:val="007C6F22"/>
    <w:rsid w:val="007C744E"/>
    <w:rsid w:val="007C7455"/>
    <w:rsid w:val="007C7515"/>
    <w:rsid w:val="007C7A16"/>
    <w:rsid w:val="007C7D68"/>
    <w:rsid w:val="007D04CF"/>
    <w:rsid w:val="007D0C2F"/>
    <w:rsid w:val="007D0D01"/>
    <w:rsid w:val="007D1295"/>
    <w:rsid w:val="007D1934"/>
    <w:rsid w:val="007D1D44"/>
    <w:rsid w:val="007D1EF0"/>
    <w:rsid w:val="007D2220"/>
    <w:rsid w:val="007D2460"/>
    <w:rsid w:val="007D24DC"/>
    <w:rsid w:val="007D3948"/>
    <w:rsid w:val="007D3B70"/>
    <w:rsid w:val="007D3D16"/>
    <w:rsid w:val="007D4AF0"/>
    <w:rsid w:val="007D527D"/>
    <w:rsid w:val="007D5587"/>
    <w:rsid w:val="007D580D"/>
    <w:rsid w:val="007D5D26"/>
    <w:rsid w:val="007D5FA8"/>
    <w:rsid w:val="007D6084"/>
    <w:rsid w:val="007D60C5"/>
    <w:rsid w:val="007D61BF"/>
    <w:rsid w:val="007D6694"/>
    <w:rsid w:val="007D6728"/>
    <w:rsid w:val="007D67B8"/>
    <w:rsid w:val="007D6940"/>
    <w:rsid w:val="007D7085"/>
    <w:rsid w:val="007D7A52"/>
    <w:rsid w:val="007E07E4"/>
    <w:rsid w:val="007E081B"/>
    <w:rsid w:val="007E0C09"/>
    <w:rsid w:val="007E0C54"/>
    <w:rsid w:val="007E0E19"/>
    <w:rsid w:val="007E113E"/>
    <w:rsid w:val="007E1217"/>
    <w:rsid w:val="007E1338"/>
    <w:rsid w:val="007E199C"/>
    <w:rsid w:val="007E19C2"/>
    <w:rsid w:val="007E1D61"/>
    <w:rsid w:val="007E2422"/>
    <w:rsid w:val="007E27C0"/>
    <w:rsid w:val="007E287D"/>
    <w:rsid w:val="007E2FDC"/>
    <w:rsid w:val="007E306E"/>
    <w:rsid w:val="007E3378"/>
    <w:rsid w:val="007E34FA"/>
    <w:rsid w:val="007E3618"/>
    <w:rsid w:val="007E38FA"/>
    <w:rsid w:val="007E3FC7"/>
    <w:rsid w:val="007E47B3"/>
    <w:rsid w:val="007E4B5D"/>
    <w:rsid w:val="007E4EFD"/>
    <w:rsid w:val="007E5100"/>
    <w:rsid w:val="007E5987"/>
    <w:rsid w:val="007E5E19"/>
    <w:rsid w:val="007E5FBF"/>
    <w:rsid w:val="007E65E4"/>
    <w:rsid w:val="007E728A"/>
    <w:rsid w:val="007E79E2"/>
    <w:rsid w:val="007E7CDF"/>
    <w:rsid w:val="007E7F7A"/>
    <w:rsid w:val="007F0504"/>
    <w:rsid w:val="007F080C"/>
    <w:rsid w:val="007F13B5"/>
    <w:rsid w:val="007F13BC"/>
    <w:rsid w:val="007F15C2"/>
    <w:rsid w:val="007F1969"/>
    <w:rsid w:val="007F1CD1"/>
    <w:rsid w:val="007F25A8"/>
    <w:rsid w:val="007F3776"/>
    <w:rsid w:val="007F3BBC"/>
    <w:rsid w:val="007F3E78"/>
    <w:rsid w:val="007F43A9"/>
    <w:rsid w:val="007F49ED"/>
    <w:rsid w:val="007F516E"/>
    <w:rsid w:val="007F5244"/>
    <w:rsid w:val="007F5F2F"/>
    <w:rsid w:val="007F6232"/>
    <w:rsid w:val="007F7386"/>
    <w:rsid w:val="007F7B7E"/>
    <w:rsid w:val="008003BB"/>
    <w:rsid w:val="00800D9E"/>
    <w:rsid w:val="00801902"/>
    <w:rsid w:val="00802155"/>
    <w:rsid w:val="008022EB"/>
    <w:rsid w:val="008022F0"/>
    <w:rsid w:val="008039C1"/>
    <w:rsid w:val="008039F6"/>
    <w:rsid w:val="00803B8B"/>
    <w:rsid w:val="00804002"/>
    <w:rsid w:val="008040D5"/>
    <w:rsid w:val="0080452D"/>
    <w:rsid w:val="0080489E"/>
    <w:rsid w:val="00804EBF"/>
    <w:rsid w:val="008050E9"/>
    <w:rsid w:val="0080547D"/>
    <w:rsid w:val="00805517"/>
    <w:rsid w:val="00805B41"/>
    <w:rsid w:val="00805FAA"/>
    <w:rsid w:val="008067FF"/>
    <w:rsid w:val="00806897"/>
    <w:rsid w:val="00806B15"/>
    <w:rsid w:val="00806BCF"/>
    <w:rsid w:val="0080706D"/>
    <w:rsid w:val="00807415"/>
    <w:rsid w:val="0080788D"/>
    <w:rsid w:val="008078D7"/>
    <w:rsid w:val="00807BA5"/>
    <w:rsid w:val="00807DCD"/>
    <w:rsid w:val="008102DA"/>
    <w:rsid w:val="008109A2"/>
    <w:rsid w:val="0081125F"/>
    <w:rsid w:val="00811712"/>
    <w:rsid w:val="0081238D"/>
    <w:rsid w:val="0081251C"/>
    <w:rsid w:val="00812741"/>
    <w:rsid w:val="008128C8"/>
    <w:rsid w:val="00812A03"/>
    <w:rsid w:val="0081326E"/>
    <w:rsid w:val="00813367"/>
    <w:rsid w:val="0081352D"/>
    <w:rsid w:val="00814514"/>
    <w:rsid w:val="00814DD7"/>
    <w:rsid w:val="00815FDC"/>
    <w:rsid w:val="008160CE"/>
    <w:rsid w:val="008161B8"/>
    <w:rsid w:val="008171BA"/>
    <w:rsid w:val="008174E5"/>
    <w:rsid w:val="00817738"/>
    <w:rsid w:val="008179D0"/>
    <w:rsid w:val="00817E7E"/>
    <w:rsid w:val="00820353"/>
    <w:rsid w:val="008203AC"/>
    <w:rsid w:val="008208C4"/>
    <w:rsid w:val="00821018"/>
    <w:rsid w:val="0082112F"/>
    <w:rsid w:val="00821A6F"/>
    <w:rsid w:val="00821BC6"/>
    <w:rsid w:val="008232CA"/>
    <w:rsid w:val="00823629"/>
    <w:rsid w:val="0082397E"/>
    <w:rsid w:val="00823F4E"/>
    <w:rsid w:val="0082401A"/>
    <w:rsid w:val="008242C2"/>
    <w:rsid w:val="008246C4"/>
    <w:rsid w:val="00824B5A"/>
    <w:rsid w:val="00825A71"/>
    <w:rsid w:val="00825B67"/>
    <w:rsid w:val="00825C56"/>
    <w:rsid w:val="00826021"/>
    <w:rsid w:val="008261C2"/>
    <w:rsid w:val="008262DE"/>
    <w:rsid w:val="008266DA"/>
    <w:rsid w:val="008268E2"/>
    <w:rsid w:val="00826A63"/>
    <w:rsid w:val="00826BD7"/>
    <w:rsid w:val="0082704A"/>
    <w:rsid w:val="00827407"/>
    <w:rsid w:val="00827E17"/>
    <w:rsid w:val="00827F3C"/>
    <w:rsid w:val="0083017F"/>
    <w:rsid w:val="008301B4"/>
    <w:rsid w:val="008305F9"/>
    <w:rsid w:val="00831A3D"/>
    <w:rsid w:val="00831BD6"/>
    <w:rsid w:val="008325F9"/>
    <w:rsid w:val="008330F9"/>
    <w:rsid w:val="0083336A"/>
    <w:rsid w:val="008337A7"/>
    <w:rsid w:val="0083410C"/>
    <w:rsid w:val="0083416F"/>
    <w:rsid w:val="00834182"/>
    <w:rsid w:val="0083463E"/>
    <w:rsid w:val="00834671"/>
    <w:rsid w:val="00834A58"/>
    <w:rsid w:val="00834AB9"/>
    <w:rsid w:val="00834C83"/>
    <w:rsid w:val="00834CBB"/>
    <w:rsid w:val="00835C0A"/>
    <w:rsid w:val="0083649A"/>
    <w:rsid w:val="0083685F"/>
    <w:rsid w:val="008371DE"/>
    <w:rsid w:val="0083721A"/>
    <w:rsid w:val="00837423"/>
    <w:rsid w:val="00837454"/>
    <w:rsid w:val="008376F1"/>
    <w:rsid w:val="00837759"/>
    <w:rsid w:val="008377F6"/>
    <w:rsid w:val="00837831"/>
    <w:rsid w:val="00837BFC"/>
    <w:rsid w:val="00840352"/>
    <w:rsid w:val="008407DB"/>
    <w:rsid w:val="00840D8A"/>
    <w:rsid w:val="0084161A"/>
    <w:rsid w:val="008419E1"/>
    <w:rsid w:val="0084200B"/>
    <w:rsid w:val="0084220B"/>
    <w:rsid w:val="0084227E"/>
    <w:rsid w:val="008428BB"/>
    <w:rsid w:val="008429F8"/>
    <w:rsid w:val="00842F1C"/>
    <w:rsid w:val="00842F37"/>
    <w:rsid w:val="00843975"/>
    <w:rsid w:val="00843C2E"/>
    <w:rsid w:val="00843C5A"/>
    <w:rsid w:val="00843CFF"/>
    <w:rsid w:val="00843D03"/>
    <w:rsid w:val="00844568"/>
    <w:rsid w:val="008447D0"/>
    <w:rsid w:val="00844820"/>
    <w:rsid w:val="00845742"/>
    <w:rsid w:val="00845BF0"/>
    <w:rsid w:val="00845E86"/>
    <w:rsid w:val="00847138"/>
    <w:rsid w:val="00847B4F"/>
    <w:rsid w:val="00847C46"/>
    <w:rsid w:val="00847C9C"/>
    <w:rsid w:val="008509A2"/>
    <w:rsid w:val="00850FE5"/>
    <w:rsid w:val="0085116D"/>
    <w:rsid w:val="00851278"/>
    <w:rsid w:val="00851932"/>
    <w:rsid w:val="00851B89"/>
    <w:rsid w:val="00851FCE"/>
    <w:rsid w:val="00852315"/>
    <w:rsid w:val="0085301F"/>
    <w:rsid w:val="0085309D"/>
    <w:rsid w:val="008534B9"/>
    <w:rsid w:val="00853711"/>
    <w:rsid w:val="0085374E"/>
    <w:rsid w:val="00853773"/>
    <w:rsid w:val="00853B9D"/>
    <w:rsid w:val="00853ED1"/>
    <w:rsid w:val="00854979"/>
    <w:rsid w:val="00854B0B"/>
    <w:rsid w:val="00854BB2"/>
    <w:rsid w:val="00854CB5"/>
    <w:rsid w:val="00854D51"/>
    <w:rsid w:val="00854F23"/>
    <w:rsid w:val="008550B1"/>
    <w:rsid w:val="00855171"/>
    <w:rsid w:val="00855394"/>
    <w:rsid w:val="00855779"/>
    <w:rsid w:val="0085595F"/>
    <w:rsid w:val="00856A42"/>
    <w:rsid w:val="00856DC5"/>
    <w:rsid w:val="008570E0"/>
    <w:rsid w:val="0086054C"/>
    <w:rsid w:val="00860977"/>
    <w:rsid w:val="00860CC1"/>
    <w:rsid w:val="00860FDA"/>
    <w:rsid w:val="008612A0"/>
    <w:rsid w:val="0086156E"/>
    <w:rsid w:val="00861820"/>
    <w:rsid w:val="00861BB3"/>
    <w:rsid w:val="0086219B"/>
    <w:rsid w:val="00862610"/>
    <w:rsid w:val="00862C49"/>
    <w:rsid w:val="008631DB"/>
    <w:rsid w:val="00863B29"/>
    <w:rsid w:val="00863CCE"/>
    <w:rsid w:val="00863D38"/>
    <w:rsid w:val="008645CB"/>
    <w:rsid w:val="00864C01"/>
    <w:rsid w:val="00864C0F"/>
    <w:rsid w:val="00864D9E"/>
    <w:rsid w:val="00864E12"/>
    <w:rsid w:val="00864F27"/>
    <w:rsid w:val="00865AFD"/>
    <w:rsid w:val="00865C8B"/>
    <w:rsid w:val="0086601C"/>
    <w:rsid w:val="00866473"/>
    <w:rsid w:val="0086677C"/>
    <w:rsid w:val="00866AED"/>
    <w:rsid w:val="00866F5E"/>
    <w:rsid w:val="00867387"/>
    <w:rsid w:val="008678EE"/>
    <w:rsid w:val="00867FD4"/>
    <w:rsid w:val="0087051A"/>
    <w:rsid w:val="00870BA2"/>
    <w:rsid w:val="00870BAE"/>
    <w:rsid w:val="00870FF5"/>
    <w:rsid w:val="0087154C"/>
    <w:rsid w:val="0087155D"/>
    <w:rsid w:val="0087184A"/>
    <w:rsid w:val="008718AB"/>
    <w:rsid w:val="00871E96"/>
    <w:rsid w:val="008721C5"/>
    <w:rsid w:val="008723F1"/>
    <w:rsid w:val="00872537"/>
    <w:rsid w:val="00873193"/>
    <w:rsid w:val="0087345F"/>
    <w:rsid w:val="00873FD2"/>
    <w:rsid w:val="00874286"/>
    <w:rsid w:val="00874593"/>
    <w:rsid w:val="0087467E"/>
    <w:rsid w:val="008747CE"/>
    <w:rsid w:val="008748E5"/>
    <w:rsid w:val="00874E62"/>
    <w:rsid w:val="00874EA9"/>
    <w:rsid w:val="00875B8D"/>
    <w:rsid w:val="008764C4"/>
    <w:rsid w:val="00876576"/>
    <w:rsid w:val="008765A9"/>
    <w:rsid w:val="008769AC"/>
    <w:rsid w:val="00876EFF"/>
    <w:rsid w:val="008773DD"/>
    <w:rsid w:val="008776FF"/>
    <w:rsid w:val="0088014A"/>
    <w:rsid w:val="00880557"/>
    <w:rsid w:val="00880592"/>
    <w:rsid w:val="00880DFD"/>
    <w:rsid w:val="00881584"/>
    <w:rsid w:val="00881974"/>
    <w:rsid w:val="00881BE1"/>
    <w:rsid w:val="00882710"/>
    <w:rsid w:val="00882C4C"/>
    <w:rsid w:val="008838DA"/>
    <w:rsid w:val="00883E46"/>
    <w:rsid w:val="00883FF3"/>
    <w:rsid w:val="008841FF"/>
    <w:rsid w:val="008849DF"/>
    <w:rsid w:val="00884E47"/>
    <w:rsid w:val="0088563C"/>
    <w:rsid w:val="00885AC2"/>
    <w:rsid w:val="0088607E"/>
    <w:rsid w:val="00886585"/>
    <w:rsid w:val="0088664D"/>
    <w:rsid w:val="008866E2"/>
    <w:rsid w:val="00886DED"/>
    <w:rsid w:val="00886F99"/>
    <w:rsid w:val="00887372"/>
    <w:rsid w:val="00887383"/>
    <w:rsid w:val="00887714"/>
    <w:rsid w:val="00887AA9"/>
    <w:rsid w:val="00887D76"/>
    <w:rsid w:val="00887FC4"/>
    <w:rsid w:val="00890448"/>
    <w:rsid w:val="00890826"/>
    <w:rsid w:val="00890AEE"/>
    <w:rsid w:val="00890B31"/>
    <w:rsid w:val="00890D89"/>
    <w:rsid w:val="00891003"/>
    <w:rsid w:val="00891582"/>
    <w:rsid w:val="00891682"/>
    <w:rsid w:val="00891B29"/>
    <w:rsid w:val="00891B4F"/>
    <w:rsid w:val="00891D85"/>
    <w:rsid w:val="00891E72"/>
    <w:rsid w:val="0089222E"/>
    <w:rsid w:val="008929BB"/>
    <w:rsid w:val="00892BD7"/>
    <w:rsid w:val="00892E8C"/>
    <w:rsid w:val="008939F1"/>
    <w:rsid w:val="00893F33"/>
    <w:rsid w:val="00893F5B"/>
    <w:rsid w:val="0089458E"/>
    <w:rsid w:val="00895313"/>
    <w:rsid w:val="008966DD"/>
    <w:rsid w:val="00896D36"/>
    <w:rsid w:val="00896E8B"/>
    <w:rsid w:val="008978FC"/>
    <w:rsid w:val="00897E80"/>
    <w:rsid w:val="00897FD0"/>
    <w:rsid w:val="008A0516"/>
    <w:rsid w:val="008A0E3B"/>
    <w:rsid w:val="008A1D62"/>
    <w:rsid w:val="008A1DE6"/>
    <w:rsid w:val="008A2422"/>
    <w:rsid w:val="008A2C0F"/>
    <w:rsid w:val="008A2C4F"/>
    <w:rsid w:val="008A2C73"/>
    <w:rsid w:val="008A2E3C"/>
    <w:rsid w:val="008A33EC"/>
    <w:rsid w:val="008A395E"/>
    <w:rsid w:val="008A3CE0"/>
    <w:rsid w:val="008A41EE"/>
    <w:rsid w:val="008A43C9"/>
    <w:rsid w:val="008A43E5"/>
    <w:rsid w:val="008A4579"/>
    <w:rsid w:val="008A45A3"/>
    <w:rsid w:val="008A4F7B"/>
    <w:rsid w:val="008A52D6"/>
    <w:rsid w:val="008A544E"/>
    <w:rsid w:val="008A5AF9"/>
    <w:rsid w:val="008A5DCB"/>
    <w:rsid w:val="008A5DE0"/>
    <w:rsid w:val="008A6B37"/>
    <w:rsid w:val="008A6CB0"/>
    <w:rsid w:val="008A6FDC"/>
    <w:rsid w:val="008A75C7"/>
    <w:rsid w:val="008A7811"/>
    <w:rsid w:val="008A7B79"/>
    <w:rsid w:val="008B0258"/>
    <w:rsid w:val="008B0317"/>
    <w:rsid w:val="008B040C"/>
    <w:rsid w:val="008B044A"/>
    <w:rsid w:val="008B04F2"/>
    <w:rsid w:val="008B10BD"/>
    <w:rsid w:val="008B11A0"/>
    <w:rsid w:val="008B12D6"/>
    <w:rsid w:val="008B1778"/>
    <w:rsid w:val="008B2355"/>
    <w:rsid w:val="008B249C"/>
    <w:rsid w:val="008B2DE8"/>
    <w:rsid w:val="008B2E8E"/>
    <w:rsid w:val="008B315D"/>
    <w:rsid w:val="008B34D5"/>
    <w:rsid w:val="008B3AA1"/>
    <w:rsid w:val="008B3FBB"/>
    <w:rsid w:val="008B4D87"/>
    <w:rsid w:val="008B5321"/>
    <w:rsid w:val="008B58FA"/>
    <w:rsid w:val="008B5DCC"/>
    <w:rsid w:val="008B5F88"/>
    <w:rsid w:val="008B6217"/>
    <w:rsid w:val="008B6241"/>
    <w:rsid w:val="008B67CB"/>
    <w:rsid w:val="008B7419"/>
    <w:rsid w:val="008B78E9"/>
    <w:rsid w:val="008B7F15"/>
    <w:rsid w:val="008C0456"/>
    <w:rsid w:val="008C08A8"/>
    <w:rsid w:val="008C0A46"/>
    <w:rsid w:val="008C0C1E"/>
    <w:rsid w:val="008C0F60"/>
    <w:rsid w:val="008C189F"/>
    <w:rsid w:val="008C18B9"/>
    <w:rsid w:val="008C1904"/>
    <w:rsid w:val="008C1AA4"/>
    <w:rsid w:val="008C1BED"/>
    <w:rsid w:val="008C1C9A"/>
    <w:rsid w:val="008C26E4"/>
    <w:rsid w:val="008C3766"/>
    <w:rsid w:val="008C3D36"/>
    <w:rsid w:val="008C3F7E"/>
    <w:rsid w:val="008C44E1"/>
    <w:rsid w:val="008C4D49"/>
    <w:rsid w:val="008C501A"/>
    <w:rsid w:val="008C55A1"/>
    <w:rsid w:val="008C6077"/>
    <w:rsid w:val="008C66D3"/>
    <w:rsid w:val="008C76F4"/>
    <w:rsid w:val="008D027D"/>
    <w:rsid w:val="008D041F"/>
    <w:rsid w:val="008D0454"/>
    <w:rsid w:val="008D0C39"/>
    <w:rsid w:val="008D0E9A"/>
    <w:rsid w:val="008D0FC1"/>
    <w:rsid w:val="008D1311"/>
    <w:rsid w:val="008D216C"/>
    <w:rsid w:val="008D21D9"/>
    <w:rsid w:val="008D2463"/>
    <w:rsid w:val="008D2F22"/>
    <w:rsid w:val="008D32B4"/>
    <w:rsid w:val="008D38BF"/>
    <w:rsid w:val="008D3AC2"/>
    <w:rsid w:val="008D434C"/>
    <w:rsid w:val="008D44FC"/>
    <w:rsid w:val="008D44FD"/>
    <w:rsid w:val="008D4737"/>
    <w:rsid w:val="008D50A6"/>
    <w:rsid w:val="008D534A"/>
    <w:rsid w:val="008D557C"/>
    <w:rsid w:val="008D5593"/>
    <w:rsid w:val="008D58B9"/>
    <w:rsid w:val="008D612D"/>
    <w:rsid w:val="008D65B6"/>
    <w:rsid w:val="008D65D9"/>
    <w:rsid w:val="008D68B2"/>
    <w:rsid w:val="008D6A0B"/>
    <w:rsid w:val="008D74C7"/>
    <w:rsid w:val="008D7801"/>
    <w:rsid w:val="008D7823"/>
    <w:rsid w:val="008D7D57"/>
    <w:rsid w:val="008E0E40"/>
    <w:rsid w:val="008E123E"/>
    <w:rsid w:val="008E13A0"/>
    <w:rsid w:val="008E1A30"/>
    <w:rsid w:val="008E1ECC"/>
    <w:rsid w:val="008E256D"/>
    <w:rsid w:val="008E258A"/>
    <w:rsid w:val="008E2A17"/>
    <w:rsid w:val="008E2B72"/>
    <w:rsid w:val="008E2F39"/>
    <w:rsid w:val="008E3609"/>
    <w:rsid w:val="008E3B41"/>
    <w:rsid w:val="008E4047"/>
    <w:rsid w:val="008E40BA"/>
    <w:rsid w:val="008E41C6"/>
    <w:rsid w:val="008E4355"/>
    <w:rsid w:val="008E4731"/>
    <w:rsid w:val="008E4B0C"/>
    <w:rsid w:val="008E4CB4"/>
    <w:rsid w:val="008E4DCD"/>
    <w:rsid w:val="008E616B"/>
    <w:rsid w:val="008E6410"/>
    <w:rsid w:val="008E648C"/>
    <w:rsid w:val="008E7477"/>
    <w:rsid w:val="008F019E"/>
    <w:rsid w:val="008F01AD"/>
    <w:rsid w:val="008F0648"/>
    <w:rsid w:val="008F0956"/>
    <w:rsid w:val="008F0CF9"/>
    <w:rsid w:val="008F11A8"/>
    <w:rsid w:val="008F1930"/>
    <w:rsid w:val="008F22AB"/>
    <w:rsid w:val="008F2680"/>
    <w:rsid w:val="008F2797"/>
    <w:rsid w:val="008F2849"/>
    <w:rsid w:val="008F28FE"/>
    <w:rsid w:val="008F29BE"/>
    <w:rsid w:val="008F2C2D"/>
    <w:rsid w:val="008F3063"/>
    <w:rsid w:val="008F31DB"/>
    <w:rsid w:val="008F335A"/>
    <w:rsid w:val="008F3D6C"/>
    <w:rsid w:val="008F3D96"/>
    <w:rsid w:val="008F42F7"/>
    <w:rsid w:val="008F456A"/>
    <w:rsid w:val="008F4668"/>
    <w:rsid w:val="008F50B4"/>
    <w:rsid w:val="008F5B28"/>
    <w:rsid w:val="008F5C0B"/>
    <w:rsid w:val="008F5E41"/>
    <w:rsid w:val="008F5E8D"/>
    <w:rsid w:val="008F615F"/>
    <w:rsid w:val="008F6322"/>
    <w:rsid w:val="008F6547"/>
    <w:rsid w:val="008F65A7"/>
    <w:rsid w:val="008F672F"/>
    <w:rsid w:val="008F6868"/>
    <w:rsid w:val="008F6C30"/>
    <w:rsid w:val="008F71BD"/>
    <w:rsid w:val="008F79F7"/>
    <w:rsid w:val="008F7D0F"/>
    <w:rsid w:val="008F7FB4"/>
    <w:rsid w:val="00900616"/>
    <w:rsid w:val="009010DF"/>
    <w:rsid w:val="00901103"/>
    <w:rsid w:val="009011AD"/>
    <w:rsid w:val="00901222"/>
    <w:rsid w:val="00901D76"/>
    <w:rsid w:val="00902024"/>
    <w:rsid w:val="0090245C"/>
    <w:rsid w:val="00902584"/>
    <w:rsid w:val="0090270C"/>
    <w:rsid w:val="00902725"/>
    <w:rsid w:val="00902848"/>
    <w:rsid w:val="00902986"/>
    <w:rsid w:val="009029EC"/>
    <w:rsid w:val="00902D57"/>
    <w:rsid w:val="009031F0"/>
    <w:rsid w:val="00903390"/>
    <w:rsid w:val="00903B9D"/>
    <w:rsid w:val="009040DF"/>
    <w:rsid w:val="009042B4"/>
    <w:rsid w:val="00904898"/>
    <w:rsid w:val="0090490D"/>
    <w:rsid w:val="00904A0B"/>
    <w:rsid w:val="00904F85"/>
    <w:rsid w:val="009051EE"/>
    <w:rsid w:val="00905918"/>
    <w:rsid w:val="00905BAE"/>
    <w:rsid w:val="00905D41"/>
    <w:rsid w:val="009061B6"/>
    <w:rsid w:val="009064A9"/>
    <w:rsid w:val="009064F8"/>
    <w:rsid w:val="00906B30"/>
    <w:rsid w:val="00907430"/>
    <w:rsid w:val="009074E7"/>
    <w:rsid w:val="0090783F"/>
    <w:rsid w:val="009078EA"/>
    <w:rsid w:val="00907A3A"/>
    <w:rsid w:val="00907B44"/>
    <w:rsid w:val="00907E44"/>
    <w:rsid w:val="00907E93"/>
    <w:rsid w:val="00907F6B"/>
    <w:rsid w:val="0091019E"/>
    <w:rsid w:val="009101E2"/>
    <w:rsid w:val="00910786"/>
    <w:rsid w:val="00910A92"/>
    <w:rsid w:val="00911ADA"/>
    <w:rsid w:val="00911B6C"/>
    <w:rsid w:val="0091209C"/>
    <w:rsid w:val="00912932"/>
    <w:rsid w:val="00912A2A"/>
    <w:rsid w:val="00912E8B"/>
    <w:rsid w:val="00913009"/>
    <w:rsid w:val="00913630"/>
    <w:rsid w:val="009136D5"/>
    <w:rsid w:val="00913DF7"/>
    <w:rsid w:val="00913F0E"/>
    <w:rsid w:val="0091427B"/>
    <w:rsid w:val="00914409"/>
    <w:rsid w:val="0091443F"/>
    <w:rsid w:val="0091481C"/>
    <w:rsid w:val="009149A5"/>
    <w:rsid w:val="00914CB7"/>
    <w:rsid w:val="00914EA8"/>
    <w:rsid w:val="00915065"/>
    <w:rsid w:val="0091536C"/>
    <w:rsid w:val="00915757"/>
    <w:rsid w:val="009167FE"/>
    <w:rsid w:val="009177A2"/>
    <w:rsid w:val="00917E2D"/>
    <w:rsid w:val="00917F2D"/>
    <w:rsid w:val="00917F36"/>
    <w:rsid w:val="00917F4D"/>
    <w:rsid w:val="009207CD"/>
    <w:rsid w:val="00920A06"/>
    <w:rsid w:val="00920A6E"/>
    <w:rsid w:val="00920E77"/>
    <w:rsid w:val="00920F6C"/>
    <w:rsid w:val="00921089"/>
    <w:rsid w:val="0092118D"/>
    <w:rsid w:val="009211EF"/>
    <w:rsid w:val="0092136C"/>
    <w:rsid w:val="0092188B"/>
    <w:rsid w:val="009218D8"/>
    <w:rsid w:val="00921D48"/>
    <w:rsid w:val="009225E1"/>
    <w:rsid w:val="00923129"/>
    <w:rsid w:val="009234F7"/>
    <w:rsid w:val="009236A1"/>
    <w:rsid w:val="00924A23"/>
    <w:rsid w:val="00924B20"/>
    <w:rsid w:val="00924BF6"/>
    <w:rsid w:val="00925177"/>
    <w:rsid w:val="00925787"/>
    <w:rsid w:val="00926094"/>
    <w:rsid w:val="009263B3"/>
    <w:rsid w:val="00926405"/>
    <w:rsid w:val="0092683C"/>
    <w:rsid w:val="00926FA6"/>
    <w:rsid w:val="00927409"/>
    <w:rsid w:val="009279DD"/>
    <w:rsid w:val="00927C72"/>
    <w:rsid w:val="00930327"/>
    <w:rsid w:val="00930360"/>
    <w:rsid w:val="0093037F"/>
    <w:rsid w:val="0093094A"/>
    <w:rsid w:val="00930D40"/>
    <w:rsid w:val="0093187D"/>
    <w:rsid w:val="00931A84"/>
    <w:rsid w:val="00932246"/>
    <w:rsid w:val="009323FF"/>
    <w:rsid w:val="009326FC"/>
    <w:rsid w:val="00933751"/>
    <w:rsid w:val="00933779"/>
    <w:rsid w:val="009338B6"/>
    <w:rsid w:val="00933917"/>
    <w:rsid w:val="00933A81"/>
    <w:rsid w:val="00933EC2"/>
    <w:rsid w:val="0093402C"/>
    <w:rsid w:val="00934345"/>
    <w:rsid w:val="009348B1"/>
    <w:rsid w:val="00935197"/>
    <w:rsid w:val="0093559A"/>
    <w:rsid w:val="00935B81"/>
    <w:rsid w:val="00935C2B"/>
    <w:rsid w:val="00936B6C"/>
    <w:rsid w:val="009377A4"/>
    <w:rsid w:val="00937A60"/>
    <w:rsid w:val="00937BD1"/>
    <w:rsid w:val="00937CB4"/>
    <w:rsid w:val="00937F59"/>
    <w:rsid w:val="00940134"/>
    <w:rsid w:val="009401BB"/>
    <w:rsid w:val="0094094E"/>
    <w:rsid w:val="00940CBA"/>
    <w:rsid w:val="009410DC"/>
    <w:rsid w:val="00941BBC"/>
    <w:rsid w:val="00941E1B"/>
    <w:rsid w:val="00941FB1"/>
    <w:rsid w:val="0094213F"/>
    <w:rsid w:val="00942273"/>
    <w:rsid w:val="009425FC"/>
    <w:rsid w:val="00942A61"/>
    <w:rsid w:val="009432C9"/>
    <w:rsid w:val="00943F93"/>
    <w:rsid w:val="00944337"/>
    <w:rsid w:val="00944CE5"/>
    <w:rsid w:val="009452FB"/>
    <w:rsid w:val="009454E8"/>
    <w:rsid w:val="00945854"/>
    <w:rsid w:val="00945B30"/>
    <w:rsid w:val="00945BF2"/>
    <w:rsid w:val="009462D0"/>
    <w:rsid w:val="0094667F"/>
    <w:rsid w:val="00946973"/>
    <w:rsid w:val="00946F86"/>
    <w:rsid w:val="00947001"/>
    <w:rsid w:val="009472F5"/>
    <w:rsid w:val="00947761"/>
    <w:rsid w:val="00947815"/>
    <w:rsid w:val="00947B47"/>
    <w:rsid w:val="00947B9C"/>
    <w:rsid w:val="00947BB4"/>
    <w:rsid w:val="00947BD1"/>
    <w:rsid w:val="009501B6"/>
    <w:rsid w:val="00950AA3"/>
    <w:rsid w:val="009513C3"/>
    <w:rsid w:val="009515B6"/>
    <w:rsid w:val="009519FF"/>
    <w:rsid w:val="00951C7C"/>
    <w:rsid w:val="00951D26"/>
    <w:rsid w:val="00951D3A"/>
    <w:rsid w:val="00951D3B"/>
    <w:rsid w:val="0095237B"/>
    <w:rsid w:val="00952754"/>
    <w:rsid w:val="00952BA2"/>
    <w:rsid w:val="009530DC"/>
    <w:rsid w:val="009530F0"/>
    <w:rsid w:val="009536A7"/>
    <w:rsid w:val="00953D59"/>
    <w:rsid w:val="00953FF5"/>
    <w:rsid w:val="009542E8"/>
    <w:rsid w:val="00954793"/>
    <w:rsid w:val="00954979"/>
    <w:rsid w:val="00954B61"/>
    <w:rsid w:val="00954EA6"/>
    <w:rsid w:val="00955423"/>
    <w:rsid w:val="00955748"/>
    <w:rsid w:val="00955974"/>
    <w:rsid w:val="00955A63"/>
    <w:rsid w:val="00955AF9"/>
    <w:rsid w:val="0095668F"/>
    <w:rsid w:val="009566F7"/>
    <w:rsid w:val="00956A4D"/>
    <w:rsid w:val="00956F77"/>
    <w:rsid w:val="00957324"/>
    <w:rsid w:val="009573E4"/>
    <w:rsid w:val="009574FE"/>
    <w:rsid w:val="009575E7"/>
    <w:rsid w:val="00957FC4"/>
    <w:rsid w:val="00957FC5"/>
    <w:rsid w:val="00960041"/>
    <w:rsid w:val="009606EE"/>
    <w:rsid w:val="0096077A"/>
    <w:rsid w:val="00960954"/>
    <w:rsid w:val="00960A87"/>
    <w:rsid w:val="0096152A"/>
    <w:rsid w:val="0096172D"/>
    <w:rsid w:val="009617C1"/>
    <w:rsid w:val="00961DF4"/>
    <w:rsid w:val="00961E17"/>
    <w:rsid w:val="00962343"/>
    <w:rsid w:val="00962443"/>
    <w:rsid w:val="0096262B"/>
    <w:rsid w:val="00962FD9"/>
    <w:rsid w:val="0096306A"/>
    <w:rsid w:val="009634EE"/>
    <w:rsid w:val="009636AA"/>
    <w:rsid w:val="00963C32"/>
    <w:rsid w:val="00964055"/>
    <w:rsid w:val="00964082"/>
    <w:rsid w:val="00964215"/>
    <w:rsid w:val="0096470D"/>
    <w:rsid w:val="00964E63"/>
    <w:rsid w:val="00964F37"/>
    <w:rsid w:val="0096580B"/>
    <w:rsid w:val="00965E3F"/>
    <w:rsid w:val="00965F43"/>
    <w:rsid w:val="00965F4D"/>
    <w:rsid w:val="00966346"/>
    <w:rsid w:val="00966B98"/>
    <w:rsid w:val="00966BE4"/>
    <w:rsid w:val="00967037"/>
    <w:rsid w:val="0096735B"/>
    <w:rsid w:val="00970199"/>
    <w:rsid w:val="009709F4"/>
    <w:rsid w:val="00970D5F"/>
    <w:rsid w:val="00970FA1"/>
    <w:rsid w:val="00971B29"/>
    <w:rsid w:val="00972F13"/>
    <w:rsid w:val="009735F3"/>
    <w:rsid w:val="00973641"/>
    <w:rsid w:val="00973705"/>
    <w:rsid w:val="0097379F"/>
    <w:rsid w:val="00974BE3"/>
    <w:rsid w:val="009753C7"/>
    <w:rsid w:val="009755AB"/>
    <w:rsid w:val="009758E7"/>
    <w:rsid w:val="00975E39"/>
    <w:rsid w:val="00976038"/>
    <w:rsid w:val="00976285"/>
    <w:rsid w:val="009766C3"/>
    <w:rsid w:val="009769A3"/>
    <w:rsid w:val="00976EEE"/>
    <w:rsid w:val="00976F0B"/>
    <w:rsid w:val="0097750C"/>
    <w:rsid w:val="00977590"/>
    <w:rsid w:val="009778D0"/>
    <w:rsid w:val="00977C1E"/>
    <w:rsid w:val="00980742"/>
    <w:rsid w:val="00980C72"/>
    <w:rsid w:val="00980E3A"/>
    <w:rsid w:val="009812A0"/>
    <w:rsid w:val="0098178A"/>
    <w:rsid w:val="00981986"/>
    <w:rsid w:val="009819B2"/>
    <w:rsid w:val="00981AEF"/>
    <w:rsid w:val="00981EA6"/>
    <w:rsid w:val="009824AA"/>
    <w:rsid w:val="0098282C"/>
    <w:rsid w:val="00982946"/>
    <w:rsid w:val="00982EC0"/>
    <w:rsid w:val="009839B0"/>
    <w:rsid w:val="00983D7B"/>
    <w:rsid w:val="00984348"/>
    <w:rsid w:val="009843B2"/>
    <w:rsid w:val="00984580"/>
    <w:rsid w:val="009846FE"/>
    <w:rsid w:val="00984E46"/>
    <w:rsid w:val="00984FC4"/>
    <w:rsid w:val="00984FFC"/>
    <w:rsid w:val="00985567"/>
    <w:rsid w:val="0098570E"/>
    <w:rsid w:val="00985897"/>
    <w:rsid w:val="00985D39"/>
    <w:rsid w:val="009863AD"/>
    <w:rsid w:val="00987368"/>
    <w:rsid w:val="0098761E"/>
    <w:rsid w:val="0098763D"/>
    <w:rsid w:val="00987697"/>
    <w:rsid w:val="009878FD"/>
    <w:rsid w:val="00990021"/>
    <w:rsid w:val="0099048A"/>
    <w:rsid w:val="009905FC"/>
    <w:rsid w:val="00990811"/>
    <w:rsid w:val="0099171B"/>
    <w:rsid w:val="00991828"/>
    <w:rsid w:val="00991AF5"/>
    <w:rsid w:val="00992514"/>
    <w:rsid w:val="00992573"/>
    <w:rsid w:val="00992B92"/>
    <w:rsid w:val="00992BDB"/>
    <w:rsid w:val="009931C3"/>
    <w:rsid w:val="0099330B"/>
    <w:rsid w:val="0099377B"/>
    <w:rsid w:val="00993847"/>
    <w:rsid w:val="00993D78"/>
    <w:rsid w:val="00993DC8"/>
    <w:rsid w:val="0099415D"/>
    <w:rsid w:val="009941C4"/>
    <w:rsid w:val="0099535C"/>
    <w:rsid w:val="0099554C"/>
    <w:rsid w:val="00995D09"/>
    <w:rsid w:val="00995D8D"/>
    <w:rsid w:val="009963EB"/>
    <w:rsid w:val="009965A4"/>
    <w:rsid w:val="00996FF0"/>
    <w:rsid w:val="00997258"/>
    <w:rsid w:val="009974D1"/>
    <w:rsid w:val="00997592"/>
    <w:rsid w:val="00997ACF"/>
    <w:rsid w:val="00997B02"/>
    <w:rsid w:val="00997E7B"/>
    <w:rsid w:val="00997E8C"/>
    <w:rsid w:val="009A01DE"/>
    <w:rsid w:val="009A05CF"/>
    <w:rsid w:val="009A0A1D"/>
    <w:rsid w:val="009A0AEA"/>
    <w:rsid w:val="009A0BF6"/>
    <w:rsid w:val="009A0EAF"/>
    <w:rsid w:val="009A0FD8"/>
    <w:rsid w:val="009A0FF5"/>
    <w:rsid w:val="009A10D4"/>
    <w:rsid w:val="009A1318"/>
    <w:rsid w:val="009A2037"/>
    <w:rsid w:val="009A20AD"/>
    <w:rsid w:val="009A2510"/>
    <w:rsid w:val="009A29F3"/>
    <w:rsid w:val="009A2CDF"/>
    <w:rsid w:val="009A303A"/>
    <w:rsid w:val="009A396D"/>
    <w:rsid w:val="009A3C39"/>
    <w:rsid w:val="009A3CCB"/>
    <w:rsid w:val="009A48AC"/>
    <w:rsid w:val="009A5BC9"/>
    <w:rsid w:val="009A624E"/>
    <w:rsid w:val="009A646B"/>
    <w:rsid w:val="009A65AE"/>
    <w:rsid w:val="009A67AF"/>
    <w:rsid w:val="009A7783"/>
    <w:rsid w:val="009A783E"/>
    <w:rsid w:val="009B05AE"/>
    <w:rsid w:val="009B1D27"/>
    <w:rsid w:val="009B1E6C"/>
    <w:rsid w:val="009B20A7"/>
    <w:rsid w:val="009B24C8"/>
    <w:rsid w:val="009B289B"/>
    <w:rsid w:val="009B2C2E"/>
    <w:rsid w:val="009B2C59"/>
    <w:rsid w:val="009B3347"/>
    <w:rsid w:val="009B3837"/>
    <w:rsid w:val="009B3AAD"/>
    <w:rsid w:val="009B3AB6"/>
    <w:rsid w:val="009B3B27"/>
    <w:rsid w:val="009B3BD2"/>
    <w:rsid w:val="009B40CA"/>
    <w:rsid w:val="009B466D"/>
    <w:rsid w:val="009B48F9"/>
    <w:rsid w:val="009B51AF"/>
    <w:rsid w:val="009B5289"/>
    <w:rsid w:val="009B5439"/>
    <w:rsid w:val="009B55A5"/>
    <w:rsid w:val="009B55E4"/>
    <w:rsid w:val="009B57C8"/>
    <w:rsid w:val="009B6027"/>
    <w:rsid w:val="009B64CC"/>
    <w:rsid w:val="009B69F1"/>
    <w:rsid w:val="009B6A10"/>
    <w:rsid w:val="009B775E"/>
    <w:rsid w:val="009B7791"/>
    <w:rsid w:val="009C0014"/>
    <w:rsid w:val="009C025B"/>
    <w:rsid w:val="009C087D"/>
    <w:rsid w:val="009C0DF5"/>
    <w:rsid w:val="009C1334"/>
    <w:rsid w:val="009C13DA"/>
    <w:rsid w:val="009C14FE"/>
    <w:rsid w:val="009C1B77"/>
    <w:rsid w:val="009C1E78"/>
    <w:rsid w:val="009C21D0"/>
    <w:rsid w:val="009C23CD"/>
    <w:rsid w:val="009C2730"/>
    <w:rsid w:val="009C2C62"/>
    <w:rsid w:val="009C3119"/>
    <w:rsid w:val="009C381A"/>
    <w:rsid w:val="009C3AD1"/>
    <w:rsid w:val="009C3F3C"/>
    <w:rsid w:val="009C3F57"/>
    <w:rsid w:val="009C4BBA"/>
    <w:rsid w:val="009C4C8A"/>
    <w:rsid w:val="009C4DF8"/>
    <w:rsid w:val="009C4E2C"/>
    <w:rsid w:val="009C4F06"/>
    <w:rsid w:val="009C4F8D"/>
    <w:rsid w:val="009C4FAA"/>
    <w:rsid w:val="009C5AA8"/>
    <w:rsid w:val="009C5C4C"/>
    <w:rsid w:val="009C5D87"/>
    <w:rsid w:val="009C606F"/>
    <w:rsid w:val="009C657C"/>
    <w:rsid w:val="009C69BA"/>
    <w:rsid w:val="009C6CE4"/>
    <w:rsid w:val="009C7012"/>
    <w:rsid w:val="009C7C0C"/>
    <w:rsid w:val="009C7EED"/>
    <w:rsid w:val="009D0205"/>
    <w:rsid w:val="009D030A"/>
    <w:rsid w:val="009D033A"/>
    <w:rsid w:val="009D0372"/>
    <w:rsid w:val="009D0425"/>
    <w:rsid w:val="009D09A3"/>
    <w:rsid w:val="009D0A04"/>
    <w:rsid w:val="009D0B58"/>
    <w:rsid w:val="009D0CD1"/>
    <w:rsid w:val="009D149C"/>
    <w:rsid w:val="009D177E"/>
    <w:rsid w:val="009D1EA4"/>
    <w:rsid w:val="009D2067"/>
    <w:rsid w:val="009D25ED"/>
    <w:rsid w:val="009D2B6E"/>
    <w:rsid w:val="009D4453"/>
    <w:rsid w:val="009D5743"/>
    <w:rsid w:val="009D5CCC"/>
    <w:rsid w:val="009D60D3"/>
    <w:rsid w:val="009D65AD"/>
    <w:rsid w:val="009D723D"/>
    <w:rsid w:val="009D73A1"/>
    <w:rsid w:val="009D73BF"/>
    <w:rsid w:val="009D775C"/>
    <w:rsid w:val="009D7C21"/>
    <w:rsid w:val="009D7FEF"/>
    <w:rsid w:val="009E02CC"/>
    <w:rsid w:val="009E0328"/>
    <w:rsid w:val="009E03D0"/>
    <w:rsid w:val="009E056F"/>
    <w:rsid w:val="009E065E"/>
    <w:rsid w:val="009E0EBA"/>
    <w:rsid w:val="009E12AE"/>
    <w:rsid w:val="009E12CA"/>
    <w:rsid w:val="009E1649"/>
    <w:rsid w:val="009E17FD"/>
    <w:rsid w:val="009E28A2"/>
    <w:rsid w:val="009E2C1A"/>
    <w:rsid w:val="009E300D"/>
    <w:rsid w:val="009E3271"/>
    <w:rsid w:val="009E3272"/>
    <w:rsid w:val="009E32BF"/>
    <w:rsid w:val="009E35FA"/>
    <w:rsid w:val="009E370E"/>
    <w:rsid w:val="009E38D3"/>
    <w:rsid w:val="009E3907"/>
    <w:rsid w:val="009E3D57"/>
    <w:rsid w:val="009E47A9"/>
    <w:rsid w:val="009E47B7"/>
    <w:rsid w:val="009E4A3A"/>
    <w:rsid w:val="009E4BF1"/>
    <w:rsid w:val="009E57BF"/>
    <w:rsid w:val="009E5D07"/>
    <w:rsid w:val="009E5FD3"/>
    <w:rsid w:val="009E5FE5"/>
    <w:rsid w:val="009E604C"/>
    <w:rsid w:val="009E60C6"/>
    <w:rsid w:val="009E6A2A"/>
    <w:rsid w:val="009E6BAC"/>
    <w:rsid w:val="009E6F4A"/>
    <w:rsid w:val="009E710A"/>
    <w:rsid w:val="009E723D"/>
    <w:rsid w:val="009E79CA"/>
    <w:rsid w:val="009E7A4E"/>
    <w:rsid w:val="009E7E65"/>
    <w:rsid w:val="009F073E"/>
    <w:rsid w:val="009F10E9"/>
    <w:rsid w:val="009F11F7"/>
    <w:rsid w:val="009F126D"/>
    <w:rsid w:val="009F1367"/>
    <w:rsid w:val="009F15F8"/>
    <w:rsid w:val="009F1E45"/>
    <w:rsid w:val="009F2198"/>
    <w:rsid w:val="009F22DC"/>
    <w:rsid w:val="009F27C3"/>
    <w:rsid w:val="009F2ACA"/>
    <w:rsid w:val="009F2AEB"/>
    <w:rsid w:val="009F2B85"/>
    <w:rsid w:val="009F2CDB"/>
    <w:rsid w:val="009F2E61"/>
    <w:rsid w:val="009F4009"/>
    <w:rsid w:val="009F41B9"/>
    <w:rsid w:val="009F4773"/>
    <w:rsid w:val="009F4791"/>
    <w:rsid w:val="009F5A39"/>
    <w:rsid w:val="009F5B39"/>
    <w:rsid w:val="009F5DD0"/>
    <w:rsid w:val="009F62C7"/>
    <w:rsid w:val="009F6518"/>
    <w:rsid w:val="009F7307"/>
    <w:rsid w:val="009F7710"/>
    <w:rsid w:val="009F7ABA"/>
    <w:rsid w:val="00A006B4"/>
    <w:rsid w:val="00A008B2"/>
    <w:rsid w:val="00A00BED"/>
    <w:rsid w:val="00A01F85"/>
    <w:rsid w:val="00A023D7"/>
    <w:rsid w:val="00A0243F"/>
    <w:rsid w:val="00A02844"/>
    <w:rsid w:val="00A03485"/>
    <w:rsid w:val="00A03616"/>
    <w:rsid w:val="00A039C9"/>
    <w:rsid w:val="00A04189"/>
    <w:rsid w:val="00A04241"/>
    <w:rsid w:val="00A04435"/>
    <w:rsid w:val="00A049A9"/>
    <w:rsid w:val="00A04B78"/>
    <w:rsid w:val="00A04D19"/>
    <w:rsid w:val="00A04DC1"/>
    <w:rsid w:val="00A052F7"/>
    <w:rsid w:val="00A05493"/>
    <w:rsid w:val="00A059C2"/>
    <w:rsid w:val="00A06425"/>
    <w:rsid w:val="00A07139"/>
    <w:rsid w:val="00A0732D"/>
    <w:rsid w:val="00A07C0F"/>
    <w:rsid w:val="00A10673"/>
    <w:rsid w:val="00A1109D"/>
    <w:rsid w:val="00A11132"/>
    <w:rsid w:val="00A1212D"/>
    <w:rsid w:val="00A12260"/>
    <w:rsid w:val="00A124C6"/>
    <w:rsid w:val="00A126B1"/>
    <w:rsid w:val="00A12D3A"/>
    <w:rsid w:val="00A12F20"/>
    <w:rsid w:val="00A13095"/>
    <w:rsid w:val="00A1314F"/>
    <w:rsid w:val="00A13B17"/>
    <w:rsid w:val="00A13BF0"/>
    <w:rsid w:val="00A13E9D"/>
    <w:rsid w:val="00A1421E"/>
    <w:rsid w:val="00A155CD"/>
    <w:rsid w:val="00A16CEB"/>
    <w:rsid w:val="00A17493"/>
    <w:rsid w:val="00A175EA"/>
    <w:rsid w:val="00A2016F"/>
    <w:rsid w:val="00A203D4"/>
    <w:rsid w:val="00A20592"/>
    <w:rsid w:val="00A20950"/>
    <w:rsid w:val="00A20B70"/>
    <w:rsid w:val="00A21987"/>
    <w:rsid w:val="00A21CE6"/>
    <w:rsid w:val="00A21D45"/>
    <w:rsid w:val="00A21DA8"/>
    <w:rsid w:val="00A21F78"/>
    <w:rsid w:val="00A225EC"/>
    <w:rsid w:val="00A2292A"/>
    <w:rsid w:val="00A22DA8"/>
    <w:rsid w:val="00A22F08"/>
    <w:rsid w:val="00A23642"/>
    <w:rsid w:val="00A23831"/>
    <w:rsid w:val="00A238E4"/>
    <w:rsid w:val="00A23913"/>
    <w:rsid w:val="00A23A29"/>
    <w:rsid w:val="00A23A96"/>
    <w:rsid w:val="00A23B5C"/>
    <w:rsid w:val="00A2435E"/>
    <w:rsid w:val="00A24372"/>
    <w:rsid w:val="00A24858"/>
    <w:rsid w:val="00A25055"/>
    <w:rsid w:val="00A25114"/>
    <w:rsid w:val="00A2557E"/>
    <w:rsid w:val="00A258CA"/>
    <w:rsid w:val="00A26448"/>
    <w:rsid w:val="00A268AE"/>
    <w:rsid w:val="00A26A57"/>
    <w:rsid w:val="00A26ACA"/>
    <w:rsid w:val="00A272D0"/>
    <w:rsid w:val="00A27BA8"/>
    <w:rsid w:val="00A27EB8"/>
    <w:rsid w:val="00A27F6E"/>
    <w:rsid w:val="00A305A8"/>
    <w:rsid w:val="00A30959"/>
    <w:rsid w:val="00A31391"/>
    <w:rsid w:val="00A3147A"/>
    <w:rsid w:val="00A3147F"/>
    <w:rsid w:val="00A31C14"/>
    <w:rsid w:val="00A31CBC"/>
    <w:rsid w:val="00A31E84"/>
    <w:rsid w:val="00A320DD"/>
    <w:rsid w:val="00A322B3"/>
    <w:rsid w:val="00A325FB"/>
    <w:rsid w:val="00A32697"/>
    <w:rsid w:val="00A32AC9"/>
    <w:rsid w:val="00A33134"/>
    <w:rsid w:val="00A3332F"/>
    <w:rsid w:val="00A33342"/>
    <w:rsid w:val="00A33872"/>
    <w:rsid w:val="00A33878"/>
    <w:rsid w:val="00A33BC3"/>
    <w:rsid w:val="00A343FA"/>
    <w:rsid w:val="00A345C0"/>
    <w:rsid w:val="00A345F1"/>
    <w:rsid w:val="00A34C48"/>
    <w:rsid w:val="00A34DA5"/>
    <w:rsid w:val="00A353F5"/>
    <w:rsid w:val="00A35713"/>
    <w:rsid w:val="00A35BF8"/>
    <w:rsid w:val="00A36CC5"/>
    <w:rsid w:val="00A37CFA"/>
    <w:rsid w:val="00A4049C"/>
    <w:rsid w:val="00A41411"/>
    <w:rsid w:val="00A4169A"/>
    <w:rsid w:val="00A4174A"/>
    <w:rsid w:val="00A42039"/>
    <w:rsid w:val="00A423B3"/>
    <w:rsid w:val="00A42944"/>
    <w:rsid w:val="00A431F9"/>
    <w:rsid w:val="00A436C7"/>
    <w:rsid w:val="00A43914"/>
    <w:rsid w:val="00A439AF"/>
    <w:rsid w:val="00A44224"/>
    <w:rsid w:val="00A45024"/>
    <w:rsid w:val="00A450DF"/>
    <w:rsid w:val="00A452AC"/>
    <w:rsid w:val="00A455E3"/>
    <w:rsid w:val="00A4578A"/>
    <w:rsid w:val="00A45A16"/>
    <w:rsid w:val="00A45AC3"/>
    <w:rsid w:val="00A4616D"/>
    <w:rsid w:val="00A465B5"/>
    <w:rsid w:val="00A46913"/>
    <w:rsid w:val="00A47763"/>
    <w:rsid w:val="00A47891"/>
    <w:rsid w:val="00A47A3D"/>
    <w:rsid w:val="00A50058"/>
    <w:rsid w:val="00A503B6"/>
    <w:rsid w:val="00A51796"/>
    <w:rsid w:val="00A520F6"/>
    <w:rsid w:val="00A5298C"/>
    <w:rsid w:val="00A52AA2"/>
    <w:rsid w:val="00A52DBA"/>
    <w:rsid w:val="00A5310B"/>
    <w:rsid w:val="00A53BDA"/>
    <w:rsid w:val="00A53C45"/>
    <w:rsid w:val="00A53E29"/>
    <w:rsid w:val="00A53F7B"/>
    <w:rsid w:val="00A540E2"/>
    <w:rsid w:val="00A544E9"/>
    <w:rsid w:val="00A545CC"/>
    <w:rsid w:val="00A555A7"/>
    <w:rsid w:val="00A55645"/>
    <w:rsid w:val="00A55682"/>
    <w:rsid w:val="00A5568D"/>
    <w:rsid w:val="00A55996"/>
    <w:rsid w:val="00A562AA"/>
    <w:rsid w:val="00A56B99"/>
    <w:rsid w:val="00A56D07"/>
    <w:rsid w:val="00A56E00"/>
    <w:rsid w:val="00A60906"/>
    <w:rsid w:val="00A60BDB"/>
    <w:rsid w:val="00A60CEC"/>
    <w:rsid w:val="00A60FFD"/>
    <w:rsid w:val="00A6153A"/>
    <w:rsid w:val="00A62123"/>
    <w:rsid w:val="00A62244"/>
    <w:rsid w:val="00A62393"/>
    <w:rsid w:val="00A62A71"/>
    <w:rsid w:val="00A62AFC"/>
    <w:rsid w:val="00A62D8A"/>
    <w:rsid w:val="00A62F62"/>
    <w:rsid w:val="00A62FBC"/>
    <w:rsid w:val="00A63473"/>
    <w:rsid w:val="00A638C0"/>
    <w:rsid w:val="00A639B7"/>
    <w:rsid w:val="00A63FD1"/>
    <w:rsid w:val="00A643D8"/>
    <w:rsid w:val="00A645B4"/>
    <w:rsid w:val="00A64878"/>
    <w:rsid w:val="00A64A30"/>
    <w:rsid w:val="00A65766"/>
    <w:rsid w:val="00A65775"/>
    <w:rsid w:val="00A66131"/>
    <w:rsid w:val="00A666B8"/>
    <w:rsid w:val="00A668A2"/>
    <w:rsid w:val="00A66BAD"/>
    <w:rsid w:val="00A67DE1"/>
    <w:rsid w:val="00A70549"/>
    <w:rsid w:val="00A709F6"/>
    <w:rsid w:val="00A7117A"/>
    <w:rsid w:val="00A717D7"/>
    <w:rsid w:val="00A718E3"/>
    <w:rsid w:val="00A71A79"/>
    <w:rsid w:val="00A71C19"/>
    <w:rsid w:val="00A71D6E"/>
    <w:rsid w:val="00A72032"/>
    <w:rsid w:val="00A7265B"/>
    <w:rsid w:val="00A72A86"/>
    <w:rsid w:val="00A72F71"/>
    <w:rsid w:val="00A72FD0"/>
    <w:rsid w:val="00A734C1"/>
    <w:rsid w:val="00A7353E"/>
    <w:rsid w:val="00A73E75"/>
    <w:rsid w:val="00A73FA2"/>
    <w:rsid w:val="00A747B4"/>
    <w:rsid w:val="00A7499E"/>
    <w:rsid w:val="00A74A70"/>
    <w:rsid w:val="00A74ED0"/>
    <w:rsid w:val="00A751DF"/>
    <w:rsid w:val="00A75929"/>
    <w:rsid w:val="00A75933"/>
    <w:rsid w:val="00A75D68"/>
    <w:rsid w:val="00A76467"/>
    <w:rsid w:val="00A76F2F"/>
    <w:rsid w:val="00A77211"/>
    <w:rsid w:val="00A77651"/>
    <w:rsid w:val="00A777E9"/>
    <w:rsid w:val="00A778E5"/>
    <w:rsid w:val="00A77964"/>
    <w:rsid w:val="00A77C29"/>
    <w:rsid w:val="00A77C72"/>
    <w:rsid w:val="00A77DD5"/>
    <w:rsid w:val="00A77DE6"/>
    <w:rsid w:val="00A8014A"/>
    <w:rsid w:val="00A80266"/>
    <w:rsid w:val="00A8034E"/>
    <w:rsid w:val="00A80622"/>
    <w:rsid w:val="00A80780"/>
    <w:rsid w:val="00A811BF"/>
    <w:rsid w:val="00A81E32"/>
    <w:rsid w:val="00A82089"/>
    <w:rsid w:val="00A822F3"/>
    <w:rsid w:val="00A828DD"/>
    <w:rsid w:val="00A8297A"/>
    <w:rsid w:val="00A83169"/>
    <w:rsid w:val="00A83454"/>
    <w:rsid w:val="00A835C6"/>
    <w:rsid w:val="00A8364E"/>
    <w:rsid w:val="00A83700"/>
    <w:rsid w:val="00A83953"/>
    <w:rsid w:val="00A839E1"/>
    <w:rsid w:val="00A83E9B"/>
    <w:rsid w:val="00A83FE6"/>
    <w:rsid w:val="00A840F1"/>
    <w:rsid w:val="00A8461A"/>
    <w:rsid w:val="00A84ACC"/>
    <w:rsid w:val="00A84B08"/>
    <w:rsid w:val="00A851AF"/>
    <w:rsid w:val="00A85474"/>
    <w:rsid w:val="00A85E23"/>
    <w:rsid w:val="00A8644F"/>
    <w:rsid w:val="00A865A2"/>
    <w:rsid w:val="00A866B6"/>
    <w:rsid w:val="00A86B8A"/>
    <w:rsid w:val="00A86BE7"/>
    <w:rsid w:val="00A86E47"/>
    <w:rsid w:val="00A86F26"/>
    <w:rsid w:val="00A86F8A"/>
    <w:rsid w:val="00A874C5"/>
    <w:rsid w:val="00A87671"/>
    <w:rsid w:val="00A876FA"/>
    <w:rsid w:val="00A90573"/>
    <w:rsid w:val="00A90F5E"/>
    <w:rsid w:val="00A913A5"/>
    <w:rsid w:val="00A91432"/>
    <w:rsid w:val="00A9176A"/>
    <w:rsid w:val="00A91BF7"/>
    <w:rsid w:val="00A92695"/>
    <w:rsid w:val="00A926AE"/>
    <w:rsid w:val="00A92B05"/>
    <w:rsid w:val="00A92E1F"/>
    <w:rsid w:val="00A92F77"/>
    <w:rsid w:val="00A933D9"/>
    <w:rsid w:val="00A934EB"/>
    <w:rsid w:val="00A93612"/>
    <w:rsid w:val="00A93DD8"/>
    <w:rsid w:val="00A9437A"/>
    <w:rsid w:val="00A94415"/>
    <w:rsid w:val="00A94947"/>
    <w:rsid w:val="00A94964"/>
    <w:rsid w:val="00A9535E"/>
    <w:rsid w:val="00A95E82"/>
    <w:rsid w:val="00A9605C"/>
    <w:rsid w:val="00A9695C"/>
    <w:rsid w:val="00A9791E"/>
    <w:rsid w:val="00A97BF4"/>
    <w:rsid w:val="00AA094E"/>
    <w:rsid w:val="00AA0AFE"/>
    <w:rsid w:val="00AA0C1F"/>
    <w:rsid w:val="00AA1164"/>
    <w:rsid w:val="00AA145F"/>
    <w:rsid w:val="00AA1680"/>
    <w:rsid w:val="00AA1739"/>
    <w:rsid w:val="00AA26A4"/>
    <w:rsid w:val="00AA26CD"/>
    <w:rsid w:val="00AA32F0"/>
    <w:rsid w:val="00AA3463"/>
    <w:rsid w:val="00AA3DA8"/>
    <w:rsid w:val="00AA48A4"/>
    <w:rsid w:val="00AA498E"/>
    <w:rsid w:val="00AA4E40"/>
    <w:rsid w:val="00AA51EC"/>
    <w:rsid w:val="00AA52A8"/>
    <w:rsid w:val="00AA5404"/>
    <w:rsid w:val="00AA5A56"/>
    <w:rsid w:val="00AA5C03"/>
    <w:rsid w:val="00AA5F58"/>
    <w:rsid w:val="00AA5FF2"/>
    <w:rsid w:val="00AA61AC"/>
    <w:rsid w:val="00AA6212"/>
    <w:rsid w:val="00AA63C8"/>
    <w:rsid w:val="00AA66D6"/>
    <w:rsid w:val="00AB01A7"/>
    <w:rsid w:val="00AB0850"/>
    <w:rsid w:val="00AB086E"/>
    <w:rsid w:val="00AB0946"/>
    <w:rsid w:val="00AB1047"/>
    <w:rsid w:val="00AB12EC"/>
    <w:rsid w:val="00AB2751"/>
    <w:rsid w:val="00AB2B8E"/>
    <w:rsid w:val="00AB2C91"/>
    <w:rsid w:val="00AB32A9"/>
    <w:rsid w:val="00AB33A1"/>
    <w:rsid w:val="00AB3D93"/>
    <w:rsid w:val="00AB4133"/>
    <w:rsid w:val="00AB4971"/>
    <w:rsid w:val="00AB49A6"/>
    <w:rsid w:val="00AB55C7"/>
    <w:rsid w:val="00AB5CFB"/>
    <w:rsid w:val="00AB5F22"/>
    <w:rsid w:val="00AB60B8"/>
    <w:rsid w:val="00AB6C62"/>
    <w:rsid w:val="00AB76FC"/>
    <w:rsid w:val="00AB7845"/>
    <w:rsid w:val="00AB7AA8"/>
    <w:rsid w:val="00AC05F7"/>
    <w:rsid w:val="00AC148D"/>
    <w:rsid w:val="00AC1E3B"/>
    <w:rsid w:val="00AC2470"/>
    <w:rsid w:val="00AC2813"/>
    <w:rsid w:val="00AC2B3A"/>
    <w:rsid w:val="00AC2D8F"/>
    <w:rsid w:val="00AC312D"/>
    <w:rsid w:val="00AC3734"/>
    <w:rsid w:val="00AC384C"/>
    <w:rsid w:val="00AC3EEF"/>
    <w:rsid w:val="00AC3FDF"/>
    <w:rsid w:val="00AC44EC"/>
    <w:rsid w:val="00AC4A75"/>
    <w:rsid w:val="00AC4F79"/>
    <w:rsid w:val="00AC5001"/>
    <w:rsid w:val="00AC51C1"/>
    <w:rsid w:val="00AC5337"/>
    <w:rsid w:val="00AC5437"/>
    <w:rsid w:val="00AC5B3F"/>
    <w:rsid w:val="00AC5DE8"/>
    <w:rsid w:val="00AC5F36"/>
    <w:rsid w:val="00AC65C6"/>
    <w:rsid w:val="00AC6783"/>
    <w:rsid w:val="00AC714B"/>
    <w:rsid w:val="00AC71AE"/>
    <w:rsid w:val="00AC7258"/>
    <w:rsid w:val="00AC7ACE"/>
    <w:rsid w:val="00AC7AF7"/>
    <w:rsid w:val="00AC7EB6"/>
    <w:rsid w:val="00AD06FF"/>
    <w:rsid w:val="00AD09D1"/>
    <w:rsid w:val="00AD18DF"/>
    <w:rsid w:val="00AD19B0"/>
    <w:rsid w:val="00AD20EE"/>
    <w:rsid w:val="00AD21D2"/>
    <w:rsid w:val="00AD241A"/>
    <w:rsid w:val="00AD350D"/>
    <w:rsid w:val="00AD3981"/>
    <w:rsid w:val="00AD3A84"/>
    <w:rsid w:val="00AD4539"/>
    <w:rsid w:val="00AD4BB3"/>
    <w:rsid w:val="00AD5589"/>
    <w:rsid w:val="00AD5D29"/>
    <w:rsid w:val="00AD5D35"/>
    <w:rsid w:val="00AD7062"/>
    <w:rsid w:val="00AD70AA"/>
    <w:rsid w:val="00AD7896"/>
    <w:rsid w:val="00AD78EF"/>
    <w:rsid w:val="00AE10C8"/>
    <w:rsid w:val="00AE18F6"/>
    <w:rsid w:val="00AE2095"/>
    <w:rsid w:val="00AE23EE"/>
    <w:rsid w:val="00AE245F"/>
    <w:rsid w:val="00AE2768"/>
    <w:rsid w:val="00AE2AE3"/>
    <w:rsid w:val="00AE2E62"/>
    <w:rsid w:val="00AE31D4"/>
    <w:rsid w:val="00AE31DC"/>
    <w:rsid w:val="00AE3505"/>
    <w:rsid w:val="00AE3D60"/>
    <w:rsid w:val="00AE4A81"/>
    <w:rsid w:val="00AE4D38"/>
    <w:rsid w:val="00AE4D50"/>
    <w:rsid w:val="00AE4DF1"/>
    <w:rsid w:val="00AE4F14"/>
    <w:rsid w:val="00AE542A"/>
    <w:rsid w:val="00AE55A9"/>
    <w:rsid w:val="00AE589D"/>
    <w:rsid w:val="00AE602E"/>
    <w:rsid w:val="00AE6096"/>
    <w:rsid w:val="00AE6252"/>
    <w:rsid w:val="00AE661A"/>
    <w:rsid w:val="00AE72CB"/>
    <w:rsid w:val="00AF0493"/>
    <w:rsid w:val="00AF04F3"/>
    <w:rsid w:val="00AF07AD"/>
    <w:rsid w:val="00AF0990"/>
    <w:rsid w:val="00AF1011"/>
    <w:rsid w:val="00AF11D7"/>
    <w:rsid w:val="00AF1473"/>
    <w:rsid w:val="00AF164A"/>
    <w:rsid w:val="00AF19BA"/>
    <w:rsid w:val="00AF1C02"/>
    <w:rsid w:val="00AF24B8"/>
    <w:rsid w:val="00AF2B25"/>
    <w:rsid w:val="00AF31D7"/>
    <w:rsid w:val="00AF37D1"/>
    <w:rsid w:val="00AF390F"/>
    <w:rsid w:val="00AF395B"/>
    <w:rsid w:val="00AF3CFD"/>
    <w:rsid w:val="00AF4057"/>
    <w:rsid w:val="00AF42B5"/>
    <w:rsid w:val="00AF45B3"/>
    <w:rsid w:val="00AF4AA6"/>
    <w:rsid w:val="00AF517C"/>
    <w:rsid w:val="00AF570C"/>
    <w:rsid w:val="00AF5906"/>
    <w:rsid w:val="00AF61F1"/>
    <w:rsid w:val="00AF6247"/>
    <w:rsid w:val="00AF63B6"/>
    <w:rsid w:val="00AF6473"/>
    <w:rsid w:val="00AF6915"/>
    <w:rsid w:val="00AF69D2"/>
    <w:rsid w:val="00B002B4"/>
    <w:rsid w:val="00B00848"/>
    <w:rsid w:val="00B018C6"/>
    <w:rsid w:val="00B01B56"/>
    <w:rsid w:val="00B01C26"/>
    <w:rsid w:val="00B01FDC"/>
    <w:rsid w:val="00B0219A"/>
    <w:rsid w:val="00B0253B"/>
    <w:rsid w:val="00B02F9B"/>
    <w:rsid w:val="00B035CC"/>
    <w:rsid w:val="00B039DD"/>
    <w:rsid w:val="00B0421D"/>
    <w:rsid w:val="00B04ED9"/>
    <w:rsid w:val="00B064F7"/>
    <w:rsid w:val="00B067DF"/>
    <w:rsid w:val="00B06880"/>
    <w:rsid w:val="00B06921"/>
    <w:rsid w:val="00B070CF"/>
    <w:rsid w:val="00B10023"/>
    <w:rsid w:val="00B10184"/>
    <w:rsid w:val="00B10229"/>
    <w:rsid w:val="00B10294"/>
    <w:rsid w:val="00B104A2"/>
    <w:rsid w:val="00B1088E"/>
    <w:rsid w:val="00B10BE2"/>
    <w:rsid w:val="00B10C94"/>
    <w:rsid w:val="00B10CA7"/>
    <w:rsid w:val="00B10D22"/>
    <w:rsid w:val="00B10EF8"/>
    <w:rsid w:val="00B114C0"/>
    <w:rsid w:val="00B1153F"/>
    <w:rsid w:val="00B1179C"/>
    <w:rsid w:val="00B11E2A"/>
    <w:rsid w:val="00B12174"/>
    <w:rsid w:val="00B12941"/>
    <w:rsid w:val="00B13721"/>
    <w:rsid w:val="00B1396C"/>
    <w:rsid w:val="00B13A6E"/>
    <w:rsid w:val="00B13DF6"/>
    <w:rsid w:val="00B13EC2"/>
    <w:rsid w:val="00B1425F"/>
    <w:rsid w:val="00B14408"/>
    <w:rsid w:val="00B1458B"/>
    <w:rsid w:val="00B14908"/>
    <w:rsid w:val="00B14B61"/>
    <w:rsid w:val="00B14B6B"/>
    <w:rsid w:val="00B15384"/>
    <w:rsid w:val="00B156A4"/>
    <w:rsid w:val="00B161B3"/>
    <w:rsid w:val="00B1652F"/>
    <w:rsid w:val="00B165E3"/>
    <w:rsid w:val="00B16AE9"/>
    <w:rsid w:val="00B16B96"/>
    <w:rsid w:val="00B16F6F"/>
    <w:rsid w:val="00B1743E"/>
    <w:rsid w:val="00B1745D"/>
    <w:rsid w:val="00B178A8"/>
    <w:rsid w:val="00B17AF7"/>
    <w:rsid w:val="00B17ECE"/>
    <w:rsid w:val="00B203E3"/>
    <w:rsid w:val="00B2082C"/>
    <w:rsid w:val="00B208C9"/>
    <w:rsid w:val="00B20D52"/>
    <w:rsid w:val="00B21662"/>
    <w:rsid w:val="00B21F56"/>
    <w:rsid w:val="00B21FBB"/>
    <w:rsid w:val="00B22386"/>
    <w:rsid w:val="00B22865"/>
    <w:rsid w:val="00B228FB"/>
    <w:rsid w:val="00B22CB7"/>
    <w:rsid w:val="00B22D99"/>
    <w:rsid w:val="00B23362"/>
    <w:rsid w:val="00B23C86"/>
    <w:rsid w:val="00B23CD2"/>
    <w:rsid w:val="00B23E06"/>
    <w:rsid w:val="00B23E19"/>
    <w:rsid w:val="00B23F97"/>
    <w:rsid w:val="00B248CB"/>
    <w:rsid w:val="00B24911"/>
    <w:rsid w:val="00B24DCB"/>
    <w:rsid w:val="00B256F6"/>
    <w:rsid w:val="00B2598D"/>
    <w:rsid w:val="00B25C36"/>
    <w:rsid w:val="00B25C45"/>
    <w:rsid w:val="00B25CD7"/>
    <w:rsid w:val="00B26BC5"/>
    <w:rsid w:val="00B275D7"/>
    <w:rsid w:val="00B27C71"/>
    <w:rsid w:val="00B27E92"/>
    <w:rsid w:val="00B27E97"/>
    <w:rsid w:val="00B27FC8"/>
    <w:rsid w:val="00B30366"/>
    <w:rsid w:val="00B31011"/>
    <w:rsid w:val="00B311E9"/>
    <w:rsid w:val="00B3154C"/>
    <w:rsid w:val="00B31D26"/>
    <w:rsid w:val="00B31FB2"/>
    <w:rsid w:val="00B334CC"/>
    <w:rsid w:val="00B33A58"/>
    <w:rsid w:val="00B33C7B"/>
    <w:rsid w:val="00B33DA7"/>
    <w:rsid w:val="00B3404C"/>
    <w:rsid w:val="00B3438A"/>
    <w:rsid w:val="00B346B1"/>
    <w:rsid w:val="00B3485E"/>
    <w:rsid w:val="00B348DC"/>
    <w:rsid w:val="00B349B6"/>
    <w:rsid w:val="00B350E2"/>
    <w:rsid w:val="00B35793"/>
    <w:rsid w:val="00B35F75"/>
    <w:rsid w:val="00B364F7"/>
    <w:rsid w:val="00B366AA"/>
    <w:rsid w:val="00B36826"/>
    <w:rsid w:val="00B36ACF"/>
    <w:rsid w:val="00B36EE1"/>
    <w:rsid w:val="00B36F2D"/>
    <w:rsid w:val="00B36FDC"/>
    <w:rsid w:val="00B371C1"/>
    <w:rsid w:val="00B37865"/>
    <w:rsid w:val="00B37925"/>
    <w:rsid w:val="00B37926"/>
    <w:rsid w:val="00B37EC0"/>
    <w:rsid w:val="00B40C61"/>
    <w:rsid w:val="00B40F71"/>
    <w:rsid w:val="00B4119A"/>
    <w:rsid w:val="00B41248"/>
    <w:rsid w:val="00B41943"/>
    <w:rsid w:val="00B41A46"/>
    <w:rsid w:val="00B41FA6"/>
    <w:rsid w:val="00B42399"/>
    <w:rsid w:val="00B42472"/>
    <w:rsid w:val="00B429E8"/>
    <w:rsid w:val="00B42A87"/>
    <w:rsid w:val="00B42DB1"/>
    <w:rsid w:val="00B43634"/>
    <w:rsid w:val="00B43CF7"/>
    <w:rsid w:val="00B4544D"/>
    <w:rsid w:val="00B4545D"/>
    <w:rsid w:val="00B456C8"/>
    <w:rsid w:val="00B46231"/>
    <w:rsid w:val="00B4630F"/>
    <w:rsid w:val="00B46610"/>
    <w:rsid w:val="00B4670F"/>
    <w:rsid w:val="00B46724"/>
    <w:rsid w:val="00B4672B"/>
    <w:rsid w:val="00B46CE2"/>
    <w:rsid w:val="00B46F45"/>
    <w:rsid w:val="00B474AA"/>
    <w:rsid w:val="00B47E7C"/>
    <w:rsid w:val="00B501A7"/>
    <w:rsid w:val="00B50446"/>
    <w:rsid w:val="00B50762"/>
    <w:rsid w:val="00B509AF"/>
    <w:rsid w:val="00B50F32"/>
    <w:rsid w:val="00B5103E"/>
    <w:rsid w:val="00B510FD"/>
    <w:rsid w:val="00B513C7"/>
    <w:rsid w:val="00B51AD5"/>
    <w:rsid w:val="00B51AE0"/>
    <w:rsid w:val="00B51C68"/>
    <w:rsid w:val="00B51F5D"/>
    <w:rsid w:val="00B52520"/>
    <w:rsid w:val="00B52A9D"/>
    <w:rsid w:val="00B52F19"/>
    <w:rsid w:val="00B53038"/>
    <w:rsid w:val="00B534B7"/>
    <w:rsid w:val="00B53540"/>
    <w:rsid w:val="00B537C4"/>
    <w:rsid w:val="00B5380B"/>
    <w:rsid w:val="00B5386E"/>
    <w:rsid w:val="00B53914"/>
    <w:rsid w:val="00B53B4A"/>
    <w:rsid w:val="00B53D8B"/>
    <w:rsid w:val="00B53FA6"/>
    <w:rsid w:val="00B54148"/>
    <w:rsid w:val="00B5416D"/>
    <w:rsid w:val="00B54191"/>
    <w:rsid w:val="00B551E7"/>
    <w:rsid w:val="00B55943"/>
    <w:rsid w:val="00B55B31"/>
    <w:rsid w:val="00B55C60"/>
    <w:rsid w:val="00B55D04"/>
    <w:rsid w:val="00B55E26"/>
    <w:rsid w:val="00B56CA6"/>
    <w:rsid w:val="00B56D62"/>
    <w:rsid w:val="00B56EAF"/>
    <w:rsid w:val="00B573BA"/>
    <w:rsid w:val="00B57BEE"/>
    <w:rsid w:val="00B57D7A"/>
    <w:rsid w:val="00B605B5"/>
    <w:rsid w:val="00B60B65"/>
    <w:rsid w:val="00B6138F"/>
    <w:rsid w:val="00B6158B"/>
    <w:rsid w:val="00B61DF6"/>
    <w:rsid w:val="00B62086"/>
    <w:rsid w:val="00B62214"/>
    <w:rsid w:val="00B623A0"/>
    <w:rsid w:val="00B62D82"/>
    <w:rsid w:val="00B62DCE"/>
    <w:rsid w:val="00B62F60"/>
    <w:rsid w:val="00B6366B"/>
    <w:rsid w:val="00B6371A"/>
    <w:rsid w:val="00B639C4"/>
    <w:rsid w:val="00B6404C"/>
    <w:rsid w:val="00B6436F"/>
    <w:rsid w:val="00B64B47"/>
    <w:rsid w:val="00B6583A"/>
    <w:rsid w:val="00B663CA"/>
    <w:rsid w:val="00B663D9"/>
    <w:rsid w:val="00B6667F"/>
    <w:rsid w:val="00B666B9"/>
    <w:rsid w:val="00B66CEB"/>
    <w:rsid w:val="00B6732E"/>
    <w:rsid w:val="00B7036C"/>
    <w:rsid w:val="00B70410"/>
    <w:rsid w:val="00B70433"/>
    <w:rsid w:val="00B70956"/>
    <w:rsid w:val="00B70DCB"/>
    <w:rsid w:val="00B71038"/>
    <w:rsid w:val="00B7146A"/>
    <w:rsid w:val="00B71A9C"/>
    <w:rsid w:val="00B71B55"/>
    <w:rsid w:val="00B71E4B"/>
    <w:rsid w:val="00B72208"/>
    <w:rsid w:val="00B7283B"/>
    <w:rsid w:val="00B72943"/>
    <w:rsid w:val="00B72F5A"/>
    <w:rsid w:val="00B7315A"/>
    <w:rsid w:val="00B73698"/>
    <w:rsid w:val="00B7390E"/>
    <w:rsid w:val="00B74069"/>
    <w:rsid w:val="00B74641"/>
    <w:rsid w:val="00B746B7"/>
    <w:rsid w:val="00B75124"/>
    <w:rsid w:val="00B754D2"/>
    <w:rsid w:val="00B75611"/>
    <w:rsid w:val="00B75C48"/>
    <w:rsid w:val="00B7666E"/>
    <w:rsid w:val="00B7667F"/>
    <w:rsid w:val="00B7670C"/>
    <w:rsid w:val="00B7678A"/>
    <w:rsid w:val="00B769C1"/>
    <w:rsid w:val="00B76F56"/>
    <w:rsid w:val="00B771AC"/>
    <w:rsid w:val="00B77312"/>
    <w:rsid w:val="00B7731E"/>
    <w:rsid w:val="00B7745C"/>
    <w:rsid w:val="00B7798C"/>
    <w:rsid w:val="00B779B6"/>
    <w:rsid w:val="00B804B3"/>
    <w:rsid w:val="00B80EEB"/>
    <w:rsid w:val="00B80FE9"/>
    <w:rsid w:val="00B81077"/>
    <w:rsid w:val="00B816CB"/>
    <w:rsid w:val="00B81981"/>
    <w:rsid w:val="00B81D7A"/>
    <w:rsid w:val="00B81F9A"/>
    <w:rsid w:val="00B82004"/>
    <w:rsid w:val="00B8231D"/>
    <w:rsid w:val="00B828A9"/>
    <w:rsid w:val="00B829B5"/>
    <w:rsid w:val="00B83178"/>
    <w:rsid w:val="00B83227"/>
    <w:rsid w:val="00B833AF"/>
    <w:rsid w:val="00B836C7"/>
    <w:rsid w:val="00B837CC"/>
    <w:rsid w:val="00B848EF"/>
    <w:rsid w:val="00B84AC4"/>
    <w:rsid w:val="00B84D64"/>
    <w:rsid w:val="00B84E7B"/>
    <w:rsid w:val="00B84FD8"/>
    <w:rsid w:val="00B8500B"/>
    <w:rsid w:val="00B850D8"/>
    <w:rsid w:val="00B85A6A"/>
    <w:rsid w:val="00B85CE0"/>
    <w:rsid w:val="00B86612"/>
    <w:rsid w:val="00B86B2A"/>
    <w:rsid w:val="00B86BC2"/>
    <w:rsid w:val="00B86F40"/>
    <w:rsid w:val="00B875EF"/>
    <w:rsid w:val="00B87B5F"/>
    <w:rsid w:val="00B87B66"/>
    <w:rsid w:val="00B900CD"/>
    <w:rsid w:val="00B90417"/>
    <w:rsid w:val="00B90896"/>
    <w:rsid w:val="00B90F09"/>
    <w:rsid w:val="00B911E0"/>
    <w:rsid w:val="00B913B5"/>
    <w:rsid w:val="00B915AD"/>
    <w:rsid w:val="00B91B41"/>
    <w:rsid w:val="00B91D9C"/>
    <w:rsid w:val="00B91E0A"/>
    <w:rsid w:val="00B92339"/>
    <w:rsid w:val="00B92400"/>
    <w:rsid w:val="00B93171"/>
    <w:rsid w:val="00B935D0"/>
    <w:rsid w:val="00B93EF9"/>
    <w:rsid w:val="00B940B6"/>
    <w:rsid w:val="00B94DF0"/>
    <w:rsid w:val="00B9522B"/>
    <w:rsid w:val="00B9578C"/>
    <w:rsid w:val="00B9590C"/>
    <w:rsid w:val="00B95A93"/>
    <w:rsid w:val="00B95F51"/>
    <w:rsid w:val="00B96956"/>
    <w:rsid w:val="00B979A5"/>
    <w:rsid w:val="00B97BD4"/>
    <w:rsid w:val="00B97EDA"/>
    <w:rsid w:val="00BA022A"/>
    <w:rsid w:val="00BA04CF"/>
    <w:rsid w:val="00BA0F57"/>
    <w:rsid w:val="00BA0F7A"/>
    <w:rsid w:val="00BA10F3"/>
    <w:rsid w:val="00BA12EE"/>
    <w:rsid w:val="00BA1AE2"/>
    <w:rsid w:val="00BA1D53"/>
    <w:rsid w:val="00BA2F13"/>
    <w:rsid w:val="00BA4074"/>
    <w:rsid w:val="00BA479E"/>
    <w:rsid w:val="00BA4909"/>
    <w:rsid w:val="00BA4E7D"/>
    <w:rsid w:val="00BA4F11"/>
    <w:rsid w:val="00BA50DF"/>
    <w:rsid w:val="00BA539B"/>
    <w:rsid w:val="00BA5911"/>
    <w:rsid w:val="00BA5A5A"/>
    <w:rsid w:val="00BA5F76"/>
    <w:rsid w:val="00BA73B6"/>
    <w:rsid w:val="00BA7C0A"/>
    <w:rsid w:val="00BA7FF9"/>
    <w:rsid w:val="00BB00B8"/>
    <w:rsid w:val="00BB0578"/>
    <w:rsid w:val="00BB0621"/>
    <w:rsid w:val="00BB07D7"/>
    <w:rsid w:val="00BB0878"/>
    <w:rsid w:val="00BB0986"/>
    <w:rsid w:val="00BB0AC1"/>
    <w:rsid w:val="00BB0D3A"/>
    <w:rsid w:val="00BB12BD"/>
    <w:rsid w:val="00BB198B"/>
    <w:rsid w:val="00BB1BB3"/>
    <w:rsid w:val="00BB2153"/>
    <w:rsid w:val="00BB2177"/>
    <w:rsid w:val="00BB2777"/>
    <w:rsid w:val="00BB27A3"/>
    <w:rsid w:val="00BB3FA9"/>
    <w:rsid w:val="00BB3FE3"/>
    <w:rsid w:val="00BB423B"/>
    <w:rsid w:val="00BB437B"/>
    <w:rsid w:val="00BB5114"/>
    <w:rsid w:val="00BB5841"/>
    <w:rsid w:val="00BB5EA7"/>
    <w:rsid w:val="00BB6297"/>
    <w:rsid w:val="00BB65A6"/>
    <w:rsid w:val="00BB65EF"/>
    <w:rsid w:val="00BB69D7"/>
    <w:rsid w:val="00BB6A31"/>
    <w:rsid w:val="00BB6F2A"/>
    <w:rsid w:val="00BB76EB"/>
    <w:rsid w:val="00BB780E"/>
    <w:rsid w:val="00BB7C0C"/>
    <w:rsid w:val="00BC0829"/>
    <w:rsid w:val="00BC10BB"/>
    <w:rsid w:val="00BC1194"/>
    <w:rsid w:val="00BC12CB"/>
    <w:rsid w:val="00BC1BD1"/>
    <w:rsid w:val="00BC247C"/>
    <w:rsid w:val="00BC2725"/>
    <w:rsid w:val="00BC2BE3"/>
    <w:rsid w:val="00BC2CB6"/>
    <w:rsid w:val="00BC2E4E"/>
    <w:rsid w:val="00BC30AE"/>
    <w:rsid w:val="00BC32A4"/>
    <w:rsid w:val="00BC4542"/>
    <w:rsid w:val="00BC5C7F"/>
    <w:rsid w:val="00BC6038"/>
    <w:rsid w:val="00BC6109"/>
    <w:rsid w:val="00BC6674"/>
    <w:rsid w:val="00BC6795"/>
    <w:rsid w:val="00BC6B71"/>
    <w:rsid w:val="00BC6E7C"/>
    <w:rsid w:val="00BC7611"/>
    <w:rsid w:val="00BC79EB"/>
    <w:rsid w:val="00BC7A89"/>
    <w:rsid w:val="00BD0417"/>
    <w:rsid w:val="00BD0C45"/>
    <w:rsid w:val="00BD0F1C"/>
    <w:rsid w:val="00BD169C"/>
    <w:rsid w:val="00BD1851"/>
    <w:rsid w:val="00BD19CC"/>
    <w:rsid w:val="00BD1C34"/>
    <w:rsid w:val="00BD1F1E"/>
    <w:rsid w:val="00BD1F71"/>
    <w:rsid w:val="00BD2073"/>
    <w:rsid w:val="00BD21BD"/>
    <w:rsid w:val="00BD2D0B"/>
    <w:rsid w:val="00BD3460"/>
    <w:rsid w:val="00BD3E9F"/>
    <w:rsid w:val="00BD43DC"/>
    <w:rsid w:val="00BD43E9"/>
    <w:rsid w:val="00BD445E"/>
    <w:rsid w:val="00BD4920"/>
    <w:rsid w:val="00BD523F"/>
    <w:rsid w:val="00BD536A"/>
    <w:rsid w:val="00BD55FF"/>
    <w:rsid w:val="00BD57D1"/>
    <w:rsid w:val="00BD663F"/>
    <w:rsid w:val="00BD72E7"/>
    <w:rsid w:val="00BD7529"/>
    <w:rsid w:val="00BD7683"/>
    <w:rsid w:val="00BD783A"/>
    <w:rsid w:val="00BD794A"/>
    <w:rsid w:val="00BD7B4F"/>
    <w:rsid w:val="00BD7D30"/>
    <w:rsid w:val="00BD7FCE"/>
    <w:rsid w:val="00BE0081"/>
    <w:rsid w:val="00BE0236"/>
    <w:rsid w:val="00BE0287"/>
    <w:rsid w:val="00BE0931"/>
    <w:rsid w:val="00BE0BBF"/>
    <w:rsid w:val="00BE1098"/>
    <w:rsid w:val="00BE1263"/>
    <w:rsid w:val="00BE19C8"/>
    <w:rsid w:val="00BE1AC7"/>
    <w:rsid w:val="00BE1D2A"/>
    <w:rsid w:val="00BE1FBA"/>
    <w:rsid w:val="00BE22C8"/>
    <w:rsid w:val="00BE289D"/>
    <w:rsid w:val="00BE2AC5"/>
    <w:rsid w:val="00BE30D6"/>
    <w:rsid w:val="00BE3C07"/>
    <w:rsid w:val="00BE433E"/>
    <w:rsid w:val="00BE43D1"/>
    <w:rsid w:val="00BE477A"/>
    <w:rsid w:val="00BE4BF7"/>
    <w:rsid w:val="00BE4C92"/>
    <w:rsid w:val="00BE50D2"/>
    <w:rsid w:val="00BE52C2"/>
    <w:rsid w:val="00BE53A2"/>
    <w:rsid w:val="00BE6217"/>
    <w:rsid w:val="00BE6361"/>
    <w:rsid w:val="00BE6AD5"/>
    <w:rsid w:val="00BE7214"/>
    <w:rsid w:val="00BE735E"/>
    <w:rsid w:val="00BE76A9"/>
    <w:rsid w:val="00BE7AF6"/>
    <w:rsid w:val="00BE7E84"/>
    <w:rsid w:val="00BF00D7"/>
    <w:rsid w:val="00BF0172"/>
    <w:rsid w:val="00BF01B6"/>
    <w:rsid w:val="00BF0599"/>
    <w:rsid w:val="00BF0855"/>
    <w:rsid w:val="00BF0CF2"/>
    <w:rsid w:val="00BF0DD3"/>
    <w:rsid w:val="00BF157F"/>
    <w:rsid w:val="00BF1648"/>
    <w:rsid w:val="00BF1E08"/>
    <w:rsid w:val="00BF1F9C"/>
    <w:rsid w:val="00BF20C0"/>
    <w:rsid w:val="00BF29E8"/>
    <w:rsid w:val="00BF2B49"/>
    <w:rsid w:val="00BF2B63"/>
    <w:rsid w:val="00BF2EC9"/>
    <w:rsid w:val="00BF34D3"/>
    <w:rsid w:val="00BF378A"/>
    <w:rsid w:val="00BF4099"/>
    <w:rsid w:val="00BF49FE"/>
    <w:rsid w:val="00BF4DE4"/>
    <w:rsid w:val="00BF4E51"/>
    <w:rsid w:val="00BF52BA"/>
    <w:rsid w:val="00BF56A0"/>
    <w:rsid w:val="00BF60F0"/>
    <w:rsid w:val="00BF640C"/>
    <w:rsid w:val="00BF6705"/>
    <w:rsid w:val="00BF6BE9"/>
    <w:rsid w:val="00BF780E"/>
    <w:rsid w:val="00BF7A59"/>
    <w:rsid w:val="00BF7C59"/>
    <w:rsid w:val="00BF7E18"/>
    <w:rsid w:val="00BF7F0D"/>
    <w:rsid w:val="00C00125"/>
    <w:rsid w:val="00C007F5"/>
    <w:rsid w:val="00C00A28"/>
    <w:rsid w:val="00C00C0B"/>
    <w:rsid w:val="00C00E59"/>
    <w:rsid w:val="00C00FAA"/>
    <w:rsid w:val="00C013B5"/>
    <w:rsid w:val="00C013EB"/>
    <w:rsid w:val="00C01791"/>
    <w:rsid w:val="00C018F8"/>
    <w:rsid w:val="00C01A36"/>
    <w:rsid w:val="00C02D16"/>
    <w:rsid w:val="00C02E16"/>
    <w:rsid w:val="00C03508"/>
    <w:rsid w:val="00C035CC"/>
    <w:rsid w:val="00C039B6"/>
    <w:rsid w:val="00C03A9B"/>
    <w:rsid w:val="00C03F76"/>
    <w:rsid w:val="00C041A3"/>
    <w:rsid w:val="00C04D46"/>
    <w:rsid w:val="00C04ED4"/>
    <w:rsid w:val="00C05290"/>
    <w:rsid w:val="00C0532A"/>
    <w:rsid w:val="00C0566F"/>
    <w:rsid w:val="00C05D72"/>
    <w:rsid w:val="00C065D3"/>
    <w:rsid w:val="00C069D5"/>
    <w:rsid w:val="00C06AFA"/>
    <w:rsid w:val="00C06C47"/>
    <w:rsid w:val="00C07F39"/>
    <w:rsid w:val="00C100F9"/>
    <w:rsid w:val="00C101E1"/>
    <w:rsid w:val="00C107CA"/>
    <w:rsid w:val="00C10C88"/>
    <w:rsid w:val="00C1148A"/>
    <w:rsid w:val="00C11CE3"/>
    <w:rsid w:val="00C1221B"/>
    <w:rsid w:val="00C123D7"/>
    <w:rsid w:val="00C12727"/>
    <w:rsid w:val="00C13344"/>
    <w:rsid w:val="00C13ACE"/>
    <w:rsid w:val="00C13DDE"/>
    <w:rsid w:val="00C13FA0"/>
    <w:rsid w:val="00C14AE6"/>
    <w:rsid w:val="00C14C5E"/>
    <w:rsid w:val="00C14F31"/>
    <w:rsid w:val="00C1551F"/>
    <w:rsid w:val="00C16588"/>
    <w:rsid w:val="00C165EA"/>
    <w:rsid w:val="00C16DAB"/>
    <w:rsid w:val="00C170DC"/>
    <w:rsid w:val="00C17D77"/>
    <w:rsid w:val="00C17DF4"/>
    <w:rsid w:val="00C20385"/>
    <w:rsid w:val="00C20397"/>
    <w:rsid w:val="00C203FB"/>
    <w:rsid w:val="00C208E1"/>
    <w:rsid w:val="00C209FE"/>
    <w:rsid w:val="00C21697"/>
    <w:rsid w:val="00C2180F"/>
    <w:rsid w:val="00C21BDE"/>
    <w:rsid w:val="00C22714"/>
    <w:rsid w:val="00C22CF9"/>
    <w:rsid w:val="00C22FEE"/>
    <w:rsid w:val="00C23178"/>
    <w:rsid w:val="00C23A16"/>
    <w:rsid w:val="00C23A3B"/>
    <w:rsid w:val="00C23A94"/>
    <w:rsid w:val="00C23C2C"/>
    <w:rsid w:val="00C23DF1"/>
    <w:rsid w:val="00C240AC"/>
    <w:rsid w:val="00C2428E"/>
    <w:rsid w:val="00C24421"/>
    <w:rsid w:val="00C2446C"/>
    <w:rsid w:val="00C245C8"/>
    <w:rsid w:val="00C246E2"/>
    <w:rsid w:val="00C24836"/>
    <w:rsid w:val="00C250F5"/>
    <w:rsid w:val="00C258BC"/>
    <w:rsid w:val="00C25B45"/>
    <w:rsid w:val="00C26577"/>
    <w:rsid w:val="00C26612"/>
    <w:rsid w:val="00C26869"/>
    <w:rsid w:val="00C26A20"/>
    <w:rsid w:val="00C26CDB"/>
    <w:rsid w:val="00C271F8"/>
    <w:rsid w:val="00C2767A"/>
    <w:rsid w:val="00C277D1"/>
    <w:rsid w:val="00C279AD"/>
    <w:rsid w:val="00C27CDF"/>
    <w:rsid w:val="00C27E3D"/>
    <w:rsid w:val="00C27F38"/>
    <w:rsid w:val="00C30180"/>
    <w:rsid w:val="00C301E4"/>
    <w:rsid w:val="00C301EA"/>
    <w:rsid w:val="00C30CE2"/>
    <w:rsid w:val="00C30F41"/>
    <w:rsid w:val="00C31251"/>
    <w:rsid w:val="00C31419"/>
    <w:rsid w:val="00C32809"/>
    <w:rsid w:val="00C32903"/>
    <w:rsid w:val="00C32FF5"/>
    <w:rsid w:val="00C3309E"/>
    <w:rsid w:val="00C335D6"/>
    <w:rsid w:val="00C337D8"/>
    <w:rsid w:val="00C33D7B"/>
    <w:rsid w:val="00C34223"/>
    <w:rsid w:val="00C34597"/>
    <w:rsid w:val="00C346B6"/>
    <w:rsid w:val="00C34AB3"/>
    <w:rsid w:val="00C35215"/>
    <w:rsid w:val="00C35E7E"/>
    <w:rsid w:val="00C35F7B"/>
    <w:rsid w:val="00C3633C"/>
    <w:rsid w:val="00C3647B"/>
    <w:rsid w:val="00C366E3"/>
    <w:rsid w:val="00C36C6C"/>
    <w:rsid w:val="00C36F57"/>
    <w:rsid w:val="00C371E2"/>
    <w:rsid w:val="00C3793E"/>
    <w:rsid w:val="00C37A1E"/>
    <w:rsid w:val="00C37B34"/>
    <w:rsid w:val="00C37D06"/>
    <w:rsid w:val="00C37D80"/>
    <w:rsid w:val="00C37FEF"/>
    <w:rsid w:val="00C401CE"/>
    <w:rsid w:val="00C40B55"/>
    <w:rsid w:val="00C41D3A"/>
    <w:rsid w:val="00C41ED6"/>
    <w:rsid w:val="00C41EF3"/>
    <w:rsid w:val="00C42407"/>
    <w:rsid w:val="00C42B17"/>
    <w:rsid w:val="00C42B54"/>
    <w:rsid w:val="00C42C66"/>
    <w:rsid w:val="00C42D17"/>
    <w:rsid w:val="00C43291"/>
    <w:rsid w:val="00C434B0"/>
    <w:rsid w:val="00C44455"/>
    <w:rsid w:val="00C4466C"/>
    <w:rsid w:val="00C448D4"/>
    <w:rsid w:val="00C44944"/>
    <w:rsid w:val="00C44A78"/>
    <w:rsid w:val="00C44A84"/>
    <w:rsid w:val="00C44BEA"/>
    <w:rsid w:val="00C45A18"/>
    <w:rsid w:val="00C46258"/>
    <w:rsid w:val="00C46677"/>
    <w:rsid w:val="00C4675F"/>
    <w:rsid w:val="00C46851"/>
    <w:rsid w:val="00C46A70"/>
    <w:rsid w:val="00C46BA5"/>
    <w:rsid w:val="00C471FB"/>
    <w:rsid w:val="00C47766"/>
    <w:rsid w:val="00C47F22"/>
    <w:rsid w:val="00C501DB"/>
    <w:rsid w:val="00C501E3"/>
    <w:rsid w:val="00C5022C"/>
    <w:rsid w:val="00C505DF"/>
    <w:rsid w:val="00C508D1"/>
    <w:rsid w:val="00C50A05"/>
    <w:rsid w:val="00C50AB0"/>
    <w:rsid w:val="00C50CD2"/>
    <w:rsid w:val="00C518A9"/>
    <w:rsid w:val="00C51946"/>
    <w:rsid w:val="00C51AB1"/>
    <w:rsid w:val="00C51E7E"/>
    <w:rsid w:val="00C52222"/>
    <w:rsid w:val="00C52969"/>
    <w:rsid w:val="00C529A5"/>
    <w:rsid w:val="00C52BB3"/>
    <w:rsid w:val="00C53040"/>
    <w:rsid w:val="00C536BE"/>
    <w:rsid w:val="00C5377D"/>
    <w:rsid w:val="00C53F3F"/>
    <w:rsid w:val="00C543FE"/>
    <w:rsid w:val="00C545C3"/>
    <w:rsid w:val="00C548D0"/>
    <w:rsid w:val="00C54A5B"/>
    <w:rsid w:val="00C55294"/>
    <w:rsid w:val="00C552DE"/>
    <w:rsid w:val="00C55699"/>
    <w:rsid w:val="00C556A7"/>
    <w:rsid w:val="00C55D93"/>
    <w:rsid w:val="00C55F83"/>
    <w:rsid w:val="00C561F1"/>
    <w:rsid w:val="00C5637A"/>
    <w:rsid w:val="00C565F5"/>
    <w:rsid w:val="00C56BB8"/>
    <w:rsid w:val="00C56D1C"/>
    <w:rsid w:val="00C5748E"/>
    <w:rsid w:val="00C57D82"/>
    <w:rsid w:val="00C60746"/>
    <w:rsid w:val="00C607FC"/>
    <w:rsid w:val="00C608A7"/>
    <w:rsid w:val="00C60CAF"/>
    <w:rsid w:val="00C61365"/>
    <w:rsid w:val="00C61B52"/>
    <w:rsid w:val="00C61F31"/>
    <w:rsid w:val="00C625B3"/>
    <w:rsid w:val="00C62A2E"/>
    <w:rsid w:val="00C6319D"/>
    <w:rsid w:val="00C63282"/>
    <w:rsid w:val="00C633F7"/>
    <w:rsid w:val="00C63548"/>
    <w:rsid w:val="00C638E6"/>
    <w:rsid w:val="00C63A08"/>
    <w:rsid w:val="00C63EE9"/>
    <w:rsid w:val="00C6433D"/>
    <w:rsid w:val="00C6493A"/>
    <w:rsid w:val="00C64AF0"/>
    <w:rsid w:val="00C64CFB"/>
    <w:rsid w:val="00C65753"/>
    <w:rsid w:val="00C657A4"/>
    <w:rsid w:val="00C667FE"/>
    <w:rsid w:val="00C66810"/>
    <w:rsid w:val="00C66818"/>
    <w:rsid w:val="00C66AC2"/>
    <w:rsid w:val="00C6702E"/>
    <w:rsid w:val="00C67609"/>
    <w:rsid w:val="00C678A0"/>
    <w:rsid w:val="00C702B4"/>
    <w:rsid w:val="00C702F5"/>
    <w:rsid w:val="00C70873"/>
    <w:rsid w:val="00C718A5"/>
    <w:rsid w:val="00C71987"/>
    <w:rsid w:val="00C719BC"/>
    <w:rsid w:val="00C71D7B"/>
    <w:rsid w:val="00C71F67"/>
    <w:rsid w:val="00C72130"/>
    <w:rsid w:val="00C721F2"/>
    <w:rsid w:val="00C726F0"/>
    <w:rsid w:val="00C729DB"/>
    <w:rsid w:val="00C72FC8"/>
    <w:rsid w:val="00C735CA"/>
    <w:rsid w:val="00C73911"/>
    <w:rsid w:val="00C7466D"/>
    <w:rsid w:val="00C74694"/>
    <w:rsid w:val="00C7486C"/>
    <w:rsid w:val="00C74897"/>
    <w:rsid w:val="00C74C5C"/>
    <w:rsid w:val="00C75023"/>
    <w:rsid w:val="00C75522"/>
    <w:rsid w:val="00C75567"/>
    <w:rsid w:val="00C75DB6"/>
    <w:rsid w:val="00C762F3"/>
    <w:rsid w:val="00C76376"/>
    <w:rsid w:val="00C76751"/>
    <w:rsid w:val="00C768E8"/>
    <w:rsid w:val="00C76A11"/>
    <w:rsid w:val="00C76C64"/>
    <w:rsid w:val="00C77039"/>
    <w:rsid w:val="00C776AB"/>
    <w:rsid w:val="00C80525"/>
    <w:rsid w:val="00C806FD"/>
    <w:rsid w:val="00C80A0B"/>
    <w:rsid w:val="00C81105"/>
    <w:rsid w:val="00C82281"/>
    <w:rsid w:val="00C8272C"/>
    <w:rsid w:val="00C82B0B"/>
    <w:rsid w:val="00C83340"/>
    <w:rsid w:val="00C834A3"/>
    <w:rsid w:val="00C835F7"/>
    <w:rsid w:val="00C8388F"/>
    <w:rsid w:val="00C838B5"/>
    <w:rsid w:val="00C838F3"/>
    <w:rsid w:val="00C83B86"/>
    <w:rsid w:val="00C83D8B"/>
    <w:rsid w:val="00C84422"/>
    <w:rsid w:val="00C8497D"/>
    <w:rsid w:val="00C84AD4"/>
    <w:rsid w:val="00C84D4F"/>
    <w:rsid w:val="00C85459"/>
    <w:rsid w:val="00C85A99"/>
    <w:rsid w:val="00C85BD4"/>
    <w:rsid w:val="00C8640B"/>
    <w:rsid w:val="00C86F11"/>
    <w:rsid w:val="00C86F62"/>
    <w:rsid w:val="00C8707A"/>
    <w:rsid w:val="00C8718C"/>
    <w:rsid w:val="00C87325"/>
    <w:rsid w:val="00C876B2"/>
    <w:rsid w:val="00C8776F"/>
    <w:rsid w:val="00C87A11"/>
    <w:rsid w:val="00C87EF5"/>
    <w:rsid w:val="00C87FB5"/>
    <w:rsid w:val="00C901D9"/>
    <w:rsid w:val="00C9128C"/>
    <w:rsid w:val="00C91943"/>
    <w:rsid w:val="00C91FE9"/>
    <w:rsid w:val="00C9203A"/>
    <w:rsid w:val="00C92159"/>
    <w:rsid w:val="00C92A6B"/>
    <w:rsid w:val="00C92A74"/>
    <w:rsid w:val="00C930EA"/>
    <w:rsid w:val="00C932F2"/>
    <w:rsid w:val="00C9467A"/>
    <w:rsid w:val="00C953CA"/>
    <w:rsid w:val="00C959AC"/>
    <w:rsid w:val="00C95D23"/>
    <w:rsid w:val="00C95E7B"/>
    <w:rsid w:val="00C96143"/>
    <w:rsid w:val="00C969A3"/>
    <w:rsid w:val="00C97212"/>
    <w:rsid w:val="00C97B9D"/>
    <w:rsid w:val="00C97FD2"/>
    <w:rsid w:val="00CA0309"/>
    <w:rsid w:val="00CA061F"/>
    <w:rsid w:val="00CA0690"/>
    <w:rsid w:val="00CA073F"/>
    <w:rsid w:val="00CA0DD8"/>
    <w:rsid w:val="00CA1352"/>
    <w:rsid w:val="00CA1415"/>
    <w:rsid w:val="00CA1A2A"/>
    <w:rsid w:val="00CA23F7"/>
    <w:rsid w:val="00CA2A9D"/>
    <w:rsid w:val="00CA2C1C"/>
    <w:rsid w:val="00CA365B"/>
    <w:rsid w:val="00CA38DE"/>
    <w:rsid w:val="00CA417D"/>
    <w:rsid w:val="00CA41B9"/>
    <w:rsid w:val="00CA42A3"/>
    <w:rsid w:val="00CA483E"/>
    <w:rsid w:val="00CA4941"/>
    <w:rsid w:val="00CA5B08"/>
    <w:rsid w:val="00CA635E"/>
    <w:rsid w:val="00CA6C1B"/>
    <w:rsid w:val="00CA6CA4"/>
    <w:rsid w:val="00CA7786"/>
    <w:rsid w:val="00CB06FD"/>
    <w:rsid w:val="00CB084E"/>
    <w:rsid w:val="00CB091E"/>
    <w:rsid w:val="00CB09BF"/>
    <w:rsid w:val="00CB0A5B"/>
    <w:rsid w:val="00CB0C41"/>
    <w:rsid w:val="00CB0F2F"/>
    <w:rsid w:val="00CB11A2"/>
    <w:rsid w:val="00CB1941"/>
    <w:rsid w:val="00CB1A50"/>
    <w:rsid w:val="00CB1E29"/>
    <w:rsid w:val="00CB1F12"/>
    <w:rsid w:val="00CB2190"/>
    <w:rsid w:val="00CB2683"/>
    <w:rsid w:val="00CB2A95"/>
    <w:rsid w:val="00CB2E32"/>
    <w:rsid w:val="00CB31EC"/>
    <w:rsid w:val="00CB35C6"/>
    <w:rsid w:val="00CB3775"/>
    <w:rsid w:val="00CB3805"/>
    <w:rsid w:val="00CB3DA7"/>
    <w:rsid w:val="00CB4044"/>
    <w:rsid w:val="00CB42E1"/>
    <w:rsid w:val="00CB447E"/>
    <w:rsid w:val="00CB455D"/>
    <w:rsid w:val="00CB56BF"/>
    <w:rsid w:val="00CB59D0"/>
    <w:rsid w:val="00CB60A8"/>
    <w:rsid w:val="00CB6476"/>
    <w:rsid w:val="00CB664C"/>
    <w:rsid w:val="00CB693B"/>
    <w:rsid w:val="00CB6EB1"/>
    <w:rsid w:val="00CB7108"/>
    <w:rsid w:val="00CC047A"/>
    <w:rsid w:val="00CC0867"/>
    <w:rsid w:val="00CC101B"/>
    <w:rsid w:val="00CC114C"/>
    <w:rsid w:val="00CC153A"/>
    <w:rsid w:val="00CC1CC5"/>
    <w:rsid w:val="00CC22A3"/>
    <w:rsid w:val="00CC305A"/>
    <w:rsid w:val="00CC33F4"/>
    <w:rsid w:val="00CC3578"/>
    <w:rsid w:val="00CC3C4A"/>
    <w:rsid w:val="00CC3E0F"/>
    <w:rsid w:val="00CC3FAB"/>
    <w:rsid w:val="00CC4872"/>
    <w:rsid w:val="00CC48E8"/>
    <w:rsid w:val="00CC48F6"/>
    <w:rsid w:val="00CC4B77"/>
    <w:rsid w:val="00CC5AFC"/>
    <w:rsid w:val="00CC5F7C"/>
    <w:rsid w:val="00CC614C"/>
    <w:rsid w:val="00CC615E"/>
    <w:rsid w:val="00CC647E"/>
    <w:rsid w:val="00CC64AF"/>
    <w:rsid w:val="00CC66D9"/>
    <w:rsid w:val="00CC69A4"/>
    <w:rsid w:val="00CC6A61"/>
    <w:rsid w:val="00CC6D46"/>
    <w:rsid w:val="00CC73EC"/>
    <w:rsid w:val="00CC792E"/>
    <w:rsid w:val="00CC7DBF"/>
    <w:rsid w:val="00CD0661"/>
    <w:rsid w:val="00CD0C58"/>
    <w:rsid w:val="00CD13BF"/>
    <w:rsid w:val="00CD1977"/>
    <w:rsid w:val="00CD1CAF"/>
    <w:rsid w:val="00CD2405"/>
    <w:rsid w:val="00CD26B0"/>
    <w:rsid w:val="00CD348C"/>
    <w:rsid w:val="00CD3518"/>
    <w:rsid w:val="00CD351B"/>
    <w:rsid w:val="00CD352C"/>
    <w:rsid w:val="00CD3615"/>
    <w:rsid w:val="00CD3B3B"/>
    <w:rsid w:val="00CD445E"/>
    <w:rsid w:val="00CD46DB"/>
    <w:rsid w:val="00CD49D9"/>
    <w:rsid w:val="00CD4B4C"/>
    <w:rsid w:val="00CD4EF6"/>
    <w:rsid w:val="00CD54DF"/>
    <w:rsid w:val="00CD5702"/>
    <w:rsid w:val="00CD5848"/>
    <w:rsid w:val="00CD58A5"/>
    <w:rsid w:val="00CD5BC7"/>
    <w:rsid w:val="00CD5E43"/>
    <w:rsid w:val="00CD60E7"/>
    <w:rsid w:val="00CD6666"/>
    <w:rsid w:val="00CD670E"/>
    <w:rsid w:val="00CD67EA"/>
    <w:rsid w:val="00CD68A7"/>
    <w:rsid w:val="00CD6B5E"/>
    <w:rsid w:val="00CD6EE5"/>
    <w:rsid w:val="00CD6F28"/>
    <w:rsid w:val="00CD7295"/>
    <w:rsid w:val="00CD7499"/>
    <w:rsid w:val="00CD772B"/>
    <w:rsid w:val="00CD7892"/>
    <w:rsid w:val="00CD7F20"/>
    <w:rsid w:val="00CE0447"/>
    <w:rsid w:val="00CE062F"/>
    <w:rsid w:val="00CE0B03"/>
    <w:rsid w:val="00CE1AC0"/>
    <w:rsid w:val="00CE286D"/>
    <w:rsid w:val="00CE3556"/>
    <w:rsid w:val="00CE3865"/>
    <w:rsid w:val="00CE3B41"/>
    <w:rsid w:val="00CE3DE2"/>
    <w:rsid w:val="00CE3E86"/>
    <w:rsid w:val="00CE43EF"/>
    <w:rsid w:val="00CE4901"/>
    <w:rsid w:val="00CE5233"/>
    <w:rsid w:val="00CE577B"/>
    <w:rsid w:val="00CE60C9"/>
    <w:rsid w:val="00CE650A"/>
    <w:rsid w:val="00CE65EB"/>
    <w:rsid w:val="00CE6862"/>
    <w:rsid w:val="00CE6A91"/>
    <w:rsid w:val="00CE6CB0"/>
    <w:rsid w:val="00CE76E7"/>
    <w:rsid w:val="00CE7F2B"/>
    <w:rsid w:val="00CF0687"/>
    <w:rsid w:val="00CF07F2"/>
    <w:rsid w:val="00CF0A05"/>
    <w:rsid w:val="00CF11E0"/>
    <w:rsid w:val="00CF25D4"/>
    <w:rsid w:val="00CF3302"/>
    <w:rsid w:val="00CF338B"/>
    <w:rsid w:val="00CF349F"/>
    <w:rsid w:val="00CF37B6"/>
    <w:rsid w:val="00CF3D6F"/>
    <w:rsid w:val="00CF4F7E"/>
    <w:rsid w:val="00CF58ED"/>
    <w:rsid w:val="00CF61C5"/>
    <w:rsid w:val="00CF67BD"/>
    <w:rsid w:val="00CF785A"/>
    <w:rsid w:val="00CF7D0A"/>
    <w:rsid w:val="00D0019A"/>
    <w:rsid w:val="00D002A2"/>
    <w:rsid w:val="00D00638"/>
    <w:rsid w:val="00D00863"/>
    <w:rsid w:val="00D00A2A"/>
    <w:rsid w:val="00D012C5"/>
    <w:rsid w:val="00D019FB"/>
    <w:rsid w:val="00D01C8E"/>
    <w:rsid w:val="00D01CBA"/>
    <w:rsid w:val="00D01D65"/>
    <w:rsid w:val="00D01E01"/>
    <w:rsid w:val="00D0219C"/>
    <w:rsid w:val="00D022BF"/>
    <w:rsid w:val="00D02BA9"/>
    <w:rsid w:val="00D02FBF"/>
    <w:rsid w:val="00D0308E"/>
    <w:rsid w:val="00D031C3"/>
    <w:rsid w:val="00D0337C"/>
    <w:rsid w:val="00D03641"/>
    <w:rsid w:val="00D03701"/>
    <w:rsid w:val="00D03879"/>
    <w:rsid w:val="00D03BB3"/>
    <w:rsid w:val="00D044A6"/>
    <w:rsid w:val="00D045C0"/>
    <w:rsid w:val="00D0483E"/>
    <w:rsid w:val="00D04A64"/>
    <w:rsid w:val="00D04E40"/>
    <w:rsid w:val="00D04EFB"/>
    <w:rsid w:val="00D058CA"/>
    <w:rsid w:val="00D05AC2"/>
    <w:rsid w:val="00D05AD3"/>
    <w:rsid w:val="00D05FC5"/>
    <w:rsid w:val="00D05FC6"/>
    <w:rsid w:val="00D068B9"/>
    <w:rsid w:val="00D06AED"/>
    <w:rsid w:val="00D06C58"/>
    <w:rsid w:val="00D07059"/>
    <w:rsid w:val="00D072E0"/>
    <w:rsid w:val="00D077AE"/>
    <w:rsid w:val="00D10040"/>
    <w:rsid w:val="00D10604"/>
    <w:rsid w:val="00D106C3"/>
    <w:rsid w:val="00D10BAE"/>
    <w:rsid w:val="00D11981"/>
    <w:rsid w:val="00D11DE8"/>
    <w:rsid w:val="00D1226D"/>
    <w:rsid w:val="00D12311"/>
    <w:rsid w:val="00D127B3"/>
    <w:rsid w:val="00D128C4"/>
    <w:rsid w:val="00D12CD8"/>
    <w:rsid w:val="00D12CF6"/>
    <w:rsid w:val="00D13B8D"/>
    <w:rsid w:val="00D13F2A"/>
    <w:rsid w:val="00D13FAF"/>
    <w:rsid w:val="00D143BD"/>
    <w:rsid w:val="00D14578"/>
    <w:rsid w:val="00D15A77"/>
    <w:rsid w:val="00D15BA3"/>
    <w:rsid w:val="00D164F1"/>
    <w:rsid w:val="00D1683B"/>
    <w:rsid w:val="00D16961"/>
    <w:rsid w:val="00D16EE6"/>
    <w:rsid w:val="00D1737C"/>
    <w:rsid w:val="00D17A8E"/>
    <w:rsid w:val="00D17ACF"/>
    <w:rsid w:val="00D202A4"/>
    <w:rsid w:val="00D20626"/>
    <w:rsid w:val="00D20775"/>
    <w:rsid w:val="00D20A53"/>
    <w:rsid w:val="00D20FCA"/>
    <w:rsid w:val="00D217C7"/>
    <w:rsid w:val="00D21880"/>
    <w:rsid w:val="00D21BE7"/>
    <w:rsid w:val="00D21D89"/>
    <w:rsid w:val="00D21F1B"/>
    <w:rsid w:val="00D22356"/>
    <w:rsid w:val="00D22A8C"/>
    <w:rsid w:val="00D231E7"/>
    <w:rsid w:val="00D23557"/>
    <w:rsid w:val="00D23AE3"/>
    <w:rsid w:val="00D23B50"/>
    <w:rsid w:val="00D23F66"/>
    <w:rsid w:val="00D24BA2"/>
    <w:rsid w:val="00D25061"/>
    <w:rsid w:val="00D25941"/>
    <w:rsid w:val="00D2696F"/>
    <w:rsid w:val="00D26977"/>
    <w:rsid w:val="00D26FF6"/>
    <w:rsid w:val="00D27227"/>
    <w:rsid w:val="00D27948"/>
    <w:rsid w:val="00D27BC5"/>
    <w:rsid w:val="00D308FF"/>
    <w:rsid w:val="00D30A75"/>
    <w:rsid w:val="00D30AED"/>
    <w:rsid w:val="00D30DF6"/>
    <w:rsid w:val="00D30F0B"/>
    <w:rsid w:val="00D3103E"/>
    <w:rsid w:val="00D3107C"/>
    <w:rsid w:val="00D3113C"/>
    <w:rsid w:val="00D31146"/>
    <w:rsid w:val="00D31235"/>
    <w:rsid w:val="00D31438"/>
    <w:rsid w:val="00D31498"/>
    <w:rsid w:val="00D31A47"/>
    <w:rsid w:val="00D32A9E"/>
    <w:rsid w:val="00D32CD1"/>
    <w:rsid w:val="00D337CA"/>
    <w:rsid w:val="00D33D73"/>
    <w:rsid w:val="00D340E6"/>
    <w:rsid w:val="00D3417B"/>
    <w:rsid w:val="00D341C2"/>
    <w:rsid w:val="00D349BC"/>
    <w:rsid w:val="00D34A5D"/>
    <w:rsid w:val="00D34C59"/>
    <w:rsid w:val="00D351AE"/>
    <w:rsid w:val="00D352AB"/>
    <w:rsid w:val="00D35594"/>
    <w:rsid w:val="00D356F9"/>
    <w:rsid w:val="00D35EB1"/>
    <w:rsid w:val="00D363C1"/>
    <w:rsid w:val="00D36B0F"/>
    <w:rsid w:val="00D36BF3"/>
    <w:rsid w:val="00D371BB"/>
    <w:rsid w:val="00D374BD"/>
    <w:rsid w:val="00D37579"/>
    <w:rsid w:val="00D4058D"/>
    <w:rsid w:val="00D406D3"/>
    <w:rsid w:val="00D40C52"/>
    <w:rsid w:val="00D4132E"/>
    <w:rsid w:val="00D4137E"/>
    <w:rsid w:val="00D413A7"/>
    <w:rsid w:val="00D4210E"/>
    <w:rsid w:val="00D42A75"/>
    <w:rsid w:val="00D42B28"/>
    <w:rsid w:val="00D43455"/>
    <w:rsid w:val="00D43649"/>
    <w:rsid w:val="00D43D5B"/>
    <w:rsid w:val="00D43E29"/>
    <w:rsid w:val="00D43E2D"/>
    <w:rsid w:val="00D43F3D"/>
    <w:rsid w:val="00D43FAA"/>
    <w:rsid w:val="00D446EA"/>
    <w:rsid w:val="00D447FF"/>
    <w:rsid w:val="00D44988"/>
    <w:rsid w:val="00D44C6C"/>
    <w:rsid w:val="00D452B5"/>
    <w:rsid w:val="00D4533C"/>
    <w:rsid w:val="00D458F2"/>
    <w:rsid w:val="00D46C85"/>
    <w:rsid w:val="00D475BE"/>
    <w:rsid w:val="00D50410"/>
    <w:rsid w:val="00D507AE"/>
    <w:rsid w:val="00D507EA"/>
    <w:rsid w:val="00D5080F"/>
    <w:rsid w:val="00D5081A"/>
    <w:rsid w:val="00D508E8"/>
    <w:rsid w:val="00D50E7D"/>
    <w:rsid w:val="00D514CE"/>
    <w:rsid w:val="00D5154F"/>
    <w:rsid w:val="00D515BF"/>
    <w:rsid w:val="00D516D0"/>
    <w:rsid w:val="00D518F4"/>
    <w:rsid w:val="00D51B52"/>
    <w:rsid w:val="00D51BBC"/>
    <w:rsid w:val="00D51FD8"/>
    <w:rsid w:val="00D52121"/>
    <w:rsid w:val="00D521CD"/>
    <w:rsid w:val="00D52F40"/>
    <w:rsid w:val="00D53047"/>
    <w:rsid w:val="00D530E2"/>
    <w:rsid w:val="00D53A82"/>
    <w:rsid w:val="00D542E3"/>
    <w:rsid w:val="00D54788"/>
    <w:rsid w:val="00D55426"/>
    <w:rsid w:val="00D559B3"/>
    <w:rsid w:val="00D560B9"/>
    <w:rsid w:val="00D56551"/>
    <w:rsid w:val="00D56677"/>
    <w:rsid w:val="00D5670B"/>
    <w:rsid w:val="00D56AA9"/>
    <w:rsid w:val="00D56B52"/>
    <w:rsid w:val="00D56EC6"/>
    <w:rsid w:val="00D5748E"/>
    <w:rsid w:val="00D57664"/>
    <w:rsid w:val="00D57A0D"/>
    <w:rsid w:val="00D57C80"/>
    <w:rsid w:val="00D603B0"/>
    <w:rsid w:val="00D60746"/>
    <w:rsid w:val="00D60EA6"/>
    <w:rsid w:val="00D614BE"/>
    <w:rsid w:val="00D61EDA"/>
    <w:rsid w:val="00D6222F"/>
    <w:rsid w:val="00D6289B"/>
    <w:rsid w:val="00D62C0A"/>
    <w:rsid w:val="00D63F48"/>
    <w:rsid w:val="00D64064"/>
    <w:rsid w:val="00D64093"/>
    <w:rsid w:val="00D644BC"/>
    <w:rsid w:val="00D6453A"/>
    <w:rsid w:val="00D6456F"/>
    <w:rsid w:val="00D64700"/>
    <w:rsid w:val="00D64752"/>
    <w:rsid w:val="00D64D13"/>
    <w:rsid w:val="00D652F5"/>
    <w:rsid w:val="00D65B8F"/>
    <w:rsid w:val="00D67382"/>
    <w:rsid w:val="00D6761C"/>
    <w:rsid w:val="00D706D0"/>
    <w:rsid w:val="00D708F2"/>
    <w:rsid w:val="00D71143"/>
    <w:rsid w:val="00D715C0"/>
    <w:rsid w:val="00D718C6"/>
    <w:rsid w:val="00D71EB9"/>
    <w:rsid w:val="00D71FED"/>
    <w:rsid w:val="00D728D2"/>
    <w:rsid w:val="00D729A9"/>
    <w:rsid w:val="00D72CBB"/>
    <w:rsid w:val="00D72EB3"/>
    <w:rsid w:val="00D730C7"/>
    <w:rsid w:val="00D7323A"/>
    <w:rsid w:val="00D732A6"/>
    <w:rsid w:val="00D73AB1"/>
    <w:rsid w:val="00D74611"/>
    <w:rsid w:val="00D74999"/>
    <w:rsid w:val="00D74B0A"/>
    <w:rsid w:val="00D74D21"/>
    <w:rsid w:val="00D75291"/>
    <w:rsid w:val="00D7686C"/>
    <w:rsid w:val="00D76BD7"/>
    <w:rsid w:val="00D76D4B"/>
    <w:rsid w:val="00D77228"/>
    <w:rsid w:val="00D80321"/>
    <w:rsid w:val="00D81386"/>
    <w:rsid w:val="00D814F3"/>
    <w:rsid w:val="00D81C8D"/>
    <w:rsid w:val="00D82157"/>
    <w:rsid w:val="00D82636"/>
    <w:rsid w:val="00D82EF3"/>
    <w:rsid w:val="00D82FC3"/>
    <w:rsid w:val="00D8351C"/>
    <w:rsid w:val="00D83630"/>
    <w:rsid w:val="00D8390A"/>
    <w:rsid w:val="00D83FAA"/>
    <w:rsid w:val="00D842AA"/>
    <w:rsid w:val="00D842E7"/>
    <w:rsid w:val="00D846D6"/>
    <w:rsid w:val="00D84ACA"/>
    <w:rsid w:val="00D84C83"/>
    <w:rsid w:val="00D85453"/>
    <w:rsid w:val="00D857E7"/>
    <w:rsid w:val="00D85C0C"/>
    <w:rsid w:val="00D85DCE"/>
    <w:rsid w:val="00D85EE2"/>
    <w:rsid w:val="00D86B6E"/>
    <w:rsid w:val="00D86DAF"/>
    <w:rsid w:val="00D8703B"/>
    <w:rsid w:val="00D87165"/>
    <w:rsid w:val="00D879C8"/>
    <w:rsid w:val="00D909AF"/>
    <w:rsid w:val="00D90BBE"/>
    <w:rsid w:val="00D90CE5"/>
    <w:rsid w:val="00D912CF"/>
    <w:rsid w:val="00D91528"/>
    <w:rsid w:val="00D91B26"/>
    <w:rsid w:val="00D92215"/>
    <w:rsid w:val="00D929AD"/>
    <w:rsid w:val="00D92CD2"/>
    <w:rsid w:val="00D93117"/>
    <w:rsid w:val="00D933CE"/>
    <w:rsid w:val="00D933DA"/>
    <w:rsid w:val="00D936BF"/>
    <w:rsid w:val="00D93FB7"/>
    <w:rsid w:val="00D940B9"/>
    <w:rsid w:val="00D94302"/>
    <w:rsid w:val="00D9462F"/>
    <w:rsid w:val="00D949DC"/>
    <w:rsid w:val="00D94BB2"/>
    <w:rsid w:val="00D95073"/>
    <w:rsid w:val="00D95D70"/>
    <w:rsid w:val="00D9644F"/>
    <w:rsid w:val="00D96664"/>
    <w:rsid w:val="00D96F3C"/>
    <w:rsid w:val="00D9704B"/>
    <w:rsid w:val="00D97C54"/>
    <w:rsid w:val="00D97D80"/>
    <w:rsid w:val="00D97F70"/>
    <w:rsid w:val="00D97FBA"/>
    <w:rsid w:val="00DA0276"/>
    <w:rsid w:val="00DA02D1"/>
    <w:rsid w:val="00DA077A"/>
    <w:rsid w:val="00DA097F"/>
    <w:rsid w:val="00DA0E5F"/>
    <w:rsid w:val="00DA1023"/>
    <w:rsid w:val="00DA1BEF"/>
    <w:rsid w:val="00DA1E73"/>
    <w:rsid w:val="00DA1EA4"/>
    <w:rsid w:val="00DA1FD4"/>
    <w:rsid w:val="00DA246D"/>
    <w:rsid w:val="00DA251F"/>
    <w:rsid w:val="00DA27B6"/>
    <w:rsid w:val="00DA2E12"/>
    <w:rsid w:val="00DA3469"/>
    <w:rsid w:val="00DA34B0"/>
    <w:rsid w:val="00DA3700"/>
    <w:rsid w:val="00DA3C18"/>
    <w:rsid w:val="00DA41D3"/>
    <w:rsid w:val="00DA462C"/>
    <w:rsid w:val="00DA4801"/>
    <w:rsid w:val="00DA4A0D"/>
    <w:rsid w:val="00DA4C47"/>
    <w:rsid w:val="00DA4D02"/>
    <w:rsid w:val="00DA4E01"/>
    <w:rsid w:val="00DA5C82"/>
    <w:rsid w:val="00DA60C2"/>
    <w:rsid w:val="00DA78AE"/>
    <w:rsid w:val="00DA7C57"/>
    <w:rsid w:val="00DA7D85"/>
    <w:rsid w:val="00DA7E60"/>
    <w:rsid w:val="00DA7F6B"/>
    <w:rsid w:val="00DB01E6"/>
    <w:rsid w:val="00DB05B5"/>
    <w:rsid w:val="00DB0672"/>
    <w:rsid w:val="00DB08CE"/>
    <w:rsid w:val="00DB0BBE"/>
    <w:rsid w:val="00DB0E0B"/>
    <w:rsid w:val="00DB10C9"/>
    <w:rsid w:val="00DB1583"/>
    <w:rsid w:val="00DB1E53"/>
    <w:rsid w:val="00DB2111"/>
    <w:rsid w:val="00DB249A"/>
    <w:rsid w:val="00DB27D3"/>
    <w:rsid w:val="00DB2F5C"/>
    <w:rsid w:val="00DB3296"/>
    <w:rsid w:val="00DB3379"/>
    <w:rsid w:val="00DB34F7"/>
    <w:rsid w:val="00DB3608"/>
    <w:rsid w:val="00DB385F"/>
    <w:rsid w:val="00DB3869"/>
    <w:rsid w:val="00DB3D92"/>
    <w:rsid w:val="00DB3ED2"/>
    <w:rsid w:val="00DB466C"/>
    <w:rsid w:val="00DB468E"/>
    <w:rsid w:val="00DB46BD"/>
    <w:rsid w:val="00DB5120"/>
    <w:rsid w:val="00DB538B"/>
    <w:rsid w:val="00DB540C"/>
    <w:rsid w:val="00DB57B8"/>
    <w:rsid w:val="00DB5B09"/>
    <w:rsid w:val="00DB6B36"/>
    <w:rsid w:val="00DB769D"/>
    <w:rsid w:val="00DB776E"/>
    <w:rsid w:val="00DB77EE"/>
    <w:rsid w:val="00DC029B"/>
    <w:rsid w:val="00DC0A08"/>
    <w:rsid w:val="00DC0F09"/>
    <w:rsid w:val="00DC1126"/>
    <w:rsid w:val="00DC1B6E"/>
    <w:rsid w:val="00DC1B86"/>
    <w:rsid w:val="00DC1C65"/>
    <w:rsid w:val="00DC215E"/>
    <w:rsid w:val="00DC2161"/>
    <w:rsid w:val="00DC244B"/>
    <w:rsid w:val="00DC24B7"/>
    <w:rsid w:val="00DC2617"/>
    <w:rsid w:val="00DC26F7"/>
    <w:rsid w:val="00DC289B"/>
    <w:rsid w:val="00DC28DD"/>
    <w:rsid w:val="00DC2FB4"/>
    <w:rsid w:val="00DC3661"/>
    <w:rsid w:val="00DC3710"/>
    <w:rsid w:val="00DC38B7"/>
    <w:rsid w:val="00DC3B39"/>
    <w:rsid w:val="00DC3B5D"/>
    <w:rsid w:val="00DC3B67"/>
    <w:rsid w:val="00DC3CDB"/>
    <w:rsid w:val="00DC4BCE"/>
    <w:rsid w:val="00DC4D15"/>
    <w:rsid w:val="00DC53FB"/>
    <w:rsid w:val="00DC5769"/>
    <w:rsid w:val="00DC5B13"/>
    <w:rsid w:val="00DC5D65"/>
    <w:rsid w:val="00DC60F4"/>
    <w:rsid w:val="00DC63AF"/>
    <w:rsid w:val="00DC7745"/>
    <w:rsid w:val="00DC7A7D"/>
    <w:rsid w:val="00DC7AF1"/>
    <w:rsid w:val="00DC7AF6"/>
    <w:rsid w:val="00DC7B24"/>
    <w:rsid w:val="00DD01B0"/>
    <w:rsid w:val="00DD0394"/>
    <w:rsid w:val="00DD1471"/>
    <w:rsid w:val="00DD14AF"/>
    <w:rsid w:val="00DD1D02"/>
    <w:rsid w:val="00DD23A0"/>
    <w:rsid w:val="00DD288A"/>
    <w:rsid w:val="00DD2D1D"/>
    <w:rsid w:val="00DD39F4"/>
    <w:rsid w:val="00DD3B4B"/>
    <w:rsid w:val="00DD3EF4"/>
    <w:rsid w:val="00DD402D"/>
    <w:rsid w:val="00DD45AC"/>
    <w:rsid w:val="00DD4FE0"/>
    <w:rsid w:val="00DD51D5"/>
    <w:rsid w:val="00DD540E"/>
    <w:rsid w:val="00DD591B"/>
    <w:rsid w:val="00DD5ED3"/>
    <w:rsid w:val="00DD63CB"/>
    <w:rsid w:val="00DD6895"/>
    <w:rsid w:val="00DD692D"/>
    <w:rsid w:val="00DD707C"/>
    <w:rsid w:val="00DD70F3"/>
    <w:rsid w:val="00DD772B"/>
    <w:rsid w:val="00DE01EB"/>
    <w:rsid w:val="00DE04C9"/>
    <w:rsid w:val="00DE05C5"/>
    <w:rsid w:val="00DE066B"/>
    <w:rsid w:val="00DE08A0"/>
    <w:rsid w:val="00DE173A"/>
    <w:rsid w:val="00DE1769"/>
    <w:rsid w:val="00DE2124"/>
    <w:rsid w:val="00DE22A6"/>
    <w:rsid w:val="00DE2588"/>
    <w:rsid w:val="00DE259F"/>
    <w:rsid w:val="00DE2B80"/>
    <w:rsid w:val="00DE2F89"/>
    <w:rsid w:val="00DE2FE2"/>
    <w:rsid w:val="00DE33D5"/>
    <w:rsid w:val="00DE39A9"/>
    <w:rsid w:val="00DE3F99"/>
    <w:rsid w:val="00DE3FE5"/>
    <w:rsid w:val="00DE4847"/>
    <w:rsid w:val="00DE4BE5"/>
    <w:rsid w:val="00DE4E2E"/>
    <w:rsid w:val="00DE5D50"/>
    <w:rsid w:val="00DE5D79"/>
    <w:rsid w:val="00DE6156"/>
    <w:rsid w:val="00DE61D8"/>
    <w:rsid w:val="00DE63B3"/>
    <w:rsid w:val="00DE652E"/>
    <w:rsid w:val="00DE6642"/>
    <w:rsid w:val="00DE67F4"/>
    <w:rsid w:val="00DE698E"/>
    <w:rsid w:val="00DE6F0A"/>
    <w:rsid w:val="00DE77B1"/>
    <w:rsid w:val="00DE7E6A"/>
    <w:rsid w:val="00DF02DE"/>
    <w:rsid w:val="00DF064C"/>
    <w:rsid w:val="00DF0B6F"/>
    <w:rsid w:val="00DF1163"/>
    <w:rsid w:val="00DF11B1"/>
    <w:rsid w:val="00DF1AD8"/>
    <w:rsid w:val="00DF1B37"/>
    <w:rsid w:val="00DF1BC8"/>
    <w:rsid w:val="00DF2098"/>
    <w:rsid w:val="00DF20BD"/>
    <w:rsid w:val="00DF2B67"/>
    <w:rsid w:val="00DF2C2C"/>
    <w:rsid w:val="00DF3CE6"/>
    <w:rsid w:val="00DF3D53"/>
    <w:rsid w:val="00DF4102"/>
    <w:rsid w:val="00DF42F2"/>
    <w:rsid w:val="00DF4E71"/>
    <w:rsid w:val="00DF4EB5"/>
    <w:rsid w:val="00DF4F92"/>
    <w:rsid w:val="00DF5CE8"/>
    <w:rsid w:val="00DF5E03"/>
    <w:rsid w:val="00DF5F72"/>
    <w:rsid w:val="00DF66CB"/>
    <w:rsid w:val="00DF6775"/>
    <w:rsid w:val="00DF6890"/>
    <w:rsid w:val="00DF6D18"/>
    <w:rsid w:val="00DF6FC2"/>
    <w:rsid w:val="00DF725B"/>
    <w:rsid w:val="00DF7580"/>
    <w:rsid w:val="00DF77FE"/>
    <w:rsid w:val="00E003CC"/>
    <w:rsid w:val="00E00495"/>
    <w:rsid w:val="00E00E18"/>
    <w:rsid w:val="00E00E3C"/>
    <w:rsid w:val="00E00F14"/>
    <w:rsid w:val="00E014ED"/>
    <w:rsid w:val="00E0172C"/>
    <w:rsid w:val="00E0194E"/>
    <w:rsid w:val="00E02113"/>
    <w:rsid w:val="00E0229E"/>
    <w:rsid w:val="00E0235D"/>
    <w:rsid w:val="00E02824"/>
    <w:rsid w:val="00E02A62"/>
    <w:rsid w:val="00E02D5D"/>
    <w:rsid w:val="00E033EE"/>
    <w:rsid w:val="00E03721"/>
    <w:rsid w:val="00E037B5"/>
    <w:rsid w:val="00E03FC5"/>
    <w:rsid w:val="00E0486F"/>
    <w:rsid w:val="00E04B3D"/>
    <w:rsid w:val="00E0567E"/>
    <w:rsid w:val="00E05B95"/>
    <w:rsid w:val="00E05EAC"/>
    <w:rsid w:val="00E0641D"/>
    <w:rsid w:val="00E06607"/>
    <w:rsid w:val="00E06689"/>
    <w:rsid w:val="00E0668F"/>
    <w:rsid w:val="00E06ABD"/>
    <w:rsid w:val="00E06B3F"/>
    <w:rsid w:val="00E07184"/>
    <w:rsid w:val="00E0734E"/>
    <w:rsid w:val="00E076CB"/>
    <w:rsid w:val="00E10526"/>
    <w:rsid w:val="00E106E7"/>
    <w:rsid w:val="00E10887"/>
    <w:rsid w:val="00E109B7"/>
    <w:rsid w:val="00E10A8F"/>
    <w:rsid w:val="00E10D7A"/>
    <w:rsid w:val="00E10F90"/>
    <w:rsid w:val="00E1103C"/>
    <w:rsid w:val="00E11410"/>
    <w:rsid w:val="00E11491"/>
    <w:rsid w:val="00E11BA8"/>
    <w:rsid w:val="00E12134"/>
    <w:rsid w:val="00E126F4"/>
    <w:rsid w:val="00E12739"/>
    <w:rsid w:val="00E1296E"/>
    <w:rsid w:val="00E12CE9"/>
    <w:rsid w:val="00E13072"/>
    <w:rsid w:val="00E137A5"/>
    <w:rsid w:val="00E139D6"/>
    <w:rsid w:val="00E14CCB"/>
    <w:rsid w:val="00E153FA"/>
    <w:rsid w:val="00E156A0"/>
    <w:rsid w:val="00E15A51"/>
    <w:rsid w:val="00E1698F"/>
    <w:rsid w:val="00E16C0C"/>
    <w:rsid w:val="00E16D9F"/>
    <w:rsid w:val="00E17202"/>
    <w:rsid w:val="00E17424"/>
    <w:rsid w:val="00E17806"/>
    <w:rsid w:val="00E17D82"/>
    <w:rsid w:val="00E17FC5"/>
    <w:rsid w:val="00E201DC"/>
    <w:rsid w:val="00E2036A"/>
    <w:rsid w:val="00E20A3A"/>
    <w:rsid w:val="00E20AF1"/>
    <w:rsid w:val="00E20B88"/>
    <w:rsid w:val="00E210AF"/>
    <w:rsid w:val="00E211CC"/>
    <w:rsid w:val="00E213C7"/>
    <w:rsid w:val="00E22697"/>
    <w:rsid w:val="00E230F2"/>
    <w:rsid w:val="00E23FB4"/>
    <w:rsid w:val="00E24070"/>
    <w:rsid w:val="00E24443"/>
    <w:rsid w:val="00E24498"/>
    <w:rsid w:val="00E244B4"/>
    <w:rsid w:val="00E24801"/>
    <w:rsid w:val="00E24F7F"/>
    <w:rsid w:val="00E2509C"/>
    <w:rsid w:val="00E25888"/>
    <w:rsid w:val="00E25E91"/>
    <w:rsid w:val="00E25FAC"/>
    <w:rsid w:val="00E26D01"/>
    <w:rsid w:val="00E26F69"/>
    <w:rsid w:val="00E30673"/>
    <w:rsid w:val="00E309CF"/>
    <w:rsid w:val="00E30D63"/>
    <w:rsid w:val="00E30F5E"/>
    <w:rsid w:val="00E31018"/>
    <w:rsid w:val="00E31587"/>
    <w:rsid w:val="00E3178F"/>
    <w:rsid w:val="00E31B8C"/>
    <w:rsid w:val="00E31EDD"/>
    <w:rsid w:val="00E324C7"/>
    <w:rsid w:val="00E324E6"/>
    <w:rsid w:val="00E32BAE"/>
    <w:rsid w:val="00E32DD8"/>
    <w:rsid w:val="00E32E02"/>
    <w:rsid w:val="00E32ED5"/>
    <w:rsid w:val="00E333F9"/>
    <w:rsid w:val="00E3344E"/>
    <w:rsid w:val="00E33B62"/>
    <w:rsid w:val="00E33F28"/>
    <w:rsid w:val="00E34013"/>
    <w:rsid w:val="00E34233"/>
    <w:rsid w:val="00E34BD4"/>
    <w:rsid w:val="00E34D62"/>
    <w:rsid w:val="00E35D04"/>
    <w:rsid w:val="00E35D6F"/>
    <w:rsid w:val="00E36723"/>
    <w:rsid w:val="00E373C0"/>
    <w:rsid w:val="00E3758B"/>
    <w:rsid w:val="00E3772D"/>
    <w:rsid w:val="00E37850"/>
    <w:rsid w:val="00E37AB0"/>
    <w:rsid w:val="00E37EAB"/>
    <w:rsid w:val="00E400EA"/>
    <w:rsid w:val="00E408C6"/>
    <w:rsid w:val="00E4093B"/>
    <w:rsid w:val="00E40E02"/>
    <w:rsid w:val="00E4100D"/>
    <w:rsid w:val="00E41548"/>
    <w:rsid w:val="00E418F1"/>
    <w:rsid w:val="00E41F2D"/>
    <w:rsid w:val="00E42114"/>
    <w:rsid w:val="00E43274"/>
    <w:rsid w:val="00E432F8"/>
    <w:rsid w:val="00E43982"/>
    <w:rsid w:val="00E4436B"/>
    <w:rsid w:val="00E44EAD"/>
    <w:rsid w:val="00E44FE2"/>
    <w:rsid w:val="00E45974"/>
    <w:rsid w:val="00E45BD9"/>
    <w:rsid w:val="00E4686E"/>
    <w:rsid w:val="00E46F66"/>
    <w:rsid w:val="00E47020"/>
    <w:rsid w:val="00E470E3"/>
    <w:rsid w:val="00E47951"/>
    <w:rsid w:val="00E4797D"/>
    <w:rsid w:val="00E47B6C"/>
    <w:rsid w:val="00E501BC"/>
    <w:rsid w:val="00E5097F"/>
    <w:rsid w:val="00E50B40"/>
    <w:rsid w:val="00E50DB3"/>
    <w:rsid w:val="00E50E05"/>
    <w:rsid w:val="00E51A87"/>
    <w:rsid w:val="00E5209D"/>
    <w:rsid w:val="00E524A4"/>
    <w:rsid w:val="00E546FB"/>
    <w:rsid w:val="00E54787"/>
    <w:rsid w:val="00E549ED"/>
    <w:rsid w:val="00E555CE"/>
    <w:rsid w:val="00E55CE6"/>
    <w:rsid w:val="00E55EF2"/>
    <w:rsid w:val="00E56472"/>
    <w:rsid w:val="00E56A26"/>
    <w:rsid w:val="00E56BFF"/>
    <w:rsid w:val="00E56DB7"/>
    <w:rsid w:val="00E56DCA"/>
    <w:rsid w:val="00E56FA0"/>
    <w:rsid w:val="00E570D5"/>
    <w:rsid w:val="00E571EC"/>
    <w:rsid w:val="00E57668"/>
    <w:rsid w:val="00E6070A"/>
    <w:rsid w:val="00E60756"/>
    <w:rsid w:val="00E60860"/>
    <w:rsid w:val="00E60C14"/>
    <w:rsid w:val="00E60C1A"/>
    <w:rsid w:val="00E61018"/>
    <w:rsid w:val="00E611D2"/>
    <w:rsid w:val="00E6122A"/>
    <w:rsid w:val="00E61426"/>
    <w:rsid w:val="00E61F3E"/>
    <w:rsid w:val="00E628B6"/>
    <w:rsid w:val="00E62A82"/>
    <w:rsid w:val="00E62B29"/>
    <w:rsid w:val="00E6329E"/>
    <w:rsid w:val="00E633F9"/>
    <w:rsid w:val="00E6364A"/>
    <w:rsid w:val="00E637D2"/>
    <w:rsid w:val="00E64007"/>
    <w:rsid w:val="00E64045"/>
    <w:rsid w:val="00E64204"/>
    <w:rsid w:val="00E6426A"/>
    <w:rsid w:val="00E642C0"/>
    <w:rsid w:val="00E64343"/>
    <w:rsid w:val="00E6457D"/>
    <w:rsid w:val="00E646E2"/>
    <w:rsid w:val="00E64A52"/>
    <w:rsid w:val="00E64C6F"/>
    <w:rsid w:val="00E64E92"/>
    <w:rsid w:val="00E64F17"/>
    <w:rsid w:val="00E64FB8"/>
    <w:rsid w:val="00E6526A"/>
    <w:rsid w:val="00E655CB"/>
    <w:rsid w:val="00E65FB8"/>
    <w:rsid w:val="00E66183"/>
    <w:rsid w:val="00E66731"/>
    <w:rsid w:val="00E66E9E"/>
    <w:rsid w:val="00E702CC"/>
    <w:rsid w:val="00E7036F"/>
    <w:rsid w:val="00E70615"/>
    <w:rsid w:val="00E70929"/>
    <w:rsid w:val="00E70ACD"/>
    <w:rsid w:val="00E70E86"/>
    <w:rsid w:val="00E71833"/>
    <w:rsid w:val="00E71B8F"/>
    <w:rsid w:val="00E72001"/>
    <w:rsid w:val="00E7207E"/>
    <w:rsid w:val="00E72A93"/>
    <w:rsid w:val="00E73AD0"/>
    <w:rsid w:val="00E74354"/>
    <w:rsid w:val="00E7440A"/>
    <w:rsid w:val="00E74B55"/>
    <w:rsid w:val="00E74B6B"/>
    <w:rsid w:val="00E74DEE"/>
    <w:rsid w:val="00E7588A"/>
    <w:rsid w:val="00E75CB0"/>
    <w:rsid w:val="00E75E21"/>
    <w:rsid w:val="00E76282"/>
    <w:rsid w:val="00E763CB"/>
    <w:rsid w:val="00E76588"/>
    <w:rsid w:val="00E768AF"/>
    <w:rsid w:val="00E76FC8"/>
    <w:rsid w:val="00E77251"/>
    <w:rsid w:val="00E772C4"/>
    <w:rsid w:val="00E77502"/>
    <w:rsid w:val="00E77B60"/>
    <w:rsid w:val="00E77FDC"/>
    <w:rsid w:val="00E80AFC"/>
    <w:rsid w:val="00E80B8E"/>
    <w:rsid w:val="00E80CE7"/>
    <w:rsid w:val="00E8149F"/>
    <w:rsid w:val="00E81726"/>
    <w:rsid w:val="00E81A72"/>
    <w:rsid w:val="00E81F1D"/>
    <w:rsid w:val="00E823AD"/>
    <w:rsid w:val="00E823B7"/>
    <w:rsid w:val="00E82AD9"/>
    <w:rsid w:val="00E830C1"/>
    <w:rsid w:val="00E83428"/>
    <w:rsid w:val="00E8359B"/>
    <w:rsid w:val="00E8397C"/>
    <w:rsid w:val="00E8399D"/>
    <w:rsid w:val="00E8462C"/>
    <w:rsid w:val="00E84E66"/>
    <w:rsid w:val="00E84F71"/>
    <w:rsid w:val="00E8526D"/>
    <w:rsid w:val="00E85529"/>
    <w:rsid w:val="00E85A63"/>
    <w:rsid w:val="00E85AEC"/>
    <w:rsid w:val="00E85CEE"/>
    <w:rsid w:val="00E85EC0"/>
    <w:rsid w:val="00E862F3"/>
    <w:rsid w:val="00E86308"/>
    <w:rsid w:val="00E863AA"/>
    <w:rsid w:val="00E866D3"/>
    <w:rsid w:val="00E868D0"/>
    <w:rsid w:val="00E877F6"/>
    <w:rsid w:val="00E87922"/>
    <w:rsid w:val="00E87E86"/>
    <w:rsid w:val="00E900E9"/>
    <w:rsid w:val="00E900F9"/>
    <w:rsid w:val="00E905F6"/>
    <w:rsid w:val="00E90D14"/>
    <w:rsid w:val="00E91740"/>
    <w:rsid w:val="00E917B0"/>
    <w:rsid w:val="00E91AC4"/>
    <w:rsid w:val="00E91D2F"/>
    <w:rsid w:val="00E9277D"/>
    <w:rsid w:val="00E929B8"/>
    <w:rsid w:val="00E92D52"/>
    <w:rsid w:val="00E935DC"/>
    <w:rsid w:val="00E93684"/>
    <w:rsid w:val="00E93D8C"/>
    <w:rsid w:val="00E942E1"/>
    <w:rsid w:val="00E94DFD"/>
    <w:rsid w:val="00E952A1"/>
    <w:rsid w:val="00E9671D"/>
    <w:rsid w:val="00E97167"/>
    <w:rsid w:val="00E9738B"/>
    <w:rsid w:val="00E97661"/>
    <w:rsid w:val="00E977E8"/>
    <w:rsid w:val="00E97971"/>
    <w:rsid w:val="00E97AA4"/>
    <w:rsid w:val="00EA0587"/>
    <w:rsid w:val="00EA0603"/>
    <w:rsid w:val="00EA0D51"/>
    <w:rsid w:val="00EA1091"/>
    <w:rsid w:val="00EA1302"/>
    <w:rsid w:val="00EA17DE"/>
    <w:rsid w:val="00EA191F"/>
    <w:rsid w:val="00EA1C67"/>
    <w:rsid w:val="00EA209F"/>
    <w:rsid w:val="00EA2320"/>
    <w:rsid w:val="00EA2C74"/>
    <w:rsid w:val="00EA3595"/>
    <w:rsid w:val="00EA3F7E"/>
    <w:rsid w:val="00EA4CE4"/>
    <w:rsid w:val="00EA4CF1"/>
    <w:rsid w:val="00EA4D6C"/>
    <w:rsid w:val="00EA4DC9"/>
    <w:rsid w:val="00EA52A2"/>
    <w:rsid w:val="00EA589A"/>
    <w:rsid w:val="00EA5905"/>
    <w:rsid w:val="00EA60BA"/>
    <w:rsid w:val="00EA6115"/>
    <w:rsid w:val="00EA6298"/>
    <w:rsid w:val="00EA6429"/>
    <w:rsid w:val="00EA67BF"/>
    <w:rsid w:val="00EA6DDB"/>
    <w:rsid w:val="00EA6E5A"/>
    <w:rsid w:val="00EA72CD"/>
    <w:rsid w:val="00EA7A71"/>
    <w:rsid w:val="00EB0578"/>
    <w:rsid w:val="00EB067F"/>
    <w:rsid w:val="00EB0885"/>
    <w:rsid w:val="00EB08E9"/>
    <w:rsid w:val="00EB09A5"/>
    <w:rsid w:val="00EB1098"/>
    <w:rsid w:val="00EB2353"/>
    <w:rsid w:val="00EB2D05"/>
    <w:rsid w:val="00EB31A8"/>
    <w:rsid w:val="00EB33D8"/>
    <w:rsid w:val="00EB3CAF"/>
    <w:rsid w:val="00EB42A5"/>
    <w:rsid w:val="00EB42F7"/>
    <w:rsid w:val="00EB4335"/>
    <w:rsid w:val="00EB4577"/>
    <w:rsid w:val="00EB4B46"/>
    <w:rsid w:val="00EB4C85"/>
    <w:rsid w:val="00EB4E38"/>
    <w:rsid w:val="00EB52B2"/>
    <w:rsid w:val="00EB568C"/>
    <w:rsid w:val="00EB573D"/>
    <w:rsid w:val="00EB5AAF"/>
    <w:rsid w:val="00EB5F23"/>
    <w:rsid w:val="00EB6143"/>
    <w:rsid w:val="00EB656E"/>
    <w:rsid w:val="00EB69CC"/>
    <w:rsid w:val="00EB6A94"/>
    <w:rsid w:val="00EB7A4C"/>
    <w:rsid w:val="00EC043A"/>
    <w:rsid w:val="00EC0554"/>
    <w:rsid w:val="00EC1044"/>
    <w:rsid w:val="00EC104F"/>
    <w:rsid w:val="00EC1616"/>
    <w:rsid w:val="00EC16A4"/>
    <w:rsid w:val="00EC1785"/>
    <w:rsid w:val="00EC1E89"/>
    <w:rsid w:val="00EC203B"/>
    <w:rsid w:val="00EC2109"/>
    <w:rsid w:val="00EC215D"/>
    <w:rsid w:val="00EC263A"/>
    <w:rsid w:val="00EC2EA2"/>
    <w:rsid w:val="00EC3010"/>
    <w:rsid w:val="00EC3900"/>
    <w:rsid w:val="00EC3B9E"/>
    <w:rsid w:val="00EC441E"/>
    <w:rsid w:val="00EC486D"/>
    <w:rsid w:val="00EC49C1"/>
    <w:rsid w:val="00EC4A3A"/>
    <w:rsid w:val="00EC4BFE"/>
    <w:rsid w:val="00EC500D"/>
    <w:rsid w:val="00EC5583"/>
    <w:rsid w:val="00EC55C2"/>
    <w:rsid w:val="00EC5AD3"/>
    <w:rsid w:val="00EC5DF1"/>
    <w:rsid w:val="00EC5F17"/>
    <w:rsid w:val="00EC619A"/>
    <w:rsid w:val="00EC62AF"/>
    <w:rsid w:val="00EC63A2"/>
    <w:rsid w:val="00EC67B7"/>
    <w:rsid w:val="00EC67C5"/>
    <w:rsid w:val="00EC69B9"/>
    <w:rsid w:val="00EC6C55"/>
    <w:rsid w:val="00EC6D56"/>
    <w:rsid w:val="00EC7C64"/>
    <w:rsid w:val="00EC7F21"/>
    <w:rsid w:val="00ED0488"/>
    <w:rsid w:val="00ED0590"/>
    <w:rsid w:val="00ED0B67"/>
    <w:rsid w:val="00ED0CAA"/>
    <w:rsid w:val="00ED1631"/>
    <w:rsid w:val="00ED195C"/>
    <w:rsid w:val="00ED1C2A"/>
    <w:rsid w:val="00ED2049"/>
    <w:rsid w:val="00ED2509"/>
    <w:rsid w:val="00ED38E1"/>
    <w:rsid w:val="00ED4BA0"/>
    <w:rsid w:val="00ED526A"/>
    <w:rsid w:val="00ED548C"/>
    <w:rsid w:val="00ED54CD"/>
    <w:rsid w:val="00ED5A52"/>
    <w:rsid w:val="00ED5DF6"/>
    <w:rsid w:val="00ED6368"/>
    <w:rsid w:val="00ED663B"/>
    <w:rsid w:val="00ED6765"/>
    <w:rsid w:val="00ED6AEE"/>
    <w:rsid w:val="00ED6E16"/>
    <w:rsid w:val="00ED7772"/>
    <w:rsid w:val="00ED7971"/>
    <w:rsid w:val="00EE042D"/>
    <w:rsid w:val="00EE0437"/>
    <w:rsid w:val="00EE08C1"/>
    <w:rsid w:val="00EE0DD6"/>
    <w:rsid w:val="00EE1412"/>
    <w:rsid w:val="00EE181F"/>
    <w:rsid w:val="00EE1FD1"/>
    <w:rsid w:val="00EE26AC"/>
    <w:rsid w:val="00EE3997"/>
    <w:rsid w:val="00EE3C4E"/>
    <w:rsid w:val="00EE4083"/>
    <w:rsid w:val="00EE4A75"/>
    <w:rsid w:val="00EE4DBA"/>
    <w:rsid w:val="00EE4EDE"/>
    <w:rsid w:val="00EE4FBC"/>
    <w:rsid w:val="00EE5006"/>
    <w:rsid w:val="00EE51D2"/>
    <w:rsid w:val="00EE530C"/>
    <w:rsid w:val="00EE56A5"/>
    <w:rsid w:val="00EE5807"/>
    <w:rsid w:val="00EE5B5A"/>
    <w:rsid w:val="00EE5F4D"/>
    <w:rsid w:val="00EE6A4B"/>
    <w:rsid w:val="00EE6C2A"/>
    <w:rsid w:val="00EE7060"/>
    <w:rsid w:val="00EE764E"/>
    <w:rsid w:val="00EE7CB0"/>
    <w:rsid w:val="00EE7D0A"/>
    <w:rsid w:val="00EF0336"/>
    <w:rsid w:val="00EF0976"/>
    <w:rsid w:val="00EF0A9B"/>
    <w:rsid w:val="00EF0B6A"/>
    <w:rsid w:val="00EF0CF1"/>
    <w:rsid w:val="00EF0DCD"/>
    <w:rsid w:val="00EF1218"/>
    <w:rsid w:val="00EF1633"/>
    <w:rsid w:val="00EF1CF7"/>
    <w:rsid w:val="00EF225B"/>
    <w:rsid w:val="00EF27C0"/>
    <w:rsid w:val="00EF2AAC"/>
    <w:rsid w:val="00EF2C5A"/>
    <w:rsid w:val="00EF2F1E"/>
    <w:rsid w:val="00EF313A"/>
    <w:rsid w:val="00EF32A8"/>
    <w:rsid w:val="00EF3565"/>
    <w:rsid w:val="00EF3BD4"/>
    <w:rsid w:val="00EF4595"/>
    <w:rsid w:val="00EF465C"/>
    <w:rsid w:val="00EF475C"/>
    <w:rsid w:val="00EF4A0C"/>
    <w:rsid w:val="00EF4B88"/>
    <w:rsid w:val="00EF4D11"/>
    <w:rsid w:val="00EF5AFB"/>
    <w:rsid w:val="00EF5C00"/>
    <w:rsid w:val="00EF5D63"/>
    <w:rsid w:val="00EF6DDE"/>
    <w:rsid w:val="00EF6EFD"/>
    <w:rsid w:val="00EF6FB9"/>
    <w:rsid w:val="00EF7242"/>
    <w:rsid w:val="00EF74C5"/>
    <w:rsid w:val="00EF7805"/>
    <w:rsid w:val="00EF78EC"/>
    <w:rsid w:val="00EF7D8A"/>
    <w:rsid w:val="00F00140"/>
    <w:rsid w:val="00F0046C"/>
    <w:rsid w:val="00F00EAC"/>
    <w:rsid w:val="00F0120A"/>
    <w:rsid w:val="00F01432"/>
    <w:rsid w:val="00F01570"/>
    <w:rsid w:val="00F01B64"/>
    <w:rsid w:val="00F01B91"/>
    <w:rsid w:val="00F01CE7"/>
    <w:rsid w:val="00F02C11"/>
    <w:rsid w:val="00F02F28"/>
    <w:rsid w:val="00F0321D"/>
    <w:rsid w:val="00F0325A"/>
    <w:rsid w:val="00F0335C"/>
    <w:rsid w:val="00F03B55"/>
    <w:rsid w:val="00F04069"/>
    <w:rsid w:val="00F0424C"/>
    <w:rsid w:val="00F04B8A"/>
    <w:rsid w:val="00F04D4A"/>
    <w:rsid w:val="00F04DB1"/>
    <w:rsid w:val="00F04FAB"/>
    <w:rsid w:val="00F0564E"/>
    <w:rsid w:val="00F06148"/>
    <w:rsid w:val="00F06241"/>
    <w:rsid w:val="00F071E9"/>
    <w:rsid w:val="00F07540"/>
    <w:rsid w:val="00F077DA"/>
    <w:rsid w:val="00F078FB"/>
    <w:rsid w:val="00F07E04"/>
    <w:rsid w:val="00F07E61"/>
    <w:rsid w:val="00F1011D"/>
    <w:rsid w:val="00F1029B"/>
    <w:rsid w:val="00F105AE"/>
    <w:rsid w:val="00F10DC7"/>
    <w:rsid w:val="00F10F08"/>
    <w:rsid w:val="00F11063"/>
    <w:rsid w:val="00F1109C"/>
    <w:rsid w:val="00F11481"/>
    <w:rsid w:val="00F118C1"/>
    <w:rsid w:val="00F11E5F"/>
    <w:rsid w:val="00F11E80"/>
    <w:rsid w:val="00F11F4B"/>
    <w:rsid w:val="00F1209B"/>
    <w:rsid w:val="00F124CC"/>
    <w:rsid w:val="00F12E09"/>
    <w:rsid w:val="00F1304A"/>
    <w:rsid w:val="00F134CA"/>
    <w:rsid w:val="00F13B3C"/>
    <w:rsid w:val="00F13E73"/>
    <w:rsid w:val="00F151F9"/>
    <w:rsid w:val="00F154A1"/>
    <w:rsid w:val="00F159F1"/>
    <w:rsid w:val="00F15BFD"/>
    <w:rsid w:val="00F16529"/>
    <w:rsid w:val="00F165F9"/>
    <w:rsid w:val="00F166BD"/>
    <w:rsid w:val="00F16A39"/>
    <w:rsid w:val="00F1726A"/>
    <w:rsid w:val="00F172C0"/>
    <w:rsid w:val="00F17D12"/>
    <w:rsid w:val="00F17D35"/>
    <w:rsid w:val="00F17F0B"/>
    <w:rsid w:val="00F216EC"/>
    <w:rsid w:val="00F21D5A"/>
    <w:rsid w:val="00F221AE"/>
    <w:rsid w:val="00F22903"/>
    <w:rsid w:val="00F234B9"/>
    <w:rsid w:val="00F2353D"/>
    <w:rsid w:val="00F23842"/>
    <w:rsid w:val="00F23C93"/>
    <w:rsid w:val="00F25339"/>
    <w:rsid w:val="00F25375"/>
    <w:rsid w:val="00F25CBF"/>
    <w:rsid w:val="00F2666B"/>
    <w:rsid w:val="00F26A52"/>
    <w:rsid w:val="00F26A8A"/>
    <w:rsid w:val="00F26B7F"/>
    <w:rsid w:val="00F274F8"/>
    <w:rsid w:val="00F279EF"/>
    <w:rsid w:val="00F27C24"/>
    <w:rsid w:val="00F27C31"/>
    <w:rsid w:val="00F27E0D"/>
    <w:rsid w:val="00F306D4"/>
    <w:rsid w:val="00F30886"/>
    <w:rsid w:val="00F30BEC"/>
    <w:rsid w:val="00F31038"/>
    <w:rsid w:val="00F31B05"/>
    <w:rsid w:val="00F32287"/>
    <w:rsid w:val="00F322AD"/>
    <w:rsid w:val="00F324A7"/>
    <w:rsid w:val="00F329AC"/>
    <w:rsid w:val="00F32A8A"/>
    <w:rsid w:val="00F32BFF"/>
    <w:rsid w:val="00F32F91"/>
    <w:rsid w:val="00F33574"/>
    <w:rsid w:val="00F336FA"/>
    <w:rsid w:val="00F33C1A"/>
    <w:rsid w:val="00F33D67"/>
    <w:rsid w:val="00F33F68"/>
    <w:rsid w:val="00F3409F"/>
    <w:rsid w:val="00F3520F"/>
    <w:rsid w:val="00F35C25"/>
    <w:rsid w:val="00F3640B"/>
    <w:rsid w:val="00F36B05"/>
    <w:rsid w:val="00F36C3C"/>
    <w:rsid w:val="00F36CFC"/>
    <w:rsid w:val="00F3774A"/>
    <w:rsid w:val="00F37957"/>
    <w:rsid w:val="00F37A07"/>
    <w:rsid w:val="00F37D45"/>
    <w:rsid w:val="00F37FA7"/>
    <w:rsid w:val="00F40091"/>
    <w:rsid w:val="00F4011C"/>
    <w:rsid w:val="00F4053F"/>
    <w:rsid w:val="00F407B0"/>
    <w:rsid w:val="00F40A92"/>
    <w:rsid w:val="00F4116F"/>
    <w:rsid w:val="00F411DE"/>
    <w:rsid w:val="00F4128F"/>
    <w:rsid w:val="00F419AD"/>
    <w:rsid w:val="00F41CB5"/>
    <w:rsid w:val="00F421A0"/>
    <w:rsid w:val="00F428F2"/>
    <w:rsid w:val="00F42A20"/>
    <w:rsid w:val="00F42D51"/>
    <w:rsid w:val="00F43225"/>
    <w:rsid w:val="00F43A92"/>
    <w:rsid w:val="00F43C3C"/>
    <w:rsid w:val="00F43E4E"/>
    <w:rsid w:val="00F4429C"/>
    <w:rsid w:val="00F44477"/>
    <w:rsid w:val="00F444DF"/>
    <w:rsid w:val="00F444E8"/>
    <w:rsid w:val="00F445B5"/>
    <w:rsid w:val="00F44701"/>
    <w:rsid w:val="00F44723"/>
    <w:rsid w:val="00F45093"/>
    <w:rsid w:val="00F45487"/>
    <w:rsid w:val="00F459A6"/>
    <w:rsid w:val="00F45B68"/>
    <w:rsid w:val="00F46457"/>
    <w:rsid w:val="00F46C7D"/>
    <w:rsid w:val="00F47233"/>
    <w:rsid w:val="00F47393"/>
    <w:rsid w:val="00F473CA"/>
    <w:rsid w:val="00F479BC"/>
    <w:rsid w:val="00F501C1"/>
    <w:rsid w:val="00F502F8"/>
    <w:rsid w:val="00F5046F"/>
    <w:rsid w:val="00F51004"/>
    <w:rsid w:val="00F513AE"/>
    <w:rsid w:val="00F519F6"/>
    <w:rsid w:val="00F52604"/>
    <w:rsid w:val="00F526E1"/>
    <w:rsid w:val="00F52C4A"/>
    <w:rsid w:val="00F52D44"/>
    <w:rsid w:val="00F53802"/>
    <w:rsid w:val="00F54777"/>
    <w:rsid w:val="00F54FD2"/>
    <w:rsid w:val="00F5503F"/>
    <w:rsid w:val="00F55107"/>
    <w:rsid w:val="00F55635"/>
    <w:rsid w:val="00F556D9"/>
    <w:rsid w:val="00F558CB"/>
    <w:rsid w:val="00F55B37"/>
    <w:rsid w:val="00F55E6F"/>
    <w:rsid w:val="00F564EB"/>
    <w:rsid w:val="00F56C0B"/>
    <w:rsid w:val="00F56C88"/>
    <w:rsid w:val="00F56C9D"/>
    <w:rsid w:val="00F56EA2"/>
    <w:rsid w:val="00F57483"/>
    <w:rsid w:val="00F576F0"/>
    <w:rsid w:val="00F57907"/>
    <w:rsid w:val="00F60470"/>
    <w:rsid w:val="00F60956"/>
    <w:rsid w:val="00F60A4E"/>
    <w:rsid w:val="00F60AF3"/>
    <w:rsid w:val="00F60CA9"/>
    <w:rsid w:val="00F60F83"/>
    <w:rsid w:val="00F60FBC"/>
    <w:rsid w:val="00F6143D"/>
    <w:rsid w:val="00F6154B"/>
    <w:rsid w:val="00F61EA7"/>
    <w:rsid w:val="00F628DA"/>
    <w:rsid w:val="00F62C1A"/>
    <w:rsid w:val="00F62C85"/>
    <w:rsid w:val="00F641EA"/>
    <w:rsid w:val="00F64BCA"/>
    <w:rsid w:val="00F65111"/>
    <w:rsid w:val="00F654F6"/>
    <w:rsid w:val="00F65642"/>
    <w:rsid w:val="00F65D97"/>
    <w:rsid w:val="00F6604C"/>
    <w:rsid w:val="00F66325"/>
    <w:rsid w:val="00F6635B"/>
    <w:rsid w:val="00F664FC"/>
    <w:rsid w:val="00F6690A"/>
    <w:rsid w:val="00F66990"/>
    <w:rsid w:val="00F66D1F"/>
    <w:rsid w:val="00F66DDB"/>
    <w:rsid w:val="00F66E82"/>
    <w:rsid w:val="00F67E19"/>
    <w:rsid w:val="00F7026C"/>
    <w:rsid w:val="00F7039E"/>
    <w:rsid w:val="00F70ADD"/>
    <w:rsid w:val="00F70F7F"/>
    <w:rsid w:val="00F711C9"/>
    <w:rsid w:val="00F71E2C"/>
    <w:rsid w:val="00F72122"/>
    <w:rsid w:val="00F72352"/>
    <w:rsid w:val="00F72402"/>
    <w:rsid w:val="00F72435"/>
    <w:rsid w:val="00F72ABC"/>
    <w:rsid w:val="00F72D60"/>
    <w:rsid w:val="00F72FD1"/>
    <w:rsid w:val="00F73109"/>
    <w:rsid w:val="00F73894"/>
    <w:rsid w:val="00F738A2"/>
    <w:rsid w:val="00F73ACC"/>
    <w:rsid w:val="00F73FEF"/>
    <w:rsid w:val="00F74700"/>
    <w:rsid w:val="00F74DCF"/>
    <w:rsid w:val="00F74E72"/>
    <w:rsid w:val="00F75B21"/>
    <w:rsid w:val="00F75DD2"/>
    <w:rsid w:val="00F7613A"/>
    <w:rsid w:val="00F763BB"/>
    <w:rsid w:val="00F7647C"/>
    <w:rsid w:val="00F766FD"/>
    <w:rsid w:val="00F76906"/>
    <w:rsid w:val="00F76CF1"/>
    <w:rsid w:val="00F774D0"/>
    <w:rsid w:val="00F7785D"/>
    <w:rsid w:val="00F80104"/>
    <w:rsid w:val="00F80F76"/>
    <w:rsid w:val="00F81219"/>
    <w:rsid w:val="00F81372"/>
    <w:rsid w:val="00F813D2"/>
    <w:rsid w:val="00F818C7"/>
    <w:rsid w:val="00F81C1D"/>
    <w:rsid w:val="00F827E8"/>
    <w:rsid w:val="00F82B5F"/>
    <w:rsid w:val="00F82BEA"/>
    <w:rsid w:val="00F831D8"/>
    <w:rsid w:val="00F831E0"/>
    <w:rsid w:val="00F8323B"/>
    <w:rsid w:val="00F83891"/>
    <w:rsid w:val="00F8399C"/>
    <w:rsid w:val="00F83C61"/>
    <w:rsid w:val="00F83CD1"/>
    <w:rsid w:val="00F844DE"/>
    <w:rsid w:val="00F84600"/>
    <w:rsid w:val="00F846A6"/>
    <w:rsid w:val="00F8473C"/>
    <w:rsid w:val="00F84903"/>
    <w:rsid w:val="00F855DC"/>
    <w:rsid w:val="00F857A8"/>
    <w:rsid w:val="00F857F0"/>
    <w:rsid w:val="00F8590F"/>
    <w:rsid w:val="00F85DAA"/>
    <w:rsid w:val="00F8601E"/>
    <w:rsid w:val="00F86541"/>
    <w:rsid w:val="00F8659B"/>
    <w:rsid w:val="00F86ACA"/>
    <w:rsid w:val="00F87409"/>
    <w:rsid w:val="00F8753F"/>
    <w:rsid w:val="00F87563"/>
    <w:rsid w:val="00F87FCB"/>
    <w:rsid w:val="00F90238"/>
    <w:rsid w:val="00F902AA"/>
    <w:rsid w:val="00F908AB"/>
    <w:rsid w:val="00F90DD0"/>
    <w:rsid w:val="00F90E25"/>
    <w:rsid w:val="00F90E8A"/>
    <w:rsid w:val="00F90F54"/>
    <w:rsid w:val="00F91592"/>
    <w:rsid w:val="00F91D89"/>
    <w:rsid w:val="00F92240"/>
    <w:rsid w:val="00F92286"/>
    <w:rsid w:val="00F929D4"/>
    <w:rsid w:val="00F92B73"/>
    <w:rsid w:val="00F92FA4"/>
    <w:rsid w:val="00F92FAF"/>
    <w:rsid w:val="00F93D16"/>
    <w:rsid w:val="00F93ED4"/>
    <w:rsid w:val="00F9518C"/>
    <w:rsid w:val="00F9532D"/>
    <w:rsid w:val="00F953F6"/>
    <w:rsid w:val="00F956DC"/>
    <w:rsid w:val="00F95958"/>
    <w:rsid w:val="00F95C12"/>
    <w:rsid w:val="00F964F4"/>
    <w:rsid w:val="00F96B01"/>
    <w:rsid w:val="00F96D79"/>
    <w:rsid w:val="00F96F40"/>
    <w:rsid w:val="00F96F75"/>
    <w:rsid w:val="00F97242"/>
    <w:rsid w:val="00F97F26"/>
    <w:rsid w:val="00FA0E1D"/>
    <w:rsid w:val="00FA16EF"/>
    <w:rsid w:val="00FA1A49"/>
    <w:rsid w:val="00FA218E"/>
    <w:rsid w:val="00FA2238"/>
    <w:rsid w:val="00FA263F"/>
    <w:rsid w:val="00FA266E"/>
    <w:rsid w:val="00FA2A95"/>
    <w:rsid w:val="00FA3138"/>
    <w:rsid w:val="00FA337C"/>
    <w:rsid w:val="00FA3598"/>
    <w:rsid w:val="00FA370B"/>
    <w:rsid w:val="00FA3AFB"/>
    <w:rsid w:val="00FA3B77"/>
    <w:rsid w:val="00FA3BC1"/>
    <w:rsid w:val="00FA3FA1"/>
    <w:rsid w:val="00FA44CB"/>
    <w:rsid w:val="00FA523B"/>
    <w:rsid w:val="00FA52DD"/>
    <w:rsid w:val="00FA563E"/>
    <w:rsid w:val="00FA5A81"/>
    <w:rsid w:val="00FA5D9A"/>
    <w:rsid w:val="00FA65AB"/>
    <w:rsid w:val="00FA6737"/>
    <w:rsid w:val="00FA685A"/>
    <w:rsid w:val="00FA69E8"/>
    <w:rsid w:val="00FA6AA9"/>
    <w:rsid w:val="00FA6B2E"/>
    <w:rsid w:val="00FA6D0A"/>
    <w:rsid w:val="00FA7610"/>
    <w:rsid w:val="00FA7688"/>
    <w:rsid w:val="00FA7827"/>
    <w:rsid w:val="00FB0A15"/>
    <w:rsid w:val="00FB1160"/>
    <w:rsid w:val="00FB11A0"/>
    <w:rsid w:val="00FB128E"/>
    <w:rsid w:val="00FB1321"/>
    <w:rsid w:val="00FB14BC"/>
    <w:rsid w:val="00FB1544"/>
    <w:rsid w:val="00FB1815"/>
    <w:rsid w:val="00FB1F15"/>
    <w:rsid w:val="00FB29C2"/>
    <w:rsid w:val="00FB2AFF"/>
    <w:rsid w:val="00FB31C3"/>
    <w:rsid w:val="00FB3226"/>
    <w:rsid w:val="00FB33D4"/>
    <w:rsid w:val="00FB35AD"/>
    <w:rsid w:val="00FB396B"/>
    <w:rsid w:val="00FB4097"/>
    <w:rsid w:val="00FB4136"/>
    <w:rsid w:val="00FB44AE"/>
    <w:rsid w:val="00FB48AB"/>
    <w:rsid w:val="00FB4D78"/>
    <w:rsid w:val="00FB4D9B"/>
    <w:rsid w:val="00FB4FE2"/>
    <w:rsid w:val="00FB5182"/>
    <w:rsid w:val="00FB5498"/>
    <w:rsid w:val="00FB5667"/>
    <w:rsid w:val="00FB571F"/>
    <w:rsid w:val="00FB586B"/>
    <w:rsid w:val="00FB5993"/>
    <w:rsid w:val="00FB5D68"/>
    <w:rsid w:val="00FB60E2"/>
    <w:rsid w:val="00FB69B7"/>
    <w:rsid w:val="00FB6AAC"/>
    <w:rsid w:val="00FB74F4"/>
    <w:rsid w:val="00FB7DB2"/>
    <w:rsid w:val="00FC0267"/>
    <w:rsid w:val="00FC0DBF"/>
    <w:rsid w:val="00FC19E7"/>
    <w:rsid w:val="00FC2137"/>
    <w:rsid w:val="00FC3072"/>
    <w:rsid w:val="00FC3438"/>
    <w:rsid w:val="00FC374F"/>
    <w:rsid w:val="00FC3799"/>
    <w:rsid w:val="00FC3B38"/>
    <w:rsid w:val="00FC495F"/>
    <w:rsid w:val="00FC4C03"/>
    <w:rsid w:val="00FC4C04"/>
    <w:rsid w:val="00FC539B"/>
    <w:rsid w:val="00FC5A01"/>
    <w:rsid w:val="00FC5AA3"/>
    <w:rsid w:val="00FC5BD0"/>
    <w:rsid w:val="00FC6262"/>
    <w:rsid w:val="00FC693C"/>
    <w:rsid w:val="00FC6AEE"/>
    <w:rsid w:val="00FC6CA3"/>
    <w:rsid w:val="00FC6D9F"/>
    <w:rsid w:val="00FC6E0E"/>
    <w:rsid w:val="00FC7689"/>
    <w:rsid w:val="00FC7EC1"/>
    <w:rsid w:val="00FD0648"/>
    <w:rsid w:val="00FD06D1"/>
    <w:rsid w:val="00FD0719"/>
    <w:rsid w:val="00FD0A26"/>
    <w:rsid w:val="00FD0A4F"/>
    <w:rsid w:val="00FD0B9A"/>
    <w:rsid w:val="00FD12D5"/>
    <w:rsid w:val="00FD1AAF"/>
    <w:rsid w:val="00FD1E4D"/>
    <w:rsid w:val="00FD20D6"/>
    <w:rsid w:val="00FD23EF"/>
    <w:rsid w:val="00FD24FE"/>
    <w:rsid w:val="00FD29E4"/>
    <w:rsid w:val="00FD2A10"/>
    <w:rsid w:val="00FD2A22"/>
    <w:rsid w:val="00FD30E9"/>
    <w:rsid w:val="00FD3178"/>
    <w:rsid w:val="00FD3426"/>
    <w:rsid w:val="00FD34B4"/>
    <w:rsid w:val="00FD3548"/>
    <w:rsid w:val="00FD37CD"/>
    <w:rsid w:val="00FD3B7C"/>
    <w:rsid w:val="00FD3E0B"/>
    <w:rsid w:val="00FD406A"/>
    <w:rsid w:val="00FD4722"/>
    <w:rsid w:val="00FD51C4"/>
    <w:rsid w:val="00FD5287"/>
    <w:rsid w:val="00FD542E"/>
    <w:rsid w:val="00FD584C"/>
    <w:rsid w:val="00FD5D94"/>
    <w:rsid w:val="00FD5E9B"/>
    <w:rsid w:val="00FD63AE"/>
    <w:rsid w:val="00FD6630"/>
    <w:rsid w:val="00FD687B"/>
    <w:rsid w:val="00FD6D0F"/>
    <w:rsid w:val="00FD7338"/>
    <w:rsid w:val="00FE02A8"/>
    <w:rsid w:val="00FE03A8"/>
    <w:rsid w:val="00FE08C3"/>
    <w:rsid w:val="00FE128B"/>
    <w:rsid w:val="00FE1694"/>
    <w:rsid w:val="00FE18DD"/>
    <w:rsid w:val="00FE1917"/>
    <w:rsid w:val="00FE1D00"/>
    <w:rsid w:val="00FE1DBB"/>
    <w:rsid w:val="00FE26B5"/>
    <w:rsid w:val="00FE2FDF"/>
    <w:rsid w:val="00FE3902"/>
    <w:rsid w:val="00FE3E97"/>
    <w:rsid w:val="00FE4072"/>
    <w:rsid w:val="00FE41D6"/>
    <w:rsid w:val="00FE4DD8"/>
    <w:rsid w:val="00FE4EDD"/>
    <w:rsid w:val="00FE5035"/>
    <w:rsid w:val="00FE53A2"/>
    <w:rsid w:val="00FE54D0"/>
    <w:rsid w:val="00FE55EA"/>
    <w:rsid w:val="00FE5C87"/>
    <w:rsid w:val="00FE5F0A"/>
    <w:rsid w:val="00FE5F87"/>
    <w:rsid w:val="00FE640C"/>
    <w:rsid w:val="00FE6798"/>
    <w:rsid w:val="00FE6B89"/>
    <w:rsid w:val="00FE6CE1"/>
    <w:rsid w:val="00FE6E5A"/>
    <w:rsid w:val="00FE751B"/>
    <w:rsid w:val="00FE77B8"/>
    <w:rsid w:val="00FE79D5"/>
    <w:rsid w:val="00FE7CF0"/>
    <w:rsid w:val="00FE7EB3"/>
    <w:rsid w:val="00FE7EC2"/>
    <w:rsid w:val="00FF07C3"/>
    <w:rsid w:val="00FF116B"/>
    <w:rsid w:val="00FF1FB7"/>
    <w:rsid w:val="00FF2243"/>
    <w:rsid w:val="00FF251E"/>
    <w:rsid w:val="00FF2706"/>
    <w:rsid w:val="00FF2D6D"/>
    <w:rsid w:val="00FF2E3D"/>
    <w:rsid w:val="00FF3537"/>
    <w:rsid w:val="00FF3734"/>
    <w:rsid w:val="00FF3BA8"/>
    <w:rsid w:val="00FF400F"/>
    <w:rsid w:val="00FF434E"/>
    <w:rsid w:val="00FF44A5"/>
    <w:rsid w:val="00FF4640"/>
    <w:rsid w:val="00FF4895"/>
    <w:rsid w:val="00FF5154"/>
    <w:rsid w:val="00FF5506"/>
    <w:rsid w:val="00FF5686"/>
    <w:rsid w:val="00FF5E7C"/>
    <w:rsid w:val="00FF5EBD"/>
    <w:rsid w:val="00FF610E"/>
    <w:rsid w:val="00FF6515"/>
    <w:rsid w:val="00FF6921"/>
    <w:rsid w:val="00FF6C9B"/>
    <w:rsid w:val="00FF745A"/>
    <w:rsid w:val="00FF75A8"/>
    <w:rsid w:val="00FF7B91"/>
    <w:rsid w:val="020C6FE1"/>
    <w:rsid w:val="02BB2E31"/>
    <w:rsid w:val="02C67B7D"/>
    <w:rsid w:val="03092820"/>
    <w:rsid w:val="03142B81"/>
    <w:rsid w:val="04402271"/>
    <w:rsid w:val="046F7C71"/>
    <w:rsid w:val="04BF763A"/>
    <w:rsid w:val="063C21FE"/>
    <w:rsid w:val="066E00E7"/>
    <w:rsid w:val="07447F1A"/>
    <w:rsid w:val="0762247A"/>
    <w:rsid w:val="07830364"/>
    <w:rsid w:val="07E01DA1"/>
    <w:rsid w:val="08195BC2"/>
    <w:rsid w:val="08345FF5"/>
    <w:rsid w:val="083A51B0"/>
    <w:rsid w:val="0869507A"/>
    <w:rsid w:val="08A41020"/>
    <w:rsid w:val="08A77585"/>
    <w:rsid w:val="099866AB"/>
    <w:rsid w:val="09A1314D"/>
    <w:rsid w:val="09DC429A"/>
    <w:rsid w:val="0A3A3F77"/>
    <w:rsid w:val="0A560D2F"/>
    <w:rsid w:val="0A571E72"/>
    <w:rsid w:val="0AB25FDF"/>
    <w:rsid w:val="0B36413F"/>
    <w:rsid w:val="0B875353"/>
    <w:rsid w:val="0BAD6045"/>
    <w:rsid w:val="0C444E98"/>
    <w:rsid w:val="0CA95119"/>
    <w:rsid w:val="0CBB589F"/>
    <w:rsid w:val="0D046532"/>
    <w:rsid w:val="0D6D128A"/>
    <w:rsid w:val="0D717D74"/>
    <w:rsid w:val="0DF63CF6"/>
    <w:rsid w:val="0E531613"/>
    <w:rsid w:val="0EC93126"/>
    <w:rsid w:val="0F28786B"/>
    <w:rsid w:val="0FBD6FC9"/>
    <w:rsid w:val="100729BD"/>
    <w:rsid w:val="10192EC5"/>
    <w:rsid w:val="106A62DE"/>
    <w:rsid w:val="108D1597"/>
    <w:rsid w:val="10910C08"/>
    <w:rsid w:val="10962649"/>
    <w:rsid w:val="10FF00DF"/>
    <w:rsid w:val="11BF0BD4"/>
    <w:rsid w:val="11F4023B"/>
    <w:rsid w:val="12777691"/>
    <w:rsid w:val="12D35F9F"/>
    <w:rsid w:val="13631AD8"/>
    <w:rsid w:val="1371023C"/>
    <w:rsid w:val="13BB36C2"/>
    <w:rsid w:val="13DD21A1"/>
    <w:rsid w:val="14514B71"/>
    <w:rsid w:val="14612D82"/>
    <w:rsid w:val="146B333A"/>
    <w:rsid w:val="14B0311E"/>
    <w:rsid w:val="151C5656"/>
    <w:rsid w:val="15471DC4"/>
    <w:rsid w:val="15B01683"/>
    <w:rsid w:val="16506066"/>
    <w:rsid w:val="165322D8"/>
    <w:rsid w:val="16545A4F"/>
    <w:rsid w:val="185C4DBF"/>
    <w:rsid w:val="18824071"/>
    <w:rsid w:val="18C87DAE"/>
    <w:rsid w:val="18CE3E98"/>
    <w:rsid w:val="19212219"/>
    <w:rsid w:val="195C5947"/>
    <w:rsid w:val="1A437A32"/>
    <w:rsid w:val="1AE968D2"/>
    <w:rsid w:val="1B3531B6"/>
    <w:rsid w:val="1C0C134A"/>
    <w:rsid w:val="1C274BC0"/>
    <w:rsid w:val="1C55307C"/>
    <w:rsid w:val="1C70201E"/>
    <w:rsid w:val="1C811B0F"/>
    <w:rsid w:val="1CA522C0"/>
    <w:rsid w:val="1CBF5FD1"/>
    <w:rsid w:val="1CDB1E2E"/>
    <w:rsid w:val="1D3F35B6"/>
    <w:rsid w:val="1D8D218F"/>
    <w:rsid w:val="1DB72FAB"/>
    <w:rsid w:val="1DCC5F20"/>
    <w:rsid w:val="1E6F722C"/>
    <w:rsid w:val="1ECC70CB"/>
    <w:rsid w:val="1F2D7B6A"/>
    <w:rsid w:val="1F7E78B7"/>
    <w:rsid w:val="20244E58"/>
    <w:rsid w:val="203A2177"/>
    <w:rsid w:val="20F93691"/>
    <w:rsid w:val="21D818E3"/>
    <w:rsid w:val="223E2B71"/>
    <w:rsid w:val="226002BD"/>
    <w:rsid w:val="22AB1FDA"/>
    <w:rsid w:val="22B831B5"/>
    <w:rsid w:val="230010F2"/>
    <w:rsid w:val="235516D6"/>
    <w:rsid w:val="237920D6"/>
    <w:rsid w:val="24500DB5"/>
    <w:rsid w:val="24730DB4"/>
    <w:rsid w:val="24786F1A"/>
    <w:rsid w:val="24D61AF1"/>
    <w:rsid w:val="25F27417"/>
    <w:rsid w:val="26390E3F"/>
    <w:rsid w:val="27623EF4"/>
    <w:rsid w:val="277918A9"/>
    <w:rsid w:val="286E522A"/>
    <w:rsid w:val="28754BE8"/>
    <w:rsid w:val="28A10C81"/>
    <w:rsid w:val="290B77F3"/>
    <w:rsid w:val="291A4434"/>
    <w:rsid w:val="291A7D1A"/>
    <w:rsid w:val="298A3181"/>
    <w:rsid w:val="29E7300B"/>
    <w:rsid w:val="2A0D657B"/>
    <w:rsid w:val="2A654C0D"/>
    <w:rsid w:val="2AD34510"/>
    <w:rsid w:val="2AEF7E60"/>
    <w:rsid w:val="2B276439"/>
    <w:rsid w:val="2B2A1401"/>
    <w:rsid w:val="2B6F18D5"/>
    <w:rsid w:val="2BB1567F"/>
    <w:rsid w:val="2BF51305"/>
    <w:rsid w:val="2CD2008C"/>
    <w:rsid w:val="2CEE7A2B"/>
    <w:rsid w:val="2D160442"/>
    <w:rsid w:val="2D7D3FBE"/>
    <w:rsid w:val="2DD10148"/>
    <w:rsid w:val="2E3436CC"/>
    <w:rsid w:val="2E402DEC"/>
    <w:rsid w:val="2EC1207D"/>
    <w:rsid w:val="2EC932E4"/>
    <w:rsid w:val="2ECD4F05"/>
    <w:rsid w:val="2EE04D39"/>
    <w:rsid w:val="2EE97857"/>
    <w:rsid w:val="2F2A6C72"/>
    <w:rsid w:val="2F8E3429"/>
    <w:rsid w:val="302A5A00"/>
    <w:rsid w:val="304F13CF"/>
    <w:rsid w:val="304F36B8"/>
    <w:rsid w:val="30C6397A"/>
    <w:rsid w:val="30CF0188"/>
    <w:rsid w:val="31440600"/>
    <w:rsid w:val="31692CF6"/>
    <w:rsid w:val="31E247E4"/>
    <w:rsid w:val="32925A20"/>
    <w:rsid w:val="32CB178B"/>
    <w:rsid w:val="332C7409"/>
    <w:rsid w:val="33770F5C"/>
    <w:rsid w:val="337771AE"/>
    <w:rsid w:val="33E415C3"/>
    <w:rsid w:val="344D7365"/>
    <w:rsid w:val="349C48BF"/>
    <w:rsid w:val="34F65C8A"/>
    <w:rsid w:val="350A761F"/>
    <w:rsid w:val="35355A35"/>
    <w:rsid w:val="354C773B"/>
    <w:rsid w:val="356B3A25"/>
    <w:rsid w:val="359804A9"/>
    <w:rsid w:val="35EB5C31"/>
    <w:rsid w:val="3697668C"/>
    <w:rsid w:val="36F23DEC"/>
    <w:rsid w:val="37997D17"/>
    <w:rsid w:val="379E46E5"/>
    <w:rsid w:val="37CB124E"/>
    <w:rsid w:val="392C4AB5"/>
    <w:rsid w:val="39CC42E8"/>
    <w:rsid w:val="39D569F4"/>
    <w:rsid w:val="3A337E96"/>
    <w:rsid w:val="3A726921"/>
    <w:rsid w:val="3AD85907"/>
    <w:rsid w:val="3B042080"/>
    <w:rsid w:val="3B141786"/>
    <w:rsid w:val="3B2A3D28"/>
    <w:rsid w:val="3B6A39B8"/>
    <w:rsid w:val="3BBE3297"/>
    <w:rsid w:val="3BED7B49"/>
    <w:rsid w:val="3C463BC1"/>
    <w:rsid w:val="3CE12FC6"/>
    <w:rsid w:val="3D2D7451"/>
    <w:rsid w:val="3D3E703A"/>
    <w:rsid w:val="3D960162"/>
    <w:rsid w:val="3DCB1735"/>
    <w:rsid w:val="3DE3154A"/>
    <w:rsid w:val="3E946E66"/>
    <w:rsid w:val="3EF779A0"/>
    <w:rsid w:val="3F136CC1"/>
    <w:rsid w:val="3F1E2BD3"/>
    <w:rsid w:val="3FB57F40"/>
    <w:rsid w:val="3FEB437C"/>
    <w:rsid w:val="3FFC1167"/>
    <w:rsid w:val="401B184F"/>
    <w:rsid w:val="402D7572"/>
    <w:rsid w:val="40A6476D"/>
    <w:rsid w:val="41200C5E"/>
    <w:rsid w:val="41D9053F"/>
    <w:rsid w:val="424879BD"/>
    <w:rsid w:val="427261A5"/>
    <w:rsid w:val="428D09FF"/>
    <w:rsid w:val="42B43694"/>
    <w:rsid w:val="43566DE0"/>
    <w:rsid w:val="43EF4B3E"/>
    <w:rsid w:val="44184095"/>
    <w:rsid w:val="44B475B0"/>
    <w:rsid w:val="45030045"/>
    <w:rsid w:val="452847AC"/>
    <w:rsid w:val="453A647B"/>
    <w:rsid w:val="45A56FE6"/>
    <w:rsid w:val="465143D8"/>
    <w:rsid w:val="46F1437B"/>
    <w:rsid w:val="46F52E39"/>
    <w:rsid w:val="47846478"/>
    <w:rsid w:val="47BE388F"/>
    <w:rsid w:val="482F688A"/>
    <w:rsid w:val="48D465E9"/>
    <w:rsid w:val="49E705D6"/>
    <w:rsid w:val="49FC1D63"/>
    <w:rsid w:val="4AA172EB"/>
    <w:rsid w:val="4AF54CB9"/>
    <w:rsid w:val="4B4E06F9"/>
    <w:rsid w:val="4BD444F6"/>
    <w:rsid w:val="4C2F5C2C"/>
    <w:rsid w:val="4C343BAC"/>
    <w:rsid w:val="4D23359C"/>
    <w:rsid w:val="4D2A3DAE"/>
    <w:rsid w:val="4D8E03AE"/>
    <w:rsid w:val="4E092CA1"/>
    <w:rsid w:val="4E8938D8"/>
    <w:rsid w:val="4F7C696E"/>
    <w:rsid w:val="4F870321"/>
    <w:rsid w:val="50285660"/>
    <w:rsid w:val="50311835"/>
    <w:rsid w:val="513444D8"/>
    <w:rsid w:val="515801C7"/>
    <w:rsid w:val="51B01DB1"/>
    <w:rsid w:val="51C85281"/>
    <w:rsid w:val="520C314D"/>
    <w:rsid w:val="528E426D"/>
    <w:rsid w:val="52A42F98"/>
    <w:rsid w:val="52CF1AED"/>
    <w:rsid w:val="531401FE"/>
    <w:rsid w:val="532A472A"/>
    <w:rsid w:val="534E1882"/>
    <w:rsid w:val="536A0BEE"/>
    <w:rsid w:val="53FB4523"/>
    <w:rsid w:val="54112C0C"/>
    <w:rsid w:val="54660348"/>
    <w:rsid w:val="54B82135"/>
    <w:rsid w:val="54C76671"/>
    <w:rsid w:val="550270C7"/>
    <w:rsid w:val="55BF316C"/>
    <w:rsid w:val="560E03C2"/>
    <w:rsid w:val="56466840"/>
    <w:rsid w:val="570003CC"/>
    <w:rsid w:val="57625E19"/>
    <w:rsid w:val="57F86096"/>
    <w:rsid w:val="58276B45"/>
    <w:rsid w:val="584D027A"/>
    <w:rsid w:val="588779F5"/>
    <w:rsid w:val="58942C74"/>
    <w:rsid w:val="58BD5BDC"/>
    <w:rsid w:val="58E85104"/>
    <w:rsid w:val="58EF1AF9"/>
    <w:rsid w:val="590823FE"/>
    <w:rsid w:val="59B14918"/>
    <w:rsid w:val="59DE1D92"/>
    <w:rsid w:val="5A201A9E"/>
    <w:rsid w:val="5A9E6199"/>
    <w:rsid w:val="5BB66216"/>
    <w:rsid w:val="5BEF64F8"/>
    <w:rsid w:val="5CEE7E81"/>
    <w:rsid w:val="5CF22ACD"/>
    <w:rsid w:val="5DDD54D0"/>
    <w:rsid w:val="5DE03BD9"/>
    <w:rsid w:val="5E1C432A"/>
    <w:rsid w:val="5E3C1C92"/>
    <w:rsid w:val="5E4F0557"/>
    <w:rsid w:val="5E907E2E"/>
    <w:rsid w:val="5EEB267A"/>
    <w:rsid w:val="5F0C11C3"/>
    <w:rsid w:val="600F470A"/>
    <w:rsid w:val="60310561"/>
    <w:rsid w:val="607406E4"/>
    <w:rsid w:val="60C9689C"/>
    <w:rsid w:val="60E60B56"/>
    <w:rsid w:val="612D1C31"/>
    <w:rsid w:val="61C4751D"/>
    <w:rsid w:val="622151FD"/>
    <w:rsid w:val="625B2AF7"/>
    <w:rsid w:val="632321DB"/>
    <w:rsid w:val="636D06F5"/>
    <w:rsid w:val="63790315"/>
    <w:rsid w:val="63A848C4"/>
    <w:rsid w:val="641F4158"/>
    <w:rsid w:val="646330D4"/>
    <w:rsid w:val="646B26B9"/>
    <w:rsid w:val="64A60B9F"/>
    <w:rsid w:val="64A97E58"/>
    <w:rsid w:val="64B7470B"/>
    <w:rsid w:val="65470D3C"/>
    <w:rsid w:val="655B7E2E"/>
    <w:rsid w:val="6568103E"/>
    <w:rsid w:val="658832E0"/>
    <w:rsid w:val="66213C5D"/>
    <w:rsid w:val="66946BFE"/>
    <w:rsid w:val="67944AE4"/>
    <w:rsid w:val="67A11B51"/>
    <w:rsid w:val="682A79D5"/>
    <w:rsid w:val="683D1CDF"/>
    <w:rsid w:val="684E5A28"/>
    <w:rsid w:val="692C3B2F"/>
    <w:rsid w:val="696F474E"/>
    <w:rsid w:val="6A0D45D1"/>
    <w:rsid w:val="6A464B0A"/>
    <w:rsid w:val="6A8E62F4"/>
    <w:rsid w:val="6AE723D6"/>
    <w:rsid w:val="6AF458A9"/>
    <w:rsid w:val="6B057607"/>
    <w:rsid w:val="6B0C5E52"/>
    <w:rsid w:val="6B1031B7"/>
    <w:rsid w:val="6BAE7BA3"/>
    <w:rsid w:val="6C520DDD"/>
    <w:rsid w:val="6C676C46"/>
    <w:rsid w:val="6C8C7431"/>
    <w:rsid w:val="6C91243C"/>
    <w:rsid w:val="6CE46DB3"/>
    <w:rsid w:val="6D3E5EEB"/>
    <w:rsid w:val="6D6A5AEC"/>
    <w:rsid w:val="6D8A7447"/>
    <w:rsid w:val="6DA54E42"/>
    <w:rsid w:val="6DF332FA"/>
    <w:rsid w:val="6E213A2A"/>
    <w:rsid w:val="6E737F96"/>
    <w:rsid w:val="6E9F158A"/>
    <w:rsid w:val="6EEC6AC2"/>
    <w:rsid w:val="6F241583"/>
    <w:rsid w:val="6F97125C"/>
    <w:rsid w:val="70825BF9"/>
    <w:rsid w:val="70F745F5"/>
    <w:rsid w:val="71FD482A"/>
    <w:rsid w:val="721C4A9F"/>
    <w:rsid w:val="73595954"/>
    <w:rsid w:val="73AA26AC"/>
    <w:rsid w:val="740551C4"/>
    <w:rsid w:val="740F250F"/>
    <w:rsid w:val="74423EA2"/>
    <w:rsid w:val="744C3F3F"/>
    <w:rsid w:val="74720851"/>
    <w:rsid w:val="74B829EC"/>
    <w:rsid w:val="74F3461E"/>
    <w:rsid w:val="750E6C6B"/>
    <w:rsid w:val="7590657C"/>
    <w:rsid w:val="75A77BCA"/>
    <w:rsid w:val="75F20A95"/>
    <w:rsid w:val="763615F8"/>
    <w:rsid w:val="765B3F2D"/>
    <w:rsid w:val="76BD3590"/>
    <w:rsid w:val="77BC475C"/>
    <w:rsid w:val="781F6A99"/>
    <w:rsid w:val="78C170AE"/>
    <w:rsid w:val="78C30E55"/>
    <w:rsid w:val="79224DC2"/>
    <w:rsid w:val="79843D42"/>
    <w:rsid w:val="798661F3"/>
    <w:rsid w:val="79CB1296"/>
    <w:rsid w:val="7A00361B"/>
    <w:rsid w:val="7A0667FB"/>
    <w:rsid w:val="7B1D1075"/>
    <w:rsid w:val="7B4D4A4A"/>
    <w:rsid w:val="7C7174B1"/>
    <w:rsid w:val="7D6D04F4"/>
    <w:rsid w:val="7E0B52F5"/>
    <w:rsid w:val="7E1F5A45"/>
    <w:rsid w:val="7E360AD2"/>
    <w:rsid w:val="7E612DF3"/>
    <w:rsid w:val="7E706900"/>
    <w:rsid w:val="7E7D28D3"/>
    <w:rsid w:val="7E7E09BD"/>
    <w:rsid w:val="7E8A1255"/>
    <w:rsid w:val="7F0030C0"/>
    <w:rsid w:val="7F071B2D"/>
    <w:rsid w:val="7F9D4566"/>
    <w:rsid w:val="7FA2692E"/>
    <w:rsid w:val="7FD36A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qFormat="1"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59"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1"/>
    <w:basedOn w:val="1"/>
    <w:next w:val="1"/>
    <w:link w:val="123"/>
    <w:qFormat/>
    <w:uiPriority w:val="0"/>
    <w:pPr>
      <w:keepNext/>
      <w:keepLines/>
      <w:spacing w:before="340" w:after="330" w:line="578" w:lineRule="auto"/>
      <w:outlineLvl w:val="0"/>
    </w:pPr>
    <w:rPr>
      <w:b/>
      <w:bCs/>
      <w:kern w:val="44"/>
      <w:sz w:val="44"/>
      <w:szCs w:val="44"/>
    </w:rPr>
  </w:style>
  <w:style w:type="paragraph" w:styleId="6">
    <w:name w:val="heading 2"/>
    <w:basedOn w:val="1"/>
    <w:next w:val="1"/>
    <w:link w:val="53"/>
    <w:qFormat/>
    <w:uiPriority w:val="9"/>
    <w:pPr>
      <w:keepNext/>
      <w:keepLines/>
      <w:spacing w:before="260" w:after="260" w:line="416" w:lineRule="auto"/>
      <w:outlineLvl w:val="1"/>
    </w:pPr>
    <w:rPr>
      <w:rFonts w:ascii="Arial" w:hAnsi="Arial" w:eastAsia="黑体"/>
      <w:b/>
      <w:bCs/>
      <w:sz w:val="32"/>
      <w:szCs w:val="32"/>
    </w:rPr>
  </w:style>
  <w:style w:type="paragraph" w:styleId="7">
    <w:name w:val="heading 3"/>
    <w:basedOn w:val="1"/>
    <w:next w:val="1"/>
    <w:link w:val="54"/>
    <w:qFormat/>
    <w:uiPriority w:val="0"/>
    <w:pPr>
      <w:keepNext/>
      <w:keepLines/>
      <w:spacing w:before="260" w:after="260" w:line="416" w:lineRule="auto"/>
      <w:outlineLvl w:val="2"/>
    </w:pPr>
    <w:rPr>
      <w:rFonts w:ascii="Calibri" w:hAnsi="Calibri"/>
      <w:b/>
      <w:bCs/>
      <w:sz w:val="32"/>
      <w:szCs w:val="32"/>
    </w:rPr>
  </w:style>
  <w:style w:type="paragraph" w:styleId="8">
    <w:name w:val="heading 4"/>
    <w:basedOn w:val="1"/>
    <w:next w:val="1"/>
    <w:link w:val="55"/>
    <w:qFormat/>
    <w:uiPriority w:val="0"/>
    <w:pPr>
      <w:keepNext/>
      <w:keepLines/>
      <w:spacing w:before="120" w:beforeLines="50" w:after="120" w:afterLines="50"/>
      <w:ind w:left="864" w:hanging="864"/>
      <w:jc w:val="left"/>
      <w:outlineLvl w:val="3"/>
    </w:pPr>
    <w:rPr>
      <w:rFonts w:ascii="黑体" w:hAnsi="黑体" w:eastAsia="黑体"/>
      <w:b/>
      <w:bCs/>
      <w:sz w:val="24"/>
    </w:rPr>
  </w:style>
  <w:style w:type="paragraph" w:styleId="9">
    <w:name w:val="heading 5"/>
    <w:basedOn w:val="1"/>
    <w:next w:val="10"/>
    <w:qFormat/>
    <w:uiPriority w:val="0"/>
    <w:pPr>
      <w:keepNext/>
      <w:keepLines/>
      <w:numPr>
        <w:ilvl w:val="4"/>
        <w:numId w:val="1"/>
      </w:numPr>
      <w:spacing w:before="280" w:after="290" w:line="376" w:lineRule="auto"/>
      <w:outlineLvl w:val="4"/>
    </w:pPr>
    <w:rPr>
      <w:b/>
      <w:sz w:val="28"/>
    </w:rPr>
  </w:style>
  <w:style w:type="paragraph" w:styleId="11">
    <w:name w:val="heading 6"/>
    <w:basedOn w:val="1"/>
    <w:next w:val="10"/>
    <w:qFormat/>
    <w:uiPriority w:val="0"/>
    <w:pPr>
      <w:keepNext/>
      <w:keepLines/>
      <w:numPr>
        <w:ilvl w:val="5"/>
        <w:numId w:val="1"/>
      </w:numPr>
      <w:spacing w:before="240" w:after="64" w:line="320" w:lineRule="auto"/>
      <w:outlineLvl w:val="5"/>
    </w:pPr>
    <w:rPr>
      <w:rFonts w:ascii="Arial" w:hAnsi="Arial" w:eastAsia="黑体"/>
      <w:b/>
      <w:sz w:val="24"/>
    </w:rPr>
  </w:style>
  <w:style w:type="paragraph" w:styleId="12">
    <w:name w:val="heading 7"/>
    <w:basedOn w:val="1"/>
    <w:next w:val="10"/>
    <w:qFormat/>
    <w:uiPriority w:val="0"/>
    <w:pPr>
      <w:keepNext/>
      <w:keepLines/>
      <w:numPr>
        <w:ilvl w:val="6"/>
        <w:numId w:val="1"/>
      </w:numPr>
      <w:spacing w:before="240" w:after="64" w:line="320" w:lineRule="auto"/>
      <w:outlineLvl w:val="6"/>
    </w:pPr>
    <w:rPr>
      <w:b/>
      <w:sz w:val="24"/>
    </w:rPr>
  </w:style>
  <w:style w:type="paragraph" w:styleId="13">
    <w:name w:val="heading 8"/>
    <w:basedOn w:val="1"/>
    <w:next w:val="10"/>
    <w:qFormat/>
    <w:uiPriority w:val="0"/>
    <w:pPr>
      <w:keepNext/>
      <w:keepLines/>
      <w:numPr>
        <w:ilvl w:val="7"/>
        <w:numId w:val="1"/>
      </w:numPr>
      <w:spacing w:before="240" w:after="64" w:line="320" w:lineRule="auto"/>
      <w:outlineLvl w:val="7"/>
    </w:pPr>
    <w:rPr>
      <w:rFonts w:ascii="Arial" w:hAnsi="Arial" w:eastAsia="黑体"/>
      <w:sz w:val="24"/>
    </w:rPr>
  </w:style>
  <w:style w:type="paragraph" w:styleId="14">
    <w:name w:val="heading 9"/>
    <w:basedOn w:val="1"/>
    <w:next w:val="10"/>
    <w:qFormat/>
    <w:uiPriority w:val="0"/>
    <w:pPr>
      <w:keepNext/>
      <w:keepLines/>
      <w:numPr>
        <w:ilvl w:val="8"/>
        <w:numId w:val="1"/>
      </w:numPr>
      <w:spacing w:before="240" w:after="64" w:line="320" w:lineRule="auto"/>
      <w:outlineLvl w:val="8"/>
    </w:pPr>
    <w:rPr>
      <w:rFonts w:ascii="Arial" w:hAnsi="Arial" w:eastAsia="黑体"/>
    </w:rPr>
  </w:style>
  <w:style w:type="character" w:default="1" w:styleId="40">
    <w:name w:val="Default Paragraph Font"/>
    <w:semiHidden/>
    <w:unhideWhenUsed/>
    <w:qFormat/>
    <w:uiPriority w:val="1"/>
  </w:style>
  <w:style w:type="table" w:default="1" w:styleId="38">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3"/>
    <w:next w:val="4"/>
    <w:qFormat/>
    <w:uiPriority w:val="99"/>
    <w:pPr>
      <w:spacing w:before="25" w:after="25"/>
    </w:pPr>
    <w:rPr>
      <w:rFonts w:ascii="Calibri" w:eastAsia="Calibri"/>
      <w:bCs/>
      <w:spacing w:val="10"/>
      <w:kern w:val="0"/>
    </w:rPr>
  </w:style>
  <w:style w:type="paragraph" w:styleId="3">
    <w:name w:val="Body Text Indent"/>
    <w:basedOn w:val="1"/>
    <w:link w:val="58"/>
    <w:qFormat/>
    <w:uiPriority w:val="0"/>
    <w:pPr>
      <w:ind w:firstLine="830" w:firstLineChars="352"/>
    </w:pPr>
    <w:rPr>
      <w:rFonts w:ascii="仿宋_GB2312" w:eastAsia="仿宋_GB2312"/>
      <w:sz w:val="32"/>
      <w:szCs w:val="20"/>
    </w:rPr>
  </w:style>
  <w:style w:type="paragraph" w:styleId="4">
    <w:name w:val="Body Text"/>
    <w:basedOn w:val="1"/>
    <w:next w:val="1"/>
    <w:link w:val="57"/>
    <w:qFormat/>
    <w:uiPriority w:val="0"/>
    <w:pPr>
      <w:spacing w:line="380" w:lineRule="exact"/>
    </w:pPr>
    <w:rPr>
      <w:sz w:val="24"/>
    </w:rPr>
  </w:style>
  <w:style w:type="paragraph" w:styleId="10">
    <w:name w:val="Normal Indent"/>
    <w:basedOn w:val="1"/>
    <w:link w:val="56"/>
    <w:qFormat/>
    <w:uiPriority w:val="0"/>
    <w:pPr>
      <w:ind w:firstLine="420"/>
    </w:pPr>
    <w:rPr>
      <w:szCs w:val="20"/>
    </w:rPr>
  </w:style>
  <w:style w:type="paragraph" w:styleId="15">
    <w:name w:val="index 8"/>
    <w:basedOn w:val="1"/>
    <w:next w:val="1"/>
    <w:qFormat/>
    <w:uiPriority w:val="0"/>
    <w:pPr>
      <w:ind w:left="2940"/>
    </w:pPr>
  </w:style>
  <w:style w:type="paragraph" w:styleId="16">
    <w:name w:val="List Number"/>
    <w:basedOn w:val="1"/>
    <w:qFormat/>
    <w:uiPriority w:val="0"/>
    <w:pPr>
      <w:widowControl/>
      <w:tabs>
        <w:tab w:val="left" w:pos="454"/>
        <w:tab w:val="left" w:pos="720"/>
        <w:tab w:val="left" w:pos="840"/>
      </w:tabs>
      <w:spacing w:after="50" w:afterLines="50"/>
      <w:ind w:left="454" w:hanging="284"/>
      <w:jc w:val="left"/>
    </w:pPr>
    <w:rPr>
      <w:kern w:val="0"/>
      <w:sz w:val="24"/>
      <w:szCs w:val="20"/>
    </w:rPr>
  </w:style>
  <w:style w:type="paragraph" w:styleId="17">
    <w:name w:val="caption"/>
    <w:basedOn w:val="1"/>
    <w:next w:val="1"/>
    <w:qFormat/>
    <w:uiPriority w:val="0"/>
    <w:pPr>
      <w:spacing w:before="152" w:after="160"/>
    </w:pPr>
    <w:rPr>
      <w:rFonts w:ascii="Arial" w:hAnsi="Arial" w:eastAsia="黑体" w:cs="Arial"/>
      <w:sz w:val="20"/>
      <w:szCs w:val="20"/>
    </w:rPr>
  </w:style>
  <w:style w:type="paragraph" w:styleId="18">
    <w:name w:val="Document Map"/>
    <w:basedOn w:val="1"/>
    <w:semiHidden/>
    <w:qFormat/>
    <w:uiPriority w:val="0"/>
    <w:pPr>
      <w:shd w:val="clear" w:color="auto" w:fill="000080"/>
    </w:pPr>
  </w:style>
  <w:style w:type="paragraph" w:styleId="19">
    <w:name w:val="annotation text"/>
    <w:basedOn w:val="1"/>
    <w:qFormat/>
    <w:uiPriority w:val="0"/>
    <w:pPr>
      <w:jc w:val="left"/>
    </w:pPr>
  </w:style>
  <w:style w:type="paragraph" w:styleId="20">
    <w:name w:val="Body Text 3"/>
    <w:basedOn w:val="1"/>
    <w:qFormat/>
    <w:uiPriority w:val="0"/>
    <w:pPr>
      <w:spacing w:line="500" w:lineRule="exact"/>
    </w:pPr>
    <w:rPr>
      <w:b/>
      <w:bCs/>
      <w:sz w:val="24"/>
    </w:rPr>
  </w:style>
  <w:style w:type="paragraph" w:styleId="21">
    <w:name w:val="List Number 3"/>
    <w:basedOn w:val="1"/>
    <w:qFormat/>
    <w:uiPriority w:val="0"/>
    <w:pPr>
      <w:numPr>
        <w:ilvl w:val="0"/>
        <w:numId w:val="1"/>
      </w:numPr>
      <w:tabs>
        <w:tab w:val="left" w:pos="1200"/>
        <w:tab w:val="clear" w:pos="360"/>
      </w:tabs>
    </w:pPr>
  </w:style>
  <w:style w:type="paragraph" w:styleId="22">
    <w:name w:val="List 2"/>
    <w:basedOn w:val="1"/>
    <w:qFormat/>
    <w:uiPriority w:val="0"/>
    <w:pPr>
      <w:ind w:left="100" w:leftChars="200" w:hanging="200" w:hangingChars="200"/>
    </w:pPr>
    <w:rPr>
      <w:sz w:val="28"/>
    </w:rPr>
  </w:style>
  <w:style w:type="paragraph" w:styleId="23">
    <w:name w:val="Plain Text"/>
    <w:basedOn w:val="1"/>
    <w:link w:val="59"/>
    <w:qFormat/>
    <w:uiPriority w:val="0"/>
    <w:rPr>
      <w:rFonts w:ascii="宋体" w:hAnsi="Courier New" w:cs="Courier New"/>
      <w:szCs w:val="21"/>
    </w:rPr>
  </w:style>
  <w:style w:type="paragraph" w:styleId="24">
    <w:name w:val="Date"/>
    <w:basedOn w:val="1"/>
    <w:next w:val="1"/>
    <w:qFormat/>
    <w:uiPriority w:val="0"/>
    <w:pPr>
      <w:ind w:left="100" w:leftChars="2500"/>
    </w:pPr>
    <w:rPr>
      <w:rFonts w:ascii="宋体" w:hAnsi="Courier New" w:cs="Courier New"/>
      <w:szCs w:val="21"/>
    </w:rPr>
  </w:style>
  <w:style w:type="paragraph" w:styleId="25">
    <w:name w:val="Body Text Indent 2"/>
    <w:basedOn w:val="1"/>
    <w:link w:val="60"/>
    <w:qFormat/>
    <w:uiPriority w:val="0"/>
    <w:pPr>
      <w:ind w:firstLine="630"/>
    </w:pPr>
    <w:rPr>
      <w:sz w:val="32"/>
      <w:szCs w:val="20"/>
    </w:rPr>
  </w:style>
  <w:style w:type="paragraph" w:styleId="26">
    <w:name w:val="Balloon Text"/>
    <w:basedOn w:val="1"/>
    <w:semiHidden/>
    <w:qFormat/>
    <w:uiPriority w:val="0"/>
    <w:rPr>
      <w:sz w:val="18"/>
      <w:szCs w:val="18"/>
    </w:rPr>
  </w:style>
  <w:style w:type="paragraph" w:styleId="27">
    <w:name w:val="footer"/>
    <w:basedOn w:val="1"/>
    <w:link w:val="61"/>
    <w:qFormat/>
    <w:uiPriority w:val="0"/>
    <w:pPr>
      <w:tabs>
        <w:tab w:val="center" w:pos="4153"/>
        <w:tab w:val="right" w:pos="8306"/>
      </w:tabs>
      <w:snapToGrid w:val="0"/>
      <w:jc w:val="left"/>
    </w:pPr>
    <w:rPr>
      <w:sz w:val="18"/>
      <w:szCs w:val="18"/>
    </w:rPr>
  </w:style>
  <w:style w:type="paragraph" w:styleId="2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29">
    <w:name w:val="toc 1"/>
    <w:basedOn w:val="1"/>
    <w:next w:val="1"/>
    <w:qFormat/>
    <w:uiPriority w:val="39"/>
  </w:style>
  <w:style w:type="paragraph" w:styleId="30">
    <w:name w:val="List"/>
    <w:basedOn w:val="1"/>
    <w:qFormat/>
    <w:uiPriority w:val="0"/>
    <w:pPr>
      <w:ind w:left="200" w:hanging="200" w:hangingChars="200"/>
    </w:pPr>
    <w:rPr>
      <w:sz w:val="28"/>
    </w:rPr>
  </w:style>
  <w:style w:type="paragraph" w:styleId="31">
    <w:name w:val="Body Text Indent 3"/>
    <w:basedOn w:val="1"/>
    <w:qFormat/>
    <w:uiPriority w:val="0"/>
    <w:pPr>
      <w:spacing w:after="120"/>
      <w:ind w:left="420" w:leftChars="200"/>
    </w:pPr>
    <w:rPr>
      <w:sz w:val="16"/>
      <w:szCs w:val="16"/>
    </w:rPr>
  </w:style>
  <w:style w:type="paragraph" w:styleId="32">
    <w:name w:val="toc 2"/>
    <w:basedOn w:val="1"/>
    <w:next w:val="1"/>
    <w:qFormat/>
    <w:uiPriority w:val="39"/>
    <w:pPr>
      <w:tabs>
        <w:tab w:val="right" w:leader="dot" w:pos="9360"/>
      </w:tabs>
      <w:ind w:left="420" w:leftChars="200"/>
    </w:pPr>
  </w:style>
  <w:style w:type="paragraph" w:styleId="33">
    <w:name w:val="Body Text 2"/>
    <w:basedOn w:val="1"/>
    <w:qFormat/>
    <w:uiPriority w:val="0"/>
    <w:pPr>
      <w:spacing w:after="120" w:line="480" w:lineRule="auto"/>
    </w:pPr>
  </w:style>
  <w:style w:type="paragraph" w:styleId="34">
    <w:name w:val="Normal (Web)"/>
    <w:basedOn w:val="1"/>
    <w:qFormat/>
    <w:uiPriority w:val="0"/>
    <w:pPr>
      <w:widowControl/>
      <w:spacing w:before="100" w:beforeAutospacing="1" w:after="100" w:afterAutospacing="1"/>
      <w:jc w:val="left"/>
    </w:pPr>
    <w:rPr>
      <w:rFonts w:ascii="宋体" w:hAnsi="宋体"/>
      <w:kern w:val="0"/>
      <w:sz w:val="24"/>
    </w:rPr>
  </w:style>
  <w:style w:type="paragraph" w:styleId="35">
    <w:name w:val="index 1"/>
    <w:basedOn w:val="1"/>
    <w:next w:val="1"/>
    <w:semiHidden/>
    <w:qFormat/>
    <w:uiPriority w:val="0"/>
    <w:pPr>
      <w:spacing w:line="400" w:lineRule="exact"/>
      <w:ind w:firstLine="420" w:firstLineChars="200"/>
    </w:pPr>
    <w:rPr>
      <w:rFonts w:ascii="宋体" w:hAnsi="Courier New"/>
      <w:b/>
      <w:szCs w:val="20"/>
    </w:rPr>
  </w:style>
  <w:style w:type="paragraph" w:styleId="36">
    <w:name w:val="Body Text First Indent"/>
    <w:basedOn w:val="4"/>
    <w:link w:val="62"/>
    <w:qFormat/>
    <w:uiPriority w:val="0"/>
    <w:pPr>
      <w:spacing w:after="120" w:line="240" w:lineRule="auto"/>
      <w:ind w:firstLine="420" w:firstLineChars="100"/>
    </w:pPr>
    <w:rPr>
      <w:sz w:val="21"/>
    </w:rPr>
  </w:style>
  <w:style w:type="paragraph" w:styleId="37">
    <w:name w:val="Body Text First Indent 2"/>
    <w:basedOn w:val="3"/>
    <w:link w:val="63"/>
    <w:qFormat/>
    <w:uiPriority w:val="0"/>
    <w:pPr>
      <w:spacing w:after="120"/>
      <w:ind w:left="420" w:leftChars="200" w:firstLine="420" w:firstLineChars="200"/>
    </w:pPr>
    <w:rPr>
      <w:sz w:val="21"/>
      <w:szCs w:val="24"/>
    </w:rPr>
  </w:style>
  <w:style w:type="table" w:styleId="39">
    <w:name w:val="Table Grid"/>
    <w:basedOn w:val="3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1">
    <w:name w:val="Strong"/>
    <w:qFormat/>
    <w:uiPriority w:val="0"/>
    <w:rPr>
      <w:b/>
      <w:bCs/>
    </w:rPr>
  </w:style>
  <w:style w:type="character" w:styleId="42">
    <w:name w:val="page number"/>
    <w:qFormat/>
    <w:uiPriority w:val="0"/>
  </w:style>
  <w:style w:type="character" w:styleId="43">
    <w:name w:val="Hyperlink"/>
    <w:qFormat/>
    <w:uiPriority w:val="99"/>
    <w:rPr>
      <w:color w:val="0000FF"/>
      <w:u w:val="single"/>
    </w:rPr>
  </w:style>
  <w:style w:type="character" w:styleId="44">
    <w:name w:val="HTML Sample"/>
    <w:basedOn w:val="40"/>
    <w:qFormat/>
    <w:uiPriority w:val="0"/>
    <w:rPr>
      <w:rFonts w:ascii="Courier New" w:hAnsi="Courier New"/>
    </w:rPr>
  </w:style>
  <w:style w:type="paragraph" w:customStyle="1" w:styleId="45">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46">
    <w:name w:val="正文文本缩进_0"/>
    <w:basedOn w:val="47"/>
    <w:qFormat/>
    <w:uiPriority w:val="99"/>
    <w:pPr>
      <w:spacing w:before="240" w:line="360" w:lineRule="auto"/>
      <w:ind w:firstLine="552" w:firstLineChars="263"/>
    </w:pPr>
    <w:rPr>
      <w:rFonts w:ascii="宋体"/>
    </w:rPr>
  </w:style>
  <w:style w:type="paragraph" w:customStyle="1" w:styleId="47">
    <w:name w:val="正文_2"/>
    <w:next w:val="48"/>
    <w:qFormat/>
    <w:uiPriority w:val="0"/>
    <w:pPr>
      <w:widowControl w:val="0"/>
      <w:jc w:val="both"/>
    </w:pPr>
    <w:rPr>
      <w:rFonts w:ascii="Calibri" w:hAnsi="Calibri" w:eastAsia="宋体" w:cs="Times New Roman"/>
      <w:kern w:val="2"/>
      <w:sz w:val="21"/>
      <w:szCs w:val="22"/>
      <w:lang w:val="en-US" w:eastAsia="zh-CN" w:bidi="ar-SA"/>
    </w:rPr>
  </w:style>
  <w:style w:type="paragraph" w:customStyle="1" w:styleId="48">
    <w:name w:val="页脚_2"/>
    <w:basedOn w:val="49"/>
    <w:unhideWhenUsed/>
    <w:qFormat/>
    <w:uiPriority w:val="99"/>
    <w:pPr>
      <w:tabs>
        <w:tab w:val="center" w:pos="4153"/>
        <w:tab w:val="right" w:pos="8306"/>
      </w:tabs>
      <w:snapToGrid w:val="0"/>
      <w:jc w:val="left"/>
    </w:pPr>
    <w:rPr>
      <w:sz w:val="18"/>
      <w:szCs w:val="18"/>
    </w:rPr>
  </w:style>
  <w:style w:type="paragraph" w:customStyle="1" w:styleId="49">
    <w:name w:val="正文_2_0"/>
    <w:next w:val="5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0">
    <w:name w:val="页脚_1"/>
    <w:basedOn w:val="49"/>
    <w:unhideWhenUsed/>
    <w:qFormat/>
    <w:uiPriority w:val="99"/>
    <w:pPr>
      <w:tabs>
        <w:tab w:val="center" w:pos="4153"/>
        <w:tab w:val="right" w:pos="8306"/>
      </w:tabs>
      <w:snapToGrid w:val="0"/>
      <w:jc w:val="left"/>
    </w:pPr>
    <w:rPr>
      <w:sz w:val="18"/>
      <w:szCs w:val="18"/>
    </w:rPr>
  </w:style>
  <w:style w:type="paragraph" w:customStyle="1" w:styleId="51">
    <w:name w:val="正文文本_0"/>
    <w:basedOn w:val="47"/>
    <w:next w:val="47"/>
    <w:qFormat/>
    <w:uiPriority w:val="99"/>
    <w:pPr>
      <w:adjustRightInd w:val="0"/>
      <w:spacing w:after="60" w:line="360" w:lineRule="atLeast"/>
      <w:ind w:left="72" w:leftChars="30" w:right="30" w:rightChars="30"/>
      <w:jc w:val="center"/>
      <w:textAlignment w:val="baseline"/>
    </w:pPr>
    <w:rPr>
      <w:sz w:val="22"/>
    </w:rPr>
  </w:style>
  <w:style w:type="character" w:customStyle="1" w:styleId="52">
    <w:name w:val="标题 1 字符"/>
    <w:link w:val="5"/>
    <w:qFormat/>
    <w:uiPriority w:val="0"/>
    <w:rPr>
      <w:rFonts w:eastAsia="宋体"/>
      <w:b/>
      <w:bCs/>
      <w:kern w:val="44"/>
      <w:sz w:val="44"/>
      <w:szCs w:val="44"/>
      <w:lang w:val="en-US" w:eastAsia="zh-CN" w:bidi="ar-SA"/>
    </w:rPr>
  </w:style>
  <w:style w:type="character" w:customStyle="1" w:styleId="53">
    <w:name w:val="标题 2 字符"/>
    <w:link w:val="6"/>
    <w:qFormat/>
    <w:uiPriority w:val="9"/>
    <w:rPr>
      <w:rFonts w:ascii="Arial" w:hAnsi="Arial" w:eastAsia="黑体"/>
      <w:b/>
      <w:bCs/>
      <w:kern w:val="2"/>
      <w:sz w:val="32"/>
      <w:szCs w:val="32"/>
    </w:rPr>
  </w:style>
  <w:style w:type="character" w:customStyle="1" w:styleId="54">
    <w:name w:val="标题 3 字符"/>
    <w:link w:val="7"/>
    <w:qFormat/>
    <w:uiPriority w:val="0"/>
    <w:rPr>
      <w:rFonts w:ascii="Calibri" w:hAnsi="Calibri" w:eastAsia="宋体"/>
      <w:b/>
      <w:bCs/>
      <w:kern w:val="2"/>
      <w:sz w:val="32"/>
      <w:szCs w:val="32"/>
      <w:lang w:val="en-US" w:eastAsia="zh-CN" w:bidi="ar-SA"/>
    </w:rPr>
  </w:style>
  <w:style w:type="character" w:customStyle="1" w:styleId="55">
    <w:name w:val="标题 4 字符"/>
    <w:link w:val="8"/>
    <w:qFormat/>
    <w:uiPriority w:val="0"/>
    <w:rPr>
      <w:rFonts w:ascii="黑体" w:hAnsi="黑体" w:eastAsia="黑体"/>
      <w:b/>
      <w:bCs/>
      <w:kern w:val="2"/>
      <w:sz w:val="24"/>
      <w:szCs w:val="24"/>
    </w:rPr>
  </w:style>
  <w:style w:type="character" w:customStyle="1" w:styleId="56">
    <w:name w:val="正文缩进 字符"/>
    <w:link w:val="10"/>
    <w:qFormat/>
    <w:locked/>
    <w:uiPriority w:val="0"/>
    <w:rPr>
      <w:kern w:val="2"/>
      <w:sz w:val="21"/>
    </w:rPr>
  </w:style>
  <w:style w:type="character" w:customStyle="1" w:styleId="57">
    <w:name w:val="正文文本 字符"/>
    <w:link w:val="4"/>
    <w:qFormat/>
    <w:uiPriority w:val="0"/>
    <w:rPr>
      <w:kern w:val="2"/>
      <w:sz w:val="24"/>
      <w:szCs w:val="24"/>
    </w:rPr>
  </w:style>
  <w:style w:type="character" w:customStyle="1" w:styleId="58">
    <w:name w:val="正文文本缩进 字符"/>
    <w:link w:val="3"/>
    <w:qFormat/>
    <w:uiPriority w:val="0"/>
    <w:rPr>
      <w:rFonts w:ascii="仿宋_GB2312" w:eastAsia="仿宋_GB2312"/>
      <w:kern w:val="2"/>
      <w:sz w:val="32"/>
    </w:rPr>
  </w:style>
  <w:style w:type="character" w:customStyle="1" w:styleId="59">
    <w:name w:val="纯文本 字符"/>
    <w:link w:val="23"/>
    <w:qFormat/>
    <w:uiPriority w:val="0"/>
    <w:rPr>
      <w:rFonts w:ascii="宋体" w:hAnsi="Courier New" w:eastAsia="宋体" w:cs="Courier New"/>
      <w:kern w:val="2"/>
      <w:sz w:val="21"/>
      <w:szCs w:val="21"/>
      <w:lang w:val="en-US" w:eastAsia="zh-CN" w:bidi="ar-SA"/>
    </w:rPr>
  </w:style>
  <w:style w:type="character" w:customStyle="1" w:styleId="60">
    <w:name w:val="正文文本缩进 2 字符"/>
    <w:link w:val="25"/>
    <w:qFormat/>
    <w:uiPriority w:val="0"/>
    <w:rPr>
      <w:kern w:val="2"/>
      <w:sz w:val="32"/>
    </w:rPr>
  </w:style>
  <w:style w:type="character" w:customStyle="1" w:styleId="61">
    <w:name w:val="页脚 字符"/>
    <w:link w:val="27"/>
    <w:qFormat/>
    <w:uiPriority w:val="0"/>
    <w:rPr>
      <w:kern w:val="2"/>
      <w:sz w:val="18"/>
      <w:szCs w:val="18"/>
    </w:rPr>
  </w:style>
  <w:style w:type="character" w:customStyle="1" w:styleId="62">
    <w:name w:val="正文文本首行缩进 字符"/>
    <w:link w:val="36"/>
    <w:qFormat/>
    <w:uiPriority w:val="0"/>
    <w:rPr>
      <w:kern w:val="2"/>
      <w:sz w:val="21"/>
      <w:szCs w:val="24"/>
    </w:rPr>
  </w:style>
  <w:style w:type="character" w:customStyle="1" w:styleId="63">
    <w:name w:val="正文文本首行缩进 2 字符"/>
    <w:link w:val="37"/>
    <w:qFormat/>
    <w:uiPriority w:val="0"/>
    <w:rPr>
      <w:rFonts w:ascii="仿宋_GB2312" w:eastAsia="仿宋_GB2312"/>
      <w:kern w:val="2"/>
      <w:sz w:val="21"/>
      <w:szCs w:val="24"/>
    </w:rPr>
  </w:style>
  <w:style w:type="character" w:customStyle="1" w:styleId="64">
    <w:name w:val="font21"/>
    <w:qFormat/>
    <w:uiPriority w:val="0"/>
    <w:rPr>
      <w:rFonts w:hint="default" w:ascii="仿宋_GB2312" w:eastAsia="仿宋_GB2312" w:cs="仿宋_GB2312"/>
      <w:b/>
      <w:color w:val="000000"/>
      <w:sz w:val="24"/>
      <w:szCs w:val="24"/>
      <w:u w:val="none"/>
    </w:rPr>
  </w:style>
  <w:style w:type="character" w:customStyle="1" w:styleId="65">
    <w:name w:val="纯文本 Char1"/>
    <w:qFormat/>
    <w:uiPriority w:val="0"/>
    <w:rPr>
      <w:rFonts w:ascii="宋体" w:hAnsi="Courier New" w:eastAsia="宋体" w:cs="Courier New"/>
      <w:szCs w:val="21"/>
    </w:rPr>
  </w:style>
  <w:style w:type="character" w:customStyle="1" w:styleId="66">
    <w:name w:val="param-name param-explain"/>
    <w:qFormat/>
    <w:uiPriority w:val="0"/>
  </w:style>
  <w:style w:type="character" w:customStyle="1" w:styleId="67">
    <w:name w:val="1ji Char"/>
    <w:link w:val="68"/>
    <w:qFormat/>
    <w:uiPriority w:val="0"/>
    <w:rPr>
      <w:rFonts w:ascii="宋体" w:hAnsi="宋体" w:eastAsia="宋体"/>
      <w:b/>
      <w:bCs/>
      <w:kern w:val="44"/>
      <w:sz w:val="36"/>
      <w:szCs w:val="44"/>
      <w:lang w:val="en-US" w:eastAsia="zh-CN" w:bidi="ar-SA"/>
    </w:rPr>
  </w:style>
  <w:style w:type="paragraph" w:customStyle="1" w:styleId="68">
    <w:name w:val="1ji"/>
    <w:basedOn w:val="5"/>
    <w:link w:val="67"/>
    <w:qFormat/>
    <w:uiPriority w:val="0"/>
    <w:pPr>
      <w:keepLines w:val="0"/>
      <w:widowControl/>
      <w:spacing w:before="0" w:after="0" w:line="240" w:lineRule="auto"/>
      <w:jc w:val="center"/>
    </w:pPr>
    <w:rPr>
      <w:rFonts w:ascii="宋体" w:hAnsi="宋体"/>
      <w:sz w:val="36"/>
    </w:rPr>
  </w:style>
  <w:style w:type="character" w:customStyle="1" w:styleId="69">
    <w:name w:val="普通文字 Char Char2"/>
    <w:qFormat/>
    <w:uiPriority w:val="0"/>
    <w:rPr>
      <w:rFonts w:ascii="宋体" w:hAnsi="Courier New" w:eastAsia="宋体"/>
      <w:kern w:val="2"/>
      <w:sz w:val="21"/>
      <w:lang w:val="en-US" w:eastAsia="zh-CN" w:bidi="ar-SA"/>
    </w:rPr>
  </w:style>
  <w:style w:type="character" w:customStyle="1" w:styleId="70">
    <w:name w:val="10"/>
    <w:qFormat/>
    <w:uiPriority w:val="0"/>
    <w:rPr>
      <w:rFonts w:hint="default" w:ascii="Times New Roman" w:hAnsi="Times New Roman" w:cs="Times New Roman"/>
    </w:rPr>
  </w:style>
  <w:style w:type="character" w:customStyle="1" w:styleId="71">
    <w:name w:val="font11"/>
    <w:qFormat/>
    <w:uiPriority w:val="0"/>
    <w:rPr>
      <w:rFonts w:hint="eastAsia" w:ascii="宋体" w:hAnsi="宋体" w:eastAsia="宋体" w:cs="宋体"/>
      <w:color w:val="000000"/>
      <w:sz w:val="20"/>
      <w:szCs w:val="20"/>
      <w:u w:val="none"/>
    </w:rPr>
  </w:style>
  <w:style w:type="character" w:customStyle="1" w:styleId="72">
    <w:name w:val="apple-converted-space"/>
    <w:qFormat/>
    <w:uiPriority w:val="0"/>
  </w:style>
  <w:style w:type="character" w:customStyle="1" w:styleId="73">
    <w:name w:val="mark"/>
    <w:qFormat/>
    <w:uiPriority w:val="0"/>
  </w:style>
  <w:style w:type="character" w:customStyle="1" w:styleId="74">
    <w:name w:val="15"/>
    <w:qFormat/>
    <w:uiPriority w:val="0"/>
    <w:rPr>
      <w:rFonts w:hint="default" w:ascii="Times New Roman" w:hAnsi="Times New Roman" w:cs="Times New Roman"/>
    </w:rPr>
  </w:style>
  <w:style w:type="paragraph" w:customStyle="1" w:styleId="75">
    <w:name w:val="默认段落字体 Para Char Char Char Char Char Char Char Char Char1 Char Char Char Char"/>
    <w:basedOn w:val="1"/>
    <w:qFormat/>
    <w:uiPriority w:val="0"/>
    <w:rPr>
      <w:rFonts w:ascii="Tahoma" w:hAnsi="Tahoma"/>
      <w:sz w:val="24"/>
      <w:szCs w:val="20"/>
    </w:rPr>
  </w:style>
  <w:style w:type="paragraph" w:customStyle="1" w:styleId="76">
    <w:name w:val="列出段落1"/>
    <w:basedOn w:val="1"/>
    <w:qFormat/>
    <w:uiPriority w:val="0"/>
    <w:pPr>
      <w:ind w:firstLine="420" w:firstLineChars="200"/>
    </w:pPr>
    <w:rPr>
      <w:szCs w:val="20"/>
    </w:rPr>
  </w:style>
  <w:style w:type="paragraph" w:customStyle="1" w:styleId="77">
    <w:name w:val="1"/>
    <w:basedOn w:val="1"/>
    <w:next w:val="23"/>
    <w:qFormat/>
    <w:uiPriority w:val="0"/>
    <w:rPr>
      <w:rFonts w:ascii="宋体" w:hAnsi="Courier New"/>
      <w:szCs w:val="20"/>
    </w:rPr>
  </w:style>
  <w:style w:type="paragraph" w:customStyle="1" w:styleId="78">
    <w:name w:val="列出段落11"/>
    <w:qFormat/>
    <w:uiPriority w:val="34"/>
    <w:pPr>
      <w:widowControl w:val="0"/>
      <w:ind w:firstLine="420"/>
      <w:jc w:val="both"/>
    </w:pPr>
    <w:rPr>
      <w:rFonts w:ascii="Calibri" w:hAnsi="Calibri" w:eastAsia="Calibri" w:cs="Calibri"/>
      <w:color w:val="000000"/>
      <w:kern w:val="2"/>
      <w:sz w:val="21"/>
      <w:szCs w:val="21"/>
      <w:lang w:val="en-US" w:eastAsia="zh-CN" w:bidi="ar-SA"/>
    </w:rPr>
  </w:style>
  <w:style w:type="paragraph" w:customStyle="1" w:styleId="79">
    <w:name w:val="正文段"/>
    <w:basedOn w:val="1"/>
    <w:qFormat/>
    <w:uiPriority w:val="0"/>
    <w:pPr>
      <w:widowControl/>
      <w:snapToGrid w:val="0"/>
      <w:spacing w:after="50" w:afterLines="50"/>
      <w:ind w:firstLine="200" w:firstLineChars="200"/>
    </w:pPr>
    <w:rPr>
      <w:kern w:val="0"/>
      <w:sz w:val="24"/>
      <w:szCs w:val="20"/>
    </w:rPr>
  </w:style>
  <w:style w:type="paragraph" w:customStyle="1" w:styleId="80">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81">
    <w:name w:val="newp"/>
    <w:basedOn w:val="1"/>
    <w:qFormat/>
    <w:uiPriority w:val="99"/>
    <w:pPr>
      <w:widowControl/>
      <w:spacing w:before="100" w:beforeAutospacing="1" w:after="100" w:afterAutospacing="1"/>
      <w:jc w:val="left"/>
    </w:pPr>
    <w:rPr>
      <w:rFonts w:ascii="宋体" w:hAnsi="宋体" w:cs="宋体"/>
      <w:kern w:val="0"/>
      <w:sz w:val="24"/>
    </w:rPr>
  </w:style>
  <w:style w:type="paragraph" w:customStyle="1" w:styleId="82">
    <w:name w:val="_Style 34"/>
    <w:basedOn w:val="18"/>
    <w:qFormat/>
    <w:uiPriority w:val="0"/>
    <w:pPr>
      <w:widowControl/>
      <w:ind w:firstLine="454"/>
      <w:jc w:val="left"/>
    </w:pPr>
  </w:style>
  <w:style w:type="paragraph" w:customStyle="1" w:styleId="83">
    <w:name w:val="样式 加粗 段前: 7.8 磅 段后: 7.8 磅 行距: 固定值 20 磅"/>
    <w:basedOn w:val="1"/>
    <w:qFormat/>
    <w:uiPriority w:val="0"/>
    <w:pPr>
      <w:spacing w:before="60" w:after="60" w:line="360" w:lineRule="exact"/>
    </w:pPr>
    <w:rPr>
      <w:rFonts w:cs="宋体"/>
      <w:b/>
      <w:bCs/>
      <w:spacing w:val="-2"/>
      <w:sz w:val="24"/>
      <w:szCs w:val="20"/>
    </w:rPr>
  </w:style>
  <w:style w:type="paragraph" w:customStyle="1" w:styleId="84">
    <w:name w:val="_Style 5"/>
    <w:basedOn w:val="1"/>
    <w:qFormat/>
    <w:uiPriority w:val="0"/>
    <w:pPr>
      <w:spacing w:after="78" w:afterLines="25"/>
    </w:pPr>
    <w:rPr>
      <w:rFonts w:ascii="Arial" w:hAnsi="Arial"/>
    </w:rPr>
  </w:style>
  <w:style w:type="paragraph" w:customStyle="1" w:styleId="85">
    <w:name w:val="Char"/>
    <w:basedOn w:val="18"/>
    <w:qFormat/>
    <w:uiPriority w:val="0"/>
    <w:pPr>
      <w:widowControl/>
      <w:ind w:firstLine="454"/>
      <w:jc w:val="left"/>
    </w:pPr>
    <w:rPr>
      <w:rFonts w:ascii="Tahoma" w:hAnsi="Tahoma" w:cs="宋体"/>
      <w:kern w:val="0"/>
      <w:sz w:val="24"/>
      <w:szCs w:val="20"/>
    </w:rPr>
  </w:style>
  <w:style w:type="paragraph" w:customStyle="1" w:styleId="86">
    <w:name w:val="msolistparagraph"/>
    <w:basedOn w:val="1"/>
    <w:qFormat/>
    <w:uiPriority w:val="0"/>
    <w:pPr>
      <w:spacing w:line="360" w:lineRule="auto"/>
      <w:ind w:firstLine="420" w:firstLineChars="200"/>
    </w:pPr>
    <w:rPr>
      <w:sz w:val="28"/>
    </w:rPr>
  </w:style>
  <w:style w:type="paragraph" w:customStyle="1" w:styleId="87">
    <w:name w:val="表内文字"/>
    <w:basedOn w:val="1"/>
    <w:qFormat/>
    <w:uiPriority w:val="0"/>
    <w:pPr>
      <w:snapToGrid w:val="0"/>
      <w:spacing w:before="50" w:after="50"/>
      <w:jc w:val="center"/>
    </w:pPr>
    <w:rPr>
      <w:rFonts w:ascii="仿宋_GB2312" w:hAnsi="宋体" w:eastAsia="仿宋_GB2312"/>
      <w:b/>
      <w:color w:val="000000"/>
      <w:sz w:val="32"/>
      <w:szCs w:val="32"/>
    </w:rPr>
  </w:style>
  <w:style w:type="paragraph" w:customStyle="1" w:styleId="88">
    <w:name w:val="Char Char Char"/>
    <w:basedOn w:val="18"/>
    <w:qFormat/>
    <w:uiPriority w:val="0"/>
    <w:pPr>
      <w:snapToGrid w:val="0"/>
    </w:pPr>
    <w:rPr>
      <w:rFonts w:ascii="Calibri" w:hAnsi="Calibri"/>
      <w:sz w:val="28"/>
      <w:szCs w:val="20"/>
    </w:rPr>
  </w:style>
  <w:style w:type="paragraph" w:customStyle="1" w:styleId="89">
    <w:name w:val="_Style 341"/>
    <w:basedOn w:val="18"/>
    <w:qFormat/>
    <w:uiPriority w:val="0"/>
    <w:pPr>
      <w:widowControl/>
      <w:ind w:firstLine="454"/>
      <w:jc w:val="left"/>
    </w:pPr>
  </w:style>
  <w:style w:type="paragraph" w:customStyle="1" w:styleId="90">
    <w:name w:val="Char1"/>
    <w:basedOn w:val="18"/>
    <w:qFormat/>
    <w:uiPriority w:val="0"/>
    <w:pPr>
      <w:widowControl/>
      <w:ind w:firstLine="454"/>
      <w:jc w:val="left"/>
    </w:pPr>
    <w:rPr>
      <w:rFonts w:ascii="Tahoma" w:hAnsi="Tahoma" w:cs="宋体"/>
      <w:kern w:val="0"/>
      <w:sz w:val="24"/>
      <w:szCs w:val="20"/>
    </w:rPr>
  </w:style>
  <w:style w:type="paragraph" w:styleId="91">
    <w:name w:val="List Paragraph"/>
    <w:basedOn w:val="1"/>
    <w:qFormat/>
    <w:uiPriority w:val="34"/>
    <w:pPr>
      <w:ind w:firstLine="420" w:firstLineChars="200"/>
    </w:pPr>
    <w:rPr>
      <w:rFonts w:ascii="Book Antiqua" w:hAnsi="Book Antiqua" w:cs="Book Antiqua"/>
    </w:rPr>
  </w:style>
  <w:style w:type="paragraph" w:styleId="92">
    <w:name w:val="No Spacing"/>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3">
    <w:name w:val="样式 标题 2 + 宋体"/>
    <w:basedOn w:val="6"/>
    <w:qFormat/>
    <w:uiPriority w:val="0"/>
    <w:pPr>
      <w:tabs>
        <w:tab w:val="left" w:pos="360"/>
      </w:tabs>
    </w:pPr>
    <w:rPr>
      <w:rFonts w:ascii="宋体" w:hAnsi="宋体" w:eastAsia="宋体"/>
      <w:sz w:val="30"/>
    </w:rPr>
  </w:style>
  <w:style w:type="paragraph" w:customStyle="1" w:styleId="94">
    <w:name w:val="正文_1"/>
    <w:qFormat/>
    <w:uiPriority w:val="99"/>
    <w:pPr>
      <w:widowControl w:val="0"/>
      <w:jc w:val="both"/>
    </w:pPr>
    <w:rPr>
      <w:rFonts w:ascii="Times New Roman" w:hAnsi="Times New Roman" w:eastAsia="宋体" w:cs="Times New Roman"/>
      <w:kern w:val="2"/>
      <w:sz w:val="21"/>
      <w:szCs w:val="21"/>
      <w:lang w:val="en-US" w:eastAsia="zh-CN" w:bidi="ar-SA"/>
    </w:rPr>
  </w:style>
  <w:style w:type="table" w:customStyle="1" w:styleId="95">
    <w:name w:val="Table Normal"/>
    <w:unhideWhenUsed/>
    <w:qFormat/>
    <w:uiPriority w:val="0"/>
    <w:tblPr>
      <w:tblCellMar>
        <w:top w:w="0" w:type="dxa"/>
        <w:left w:w="0" w:type="dxa"/>
        <w:bottom w:w="0" w:type="dxa"/>
        <w:right w:w="0" w:type="dxa"/>
      </w:tblCellMar>
    </w:tblPr>
  </w:style>
  <w:style w:type="paragraph" w:customStyle="1" w:styleId="96">
    <w:name w:val="正文2"/>
    <w:basedOn w:val="1"/>
    <w:link w:val="97"/>
    <w:qFormat/>
    <w:uiPriority w:val="0"/>
    <w:pPr>
      <w:adjustRightInd w:val="0"/>
      <w:spacing w:before="156" w:line="360" w:lineRule="auto"/>
      <w:ind w:firstLine="510" w:firstLineChars="200"/>
    </w:pPr>
    <w:rPr>
      <w:sz w:val="24"/>
      <w:szCs w:val="20"/>
    </w:rPr>
  </w:style>
  <w:style w:type="character" w:customStyle="1" w:styleId="97">
    <w:name w:val="正文2 Char Char"/>
    <w:link w:val="96"/>
    <w:qFormat/>
    <w:uiPriority w:val="0"/>
    <w:rPr>
      <w:kern w:val="2"/>
      <w:sz w:val="24"/>
    </w:rPr>
  </w:style>
  <w:style w:type="table" w:customStyle="1" w:styleId="98">
    <w:name w:val="网格型1"/>
    <w:basedOn w:val="38"/>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9">
    <w:name w:val="网格型2"/>
    <w:basedOn w:val="38"/>
    <w:unhideWhenUsed/>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0">
    <w:name w:val="*正文 Char"/>
    <w:link w:val="101"/>
    <w:qFormat/>
    <w:locked/>
    <w:uiPriority w:val="0"/>
    <w:rPr>
      <w:rFonts w:ascii="宋体" w:hAnsi="宋体"/>
      <w:sz w:val="24"/>
    </w:rPr>
  </w:style>
  <w:style w:type="paragraph" w:customStyle="1" w:styleId="101">
    <w:name w:val="*正文"/>
    <w:basedOn w:val="1"/>
    <w:link w:val="100"/>
    <w:qFormat/>
    <w:uiPriority w:val="0"/>
    <w:pPr>
      <w:adjustRightInd w:val="0"/>
      <w:snapToGrid w:val="0"/>
      <w:spacing w:line="360" w:lineRule="auto"/>
      <w:ind w:firstLine="482"/>
      <w:jc w:val="left"/>
    </w:pPr>
    <w:rPr>
      <w:rFonts w:ascii="宋体" w:hAnsi="宋体"/>
      <w:kern w:val="0"/>
      <w:sz w:val="24"/>
      <w:szCs w:val="20"/>
    </w:rPr>
  </w:style>
  <w:style w:type="paragraph" w:customStyle="1" w:styleId="102">
    <w:name w:val="Table Text"/>
    <w:basedOn w:val="1"/>
    <w:semiHidden/>
    <w:qFormat/>
    <w:uiPriority w:val="0"/>
    <w:rPr>
      <w:rFonts w:ascii="宋体" w:hAnsi="宋体" w:cs="宋体"/>
      <w:sz w:val="20"/>
      <w:szCs w:val="20"/>
      <w:lang w:eastAsia="en-US"/>
    </w:rPr>
  </w:style>
  <w:style w:type="paragraph" w:customStyle="1" w:styleId="103">
    <w:name w:val="正文呀2_0"/>
    <w:basedOn w:val="104"/>
    <w:qFormat/>
    <w:uiPriority w:val="0"/>
    <w:rPr>
      <w:rFonts w:ascii="Calibri" w:hAnsi="Calibri"/>
      <w:kern w:val="0"/>
      <w:sz w:val="20"/>
    </w:rPr>
  </w:style>
  <w:style w:type="paragraph" w:customStyle="1" w:styleId="104">
    <w:name w:val="正文呀_0"/>
    <w:basedOn w:val="47"/>
    <w:qFormat/>
    <w:uiPriority w:val="0"/>
    <w:pPr>
      <w:spacing w:line="420" w:lineRule="exact"/>
      <w:ind w:firstLine="420" w:firstLineChars="200"/>
    </w:pPr>
    <w:rPr>
      <w:rFonts w:ascii="宋体" w:hAnsi="宋体"/>
      <w:szCs w:val="21"/>
    </w:rPr>
  </w:style>
  <w:style w:type="paragraph" w:customStyle="1" w:styleId="105">
    <w:name w:val="正文呀2_1"/>
    <w:basedOn w:val="104"/>
    <w:qFormat/>
    <w:uiPriority w:val="0"/>
  </w:style>
  <w:style w:type="paragraph" w:customStyle="1" w:styleId="106">
    <w:name w:val="正文_2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107">
    <w:name w:val="正文_2_1"/>
    <w:basedOn w:val="108"/>
    <w:qFormat/>
    <w:uiPriority w:val="0"/>
    <w:rPr>
      <w:szCs w:val="22"/>
    </w:rPr>
  </w:style>
  <w:style w:type="paragraph" w:customStyle="1" w:styleId="108">
    <w:name w:val="正文_2_2"/>
    <w:basedOn w:val="49"/>
    <w:qFormat/>
    <w:uiPriority w:val="0"/>
    <w:rPr>
      <w:szCs w:val="21"/>
    </w:rPr>
  </w:style>
  <w:style w:type="paragraph" w:customStyle="1" w:styleId="109">
    <w:name w:val="正文_3"/>
    <w:next w:val="110"/>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0">
    <w:name w:val="表格文字_0"/>
    <w:basedOn w:val="111"/>
    <w:next w:val="112"/>
    <w:qFormat/>
    <w:uiPriority w:val="0"/>
    <w:pPr>
      <w:adjustRightInd w:val="0"/>
      <w:snapToGrid w:val="0"/>
      <w:jc w:val="center"/>
    </w:pPr>
    <w:rPr>
      <w:rFonts w:ascii="Times New Roman" w:hAnsi="Times New Roman"/>
      <w:kern w:val="0"/>
      <w:sz w:val="24"/>
      <w:szCs w:val="24"/>
    </w:rPr>
  </w:style>
  <w:style w:type="paragraph" w:customStyle="1" w:styleId="111">
    <w:name w:val="正文文本缩进_1"/>
    <w:basedOn w:val="109"/>
    <w:unhideWhenUsed/>
    <w:qFormat/>
    <w:uiPriority w:val="99"/>
    <w:pPr>
      <w:spacing w:after="120"/>
      <w:ind w:left="420" w:leftChars="200"/>
    </w:pPr>
  </w:style>
  <w:style w:type="paragraph" w:customStyle="1" w:styleId="112">
    <w:name w:val="正文文本_1"/>
    <w:basedOn w:val="109"/>
    <w:next w:val="109"/>
    <w:qFormat/>
    <w:uiPriority w:val="99"/>
    <w:pPr>
      <w:spacing w:after="120"/>
    </w:pPr>
    <w:rPr>
      <w:rFonts w:ascii="Times New Roman" w:hAnsi="Times New Roman"/>
      <w:szCs w:val="24"/>
    </w:rPr>
  </w:style>
  <w:style w:type="paragraph" w:customStyle="1" w:styleId="113">
    <w:name w:val="Normal_0"/>
    <w:qFormat/>
    <w:uiPriority w:val="0"/>
    <w:rPr>
      <w:rFonts w:ascii="Times New Roman" w:hAnsi="Times New Roman" w:eastAsia="Times New Roman" w:cs="Times New Roman"/>
      <w:sz w:val="24"/>
      <w:szCs w:val="24"/>
      <w:lang w:val="en-US" w:eastAsia="zh-CN" w:bidi="ar-SA"/>
    </w:rPr>
  </w:style>
  <w:style w:type="paragraph" w:customStyle="1" w:styleId="114">
    <w:name w:val="标题 2_1"/>
    <w:basedOn w:val="47"/>
    <w:next w:val="47"/>
    <w:qFormat/>
    <w:uiPriority w:val="0"/>
    <w:pPr>
      <w:keepLines/>
      <w:spacing w:before="240" w:after="120" w:line="416" w:lineRule="auto"/>
      <w:jc w:val="center"/>
      <w:outlineLvl w:val="1"/>
    </w:pPr>
    <w:rPr>
      <w:rFonts w:ascii="宋体" w:hAnsi="宋体" w:eastAsia="黑体" w:cs="宋体"/>
      <w:b/>
      <w:bCs/>
      <w:sz w:val="36"/>
      <w:szCs w:val="21"/>
    </w:rPr>
  </w:style>
  <w:style w:type="paragraph" w:customStyle="1" w:styleId="115">
    <w:name w:val="Body text|1_1"/>
    <w:basedOn w:val="47"/>
    <w:qFormat/>
    <w:uiPriority w:val="0"/>
    <w:pPr>
      <w:spacing w:line="360" w:lineRule="auto"/>
      <w:ind w:firstLine="400"/>
    </w:pPr>
    <w:rPr>
      <w:rFonts w:ascii="宋体" w:hAnsi="宋体" w:eastAsia="宋体" w:cs="宋体"/>
      <w:color w:val="auto"/>
      <w:sz w:val="20"/>
      <w:szCs w:val="20"/>
      <w:lang w:val="zh-CN" w:eastAsia="zh-CN" w:bidi="zh-CN"/>
    </w:rPr>
  </w:style>
  <w:style w:type="paragraph" w:customStyle="1" w:styleId="116">
    <w:name w:val="标题 3_1"/>
    <w:basedOn w:val="47"/>
    <w:next w:val="47"/>
    <w:qFormat/>
    <w:uiPriority w:val="0"/>
    <w:pPr>
      <w:keepNext/>
      <w:keepLines/>
      <w:spacing w:before="240" w:after="120"/>
      <w:outlineLvl w:val="2"/>
    </w:pPr>
    <w:rPr>
      <w:rFonts w:eastAsia="宋体"/>
      <w:b/>
      <w:color w:val="auto"/>
      <w:sz w:val="32"/>
      <w:szCs w:val="20"/>
      <w:lang w:bidi="ar-SA"/>
    </w:rPr>
  </w:style>
  <w:style w:type="paragraph" w:customStyle="1" w:styleId="117">
    <w:name w:val="Body text|2_0"/>
    <w:basedOn w:val="47"/>
    <w:qFormat/>
    <w:uiPriority w:val="0"/>
    <w:pPr>
      <w:spacing w:after="30"/>
      <w:ind w:firstLine="420"/>
    </w:pPr>
    <w:rPr>
      <w:rFonts w:eastAsia="宋体"/>
      <w:color w:val="auto"/>
      <w:sz w:val="20"/>
      <w:szCs w:val="20"/>
      <w:lang w:bidi="ar-SA"/>
    </w:rPr>
  </w:style>
  <w:style w:type="paragraph" w:customStyle="1" w:styleId="118">
    <w:name w:val="Other|1_1"/>
    <w:basedOn w:val="47"/>
    <w:qFormat/>
    <w:uiPriority w:val="0"/>
    <w:pPr>
      <w:spacing w:line="360" w:lineRule="auto"/>
      <w:ind w:firstLine="400"/>
    </w:pPr>
    <w:rPr>
      <w:rFonts w:ascii="宋体" w:hAnsi="宋体" w:eastAsia="宋体" w:cs="宋体"/>
      <w:color w:val="auto"/>
      <w:sz w:val="20"/>
      <w:szCs w:val="20"/>
      <w:lang w:val="zh-CN" w:eastAsia="zh-CN" w:bidi="zh-CN"/>
    </w:rPr>
  </w:style>
  <w:style w:type="paragraph" w:customStyle="1" w:styleId="119">
    <w:name w:val="Body text|1"/>
    <w:basedOn w:val="1"/>
    <w:qFormat/>
    <w:uiPriority w:val="0"/>
    <w:pPr>
      <w:spacing w:line="360" w:lineRule="auto"/>
      <w:ind w:firstLine="400"/>
    </w:pPr>
    <w:rPr>
      <w:rFonts w:ascii="宋体" w:hAnsi="宋体" w:cs="宋体"/>
      <w:sz w:val="20"/>
      <w:szCs w:val="20"/>
      <w:lang w:val="zh-CN" w:bidi="zh-CN"/>
    </w:rPr>
  </w:style>
  <w:style w:type="paragraph" w:customStyle="1" w:styleId="120">
    <w:name w:val="Body text|1_0_0"/>
    <w:basedOn w:val="49"/>
    <w:qFormat/>
    <w:uiPriority w:val="0"/>
    <w:pPr>
      <w:spacing w:line="360" w:lineRule="auto"/>
      <w:ind w:firstLine="400"/>
    </w:pPr>
    <w:rPr>
      <w:rFonts w:ascii="宋体" w:hAnsi="宋体" w:cs="宋体"/>
      <w:sz w:val="20"/>
      <w:szCs w:val="20"/>
      <w:lang w:val="zh-CN" w:bidi="zh-CN"/>
    </w:rPr>
  </w:style>
  <w:style w:type="paragraph" w:customStyle="1" w:styleId="121">
    <w:name w:val="正文_4"/>
    <w:qFormat/>
    <w:uiPriority w:val="0"/>
    <w:pPr>
      <w:widowControl w:val="0"/>
    </w:pPr>
    <w:rPr>
      <w:rFonts w:ascii="Times New Roman" w:hAnsi="Times New Roman" w:eastAsia="Times New Roman" w:cs="Times New Roman"/>
      <w:color w:val="000000"/>
      <w:sz w:val="24"/>
      <w:szCs w:val="24"/>
      <w:lang w:val="en-US" w:eastAsia="en-US" w:bidi="en-US"/>
    </w:rPr>
  </w:style>
  <w:style w:type="paragraph" w:customStyle="1" w:styleId="122">
    <w:name w:val="标题 2_0"/>
    <w:basedOn w:val="47"/>
    <w:next w:val="47"/>
    <w:qFormat/>
    <w:uiPriority w:val="0"/>
    <w:pPr>
      <w:keepLines/>
      <w:spacing w:before="240" w:after="120" w:line="416" w:lineRule="auto"/>
      <w:jc w:val="center"/>
      <w:outlineLvl w:val="1"/>
    </w:pPr>
    <w:rPr>
      <w:rFonts w:ascii="宋体" w:hAnsi="宋体" w:eastAsia="黑体" w:cs="宋体"/>
      <w:b/>
      <w:bCs/>
      <w:sz w:val="36"/>
      <w:szCs w:val="21"/>
    </w:rPr>
  </w:style>
  <w:style w:type="character" w:customStyle="1" w:styleId="123">
    <w:name w:val="标题 1 Char"/>
    <w:link w:val="5"/>
    <w:qFormat/>
    <w:uiPriority w:val="0"/>
    <w:rPr>
      <w:rFonts w:ascii="宋体" w:hAnsi="宋体" w:eastAsia="宋体" w:cs="宋体"/>
      <w:b/>
      <w:kern w:val="44"/>
      <w:sz w:val="44"/>
      <w:szCs w:val="22"/>
      <w:lang w:val="zh-CN" w:bidi="zh-CN"/>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2.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8.xml"/><Relationship Id="rId12" Type="http://schemas.openxmlformats.org/officeDocument/2006/relationships/header" Target="header3.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C4F8AC1-96F9-4F9A-8C27-E34FA8A8ADB1}">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105</Pages>
  <Words>24210</Words>
  <Characters>26323</Characters>
  <Lines>474</Lines>
  <Paragraphs>133</Paragraphs>
  <TotalTime>9</TotalTime>
  <ScaleCrop>false</ScaleCrop>
  <LinksUpToDate>false</LinksUpToDate>
  <CharactersWithSpaces>28001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2024-10-30T08:15:00Z</dcterms:created>
  <dc:creator>北海市政府采购中心</dc:creator>
  <cp:lastModifiedBy>Administrator</cp:lastModifiedBy>
  <cp:lastPrinted>2021-08-15T09:50:00Z</cp:lastPrinted>
  <dcterms:modified xsi:type="dcterms:W3CDTF">2026-01-14T07:07:30Z</dcterms:modified>
  <dc:title>北海市政府采购中心;</dc:title>
  <cp:revision>65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8FE7566DB6CE4421BE86ECC699C1DA9B_13</vt:lpwstr>
  </property>
  <property fmtid="{D5CDD505-2E9C-101B-9397-08002B2CF9AE}" pid="4" name="KSOTemplateDocerSaveRecord">
    <vt:lpwstr>eyJoZGlkIjoiYTc3NzJiNzFiOWY2ZTZhYjIyZTI0ODJlMmUyMGZjNGEiLCJ1c2VySWQiOiI0MjkyMDA5NjQifQ==</vt:lpwstr>
  </property>
</Properties>
</file>